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AEB3" w14:textId="74E1E8F6" w:rsidR="006F6FA3" w:rsidRPr="00F03354" w:rsidRDefault="00ED6D37">
      <w:r w:rsidRPr="00F03354">
        <w:rPr>
          <w:noProof/>
        </w:rPr>
        <mc:AlternateContent>
          <mc:Choice Requires="wps">
            <w:drawing>
              <wp:anchor distT="45720" distB="45720" distL="114300" distR="114300" simplePos="0" relativeHeight="251658240" behindDoc="0" locked="0" layoutInCell="1" allowOverlap="1" wp14:anchorId="6C077CD2" wp14:editId="5F15A46F">
                <wp:simplePos x="0" y="0"/>
                <wp:positionH relativeFrom="margin">
                  <wp:posOffset>-547370</wp:posOffset>
                </wp:positionH>
                <wp:positionV relativeFrom="paragraph">
                  <wp:posOffset>260985</wp:posOffset>
                </wp:positionV>
                <wp:extent cx="7376160" cy="3162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3162300"/>
                        </a:xfrm>
                        <a:prstGeom prst="rect">
                          <a:avLst/>
                        </a:prstGeom>
                        <a:noFill/>
                        <a:ln w="9525">
                          <a:noFill/>
                          <a:miter lim="800000"/>
                          <a:headEnd/>
                          <a:tailEnd/>
                        </a:ln>
                      </wps:spPr>
                      <wps:txbx>
                        <w:txbxContent>
                          <w:p w14:paraId="6E8615B4" w14:textId="733AD0FB" w:rsidR="00477BA5" w:rsidRDefault="00477BA5" w:rsidP="001B7F32">
                            <w:pPr>
                              <w:ind w:right="137"/>
                              <w:jc w:val="right"/>
                              <w:rPr>
                                <w:rFonts w:ascii="VIC SemiBold" w:hAnsi="VIC SemiBold"/>
                                <w:color w:val="004EA8"/>
                                <w:sz w:val="50"/>
                                <w:szCs w:val="50"/>
                              </w:rPr>
                            </w:pPr>
                            <w:r w:rsidRPr="00280F65">
                              <w:rPr>
                                <w:rFonts w:ascii="VIC SemiBold" w:hAnsi="VIC SemiBold"/>
                                <w:color w:val="004EA8"/>
                                <w:sz w:val="50"/>
                                <w:szCs w:val="50"/>
                              </w:rPr>
                              <w:t xml:space="preserve">Victorian </w:t>
                            </w:r>
                            <w:r w:rsidR="0089279C">
                              <w:rPr>
                                <w:rFonts w:ascii="VIC SemiBold" w:hAnsi="VIC SemiBold"/>
                                <w:color w:val="004EA8"/>
                                <w:sz w:val="50"/>
                                <w:szCs w:val="50"/>
                              </w:rPr>
                              <w:t>H</w:t>
                            </w:r>
                            <w:r w:rsidRPr="00280F65">
                              <w:rPr>
                                <w:rFonts w:ascii="VIC SemiBold" w:hAnsi="VIC SemiBold"/>
                                <w:color w:val="004EA8"/>
                                <w:sz w:val="50"/>
                                <w:szCs w:val="50"/>
                              </w:rPr>
                              <w:t xml:space="preserve">ealth </w:t>
                            </w:r>
                            <w:r w:rsidR="0089279C">
                              <w:rPr>
                                <w:rFonts w:ascii="VIC SemiBold" w:hAnsi="VIC SemiBold"/>
                                <w:color w:val="004EA8"/>
                                <w:sz w:val="50"/>
                                <w:szCs w:val="50"/>
                              </w:rPr>
                              <w:t>S</w:t>
                            </w:r>
                            <w:r w:rsidRPr="00280F65">
                              <w:rPr>
                                <w:rFonts w:ascii="VIC SemiBold" w:hAnsi="VIC SemiBold"/>
                                <w:color w:val="004EA8"/>
                                <w:sz w:val="50"/>
                                <w:szCs w:val="50"/>
                              </w:rPr>
                              <w:t xml:space="preserve">ervices </w:t>
                            </w:r>
                          </w:p>
                          <w:p w14:paraId="59AFA493" w14:textId="0447D924" w:rsidR="00477BA5" w:rsidRPr="001B7F32" w:rsidRDefault="00477BA5" w:rsidP="001B7F32">
                            <w:pPr>
                              <w:ind w:right="137"/>
                              <w:jc w:val="right"/>
                              <w:rPr>
                                <w:rFonts w:ascii="VIC SemiBold" w:hAnsi="VIC SemiBold"/>
                                <w:color w:val="004EA8"/>
                                <w:sz w:val="50"/>
                                <w:szCs w:val="50"/>
                              </w:rPr>
                            </w:pPr>
                            <w:r>
                              <w:rPr>
                                <w:rFonts w:ascii="VIC SemiBold" w:hAnsi="VIC SemiBold"/>
                                <w:color w:val="004EA8"/>
                                <w:sz w:val="50"/>
                                <w:szCs w:val="50"/>
                              </w:rPr>
                              <w:t>P</w:t>
                            </w:r>
                            <w:r w:rsidRPr="00280F65">
                              <w:rPr>
                                <w:rFonts w:ascii="VIC SemiBold" w:hAnsi="VIC SemiBold"/>
                                <w:color w:val="004EA8"/>
                                <w:sz w:val="50"/>
                                <w:szCs w:val="50"/>
                              </w:rPr>
                              <w:t xml:space="preserve">erformance </w:t>
                            </w:r>
                            <w:r>
                              <w:rPr>
                                <w:rFonts w:ascii="VIC SemiBold" w:hAnsi="VIC SemiBold"/>
                                <w:color w:val="004EA8"/>
                                <w:sz w:val="50"/>
                                <w:szCs w:val="50"/>
                              </w:rPr>
                              <w:t>M</w:t>
                            </w:r>
                            <w:r w:rsidRPr="00280F65">
                              <w:rPr>
                                <w:rFonts w:ascii="VIC SemiBold" w:hAnsi="VIC SemiBold"/>
                                <w:color w:val="004EA8"/>
                                <w:sz w:val="50"/>
                                <w:szCs w:val="50"/>
                              </w:rPr>
                              <w:t xml:space="preserve">onitoring </w:t>
                            </w:r>
                            <w:r>
                              <w:rPr>
                                <w:rFonts w:ascii="VIC SemiBold" w:hAnsi="VIC SemiBold"/>
                                <w:color w:val="004EA8"/>
                                <w:sz w:val="50"/>
                                <w:szCs w:val="50"/>
                              </w:rPr>
                              <w:t>F</w:t>
                            </w:r>
                            <w:r w:rsidRPr="00280F65">
                              <w:rPr>
                                <w:rFonts w:ascii="VIC SemiBold" w:hAnsi="VIC SemiBold"/>
                                <w:color w:val="004EA8"/>
                                <w:sz w:val="50"/>
                                <w:szCs w:val="50"/>
                              </w:rPr>
                              <w:t xml:space="preserve">ramework Indicator </w:t>
                            </w:r>
                            <w:r w:rsidRPr="00341E3E">
                              <w:rPr>
                                <w:rFonts w:ascii="VIC SemiBold" w:hAnsi="VIC SemiBold"/>
                                <w:color w:val="004EA8"/>
                                <w:sz w:val="50"/>
                                <w:szCs w:val="50"/>
                              </w:rPr>
                              <w:t>Business</w:t>
                            </w:r>
                            <w:r w:rsidRPr="00280F65">
                              <w:rPr>
                                <w:rFonts w:ascii="VIC SemiBold" w:hAnsi="VIC SemiBold"/>
                                <w:color w:val="004EA8"/>
                                <w:sz w:val="50"/>
                                <w:szCs w:val="50"/>
                              </w:rPr>
                              <w:t xml:space="preserve"> </w:t>
                            </w:r>
                            <w:r>
                              <w:rPr>
                                <w:rFonts w:ascii="VIC SemiBold" w:hAnsi="VIC SemiBold"/>
                                <w:color w:val="004EA8"/>
                                <w:sz w:val="50"/>
                                <w:szCs w:val="50"/>
                              </w:rPr>
                              <w:t>R</w:t>
                            </w:r>
                            <w:r w:rsidRPr="00280F65">
                              <w:rPr>
                                <w:rFonts w:ascii="VIC SemiBold" w:hAnsi="VIC SemiBold"/>
                                <w:color w:val="004EA8"/>
                                <w:sz w:val="50"/>
                                <w:szCs w:val="50"/>
                              </w:rPr>
                              <w:t>ules 202</w:t>
                            </w:r>
                            <w:r w:rsidR="00757E09">
                              <w:rPr>
                                <w:rFonts w:ascii="VIC SemiBold" w:hAnsi="VIC SemiBold"/>
                                <w:color w:val="004EA8"/>
                                <w:sz w:val="50"/>
                                <w:szCs w:val="50"/>
                              </w:rPr>
                              <w:t>2</w:t>
                            </w:r>
                            <w:r w:rsidRPr="00280F65">
                              <w:rPr>
                                <w:rFonts w:ascii="VIC SemiBold" w:hAnsi="VIC SemiBold"/>
                                <w:color w:val="004EA8"/>
                                <w:sz w:val="50"/>
                                <w:szCs w:val="50"/>
                              </w:rPr>
                              <w:t>-2</w:t>
                            </w:r>
                            <w:r w:rsidR="00757E09">
                              <w:rPr>
                                <w:rFonts w:ascii="VIC SemiBold" w:hAnsi="VIC SemiBold"/>
                                <w:color w:val="004EA8"/>
                                <w:sz w:val="50"/>
                                <w:szCs w:val="5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077CD2" id="_x0000_t202" coordsize="21600,21600" o:spt="202" path="m,l,21600r21600,l21600,xe">
                <v:stroke joinstyle="miter"/>
                <v:path gradientshapeok="t" o:connecttype="rect"/>
              </v:shapetype>
              <v:shape id="Text Box 2" o:spid="_x0000_s1026" type="#_x0000_t202" style="position:absolute;margin-left:-43.1pt;margin-top:20.55pt;width:580.8pt;height:24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" filled="f" stroked="f">
                <v:textbox>
                  <w:txbxContent>
                    <w:p w14:paraId="6E8615B4" w14:textId="733AD0FB" w:rsidR="00477BA5" w:rsidRDefault="00477BA5" w:rsidP="001B7F32">
                      <w:pPr>
                        <w:ind w:right="137"/>
                        <w:jc w:val="right"/>
                        <w:rPr>
                          <w:rFonts w:ascii="VIC SemiBold" w:hAnsi="VIC SemiBold"/>
                          <w:color w:val="004EA8"/>
                          <w:sz w:val="50"/>
                          <w:szCs w:val="50"/>
                        </w:rPr>
                      </w:pPr>
                      <w:r w:rsidRPr="00280F65">
                        <w:rPr>
                          <w:rFonts w:ascii="VIC SemiBold" w:hAnsi="VIC SemiBold"/>
                          <w:color w:val="004EA8"/>
                          <w:sz w:val="50"/>
                          <w:szCs w:val="50"/>
                        </w:rPr>
                        <w:t xml:space="preserve">Victorian </w:t>
                      </w:r>
                      <w:r w:rsidR="0089279C">
                        <w:rPr>
                          <w:rFonts w:ascii="VIC SemiBold" w:hAnsi="VIC SemiBold"/>
                          <w:color w:val="004EA8"/>
                          <w:sz w:val="50"/>
                          <w:szCs w:val="50"/>
                        </w:rPr>
                        <w:t>H</w:t>
                      </w:r>
                      <w:r w:rsidRPr="00280F65">
                        <w:rPr>
                          <w:rFonts w:ascii="VIC SemiBold" w:hAnsi="VIC SemiBold"/>
                          <w:color w:val="004EA8"/>
                          <w:sz w:val="50"/>
                          <w:szCs w:val="50"/>
                        </w:rPr>
                        <w:t xml:space="preserve">ealth </w:t>
                      </w:r>
                      <w:r w:rsidR="0089279C">
                        <w:rPr>
                          <w:rFonts w:ascii="VIC SemiBold" w:hAnsi="VIC SemiBold"/>
                          <w:color w:val="004EA8"/>
                          <w:sz w:val="50"/>
                          <w:szCs w:val="50"/>
                        </w:rPr>
                        <w:t>S</w:t>
                      </w:r>
                      <w:r w:rsidRPr="00280F65">
                        <w:rPr>
                          <w:rFonts w:ascii="VIC SemiBold" w:hAnsi="VIC SemiBold"/>
                          <w:color w:val="004EA8"/>
                          <w:sz w:val="50"/>
                          <w:szCs w:val="50"/>
                        </w:rPr>
                        <w:t xml:space="preserve">ervices </w:t>
                      </w:r>
                    </w:p>
                    <w:p w14:paraId="59AFA493" w14:textId="0447D924" w:rsidR="00477BA5" w:rsidRPr="001B7F32" w:rsidRDefault="00477BA5" w:rsidP="001B7F32">
                      <w:pPr>
                        <w:ind w:right="137"/>
                        <w:jc w:val="right"/>
                        <w:rPr>
                          <w:rFonts w:ascii="VIC SemiBold" w:hAnsi="VIC SemiBold"/>
                          <w:color w:val="004EA8"/>
                          <w:sz w:val="50"/>
                          <w:szCs w:val="50"/>
                        </w:rPr>
                      </w:pPr>
                      <w:r>
                        <w:rPr>
                          <w:rFonts w:ascii="VIC SemiBold" w:hAnsi="VIC SemiBold"/>
                          <w:color w:val="004EA8"/>
                          <w:sz w:val="50"/>
                          <w:szCs w:val="50"/>
                        </w:rPr>
                        <w:t>P</w:t>
                      </w:r>
                      <w:r w:rsidRPr="00280F65">
                        <w:rPr>
                          <w:rFonts w:ascii="VIC SemiBold" w:hAnsi="VIC SemiBold"/>
                          <w:color w:val="004EA8"/>
                          <w:sz w:val="50"/>
                          <w:szCs w:val="50"/>
                        </w:rPr>
                        <w:t xml:space="preserve">erformance </w:t>
                      </w:r>
                      <w:r>
                        <w:rPr>
                          <w:rFonts w:ascii="VIC SemiBold" w:hAnsi="VIC SemiBold"/>
                          <w:color w:val="004EA8"/>
                          <w:sz w:val="50"/>
                          <w:szCs w:val="50"/>
                        </w:rPr>
                        <w:t>M</w:t>
                      </w:r>
                      <w:r w:rsidRPr="00280F65">
                        <w:rPr>
                          <w:rFonts w:ascii="VIC SemiBold" w:hAnsi="VIC SemiBold"/>
                          <w:color w:val="004EA8"/>
                          <w:sz w:val="50"/>
                          <w:szCs w:val="50"/>
                        </w:rPr>
                        <w:t xml:space="preserve">onitoring </w:t>
                      </w:r>
                      <w:r>
                        <w:rPr>
                          <w:rFonts w:ascii="VIC SemiBold" w:hAnsi="VIC SemiBold"/>
                          <w:color w:val="004EA8"/>
                          <w:sz w:val="50"/>
                          <w:szCs w:val="50"/>
                        </w:rPr>
                        <w:t>F</w:t>
                      </w:r>
                      <w:r w:rsidRPr="00280F65">
                        <w:rPr>
                          <w:rFonts w:ascii="VIC SemiBold" w:hAnsi="VIC SemiBold"/>
                          <w:color w:val="004EA8"/>
                          <w:sz w:val="50"/>
                          <w:szCs w:val="50"/>
                        </w:rPr>
                        <w:t xml:space="preserve">ramework Indicator </w:t>
                      </w:r>
                      <w:r w:rsidRPr="00341E3E">
                        <w:rPr>
                          <w:rFonts w:ascii="VIC SemiBold" w:hAnsi="VIC SemiBold"/>
                          <w:color w:val="004EA8"/>
                          <w:sz w:val="50"/>
                          <w:szCs w:val="50"/>
                        </w:rPr>
                        <w:t>Business</w:t>
                      </w:r>
                      <w:r w:rsidRPr="00280F65">
                        <w:rPr>
                          <w:rFonts w:ascii="VIC SemiBold" w:hAnsi="VIC SemiBold"/>
                          <w:color w:val="004EA8"/>
                          <w:sz w:val="50"/>
                          <w:szCs w:val="50"/>
                        </w:rPr>
                        <w:t xml:space="preserve"> </w:t>
                      </w:r>
                      <w:r>
                        <w:rPr>
                          <w:rFonts w:ascii="VIC SemiBold" w:hAnsi="VIC SemiBold"/>
                          <w:color w:val="004EA8"/>
                          <w:sz w:val="50"/>
                          <w:szCs w:val="50"/>
                        </w:rPr>
                        <w:t>R</w:t>
                      </w:r>
                      <w:r w:rsidRPr="00280F65">
                        <w:rPr>
                          <w:rFonts w:ascii="VIC SemiBold" w:hAnsi="VIC SemiBold"/>
                          <w:color w:val="004EA8"/>
                          <w:sz w:val="50"/>
                          <w:szCs w:val="50"/>
                        </w:rPr>
                        <w:t>ules 202</w:t>
                      </w:r>
                      <w:r w:rsidR="00757E09">
                        <w:rPr>
                          <w:rFonts w:ascii="VIC SemiBold" w:hAnsi="VIC SemiBold"/>
                          <w:color w:val="004EA8"/>
                          <w:sz w:val="50"/>
                          <w:szCs w:val="50"/>
                        </w:rPr>
                        <w:t>2</w:t>
                      </w:r>
                      <w:r w:rsidRPr="00280F65">
                        <w:rPr>
                          <w:rFonts w:ascii="VIC SemiBold" w:hAnsi="VIC SemiBold"/>
                          <w:color w:val="004EA8"/>
                          <w:sz w:val="50"/>
                          <w:szCs w:val="50"/>
                        </w:rPr>
                        <w:t>-2</w:t>
                      </w:r>
                      <w:r w:rsidR="00757E09">
                        <w:rPr>
                          <w:rFonts w:ascii="VIC SemiBold" w:hAnsi="VIC SemiBold"/>
                          <w:color w:val="004EA8"/>
                          <w:sz w:val="50"/>
                          <w:szCs w:val="50"/>
                        </w:rPr>
                        <w:t>3</w:t>
                      </w:r>
                    </w:p>
                  </w:txbxContent>
                </v:textbox>
                <w10:wrap type="square" anchorx="margin"/>
              </v:shape>
            </w:pict>
          </mc:Fallback>
        </mc:AlternateContent>
      </w:r>
    </w:p>
    <w:p w14:paraId="42E79AF1" w14:textId="77777777" w:rsidR="006F6FA3" w:rsidRPr="00F03354" w:rsidRDefault="006F6FA3"/>
    <w:p w14:paraId="2AEE54F1" w14:textId="77777777" w:rsidR="006F6FA3" w:rsidRPr="00F03354" w:rsidRDefault="006F6FA3"/>
    <w:p w14:paraId="13663784" w14:textId="77777777" w:rsidR="006F6FA3" w:rsidRPr="00F03354" w:rsidRDefault="006F6FA3"/>
    <w:p w14:paraId="03168AFD" w14:textId="77777777" w:rsidR="006F6FA3" w:rsidRPr="00F03354" w:rsidRDefault="006F6FA3"/>
    <w:p w14:paraId="08F90CC5" w14:textId="77777777" w:rsidR="006F6FA3" w:rsidRPr="00F03354" w:rsidRDefault="006F6FA3"/>
    <w:p w14:paraId="19F427AC" w14:textId="77777777" w:rsidR="006F6FA3" w:rsidRPr="00F03354" w:rsidRDefault="006F6FA3"/>
    <w:p w14:paraId="6B34654B" w14:textId="77777777" w:rsidR="006F6FA3" w:rsidRPr="00F03354" w:rsidRDefault="006F6FA3"/>
    <w:p w14:paraId="3D8CB31E" w14:textId="77777777" w:rsidR="006F6FA3" w:rsidRPr="00F03354" w:rsidRDefault="006F6FA3"/>
    <w:p w14:paraId="426DDB1E" w14:textId="77777777" w:rsidR="006F6FA3" w:rsidRPr="00F03354" w:rsidRDefault="006F6FA3"/>
    <w:p w14:paraId="2DE5D345" w14:textId="77777777" w:rsidR="006F6FA3" w:rsidRPr="00F03354" w:rsidRDefault="006F6FA3"/>
    <w:p w14:paraId="051B664C" w14:textId="77777777" w:rsidR="006F6FA3" w:rsidRPr="00F03354" w:rsidRDefault="006F6FA3"/>
    <w:p w14:paraId="5B6501AC" w14:textId="77777777" w:rsidR="006F6FA3" w:rsidRPr="00F03354" w:rsidRDefault="006F6FA3"/>
    <w:p w14:paraId="4B671739" w14:textId="77777777" w:rsidR="006F6FA3" w:rsidRPr="00F03354" w:rsidRDefault="006F6FA3"/>
    <w:p w14:paraId="18660721" w14:textId="77777777" w:rsidR="006F6FA3" w:rsidRPr="00F03354" w:rsidRDefault="006F6FA3"/>
    <w:p w14:paraId="4354B684" w14:textId="77777777" w:rsidR="006F6FA3" w:rsidRPr="00F03354" w:rsidRDefault="006F6FA3"/>
    <w:p w14:paraId="7DE11687" w14:textId="77777777" w:rsidR="006F6FA3" w:rsidRPr="00F03354" w:rsidRDefault="006F6FA3"/>
    <w:p w14:paraId="53F1000A" w14:textId="4A737882" w:rsidR="006F6FA3" w:rsidRPr="00F03354" w:rsidRDefault="006F6FA3"/>
    <w:p w14:paraId="69C0BAB7" w14:textId="77777777" w:rsidR="006F6FA3" w:rsidRPr="00F03354" w:rsidRDefault="006F6FA3"/>
    <w:p w14:paraId="0FAABAF3" w14:textId="77777777" w:rsidR="006F6FA3" w:rsidRPr="00F03354" w:rsidRDefault="006F6FA3"/>
    <w:p w14:paraId="64EF6DCF" w14:textId="77777777" w:rsidR="006F6FA3" w:rsidRPr="00F03354" w:rsidRDefault="006F6FA3"/>
    <w:p w14:paraId="565DB078" w14:textId="05C57546" w:rsidR="006F6FA3" w:rsidRPr="00F03354" w:rsidRDefault="006F6FA3"/>
    <w:p w14:paraId="0330C325" w14:textId="00BB0536" w:rsidR="006F6FA3" w:rsidRPr="00F03354" w:rsidRDefault="006F6FA3"/>
    <w:p w14:paraId="3B9DA2C3" w14:textId="77777777" w:rsidR="006F6FA3" w:rsidRPr="00F03354" w:rsidRDefault="006F6FA3"/>
    <w:p w14:paraId="54231CD9" w14:textId="7E5E88C4" w:rsidR="006F6FA3" w:rsidRPr="00F03354" w:rsidRDefault="006F6FA3"/>
    <w:p w14:paraId="20CB3C10" w14:textId="51A2FD72" w:rsidR="00ED6D37" w:rsidRPr="00F03354" w:rsidRDefault="00ED6D37"/>
    <w:p w14:paraId="17178B8C" w14:textId="77777777" w:rsidR="006F6FA3" w:rsidRPr="00F03354" w:rsidRDefault="006F6FA3"/>
    <w:p w14:paraId="33701422" w14:textId="77777777" w:rsidR="006F6FA3" w:rsidRPr="00F03354" w:rsidRDefault="006F6FA3">
      <w:r w:rsidRPr="00F03354">
        <w:rPr>
          <w:rFonts w:ascii="VIC Medium" w:hAnsi="VIC Medium"/>
          <w:color w:val="004EA8"/>
          <w:sz w:val="36"/>
          <w:szCs w:val="36"/>
        </w:rPr>
        <w:t>Feedback</w:t>
      </w:r>
    </w:p>
    <w:p w14:paraId="69C35B80" w14:textId="795A42F6" w:rsidR="006F6FA3" w:rsidRPr="00F03354" w:rsidRDefault="006F6FA3" w:rsidP="006F6FA3">
      <w:pPr>
        <w:rPr>
          <w:rFonts w:ascii="VIC" w:hAnsi="VIC"/>
          <w:sz w:val="20"/>
          <w:szCs w:val="20"/>
        </w:rPr>
      </w:pPr>
      <w:r w:rsidRPr="00F03354">
        <w:rPr>
          <w:rFonts w:ascii="VIC" w:hAnsi="VIC"/>
          <w:sz w:val="20"/>
          <w:szCs w:val="20"/>
        </w:rPr>
        <w:t>We are always striving to improve our products. Your input will help us shape future reports to ensure they meet your need for accurate and easy to digest information about the safety and quality of your health service.</w:t>
      </w:r>
    </w:p>
    <w:p w14:paraId="069A359D" w14:textId="77777777" w:rsidR="006F6FA3" w:rsidRPr="00F03354" w:rsidRDefault="006F6FA3" w:rsidP="006F6FA3">
      <w:pPr>
        <w:spacing w:after="0"/>
        <w:rPr>
          <w:rFonts w:ascii="VIC" w:hAnsi="VIC"/>
          <w:sz w:val="20"/>
          <w:szCs w:val="20"/>
        </w:rPr>
      </w:pPr>
      <w:r w:rsidRPr="00F03354">
        <w:rPr>
          <w:rFonts w:ascii="VIC" w:hAnsi="VIC"/>
          <w:sz w:val="20"/>
          <w:szCs w:val="20"/>
        </w:rPr>
        <w:t>Please provide feedback to:</w:t>
      </w:r>
    </w:p>
    <w:p w14:paraId="65078207" w14:textId="09958EFB" w:rsidR="006F6FA3" w:rsidRPr="00F03354" w:rsidRDefault="0A3144CD" w:rsidP="006F6FA3">
      <w:pPr>
        <w:spacing w:after="0"/>
        <w:rPr>
          <w:rFonts w:ascii="VIC" w:hAnsi="VIC"/>
          <w:sz w:val="20"/>
          <w:szCs w:val="20"/>
        </w:rPr>
      </w:pPr>
      <w:r w:rsidRPr="1057C776">
        <w:rPr>
          <w:rFonts w:ascii="VIC" w:hAnsi="VIC"/>
          <w:sz w:val="20"/>
          <w:szCs w:val="20"/>
        </w:rPr>
        <w:t xml:space="preserve">Director, </w:t>
      </w:r>
      <w:r w:rsidR="501ABF0B" w:rsidRPr="1057C776">
        <w:rPr>
          <w:rFonts w:ascii="VIC" w:hAnsi="VIC"/>
          <w:sz w:val="20"/>
          <w:szCs w:val="20"/>
        </w:rPr>
        <w:t xml:space="preserve">System Performance </w:t>
      </w:r>
      <w:r w:rsidR="3BB1BAB8" w:rsidRPr="3B5FAF23">
        <w:rPr>
          <w:rFonts w:ascii="VIC" w:hAnsi="VIC"/>
          <w:sz w:val="20"/>
          <w:szCs w:val="20"/>
        </w:rPr>
        <w:t>Insight</w:t>
      </w:r>
    </w:p>
    <w:p w14:paraId="6C143702" w14:textId="77777777" w:rsidR="006F6FA3" w:rsidRPr="00F03354" w:rsidRDefault="006F6FA3" w:rsidP="006F6FA3">
      <w:pPr>
        <w:spacing w:after="0"/>
        <w:rPr>
          <w:rFonts w:ascii="VIC" w:hAnsi="VIC"/>
          <w:sz w:val="20"/>
          <w:szCs w:val="20"/>
        </w:rPr>
      </w:pPr>
      <w:r w:rsidRPr="00F03354">
        <w:rPr>
          <w:rFonts w:ascii="VIC" w:hAnsi="VIC"/>
          <w:sz w:val="20"/>
          <w:szCs w:val="20"/>
        </w:rPr>
        <w:t>Victorian Agency for Health Information</w:t>
      </w:r>
    </w:p>
    <w:p w14:paraId="3A7BD5D6" w14:textId="0FBEB1AA" w:rsidR="006F6FA3" w:rsidRPr="00F03354" w:rsidRDefault="00672DBD" w:rsidP="006F6FA3">
      <w:pPr>
        <w:spacing w:after="0"/>
      </w:pPr>
      <w:hyperlink r:id="rId11" w:history="1">
        <w:r w:rsidR="00C646AC" w:rsidRPr="00F03354">
          <w:rPr>
            <w:rStyle w:val="Hyperlink"/>
            <w:rFonts w:ascii="VIC" w:hAnsi="VIC"/>
            <w:sz w:val="20"/>
            <w:szCs w:val="20"/>
          </w:rPr>
          <w:t>vahi@vahi.vic.gov.au</w:t>
        </w:r>
      </w:hyperlink>
      <w:r w:rsidR="006F6FA3" w:rsidRPr="00F03354">
        <w:rPr>
          <w:rFonts w:ascii="VIC" w:hAnsi="VIC"/>
          <w:sz w:val="20"/>
          <w:szCs w:val="20"/>
        </w:rPr>
        <w:t xml:space="preserve"> </w:t>
      </w:r>
      <w:r w:rsidR="006F6FA3" w:rsidRPr="00F03354">
        <w:br w:type="page"/>
      </w:r>
    </w:p>
    <w:p w14:paraId="36417A10" w14:textId="5E0FEE64" w:rsidR="00624ED7" w:rsidRPr="00F03354" w:rsidRDefault="00624ED7" w:rsidP="00624ED7">
      <w:pPr>
        <w:rPr>
          <w:rFonts w:ascii="VIC Medium" w:hAnsi="VIC Medium"/>
          <w:color w:val="004EA8"/>
          <w:sz w:val="36"/>
          <w:szCs w:val="36"/>
        </w:rPr>
      </w:pPr>
      <w:r w:rsidRPr="00F03354">
        <w:rPr>
          <w:rFonts w:ascii="VIC Medium" w:hAnsi="VIC Medium"/>
          <w:color w:val="004EA8"/>
          <w:sz w:val="36"/>
          <w:szCs w:val="36"/>
        </w:rPr>
        <w:lastRenderedPageBreak/>
        <w:t>Introduction</w:t>
      </w:r>
    </w:p>
    <w:p w14:paraId="48C9AE32" w14:textId="5EBB2FA1" w:rsidR="001B7F32" w:rsidRPr="00F03354" w:rsidRDefault="001B7F32" w:rsidP="001B7F32">
      <w:pPr>
        <w:rPr>
          <w:rFonts w:ascii="VIC" w:hAnsi="VIC"/>
          <w:sz w:val="20"/>
          <w:szCs w:val="20"/>
        </w:rPr>
      </w:pPr>
      <w:r w:rsidRPr="00F03354">
        <w:rPr>
          <w:rFonts w:ascii="VIC" w:hAnsi="VIC"/>
          <w:sz w:val="20"/>
          <w:szCs w:val="20"/>
        </w:rPr>
        <w:t>This document complements the Performance Monitoring Framework by outlining individual business rules for each performance measure.</w:t>
      </w:r>
    </w:p>
    <w:p w14:paraId="7F05C59D" w14:textId="32766F81" w:rsidR="001B7F32" w:rsidRPr="00F03354" w:rsidRDefault="001B7F32" w:rsidP="001B7F32">
      <w:pPr>
        <w:rPr>
          <w:rFonts w:ascii="VIC Medium" w:hAnsi="VIC Medium"/>
          <w:color w:val="004EA8"/>
        </w:rPr>
      </w:pPr>
      <w:r w:rsidRPr="00F03354">
        <w:rPr>
          <w:rFonts w:ascii="VIC Medium" w:hAnsi="VIC Medium"/>
          <w:color w:val="004EA8"/>
        </w:rPr>
        <w:t xml:space="preserve">Changes to performance </w:t>
      </w:r>
      <w:r w:rsidR="003445E8" w:rsidRPr="00F03354">
        <w:rPr>
          <w:rFonts w:ascii="VIC Medium" w:hAnsi="VIC Medium"/>
          <w:color w:val="004EA8"/>
        </w:rPr>
        <w:t xml:space="preserve">monitoring framework </w:t>
      </w:r>
      <w:r w:rsidRPr="00F03354">
        <w:rPr>
          <w:rFonts w:ascii="VIC Medium" w:hAnsi="VIC Medium"/>
          <w:color w:val="004EA8"/>
        </w:rPr>
        <w:t>measures in 202</w:t>
      </w:r>
      <w:r w:rsidR="00AA1429" w:rsidRPr="00F03354">
        <w:rPr>
          <w:rFonts w:ascii="VIC Medium" w:hAnsi="VIC Medium"/>
          <w:color w:val="004EA8"/>
        </w:rPr>
        <w:t>2</w:t>
      </w:r>
      <w:r w:rsidRPr="00F03354">
        <w:rPr>
          <w:rFonts w:ascii="VIC Medium" w:hAnsi="VIC Medium"/>
          <w:color w:val="004EA8"/>
        </w:rPr>
        <w:t>–2</w:t>
      </w:r>
      <w:r w:rsidR="00AA1429" w:rsidRPr="00F03354">
        <w:rPr>
          <w:rFonts w:ascii="VIC Medium" w:hAnsi="VIC Medium"/>
          <w:color w:val="004EA8"/>
        </w:rPr>
        <w:t>3</w:t>
      </w:r>
    </w:p>
    <w:p w14:paraId="1B7B03EF" w14:textId="17E76F17" w:rsidR="001B7F32" w:rsidRPr="00F03354" w:rsidRDefault="001B7F32" w:rsidP="001B7F32">
      <w:pPr>
        <w:rPr>
          <w:rFonts w:ascii="VIC" w:hAnsi="VIC"/>
          <w:sz w:val="20"/>
          <w:szCs w:val="20"/>
        </w:rPr>
      </w:pPr>
      <w:r w:rsidRPr="00F03354">
        <w:rPr>
          <w:rFonts w:ascii="VIC" w:hAnsi="VIC"/>
          <w:sz w:val="20"/>
          <w:szCs w:val="20"/>
        </w:rPr>
        <w:t xml:space="preserve">This section summarises key changes to the performance monitoring framework related measures including updated targets and reporting requirements. </w:t>
      </w:r>
    </w:p>
    <w:p w14:paraId="630275D7" w14:textId="77777777" w:rsidR="001B7F32" w:rsidRPr="00F03354" w:rsidRDefault="001B7F32" w:rsidP="0089279C">
      <w:pPr>
        <w:pStyle w:val="ListParagraph"/>
        <w:numPr>
          <w:ilvl w:val="0"/>
          <w:numId w:val="43"/>
        </w:numPr>
        <w:ind w:left="284" w:hanging="207"/>
        <w:rPr>
          <w:rFonts w:ascii="VIC Medium" w:hAnsi="VIC Medium"/>
          <w:color w:val="004EA8"/>
        </w:rPr>
      </w:pPr>
      <w:r w:rsidRPr="00F03354">
        <w:rPr>
          <w:rFonts w:ascii="VIC Medium" w:hAnsi="VIC Medium"/>
          <w:color w:val="004EA8"/>
        </w:rPr>
        <w:t>High quality and safe care</w:t>
      </w:r>
    </w:p>
    <w:p w14:paraId="76568989" w14:textId="3B4FB550" w:rsidR="00D70555" w:rsidRPr="00F03354" w:rsidRDefault="00D70555" w:rsidP="003445E8">
      <w:pPr>
        <w:ind w:left="284"/>
        <w:rPr>
          <w:rFonts w:ascii="VIC" w:hAnsi="VIC"/>
          <w:sz w:val="20"/>
          <w:szCs w:val="20"/>
        </w:rPr>
      </w:pPr>
      <w:r w:rsidRPr="00F03354">
        <w:rPr>
          <w:rFonts w:ascii="VIC" w:hAnsi="VIC"/>
          <w:sz w:val="20"/>
          <w:szCs w:val="20"/>
        </w:rPr>
        <w:t xml:space="preserve">There has been a target change to </w:t>
      </w:r>
      <w:r w:rsidR="00574A6B" w:rsidRPr="00F03354">
        <w:rPr>
          <w:rFonts w:ascii="VIC" w:hAnsi="VIC"/>
          <w:sz w:val="20"/>
          <w:szCs w:val="20"/>
        </w:rPr>
        <w:t>the rate of patients with S. aureus bloodstream infection (SAB) from 1.0 to 0.7 to align to the national benchmark.</w:t>
      </w:r>
    </w:p>
    <w:p w14:paraId="7BEB98A6" w14:textId="5C135E2E" w:rsidR="00574A6B" w:rsidRPr="00F03354" w:rsidRDefault="00574A6B" w:rsidP="003445E8">
      <w:pPr>
        <w:ind w:left="284"/>
        <w:rPr>
          <w:rFonts w:ascii="VIC" w:hAnsi="VIC"/>
          <w:sz w:val="20"/>
          <w:szCs w:val="20"/>
        </w:rPr>
      </w:pPr>
      <w:r w:rsidRPr="00F03354">
        <w:rPr>
          <w:rFonts w:ascii="VIC" w:hAnsi="VIC"/>
          <w:sz w:val="20"/>
          <w:szCs w:val="20"/>
        </w:rPr>
        <w:t>T</w:t>
      </w:r>
      <w:r w:rsidR="00487F95" w:rsidRPr="00F03354">
        <w:rPr>
          <w:rFonts w:ascii="VIC" w:hAnsi="VIC"/>
          <w:sz w:val="20"/>
          <w:szCs w:val="20"/>
        </w:rPr>
        <w:t>w</w:t>
      </w:r>
      <w:r w:rsidRPr="00F03354">
        <w:rPr>
          <w:rFonts w:ascii="VIC" w:hAnsi="VIC"/>
          <w:sz w:val="20"/>
          <w:szCs w:val="20"/>
        </w:rPr>
        <w:t>o new mental health patient experience measures have been included that are also reported in the BP3</w:t>
      </w:r>
      <w:r w:rsidR="0089279C" w:rsidRPr="00F03354">
        <w:rPr>
          <w:rFonts w:ascii="VIC" w:hAnsi="VIC"/>
          <w:sz w:val="20"/>
          <w:szCs w:val="20"/>
        </w:rPr>
        <w:t xml:space="preserve"> and as recommended by the Royal Commission into Victoria’s Mental Health System</w:t>
      </w:r>
      <w:r w:rsidRPr="00F03354">
        <w:rPr>
          <w:rFonts w:ascii="VIC" w:hAnsi="VIC"/>
          <w:sz w:val="20"/>
          <w:szCs w:val="20"/>
        </w:rPr>
        <w:t>. A further patient experience measure has been included, Percentage of adult patients who reported they were involved as much as they wanted to be in making decisions about their care, identified as a driver contributing towards patient experience.</w:t>
      </w:r>
    </w:p>
    <w:p w14:paraId="55D57808" w14:textId="77777777" w:rsidR="00574A6B" w:rsidRPr="00F03354" w:rsidRDefault="00574A6B" w:rsidP="003445E8">
      <w:pPr>
        <w:ind w:left="284"/>
        <w:rPr>
          <w:rFonts w:ascii="VIC" w:hAnsi="VIC"/>
          <w:sz w:val="20"/>
          <w:szCs w:val="20"/>
        </w:rPr>
      </w:pPr>
      <w:r w:rsidRPr="00F03354">
        <w:rPr>
          <w:rFonts w:ascii="VIC" w:hAnsi="VIC"/>
          <w:sz w:val="20"/>
          <w:szCs w:val="20"/>
        </w:rPr>
        <w:t>Target changes have been applied to several mental health seclusion and readmission measures to align them to BP3 reporting.</w:t>
      </w:r>
    </w:p>
    <w:p w14:paraId="06B429D1" w14:textId="327389E2" w:rsidR="00574A6B" w:rsidRPr="00F03354" w:rsidRDefault="00574A6B" w:rsidP="003445E8">
      <w:pPr>
        <w:ind w:left="284"/>
        <w:rPr>
          <w:rFonts w:ascii="VIC" w:hAnsi="VIC"/>
          <w:sz w:val="20"/>
          <w:szCs w:val="20"/>
        </w:rPr>
      </w:pPr>
      <w:r w:rsidRPr="00F03354">
        <w:rPr>
          <w:rFonts w:ascii="VIC" w:hAnsi="VIC"/>
          <w:sz w:val="20"/>
          <w:szCs w:val="20"/>
        </w:rPr>
        <w:t xml:space="preserve">Proportion of urgent maternity patients referred for obstetric care to a level 4, 5 or 6 maternity service who were booked for a specialist clinic appointment within 30 days of accepted referral has been retained but </w:t>
      </w:r>
      <w:r w:rsidR="00487F95" w:rsidRPr="00F03354">
        <w:rPr>
          <w:rFonts w:ascii="VIC" w:hAnsi="VIC"/>
          <w:sz w:val="20"/>
          <w:szCs w:val="20"/>
        </w:rPr>
        <w:t>reclassified as</w:t>
      </w:r>
      <w:r w:rsidR="003445E8" w:rsidRPr="00F03354">
        <w:rPr>
          <w:rFonts w:ascii="VIC" w:hAnsi="VIC"/>
          <w:sz w:val="20"/>
          <w:szCs w:val="20"/>
        </w:rPr>
        <w:t xml:space="preserve"> a PMF measure.</w:t>
      </w:r>
    </w:p>
    <w:p w14:paraId="5EDF0535" w14:textId="79754ACE" w:rsidR="003445E8" w:rsidRPr="00F03354" w:rsidRDefault="568692AC" w:rsidP="6BF3BDE6">
      <w:pPr>
        <w:ind w:left="284"/>
        <w:rPr>
          <w:rFonts w:ascii="VIC" w:eastAsia="VIC" w:hAnsi="VIC" w:cs="VIC"/>
          <w:sz w:val="20"/>
          <w:szCs w:val="20"/>
        </w:rPr>
      </w:pPr>
      <w:r w:rsidRPr="00F03354">
        <w:rPr>
          <w:rFonts w:ascii="VIC" w:hAnsi="VIC"/>
          <w:sz w:val="20"/>
          <w:szCs w:val="20"/>
        </w:rPr>
        <w:t>T</w:t>
      </w:r>
      <w:r w:rsidR="5A1891B4" w:rsidRPr="00F03354">
        <w:rPr>
          <w:rFonts w:ascii="VIC" w:hAnsi="VIC"/>
          <w:sz w:val="20"/>
          <w:szCs w:val="20"/>
        </w:rPr>
        <w:t>w</w:t>
      </w:r>
      <w:r w:rsidRPr="00F03354">
        <w:rPr>
          <w:rFonts w:ascii="VIC" w:hAnsi="VIC"/>
          <w:sz w:val="20"/>
          <w:szCs w:val="20"/>
        </w:rPr>
        <w:t xml:space="preserve">o new </w:t>
      </w:r>
      <w:r w:rsidR="1470E0D2" w:rsidRPr="00F03354">
        <w:rPr>
          <w:rFonts w:ascii="VIC" w:hAnsi="VIC"/>
          <w:sz w:val="20"/>
          <w:szCs w:val="20"/>
        </w:rPr>
        <w:t>A</w:t>
      </w:r>
      <w:r w:rsidRPr="00F03354">
        <w:rPr>
          <w:rFonts w:ascii="VIC" w:hAnsi="VIC"/>
          <w:sz w:val="20"/>
          <w:szCs w:val="20"/>
        </w:rPr>
        <w:t xml:space="preserve">boriginal </w:t>
      </w:r>
      <w:r w:rsidR="28EDC648" w:rsidRPr="00F03354">
        <w:rPr>
          <w:rFonts w:ascii="VIC" w:hAnsi="VIC"/>
          <w:sz w:val="20"/>
          <w:szCs w:val="20"/>
        </w:rPr>
        <w:t xml:space="preserve">cultural safety </w:t>
      </w:r>
      <w:r w:rsidRPr="00F03354">
        <w:rPr>
          <w:rFonts w:ascii="VIC" w:hAnsi="VIC"/>
          <w:sz w:val="20"/>
          <w:szCs w:val="20"/>
        </w:rPr>
        <w:t>measures have been elevated from PRISM</w:t>
      </w:r>
      <w:r w:rsidR="61C051E1" w:rsidRPr="00F03354">
        <w:rPr>
          <w:rFonts w:ascii="VIC" w:hAnsi="VIC"/>
          <w:sz w:val="20"/>
          <w:szCs w:val="20"/>
        </w:rPr>
        <w:t>:</w:t>
      </w:r>
      <w:r w:rsidRPr="00F03354">
        <w:rPr>
          <w:rFonts w:ascii="VIC" w:hAnsi="VIC"/>
          <w:sz w:val="20"/>
          <w:szCs w:val="20"/>
        </w:rPr>
        <w:t xml:space="preserve"> </w:t>
      </w:r>
      <w:r w:rsidR="12DB12A4" w:rsidRPr="00F03354">
        <w:rPr>
          <w:rFonts w:ascii="VIC" w:hAnsi="VIC"/>
          <w:sz w:val="20"/>
          <w:szCs w:val="20"/>
        </w:rPr>
        <w:t>p</w:t>
      </w:r>
      <w:r w:rsidR="2BD0E0B6" w:rsidRPr="00F03354">
        <w:rPr>
          <w:rFonts w:ascii="VIC" w:eastAsia="VIC" w:hAnsi="VIC" w:cs="VIC"/>
          <w:sz w:val="20"/>
          <w:szCs w:val="20"/>
        </w:rPr>
        <w:t>ercentage of Aboriginal patients in emergency that did not wait for treatment</w:t>
      </w:r>
      <w:r w:rsidRPr="00F03354">
        <w:rPr>
          <w:rFonts w:ascii="VIC" w:hAnsi="VIC"/>
          <w:sz w:val="20"/>
          <w:szCs w:val="20"/>
        </w:rPr>
        <w:t xml:space="preserve"> and </w:t>
      </w:r>
      <w:r w:rsidR="0359CD7D" w:rsidRPr="00F03354">
        <w:rPr>
          <w:rFonts w:ascii="VIC" w:hAnsi="VIC"/>
          <w:sz w:val="20"/>
          <w:szCs w:val="20"/>
        </w:rPr>
        <w:t>p</w:t>
      </w:r>
      <w:r w:rsidR="7C3A198B" w:rsidRPr="00F03354">
        <w:rPr>
          <w:rFonts w:ascii="VIC" w:eastAsia="VIC" w:hAnsi="VIC" w:cs="VIC"/>
          <w:sz w:val="20"/>
          <w:szCs w:val="20"/>
        </w:rPr>
        <w:t>ercentage of admitted Aboriginal patients who left against medical advice</w:t>
      </w:r>
      <w:r w:rsidR="7117A5A7" w:rsidRPr="00F03354">
        <w:rPr>
          <w:rFonts w:ascii="VIC" w:eastAsia="VIC" w:hAnsi="VIC" w:cs="VIC"/>
          <w:sz w:val="20"/>
          <w:szCs w:val="20"/>
        </w:rPr>
        <w:t>.</w:t>
      </w:r>
    </w:p>
    <w:p w14:paraId="5FFAAF6D" w14:textId="77777777" w:rsidR="00791084" w:rsidRPr="00F03354" w:rsidRDefault="00791084" w:rsidP="003445E8">
      <w:pPr>
        <w:ind w:left="284"/>
        <w:rPr>
          <w:rFonts w:ascii="VIC" w:hAnsi="VIC"/>
          <w:sz w:val="20"/>
          <w:szCs w:val="20"/>
        </w:rPr>
      </w:pPr>
    </w:p>
    <w:p w14:paraId="0BD17919" w14:textId="427E448C" w:rsidR="001B7F32" w:rsidRPr="00F03354" w:rsidRDefault="001B7F32" w:rsidP="0089279C">
      <w:pPr>
        <w:pStyle w:val="ListParagraph"/>
        <w:numPr>
          <w:ilvl w:val="0"/>
          <w:numId w:val="43"/>
        </w:numPr>
        <w:ind w:left="284" w:hanging="207"/>
        <w:rPr>
          <w:rFonts w:ascii="VIC Medium" w:hAnsi="VIC Medium"/>
          <w:color w:val="004EA8"/>
        </w:rPr>
      </w:pPr>
      <w:r w:rsidRPr="00F03354">
        <w:rPr>
          <w:rFonts w:ascii="VIC Medium" w:hAnsi="VIC Medium"/>
          <w:color w:val="004EA8"/>
        </w:rPr>
        <w:t xml:space="preserve">Strong governance, </w:t>
      </w:r>
      <w:r w:rsidR="007A4C92" w:rsidRPr="00F03354">
        <w:rPr>
          <w:rFonts w:ascii="VIC Medium" w:hAnsi="VIC Medium"/>
          <w:color w:val="004EA8"/>
        </w:rPr>
        <w:t>leadership,</w:t>
      </w:r>
      <w:r w:rsidRPr="00F03354">
        <w:rPr>
          <w:rFonts w:ascii="VIC Medium" w:hAnsi="VIC Medium"/>
          <w:color w:val="004EA8"/>
        </w:rPr>
        <w:t xml:space="preserve"> and culture</w:t>
      </w:r>
    </w:p>
    <w:p w14:paraId="15E5F559" w14:textId="5401279A" w:rsidR="001B7F32" w:rsidRPr="00F03354" w:rsidRDefault="00B60A37" w:rsidP="003445E8">
      <w:pPr>
        <w:ind w:firstLine="284"/>
        <w:rPr>
          <w:rFonts w:ascii="VIC" w:hAnsi="VIC"/>
          <w:sz w:val="20"/>
          <w:szCs w:val="20"/>
        </w:rPr>
      </w:pPr>
      <w:r w:rsidRPr="00F03354">
        <w:rPr>
          <w:rFonts w:ascii="VIC" w:hAnsi="VIC"/>
          <w:sz w:val="20"/>
          <w:szCs w:val="20"/>
        </w:rPr>
        <w:t>No change</w:t>
      </w:r>
      <w:r w:rsidR="00D70555" w:rsidRPr="00F03354">
        <w:rPr>
          <w:rFonts w:ascii="VIC" w:hAnsi="VIC"/>
          <w:sz w:val="20"/>
          <w:szCs w:val="20"/>
        </w:rPr>
        <w:t>s</w:t>
      </w:r>
      <w:r w:rsidRPr="00F03354">
        <w:rPr>
          <w:rFonts w:ascii="VIC" w:hAnsi="VIC"/>
          <w:sz w:val="20"/>
          <w:szCs w:val="20"/>
        </w:rPr>
        <w:t xml:space="preserve"> </w:t>
      </w:r>
      <w:r w:rsidR="00D70555" w:rsidRPr="00F03354">
        <w:rPr>
          <w:rFonts w:ascii="VIC" w:hAnsi="VIC"/>
          <w:sz w:val="20"/>
          <w:szCs w:val="20"/>
        </w:rPr>
        <w:t xml:space="preserve">for PMF 2022-23 </w:t>
      </w:r>
      <w:r w:rsidRPr="00F03354">
        <w:rPr>
          <w:rFonts w:ascii="VIC" w:hAnsi="VIC"/>
          <w:sz w:val="20"/>
          <w:szCs w:val="20"/>
        </w:rPr>
        <w:t>to the measures reported in this domain.</w:t>
      </w:r>
      <w:r w:rsidR="00683782" w:rsidRPr="00F03354">
        <w:rPr>
          <w:rFonts w:ascii="VIC" w:hAnsi="VIC"/>
          <w:sz w:val="20"/>
          <w:szCs w:val="20"/>
        </w:rPr>
        <w:t xml:space="preserve"> </w:t>
      </w:r>
    </w:p>
    <w:p w14:paraId="7B3EF293" w14:textId="77777777" w:rsidR="00D70555" w:rsidRPr="00F03354" w:rsidRDefault="00D70555" w:rsidP="003445E8">
      <w:pPr>
        <w:ind w:left="284"/>
        <w:rPr>
          <w:rFonts w:ascii="VIC" w:hAnsi="VIC"/>
          <w:sz w:val="20"/>
          <w:szCs w:val="20"/>
        </w:rPr>
      </w:pPr>
    </w:p>
    <w:p w14:paraId="320226AF" w14:textId="77777777" w:rsidR="001B7F32" w:rsidRPr="00F03354" w:rsidRDefault="001B7F32" w:rsidP="0089279C">
      <w:pPr>
        <w:pStyle w:val="ListParagraph"/>
        <w:numPr>
          <w:ilvl w:val="0"/>
          <w:numId w:val="43"/>
        </w:numPr>
        <w:ind w:left="284" w:hanging="207"/>
        <w:rPr>
          <w:rFonts w:ascii="VIC Medium" w:hAnsi="VIC Medium"/>
          <w:color w:val="004EA8"/>
        </w:rPr>
      </w:pPr>
      <w:r w:rsidRPr="00F03354">
        <w:rPr>
          <w:rFonts w:ascii="VIC Medium" w:hAnsi="VIC Medium"/>
          <w:color w:val="004EA8"/>
        </w:rPr>
        <w:t>Timely access to care</w:t>
      </w:r>
    </w:p>
    <w:p w14:paraId="752CBBBA" w14:textId="2011C96D" w:rsidR="001B7F32" w:rsidRPr="00F03354" w:rsidRDefault="7A33EB30" w:rsidP="003445E8">
      <w:pPr>
        <w:ind w:left="284"/>
        <w:rPr>
          <w:rFonts w:ascii="VIC" w:hAnsi="VIC"/>
          <w:sz w:val="20"/>
          <w:szCs w:val="20"/>
        </w:rPr>
      </w:pPr>
      <w:r w:rsidRPr="00F03354">
        <w:rPr>
          <w:rFonts w:ascii="VIC" w:hAnsi="VIC"/>
          <w:sz w:val="20"/>
          <w:szCs w:val="20"/>
        </w:rPr>
        <w:t>Three Forensicare measures have been amended and received target changes</w:t>
      </w:r>
      <w:r w:rsidR="147CC771" w:rsidRPr="00F03354">
        <w:rPr>
          <w:rFonts w:ascii="VIC" w:hAnsi="VIC"/>
          <w:sz w:val="20"/>
          <w:szCs w:val="20"/>
        </w:rPr>
        <w:t>. These are, Percentage of male Security Patients admitted to Thomas Embling Hospital within 7 days of certification, Percentage of male security patients discharged from Thomas Embling Hospital to a correctional centre within 21 days and Percentage of male security patients discharged within 7 days of becoming a civil client.</w:t>
      </w:r>
    </w:p>
    <w:p w14:paraId="3844F817" w14:textId="5D92E320" w:rsidR="00D70555" w:rsidRPr="00F03354" w:rsidRDefault="57250196" w:rsidP="6BF3BDE6">
      <w:pPr>
        <w:ind w:left="284"/>
        <w:rPr>
          <w:rFonts w:ascii="VIC" w:hAnsi="VIC"/>
          <w:sz w:val="20"/>
          <w:szCs w:val="20"/>
        </w:rPr>
      </w:pPr>
      <w:r w:rsidRPr="00F03354">
        <w:rPr>
          <w:rFonts w:ascii="VIC" w:hAnsi="VIC"/>
          <w:sz w:val="20"/>
          <w:szCs w:val="20"/>
        </w:rPr>
        <w:t>Additional measure to support elective surgery priorities</w:t>
      </w:r>
      <w:r w:rsidR="1A46BDE6" w:rsidRPr="00F03354">
        <w:rPr>
          <w:rFonts w:ascii="VIC" w:hAnsi="VIC"/>
          <w:sz w:val="20"/>
          <w:szCs w:val="20"/>
        </w:rPr>
        <w:t xml:space="preserve"> for 2022/23</w:t>
      </w:r>
      <w:r w:rsidRPr="00F03354">
        <w:rPr>
          <w:rFonts w:ascii="VIC" w:hAnsi="VIC"/>
          <w:sz w:val="20"/>
          <w:szCs w:val="20"/>
        </w:rPr>
        <w:t xml:space="preserve"> was added in V1.1 to reflect health service specific targets </w:t>
      </w:r>
      <w:r w:rsidR="53E9B75E" w:rsidRPr="00F03354">
        <w:rPr>
          <w:rFonts w:ascii="VIC" w:hAnsi="VIC"/>
          <w:sz w:val="20"/>
          <w:szCs w:val="20"/>
        </w:rPr>
        <w:t>for additional activity</w:t>
      </w:r>
      <w:r w:rsidR="27D60D8E" w:rsidRPr="00F03354">
        <w:rPr>
          <w:rFonts w:ascii="VIC" w:hAnsi="VIC"/>
          <w:sz w:val="20"/>
          <w:szCs w:val="20"/>
        </w:rPr>
        <w:t xml:space="preserve"> as</w:t>
      </w:r>
      <w:r w:rsidR="53E9B75E" w:rsidRPr="00F03354">
        <w:rPr>
          <w:rFonts w:ascii="VIC" w:hAnsi="VIC"/>
          <w:sz w:val="20"/>
          <w:szCs w:val="20"/>
        </w:rPr>
        <w:t xml:space="preserve"> </w:t>
      </w:r>
      <w:r w:rsidRPr="00F03354">
        <w:rPr>
          <w:rFonts w:ascii="VIC" w:hAnsi="VIC"/>
          <w:sz w:val="20"/>
          <w:szCs w:val="20"/>
        </w:rPr>
        <w:t>‘Nu</w:t>
      </w:r>
      <w:r w:rsidR="640D3FA8" w:rsidRPr="00F03354">
        <w:rPr>
          <w:rFonts w:ascii="VIC" w:hAnsi="VIC"/>
          <w:sz w:val="20"/>
          <w:szCs w:val="20"/>
        </w:rPr>
        <w:t>mber of patients</w:t>
      </w:r>
      <w:r w:rsidR="15B0A62D" w:rsidRPr="00F03354">
        <w:rPr>
          <w:rFonts w:ascii="VIC" w:hAnsi="VIC"/>
          <w:sz w:val="20"/>
          <w:szCs w:val="20"/>
        </w:rPr>
        <w:t xml:space="preserve"> (in addition to base)</w:t>
      </w:r>
      <w:r w:rsidR="640D3FA8" w:rsidRPr="00F03354">
        <w:rPr>
          <w:rFonts w:ascii="VIC" w:hAnsi="VIC"/>
          <w:sz w:val="20"/>
          <w:szCs w:val="20"/>
        </w:rPr>
        <w:t xml:space="preserve"> admitted from the elective surgery waitlist.</w:t>
      </w:r>
      <w:r w:rsidR="06483549" w:rsidRPr="00F03354">
        <w:rPr>
          <w:rFonts w:ascii="VIC" w:hAnsi="VIC"/>
          <w:sz w:val="20"/>
          <w:szCs w:val="20"/>
        </w:rPr>
        <w:t>’</w:t>
      </w:r>
    </w:p>
    <w:p w14:paraId="502AB512" w14:textId="77777777" w:rsidR="001B7F32" w:rsidRPr="00F03354" w:rsidRDefault="001B7F32" w:rsidP="0089279C">
      <w:pPr>
        <w:pStyle w:val="ListParagraph"/>
        <w:numPr>
          <w:ilvl w:val="0"/>
          <w:numId w:val="43"/>
        </w:numPr>
        <w:ind w:left="284" w:hanging="207"/>
        <w:rPr>
          <w:rFonts w:ascii="VIC Medium" w:hAnsi="VIC Medium"/>
          <w:color w:val="004EA8"/>
        </w:rPr>
      </w:pPr>
      <w:r w:rsidRPr="00F03354">
        <w:rPr>
          <w:rFonts w:ascii="VIC Medium" w:hAnsi="VIC Medium"/>
          <w:color w:val="004EA8"/>
        </w:rPr>
        <w:t>Effective financial management</w:t>
      </w:r>
    </w:p>
    <w:p w14:paraId="24396618" w14:textId="27EAC933" w:rsidR="001B7F32" w:rsidRPr="00F03354" w:rsidRDefault="00B60A37" w:rsidP="003445E8">
      <w:pPr>
        <w:ind w:firstLine="284"/>
        <w:rPr>
          <w:rFonts w:ascii="VIC" w:hAnsi="VIC"/>
          <w:sz w:val="20"/>
          <w:szCs w:val="20"/>
        </w:rPr>
      </w:pPr>
      <w:r w:rsidRPr="00F03354">
        <w:rPr>
          <w:rFonts w:ascii="VIC" w:hAnsi="VIC"/>
          <w:sz w:val="20"/>
          <w:szCs w:val="20"/>
        </w:rPr>
        <w:t xml:space="preserve">No changes </w:t>
      </w:r>
      <w:r w:rsidR="00D70555" w:rsidRPr="00F03354">
        <w:rPr>
          <w:rFonts w:ascii="VIC" w:hAnsi="VIC"/>
          <w:sz w:val="20"/>
          <w:szCs w:val="20"/>
        </w:rPr>
        <w:t xml:space="preserve">for PMF 2022-23 </w:t>
      </w:r>
      <w:r w:rsidRPr="00F03354">
        <w:rPr>
          <w:rFonts w:ascii="VIC" w:hAnsi="VIC"/>
          <w:sz w:val="20"/>
          <w:szCs w:val="20"/>
        </w:rPr>
        <w:t>to the measures reported in this domain</w:t>
      </w:r>
      <w:r w:rsidR="001B7F32" w:rsidRPr="00F03354">
        <w:rPr>
          <w:rFonts w:ascii="VIC" w:hAnsi="VIC"/>
          <w:sz w:val="20"/>
          <w:szCs w:val="20"/>
        </w:rPr>
        <w:t>.</w:t>
      </w:r>
    </w:p>
    <w:p w14:paraId="026CEB92" w14:textId="279600B4" w:rsidR="00683782" w:rsidRPr="00F03354" w:rsidRDefault="00683782" w:rsidP="001B7F32">
      <w:pPr>
        <w:rPr>
          <w:rFonts w:ascii="VIC" w:hAnsi="VIC"/>
          <w:sz w:val="20"/>
          <w:szCs w:val="20"/>
        </w:rPr>
      </w:pPr>
    </w:p>
    <w:p w14:paraId="2C7FAA65" w14:textId="77777777" w:rsidR="00280F65" w:rsidRPr="00F03354" w:rsidRDefault="00683782" w:rsidP="001B7F32">
      <w:pPr>
        <w:rPr>
          <w:rFonts w:ascii="VIC" w:hAnsi="VIC"/>
          <w:sz w:val="20"/>
          <w:szCs w:val="20"/>
        </w:rPr>
      </w:pPr>
      <w:r w:rsidRPr="00F03354">
        <w:rPr>
          <w:rFonts w:ascii="VIC" w:hAnsi="VIC"/>
          <w:sz w:val="20"/>
          <w:szCs w:val="20"/>
        </w:rPr>
        <w:lastRenderedPageBreak/>
        <w:t>More detailed information about these changes is included in Table 1 below.</w:t>
      </w:r>
    </w:p>
    <w:p w14:paraId="5B016AFC" w14:textId="69E6D376" w:rsidR="00683782" w:rsidRPr="00F03354" w:rsidRDefault="2048E3BE" w:rsidP="001B7F32">
      <w:pPr>
        <w:rPr>
          <w:rFonts w:ascii="VIC" w:hAnsi="VIC"/>
          <w:sz w:val="20"/>
          <w:szCs w:val="20"/>
        </w:rPr>
      </w:pPr>
      <w:r w:rsidRPr="00F03354">
        <w:rPr>
          <w:rFonts w:ascii="VIC" w:hAnsi="VIC"/>
          <w:sz w:val="20"/>
          <w:szCs w:val="20"/>
        </w:rPr>
        <w:t>Table 2 provides a breakdown of the S</w:t>
      </w:r>
      <w:r w:rsidR="4EFB39CC" w:rsidRPr="00F03354">
        <w:rPr>
          <w:rFonts w:ascii="VIC" w:hAnsi="VIC"/>
          <w:sz w:val="20"/>
          <w:szCs w:val="20"/>
        </w:rPr>
        <w:t>tatement of Priority</w:t>
      </w:r>
      <w:r w:rsidRPr="00F03354">
        <w:rPr>
          <w:rFonts w:ascii="VIC" w:hAnsi="VIC"/>
          <w:sz w:val="20"/>
          <w:szCs w:val="20"/>
        </w:rPr>
        <w:t xml:space="preserve"> and Non-S</w:t>
      </w:r>
      <w:r w:rsidR="4EFB39CC" w:rsidRPr="00F03354">
        <w:rPr>
          <w:rFonts w:ascii="VIC" w:hAnsi="VIC"/>
          <w:sz w:val="20"/>
          <w:szCs w:val="20"/>
        </w:rPr>
        <w:t xml:space="preserve">tatement of </w:t>
      </w:r>
      <w:r w:rsidRPr="00F03354">
        <w:rPr>
          <w:rFonts w:ascii="VIC" w:hAnsi="VIC"/>
          <w:sz w:val="20"/>
          <w:szCs w:val="20"/>
        </w:rPr>
        <w:t>P</w:t>
      </w:r>
      <w:r w:rsidR="4EFB39CC" w:rsidRPr="00F03354">
        <w:rPr>
          <w:rFonts w:ascii="VIC" w:hAnsi="VIC"/>
          <w:sz w:val="20"/>
          <w:szCs w:val="20"/>
        </w:rPr>
        <w:t>riority</w:t>
      </w:r>
      <w:r w:rsidRPr="00F03354">
        <w:rPr>
          <w:rFonts w:ascii="VIC" w:hAnsi="VIC"/>
          <w:sz w:val="20"/>
          <w:szCs w:val="20"/>
        </w:rPr>
        <w:t xml:space="preserve"> measures. </w:t>
      </w:r>
    </w:p>
    <w:p w14:paraId="05B9C47C" w14:textId="1E32FBD4" w:rsidR="00683782" w:rsidRPr="00F03354" w:rsidRDefault="00683782" w:rsidP="00683782">
      <w:pPr>
        <w:keepNext/>
        <w:keepLines/>
        <w:spacing w:before="240" w:after="240" w:line="280" w:lineRule="atLeast"/>
        <w:outlineLvl w:val="3"/>
        <w:rPr>
          <w:rFonts w:ascii="VIC" w:hAnsi="VIC"/>
          <w:sz w:val="20"/>
          <w:szCs w:val="20"/>
        </w:rPr>
      </w:pPr>
      <w:r w:rsidRPr="00F03354">
        <w:rPr>
          <w:rFonts w:ascii="VIC" w:hAnsi="VIC"/>
          <w:b/>
          <w:bCs/>
          <w:sz w:val="20"/>
          <w:szCs w:val="20"/>
        </w:rPr>
        <w:t>Table 1</w:t>
      </w:r>
      <w:r w:rsidRPr="00F03354">
        <w:rPr>
          <w:rFonts w:ascii="VIC" w:hAnsi="VIC"/>
          <w:sz w:val="20"/>
          <w:szCs w:val="20"/>
        </w:rPr>
        <w:t>: Summary of changes to Key Performance Measures for reporting year 202</w:t>
      </w:r>
      <w:r w:rsidR="00B27F0E" w:rsidRPr="00F03354">
        <w:rPr>
          <w:rFonts w:ascii="VIC" w:hAnsi="VIC"/>
          <w:sz w:val="20"/>
          <w:szCs w:val="20"/>
        </w:rPr>
        <w:t>2</w:t>
      </w:r>
      <w:r w:rsidRPr="00F03354">
        <w:rPr>
          <w:rFonts w:ascii="VIC" w:hAnsi="VIC"/>
          <w:sz w:val="20"/>
          <w:szCs w:val="20"/>
        </w:rPr>
        <w:t>-2</w:t>
      </w:r>
      <w:r w:rsidR="00B27F0E" w:rsidRPr="00F03354">
        <w:rPr>
          <w:rFonts w:ascii="VIC" w:hAnsi="VIC"/>
          <w:sz w:val="20"/>
          <w:szCs w:val="20"/>
        </w:rPr>
        <w:t>3</w:t>
      </w:r>
    </w:p>
    <w:tbl>
      <w:tblPr>
        <w:tblStyle w:val="TableGrid1"/>
        <w:tblW w:w="10087" w:type="dxa"/>
        <w:tblInd w:w="-5" w:type="dxa"/>
        <w:tblLook w:val="04A0" w:firstRow="1" w:lastRow="0" w:firstColumn="1" w:lastColumn="0" w:noHBand="0" w:noVBand="1"/>
      </w:tblPr>
      <w:tblGrid>
        <w:gridCol w:w="4530"/>
        <w:gridCol w:w="1591"/>
        <w:gridCol w:w="1470"/>
        <w:gridCol w:w="2496"/>
      </w:tblGrid>
      <w:tr w:rsidR="00F13BE9" w:rsidRPr="00F03354" w14:paraId="473E21A1" w14:textId="77777777" w:rsidTr="43E0E1C9">
        <w:trPr>
          <w:trHeight w:val="477"/>
          <w:tblHeader/>
        </w:trPr>
        <w:tc>
          <w:tcPr>
            <w:tcW w:w="4530" w:type="dxa"/>
            <w:shd w:val="clear" w:color="auto" w:fill="244C5A"/>
            <w:vAlign w:val="center"/>
          </w:tcPr>
          <w:p w14:paraId="42B38B0F" w14:textId="62DD0D77" w:rsidR="00122F87" w:rsidRPr="00F03354" w:rsidRDefault="061A7438" w:rsidP="6BF3BDE6">
            <w:pPr>
              <w:rPr>
                <w:rFonts w:ascii="VIC" w:eastAsiaTheme="minorEastAsia" w:hAnsi="VIC" w:cstheme="minorBidi"/>
                <w:color w:val="FFFFFF" w:themeColor="background1"/>
                <w:lang w:eastAsia="en-US"/>
              </w:rPr>
            </w:pPr>
            <w:bookmarkStart w:id="0" w:name="_Hlk85440175"/>
            <w:r w:rsidRPr="00F03354">
              <w:rPr>
                <w:rFonts w:ascii="VIC" w:eastAsiaTheme="minorEastAsia" w:hAnsi="VIC" w:cstheme="minorBidi"/>
                <w:color w:val="FFFFFF" w:themeColor="background1"/>
                <w:lang w:eastAsia="en-US"/>
              </w:rPr>
              <w:t>K</w:t>
            </w:r>
            <w:r w:rsidR="48CFE143" w:rsidRPr="00F03354">
              <w:rPr>
                <w:rFonts w:ascii="VIC" w:eastAsiaTheme="minorEastAsia" w:hAnsi="VIC" w:cstheme="minorBidi"/>
                <w:color w:val="FFFFFF" w:themeColor="background1"/>
                <w:lang w:eastAsia="en-US"/>
              </w:rPr>
              <w:t xml:space="preserve">ey </w:t>
            </w:r>
            <w:r w:rsidRPr="00F03354">
              <w:rPr>
                <w:rFonts w:ascii="VIC" w:eastAsiaTheme="minorEastAsia" w:hAnsi="VIC" w:cstheme="minorBidi"/>
                <w:color w:val="FFFFFF" w:themeColor="background1"/>
                <w:lang w:eastAsia="en-US"/>
              </w:rPr>
              <w:t>performance measure</w:t>
            </w:r>
          </w:p>
        </w:tc>
        <w:tc>
          <w:tcPr>
            <w:tcW w:w="1591" w:type="dxa"/>
            <w:shd w:val="clear" w:color="auto" w:fill="244C5A"/>
            <w:vAlign w:val="center"/>
          </w:tcPr>
          <w:p w14:paraId="73C7EA0B" w14:textId="61FE73FC" w:rsidR="00122F87" w:rsidRPr="00F03354" w:rsidRDefault="00122F87" w:rsidP="00122F87">
            <w:pPr>
              <w:jc w:val="center"/>
              <w:rPr>
                <w:rFonts w:ascii="VIC" w:hAnsi="VIC"/>
                <w:color w:val="FFFFFF" w:themeColor="background1"/>
              </w:rPr>
            </w:pPr>
            <w:r w:rsidRPr="00F03354">
              <w:rPr>
                <w:rFonts w:ascii="VIC" w:hAnsi="VIC"/>
                <w:color w:val="FFFFFF" w:themeColor="background1"/>
              </w:rPr>
              <w:t>KPI</w:t>
            </w:r>
          </w:p>
        </w:tc>
        <w:tc>
          <w:tcPr>
            <w:tcW w:w="1470" w:type="dxa"/>
            <w:tcBorders>
              <w:right w:val="single" w:sz="4" w:space="0" w:color="808080" w:themeColor="background1" w:themeShade="80"/>
            </w:tcBorders>
            <w:shd w:val="clear" w:color="auto" w:fill="244C5A"/>
            <w:vAlign w:val="center"/>
          </w:tcPr>
          <w:p w14:paraId="7CEA9942" w14:textId="3838BD6E" w:rsidR="00122F87" w:rsidRPr="00F03354" w:rsidRDefault="00122F87" w:rsidP="00683782">
            <w:pPr>
              <w:jc w:val="center"/>
              <w:rPr>
                <w:rFonts w:ascii="VIC" w:eastAsiaTheme="minorHAnsi" w:hAnsi="VIC" w:cstheme="minorBidi"/>
                <w:color w:val="FFFFFF" w:themeColor="background1"/>
                <w:lang w:eastAsia="en-US"/>
              </w:rPr>
            </w:pPr>
            <w:r w:rsidRPr="00F03354">
              <w:rPr>
                <w:rFonts w:ascii="VIC" w:eastAsiaTheme="minorHAnsi" w:hAnsi="VIC" w:cstheme="minorBidi"/>
                <w:color w:val="FFFFFF" w:themeColor="background1"/>
                <w:lang w:eastAsia="en-US"/>
              </w:rPr>
              <w:t>Change</w:t>
            </w:r>
          </w:p>
        </w:tc>
        <w:tc>
          <w:tcPr>
            <w:tcW w:w="2496" w:type="dxa"/>
            <w:tcBorders>
              <w:left w:val="single" w:sz="4" w:space="0" w:color="808080" w:themeColor="background1" w:themeShade="80"/>
              <w:bottom w:val="single" w:sz="4" w:space="0" w:color="808080" w:themeColor="background1" w:themeShade="80"/>
            </w:tcBorders>
            <w:shd w:val="clear" w:color="auto" w:fill="244C5A"/>
            <w:vAlign w:val="center"/>
          </w:tcPr>
          <w:p w14:paraId="4F067EDF" w14:textId="77777777" w:rsidR="00122F87" w:rsidRPr="00F03354" w:rsidRDefault="00122F87" w:rsidP="00683782">
            <w:pPr>
              <w:rPr>
                <w:rFonts w:ascii="VIC" w:eastAsiaTheme="minorHAnsi" w:hAnsi="VIC" w:cstheme="minorBidi"/>
                <w:color w:val="FFFFFF" w:themeColor="background1"/>
                <w:lang w:eastAsia="en-US"/>
              </w:rPr>
            </w:pPr>
            <w:r w:rsidRPr="00F03354">
              <w:rPr>
                <w:rFonts w:ascii="VIC" w:eastAsiaTheme="minorHAnsi" w:hAnsi="VIC" w:cstheme="minorBidi"/>
                <w:color w:val="FFFFFF" w:themeColor="background1"/>
                <w:lang w:eastAsia="en-US"/>
              </w:rPr>
              <w:t>Commentary</w:t>
            </w:r>
          </w:p>
        </w:tc>
      </w:tr>
      <w:tr w:rsidR="00122F87" w:rsidRPr="00F03354" w14:paraId="5798A0D9" w14:textId="77777777" w:rsidTr="43E0E1C9">
        <w:trPr>
          <w:trHeight w:val="406"/>
        </w:trPr>
        <w:tc>
          <w:tcPr>
            <w:tcW w:w="10087" w:type="dxa"/>
            <w:gridSpan w:val="4"/>
            <w:shd w:val="clear" w:color="auto" w:fill="BDD6EE" w:themeFill="accent5" w:themeFillTint="66"/>
            <w:vAlign w:val="center"/>
          </w:tcPr>
          <w:p w14:paraId="472AFF80" w14:textId="72044498" w:rsidR="00122F87" w:rsidRPr="00F03354" w:rsidRDefault="00122F87" w:rsidP="00683782">
            <w:pPr>
              <w:rPr>
                <w:rFonts w:ascii="VIC" w:eastAsiaTheme="minorHAnsi" w:hAnsi="VIC" w:cstheme="minorBidi"/>
                <w:b/>
                <w:bCs/>
                <w:lang w:eastAsia="en-US"/>
              </w:rPr>
            </w:pPr>
            <w:r w:rsidRPr="00F03354">
              <w:rPr>
                <w:rFonts w:ascii="VIC" w:eastAsiaTheme="minorHAnsi" w:hAnsi="VIC" w:cstheme="minorBidi"/>
                <w:b/>
                <w:bCs/>
                <w:lang w:eastAsia="en-US"/>
              </w:rPr>
              <w:t>Target changes</w:t>
            </w:r>
          </w:p>
        </w:tc>
      </w:tr>
      <w:tr w:rsidR="00F84DB0" w:rsidRPr="00F03354" w14:paraId="2F526A11" w14:textId="77777777" w:rsidTr="43E0E1C9">
        <w:trPr>
          <w:trHeight w:val="690"/>
        </w:trPr>
        <w:tc>
          <w:tcPr>
            <w:tcW w:w="4530" w:type="dxa"/>
            <w:vAlign w:val="center"/>
          </w:tcPr>
          <w:p w14:paraId="155F8C63" w14:textId="109E4B27"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Rate of patients with SAB (S. aureus bloodstream infection) per 10,000 occupied bed days</w:t>
            </w:r>
            <w:r w:rsidRPr="00F03354">
              <w:rPr>
                <w:rFonts w:ascii="Times New Roman" w:eastAsiaTheme="minorHAnsi" w:hAnsi="Times New Roman"/>
                <w:lang w:eastAsia="en-US"/>
              </w:rPr>
              <w:t>​</w:t>
            </w:r>
          </w:p>
        </w:tc>
        <w:tc>
          <w:tcPr>
            <w:tcW w:w="1591" w:type="dxa"/>
            <w:vAlign w:val="center"/>
          </w:tcPr>
          <w:p w14:paraId="587D2FBD" w14:textId="2F1BFCEC" w:rsidR="00122F87" w:rsidRPr="00F03354" w:rsidRDefault="00122F87" w:rsidP="00122F87">
            <w:pPr>
              <w:jc w:val="center"/>
              <w:rPr>
                <w:rFonts w:ascii="VIC" w:hAnsi="VIC"/>
              </w:rPr>
            </w:pPr>
            <w:r w:rsidRPr="00F03354">
              <w:rPr>
                <w:rFonts w:ascii="VIC" w:hAnsi="VIC"/>
              </w:rPr>
              <w:t>Healthcare-associate infections</w:t>
            </w:r>
            <w:r w:rsidRPr="00F03354">
              <w:rPr>
                <w:rFonts w:ascii="Times New Roman" w:hAnsi="Times New Roman"/>
              </w:rPr>
              <w:t>​</w:t>
            </w:r>
          </w:p>
        </w:tc>
        <w:tc>
          <w:tcPr>
            <w:tcW w:w="1470" w:type="dxa"/>
            <w:vAlign w:val="center"/>
          </w:tcPr>
          <w:p w14:paraId="0D99667E" w14:textId="658C754E" w:rsidR="00122F87" w:rsidRPr="00F03354" w:rsidRDefault="00122F87" w:rsidP="00683782">
            <w:pPr>
              <w:jc w:val="center"/>
              <w:rPr>
                <w:rFonts w:ascii="VIC" w:eastAsiaTheme="minorHAnsi" w:hAnsi="VIC" w:cstheme="minorBidi"/>
                <w:lang w:eastAsia="en-US"/>
              </w:rPr>
            </w:pPr>
            <w:r w:rsidRPr="00F03354">
              <w:rPr>
                <w:rFonts w:ascii="VIC" w:eastAsiaTheme="minorHAnsi" w:hAnsi="VIC" w:cstheme="minorBidi"/>
                <w:lang w:eastAsia="en-US"/>
              </w:rPr>
              <w:t>Target change</w:t>
            </w:r>
          </w:p>
        </w:tc>
        <w:tc>
          <w:tcPr>
            <w:tcW w:w="2496" w:type="dxa"/>
            <w:vAlign w:val="center"/>
          </w:tcPr>
          <w:p w14:paraId="50FDAFE9" w14:textId="1D41E522"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Reduction in target from 1.0 to 0.7</w:t>
            </w:r>
            <w:r w:rsidR="00F84DB0" w:rsidRPr="00F03354">
              <w:rPr>
                <w:rFonts w:ascii="VIC" w:eastAsiaTheme="minorHAnsi" w:hAnsi="VIC" w:cstheme="minorBidi"/>
                <w:lang w:eastAsia="en-US"/>
              </w:rPr>
              <w:t xml:space="preserve"> to align with national benchmark</w:t>
            </w:r>
            <w:r w:rsidR="006A2132" w:rsidRPr="00F03354">
              <w:rPr>
                <w:rFonts w:ascii="VIC" w:eastAsiaTheme="minorHAnsi" w:hAnsi="VIC" w:cstheme="minorBidi"/>
                <w:lang w:eastAsia="en-US"/>
              </w:rPr>
              <w:t>.</w:t>
            </w:r>
          </w:p>
        </w:tc>
      </w:tr>
      <w:tr w:rsidR="00F84DB0" w:rsidRPr="00F03354" w14:paraId="1D114272" w14:textId="77777777" w:rsidTr="43E0E1C9">
        <w:trPr>
          <w:trHeight w:val="690"/>
        </w:trPr>
        <w:tc>
          <w:tcPr>
            <w:tcW w:w="4530" w:type="dxa"/>
            <w:vAlign w:val="center"/>
          </w:tcPr>
          <w:p w14:paraId="07BBE1A6" w14:textId="45084D2C"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 xml:space="preserve">Rate of seclusion </w:t>
            </w:r>
            <w:r w:rsidR="00F70558" w:rsidRPr="00F03354">
              <w:rPr>
                <w:rFonts w:ascii="VIC" w:eastAsiaTheme="minorHAnsi" w:hAnsi="VIC" w:cstheme="minorBidi"/>
                <w:lang w:eastAsia="en-US"/>
              </w:rPr>
              <w:t xml:space="preserve">episodes per 1,000 occupied bed days – Inpatient (CAMHS) </w:t>
            </w:r>
            <w:r w:rsidRPr="00F03354">
              <w:rPr>
                <w:rFonts w:ascii="Times New Roman" w:eastAsiaTheme="minorHAnsi" w:hAnsi="Times New Roman"/>
                <w:lang w:eastAsia="en-US"/>
              </w:rPr>
              <w:t>​</w:t>
            </w:r>
          </w:p>
        </w:tc>
        <w:tc>
          <w:tcPr>
            <w:tcW w:w="1591" w:type="dxa"/>
            <w:vAlign w:val="center"/>
          </w:tcPr>
          <w:p w14:paraId="0F0F66DA" w14:textId="7558886F" w:rsidR="00122F87" w:rsidRPr="00F03354" w:rsidRDefault="00122F87" w:rsidP="00122F87">
            <w:pPr>
              <w:jc w:val="center"/>
              <w:rPr>
                <w:rFonts w:ascii="VIC" w:hAnsi="VIC"/>
              </w:rPr>
            </w:pPr>
            <w:r w:rsidRPr="00F03354">
              <w:rPr>
                <w:rFonts w:ascii="VIC" w:hAnsi="VIC"/>
              </w:rPr>
              <w:t>Mental health</w:t>
            </w:r>
          </w:p>
        </w:tc>
        <w:tc>
          <w:tcPr>
            <w:tcW w:w="1470" w:type="dxa"/>
            <w:vAlign w:val="center"/>
          </w:tcPr>
          <w:p w14:paraId="4DCC5E1E" w14:textId="559D4FE8" w:rsidR="00122F87" w:rsidRPr="00F03354" w:rsidRDefault="00122F87" w:rsidP="00683782">
            <w:pPr>
              <w:jc w:val="center"/>
              <w:rPr>
                <w:rFonts w:ascii="VIC" w:eastAsiaTheme="minorHAnsi" w:hAnsi="VIC" w:cstheme="minorBidi"/>
                <w:lang w:eastAsia="en-US"/>
              </w:rPr>
            </w:pPr>
            <w:r w:rsidRPr="00F03354">
              <w:rPr>
                <w:rFonts w:ascii="VIC" w:eastAsiaTheme="minorHAnsi" w:hAnsi="VIC" w:cstheme="minorBidi"/>
                <w:lang w:eastAsia="en-US"/>
              </w:rPr>
              <w:t>Target change</w:t>
            </w:r>
          </w:p>
        </w:tc>
        <w:tc>
          <w:tcPr>
            <w:tcW w:w="2496" w:type="dxa"/>
            <w:vAlign w:val="center"/>
          </w:tcPr>
          <w:p w14:paraId="3443834F" w14:textId="4A398F79"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Reduction in target from ≤ 10 to ≤ 5</w:t>
            </w:r>
            <w:r w:rsidRPr="00F03354">
              <w:rPr>
                <w:rFonts w:ascii="Times New Roman" w:eastAsiaTheme="minorHAnsi" w:hAnsi="Times New Roman"/>
                <w:lang w:eastAsia="en-US"/>
              </w:rPr>
              <w:t>​</w:t>
            </w:r>
            <w:r w:rsidR="00F84DB0" w:rsidRPr="00F03354">
              <w:rPr>
                <w:rFonts w:ascii="VIC" w:eastAsiaTheme="minorHAnsi" w:hAnsi="VIC" w:cstheme="minorBidi"/>
                <w:lang w:eastAsia="en-US"/>
              </w:rPr>
              <w:t xml:space="preserve"> to align with BP reporting</w:t>
            </w:r>
            <w:r w:rsidR="006A2132" w:rsidRPr="00F03354">
              <w:rPr>
                <w:rFonts w:ascii="VIC" w:eastAsiaTheme="minorHAnsi" w:hAnsi="VIC" w:cstheme="minorBidi"/>
                <w:lang w:eastAsia="en-US"/>
              </w:rPr>
              <w:t>.</w:t>
            </w:r>
          </w:p>
        </w:tc>
      </w:tr>
      <w:tr w:rsidR="00F84DB0" w:rsidRPr="00F03354" w14:paraId="39931404" w14:textId="77777777" w:rsidTr="43E0E1C9">
        <w:trPr>
          <w:trHeight w:val="690"/>
        </w:trPr>
        <w:tc>
          <w:tcPr>
            <w:tcW w:w="4530" w:type="dxa"/>
            <w:vAlign w:val="center"/>
          </w:tcPr>
          <w:p w14:paraId="2EBEC20A" w14:textId="6A85680C" w:rsidR="00122F87" w:rsidRPr="00F03354" w:rsidRDefault="00122F87" w:rsidP="00683782">
            <w:pPr>
              <w:rPr>
                <w:rFonts w:ascii="VIC" w:hAnsi="VIC"/>
              </w:rPr>
            </w:pPr>
            <w:r w:rsidRPr="00F03354">
              <w:rPr>
                <w:rFonts w:ascii="VIC" w:hAnsi="VIC"/>
              </w:rPr>
              <w:t xml:space="preserve">Rate of seclusion </w:t>
            </w:r>
            <w:r w:rsidR="00E67596" w:rsidRPr="00F03354">
              <w:rPr>
                <w:rFonts w:ascii="VIC" w:hAnsi="VIC"/>
              </w:rPr>
              <w:t xml:space="preserve">episodes per 1,000 occupied bed days – Inpatient (adult) </w:t>
            </w:r>
          </w:p>
        </w:tc>
        <w:tc>
          <w:tcPr>
            <w:tcW w:w="1591" w:type="dxa"/>
            <w:vAlign w:val="center"/>
          </w:tcPr>
          <w:p w14:paraId="04A41583" w14:textId="46945BDC" w:rsidR="00122F87" w:rsidRPr="00F03354" w:rsidRDefault="00122F87" w:rsidP="00122F87">
            <w:pPr>
              <w:jc w:val="center"/>
              <w:rPr>
                <w:rFonts w:ascii="VIC" w:hAnsi="VIC"/>
              </w:rPr>
            </w:pPr>
            <w:r w:rsidRPr="00F03354">
              <w:rPr>
                <w:rFonts w:ascii="VIC" w:hAnsi="VIC"/>
              </w:rPr>
              <w:t>Mental health</w:t>
            </w:r>
          </w:p>
        </w:tc>
        <w:tc>
          <w:tcPr>
            <w:tcW w:w="1470" w:type="dxa"/>
            <w:vAlign w:val="center"/>
          </w:tcPr>
          <w:p w14:paraId="6726CA71" w14:textId="5CE97E6D" w:rsidR="00122F87" w:rsidRPr="00F03354" w:rsidRDefault="00122F87" w:rsidP="00683782">
            <w:pPr>
              <w:jc w:val="center"/>
              <w:rPr>
                <w:rFonts w:ascii="VIC" w:hAnsi="VIC"/>
              </w:rPr>
            </w:pPr>
            <w:r w:rsidRPr="00F03354">
              <w:rPr>
                <w:rFonts w:ascii="VIC" w:hAnsi="VIC"/>
              </w:rPr>
              <w:t>Target change</w:t>
            </w:r>
          </w:p>
        </w:tc>
        <w:tc>
          <w:tcPr>
            <w:tcW w:w="2496" w:type="dxa"/>
            <w:vAlign w:val="center"/>
          </w:tcPr>
          <w:p w14:paraId="56313A36" w14:textId="28B1DB5F" w:rsidR="00122F87" w:rsidRPr="00F03354" w:rsidRDefault="00122F87" w:rsidP="00683782">
            <w:pPr>
              <w:rPr>
                <w:rFonts w:ascii="VIC" w:hAnsi="VIC"/>
              </w:rPr>
            </w:pPr>
            <w:r w:rsidRPr="00F03354">
              <w:rPr>
                <w:rFonts w:ascii="VIC" w:hAnsi="VIC"/>
              </w:rPr>
              <w:t>Reduction in target from ≤ 10 to ≤ 8</w:t>
            </w:r>
            <w:r w:rsidR="00F84DB0" w:rsidRPr="00F03354">
              <w:rPr>
                <w:rFonts w:ascii="Times New Roman" w:eastAsiaTheme="minorHAnsi" w:hAnsi="Times New Roman"/>
                <w:lang w:eastAsia="en-US"/>
              </w:rPr>
              <w:t>​</w:t>
            </w:r>
            <w:r w:rsidR="00F84DB0" w:rsidRPr="00F03354">
              <w:rPr>
                <w:rFonts w:ascii="VIC" w:eastAsiaTheme="minorHAnsi" w:hAnsi="VIC" w:cstheme="minorBidi"/>
                <w:lang w:eastAsia="en-US"/>
              </w:rPr>
              <w:t xml:space="preserve"> to align with BP reporting</w:t>
            </w:r>
            <w:r w:rsidR="006A2132" w:rsidRPr="00F03354">
              <w:rPr>
                <w:rFonts w:ascii="VIC" w:eastAsiaTheme="minorHAnsi" w:hAnsi="VIC" w:cstheme="minorBidi"/>
                <w:lang w:eastAsia="en-US"/>
              </w:rPr>
              <w:t>.</w:t>
            </w:r>
          </w:p>
        </w:tc>
      </w:tr>
      <w:tr w:rsidR="00F84DB0" w:rsidRPr="00F03354" w14:paraId="392A97D9" w14:textId="77777777" w:rsidTr="43E0E1C9">
        <w:trPr>
          <w:trHeight w:val="690"/>
        </w:trPr>
        <w:tc>
          <w:tcPr>
            <w:tcW w:w="4530" w:type="dxa"/>
            <w:vAlign w:val="center"/>
          </w:tcPr>
          <w:p w14:paraId="47FC586D" w14:textId="1C1E9239" w:rsidR="00122F87" w:rsidRPr="00F03354" w:rsidRDefault="00122F87" w:rsidP="00683782">
            <w:pPr>
              <w:rPr>
                <w:rFonts w:ascii="VIC" w:hAnsi="VIC"/>
              </w:rPr>
            </w:pPr>
            <w:r w:rsidRPr="00F03354">
              <w:rPr>
                <w:rFonts w:ascii="VIC" w:hAnsi="VIC"/>
              </w:rPr>
              <w:t>Percentage of</w:t>
            </w:r>
            <w:r w:rsidR="00E67596" w:rsidRPr="00F03354">
              <w:rPr>
                <w:rFonts w:ascii="VIC" w:hAnsi="VIC"/>
              </w:rPr>
              <w:t xml:space="preserve"> consumers re-admitted</w:t>
            </w:r>
            <w:r w:rsidRPr="00F03354">
              <w:rPr>
                <w:rFonts w:ascii="VIC" w:hAnsi="VIC"/>
              </w:rPr>
              <w:t xml:space="preserve"> within 28 days of </w:t>
            </w:r>
            <w:r w:rsidR="00982245" w:rsidRPr="00F03354">
              <w:rPr>
                <w:rFonts w:ascii="VIC" w:hAnsi="VIC"/>
              </w:rPr>
              <w:t>separation – Inpatient (CAMHS)</w:t>
            </w:r>
          </w:p>
        </w:tc>
        <w:tc>
          <w:tcPr>
            <w:tcW w:w="1591" w:type="dxa"/>
            <w:vAlign w:val="center"/>
          </w:tcPr>
          <w:p w14:paraId="330CFB04" w14:textId="4494E9D4" w:rsidR="00122F87" w:rsidRPr="00F03354" w:rsidRDefault="00122F87" w:rsidP="00122F87">
            <w:pPr>
              <w:jc w:val="center"/>
              <w:rPr>
                <w:rFonts w:ascii="VIC" w:hAnsi="VIC"/>
              </w:rPr>
            </w:pPr>
            <w:r w:rsidRPr="00F03354">
              <w:rPr>
                <w:rFonts w:ascii="VIC" w:hAnsi="VIC"/>
              </w:rPr>
              <w:t>Mental health</w:t>
            </w:r>
          </w:p>
        </w:tc>
        <w:tc>
          <w:tcPr>
            <w:tcW w:w="1470" w:type="dxa"/>
            <w:vAlign w:val="center"/>
          </w:tcPr>
          <w:p w14:paraId="36D93261" w14:textId="25D9E403" w:rsidR="00122F87" w:rsidRPr="00F03354" w:rsidRDefault="00122F87" w:rsidP="00683782">
            <w:pPr>
              <w:jc w:val="center"/>
              <w:rPr>
                <w:rFonts w:ascii="VIC" w:hAnsi="VIC"/>
              </w:rPr>
            </w:pPr>
            <w:r w:rsidRPr="00F03354">
              <w:rPr>
                <w:rFonts w:ascii="VIC" w:hAnsi="VIC"/>
              </w:rPr>
              <w:t>Target change</w:t>
            </w:r>
          </w:p>
        </w:tc>
        <w:tc>
          <w:tcPr>
            <w:tcW w:w="2496" w:type="dxa"/>
            <w:vAlign w:val="center"/>
          </w:tcPr>
          <w:p w14:paraId="456E727A" w14:textId="4EC9A453" w:rsidR="00122F87" w:rsidRPr="00F03354" w:rsidRDefault="00122F87" w:rsidP="00683782">
            <w:pPr>
              <w:rPr>
                <w:rFonts w:ascii="VIC" w:hAnsi="VIC"/>
              </w:rPr>
            </w:pPr>
            <w:r w:rsidRPr="00F03354">
              <w:rPr>
                <w:rFonts w:ascii="VIC" w:hAnsi="VIC"/>
              </w:rPr>
              <w:t>Reduction in target from &lt; 22% to &lt; 14%</w:t>
            </w:r>
            <w:r w:rsidRPr="00F03354">
              <w:rPr>
                <w:rFonts w:ascii="Times New Roman" w:hAnsi="Times New Roman"/>
              </w:rPr>
              <w:t>​</w:t>
            </w:r>
            <w:r w:rsidR="00F84DB0" w:rsidRPr="00F03354">
              <w:rPr>
                <w:rFonts w:ascii="Times New Roman" w:eastAsiaTheme="minorHAnsi" w:hAnsi="Times New Roman"/>
                <w:lang w:eastAsia="en-US"/>
              </w:rPr>
              <w:t>​</w:t>
            </w:r>
            <w:r w:rsidR="00F84DB0" w:rsidRPr="00F03354">
              <w:rPr>
                <w:rFonts w:ascii="VIC" w:eastAsiaTheme="minorHAnsi" w:hAnsi="VIC" w:cstheme="minorBidi"/>
                <w:lang w:eastAsia="en-US"/>
              </w:rPr>
              <w:t xml:space="preserve"> to align with BP reporting</w:t>
            </w:r>
            <w:r w:rsidR="006A2132" w:rsidRPr="00F03354">
              <w:rPr>
                <w:rFonts w:ascii="VIC" w:eastAsiaTheme="minorHAnsi" w:hAnsi="VIC" w:cstheme="minorBidi"/>
                <w:lang w:eastAsia="en-US"/>
              </w:rPr>
              <w:t>.</w:t>
            </w:r>
          </w:p>
        </w:tc>
      </w:tr>
      <w:tr w:rsidR="00F84DB0" w:rsidRPr="00F03354" w14:paraId="63935B96" w14:textId="77777777" w:rsidTr="43E0E1C9">
        <w:trPr>
          <w:trHeight w:val="690"/>
        </w:trPr>
        <w:tc>
          <w:tcPr>
            <w:tcW w:w="4530" w:type="dxa"/>
            <w:vAlign w:val="center"/>
          </w:tcPr>
          <w:p w14:paraId="16A427F2" w14:textId="5BDC494E" w:rsidR="00122F87" w:rsidRPr="00F03354" w:rsidRDefault="00122F87" w:rsidP="00683782">
            <w:pPr>
              <w:rPr>
                <w:rFonts w:ascii="VIC" w:hAnsi="VIC"/>
              </w:rPr>
            </w:pPr>
            <w:r w:rsidRPr="00F03354">
              <w:rPr>
                <w:rFonts w:ascii="VIC" w:hAnsi="VIC"/>
              </w:rPr>
              <w:t xml:space="preserve">Percentage of </w:t>
            </w:r>
            <w:r w:rsidR="00982245" w:rsidRPr="00F03354">
              <w:rPr>
                <w:rFonts w:ascii="VIC" w:hAnsi="VIC"/>
              </w:rPr>
              <w:t xml:space="preserve">consumers re-admitted </w:t>
            </w:r>
            <w:r w:rsidRPr="00F03354">
              <w:rPr>
                <w:rFonts w:ascii="VIC" w:hAnsi="VIC"/>
              </w:rPr>
              <w:t>within 28 days of discharge</w:t>
            </w:r>
            <w:r w:rsidR="00982245" w:rsidRPr="00F03354">
              <w:rPr>
                <w:rFonts w:ascii="VIC" w:hAnsi="VIC"/>
              </w:rPr>
              <w:t xml:space="preserve"> separation</w:t>
            </w:r>
            <w:r w:rsidR="00C3591D" w:rsidRPr="00F03354">
              <w:rPr>
                <w:rFonts w:ascii="VIC" w:hAnsi="VIC"/>
              </w:rPr>
              <w:t xml:space="preserve"> – Inpatient (older persons)</w:t>
            </w:r>
          </w:p>
        </w:tc>
        <w:tc>
          <w:tcPr>
            <w:tcW w:w="1591" w:type="dxa"/>
            <w:vAlign w:val="center"/>
          </w:tcPr>
          <w:p w14:paraId="5CD7D110" w14:textId="1FDB3ADE" w:rsidR="00122F87" w:rsidRPr="00F03354" w:rsidRDefault="00122F87" w:rsidP="00122F87">
            <w:pPr>
              <w:jc w:val="center"/>
              <w:rPr>
                <w:rFonts w:ascii="VIC" w:hAnsi="VIC"/>
              </w:rPr>
            </w:pPr>
            <w:r w:rsidRPr="00F03354">
              <w:rPr>
                <w:rFonts w:ascii="VIC" w:hAnsi="VIC"/>
              </w:rPr>
              <w:t>Mental health</w:t>
            </w:r>
          </w:p>
        </w:tc>
        <w:tc>
          <w:tcPr>
            <w:tcW w:w="1470" w:type="dxa"/>
            <w:vAlign w:val="center"/>
          </w:tcPr>
          <w:p w14:paraId="329D1CC5" w14:textId="14069D93" w:rsidR="00122F87" w:rsidRPr="00F03354" w:rsidRDefault="00122F87" w:rsidP="00683782">
            <w:pPr>
              <w:jc w:val="center"/>
              <w:rPr>
                <w:rFonts w:ascii="VIC" w:hAnsi="VIC"/>
              </w:rPr>
            </w:pPr>
            <w:r w:rsidRPr="00F03354">
              <w:rPr>
                <w:rFonts w:ascii="VIC" w:hAnsi="VIC"/>
              </w:rPr>
              <w:t>Target change</w:t>
            </w:r>
          </w:p>
        </w:tc>
        <w:tc>
          <w:tcPr>
            <w:tcW w:w="2496" w:type="dxa"/>
            <w:vAlign w:val="center"/>
          </w:tcPr>
          <w:p w14:paraId="506591B3" w14:textId="539679C0" w:rsidR="00122F87" w:rsidRPr="00F03354" w:rsidRDefault="00122F87" w:rsidP="00683782">
            <w:pPr>
              <w:rPr>
                <w:rFonts w:ascii="VIC" w:hAnsi="VIC"/>
              </w:rPr>
            </w:pPr>
            <w:r w:rsidRPr="00F03354">
              <w:rPr>
                <w:rFonts w:ascii="VIC" w:hAnsi="VIC"/>
              </w:rPr>
              <w:t>Reduction from &lt; 14% to &lt; 7%</w:t>
            </w:r>
            <w:r w:rsidRPr="00F03354">
              <w:rPr>
                <w:rFonts w:ascii="Times New Roman" w:hAnsi="Times New Roman"/>
              </w:rPr>
              <w:t>​</w:t>
            </w:r>
            <w:r w:rsidR="00F84DB0" w:rsidRPr="00F03354">
              <w:rPr>
                <w:rFonts w:ascii="Times New Roman" w:eastAsiaTheme="minorHAnsi" w:hAnsi="Times New Roman"/>
                <w:lang w:eastAsia="en-US"/>
              </w:rPr>
              <w:t>​</w:t>
            </w:r>
            <w:r w:rsidR="00F84DB0" w:rsidRPr="00F03354">
              <w:rPr>
                <w:rFonts w:ascii="VIC" w:eastAsiaTheme="minorHAnsi" w:hAnsi="VIC" w:cstheme="minorBidi"/>
                <w:lang w:eastAsia="en-US"/>
              </w:rPr>
              <w:t xml:space="preserve"> to align with BP reporting</w:t>
            </w:r>
            <w:r w:rsidR="006A2132" w:rsidRPr="00F03354">
              <w:rPr>
                <w:rFonts w:ascii="VIC" w:eastAsiaTheme="minorHAnsi" w:hAnsi="VIC" w:cstheme="minorBidi"/>
                <w:lang w:eastAsia="en-US"/>
              </w:rPr>
              <w:t>.</w:t>
            </w:r>
          </w:p>
        </w:tc>
      </w:tr>
      <w:tr w:rsidR="00122F87" w:rsidRPr="00F03354" w14:paraId="50A8099C" w14:textId="77777777" w:rsidTr="43E0E1C9">
        <w:trPr>
          <w:trHeight w:val="437"/>
        </w:trPr>
        <w:tc>
          <w:tcPr>
            <w:tcW w:w="10087" w:type="dxa"/>
            <w:gridSpan w:val="4"/>
            <w:shd w:val="clear" w:color="auto" w:fill="BDD6EE" w:themeFill="accent5" w:themeFillTint="66"/>
            <w:vAlign w:val="center"/>
          </w:tcPr>
          <w:p w14:paraId="6F454D01" w14:textId="33F7519B" w:rsidR="00122F87" w:rsidRPr="00F03354" w:rsidRDefault="00F84DB0" w:rsidP="00122F87">
            <w:pPr>
              <w:rPr>
                <w:rFonts w:ascii="VIC" w:eastAsiaTheme="minorHAnsi" w:hAnsi="VIC" w:cstheme="minorBidi"/>
                <w:b/>
                <w:bCs/>
                <w:lang w:eastAsia="en-US"/>
              </w:rPr>
            </w:pPr>
            <w:r w:rsidRPr="00F03354">
              <w:rPr>
                <w:rFonts w:ascii="VIC" w:eastAsiaTheme="minorHAnsi" w:hAnsi="VIC" w:cstheme="minorBidi"/>
                <w:b/>
                <w:bCs/>
                <w:lang w:eastAsia="en-US"/>
              </w:rPr>
              <w:t>Measure</w:t>
            </w:r>
            <w:r w:rsidR="00122F87" w:rsidRPr="00F03354">
              <w:rPr>
                <w:rFonts w:ascii="VIC" w:eastAsiaTheme="minorHAnsi" w:hAnsi="VIC" w:cstheme="minorBidi"/>
                <w:b/>
                <w:bCs/>
                <w:lang w:eastAsia="en-US"/>
              </w:rPr>
              <w:t xml:space="preserve"> change</w:t>
            </w:r>
          </w:p>
        </w:tc>
      </w:tr>
      <w:tr w:rsidR="00F84DB0" w:rsidRPr="00F03354" w14:paraId="616B8C71" w14:textId="77777777" w:rsidTr="43E0E1C9">
        <w:trPr>
          <w:trHeight w:val="732"/>
        </w:trPr>
        <w:tc>
          <w:tcPr>
            <w:tcW w:w="4530" w:type="dxa"/>
            <w:vAlign w:val="center"/>
          </w:tcPr>
          <w:p w14:paraId="59859564" w14:textId="03DCD480"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Proportion of urgent maternity patients referred for obstetric care to a level 4, 5 or 6 maternity service who were booked for a specialist clinic appointment within 30 days of accepted referral</w:t>
            </w:r>
            <w:r w:rsidRPr="00F03354">
              <w:rPr>
                <w:rFonts w:ascii="Times New Roman" w:eastAsiaTheme="minorHAnsi" w:hAnsi="Times New Roman"/>
                <w:lang w:eastAsia="en-US"/>
              </w:rPr>
              <w:t>​</w:t>
            </w:r>
          </w:p>
        </w:tc>
        <w:tc>
          <w:tcPr>
            <w:tcW w:w="1591" w:type="dxa"/>
            <w:vAlign w:val="center"/>
          </w:tcPr>
          <w:p w14:paraId="4F7ED155" w14:textId="6DDEC042" w:rsidR="00122F87" w:rsidRPr="00F03354" w:rsidRDefault="00122F87" w:rsidP="00122F87">
            <w:pPr>
              <w:jc w:val="center"/>
              <w:rPr>
                <w:rFonts w:ascii="VIC" w:hAnsi="VIC"/>
              </w:rPr>
            </w:pPr>
            <w:r w:rsidRPr="00F03354">
              <w:rPr>
                <w:rFonts w:ascii="VIC" w:hAnsi="VIC"/>
              </w:rPr>
              <w:t>Maternity and newborn</w:t>
            </w:r>
          </w:p>
        </w:tc>
        <w:tc>
          <w:tcPr>
            <w:tcW w:w="1470" w:type="dxa"/>
            <w:vAlign w:val="center"/>
          </w:tcPr>
          <w:p w14:paraId="74C0F07F" w14:textId="306C888D" w:rsidR="00122F87" w:rsidRPr="00F03354" w:rsidRDefault="00122F87" w:rsidP="00683782">
            <w:pPr>
              <w:jc w:val="center"/>
              <w:rPr>
                <w:rFonts w:ascii="VIC" w:eastAsiaTheme="minorHAnsi" w:hAnsi="VIC" w:cstheme="minorBidi"/>
                <w:lang w:eastAsia="en-US"/>
              </w:rPr>
            </w:pPr>
            <w:r w:rsidRPr="00F03354">
              <w:rPr>
                <w:rFonts w:ascii="VIC" w:eastAsiaTheme="minorHAnsi" w:hAnsi="VIC" w:cstheme="minorBidi"/>
                <w:lang w:eastAsia="en-US"/>
              </w:rPr>
              <w:t>Reduce to non-SOP</w:t>
            </w:r>
          </w:p>
        </w:tc>
        <w:tc>
          <w:tcPr>
            <w:tcW w:w="2496" w:type="dxa"/>
            <w:vAlign w:val="center"/>
          </w:tcPr>
          <w:p w14:paraId="28D729CE" w14:textId="75C877E2"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Retained in the PMF but as a non-SOP measure. No change to target of 100%.</w:t>
            </w:r>
          </w:p>
        </w:tc>
      </w:tr>
      <w:tr w:rsidR="006A2132" w:rsidRPr="00F03354" w14:paraId="26CB6126" w14:textId="77777777" w:rsidTr="43E0E1C9">
        <w:trPr>
          <w:trHeight w:val="732"/>
        </w:trPr>
        <w:tc>
          <w:tcPr>
            <w:tcW w:w="4530" w:type="dxa"/>
            <w:vAlign w:val="center"/>
          </w:tcPr>
          <w:p w14:paraId="7E3DB379" w14:textId="09E8313F" w:rsidR="006A2132" w:rsidRPr="00F03354" w:rsidRDefault="006A2132" w:rsidP="00683782">
            <w:pPr>
              <w:rPr>
                <w:rFonts w:ascii="VIC" w:hAnsi="VIC"/>
              </w:rPr>
            </w:pPr>
            <w:r w:rsidRPr="00F03354">
              <w:rPr>
                <w:rFonts w:ascii="VIC" w:hAnsi="VIC"/>
              </w:rPr>
              <w:t>Percentage of male Security Patients admitted to Thomas Embling Hospital within 7 days of certification</w:t>
            </w:r>
          </w:p>
        </w:tc>
        <w:tc>
          <w:tcPr>
            <w:tcW w:w="1591" w:type="dxa"/>
            <w:vAlign w:val="center"/>
          </w:tcPr>
          <w:p w14:paraId="201B2D95" w14:textId="53B20E65" w:rsidR="006A2132" w:rsidRPr="00F03354" w:rsidRDefault="006A2132" w:rsidP="00122F87">
            <w:pPr>
              <w:jc w:val="center"/>
              <w:rPr>
                <w:rFonts w:ascii="VIC" w:hAnsi="VIC"/>
              </w:rPr>
            </w:pPr>
            <w:r w:rsidRPr="00F03354">
              <w:rPr>
                <w:rFonts w:ascii="VIC" w:hAnsi="VIC"/>
              </w:rPr>
              <w:t>Forensicare</w:t>
            </w:r>
          </w:p>
        </w:tc>
        <w:tc>
          <w:tcPr>
            <w:tcW w:w="1470" w:type="dxa"/>
            <w:vAlign w:val="center"/>
          </w:tcPr>
          <w:p w14:paraId="4DB07416" w14:textId="2B8C178F" w:rsidR="006A2132" w:rsidRPr="00F03354" w:rsidRDefault="006A2132" w:rsidP="00683782">
            <w:pPr>
              <w:jc w:val="center"/>
              <w:rPr>
                <w:rFonts w:ascii="VIC" w:hAnsi="VIC"/>
              </w:rPr>
            </w:pPr>
            <w:r w:rsidRPr="00F03354">
              <w:rPr>
                <w:rFonts w:ascii="VIC" w:hAnsi="VIC"/>
              </w:rPr>
              <w:t>Measure and Target Change</w:t>
            </w:r>
          </w:p>
        </w:tc>
        <w:tc>
          <w:tcPr>
            <w:tcW w:w="2496" w:type="dxa"/>
            <w:vAlign w:val="center"/>
          </w:tcPr>
          <w:p w14:paraId="05624A5C" w14:textId="08AA3151" w:rsidR="006A2132" w:rsidRPr="00F03354" w:rsidRDefault="006A2132" w:rsidP="00683782">
            <w:pPr>
              <w:rPr>
                <w:rFonts w:ascii="VIC" w:hAnsi="VIC"/>
              </w:rPr>
            </w:pPr>
            <w:r w:rsidRPr="00F03354">
              <w:rPr>
                <w:rFonts w:ascii="VIC" w:hAnsi="VIC"/>
              </w:rPr>
              <w:t>Measure changed from 14 to 7 days of certification to promote early intervention, timely access to service with better outcomes with reduced waiting times. Target change from 100% to 80% to support transition as Forensicare reduced target wait times by 50%.</w:t>
            </w:r>
          </w:p>
        </w:tc>
      </w:tr>
      <w:tr w:rsidR="006A2132" w:rsidRPr="00F03354" w14:paraId="54B81104" w14:textId="77777777" w:rsidTr="43E0E1C9">
        <w:trPr>
          <w:trHeight w:val="732"/>
        </w:trPr>
        <w:tc>
          <w:tcPr>
            <w:tcW w:w="4530" w:type="dxa"/>
            <w:vAlign w:val="center"/>
          </w:tcPr>
          <w:p w14:paraId="101E1F1B" w14:textId="2B33250A" w:rsidR="006A2132" w:rsidRPr="00F03354" w:rsidRDefault="006A2132" w:rsidP="00683782">
            <w:pPr>
              <w:rPr>
                <w:rFonts w:ascii="VIC" w:hAnsi="VIC"/>
              </w:rPr>
            </w:pPr>
            <w:r w:rsidRPr="00F03354">
              <w:rPr>
                <w:rFonts w:ascii="VIC" w:hAnsi="VIC"/>
              </w:rPr>
              <w:t>Percentage of male security patients discharged from Thomas Embling Hospital to a correctional centre within 21 days</w:t>
            </w:r>
          </w:p>
        </w:tc>
        <w:tc>
          <w:tcPr>
            <w:tcW w:w="1591" w:type="dxa"/>
            <w:vAlign w:val="center"/>
          </w:tcPr>
          <w:p w14:paraId="6E9C08F3" w14:textId="5DB0C613" w:rsidR="006A2132" w:rsidRPr="00F03354" w:rsidRDefault="006A2132" w:rsidP="00122F87">
            <w:pPr>
              <w:jc w:val="center"/>
              <w:rPr>
                <w:rFonts w:ascii="VIC" w:hAnsi="VIC"/>
              </w:rPr>
            </w:pPr>
            <w:r w:rsidRPr="00F03354">
              <w:rPr>
                <w:rFonts w:ascii="VIC" w:hAnsi="VIC"/>
              </w:rPr>
              <w:t>Forensicare</w:t>
            </w:r>
          </w:p>
        </w:tc>
        <w:tc>
          <w:tcPr>
            <w:tcW w:w="1470" w:type="dxa"/>
            <w:vAlign w:val="center"/>
          </w:tcPr>
          <w:p w14:paraId="731050AE" w14:textId="152A922F" w:rsidR="006A2132" w:rsidRPr="00F03354" w:rsidRDefault="006A2132" w:rsidP="00683782">
            <w:pPr>
              <w:jc w:val="center"/>
              <w:rPr>
                <w:rFonts w:ascii="VIC" w:hAnsi="VIC"/>
              </w:rPr>
            </w:pPr>
            <w:r w:rsidRPr="00F03354">
              <w:rPr>
                <w:rFonts w:ascii="VIC" w:hAnsi="VIC"/>
              </w:rPr>
              <w:t>Measure and Target Change</w:t>
            </w:r>
          </w:p>
        </w:tc>
        <w:tc>
          <w:tcPr>
            <w:tcW w:w="2496" w:type="dxa"/>
            <w:vAlign w:val="center"/>
          </w:tcPr>
          <w:p w14:paraId="53F40D89" w14:textId="52CE68C7" w:rsidR="006A2132" w:rsidRPr="00F03354" w:rsidRDefault="006A2132" w:rsidP="00683782">
            <w:pPr>
              <w:rPr>
                <w:rFonts w:ascii="VIC" w:hAnsi="VIC"/>
              </w:rPr>
            </w:pPr>
            <w:r w:rsidRPr="00F03354">
              <w:rPr>
                <w:rFonts w:ascii="VIC" w:hAnsi="VIC"/>
              </w:rPr>
              <w:t xml:space="preserve">Measure changed from 80 to 21 days to improve discharge planning and increase access to Thomas Embling Hospital. </w:t>
            </w:r>
            <w:r w:rsidRPr="00F03354">
              <w:rPr>
                <w:rFonts w:ascii="VIC" w:hAnsi="VIC"/>
              </w:rPr>
              <w:lastRenderedPageBreak/>
              <w:t>Along with reduced discharge planning days, target was increased from 75% to 80%.</w:t>
            </w:r>
          </w:p>
        </w:tc>
      </w:tr>
      <w:tr w:rsidR="006A2132" w:rsidRPr="00F03354" w14:paraId="49B4DB63" w14:textId="77777777" w:rsidTr="43E0E1C9">
        <w:trPr>
          <w:trHeight w:val="732"/>
        </w:trPr>
        <w:tc>
          <w:tcPr>
            <w:tcW w:w="4530" w:type="dxa"/>
            <w:vAlign w:val="center"/>
          </w:tcPr>
          <w:p w14:paraId="694AF8B7" w14:textId="4D1BDDC5" w:rsidR="006A2132" w:rsidRPr="00F03354" w:rsidRDefault="006A2132" w:rsidP="00683782">
            <w:pPr>
              <w:rPr>
                <w:rFonts w:ascii="VIC" w:hAnsi="VIC"/>
              </w:rPr>
            </w:pPr>
            <w:r w:rsidRPr="00F03354">
              <w:rPr>
                <w:rFonts w:ascii="VIC" w:hAnsi="VIC"/>
              </w:rPr>
              <w:lastRenderedPageBreak/>
              <w:t>Percentage of male security patients discharged within 7 days of becoming a civil client</w:t>
            </w:r>
          </w:p>
        </w:tc>
        <w:tc>
          <w:tcPr>
            <w:tcW w:w="1591" w:type="dxa"/>
            <w:vAlign w:val="center"/>
          </w:tcPr>
          <w:p w14:paraId="7C346163" w14:textId="231E9873" w:rsidR="006A2132" w:rsidRPr="00F03354" w:rsidRDefault="006A2132" w:rsidP="00122F87">
            <w:pPr>
              <w:jc w:val="center"/>
              <w:rPr>
                <w:rFonts w:ascii="VIC" w:hAnsi="VIC"/>
              </w:rPr>
            </w:pPr>
            <w:r w:rsidRPr="00F03354">
              <w:rPr>
                <w:rFonts w:ascii="VIC" w:hAnsi="VIC"/>
              </w:rPr>
              <w:t>Forensicare</w:t>
            </w:r>
          </w:p>
        </w:tc>
        <w:tc>
          <w:tcPr>
            <w:tcW w:w="1470" w:type="dxa"/>
            <w:vAlign w:val="center"/>
          </w:tcPr>
          <w:p w14:paraId="00891C2A" w14:textId="6A58D166" w:rsidR="006A2132" w:rsidRPr="00F03354" w:rsidRDefault="006A2132" w:rsidP="00683782">
            <w:pPr>
              <w:jc w:val="center"/>
              <w:rPr>
                <w:rFonts w:ascii="VIC" w:hAnsi="VIC"/>
              </w:rPr>
            </w:pPr>
            <w:r w:rsidRPr="00F03354">
              <w:rPr>
                <w:rFonts w:ascii="VIC" w:hAnsi="VIC"/>
              </w:rPr>
              <w:t>Measure and Target Change</w:t>
            </w:r>
          </w:p>
        </w:tc>
        <w:tc>
          <w:tcPr>
            <w:tcW w:w="2496" w:type="dxa"/>
            <w:vAlign w:val="center"/>
          </w:tcPr>
          <w:p w14:paraId="270A1ADA" w14:textId="2BB82774" w:rsidR="006A2132" w:rsidRPr="00F03354" w:rsidRDefault="006A2132" w:rsidP="00683782">
            <w:pPr>
              <w:rPr>
                <w:rFonts w:ascii="VIC" w:hAnsi="VIC"/>
              </w:rPr>
            </w:pPr>
            <w:r w:rsidRPr="00F03354">
              <w:rPr>
                <w:rFonts w:ascii="VIC" w:hAnsi="VIC"/>
              </w:rPr>
              <w:t>Measure changed from 21 to 7 days with target increased from 75% to 80% to promote least restrictive intervention and reduce consumer days in a secure facility.</w:t>
            </w:r>
          </w:p>
        </w:tc>
      </w:tr>
      <w:tr w:rsidR="00122F87" w:rsidRPr="00F03354" w14:paraId="3890C327" w14:textId="77777777" w:rsidTr="43E0E1C9">
        <w:trPr>
          <w:trHeight w:val="462"/>
        </w:trPr>
        <w:tc>
          <w:tcPr>
            <w:tcW w:w="10087" w:type="dxa"/>
            <w:gridSpan w:val="4"/>
            <w:shd w:val="clear" w:color="auto" w:fill="BDD6EE" w:themeFill="accent5" w:themeFillTint="66"/>
            <w:vAlign w:val="center"/>
          </w:tcPr>
          <w:p w14:paraId="21DD0EE2" w14:textId="0FA2FA39" w:rsidR="00122F87" w:rsidRPr="00F03354" w:rsidRDefault="00122F87" w:rsidP="00122F87">
            <w:pPr>
              <w:rPr>
                <w:rFonts w:ascii="VIC" w:eastAsiaTheme="minorHAnsi" w:hAnsi="VIC" w:cstheme="minorBidi"/>
                <w:b/>
                <w:bCs/>
                <w:lang w:eastAsia="en-US"/>
              </w:rPr>
            </w:pPr>
            <w:r w:rsidRPr="00F03354">
              <w:rPr>
                <w:rFonts w:ascii="VIC" w:eastAsiaTheme="minorHAnsi" w:hAnsi="VIC" w:cstheme="minorBidi"/>
                <w:b/>
                <w:bCs/>
                <w:lang w:eastAsia="en-US"/>
              </w:rPr>
              <w:t>Removal</w:t>
            </w:r>
          </w:p>
        </w:tc>
      </w:tr>
      <w:tr w:rsidR="00F84DB0" w:rsidRPr="00F03354" w14:paraId="258F4251" w14:textId="77777777" w:rsidTr="43E0E1C9">
        <w:trPr>
          <w:trHeight w:val="709"/>
        </w:trPr>
        <w:tc>
          <w:tcPr>
            <w:tcW w:w="4530" w:type="dxa"/>
            <w:vAlign w:val="center"/>
          </w:tcPr>
          <w:p w14:paraId="249B7AD9" w14:textId="37571408"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Percentage of adult patients who reported that hospital staff took their family or home situation into account when planning their discharge</w:t>
            </w:r>
            <w:r w:rsidRPr="00F03354">
              <w:rPr>
                <w:rFonts w:ascii="Times New Roman" w:eastAsiaTheme="minorHAnsi" w:hAnsi="Times New Roman"/>
                <w:lang w:eastAsia="en-US"/>
              </w:rPr>
              <w:t>​</w:t>
            </w:r>
          </w:p>
        </w:tc>
        <w:tc>
          <w:tcPr>
            <w:tcW w:w="1591" w:type="dxa"/>
            <w:vAlign w:val="center"/>
          </w:tcPr>
          <w:p w14:paraId="205CA930" w14:textId="182A2C61" w:rsidR="00122F87" w:rsidRPr="00F03354" w:rsidRDefault="00122F87" w:rsidP="00122F87">
            <w:pPr>
              <w:jc w:val="center"/>
              <w:rPr>
                <w:rFonts w:ascii="VIC" w:hAnsi="VIC"/>
              </w:rPr>
            </w:pPr>
            <w:r w:rsidRPr="00F03354">
              <w:rPr>
                <w:rFonts w:ascii="VIC" w:hAnsi="VIC"/>
              </w:rPr>
              <w:t>Patient experience</w:t>
            </w:r>
          </w:p>
        </w:tc>
        <w:tc>
          <w:tcPr>
            <w:tcW w:w="1470" w:type="dxa"/>
            <w:vAlign w:val="center"/>
          </w:tcPr>
          <w:p w14:paraId="7BC49BD6" w14:textId="0D6A98DF" w:rsidR="00122F87" w:rsidRPr="00F03354" w:rsidRDefault="00122F87" w:rsidP="00683782">
            <w:pPr>
              <w:jc w:val="center"/>
              <w:rPr>
                <w:rFonts w:ascii="VIC" w:eastAsiaTheme="minorHAnsi" w:hAnsi="VIC" w:cstheme="minorBidi"/>
                <w:lang w:eastAsia="en-US"/>
              </w:rPr>
            </w:pPr>
            <w:r w:rsidRPr="00F03354">
              <w:rPr>
                <w:rFonts w:ascii="VIC" w:eastAsiaTheme="minorHAnsi" w:hAnsi="VIC" w:cstheme="minorBidi"/>
                <w:lang w:eastAsia="en-US"/>
              </w:rPr>
              <w:t>Removal</w:t>
            </w:r>
          </w:p>
        </w:tc>
        <w:tc>
          <w:tcPr>
            <w:tcW w:w="2496" w:type="dxa"/>
            <w:vAlign w:val="center"/>
          </w:tcPr>
          <w:p w14:paraId="409B6C1C" w14:textId="7EFF527C" w:rsidR="00122F87" w:rsidRPr="00F03354" w:rsidRDefault="00122F87" w:rsidP="00683782">
            <w:pPr>
              <w:rPr>
                <w:rFonts w:ascii="VIC" w:eastAsiaTheme="minorHAnsi" w:hAnsi="VIC" w:cstheme="minorBidi"/>
                <w:lang w:eastAsia="en-US"/>
              </w:rPr>
            </w:pPr>
          </w:p>
        </w:tc>
      </w:tr>
      <w:tr w:rsidR="00FF0497" w:rsidRPr="00F03354" w14:paraId="70F77CE6" w14:textId="77777777" w:rsidTr="43E0E1C9">
        <w:trPr>
          <w:trHeight w:val="486"/>
        </w:trPr>
        <w:tc>
          <w:tcPr>
            <w:tcW w:w="4530" w:type="dxa"/>
            <w:shd w:val="clear" w:color="auto" w:fill="BDD6EE" w:themeFill="accent5" w:themeFillTint="66"/>
            <w:vAlign w:val="center"/>
          </w:tcPr>
          <w:p w14:paraId="212316B4" w14:textId="77777777" w:rsidR="00122F87" w:rsidRPr="00F03354" w:rsidRDefault="00122F87" w:rsidP="00683782">
            <w:pPr>
              <w:rPr>
                <w:rFonts w:ascii="VIC" w:eastAsiaTheme="minorHAnsi" w:hAnsi="VIC" w:cstheme="minorBidi"/>
                <w:b/>
                <w:bCs/>
                <w:lang w:eastAsia="en-US"/>
              </w:rPr>
            </w:pPr>
            <w:r w:rsidRPr="00F03354">
              <w:rPr>
                <w:rFonts w:ascii="VIC" w:eastAsiaTheme="minorHAnsi" w:hAnsi="VIC" w:cstheme="minorBidi"/>
                <w:b/>
                <w:bCs/>
                <w:lang w:eastAsia="en-US"/>
              </w:rPr>
              <w:t>New</w:t>
            </w:r>
          </w:p>
        </w:tc>
        <w:tc>
          <w:tcPr>
            <w:tcW w:w="1591" w:type="dxa"/>
            <w:shd w:val="clear" w:color="auto" w:fill="BDD6EE" w:themeFill="accent5" w:themeFillTint="66"/>
          </w:tcPr>
          <w:p w14:paraId="5C82FB7D" w14:textId="77777777" w:rsidR="00122F87" w:rsidRPr="00F03354" w:rsidRDefault="00122F87" w:rsidP="00683782">
            <w:pPr>
              <w:jc w:val="center"/>
              <w:rPr>
                <w:rFonts w:ascii="VIC" w:hAnsi="VIC"/>
              </w:rPr>
            </w:pPr>
          </w:p>
        </w:tc>
        <w:tc>
          <w:tcPr>
            <w:tcW w:w="1470" w:type="dxa"/>
            <w:shd w:val="clear" w:color="auto" w:fill="BDD6EE" w:themeFill="accent5" w:themeFillTint="66"/>
            <w:vAlign w:val="center"/>
          </w:tcPr>
          <w:p w14:paraId="5A2AB1E9" w14:textId="3C53236E" w:rsidR="00122F87" w:rsidRPr="00F03354" w:rsidRDefault="00122F87" w:rsidP="00683782">
            <w:pPr>
              <w:jc w:val="center"/>
              <w:rPr>
                <w:rFonts w:ascii="VIC" w:eastAsiaTheme="minorHAnsi" w:hAnsi="VIC" w:cstheme="minorBidi"/>
                <w:lang w:eastAsia="en-US"/>
              </w:rPr>
            </w:pPr>
          </w:p>
        </w:tc>
        <w:tc>
          <w:tcPr>
            <w:tcW w:w="2496" w:type="dxa"/>
            <w:shd w:val="clear" w:color="auto" w:fill="BDD6EE" w:themeFill="accent5" w:themeFillTint="66"/>
            <w:vAlign w:val="center"/>
          </w:tcPr>
          <w:p w14:paraId="32F80C2A" w14:textId="77777777" w:rsidR="00122F87" w:rsidRPr="00F03354" w:rsidRDefault="00122F87" w:rsidP="00683782">
            <w:pPr>
              <w:rPr>
                <w:rFonts w:ascii="VIC" w:eastAsiaTheme="minorHAnsi" w:hAnsi="VIC" w:cstheme="minorBidi"/>
                <w:lang w:eastAsia="en-US"/>
              </w:rPr>
            </w:pPr>
          </w:p>
        </w:tc>
      </w:tr>
      <w:tr w:rsidR="00F84DB0" w:rsidRPr="00F03354" w14:paraId="60537A60" w14:textId="77777777" w:rsidTr="43E0E1C9">
        <w:trPr>
          <w:trHeight w:val="709"/>
        </w:trPr>
        <w:tc>
          <w:tcPr>
            <w:tcW w:w="4530" w:type="dxa"/>
            <w:vAlign w:val="center"/>
          </w:tcPr>
          <w:p w14:paraId="617F74FF" w14:textId="2121D93E"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Percentage of families/carers reporting a positive experience of the service</w:t>
            </w:r>
            <w:r w:rsidRPr="00F03354">
              <w:rPr>
                <w:rFonts w:ascii="Times New Roman" w:eastAsiaTheme="minorHAnsi" w:hAnsi="Times New Roman"/>
                <w:lang w:eastAsia="en-US"/>
              </w:rPr>
              <w:t>​</w:t>
            </w:r>
          </w:p>
        </w:tc>
        <w:tc>
          <w:tcPr>
            <w:tcW w:w="1591" w:type="dxa"/>
            <w:vAlign w:val="center"/>
          </w:tcPr>
          <w:p w14:paraId="45966616" w14:textId="3DCAEC4E" w:rsidR="00122F87" w:rsidRPr="00F03354" w:rsidRDefault="29E07786" w:rsidP="00B27F0E">
            <w:pPr>
              <w:jc w:val="center"/>
              <w:rPr>
                <w:rFonts w:ascii="VIC" w:hAnsi="VIC"/>
              </w:rPr>
            </w:pPr>
            <w:r w:rsidRPr="00F03354">
              <w:rPr>
                <w:rFonts w:ascii="VIC" w:hAnsi="VIC"/>
              </w:rPr>
              <w:t>Mental health</w:t>
            </w:r>
          </w:p>
        </w:tc>
        <w:tc>
          <w:tcPr>
            <w:tcW w:w="1470" w:type="dxa"/>
            <w:vAlign w:val="center"/>
          </w:tcPr>
          <w:p w14:paraId="71B834C6" w14:textId="4A8B8797" w:rsidR="00122F87" w:rsidRPr="00F03354" w:rsidRDefault="00122F87" w:rsidP="00683782">
            <w:pPr>
              <w:jc w:val="center"/>
              <w:rPr>
                <w:rFonts w:ascii="VIC" w:eastAsiaTheme="minorHAnsi" w:hAnsi="VIC" w:cstheme="minorBidi"/>
                <w:lang w:eastAsia="en-US"/>
              </w:rPr>
            </w:pPr>
            <w:r w:rsidRPr="00F03354">
              <w:rPr>
                <w:rFonts w:ascii="VIC" w:eastAsiaTheme="minorHAnsi" w:hAnsi="VIC" w:cstheme="minorBidi"/>
                <w:lang w:eastAsia="en-US"/>
              </w:rPr>
              <w:t>Addition</w:t>
            </w:r>
          </w:p>
        </w:tc>
        <w:tc>
          <w:tcPr>
            <w:tcW w:w="2496" w:type="dxa"/>
            <w:vAlign w:val="center"/>
          </w:tcPr>
          <w:p w14:paraId="42CD7D7A" w14:textId="65714977"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New SOP measure with a target of 80%</w:t>
            </w:r>
            <w:r w:rsidR="00F84DB0" w:rsidRPr="00F03354">
              <w:rPr>
                <w:rFonts w:ascii="Times New Roman" w:eastAsiaTheme="minorHAnsi" w:hAnsi="Times New Roman"/>
                <w:lang w:eastAsia="en-US"/>
              </w:rPr>
              <w:t>​</w:t>
            </w:r>
            <w:r w:rsidR="00F84DB0" w:rsidRPr="00F03354">
              <w:rPr>
                <w:rFonts w:ascii="VIC" w:eastAsiaTheme="minorHAnsi" w:hAnsi="VIC" w:cstheme="minorBidi"/>
                <w:lang w:eastAsia="en-US"/>
              </w:rPr>
              <w:t xml:space="preserve"> to align with BP reporting</w:t>
            </w:r>
          </w:p>
        </w:tc>
      </w:tr>
      <w:tr w:rsidR="00122F87" w:rsidRPr="00F03354" w14:paraId="5FE2D03A" w14:textId="77777777" w:rsidTr="43E0E1C9">
        <w:trPr>
          <w:trHeight w:val="709"/>
        </w:trPr>
        <w:tc>
          <w:tcPr>
            <w:tcW w:w="4530" w:type="dxa"/>
            <w:vAlign w:val="center"/>
          </w:tcPr>
          <w:p w14:paraId="067A3B50" w14:textId="186682C1" w:rsidR="00122F87" w:rsidRPr="00F03354" w:rsidRDefault="00122F87" w:rsidP="00683782">
            <w:pPr>
              <w:rPr>
                <w:rFonts w:ascii="VIC" w:hAnsi="VIC"/>
              </w:rPr>
            </w:pPr>
            <w:r w:rsidRPr="00F03354">
              <w:rPr>
                <w:rFonts w:ascii="VIC" w:hAnsi="VIC"/>
              </w:rPr>
              <w:t>Percentage of adult patients who reported they were involved as much as they wanted to be in making decisions about their care</w:t>
            </w:r>
            <w:r w:rsidRPr="00F03354">
              <w:rPr>
                <w:rFonts w:ascii="Times New Roman" w:hAnsi="Times New Roman"/>
              </w:rPr>
              <w:t>​</w:t>
            </w:r>
          </w:p>
        </w:tc>
        <w:tc>
          <w:tcPr>
            <w:tcW w:w="1591" w:type="dxa"/>
            <w:vAlign w:val="center"/>
          </w:tcPr>
          <w:p w14:paraId="1A421640" w14:textId="0EF349B2" w:rsidR="00122F87" w:rsidRPr="00F03354" w:rsidRDefault="00B27F0E" w:rsidP="00B27F0E">
            <w:pPr>
              <w:jc w:val="center"/>
              <w:rPr>
                <w:rFonts w:ascii="VIC" w:hAnsi="VIC"/>
              </w:rPr>
            </w:pPr>
            <w:r w:rsidRPr="00F03354">
              <w:rPr>
                <w:rFonts w:ascii="VIC" w:hAnsi="VIC"/>
              </w:rPr>
              <w:t>Patient experience</w:t>
            </w:r>
          </w:p>
        </w:tc>
        <w:tc>
          <w:tcPr>
            <w:tcW w:w="1470" w:type="dxa"/>
            <w:vAlign w:val="center"/>
          </w:tcPr>
          <w:p w14:paraId="745C52D7" w14:textId="3FA8655B" w:rsidR="00122F87" w:rsidRPr="00F03354" w:rsidRDefault="00B27F0E" w:rsidP="00683782">
            <w:pPr>
              <w:jc w:val="center"/>
              <w:rPr>
                <w:rFonts w:ascii="VIC" w:hAnsi="VIC"/>
              </w:rPr>
            </w:pPr>
            <w:r w:rsidRPr="00F03354">
              <w:rPr>
                <w:rFonts w:ascii="VIC" w:hAnsi="VIC"/>
              </w:rPr>
              <w:t>Addition</w:t>
            </w:r>
          </w:p>
        </w:tc>
        <w:tc>
          <w:tcPr>
            <w:tcW w:w="2496" w:type="dxa"/>
            <w:vAlign w:val="center"/>
          </w:tcPr>
          <w:p w14:paraId="14E2E7C9" w14:textId="18E2CC1B" w:rsidR="00122F87" w:rsidRPr="00F03354" w:rsidRDefault="00B27F0E" w:rsidP="00683782">
            <w:pPr>
              <w:rPr>
                <w:rFonts w:ascii="VIC" w:hAnsi="VIC"/>
              </w:rPr>
            </w:pPr>
            <w:r w:rsidRPr="00F03354">
              <w:rPr>
                <w:rFonts w:ascii="VIC" w:eastAsiaTheme="minorHAnsi" w:hAnsi="VIC" w:cstheme="minorBidi"/>
                <w:lang w:eastAsia="en-US"/>
              </w:rPr>
              <w:t>New SOP measure with a target of 75%</w:t>
            </w:r>
          </w:p>
        </w:tc>
      </w:tr>
      <w:tr w:rsidR="00F84DB0" w:rsidRPr="00F03354" w14:paraId="666CD762" w14:textId="77777777" w:rsidTr="43E0E1C9">
        <w:trPr>
          <w:trHeight w:val="709"/>
        </w:trPr>
        <w:tc>
          <w:tcPr>
            <w:tcW w:w="4530" w:type="dxa"/>
            <w:vAlign w:val="center"/>
          </w:tcPr>
          <w:p w14:paraId="7D8A9288" w14:textId="23EECE1D"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Percentage of families/carers who report they were ‘always’ or ‘usually’ felt their opinions as a carer were respected</w:t>
            </w:r>
            <w:r w:rsidRPr="00F03354">
              <w:rPr>
                <w:rFonts w:ascii="Times New Roman" w:eastAsiaTheme="minorHAnsi" w:hAnsi="Times New Roman"/>
                <w:lang w:eastAsia="en-US"/>
              </w:rPr>
              <w:t>​</w:t>
            </w:r>
          </w:p>
        </w:tc>
        <w:tc>
          <w:tcPr>
            <w:tcW w:w="1591" w:type="dxa"/>
            <w:vAlign w:val="center"/>
          </w:tcPr>
          <w:p w14:paraId="1E75E6D3" w14:textId="56A122A7" w:rsidR="00122F87" w:rsidRPr="00F03354" w:rsidRDefault="00122F87" w:rsidP="00B27F0E">
            <w:pPr>
              <w:jc w:val="center"/>
              <w:rPr>
                <w:rFonts w:ascii="VIC" w:hAnsi="VIC"/>
              </w:rPr>
            </w:pPr>
            <w:r w:rsidRPr="00F03354">
              <w:rPr>
                <w:rFonts w:ascii="VIC" w:hAnsi="VIC"/>
              </w:rPr>
              <w:t>Mental health</w:t>
            </w:r>
          </w:p>
        </w:tc>
        <w:tc>
          <w:tcPr>
            <w:tcW w:w="1470" w:type="dxa"/>
            <w:vAlign w:val="center"/>
          </w:tcPr>
          <w:p w14:paraId="48246D8E" w14:textId="26A096AA" w:rsidR="00122F87" w:rsidRPr="00F03354" w:rsidRDefault="00122F87" w:rsidP="00683782">
            <w:pPr>
              <w:jc w:val="center"/>
              <w:rPr>
                <w:rFonts w:ascii="VIC" w:eastAsiaTheme="minorHAnsi" w:hAnsi="VIC" w:cstheme="minorBidi"/>
                <w:lang w:eastAsia="en-US"/>
              </w:rPr>
            </w:pPr>
            <w:r w:rsidRPr="00F03354">
              <w:rPr>
                <w:rFonts w:ascii="VIC" w:eastAsiaTheme="minorHAnsi" w:hAnsi="VIC" w:cstheme="minorBidi"/>
                <w:lang w:eastAsia="en-US"/>
              </w:rPr>
              <w:t>Addition</w:t>
            </w:r>
          </w:p>
        </w:tc>
        <w:tc>
          <w:tcPr>
            <w:tcW w:w="2496" w:type="dxa"/>
            <w:vAlign w:val="center"/>
          </w:tcPr>
          <w:p w14:paraId="388BCE0F" w14:textId="461C46A7" w:rsidR="00122F87" w:rsidRPr="00F03354" w:rsidRDefault="00122F87" w:rsidP="00683782">
            <w:pPr>
              <w:rPr>
                <w:rFonts w:ascii="VIC" w:eastAsiaTheme="minorHAnsi" w:hAnsi="VIC" w:cstheme="minorBidi"/>
                <w:lang w:eastAsia="en-US"/>
              </w:rPr>
            </w:pPr>
            <w:r w:rsidRPr="00F03354">
              <w:rPr>
                <w:rFonts w:ascii="VIC" w:eastAsiaTheme="minorHAnsi" w:hAnsi="VIC" w:cstheme="minorBidi"/>
                <w:lang w:eastAsia="en-US"/>
              </w:rPr>
              <w:t>New SOP measure with a target of 90%</w:t>
            </w:r>
            <w:r w:rsidR="00F84DB0" w:rsidRPr="00F03354">
              <w:rPr>
                <w:rFonts w:ascii="Times New Roman" w:eastAsiaTheme="minorHAnsi" w:hAnsi="Times New Roman"/>
                <w:lang w:eastAsia="en-US"/>
              </w:rPr>
              <w:t>​</w:t>
            </w:r>
            <w:r w:rsidR="00F84DB0" w:rsidRPr="00F03354">
              <w:rPr>
                <w:rFonts w:ascii="VIC" w:eastAsiaTheme="minorHAnsi" w:hAnsi="VIC" w:cstheme="minorBidi"/>
                <w:lang w:eastAsia="en-US"/>
              </w:rPr>
              <w:t xml:space="preserve"> to align with BP reporting</w:t>
            </w:r>
          </w:p>
        </w:tc>
      </w:tr>
      <w:tr w:rsidR="00122F87" w:rsidRPr="00F03354" w14:paraId="6D7FA186" w14:textId="77777777" w:rsidTr="43E0E1C9">
        <w:trPr>
          <w:trHeight w:val="709"/>
        </w:trPr>
        <w:tc>
          <w:tcPr>
            <w:tcW w:w="4530" w:type="dxa"/>
            <w:vAlign w:val="center"/>
          </w:tcPr>
          <w:p w14:paraId="1368F83D" w14:textId="467A841B" w:rsidR="00122F87" w:rsidRPr="00F03354" w:rsidRDefault="00D66B90" w:rsidP="6BF3BDE6">
            <w:pPr>
              <w:rPr>
                <w:rFonts w:ascii="VIC" w:hAnsi="VIC"/>
              </w:rPr>
            </w:pPr>
            <w:r>
              <w:rPr>
                <w:rFonts w:ascii="VIC" w:eastAsia="VIC" w:hAnsi="VIC" w:cs="VIC"/>
              </w:rPr>
              <w:t>P</w:t>
            </w:r>
            <w:r w:rsidR="5443D4D8" w:rsidRPr="00F03354">
              <w:rPr>
                <w:rFonts w:ascii="VIC" w:eastAsia="VIC" w:hAnsi="VIC" w:cs="VIC"/>
              </w:rPr>
              <w:t>ercentage of patients that did not wait for treatment</w:t>
            </w:r>
            <w:r w:rsidR="5443D4D8" w:rsidRPr="00F03354">
              <w:rPr>
                <w:rFonts w:ascii="VIC" w:hAnsi="VIC"/>
              </w:rPr>
              <w:t xml:space="preserve"> </w:t>
            </w:r>
            <w:r w:rsidR="6D2444CF" w:rsidRPr="00F03354">
              <w:rPr>
                <w:rFonts w:ascii="VIC" w:hAnsi="VIC"/>
              </w:rPr>
              <w:t>for Aboriginal and non-Aboriginal patients presenting to hospital emergency departments</w:t>
            </w:r>
            <w:r w:rsidR="6D2444CF" w:rsidRPr="00F03354">
              <w:rPr>
                <w:rFonts w:ascii="Times New Roman" w:hAnsi="Times New Roman"/>
              </w:rPr>
              <w:t>​</w:t>
            </w:r>
          </w:p>
        </w:tc>
        <w:tc>
          <w:tcPr>
            <w:tcW w:w="1591" w:type="dxa"/>
            <w:vAlign w:val="center"/>
          </w:tcPr>
          <w:p w14:paraId="3D08072A" w14:textId="22F2A714" w:rsidR="00122F87" w:rsidRPr="00F03354" w:rsidRDefault="00B27F0E" w:rsidP="00B27F0E">
            <w:pPr>
              <w:jc w:val="center"/>
              <w:rPr>
                <w:rFonts w:ascii="VIC" w:hAnsi="VIC"/>
              </w:rPr>
            </w:pPr>
            <w:r w:rsidRPr="00F03354">
              <w:rPr>
                <w:rFonts w:ascii="VIC" w:hAnsi="VIC"/>
              </w:rPr>
              <w:t>Cultural safety</w:t>
            </w:r>
          </w:p>
        </w:tc>
        <w:tc>
          <w:tcPr>
            <w:tcW w:w="1470" w:type="dxa"/>
            <w:vAlign w:val="center"/>
          </w:tcPr>
          <w:p w14:paraId="7807A946" w14:textId="0C483B10" w:rsidR="00122F87" w:rsidRPr="00F03354" w:rsidRDefault="00B27F0E" w:rsidP="00683782">
            <w:pPr>
              <w:jc w:val="center"/>
              <w:rPr>
                <w:rFonts w:ascii="VIC" w:hAnsi="VIC"/>
              </w:rPr>
            </w:pPr>
            <w:r w:rsidRPr="00F03354">
              <w:rPr>
                <w:rFonts w:ascii="VIC" w:hAnsi="VIC"/>
              </w:rPr>
              <w:t>Addition</w:t>
            </w:r>
          </w:p>
        </w:tc>
        <w:tc>
          <w:tcPr>
            <w:tcW w:w="2496" w:type="dxa"/>
            <w:vAlign w:val="center"/>
          </w:tcPr>
          <w:p w14:paraId="58F5EC85" w14:textId="5E41A4A1" w:rsidR="00122F87" w:rsidRPr="00F03354" w:rsidRDefault="6D2444CF" w:rsidP="00683782">
            <w:pPr>
              <w:rPr>
                <w:rFonts w:ascii="VIC" w:hAnsi="VIC"/>
              </w:rPr>
            </w:pPr>
            <w:r w:rsidRPr="00F03354">
              <w:rPr>
                <w:rFonts w:ascii="VIC" w:hAnsi="VIC"/>
              </w:rPr>
              <w:t>Target reduction of 25% in the gap between Aboriginal and non-Aboriginal rates based on 2021/22 annual rates</w:t>
            </w:r>
            <w:r w:rsidRPr="00F03354">
              <w:rPr>
                <w:rFonts w:ascii="Times New Roman" w:hAnsi="Times New Roman"/>
              </w:rPr>
              <w:t>​</w:t>
            </w:r>
          </w:p>
        </w:tc>
      </w:tr>
      <w:tr w:rsidR="00B27F0E" w:rsidRPr="00F03354" w14:paraId="175B4871" w14:textId="77777777" w:rsidTr="43E0E1C9">
        <w:trPr>
          <w:trHeight w:val="709"/>
        </w:trPr>
        <w:tc>
          <w:tcPr>
            <w:tcW w:w="4530" w:type="dxa"/>
            <w:vAlign w:val="center"/>
          </w:tcPr>
          <w:p w14:paraId="609A571F" w14:textId="7F1F9EBA" w:rsidR="00B27F0E" w:rsidRPr="00F03354" w:rsidRDefault="00D66B90" w:rsidP="6BF3BDE6">
            <w:pPr>
              <w:rPr>
                <w:rFonts w:ascii="VIC" w:eastAsia="VIC" w:hAnsi="VIC" w:cs="VIC"/>
              </w:rPr>
            </w:pPr>
            <w:r>
              <w:rPr>
                <w:rFonts w:ascii="VIC" w:eastAsia="VIC" w:hAnsi="VIC" w:cs="VIC"/>
              </w:rPr>
              <w:t>P</w:t>
            </w:r>
            <w:r w:rsidR="6A32830B" w:rsidRPr="00F03354">
              <w:rPr>
                <w:rFonts w:ascii="VIC" w:eastAsia="VIC" w:hAnsi="VIC" w:cs="VIC"/>
              </w:rPr>
              <w:t>ercentage</w:t>
            </w:r>
            <w:r w:rsidR="6A32830B" w:rsidRPr="00F03354">
              <w:rPr>
                <w:rFonts w:ascii="VIC" w:hAnsi="VIC"/>
              </w:rPr>
              <w:t xml:space="preserve"> </w:t>
            </w:r>
            <w:r w:rsidR="6A32830B" w:rsidRPr="00F03354">
              <w:rPr>
                <w:rFonts w:ascii="VIC" w:eastAsia="VIC" w:hAnsi="VIC" w:cs="VIC"/>
              </w:rPr>
              <w:t>of admitted patients who left against medical advice</w:t>
            </w:r>
          </w:p>
          <w:p w14:paraId="11D3BC57" w14:textId="101C3E6A" w:rsidR="00B27F0E" w:rsidRPr="00F03354" w:rsidRDefault="00CA7F5F" w:rsidP="6BF3BDE6">
            <w:pPr>
              <w:rPr>
                <w:rFonts w:ascii="VIC" w:hAnsi="VIC"/>
              </w:rPr>
            </w:pPr>
            <w:r w:rsidRPr="00F03354">
              <w:rPr>
                <w:rStyle w:val="FootnoteReference"/>
                <w:rFonts w:ascii="VIC" w:hAnsi="VIC"/>
              </w:rPr>
              <w:footnoteReference w:id="2"/>
            </w:r>
            <w:r w:rsidR="6D2444CF" w:rsidRPr="00F03354">
              <w:rPr>
                <w:rFonts w:ascii="VIC" w:hAnsi="VIC"/>
              </w:rPr>
              <w:t xml:space="preserve"> for Aboriginal and non-Aboriginal patients</w:t>
            </w:r>
            <w:r w:rsidR="6D2444CF" w:rsidRPr="00F03354">
              <w:rPr>
                <w:rFonts w:ascii="Times New Roman" w:hAnsi="Times New Roman"/>
              </w:rPr>
              <w:t>​</w:t>
            </w:r>
          </w:p>
        </w:tc>
        <w:tc>
          <w:tcPr>
            <w:tcW w:w="1591" w:type="dxa"/>
            <w:vAlign w:val="center"/>
          </w:tcPr>
          <w:p w14:paraId="02ED0F28" w14:textId="676AF46B" w:rsidR="00B27F0E" w:rsidRPr="00F03354" w:rsidRDefault="00B27F0E" w:rsidP="00B27F0E">
            <w:pPr>
              <w:jc w:val="center"/>
              <w:rPr>
                <w:rFonts w:ascii="VIC" w:hAnsi="VIC"/>
              </w:rPr>
            </w:pPr>
            <w:r w:rsidRPr="00F03354">
              <w:rPr>
                <w:rFonts w:ascii="VIC" w:hAnsi="VIC"/>
              </w:rPr>
              <w:t>Cultural safety</w:t>
            </w:r>
          </w:p>
        </w:tc>
        <w:tc>
          <w:tcPr>
            <w:tcW w:w="1470" w:type="dxa"/>
            <w:vAlign w:val="center"/>
          </w:tcPr>
          <w:p w14:paraId="5B6B11D3" w14:textId="6E6D0523" w:rsidR="00B27F0E" w:rsidRPr="00F03354" w:rsidRDefault="00B27F0E" w:rsidP="00683782">
            <w:pPr>
              <w:jc w:val="center"/>
              <w:rPr>
                <w:rFonts w:ascii="VIC" w:hAnsi="VIC"/>
              </w:rPr>
            </w:pPr>
            <w:r w:rsidRPr="00F03354">
              <w:rPr>
                <w:rFonts w:ascii="VIC" w:hAnsi="VIC"/>
              </w:rPr>
              <w:t>Addition</w:t>
            </w:r>
          </w:p>
        </w:tc>
        <w:tc>
          <w:tcPr>
            <w:tcW w:w="2496" w:type="dxa"/>
            <w:vAlign w:val="center"/>
          </w:tcPr>
          <w:p w14:paraId="3597B082" w14:textId="07C6486D" w:rsidR="00B27F0E" w:rsidRPr="00F03354" w:rsidRDefault="6D2444CF" w:rsidP="00683782">
            <w:pPr>
              <w:rPr>
                <w:rFonts w:ascii="VIC" w:hAnsi="VIC"/>
              </w:rPr>
            </w:pPr>
            <w:r w:rsidRPr="00F03354">
              <w:rPr>
                <w:rFonts w:ascii="VIC" w:hAnsi="VIC"/>
              </w:rPr>
              <w:t>Target reduction of 25% in the gap between Aboriginal and non-Aboriginal rates</w:t>
            </w:r>
            <w:r w:rsidR="0D0655C8" w:rsidRPr="00F03354">
              <w:rPr>
                <w:rFonts w:ascii="VIC" w:hAnsi="VIC"/>
              </w:rPr>
              <w:t xml:space="preserve"> </w:t>
            </w:r>
            <w:r w:rsidRPr="00F03354">
              <w:rPr>
                <w:rFonts w:ascii="VIC" w:hAnsi="VIC"/>
              </w:rPr>
              <w:t>based on 2021/22 annual rates</w:t>
            </w:r>
            <w:r w:rsidRPr="00F03354">
              <w:rPr>
                <w:rFonts w:ascii="Times New Roman" w:hAnsi="Times New Roman"/>
              </w:rPr>
              <w:t>​</w:t>
            </w:r>
          </w:p>
        </w:tc>
      </w:tr>
      <w:tr w:rsidR="6BF3BDE6" w:rsidRPr="00F03354" w14:paraId="59299687" w14:textId="77777777" w:rsidTr="43E0E1C9">
        <w:trPr>
          <w:trHeight w:val="709"/>
        </w:trPr>
        <w:tc>
          <w:tcPr>
            <w:tcW w:w="4530" w:type="dxa"/>
            <w:vAlign w:val="center"/>
          </w:tcPr>
          <w:p w14:paraId="260ADEF5" w14:textId="730FCAEB" w:rsidR="1AE35DD5" w:rsidRPr="00F03354" w:rsidRDefault="53BA7668" w:rsidP="6BF3BDE6">
            <w:pPr>
              <w:spacing w:line="259" w:lineRule="auto"/>
              <w:rPr>
                <w:rFonts w:ascii="VIC" w:eastAsia="VIC" w:hAnsi="VIC" w:cs="VIC"/>
              </w:rPr>
            </w:pPr>
            <w:r w:rsidRPr="00F03354">
              <w:rPr>
                <w:rFonts w:ascii="VIC" w:eastAsia="VIC" w:hAnsi="VIC" w:cs="VIC"/>
              </w:rPr>
              <w:t>Number of patients</w:t>
            </w:r>
            <w:r w:rsidR="2663A6F2" w:rsidRPr="00F03354">
              <w:rPr>
                <w:rFonts w:ascii="VIC" w:eastAsia="VIC" w:hAnsi="VIC" w:cs="VIC"/>
              </w:rPr>
              <w:t xml:space="preserve"> (in addition to base)</w:t>
            </w:r>
            <w:r w:rsidRPr="00F03354">
              <w:rPr>
                <w:rFonts w:ascii="VIC" w:eastAsia="VIC" w:hAnsi="VIC" w:cs="VIC"/>
              </w:rPr>
              <w:t xml:space="preserve"> admitted from the elective surgery waitlist</w:t>
            </w:r>
          </w:p>
          <w:p w14:paraId="4B73E903" w14:textId="404CE3A8" w:rsidR="6BF3BDE6" w:rsidRPr="00F03354" w:rsidRDefault="6BF3BDE6" w:rsidP="6BF3BDE6">
            <w:pPr>
              <w:rPr>
                <w:rFonts w:ascii="VIC" w:hAnsi="VIC"/>
              </w:rPr>
            </w:pPr>
          </w:p>
        </w:tc>
        <w:tc>
          <w:tcPr>
            <w:tcW w:w="1591" w:type="dxa"/>
            <w:vAlign w:val="center"/>
          </w:tcPr>
          <w:p w14:paraId="51921A85" w14:textId="4B921EC1" w:rsidR="47904C04" w:rsidRPr="00F03354" w:rsidRDefault="47904C04" w:rsidP="6BF3BDE6">
            <w:pPr>
              <w:jc w:val="center"/>
              <w:rPr>
                <w:rFonts w:ascii="VIC" w:hAnsi="VIC"/>
              </w:rPr>
            </w:pPr>
            <w:r w:rsidRPr="00F03354">
              <w:rPr>
                <w:rFonts w:ascii="VIC" w:hAnsi="VIC"/>
              </w:rPr>
              <w:t>Timely Access</w:t>
            </w:r>
            <w:r w:rsidR="6F96ECFC" w:rsidRPr="00F03354">
              <w:rPr>
                <w:rFonts w:ascii="VIC" w:hAnsi="VIC"/>
              </w:rPr>
              <w:t xml:space="preserve"> – elective surgery waiting list</w:t>
            </w:r>
          </w:p>
        </w:tc>
        <w:tc>
          <w:tcPr>
            <w:tcW w:w="1470" w:type="dxa"/>
            <w:vAlign w:val="center"/>
          </w:tcPr>
          <w:p w14:paraId="0561835A" w14:textId="06D60D5C" w:rsidR="1AE35DD5" w:rsidRPr="00F03354" w:rsidRDefault="1AE35DD5" w:rsidP="6BF3BDE6">
            <w:pPr>
              <w:jc w:val="center"/>
              <w:rPr>
                <w:rFonts w:ascii="VIC" w:hAnsi="VIC"/>
              </w:rPr>
            </w:pPr>
            <w:r w:rsidRPr="00F03354">
              <w:rPr>
                <w:rFonts w:ascii="VIC" w:hAnsi="VIC"/>
              </w:rPr>
              <w:t>Addition</w:t>
            </w:r>
          </w:p>
        </w:tc>
        <w:tc>
          <w:tcPr>
            <w:tcW w:w="2496" w:type="dxa"/>
            <w:vAlign w:val="center"/>
          </w:tcPr>
          <w:p w14:paraId="76EC5E21" w14:textId="38517569" w:rsidR="6BF3BDE6" w:rsidRPr="00F03354" w:rsidRDefault="260C88E5" w:rsidP="6BF3BDE6">
            <w:pPr>
              <w:rPr>
                <w:rFonts w:ascii="VIC" w:hAnsi="VIC"/>
              </w:rPr>
            </w:pPr>
            <w:r w:rsidRPr="00F03354">
              <w:rPr>
                <w:rFonts w:ascii="VIC" w:hAnsi="VIC"/>
              </w:rPr>
              <w:t>Health Service specific target, dependant on base target</w:t>
            </w:r>
          </w:p>
        </w:tc>
      </w:tr>
      <w:tr w:rsidR="387D0BC8" w:rsidRPr="00F03354" w14:paraId="60DB5D94" w14:textId="77777777" w:rsidTr="43E0E1C9">
        <w:trPr>
          <w:trHeight w:val="709"/>
        </w:trPr>
        <w:tc>
          <w:tcPr>
            <w:tcW w:w="4530" w:type="dxa"/>
            <w:shd w:val="clear" w:color="auto" w:fill="BDD6EE" w:themeFill="accent5" w:themeFillTint="66"/>
            <w:vAlign w:val="center"/>
          </w:tcPr>
          <w:p w14:paraId="1034D973" w14:textId="1C5C6E4B" w:rsidR="722096DC" w:rsidRPr="00F03354" w:rsidRDefault="580F0639" w:rsidP="00BC6902">
            <w:pPr>
              <w:keepNext/>
              <w:spacing w:line="259" w:lineRule="auto"/>
            </w:pPr>
            <w:r w:rsidRPr="00F03354">
              <w:rPr>
                <w:rFonts w:ascii="VIC" w:eastAsia="VIC" w:hAnsi="VIC" w:cs="VIC"/>
                <w:b/>
                <w:bCs/>
              </w:rPr>
              <w:lastRenderedPageBreak/>
              <w:t xml:space="preserve">Amendments </w:t>
            </w:r>
            <w:r w:rsidR="6E7F738A" w:rsidRPr="00F03354">
              <w:rPr>
                <w:rFonts w:ascii="VIC" w:eastAsia="VIC" w:hAnsi="VIC" w:cs="VIC"/>
                <w:b/>
                <w:bCs/>
              </w:rPr>
              <w:t>to 2022/23 V1.</w:t>
            </w:r>
            <w:r w:rsidR="07BB0081" w:rsidRPr="00F03354">
              <w:rPr>
                <w:rFonts w:ascii="VIC" w:eastAsia="VIC" w:hAnsi="VIC" w:cs="VIC"/>
                <w:b/>
                <w:bCs/>
              </w:rPr>
              <w:t>1</w:t>
            </w:r>
          </w:p>
        </w:tc>
        <w:tc>
          <w:tcPr>
            <w:tcW w:w="1591" w:type="dxa"/>
            <w:shd w:val="clear" w:color="auto" w:fill="BDD6EE" w:themeFill="accent5" w:themeFillTint="66"/>
            <w:vAlign w:val="center"/>
          </w:tcPr>
          <w:p w14:paraId="291655AD" w14:textId="5A12E852" w:rsidR="387D0BC8" w:rsidRPr="00F03354" w:rsidRDefault="387D0BC8" w:rsidP="00BC6902">
            <w:pPr>
              <w:keepNext/>
              <w:jc w:val="center"/>
              <w:rPr>
                <w:rFonts w:ascii="VIC" w:hAnsi="VIC"/>
              </w:rPr>
            </w:pPr>
          </w:p>
        </w:tc>
        <w:tc>
          <w:tcPr>
            <w:tcW w:w="1470" w:type="dxa"/>
            <w:shd w:val="clear" w:color="auto" w:fill="BDD6EE" w:themeFill="accent5" w:themeFillTint="66"/>
            <w:vAlign w:val="center"/>
          </w:tcPr>
          <w:p w14:paraId="26428929" w14:textId="262BFCD1" w:rsidR="387D0BC8" w:rsidRPr="00F03354" w:rsidRDefault="387D0BC8" w:rsidP="00BC6902">
            <w:pPr>
              <w:keepNext/>
              <w:jc w:val="center"/>
              <w:rPr>
                <w:rFonts w:ascii="VIC" w:hAnsi="VIC"/>
              </w:rPr>
            </w:pPr>
          </w:p>
        </w:tc>
        <w:tc>
          <w:tcPr>
            <w:tcW w:w="2496" w:type="dxa"/>
            <w:shd w:val="clear" w:color="auto" w:fill="BDD6EE" w:themeFill="accent5" w:themeFillTint="66"/>
            <w:vAlign w:val="center"/>
          </w:tcPr>
          <w:p w14:paraId="358C7092" w14:textId="27812280" w:rsidR="1E1BBCB1" w:rsidRPr="00F03354" w:rsidRDefault="1E1BBCB1" w:rsidP="00BC6902">
            <w:pPr>
              <w:keepNext/>
              <w:rPr>
                <w:rFonts w:ascii="VIC" w:hAnsi="VIC"/>
                <w:b/>
                <w:bCs/>
              </w:rPr>
            </w:pPr>
          </w:p>
        </w:tc>
      </w:tr>
      <w:tr w:rsidR="387D0BC8" w:rsidRPr="00F03354" w14:paraId="71E041A2" w14:textId="77777777" w:rsidTr="43E0E1C9">
        <w:trPr>
          <w:trHeight w:val="709"/>
        </w:trPr>
        <w:tc>
          <w:tcPr>
            <w:tcW w:w="4530" w:type="dxa"/>
            <w:vAlign w:val="center"/>
          </w:tcPr>
          <w:p w14:paraId="38275132" w14:textId="1E9A1A64" w:rsidR="257505EE" w:rsidRPr="00F03354" w:rsidRDefault="257505EE" w:rsidP="387D0BC8">
            <w:pPr>
              <w:rPr>
                <w:rFonts w:ascii="VIC" w:eastAsia="VIC" w:hAnsi="VIC" w:cs="VIC"/>
                <w:color w:val="000000" w:themeColor="text1"/>
              </w:rPr>
            </w:pPr>
            <w:r w:rsidRPr="00F03354">
              <w:rPr>
                <w:rFonts w:ascii="VIC" w:eastAsia="VIC" w:hAnsi="VIC" w:cs="VIC"/>
                <w:color w:val="000000" w:themeColor="text1"/>
              </w:rPr>
              <w:t>I</w:t>
            </w:r>
            <w:r w:rsidR="49D4731E" w:rsidRPr="00F03354">
              <w:rPr>
                <w:rFonts w:ascii="VIC" w:eastAsia="VIC" w:hAnsi="VIC" w:cs="VIC"/>
                <w:color w:val="000000" w:themeColor="text1"/>
              </w:rPr>
              <w:t>nclusion of new cultural safety measures in table 2</w:t>
            </w:r>
          </w:p>
        </w:tc>
        <w:tc>
          <w:tcPr>
            <w:tcW w:w="1591" w:type="dxa"/>
            <w:vAlign w:val="center"/>
          </w:tcPr>
          <w:p w14:paraId="7FD288B5" w14:textId="64145965" w:rsidR="5A0A6C45" w:rsidRPr="00F03354" w:rsidRDefault="5A0A6C45" w:rsidP="001F3269">
            <w:pPr>
              <w:jc w:val="center"/>
              <w:rPr>
                <w:rFonts w:ascii="VIC" w:hAnsi="VIC"/>
              </w:rPr>
            </w:pPr>
            <w:r w:rsidRPr="00F03354">
              <w:rPr>
                <w:rFonts w:ascii="VIC" w:hAnsi="VIC"/>
              </w:rPr>
              <w:t>Table 2</w:t>
            </w:r>
          </w:p>
        </w:tc>
        <w:tc>
          <w:tcPr>
            <w:tcW w:w="1470" w:type="dxa"/>
            <w:vAlign w:val="center"/>
          </w:tcPr>
          <w:p w14:paraId="386D5B38" w14:textId="0BD32244" w:rsidR="1349A706" w:rsidRPr="00F03354" w:rsidRDefault="1349A706" w:rsidP="387D0BC8">
            <w:pPr>
              <w:spacing w:line="259" w:lineRule="auto"/>
              <w:jc w:val="center"/>
            </w:pPr>
            <w:r w:rsidRPr="00F03354">
              <w:rPr>
                <w:rFonts w:ascii="VIC" w:hAnsi="VIC"/>
              </w:rPr>
              <w:t>Amendment</w:t>
            </w:r>
          </w:p>
        </w:tc>
        <w:tc>
          <w:tcPr>
            <w:tcW w:w="2496" w:type="dxa"/>
            <w:vAlign w:val="center"/>
          </w:tcPr>
          <w:p w14:paraId="68C60E20" w14:textId="57C9CEE6" w:rsidR="377B8DA0" w:rsidRPr="00F03354" w:rsidRDefault="377B8DA0" w:rsidP="387D0BC8">
            <w:pPr>
              <w:spacing w:line="259" w:lineRule="auto"/>
            </w:pPr>
            <w:r w:rsidRPr="00F03354">
              <w:rPr>
                <w:rFonts w:ascii="VIC" w:hAnsi="VIC"/>
              </w:rPr>
              <w:t>Inconsistency</w:t>
            </w:r>
          </w:p>
        </w:tc>
      </w:tr>
      <w:tr w:rsidR="387D0BC8" w:rsidRPr="00F03354" w14:paraId="25F70875" w14:textId="77777777" w:rsidTr="43E0E1C9">
        <w:trPr>
          <w:trHeight w:val="990"/>
        </w:trPr>
        <w:tc>
          <w:tcPr>
            <w:tcW w:w="4530" w:type="dxa"/>
            <w:vAlign w:val="center"/>
          </w:tcPr>
          <w:p w14:paraId="40DFC899" w14:textId="3CBA37DD" w:rsidR="257684F0" w:rsidRPr="00F03354" w:rsidRDefault="257684F0" w:rsidP="387D0BC8">
            <w:pPr>
              <w:rPr>
                <w:rFonts w:ascii="VIC" w:eastAsia="VIC" w:hAnsi="VIC" w:cs="VIC"/>
                <w:color w:val="242424"/>
              </w:rPr>
            </w:pPr>
            <w:r w:rsidRPr="00F03354">
              <w:rPr>
                <w:rFonts w:ascii="VIC" w:eastAsia="VIC" w:hAnsi="VIC" w:cs="VIC"/>
                <w:color w:val="242424"/>
              </w:rPr>
              <w:t xml:space="preserve"> “Actual number of days available cash, measured on the last day of each month”</w:t>
            </w:r>
            <w:r w:rsidR="5DC30CD7" w:rsidRPr="00F03354">
              <w:rPr>
                <w:rFonts w:ascii="VIC" w:eastAsia="VIC" w:hAnsi="VIC" w:cs="VIC"/>
                <w:color w:val="242424"/>
              </w:rPr>
              <w:t xml:space="preserve"> reflected accurately in table 2 </w:t>
            </w:r>
          </w:p>
        </w:tc>
        <w:tc>
          <w:tcPr>
            <w:tcW w:w="1591" w:type="dxa"/>
            <w:vAlign w:val="center"/>
          </w:tcPr>
          <w:p w14:paraId="7FC41C4A" w14:textId="5A0F083C" w:rsidR="468CD36D" w:rsidRPr="00F03354" w:rsidRDefault="468CD36D" w:rsidP="001F3269">
            <w:pPr>
              <w:jc w:val="center"/>
              <w:rPr>
                <w:rFonts w:ascii="VIC" w:hAnsi="VIC"/>
              </w:rPr>
            </w:pPr>
            <w:r w:rsidRPr="00F03354">
              <w:rPr>
                <w:rFonts w:ascii="VIC" w:hAnsi="VIC"/>
              </w:rPr>
              <w:t>Table 2</w:t>
            </w:r>
          </w:p>
        </w:tc>
        <w:tc>
          <w:tcPr>
            <w:tcW w:w="1470" w:type="dxa"/>
            <w:vAlign w:val="center"/>
          </w:tcPr>
          <w:p w14:paraId="11AAF09C" w14:textId="4867B342" w:rsidR="1E0F129A" w:rsidRPr="00F03354" w:rsidRDefault="1E0F129A" w:rsidP="387D0BC8">
            <w:pPr>
              <w:jc w:val="center"/>
            </w:pPr>
            <w:r w:rsidRPr="00F03354">
              <w:rPr>
                <w:rFonts w:ascii="VIC" w:hAnsi="VIC"/>
              </w:rPr>
              <w:t>Amendment</w:t>
            </w:r>
          </w:p>
        </w:tc>
        <w:tc>
          <w:tcPr>
            <w:tcW w:w="2496" w:type="dxa"/>
            <w:vAlign w:val="center"/>
          </w:tcPr>
          <w:p w14:paraId="480822E7" w14:textId="13E1E7C6" w:rsidR="56FF4E23" w:rsidRPr="00F03354" w:rsidRDefault="56FF4E23" w:rsidP="387D0BC8">
            <w:r w:rsidRPr="00F03354">
              <w:rPr>
                <w:rFonts w:ascii="VIC" w:hAnsi="VIC"/>
              </w:rPr>
              <w:t>Inconsistency</w:t>
            </w:r>
          </w:p>
        </w:tc>
      </w:tr>
      <w:tr w:rsidR="387D0BC8" w:rsidRPr="00F03354" w14:paraId="7042761E" w14:textId="77777777" w:rsidTr="43E0E1C9">
        <w:trPr>
          <w:trHeight w:val="709"/>
        </w:trPr>
        <w:tc>
          <w:tcPr>
            <w:tcW w:w="4530" w:type="dxa"/>
            <w:vAlign w:val="center"/>
          </w:tcPr>
          <w:p w14:paraId="06E381C3" w14:textId="2A8B6024" w:rsidR="16E2B6D1" w:rsidRPr="00F03354" w:rsidRDefault="16E2B6D1" w:rsidP="387D0BC8">
            <w:pPr>
              <w:rPr>
                <w:rFonts w:ascii="VIC" w:eastAsia="VIC" w:hAnsi="VIC" w:cs="VIC"/>
                <w:color w:val="242424"/>
              </w:rPr>
            </w:pPr>
            <w:r w:rsidRPr="00F03354">
              <w:rPr>
                <w:rFonts w:ascii="VIC" w:eastAsia="VIC" w:hAnsi="VIC" w:cs="VIC"/>
                <w:color w:val="242424"/>
              </w:rPr>
              <w:t>F</w:t>
            </w:r>
            <w:r w:rsidR="257684F0" w:rsidRPr="00F03354">
              <w:rPr>
                <w:rFonts w:ascii="VIC" w:eastAsia="VIC" w:hAnsi="VIC" w:cs="VIC"/>
                <w:color w:val="242424"/>
              </w:rPr>
              <w:t xml:space="preserve">orecast days of available cash measure name </w:t>
            </w:r>
            <w:r w:rsidR="57439C62" w:rsidRPr="00F03354">
              <w:rPr>
                <w:rFonts w:ascii="VIC" w:eastAsia="VIC" w:hAnsi="VIC" w:cs="VIC"/>
                <w:color w:val="242424"/>
              </w:rPr>
              <w:t xml:space="preserve">amended </w:t>
            </w:r>
            <w:r w:rsidR="257684F0" w:rsidRPr="00F03354">
              <w:rPr>
                <w:rFonts w:ascii="VIC" w:eastAsia="VIC" w:hAnsi="VIC" w:cs="VIC"/>
                <w:color w:val="242424"/>
              </w:rPr>
              <w:t>to include the word 'forecast' to distinguish from 'actual days of available cash'</w:t>
            </w:r>
          </w:p>
        </w:tc>
        <w:tc>
          <w:tcPr>
            <w:tcW w:w="1591" w:type="dxa"/>
            <w:vAlign w:val="center"/>
          </w:tcPr>
          <w:p w14:paraId="349C8F35" w14:textId="7B79DE7C" w:rsidR="0700F453" w:rsidRPr="00F03354" w:rsidRDefault="0700F453" w:rsidP="001F3269">
            <w:pPr>
              <w:spacing w:before="80" w:after="60"/>
              <w:jc w:val="center"/>
              <w:rPr>
                <w:rFonts w:ascii="VIC" w:hAnsi="VIC" w:cs="Arial"/>
              </w:rPr>
            </w:pPr>
            <w:r w:rsidRPr="00F03354">
              <w:rPr>
                <w:rFonts w:ascii="VIC" w:hAnsi="VIC" w:cs="Arial"/>
              </w:rPr>
              <w:t>Effective financial managemen</w:t>
            </w:r>
            <w:r w:rsidR="0243D71A" w:rsidRPr="00F03354">
              <w:rPr>
                <w:rFonts w:ascii="VIC" w:hAnsi="VIC" w:cs="Arial"/>
              </w:rPr>
              <w:t>t</w:t>
            </w:r>
          </w:p>
        </w:tc>
        <w:tc>
          <w:tcPr>
            <w:tcW w:w="1470" w:type="dxa"/>
            <w:vAlign w:val="center"/>
          </w:tcPr>
          <w:p w14:paraId="1B1CFB99" w14:textId="34886C1E" w:rsidR="722D8830" w:rsidRPr="00F03354" w:rsidRDefault="722D8830" w:rsidP="387D0BC8">
            <w:pPr>
              <w:jc w:val="center"/>
            </w:pPr>
            <w:r w:rsidRPr="00F03354">
              <w:rPr>
                <w:rFonts w:ascii="VIC" w:hAnsi="VIC"/>
              </w:rPr>
              <w:t>Amendment</w:t>
            </w:r>
          </w:p>
        </w:tc>
        <w:tc>
          <w:tcPr>
            <w:tcW w:w="2496" w:type="dxa"/>
            <w:vAlign w:val="center"/>
          </w:tcPr>
          <w:p w14:paraId="2B93C372" w14:textId="5C6090FA" w:rsidR="5994733D" w:rsidRPr="00F03354" w:rsidRDefault="5994733D" w:rsidP="387D0BC8">
            <w:pPr>
              <w:spacing w:line="259" w:lineRule="auto"/>
            </w:pPr>
            <w:r w:rsidRPr="00F03354">
              <w:rPr>
                <w:rFonts w:ascii="VIC" w:hAnsi="VIC"/>
              </w:rPr>
              <w:t>Accuracy of measure name</w:t>
            </w:r>
          </w:p>
        </w:tc>
      </w:tr>
      <w:tr w:rsidR="387D0BC8" w:rsidRPr="00F03354" w14:paraId="4A34A2E1" w14:textId="77777777" w:rsidTr="43E0E1C9">
        <w:trPr>
          <w:trHeight w:val="709"/>
        </w:trPr>
        <w:tc>
          <w:tcPr>
            <w:tcW w:w="4530" w:type="dxa"/>
            <w:vAlign w:val="center"/>
          </w:tcPr>
          <w:p w14:paraId="20A69218" w14:textId="7D673614" w:rsidR="49D4731E" w:rsidRPr="00F03354" w:rsidRDefault="49D4731E" w:rsidP="387D0BC8">
            <w:pPr>
              <w:rPr>
                <w:rFonts w:ascii="VIC" w:eastAsia="VIC" w:hAnsi="VIC" w:cs="VIC"/>
                <w:color w:val="000000" w:themeColor="text1"/>
              </w:rPr>
            </w:pPr>
            <w:r w:rsidRPr="00F03354">
              <w:rPr>
                <w:rFonts w:ascii="VIC" w:eastAsia="VIC" w:hAnsi="VIC" w:cs="VIC"/>
                <w:color w:val="000000" w:themeColor="text1"/>
              </w:rPr>
              <w:t xml:space="preserve">removal of word 'adult' from measure 'overall patient experience' to remain consistent with previous versions of PMF and include </w:t>
            </w:r>
            <w:r w:rsidR="1C67F209" w:rsidRPr="00F03354">
              <w:rPr>
                <w:rFonts w:ascii="VIC" w:eastAsia="VIC" w:hAnsi="VIC" w:cs="VIC"/>
                <w:color w:val="000000" w:themeColor="text1"/>
              </w:rPr>
              <w:t>paediatric</w:t>
            </w:r>
            <w:r w:rsidRPr="00F03354">
              <w:rPr>
                <w:rFonts w:ascii="VIC" w:eastAsia="VIC" w:hAnsi="VIC" w:cs="VIC"/>
                <w:color w:val="000000" w:themeColor="text1"/>
              </w:rPr>
              <w:t xml:space="preserve"> data from RCH</w:t>
            </w:r>
          </w:p>
        </w:tc>
        <w:tc>
          <w:tcPr>
            <w:tcW w:w="1591" w:type="dxa"/>
            <w:vAlign w:val="center"/>
          </w:tcPr>
          <w:p w14:paraId="3C32A34B" w14:textId="49A8F7AC" w:rsidR="599F8A26" w:rsidRPr="00F03354" w:rsidRDefault="599F8A26" w:rsidP="001F3269">
            <w:pPr>
              <w:jc w:val="center"/>
              <w:rPr>
                <w:rFonts w:ascii="VIC" w:hAnsi="VIC"/>
              </w:rPr>
            </w:pPr>
            <w:r w:rsidRPr="00F03354">
              <w:rPr>
                <w:rFonts w:ascii="VIC" w:hAnsi="VIC"/>
              </w:rPr>
              <w:t>Patient experience</w:t>
            </w:r>
          </w:p>
        </w:tc>
        <w:tc>
          <w:tcPr>
            <w:tcW w:w="1470" w:type="dxa"/>
            <w:vAlign w:val="center"/>
          </w:tcPr>
          <w:p w14:paraId="0578F095" w14:textId="451A991F" w:rsidR="722D8830" w:rsidRPr="00F03354" w:rsidRDefault="722D8830" w:rsidP="387D0BC8">
            <w:pPr>
              <w:jc w:val="center"/>
            </w:pPr>
            <w:r w:rsidRPr="00F03354">
              <w:rPr>
                <w:rFonts w:ascii="VIC" w:hAnsi="VIC"/>
              </w:rPr>
              <w:t>Amendment</w:t>
            </w:r>
          </w:p>
        </w:tc>
        <w:tc>
          <w:tcPr>
            <w:tcW w:w="2496" w:type="dxa"/>
            <w:vAlign w:val="center"/>
          </w:tcPr>
          <w:p w14:paraId="60668FC7" w14:textId="1909CB11" w:rsidR="0016AFE9" w:rsidRPr="00F03354" w:rsidRDefault="0016AFE9" w:rsidP="387D0BC8">
            <w:r w:rsidRPr="00F03354">
              <w:rPr>
                <w:rFonts w:ascii="VIC" w:hAnsi="VIC"/>
              </w:rPr>
              <w:t>Accuracy of measure name</w:t>
            </w:r>
          </w:p>
        </w:tc>
      </w:tr>
      <w:tr w:rsidR="387D0BC8" w:rsidRPr="00F03354" w14:paraId="2B8348D9" w14:textId="77777777" w:rsidTr="43E0E1C9">
        <w:trPr>
          <w:trHeight w:val="1320"/>
        </w:trPr>
        <w:tc>
          <w:tcPr>
            <w:tcW w:w="4530" w:type="dxa"/>
            <w:vAlign w:val="center"/>
          </w:tcPr>
          <w:p w14:paraId="07EF3F10" w14:textId="3CAE1110" w:rsidR="1952D73D" w:rsidRPr="00F03354" w:rsidRDefault="1952D73D" w:rsidP="387D0BC8">
            <w:pPr>
              <w:rPr>
                <w:rFonts w:ascii="VIC" w:eastAsia="VIC" w:hAnsi="VIC" w:cs="VIC"/>
                <w:color w:val="424242"/>
              </w:rPr>
            </w:pPr>
            <w:r w:rsidRPr="00F03354">
              <w:rPr>
                <w:rFonts w:ascii="VIC" w:eastAsia="VIC" w:hAnsi="VIC" w:cs="VIC"/>
                <w:color w:val="424242"/>
              </w:rPr>
              <w:t>“Operating result” reinstated as separate measure and edited description of measure “Operating result as a percentage of revenue” to non SoP</w:t>
            </w:r>
          </w:p>
        </w:tc>
        <w:tc>
          <w:tcPr>
            <w:tcW w:w="1591" w:type="dxa"/>
            <w:vAlign w:val="center"/>
          </w:tcPr>
          <w:p w14:paraId="293CFCE2" w14:textId="61296056" w:rsidR="70F639F7" w:rsidRPr="00F03354" w:rsidRDefault="70F639F7" w:rsidP="001F3269">
            <w:pPr>
              <w:spacing w:before="80" w:after="60"/>
              <w:jc w:val="center"/>
              <w:rPr>
                <w:rFonts w:ascii="VIC" w:hAnsi="VIC" w:cs="Arial"/>
              </w:rPr>
            </w:pPr>
            <w:r w:rsidRPr="00F03354">
              <w:rPr>
                <w:rFonts w:ascii="VIC" w:hAnsi="VIC" w:cs="Arial"/>
              </w:rPr>
              <w:t>Effective financial managemen</w:t>
            </w:r>
            <w:r w:rsidR="75CA2619" w:rsidRPr="00F03354">
              <w:rPr>
                <w:rFonts w:ascii="VIC" w:hAnsi="VIC" w:cs="Arial"/>
              </w:rPr>
              <w:t>t</w:t>
            </w:r>
          </w:p>
        </w:tc>
        <w:tc>
          <w:tcPr>
            <w:tcW w:w="1470" w:type="dxa"/>
            <w:vAlign w:val="center"/>
          </w:tcPr>
          <w:p w14:paraId="42484D00" w14:textId="0E91CDE1" w:rsidR="272FD2EC" w:rsidRPr="00F03354" w:rsidRDefault="272FD2EC" w:rsidP="387D0BC8">
            <w:pPr>
              <w:jc w:val="center"/>
            </w:pPr>
            <w:r w:rsidRPr="00F03354">
              <w:rPr>
                <w:rFonts w:ascii="VIC" w:hAnsi="VIC"/>
              </w:rPr>
              <w:t>Amendmen</w:t>
            </w:r>
            <w:r w:rsidR="1E3E650B" w:rsidRPr="00F03354">
              <w:rPr>
                <w:rFonts w:ascii="VIC" w:hAnsi="VIC"/>
              </w:rPr>
              <w:t>t</w:t>
            </w:r>
          </w:p>
        </w:tc>
        <w:tc>
          <w:tcPr>
            <w:tcW w:w="2496" w:type="dxa"/>
            <w:vAlign w:val="center"/>
          </w:tcPr>
          <w:p w14:paraId="617198AB" w14:textId="1AD86192" w:rsidR="07DC10F7" w:rsidRPr="00F03354" w:rsidRDefault="07DC10F7" w:rsidP="387D0BC8">
            <w:pPr>
              <w:rPr>
                <w:rFonts w:ascii="VIC" w:hAnsi="VIC"/>
              </w:rPr>
            </w:pPr>
            <w:r w:rsidRPr="00F03354">
              <w:rPr>
                <w:rFonts w:ascii="VIC" w:hAnsi="VIC"/>
              </w:rPr>
              <w:t>Inconsistency</w:t>
            </w:r>
          </w:p>
        </w:tc>
      </w:tr>
      <w:tr w:rsidR="387D0BC8" w:rsidRPr="00F03354" w14:paraId="73ECB717" w14:textId="77777777" w:rsidTr="43E0E1C9">
        <w:trPr>
          <w:trHeight w:val="709"/>
        </w:trPr>
        <w:tc>
          <w:tcPr>
            <w:tcW w:w="4530" w:type="dxa"/>
            <w:vAlign w:val="center"/>
          </w:tcPr>
          <w:p w14:paraId="3FA76B02" w14:textId="3B2BA7C5" w:rsidR="794F1A4D" w:rsidRPr="00F03354" w:rsidRDefault="794F1A4D" w:rsidP="387D0BC8">
            <w:pPr>
              <w:rPr>
                <w:rFonts w:ascii="VIC" w:eastAsia="VIC" w:hAnsi="VIC" w:cs="VIC"/>
                <w:color w:val="424242"/>
              </w:rPr>
            </w:pPr>
            <w:r w:rsidRPr="00F03354">
              <w:rPr>
                <w:rFonts w:ascii="VIC" w:eastAsia="VIC" w:hAnsi="VIC" w:cs="VIC"/>
                <w:color w:val="424242"/>
              </w:rPr>
              <w:t>Alternative measure name “Functional independence gain from an episode of rehabilitation admission to discharge relative to length of stay" to be included under description for "Average change in the functional independence measure (FIM) score per day of care for rehabilitation separations"</w:t>
            </w:r>
          </w:p>
        </w:tc>
        <w:tc>
          <w:tcPr>
            <w:tcW w:w="1591" w:type="dxa"/>
            <w:vAlign w:val="center"/>
          </w:tcPr>
          <w:p w14:paraId="5807A811" w14:textId="1543E1EB" w:rsidR="63273846" w:rsidRPr="00F03354" w:rsidRDefault="63273846" w:rsidP="001F3269">
            <w:pPr>
              <w:jc w:val="center"/>
              <w:rPr>
                <w:rFonts w:ascii="VIC" w:hAnsi="VIC"/>
              </w:rPr>
            </w:pPr>
            <w:r w:rsidRPr="00F03354">
              <w:rPr>
                <w:rFonts w:ascii="VIC" w:hAnsi="VIC"/>
              </w:rPr>
              <w:t>Continuing Care</w:t>
            </w:r>
          </w:p>
        </w:tc>
        <w:tc>
          <w:tcPr>
            <w:tcW w:w="1470" w:type="dxa"/>
            <w:vAlign w:val="center"/>
          </w:tcPr>
          <w:p w14:paraId="09560BD7" w14:textId="2364D470" w:rsidR="407ABB1B" w:rsidRPr="00F03354" w:rsidRDefault="407ABB1B" w:rsidP="387D0BC8">
            <w:pPr>
              <w:jc w:val="center"/>
            </w:pPr>
            <w:r w:rsidRPr="00F03354">
              <w:rPr>
                <w:rFonts w:ascii="VIC" w:hAnsi="VIC"/>
              </w:rPr>
              <w:t>Amendment</w:t>
            </w:r>
          </w:p>
        </w:tc>
        <w:tc>
          <w:tcPr>
            <w:tcW w:w="2496" w:type="dxa"/>
            <w:vAlign w:val="center"/>
          </w:tcPr>
          <w:p w14:paraId="4F9CA8DF" w14:textId="10EA9A71" w:rsidR="068AFB4B" w:rsidRPr="00F03354" w:rsidRDefault="068AFB4B" w:rsidP="387D0BC8">
            <w:pPr>
              <w:rPr>
                <w:rFonts w:ascii="VIC" w:hAnsi="VIC"/>
              </w:rPr>
            </w:pPr>
            <w:r w:rsidRPr="00F03354">
              <w:rPr>
                <w:rFonts w:ascii="VIC" w:hAnsi="VIC"/>
              </w:rPr>
              <w:t>Inconsistency</w:t>
            </w:r>
          </w:p>
        </w:tc>
      </w:tr>
      <w:tr w:rsidR="387D0BC8" w:rsidRPr="00F03354" w14:paraId="4C945E3E" w14:textId="77777777" w:rsidTr="43E0E1C9">
        <w:trPr>
          <w:trHeight w:val="709"/>
        </w:trPr>
        <w:tc>
          <w:tcPr>
            <w:tcW w:w="4530" w:type="dxa"/>
            <w:vAlign w:val="center"/>
          </w:tcPr>
          <w:p w14:paraId="6FDE9CD5" w14:textId="68B743C3" w:rsidR="677D2C85" w:rsidRPr="00F03354" w:rsidRDefault="72D9C404" w:rsidP="387D0BC8">
            <w:pPr>
              <w:rPr>
                <w:rFonts w:ascii="VIC" w:eastAsia="VIC" w:hAnsi="VIC" w:cs="VIC"/>
                <w:color w:val="424242"/>
              </w:rPr>
            </w:pPr>
            <w:r w:rsidRPr="00F03354">
              <w:rPr>
                <w:rFonts w:ascii="VIC" w:eastAsia="VIC" w:hAnsi="VIC" w:cs="VIC"/>
                <w:color w:val="424242"/>
              </w:rPr>
              <w:t>S</w:t>
            </w:r>
            <w:r w:rsidR="1DA6BBEE" w:rsidRPr="00F03354">
              <w:rPr>
                <w:rFonts w:ascii="VIC" w:eastAsia="VIC" w:hAnsi="VIC" w:cs="VIC"/>
                <w:color w:val="424242"/>
              </w:rPr>
              <w:t xml:space="preserve">tatus </w:t>
            </w:r>
            <w:r w:rsidR="42904F7F" w:rsidRPr="00F03354">
              <w:rPr>
                <w:rFonts w:ascii="VIC" w:eastAsia="VIC" w:hAnsi="VIC" w:cs="VIC"/>
                <w:color w:val="424242"/>
              </w:rPr>
              <w:t>of new Aboriginal Health - cultural safety measures</w:t>
            </w:r>
            <w:r w:rsidR="4611F63E" w:rsidRPr="00F03354">
              <w:rPr>
                <w:rFonts w:ascii="VIC" w:eastAsia="VIC" w:hAnsi="VIC" w:cs="VIC"/>
                <w:color w:val="424242"/>
              </w:rPr>
              <w:t xml:space="preserve"> corrected</w:t>
            </w:r>
            <w:r w:rsidR="1A56CD0D" w:rsidRPr="00F03354">
              <w:rPr>
                <w:rFonts w:ascii="VIC" w:eastAsia="VIC" w:hAnsi="VIC" w:cs="VIC"/>
                <w:color w:val="424242"/>
              </w:rPr>
              <w:t xml:space="preserve"> to non SoP</w:t>
            </w:r>
            <w:r w:rsidR="42904F7F" w:rsidRPr="00F03354">
              <w:rPr>
                <w:rFonts w:ascii="VIC" w:eastAsia="VIC" w:hAnsi="VIC" w:cs="VIC"/>
                <w:color w:val="424242"/>
              </w:rPr>
              <w:t xml:space="preserve"> </w:t>
            </w:r>
          </w:p>
        </w:tc>
        <w:tc>
          <w:tcPr>
            <w:tcW w:w="1591" w:type="dxa"/>
            <w:vAlign w:val="center"/>
          </w:tcPr>
          <w:p w14:paraId="4F23D5E1" w14:textId="333AEE9B" w:rsidR="080EE0C2" w:rsidRPr="00F03354" w:rsidRDefault="080EE0C2" w:rsidP="001F3269">
            <w:pPr>
              <w:jc w:val="center"/>
              <w:rPr>
                <w:rFonts w:ascii="VIC" w:hAnsi="VIC"/>
              </w:rPr>
            </w:pPr>
            <w:r w:rsidRPr="00F03354">
              <w:rPr>
                <w:rFonts w:ascii="VIC" w:hAnsi="VIC"/>
              </w:rPr>
              <w:t>Cultural Safety</w:t>
            </w:r>
          </w:p>
        </w:tc>
        <w:tc>
          <w:tcPr>
            <w:tcW w:w="1470" w:type="dxa"/>
            <w:vAlign w:val="center"/>
          </w:tcPr>
          <w:p w14:paraId="10F03819" w14:textId="304E019C" w:rsidR="74726504" w:rsidRPr="00F03354" w:rsidRDefault="74726504" w:rsidP="387D0BC8">
            <w:pPr>
              <w:jc w:val="center"/>
            </w:pPr>
            <w:r w:rsidRPr="00F03354">
              <w:rPr>
                <w:rFonts w:ascii="VIC" w:hAnsi="VIC"/>
              </w:rPr>
              <w:t>Amendment</w:t>
            </w:r>
          </w:p>
        </w:tc>
        <w:tc>
          <w:tcPr>
            <w:tcW w:w="2496" w:type="dxa"/>
            <w:vAlign w:val="center"/>
          </w:tcPr>
          <w:p w14:paraId="067B41A6" w14:textId="1F643C99" w:rsidR="1AEEC7B0" w:rsidRPr="00F03354" w:rsidRDefault="1AEEC7B0" w:rsidP="387D0BC8">
            <w:pPr>
              <w:rPr>
                <w:rFonts w:ascii="VIC" w:hAnsi="VIC"/>
              </w:rPr>
            </w:pPr>
            <w:r w:rsidRPr="00F03354">
              <w:rPr>
                <w:rFonts w:ascii="VIC" w:hAnsi="VIC"/>
              </w:rPr>
              <w:t>Minor error</w:t>
            </w:r>
          </w:p>
        </w:tc>
      </w:tr>
      <w:tr w:rsidR="387D0BC8" w:rsidRPr="00F03354" w14:paraId="02E9DC83" w14:textId="77777777" w:rsidTr="43E0E1C9">
        <w:trPr>
          <w:trHeight w:val="709"/>
        </w:trPr>
        <w:tc>
          <w:tcPr>
            <w:tcW w:w="4530" w:type="dxa"/>
            <w:vAlign w:val="center"/>
          </w:tcPr>
          <w:p w14:paraId="17BD8347" w14:textId="61F323A0" w:rsidR="1952D73D" w:rsidRPr="00F03354" w:rsidRDefault="1B0D1CE6" w:rsidP="387D0BC8">
            <w:pPr>
              <w:rPr>
                <w:rFonts w:ascii="VIC" w:eastAsia="VIC" w:hAnsi="VIC" w:cs="VIC"/>
                <w:color w:val="424242"/>
              </w:rPr>
            </w:pPr>
            <w:r w:rsidRPr="00F03354">
              <w:rPr>
                <w:rFonts w:ascii="VIC" w:eastAsia="VIC" w:hAnsi="VIC" w:cs="VIC"/>
                <w:color w:val="424242"/>
              </w:rPr>
              <w:t xml:space="preserve">Four </w:t>
            </w:r>
            <w:r w:rsidR="42904F7F" w:rsidRPr="00F03354">
              <w:rPr>
                <w:rFonts w:ascii="VIC" w:eastAsia="VIC" w:hAnsi="VIC" w:cs="VIC"/>
                <w:color w:val="424242"/>
              </w:rPr>
              <w:t>Cash Management measures in table 2 correct</w:t>
            </w:r>
            <w:r w:rsidR="70A8F246" w:rsidRPr="00F03354">
              <w:rPr>
                <w:rFonts w:ascii="VIC" w:eastAsia="VIC" w:hAnsi="VIC" w:cs="VIC"/>
                <w:color w:val="424242"/>
              </w:rPr>
              <w:t>ed to reflect</w:t>
            </w:r>
            <w:r w:rsidR="42904F7F" w:rsidRPr="00F03354">
              <w:rPr>
                <w:rFonts w:ascii="VIC" w:eastAsia="VIC" w:hAnsi="VIC" w:cs="VIC"/>
                <w:color w:val="424242"/>
              </w:rPr>
              <w:t xml:space="preserve"> SoP status</w:t>
            </w:r>
          </w:p>
          <w:p w14:paraId="68CF854C" w14:textId="6C6D369B" w:rsidR="1952D73D" w:rsidRPr="00F03354" w:rsidRDefault="1952D73D" w:rsidP="387D0BC8">
            <w:pPr>
              <w:rPr>
                <w:rFonts w:ascii="VIC" w:eastAsia="VIC" w:hAnsi="VIC" w:cs="VIC"/>
                <w:color w:val="424242"/>
              </w:rPr>
            </w:pPr>
            <w:r w:rsidRPr="00F03354">
              <w:rPr>
                <w:rFonts w:ascii="VIC" w:eastAsia="VIC" w:hAnsi="VIC" w:cs="VIC"/>
                <w:color w:val="424242"/>
              </w:rPr>
              <w:t>Trade creditors</w:t>
            </w:r>
            <w:r w:rsidRPr="00F03354">
              <w:br/>
            </w:r>
            <w:r w:rsidRPr="00F03354">
              <w:rPr>
                <w:rFonts w:ascii="VIC" w:eastAsia="VIC" w:hAnsi="VIC" w:cs="VIC"/>
                <w:color w:val="424242"/>
              </w:rPr>
              <w:t>Patient fee debtors</w:t>
            </w:r>
            <w:r w:rsidRPr="00F03354">
              <w:br/>
            </w:r>
            <w:r w:rsidRPr="00F03354">
              <w:rPr>
                <w:rFonts w:ascii="VIC" w:eastAsia="VIC" w:hAnsi="VIC" w:cs="VIC"/>
                <w:color w:val="424242"/>
              </w:rPr>
              <w:t>Adjusted current asset ratio</w:t>
            </w:r>
            <w:r w:rsidRPr="00F03354">
              <w:br/>
            </w:r>
            <w:r w:rsidRPr="00F03354">
              <w:rPr>
                <w:rFonts w:ascii="VIC" w:eastAsia="VIC" w:hAnsi="VIC" w:cs="VIC"/>
                <w:color w:val="424242"/>
              </w:rPr>
              <w:t>Current days of available cash</w:t>
            </w:r>
          </w:p>
        </w:tc>
        <w:tc>
          <w:tcPr>
            <w:tcW w:w="1591" w:type="dxa"/>
            <w:vAlign w:val="center"/>
          </w:tcPr>
          <w:p w14:paraId="10B202B1" w14:textId="1165895C" w:rsidR="45EC1D25" w:rsidRPr="00F03354" w:rsidRDefault="45EC1D25" w:rsidP="001F3269">
            <w:pPr>
              <w:spacing w:before="80" w:after="60"/>
              <w:jc w:val="center"/>
              <w:rPr>
                <w:rFonts w:ascii="VIC" w:hAnsi="VIC" w:cs="Arial"/>
              </w:rPr>
            </w:pPr>
            <w:r w:rsidRPr="00F03354">
              <w:rPr>
                <w:rFonts w:ascii="VIC" w:hAnsi="VIC" w:cs="Arial"/>
              </w:rPr>
              <w:t>Effective financial management</w:t>
            </w:r>
          </w:p>
        </w:tc>
        <w:tc>
          <w:tcPr>
            <w:tcW w:w="1470" w:type="dxa"/>
            <w:vAlign w:val="center"/>
          </w:tcPr>
          <w:p w14:paraId="082F5D90" w14:textId="6B9E128E" w:rsidR="09ADFEAB" w:rsidRPr="00F03354" w:rsidRDefault="09ADFEAB" w:rsidP="387D0BC8">
            <w:pPr>
              <w:jc w:val="center"/>
            </w:pPr>
            <w:r w:rsidRPr="00F03354">
              <w:rPr>
                <w:rFonts w:ascii="VIC" w:hAnsi="VIC"/>
              </w:rPr>
              <w:t>Amendment</w:t>
            </w:r>
          </w:p>
        </w:tc>
        <w:tc>
          <w:tcPr>
            <w:tcW w:w="2496" w:type="dxa"/>
            <w:vAlign w:val="center"/>
          </w:tcPr>
          <w:p w14:paraId="73898540" w14:textId="1F643C99" w:rsidR="6A41C8BC" w:rsidRPr="00F03354" w:rsidRDefault="6A41C8BC" w:rsidP="387D0BC8">
            <w:pPr>
              <w:rPr>
                <w:rFonts w:ascii="VIC" w:hAnsi="VIC"/>
              </w:rPr>
            </w:pPr>
            <w:r w:rsidRPr="00F03354">
              <w:rPr>
                <w:rFonts w:ascii="VIC" w:hAnsi="VIC"/>
              </w:rPr>
              <w:t>Minor error</w:t>
            </w:r>
          </w:p>
          <w:p w14:paraId="27C78E51" w14:textId="463FEBDE" w:rsidR="387D0BC8" w:rsidRPr="00F03354" w:rsidRDefault="387D0BC8" w:rsidP="387D0BC8">
            <w:pPr>
              <w:rPr>
                <w:rFonts w:ascii="VIC" w:hAnsi="VIC"/>
              </w:rPr>
            </w:pPr>
          </w:p>
        </w:tc>
      </w:tr>
      <w:tr w:rsidR="387D0BC8" w:rsidRPr="00F03354" w14:paraId="5F73734B" w14:textId="77777777" w:rsidTr="43E0E1C9">
        <w:trPr>
          <w:trHeight w:val="709"/>
        </w:trPr>
        <w:tc>
          <w:tcPr>
            <w:tcW w:w="4530" w:type="dxa"/>
            <w:vAlign w:val="center"/>
          </w:tcPr>
          <w:p w14:paraId="7F479983" w14:textId="4F0D608E" w:rsidR="1952D73D" w:rsidRPr="00F03354" w:rsidRDefault="0C9899C7" w:rsidP="387D0BC8">
            <w:pPr>
              <w:rPr>
                <w:rFonts w:ascii="VIC" w:eastAsia="VIC" w:hAnsi="VIC" w:cs="VIC"/>
                <w:color w:val="000000" w:themeColor="text1"/>
              </w:rPr>
            </w:pPr>
            <w:r w:rsidRPr="00F03354">
              <w:rPr>
                <w:rFonts w:ascii="VIC" w:eastAsia="VIC" w:hAnsi="VIC" w:cs="VIC"/>
                <w:color w:val="000000" w:themeColor="text1"/>
              </w:rPr>
              <w:t>A</w:t>
            </w:r>
            <w:r w:rsidR="42904F7F" w:rsidRPr="00F03354">
              <w:rPr>
                <w:rFonts w:ascii="VIC" w:eastAsia="VIC" w:hAnsi="VIC" w:cs="VIC"/>
                <w:color w:val="000000" w:themeColor="text1"/>
              </w:rPr>
              <w:t>ligned SoP status for measure "number of patients ON surgery waiting list" between Table 2 and Monitor</w:t>
            </w:r>
          </w:p>
          <w:p w14:paraId="58E4BE64" w14:textId="07CB49AB" w:rsidR="387D0BC8" w:rsidRPr="00F03354" w:rsidRDefault="387D0BC8" w:rsidP="387D0BC8">
            <w:pPr>
              <w:rPr>
                <w:rFonts w:ascii="VIC" w:eastAsia="VIC" w:hAnsi="VIC" w:cs="VIC"/>
                <w:color w:val="000000" w:themeColor="text1"/>
              </w:rPr>
            </w:pPr>
          </w:p>
        </w:tc>
        <w:tc>
          <w:tcPr>
            <w:tcW w:w="1591" w:type="dxa"/>
            <w:vAlign w:val="center"/>
          </w:tcPr>
          <w:p w14:paraId="0185B55A" w14:textId="6817C72E" w:rsidR="5A18A55F" w:rsidRPr="00F03354" w:rsidRDefault="5A18A55F" w:rsidP="001F3269">
            <w:pPr>
              <w:jc w:val="center"/>
              <w:rPr>
                <w:rFonts w:ascii="VIC" w:hAnsi="VIC"/>
              </w:rPr>
            </w:pPr>
            <w:r w:rsidRPr="00F03354">
              <w:rPr>
                <w:rFonts w:ascii="VIC" w:hAnsi="VIC"/>
              </w:rPr>
              <w:t>Elective Surgery</w:t>
            </w:r>
          </w:p>
        </w:tc>
        <w:tc>
          <w:tcPr>
            <w:tcW w:w="1470" w:type="dxa"/>
            <w:vAlign w:val="center"/>
          </w:tcPr>
          <w:p w14:paraId="02244A44" w14:textId="3D1CD1ED" w:rsidR="08C97828" w:rsidRPr="00F03354" w:rsidRDefault="08C97828" w:rsidP="387D0BC8">
            <w:pPr>
              <w:jc w:val="center"/>
            </w:pPr>
            <w:r w:rsidRPr="00F03354">
              <w:rPr>
                <w:rFonts w:ascii="VIC" w:hAnsi="VIC"/>
              </w:rPr>
              <w:t>Amendment</w:t>
            </w:r>
          </w:p>
        </w:tc>
        <w:tc>
          <w:tcPr>
            <w:tcW w:w="2496" w:type="dxa"/>
            <w:vAlign w:val="center"/>
          </w:tcPr>
          <w:p w14:paraId="68D709DB" w14:textId="1F643C99" w:rsidR="28DEF453" w:rsidRPr="00F03354" w:rsidRDefault="28DEF453" w:rsidP="387D0BC8">
            <w:pPr>
              <w:rPr>
                <w:rFonts w:ascii="VIC" w:hAnsi="VIC"/>
              </w:rPr>
            </w:pPr>
            <w:r w:rsidRPr="00F03354">
              <w:rPr>
                <w:rFonts w:ascii="VIC" w:hAnsi="VIC"/>
              </w:rPr>
              <w:t>Minor error</w:t>
            </w:r>
          </w:p>
          <w:p w14:paraId="0BAF10DC" w14:textId="6A6212A6" w:rsidR="387D0BC8" w:rsidRPr="00F03354" w:rsidRDefault="387D0BC8" w:rsidP="387D0BC8">
            <w:pPr>
              <w:rPr>
                <w:rFonts w:ascii="VIC" w:hAnsi="VIC"/>
              </w:rPr>
            </w:pPr>
          </w:p>
        </w:tc>
      </w:tr>
      <w:bookmarkEnd w:id="0"/>
    </w:tbl>
    <w:p w14:paraId="7EC9486A" w14:textId="77777777" w:rsidR="00683782" w:rsidRPr="00F03354" w:rsidRDefault="00683782" w:rsidP="00683782">
      <w:pPr>
        <w:spacing w:after="120" w:line="270" w:lineRule="atLeast"/>
        <w:rPr>
          <w:rFonts w:ascii="VIC" w:hAnsi="VIC"/>
          <w:sz w:val="20"/>
          <w:szCs w:val="20"/>
        </w:rPr>
      </w:pPr>
    </w:p>
    <w:p w14:paraId="0BE7EB45" w14:textId="77777777" w:rsidR="00683782" w:rsidRPr="00F03354" w:rsidRDefault="00683782">
      <w:pPr>
        <w:rPr>
          <w:rFonts w:ascii="VIC" w:hAnsi="VIC"/>
          <w:b/>
          <w:bCs/>
          <w:sz w:val="20"/>
          <w:szCs w:val="20"/>
        </w:rPr>
      </w:pPr>
      <w:r w:rsidRPr="00F03354">
        <w:rPr>
          <w:rFonts w:ascii="VIC" w:hAnsi="VIC"/>
          <w:b/>
          <w:bCs/>
          <w:sz w:val="20"/>
          <w:szCs w:val="20"/>
        </w:rPr>
        <w:br w:type="page"/>
      </w:r>
    </w:p>
    <w:p w14:paraId="795CD438" w14:textId="19E9EFBE" w:rsidR="00683782" w:rsidRPr="00F03354" w:rsidRDefault="00683782" w:rsidP="001B7F32">
      <w:pPr>
        <w:rPr>
          <w:rFonts w:ascii="VIC" w:hAnsi="VIC"/>
          <w:sz w:val="20"/>
          <w:szCs w:val="20"/>
        </w:rPr>
      </w:pPr>
      <w:r w:rsidRPr="00F03354">
        <w:rPr>
          <w:rFonts w:ascii="VIC" w:hAnsi="VIC"/>
          <w:b/>
          <w:bCs/>
          <w:sz w:val="20"/>
          <w:szCs w:val="20"/>
        </w:rPr>
        <w:lastRenderedPageBreak/>
        <w:t>Table 2</w:t>
      </w:r>
      <w:r w:rsidRPr="00F03354">
        <w:rPr>
          <w:rFonts w:ascii="VIC" w:hAnsi="VIC"/>
          <w:sz w:val="20"/>
          <w:szCs w:val="20"/>
        </w:rPr>
        <w:t>: List of Key Performance Measures</w:t>
      </w:r>
      <w:r w:rsidR="00280F65" w:rsidRPr="00F03354">
        <w:rPr>
          <w:rFonts w:ascii="VIC" w:hAnsi="VIC"/>
          <w:sz w:val="20"/>
          <w:szCs w:val="20"/>
        </w:rPr>
        <w:t xml:space="preserve"> – SOP and Non-SOP</w:t>
      </w:r>
    </w:p>
    <w:tbl>
      <w:tblPr>
        <w:tblStyle w:val="TableGrid2"/>
        <w:tblW w:w="0" w:type="auto"/>
        <w:tblLook w:val="04A0" w:firstRow="1" w:lastRow="0" w:firstColumn="1" w:lastColumn="0" w:noHBand="0" w:noVBand="1"/>
      </w:tblPr>
      <w:tblGrid>
        <w:gridCol w:w="454"/>
        <w:gridCol w:w="3110"/>
        <w:gridCol w:w="292"/>
        <w:gridCol w:w="426"/>
        <w:gridCol w:w="4626"/>
      </w:tblGrid>
      <w:tr w:rsidR="00280F65" w:rsidRPr="00F03354" w14:paraId="4CC31ECF" w14:textId="77777777" w:rsidTr="007201E3">
        <w:trPr>
          <w:trHeight w:val="458"/>
        </w:trPr>
        <w:tc>
          <w:tcPr>
            <w:tcW w:w="454" w:type="dxa"/>
            <w:tcBorders>
              <w:top w:val="single" w:sz="4" w:space="0" w:color="auto"/>
              <w:bottom w:val="single" w:sz="4" w:space="0" w:color="auto"/>
            </w:tcBorders>
            <w:shd w:val="clear" w:color="auto" w:fill="BDD6EE" w:themeFill="accent5" w:themeFillTint="66"/>
            <w:vAlign w:val="center"/>
          </w:tcPr>
          <w:p w14:paraId="57A9C724" w14:textId="77777777" w:rsidR="00280F65" w:rsidRPr="00F03354" w:rsidRDefault="00280F65" w:rsidP="00280F65">
            <w:pPr>
              <w:spacing w:line="270" w:lineRule="atLeast"/>
              <w:rPr>
                <w:rFonts w:ascii="VIC" w:eastAsia="Times" w:hAnsi="VIC"/>
              </w:rPr>
            </w:pPr>
          </w:p>
        </w:tc>
        <w:tc>
          <w:tcPr>
            <w:tcW w:w="3110" w:type="dxa"/>
            <w:tcBorders>
              <w:top w:val="nil"/>
              <w:bottom w:val="nil"/>
              <w:right w:val="nil"/>
            </w:tcBorders>
            <w:vAlign w:val="center"/>
          </w:tcPr>
          <w:p w14:paraId="2749820D" w14:textId="77777777" w:rsidR="00280F65" w:rsidRPr="00F03354" w:rsidRDefault="00280F65" w:rsidP="00280F65">
            <w:pPr>
              <w:spacing w:line="270" w:lineRule="atLeast"/>
              <w:rPr>
                <w:rFonts w:ascii="VIC" w:eastAsia="Times" w:hAnsi="VIC"/>
              </w:rPr>
            </w:pPr>
            <w:r w:rsidRPr="00F03354">
              <w:rPr>
                <w:rFonts w:ascii="VIC" w:eastAsia="Times" w:hAnsi="VIC"/>
              </w:rPr>
              <w:t>Statement of priority measure</w:t>
            </w:r>
          </w:p>
        </w:tc>
        <w:tc>
          <w:tcPr>
            <w:tcW w:w="292" w:type="dxa"/>
            <w:tcBorders>
              <w:top w:val="nil"/>
              <w:left w:val="nil"/>
              <w:bottom w:val="nil"/>
            </w:tcBorders>
            <w:vAlign w:val="center"/>
          </w:tcPr>
          <w:p w14:paraId="4A0EFB9F" w14:textId="77777777" w:rsidR="00280F65" w:rsidRPr="00F03354" w:rsidRDefault="00280F65" w:rsidP="00280F65">
            <w:pPr>
              <w:spacing w:line="270" w:lineRule="atLeast"/>
              <w:rPr>
                <w:rFonts w:ascii="VIC" w:eastAsia="Times" w:hAnsi="VIC"/>
              </w:rPr>
            </w:pPr>
          </w:p>
        </w:tc>
        <w:tc>
          <w:tcPr>
            <w:tcW w:w="426" w:type="dxa"/>
            <w:tcBorders>
              <w:top w:val="single" w:sz="4" w:space="0" w:color="auto"/>
              <w:bottom w:val="single" w:sz="4" w:space="0" w:color="auto"/>
            </w:tcBorders>
            <w:vAlign w:val="center"/>
          </w:tcPr>
          <w:p w14:paraId="3BD7E6DE" w14:textId="77777777" w:rsidR="00280F65" w:rsidRPr="00F03354" w:rsidRDefault="00280F65" w:rsidP="00280F65">
            <w:pPr>
              <w:spacing w:line="270" w:lineRule="atLeast"/>
              <w:rPr>
                <w:rFonts w:ascii="VIC" w:eastAsia="Times" w:hAnsi="VIC"/>
              </w:rPr>
            </w:pPr>
          </w:p>
        </w:tc>
        <w:tc>
          <w:tcPr>
            <w:tcW w:w="4626" w:type="dxa"/>
            <w:tcBorders>
              <w:top w:val="nil"/>
              <w:bottom w:val="nil"/>
              <w:right w:val="nil"/>
            </w:tcBorders>
            <w:vAlign w:val="center"/>
          </w:tcPr>
          <w:p w14:paraId="64C09FE6" w14:textId="77777777" w:rsidR="00280F65" w:rsidRPr="00F03354" w:rsidRDefault="00280F65" w:rsidP="00280F65">
            <w:pPr>
              <w:spacing w:line="270" w:lineRule="atLeast"/>
              <w:rPr>
                <w:rFonts w:ascii="VIC" w:eastAsia="Times" w:hAnsi="VIC"/>
              </w:rPr>
            </w:pPr>
            <w:r w:rsidRPr="00F03354">
              <w:rPr>
                <w:rFonts w:ascii="VIC" w:eastAsia="Times" w:hAnsi="VIC"/>
              </w:rPr>
              <w:t>Non-Statement of priority measure</w:t>
            </w:r>
          </w:p>
        </w:tc>
      </w:tr>
    </w:tbl>
    <w:p w14:paraId="077D3ED5" w14:textId="77777777" w:rsidR="00280F65" w:rsidRPr="00F03354" w:rsidRDefault="00280F65" w:rsidP="00280F65">
      <w:pPr>
        <w:keepNext/>
        <w:keepLines/>
        <w:spacing w:before="240" w:after="90" w:line="320" w:lineRule="atLeast"/>
        <w:outlineLvl w:val="2"/>
        <w:rPr>
          <w:rFonts w:ascii="VIC" w:eastAsia="MS Gothic" w:hAnsi="VIC" w:cs="Arial"/>
          <w:b/>
          <w:bCs/>
          <w:color w:val="244C5A"/>
          <w:sz w:val="20"/>
          <w:szCs w:val="20"/>
        </w:rPr>
      </w:pPr>
      <w:bookmarkStart w:id="1" w:name="_Toc517959115"/>
      <w:bookmarkStart w:id="2" w:name="_Toc10123533"/>
      <w:r w:rsidRPr="00F03354">
        <w:rPr>
          <w:rFonts w:ascii="VIC" w:eastAsia="MS Gothic" w:hAnsi="VIC" w:cs="Arial"/>
          <w:b/>
          <w:bCs/>
          <w:color w:val="244C5A"/>
          <w:sz w:val="20"/>
          <w:szCs w:val="20"/>
        </w:rPr>
        <w:t>High quality and safe care</w:t>
      </w:r>
      <w:bookmarkEnd w:id="1"/>
      <w:bookmarkEnd w:id="2"/>
    </w:p>
    <w:tbl>
      <w:tblPr>
        <w:tblStyle w:val="TableGrid3"/>
        <w:tblW w:w="9968" w:type="dxa"/>
        <w:tblInd w:w="-125" w:type="dxa"/>
        <w:tblLook w:val="06A0" w:firstRow="1" w:lastRow="0" w:firstColumn="1" w:lastColumn="0" w:noHBand="1" w:noVBand="1"/>
      </w:tblPr>
      <w:tblGrid>
        <w:gridCol w:w="1704"/>
        <w:gridCol w:w="10"/>
        <w:gridCol w:w="1892"/>
        <w:gridCol w:w="5012"/>
        <w:gridCol w:w="1350"/>
      </w:tblGrid>
      <w:tr w:rsidR="00296904" w:rsidRPr="00F03354" w14:paraId="006C050F" w14:textId="77777777" w:rsidTr="758D155A">
        <w:trPr>
          <w:cantSplit/>
          <w:trHeight w:val="334"/>
          <w:tblHeader/>
        </w:trPr>
        <w:tc>
          <w:tcPr>
            <w:tcW w:w="1704" w:type="dxa"/>
            <w:shd w:val="clear" w:color="auto" w:fill="244C5A"/>
            <w:vAlign w:val="center"/>
          </w:tcPr>
          <w:p w14:paraId="6AE02A79" w14:textId="3F4BBBAB" w:rsidR="00280F65" w:rsidRPr="00F03354" w:rsidRDefault="0D1BFB0A" w:rsidP="6BF3BDE6">
            <w:pPr>
              <w:spacing w:before="80" w:after="60"/>
              <w:rPr>
                <w:rFonts w:ascii="VIC" w:hAnsi="VIC" w:cs="Arial"/>
                <w:color w:val="FFFFFF" w:themeColor="background1"/>
              </w:rPr>
            </w:pPr>
            <w:bookmarkStart w:id="3" w:name="_Toc453325209"/>
            <w:r w:rsidRPr="00F03354">
              <w:rPr>
                <w:rFonts w:ascii="VIC" w:hAnsi="VIC" w:cs="Arial"/>
                <w:color w:val="FFFFFF" w:themeColor="background1"/>
              </w:rPr>
              <w:t>Program</w:t>
            </w:r>
          </w:p>
        </w:tc>
        <w:tc>
          <w:tcPr>
            <w:tcW w:w="1902" w:type="dxa"/>
            <w:gridSpan w:val="2"/>
            <w:shd w:val="clear" w:color="auto" w:fill="244C5A"/>
            <w:vAlign w:val="center"/>
          </w:tcPr>
          <w:p w14:paraId="34CA4D88" w14:textId="77777777" w:rsidR="00280F65" w:rsidRPr="00F03354" w:rsidRDefault="00280F65" w:rsidP="00280F65">
            <w:pPr>
              <w:spacing w:before="80" w:after="60"/>
              <w:rPr>
                <w:rFonts w:ascii="VIC" w:hAnsi="VIC" w:cs="Arial"/>
                <w:bCs/>
                <w:color w:val="FFFFFF" w:themeColor="background1"/>
              </w:rPr>
            </w:pPr>
            <w:r w:rsidRPr="00F03354">
              <w:rPr>
                <w:rFonts w:ascii="VIC" w:hAnsi="VIC" w:cs="Arial"/>
                <w:bCs/>
                <w:color w:val="FFFFFF" w:themeColor="background1"/>
              </w:rPr>
              <w:t>KPI</w:t>
            </w:r>
          </w:p>
        </w:tc>
        <w:tc>
          <w:tcPr>
            <w:tcW w:w="5012" w:type="dxa"/>
            <w:shd w:val="clear" w:color="auto" w:fill="244C5A"/>
            <w:vAlign w:val="center"/>
          </w:tcPr>
          <w:p w14:paraId="500D31B2" w14:textId="77777777" w:rsidR="00280F65" w:rsidRPr="00F03354" w:rsidRDefault="00280F65" w:rsidP="00280F65">
            <w:pPr>
              <w:spacing w:before="80" w:after="60"/>
              <w:rPr>
                <w:rFonts w:ascii="VIC" w:hAnsi="VIC" w:cs="Arial"/>
                <w:bCs/>
                <w:color w:val="FFFFFF" w:themeColor="background1"/>
              </w:rPr>
            </w:pPr>
            <w:r w:rsidRPr="00F03354">
              <w:rPr>
                <w:rFonts w:ascii="VIC" w:hAnsi="VIC" w:cs="Arial"/>
                <w:bCs/>
                <w:color w:val="FFFFFF" w:themeColor="background1"/>
              </w:rPr>
              <w:t>Key performance measure</w:t>
            </w:r>
          </w:p>
        </w:tc>
        <w:tc>
          <w:tcPr>
            <w:tcW w:w="1350" w:type="dxa"/>
            <w:shd w:val="clear" w:color="auto" w:fill="244C5A"/>
            <w:vAlign w:val="center"/>
          </w:tcPr>
          <w:p w14:paraId="25386AF5" w14:textId="77777777" w:rsidR="00280F65" w:rsidRPr="00F03354" w:rsidRDefault="00280F65" w:rsidP="00280F65">
            <w:pPr>
              <w:spacing w:before="80" w:after="60"/>
              <w:jc w:val="center"/>
              <w:rPr>
                <w:rFonts w:ascii="VIC" w:hAnsi="VIC" w:cs="Arial"/>
                <w:bCs/>
                <w:color w:val="FFFFFF" w:themeColor="background1"/>
              </w:rPr>
            </w:pPr>
            <w:r w:rsidRPr="00F03354">
              <w:rPr>
                <w:rFonts w:ascii="VIC" w:hAnsi="VIC" w:cs="Arial"/>
                <w:bCs/>
                <w:color w:val="FFFFFF" w:themeColor="background1"/>
              </w:rPr>
              <w:t>Target</w:t>
            </w:r>
          </w:p>
        </w:tc>
      </w:tr>
      <w:tr w:rsidR="00F13BE9" w:rsidRPr="00F03354" w14:paraId="24A81955" w14:textId="77777777" w:rsidTr="758D155A">
        <w:trPr>
          <w:cantSplit/>
          <w:trHeight w:val="543"/>
        </w:trPr>
        <w:tc>
          <w:tcPr>
            <w:tcW w:w="1714" w:type="dxa"/>
            <w:gridSpan w:val="2"/>
            <w:shd w:val="clear" w:color="auto" w:fill="FFFFFF" w:themeFill="background1"/>
          </w:tcPr>
          <w:p w14:paraId="4B0AD1F0" w14:textId="77777777" w:rsidR="00280F65" w:rsidRPr="00F03354" w:rsidRDefault="00280F65" w:rsidP="00280F65">
            <w:pPr>
              <w:spacing w:before="80" w:after="60"/>
              <w:rPr>
                <w:rFonts w:ascii="VIC" w:hAnsi="VIC" w:cs="Arial"/>
              </w:rPr>
            </w:pPr>
            <w:r w:rsidRPr="00F03354">
              <w:rPr>
                <w:rFonts w:ascii="VIC" w:hAnsi="VIC" w:cs="Arial"/>
              </w:rPr>
              <w:t>Accreditation</w:t>
            </w:r>
          </w:p>
        </w:tc>
        <w:tc>
          <w:tcPr>
            <w:tcW w:w="1892" w:type="dxa"/>
            <w:shd w:val="clear" w:color="auto" w:fill="FFFFFF" w:themeFill="background1"/>
          </w:tcPr>
          <w:p w14:paraId="7924B495" w14:textId="77777777" w:rsidR="00280F65" w:rsidRPr="00F03354" w:rsidRDefault="00280F65" w:rsidP="00280F65">
            <w:pPr>
              <w:spacing w:before="80" w:after="60"/>
              <w:rPr>
                <w:rFonts w:ascii="VIC" w:hAnsi="VIC" w:cs="Arial"/>
              </w:rPr>
            </w:pPr>
            <w:r w:rsidRPr="00F03354">
              <w:rPr>
                <w:rFonts w:ascii="VIC" w:hAnsi="VIC" w:cs="Arial"/>
              </w:rPr>
              <w:t>Residential aged care accreditation</w:t>
            </w:r>
          </w:p>
        </w:tc>
        <w:tc>
          <w:tcPr>
            <w:tcW w:w="5012" w:type="dxa"/>
            <w:shd w:val="clear" w:color="auto" w:fill="FFFFFF" w:themeFill="background1"/>
          </w:tcPr>
          <w:p w14:paraId="1030BFFA" w14:textId="77777777" w:rsidR="00280F65" w:rsidRPr="00F03354" w:rsidRDefault="084D64FE" w:rsidP="758D155A">
            <w:pPr>
              <w:spacing w:before="80" w:after="60"/>
              <w:rPr>
                <w:rFonts w:ascii="VIC" w:hAnsi="VIC" w:cs="Arial"/>
              </w:rPr>
            </w:pPr>
            <w:r w:rsidRPr="00F03354">
              <w:rPr>
                <w:rFonts w:ascii="VIC" w:hAnsi="VIC"/>
              </w:rPr>
              <w:t>Compliance with the commonwealth’s Aged Care Accreditation Standards</w:t>
            </w:r>
          </w:p>
        </w:tc>
        <w:tc>
          <w:tcPr>
            <w:tcW w:w="1350" w:type="dxa"/>
            <w:shd w:val="clear" w:color="auto" w:fill="FFFFFF" w:themeFill="background1"/>
          </w:tcPr>
          <w:p w14:paraId="3941996F" w14:textId="77777777" w:rsidR="00280F65" w:rsidRPr="00F03354" w:rsidRDefault="00280F65" w:rsidP="00280F65">
            <w:pPr>
              <w:spacing w:before="80" w:after="60"/>
              <w:jc w:val="right"/>
              <w:rPr>
                <w:rFonts w:ascii="VIC" w:hAnsi="VIC" w:cs="Arial"/>
              </w:rPr>
            </w:pPr>
            <w:r w:rsidRPr="00F03354">
              <w:rPr>
                <w:rFonts w:ascii="VIC" w:hAnsi="VIC" w:cs="Arial"/>
              </w:rPr>
              <w:t>Accredited</w:t>
            </w:r>
          </w:p>
        </w:tc>
      </w:tr>
      <w:tr w:rsidR="00F13BE9" w:rsidRPr="00F03354" w14:paraId="61A52DB0" w14:textId="77777777" w:rsidTr="758D155A">
        <w:trPr>
          <w:cantSplit/>
          <w:trHeight w:val="543"/>
        </w:trPr>
        <w:tc>
          <w:tcPr>
            <w:tcW w:w="1714" w:type="dxa"/>
            <w:gridSpan w:val="2"/>
            <w:vMerge w:val="restart"/>
            <w:shd w:val="clear" w:color="auto" w:fill="BDD6EE" w:themeFill="accent5" w:themeFillTint="66"/>
          </w:tcPr>
          <w:p w14:paraId="5FE09BD5" w14:textId="77777777" w:rsidR="00280F65" w:rsidRPr="00F03354" w:rsidRDefault="00280F65" w:rsidP="00280F65">
            <w:pPr>
              <w:spacing w:before="80" w:after="60"/>
              <w:rPr>
                <w:rFonts w:ascii="VIC" w:hAnsi="VIC" w:cs="Arial"/>
              </w:rPr>
            </w:pPr>
            <w:r w:rsidRPr="00F03354">
              <w:rPr>
                <w:rFonts w:ascii="VIC" w:hAnsi="VIC" w:cs="Arial"/>
              </w:rPr>
              <w:t>Infection prevention and control</w:t>
            </w:r>
          </w:p>
        </w:tc>
        <w:tc>
          <w:tcPr>
            <w:tcW w:w="1892" w:type="dxa"/>
            <w:shd w:val="clear" w:color="auto" w:fill="BDD6EE" w:themeFill="accent5" w:themeFillTint="66"/>
          </w:tcPr>
          <w:p w14:paraId="46C71EEF" w14:textId="77777777" w:rsidR="00280F65" w:rsidRPr="00F03354" w:rsidRDefault="00280F65" w:rsidP="00280F65">
            <w:pPr>
              <w:spacing w:before="80" w:after="60"/>
              <w:rPr>
                <w:rFonts w:ascii="VIC" w:hAnsi="VIC" w:cs="Arial"/>
              </w:rPr>
            </w:pPr>
            <w:r w:rsidRPr="00F03354">
              <w:rPr>
                <w:rFonts w:ascii="VIC" w:hAnsi="VIC" w:cs="Arial"/>
              </w:rPr>
              <w:t>Hand hygiene</w:t>
            </w:r>
          </w:p>
        </w:tc>
        <w:tc>
          <w:tcPr>
            <w:tcW w:w="5012" w:type="dxa"/>
            <w:shd w:val="clear" w:color="auto" w:fill="BDD6EE" w:themeFill="accent5" w:themeFillTint="66"/>
          </w:tcPr>
          <w:p w14:paraId="5FFA8785" w14:textId="77777777" w:rsidR="00280F65" w:rsidRPr="00F03354" w:rsidRDefault="084D64FE" w:rsidP="758D155A">
            <w:pPr>
              <w:spacing w:before="80" w:after="60"/>
              <w:rPr>
                <w:rFonts w:ascii="VIC" w:hAnsi="VIC" w:cs="Arial"/>
              </w:rPr>
            </w:pPr>
            <w:r w:rsidRPr="00F03354">
              <w:rPr>
                <w:rFonts w:ascii="VIC" w:hAnsi="VIC" w:cs="Arial"/>
              </w:rPr>
              <w:t>Compliance with the Hand Hygiene Australia program</w:t>
            </w:r>
          </w:p>
        </w:tc>
        <w:tc>
          <w:tcPr>
            <w:tcW w:w="1350" w:type="dxa"/>
            <w:shd w:val="clear" w:color="auto" w:fill="BDD6EE" w:themeFill="accent5" w:themeFillTint="66"/>
          </w:tcPr>
          <w:p w14:paraId="292DEB36" w14:textId="02C18643" w:rsidR="00280F65" w:rsidRPr="00F03354" w:rsidRDefault="084D64FE" w:rsidP="00280F65">
            <w:pPr>
              <w:spacing w:before="80" w:after="60"/>
              <w:jc w:val="right"/>
              <w:rPr>
                <w:rFonts w:ascii="VIC" w:hAnsi="VIC" w:cs="Arial"/>
              </w:rPr>
            </w:pPr>
            <w:r w:rsidRPr="00F03354">
              <w:rPr>
                <w:rFonts w:ascii="VIC" w:hAnsi="VIC" w:cs="Arial"/>
              </w:rPr>
              <w:t>85%</w:t>
            </w:r>
            <w:r w:rsidR="00280F65" w:rsidRPr="00F03354">
              <w:rPr>
                <w:rFonts w:ascii="VIC" w:hAnsi="VIC" w:cs="Arial"/>
                <w:vertAlign w:val="superscript"/>
              </w:rPr>
              <w:footnoteReference w:id="3"/>
            </w:r>
          </w:p>
        </w:tc>
      </w:tr>
      <w:tr w:rsidR="00F13BE9" w:rsidRPr="00F03354" w14:paraId="55AA18BB" w14:textId="77777777" w:rsidTr="758D155A">
        <w:trPr>
          <w:cantSplit/>
          <w:trHeight w:val="543"/>
        </w:trPr>
        <w:tc>
          <w:tcPr>
            <w:tcW w:w="1714" w:type="dxa"/>
            <w:gridSpan w:val="2"/>
            <w:vMerge/>
          </w:tcPr>
          <w:p w14:paraId="18D6A630" w14:textId="77777777" w:rsidR="00280F65" w:rsidRPr="00F03354" w:rsidRDefault="00280F65" w:rsidP="00280F65">
            <w:pPr>
              <w:spacing w:before="80" w:after="60"/>
              <w:rPr>
                <w:rFonts w:ascii="VIC" w:hAnsi="VIC"/>
              </w:rPr>
            </w:pPr>
          </w:p>
        </w:tc>
        <w:tc>
          <w:tcPr>
            <w:tcW w:w="1892" w:type="dxa"/>
            <w:shd w:val="clear" w:color="auto" w:fill="BDD6EE" w:themeFill="accent5" w:themeFillTint="66"/>
          </w:tcPr>
          <w:p w14:paraId="7DB22C77" w14:textId="77777777" w:rsidR="00280F65" w:rsidRPr="00F03354" w:rsidRDefault="00280F65" w:rsidP="00280F65">
            <w:pPr>
              <w:spacing w:before="80" w:after="60"/>
              <w:rPr>
                <w:rFonts w:ascii="VIC" w:hAnsi="VIC"/>
              </w:rPr>
            </w:pPr>
            <w:r w:rsidRPr="00F03354">
              <w:rPr>
                <w:rFonts w:ascii="VIC" w:hAnsi="VIC" w:cs="Arial"/>
              </w:rPr>
              <w:t>Health care worker immunisation</w:t>
            </w:r>
          </w:p>
        </w:tc>
        <w:tc>
          <w:tcPr>
            <w:tcW w:w="5012" w:type="dxa"/>
            <w:shd w:val="clear" w:color="auto" w:fill="BDD6EE" w:themeFill="accent5" w:themeFillTint="66"/>
          </w:tcPr>
          <w:p w14:paraId="3760D7CD" w14:textId="77777777" w:rsidR="00280F65" w:rsidRPr="00F03354" w:rsidRDefault="084D64FE" w:rsidP="758D155A">
            <w:pPr>
              <w:spacing w:before="80" w:after="60"/>
              <w:rPr>
                <w:rFonts w:ascii="VIC" w:hAnsi="VIC" w:cs="Arial"/>
              </w:rPr>
            </w:pPr>
            <w:r w:rsidRPr="00F03354">
              <w:rPr>
                <w:rFonts w:ascii="VIC" w:hAnsi="VIC" w:cs="Arial"/>
              </w:rPr>
              <w:t>Percentage of healthcare workers immunised for influenza</w:t>
            </w:r>
          </w:p>
        </w:tc>
        <w:tc>
          <w:tcPr>
            <w:tcW w:w="1350" w:type="dxa"/>
            <w:shd w:val="clear" w:color="auto" w:fill="BDD6EE" w:themeFill="accent5" w:themeFillTint="66"/>
          </w:tcPr>
          <w:p w14:paraId="1943B602" w14:textId="3F2DC23D" w:rsidR="00280F65" w:rsidRPr="00F03354" w:rsidRDefault="084D64FE" w:rsidP="00280F65">
            <w:pPr>
              <w:spacing w:before="80" w:after="60"/>
              <w:jc w:val="right"/>
              <w:rPr>
                <w:rFonts w:ascii="VIC" w:hAnsi="VIC" w:cs="Arial"/>
              </w:rPr>
            </w:pPr>
            <w:r w:rsidRPr="00F03354">
              <w:rPr>
                <w:rFonts w:ascii="VIC" w:hAnsi="VIC" w:cs="Arial"/>
              </w:rPr>
              <w:t>92%</w:t>
            </w:r>
            <w:r w:rsidR="00280F65" w:rsidRPr="00F03354">
              <w:rPr>
                <w:rFonts w:ascii="VIC" w:hAnsi="VIC"/>
                <w:vertAlign w:val="superscript"/>
              </w:rPr>
              <w:footnoteReference w:id="4"/>
            </w:r>
          </w:p>
        </w:tc>
      </w:tr>
      <w:tr w:rsidR="00296904" w:rsidRPr="00F03354" w14:paraId="303706FA" w14:textId="77777777" w:rsidTr="758D155A">
        <w:trPr>
          <w:cantSplit/>
          <w:trHeight w:val="543"/>
        </w:trPr>
        <w:tc>
          <w:tcPr>
            <w:tcW w:w="1714" w:type="dxa"/>
            <w:gridSpan w:val="2"/>
            <w:vMerge w:val="restart"/>
            <w:shd w:val="clear" w:color="auto" w:fill="BDD6EE" w:themeFill="accent5" w:themeFillTint="66"/>
          </w:tcPr>
          <w:p w14:paraId="7983AC00" w14:textId="77777777" w:rsidR="00487F95" w:rsidRPr="00F03354" w:rsidRDefault="00487F95" w:rsidP="00280F65">
            <w:pPr>
              <w:spacing w:before="80" w:after="60"/>
              <w:rPr>
                <w:rFonts w:ascii="VIC" w:hAnsi="VIC"/>
              </w:rPr>
            </w:pPr>
            <w:r w:rsidRPr="00F03354">
              <w:rPr>
                <w:rFonts w:ascii="VIC" w:hAnsi="VIC" w:cs="Arial"/>
              </w:rPr>
              <w:t>Patient experience</w:t>
            </w:r>
          </w:p>
        </w:tc>
        <w:tc>
          <w:tcPr>
            <w:tcW w:w="1892" w:type="dxa"/>
            <w:vMerge w:val="restart"/>
            <w:shd w:val="clear" w:color="auto" w:fill="BDD6EE" w:themeFill="accent5" w:themeFillTint="66"/>
            <w:vAlign w:val="center"/>
          </w:tcPr>
          <w:p w14:paraId="4B6A75AF" w14:textId="77777777" w:rsidR="00487F95" w:rsidRPr="00F03354" w:rsidRDefault="00487F95" w:rsidP="00487F95">
            <w:pPr>
              <w:spacing w:before="80" w:after="60"/>
              <w:rPr>
                <w:rFonts w:ascii="VIC" w:hAnsi="VIC" w:cs="Arial"/>
              </w:rPr>
            </w:pPr>
            <w:r w:rsidRPr="00F03354">
              <w:rPr>
                <w:rFonts w:ascii="VIC" w:hAnsi="VIC" w:cs="Arial"/>
              </w:rPr>
              <w:t>Overall experience</w:t>
            </w:r>
          </w:p>
        </w:tc>
        <w:tc>
          <w:tcPr>
            <w:tcW w:w="5012" w:type="dxa"/>
            <w:shd w:val="clear" w:color="auto" w:fill="BDD6EE" w:themeFill="accent5" w:themeFillTint="66"/>
          </w:tcPr>
          <w:p w14:paraId="4E3193D0" w14:textId="69E1464A" w:rsidR="00487F95" w:rsidRPr="00F03354" w:rsidRDefault="122B925F" w:rsidP="758D155A">
            <w:pPr>
              <w:spacing w:before="80" w:after="60"/>
              <w:rPr>
                <w:rFonts w:ascii="VIC" w:hAnsi="VIC" w:cs="Arial"/>
              </w:rPr>
            </w:pPr>
            <w:r w:rsidRPr="00F03354">
              <w:rPr>
                <w:rFonts w:ascii="VIC" w:hAnsi="VIC" w:cs="Arial"/>
              </w:rPr>
              <w:t xml:space="preserve">Percentage of patients who reported positive experiences of their hospital stay </w:t>
            </w:r>
          </w:p>
        </w:tc>
        <w:tc>
          <w:tcPr>
            <w:tcW w:w="1350" w:type="dxa"/>
            <w:shd w:val="clear" w:color="auto" w:fill="BDD6EE" w:themeFill="accent5" w:themeFillTint="66"/>
          </w:tcPr>
          <w:p w14:paraId="5F007936" w14:textId="77777777" w:rsidR="00487F95" w:rsidRPr="00F03354" w:rsidRDefault="00487F95" w:rsidP="00280F65">
            <w:pPr>
              <w:spacing w:before="80" w:after="60"/>
              <w:jc w:val="right"/>
              <w:rPr>
                <w:rFonts w:ascii="VIC" w:hAnsi="VIC" w:cs="Arial"/>
              </w:rPr>
            </w:pPr>
            <w:r w:rsidRPr="00F03354">
              <w:rPr>
                <w:rFonts w:ascii="VIC" w:hAnsi="VIC" w:cs="Arial"/>
              </w:rPr>
              <w:t>95%</w:t>
            </w:r>
          </w:p>
        </w:tc>
      </w:tr>
      <w:tr w:rsidR="00F13BE9" w:rsidRPr="00F03354" w14:paraId="6750A8B7" w14:textId="77777777" w:rsidTr="758D155A">
        <w:trPr>
          <w:cantSplit/>
          <w:trHeight w:val="543"/>
        </w:trPr>
        <w:tc>
          <w:tcPr>
            <w:tcW w:w="1714" w:type="dxa"/>
            <w:gridSpan w:val="2"/>
            <w:vMerge/>
          </w:tcPr>
          <w:p w14:paraId="4A13700C" w14:textId="77777777" w:rsidR="00487F95" w:rsidRPr="00F03354" w:rsidRDefault="00487F95" w:rsidP="00280F65">
            <w:pPr>
              <w:spacing w:before="80" w:after="60"/>
              <w:rPr>
                <w:rFonts w:ascii="VIC" w:hAnsi="VIC"/>
              </w:rPr>
            </w:pPr>
          </w:p>
        </w:tc>
        <w:tc>
          <w:tcPr>
            <w:tcW w:w="1892" w:type="dxa"/>
            <w:vMerge/>
          </w:tcPr>
          <w:p w14:paraId="66BE6448" w14:textId="77777777" w:rsidR="00487F95" w:rsidRPr="00F03354" w:rsidRDefault="00487F95" w:rsidP="00280F65">
            <w:pPr>
              <w:spacing w:before="80" w:after="60"/>
              <w:rPr>
                <w:rFonts w:ascii="VIC" w:hAnsi="VIC" w:cs="Arial"/>
              </w:rPr>
            </w:pPr>
          </w:p>
        </w:tc>
        <w:tc>
          <w:tcPr>
            <w:tcW w:w="5012" w:type="dxa"/>
            <w:shd w:val="clear" w:color="auto" w:fill="auto"/>
          </w:tcPr>
          <w:p w14:paraId="311A1BE3" w14:textId="5AE8B7EA" w:rsidR="00487F95" w:rsidRPr="00F03354" w:rsidRDefault="122B925F" w:rsidP="758D155A">
            <w:pPr>
              <w:spacing w:before="80" w:after="60"/>
              <w:rPr>
                <w:rFonts w:ascii="VIC" w:hAnsi="VIC" w:cs="Arial"/>
              </w:rPr>
            </w:pPr>
            <w:r w:rsidRPr="00F03354">
              <w:rPr>
                <w:rFonts w:ascii="VIC" w:hAnsi="VIC" w:cs="Arial"/>
              </w:rPr>
              <w:t>Percentage of adult patients who reported positive experiences of their discharge from hospital</w:t>
            </w:r>
          </w:p>
        </w:tc>
        <w:tc>
          <w:tcPr>
            <w:tcW w:w="1350" w:type="dxa"/>
            <w:shd w:val="clear" w:color="auto" w:fill="auto"/>
          </w:tcPr>
          <w:p w14:paraId="51ACA55C" w14:textId="6A2A335B" w:rsidR="00487F95" w:rsidRPr="00F03354" w:rsidRDefault="00487F95" w:rsidP="00280F65">
            <w:pPr>
              <w:spacing w:before="80" w:after="60"/>
              <w:jc w:val="right"/>
              <w:rPr>
                <w:rFonts w:ascii="VIC" w:hAnsi="VIC" w:cs="Arial"/>
              </w:rPr>
            </w:pPr>
            <w:r w:rsidRPr="00F03354">
              <w:rPr>
                <w:rFonts w:ascii="VIC" w:hAnsi="VIC" w:cs="Arial"/>
              </w:rPr>
              <w:t>75%</w:t>
            </w:r>
          </w:p>
        </w:tc>
      </w:tr>
      <w:tr w:rsidR="00F13BE9" w:rsidRPr="00F03354" w14:paraId="2D70A45D" w14:textId="77777777" w:rsidTr="758D155A">
        <w:trPr>
          <w:cantSplit/>
          <w:trHeight w:val="543"/>
        </w:trPr>
        <w:tc>
          <w:tcPr>
            <w:tcW w:w="1714" w:type="dxa"/>
            <w:gridSpan w:val="2"/>
            <w:vMerge/>
          </w:tcPr>
          <w:p w14:paraId="1C655CB5" w14:textId="77777777" w:rsidR="00487F95" w:rsidRPr="00F03354" w:rsidRDefault="00487F95" w:rsidP="00280F65">
            <w:pPr>
              <w:spacing w:before="80" w:after="60"/>
              <w:rPr>
                <w:rFonts w:ascii="VIC" w:hAnsi="VIC"/>
              </w:rPr>
            </w:pPr>
          </w:p>
        </w:tc>
        <w:tc>
          <w:tcPr>
            <w:tcW w:w="1892" w:type="dxa"/>
            <w:vMerge/>
          </w:tcPr>
          <w:p w14:paraId="77A258A1" w14:textId="77777777" w:rsidR="00487F95" w:rsidRPr="00F03354" w:rsidRDefault="00487F95" w:rsidP="00280F65">
            <w:pPr>
              <w:spacing w:before="80" w:after="60"/>
              <w:rPr>
                <w:rFonts w:ascii="VIC" w:hAnsi="VIC"/>
              </w:rPr>
            </w:pPr>
          </w:p>
        </w:tc>
        <w:tc>
          <w:tcPr>
            <w:tcW w:w="5012" w:type="dxa"/>
            <w:shd w:val="clear" w:color="auto" w:fill="auto"/>
          </w:tcPr>
          <w:p w14:paraId="2A2F0044" w14:textId="1F75A9A0" w:rsidR="00487F95" w:rsidRPr="00F03354" w:rsidRDefault="122B925F" w:rsidP="758D155A">
            <w:pPr>
              <w:spacing w:before="80" w:after="60"/>
              <w:rPr>
                <w:rFonts w:ascii="VIC" w:hAnsi="VIC" w:cs="Arial"/>
              </w:rPr>
            </w:pPr>
            <w:r w:rsidRPr="00F03354">
              <w:rPr>
                <w:rFonts w:ascii="VIC" w:hAnsi="VIC" w:cs="Arial"/>
              </w:rPr>
              <w:t>Percentage of adult patients who reported they were involved as much as they wanted to be in making decisions about their care</w:t>
            </w:r>
          </w:p>
        </w:tc>
        <w:tc>
          <w:tcPr>
            <w:tcW w:w="1350" w:type="dxa"/>
            <w:shd w:val="clear" w:color="auto" w:fill="auto"/>
          </w:tcPr>
          <w:p w14:paraId="6829FA35" w14:textId="13AFB413" w:rsidR="00487F95" w:rsidRPr="00F03354" w:rsidRDefault="00487F95" w:rsidP="00280F65">
            <w:pPr>
              <w:spacing w:before="80" w:after="60"/>
              <w:jc w:val="right"/>
              <w:rPr>
                <w:rFonts w:ascii="VIC" w:hAnsi="VIC" w:cs="Arial"/>
              </w:rPr>
            </w:pPr>
            <w:r w:rsidRPr="00F03354">
              <w:rPr>
                <w:rFonts w:ascii="VIC" w:hAnsi="VIC" w:cs="Arial"/>
              </w:rPr>
              <w:t>75%</w:t>
            </w:r>
          </w:p>
        </w:tc>
      </w:tr>
      <w:tr w:rsidR="00296904" w:rsidRPr="00F03354" w14:paraId="6F0A5E25" w14:textId="77777777" w:rsidTr="758D155A">
        <w:trPr>
          <w:cantSplit/>
          <w:trHeight w:val="543"/>
        </w:trPr>
        <w:tc>
          <w:tcPr>
            <w:tcW w:w="1714" w:type="dxa"/>
            <w:gridSpan w:val="2"/>
            <w:vMerge/>
          </w:tcPr>
          <w:p w14:paraId="555E46D8" w14:textId="77777777" w:rsidR="00487F95" w:rsidRPr="00F03354" w:rsidRDefault="00487F95" w:rsidP="00280F65">
            <w:pPr>
              <w:spacing w:before="80" w:after="60"/>
              <w:rPr>
                <w:rFonts w:ascii="VIC" w:hAnsi="VIC"/>
              </w:rPr>
            </w:pPr>
          </w:p>
        </w:tc>
        <w:tc>
          <w:tcPr>
            <w:tcW w:w="1892" w:type="dxa"/>
            <w:vMerge w:val="restart"/>
            <w:shd w:val="clear" w:color="auto" w:fill="BDD6EE" w:themeFill="accent5" w:themeFillTint="66"/>
            <w:vAlign w:val="center"/>
          </w:tcPr>
          <w:p w14:paraId="1CD0BC1D" w14:textId="77777777" w:rsidR="00487F95" w:rsidRPr="00F03354" w:rsidRDefault="00487F95" w:rsidP="00487F95">
            <w:pPr>
              <w:spacing w:before="80" w:after="60"/>
              <w:rPr>
                <w:rFonts w:ascii="VIC" w:hAnsi="VIC"/>
              </w:rPr>
            </w:pPr>
            <w:r w:rsidRPr="00F03354">
              <w:rPr>
                <w:rFonts w:ascii="VIC" w:hAnsi="VIC"/>
              </w:rPr>
              <w:t>Mental health</w:t>
            </w:r>
          </w:p>
        </w:tc>
        <w:tc>
          <w:tcPr>
            <w:tcW w:w="5012" w:type="dxa"/>
            <w:shd w:val="clear" w:color="auto" w:fill="BDD6EE" w:themeFill="accent5" w:themeFillTint="66"/>
          </w:tcPr>
          <w:p w14:paraId="0ECD70BE" w14:textId="735558FB" w:rsidR="00487F95" w:rsidRPr="00F03354" w:rsidRDefault="66CD6C64" w:rsidP="758D155A">
            <w:pPr>
              <w:spacing w:before="80" w:after="60"/>
              <w:rPr>
                <w:rFonts w:ascii="VIC" w:hAnsi="VIC" w:cs="Arial"/>
              </w:rPr>
            </w:pPr>
            <w:r w:rsidRPr="00F03354">
              <w:rPr>
                <w:rFonts w:ascii="VIC" w:hAnsi="VIC" w:cs="Arial"/>
              </w:rPr>
              <w:t>Percentage of consumers who rated their overall experience of care with a service in the last 3 months as positive</w:t>
            </w:r>
          </w:p>
        </w:tc>
        <w:tc>
          <w:tcPr>
            <w:tcW w:w="1350" w:type="dxa"/>
            <w:shd w:val="clear" w:color="auto" w:fill="BDD6EE" w:themeFill="accent5" w:themeFillTint="66"/>
          </w:tcPr>
          <w:p w14:paraId="7A6AD215" w14:textId="77777777" w:rsidR="00487F95" w:rsidRPr="00F03354" w:rsidRDefault="00487F95" w:rsidP="00280F65">
            <w:pPr>
              <w:spacing w:before="80" w:after="60"/>
              <w:jc w:val="right"/>
              <w:rPr>
                <w:rFonts w:ascii="VIC" w:hAnsi="VIC" w:cs="Arial"/>
              </w:rPr>
            </w:pPr>
            <w:r w:rsidRPr="00F03354">
              <w:rPr>
                <w:rFonts w:ascii="VIC" w:hAnsi="VIC" w:cs="Arial"/>
              </w:rPr>
              <w:t>80%</w:t>
            </w:r>
          </w:p>
        </w:tc>
      </w:tr>
      <w:tr w:rsidR="00F13BE9" w:rsidRPr="00F03354" w14:paraId="25D9CCBE" w14:textId="77777777" w:rsidTr="758D155A">
        <w:trPr>
          <w:cantSplit/>
          <w:trHeight w:val="543"/>
        </w:trPr>
        <w:tc>
          <w:tcPr>
            <w:tcW w:w="1714" w:type="dxa"/>
            <w:gridSpan w:val="2"/>
            <w:vMerge/>
          </w:tcPr>
          <w:p w14:paraId="7BCAAEA5" w14:textId="77777777" w:rsidR="00487F95" w:rsidRPr="00F03354" w:rsidRDefault="00487F95" w:rsidP="00280F65">
            <w:pPr>
              <w:spacing w:before="80" w:after="60"/>
              <w:rPr>
                <w:rFonts w:ascii="VIC" w:hAnsi="VIC"/>
              </w:rPr>
            </w:pPr>
          </w:p>
        </w:tc>
        <w:tc>
          <w:tcPr>
            <w:tcW w:w="1892" w:type="dxa"/>
            <w:vMerge/>
          </w:tcPr>
          <w:p w14:paraId="299ADDDD" w14:textId="77777777" w:rsidR="00487F95" w:rsidRPr="00F03354" w:rsidRDefault="00487F95" w:rsidP="00280F65">
            <w:pPr>
              <w:spacing w:before="80" w:after="60"/>
              <w:rPr>
                <w:rFonts w:ascii="VIC" w:hAnsi="VIC"/>
              </w:rPr>
            </w:pPr>
          </w:p>
        </w:tc>
        <w:tc>
          <w:tcPr>
            <w:tcW w:w="5012" w:type="dxa"/>
            <w:shd w:val="clear" w:color="auto" w:fill="BDD6EE" w:themeFill="accent5" w:themeFillTint="66"/>
          </w:tcPr>
          <w:p w14:paraId="353E2CBF" w14:textId="77777777" w:rsidR="00487F95" w:rsidRPr="00F03354" w:rsidRDefault="122B925F" w:rsidP="758D155A">
            <w:pPr>
              <w:spacing w:before="80" w:after="60"/>
              <w:rPr>
                <w:rFonts w:ascii="VIC" w:hAnsi="VIC" w:cs="Arial"/>
              </w:rPr>
            </w:pPr>
            <w:r w:rsidRPr="00F03354">
              <w:rPr>
                <w:rFonts w:ascii="VIC" w:hAnsi="VIC" w:cs="Arial"/>
              </w:rPr>
              <w:t>Percentage of mental health consumers reporting they ‘usually’ or ‘always’ felt safe using this service</w:t>
            </w:r>
          </w:p>
        </w:tc>
        <w:tc>
          <w:tcPr>
            <w:tcW w:w="1350" w:type="dxa"/>
            <w:shd w:val="clear" w:color="auto" w:fill="BDD6EE" w:themeFill="accent5" w:themeFillTint="66"/>
          </w:tcPr>
          <w:p w14:paraId="2D475D7A" w14:textId="77777777" w:rsidR="00487F95" w:rsidRPr="00F03354" w:rsidRDefault="00487F95" w:rsidP="00280F65">
            <w:pPr>
              <w:spacing w:before="80" w:after="60"/>
              <w:jc w:val="right"/>
              <w:rPr>
                <w:rFonts w:ascii="VIC" w:hAnsi="VIC" w:cs="Arial"/>
              </w:rPr>
            </w:pPr>
            <w:r w:rsidRPr="00F03354">
              <w:rPr>
                <w:rFonts w:ascii="VIC" w:hAnsi="VIC" w:cs="Arial"/>
              </w:rPr>
              <w:t>90%</w:t>
            </w:r>
          </w:p>
        </w:tc>
      </w:tr>
      <w:tr w:rsidR="00F13BE9" w:rsidRPr="00F03354" w14:paraId="1DFA0E1C" w14:textId="77777777" w:rsidTr="758D155A">
        <w:trPr>
          <w:cantSplit/>
          <w:trHeight w:val="543"/>
        </w:trPr>
        <w:tc>
          <w:tcPr>
            <w:tcW w:w="1714" w:type="dxa"/>
            <w:gridSpan w:val="2"/>
            <w:vMerge/>
          </w:tcPr>
          <w:p w14:paraId="5B29B18D" w14:textId="77777777" w:rsidR="00487F95" w:rsidRPr="00F03354" w:rsidRDefault="00487F95" w:rsidP="00280F65">
            <w:pPr>
              <w:spacing w:before="80" w:after="60"/>
              <w:rPr>
                <w:rFonts w:ascii="VIC" w:hAnsi="VIC"/>
              </w:rPr>
            </w:pPr>
          </w:p>
        </w:tc>
        <w:tc>
          <w:tcPr>
            <w:tcW w:w="1892" w:type="dxa"/>
            <w:vMerge/>
          </w:tcPr>
          <w:p w14:paraId="698D5D90" w14:textId="77777777" w:rsidR="00487F95" w:rsidRPr="00F03354" w:rsidRDefault="00487F95" w:rsidP="00280F65">
            <w:pPr>
              <w:spacing w:before="80" w:after="60"/>
              <w:rPr>
                <w:rFonts w:ascii="VIC" w:hAnsi="VIC"/>
              </w:rPr>
            </w:pPr>
          </w:p>
        </w:tc>
        <w:tc>
          <w:tcPr>
            <w:tcW w:w="5012" w:type="dxa"/>
            <w:shd w:val="clear" w:color="auto" w:fill="BDD6EE" w:themeFill="accent5" w:themeFillTint="66"/>
          </w:tcPr>
          <w:p w14:paraId="6F4B5A5E" w14:textId="0CEABFDC" w:rsidR="00487F95" w:rsidRPr="00F03354" w:rsidRDefault="66CD6C64" w:rsidP="758D155A">
            <w:pPr>
              <w:spacing w:before="80" w:after="60"/>
              <w:rPr>
                <w:rFonts w:ascii="VIC" w:hAnsi="VIC" w:cs="Arial"/>
              </w:rPr>
            </w:pPr>
            <w:r w:rsidRPr="00F03354">
              <w:rPr>
                <w:rFonts w:ascii="VIC" w:hAnsi="VIC" w:cs="Arial"/>
              </w:rPr>
              <w:t>Percentage of families/carers reporting a ‘very good’ or ‘excellent’ overall experience of the service</w:t>
            </w:r>
          </w:p>
        </w:tc>
        <w:tc>
          <w:tcPr>
            <w:tcW w:w="1350" w:type="dxa"/>
            <w:shd w:val="clear" w:color="auto" w:fill="BDD6EE" w:themeFill="accent5" w:themeFillTint="66"/>
          </w:tcPr>
          <w:p w14:paraId="38D6A80F" w14:textId="406DEC6A" w:rsidR="00487F95" w:rsidRPr="00F03354" w:rsidRDefault="00487F95" w:rsidP="00280F65">
            <w:pPr>
              <w:spacing w:before="80" w:after="60"/>
              <w:jc w:val="right"/>
              <w:rPr>
                <w:rFonts w:ascii="VIC" w:hAnsi="VIC" w:cs="Arial"/>
              </w:rPr>
            </w:pPr>
            <w:r w:rsidRPr="00F03354">
              <w:rPr>
                <w:rFonts w:ascii="VIC" w:hAnsi="VIC" w:cs="Arial"/>
              </w:rPr>
              <w:t>80%</w:t>
            </w:r>
          </w:p>
        </w:tc>
      </w:tr>
      <w:tr w:rsidR="00F13BE9" w:rsidRPr="00F03354" w14:paraId="36EF5FCE" w14:textId="77777777" w:rsidTr="758D155A">
        <w:trPr>
          <w:cantSplit/>
          <w:trHeight w:val="543"/>
        </w:trPr>
        <w:tc>
          <w:tcPr>
            <w:tcW w:w="1714" w:type="dxa"/>
            <w:gridSpan w:val="2"/>
            <w:vMerge/>
          </w:tcPr>
          <w:p w14:paraId="2CF49AF0" w14:textId="77777777" w:rsidR="00487F95" w:rsidRPr="00F03354" w:rsidRDefault="00487F95" w:rsidP="00280F65">
            <w:pPr>
              <w:spacing w:before="80" w:after="60"/>
              <w:rPr>
                <w:rFonts w:ascii="VIC" w:hAnsi="VIC"/>
              </w:rPr>
            </w:pPr>
          </w:p>
        </w:tc>
        <w:tc>
          <w:tcPr>
            <w:tcW w:w="1892" w:type="dxa"/>
            <w:vMerge/>
          </w:tcPr>
          <w:p w14:paraId="3EE8A462" w14:textId="77777777" w:rsidR="00487F95" w:rsidRPr="00F03354" w:rsidRDefault="00487F95" w:rsidP="00280F65">
            <w:pPr>
              <w:spacing w:before="80" w:after="60"/>
              <w:rPr>
                <w:rFonts w:ascii="VIC" w:hAnsi="VIC"/>
              </w:rPr>
            </w:pPr>
          </w:p>
        </w:tc>
        <w:tc>
          <w:tcPr>
            <w:tcW w:w="5012" w:type="dxa"/>
            <w:shd w:val="clear" w:color="auto" w:fill="BDD6EE" w:themeFill="accent5" w:themeFillTint="66"/>
          </w:tcPr>
          <w:p w14:paraId="7DF70A1B" w14:textId="5848ED99" w:rsidR="00487F95" w:rsidRPr="00F03354" w:rsidRDefault="122B925F" w:rsidP="758D155A">
            <w:pPr>
              <w:spacing w:before="80" w:after="60"/>
              <w:rPr>
                <w:rFonts w:ascii="VIC" w:hAnsi="VIC" w:cs="Arial"/>
              </w:rPr>
            </w:pPr>
            <w:r w:rsidRPr="00F03354">
              <w:rPr>
                <w:rFonts w:ascii="VIC" w:hAnsi="VIC" w:cs="Arial"/>
              </w:rPr>
              <w:t>Percentage of families/carers who report they were ‘always’ or ‘usually’ felt their opinions as a carer were respected</w:t>
            </w:r>
          </w:p>
        </w:tc>
        <w:tc>
          <w:tcPr>
            <w:tcW w:w="1350" w:type="dxa"/>
            <w:shd w:val="clear" w:color="auto" w:fill="BDD6EE" w:themeFill="accent5" w:themeFillTint="66"/>
          </w:tcPr>
          <w:p w14:paraId="094BAB18" w14:textId="0F8C9F5B" w:rsidR="00487F95" w:rsidRPr="00F03354" w:rsidRDefault="00487F95" w:rsidP="00280F65">
            <w:pPr>
              <w:spacing w:before="80" w:after="60"/>
              <w:jc w:val="right"/>
              <w:rPr>
                <w:rFonts w:ascii="VIC" w:hAnsi="VIC" w:cs="Arial"/>
              </w:rPr>
            </w:pPr>
            <w:r w:rsidRPr="00F03354">
              <w:rPr>
                <w:rFonts w:ascii="VIC" w:hAnsi="VIC" w:cs="Arial"/>
              </w:rPr>
              <w:t>90%</w:t>
            </w:r>
          </w:p>
        </w:tc>
      </w:tr>
      <w:tr w:rsidR="00296904" w:rsidRPr="00F03354" w14:paraId="5D7CA9F2" w14:textId="77777777" w:rsidTr="758D155A">
        <w:trPr>
          <w:cantSplit/>
          <w:trHeight w:val="543"/>
        </w:trPr>
        <w:tc>
          <w:tcPr>
            <w:tcW w:w="1714" w:type="dxa"/>
            <w:gridSpan w:val="2"/>
            <w:vMerge w:val="restart"/>
            <w:shd w:val="clear" w:color="auto" w:fill="BDD6EE" w:themeFill="accent5" w:themeFillTint="66"/>
          </w:tcPr>
          <w:p w14:paraId="2F904A13" w14:textId="77777777" w:rsidR="00280F65" w:rsidRPr="00F03354" w:rsidRDefault="00280F65" w:rsidP="00280F65">
            <w:pPr>
              <w:spacing w:before="80" w:after="60"/>
              <w:rPr>
                <w:rFonts w:ascii="VIC" w:hAnsi="VIC"/>
              </w:rPr>
            </w:pPr>
            <w:r w:rsidRPr="00F03354">
              <w:rPr>
                <w:rFonts w:ascii="VIC" w:hAnsi="VIC"/>
              </w:rPr>
              <w:t>Healthcare associated infections (HAI’s)</w:t>
            </w:r>
          </w:p>
        </w:tc>
        <w:tc>
          <w:tcPr>
            <w:tcW w:w="1892" w:type="dxa"/>
            <w:vMerge w:val="restart"/>
            <w:shd w:val="clear" w:color="auto" w:fill="BDD6EE" w:themeFill="accent5" w:themeFillTint="66"/>
            <w:vAlign w:val="center"/>
          </w:tcPr>
          <w:p w14:paraId="4D768575" w14:textId="77777777" w:rsidR="00280F65" w:rsidRPr="00F03354" w:rsidRDefault="00280F65" w:rsidP="00487F95">
            <w:pPr>
              <w:spacing w:before="80" w:after="60"/>
              <w:rPr>
                <w:rFonts w:ascii="VIC" w:hAnsi="VIC"/>
              </w:rPr>
            </w:pPr>
            <w:r w:rsidRPr="00F03354">
              <w:rPr>
                <w:rFonts w:ascii="VIC" w:hAnsi="VIC"/>
              </w:rPr>
              <w:t>Surgical site infection (SSI)</w:t>
            </w:r>
          </w:p>
        </w:tc>
        <w:tc>
          <w:tcPr>
            <w:tcW w:w="5012" w:type="dxa"/>
            <w:shd w:val="clear" w:color="auto" w:fill="BDD6EE" w:themeFill="accent5" w:themeFillTint="66"/>
          </w:tcPr>
          <w:p w14:paraId="56EAA914" w14:textId="77777777" w:rsidR="00280F65" w:rsidRPr="00F03354" w:rsidRDefault="084D64FE" w:rsidP="758D155A">
            <w:pPr>
              <w:spacing w:before="80" w:after="60"/>
              <w:rPr>
                <w:rFonts w:ascii="VIC" w:hAnsi="VIC" w:cs="Arial"/>
              </w:rPr>
            </w:pPr>
            <w:r w:rsidRPr="00F03354">
              <w:rPr>
                <w:rFonts w:ascii="VIC" w:hAnsi="VIC" w:cs="Arial"/>
              </w:rPr>
              <w:t>Rate of surgical site infections for selected procedures (aggregate)</w:t>
            </w:r>
          </w:p>
        </w:tc>
        <w:tc>
          <w:tcPr>
            <w:tcW w:w="1350" w:type="dxa"/>
            <w:shd w:val="clear" w:color="auto" w:fill="BDD6EE" w:themeFill="accent5" w:themeFillTint="66"/>
          </w:tcPr>
          <w:p w14:paraId="03653A5D" w14:textId="77777777" w:rsidR="00280F65" w:rsidRPr="00F03354" w:rsidRDefault="00280F65" w:rsidP="00280F65">
            <w:pPr>
              <w:spacing w:before="80" w:after="60"/>
              <w:jc w:val="right"/>
              <w:rPr>
                <w:rFonts w:ascii="VIC" w:hAnsi="VIC" w:cs="Arial"/>
              </w:rPr>
            </w:pPr>
            <w:r w:rsidRPr="00F03354">
              <w:rPr>
                <w:rFonts w:ascii="VIC" w:hAnsi="VIC" w:cs="Arial"/>
              </w:rPr>
              <w:t>No outliers</w:t>
            </w:r>
          </w:p>
        </w:tc>
      </w:tr>
      <w:tr w:rsidR="00296904" w:rsidRPr="00F03354" w14:paraId="0125812A" w14:textId="77777777" w:rsidTr="758D155A">
        <w:trPr>
          <w:cantSplit/>
          <w:trHeight w:val="543"/>
        </w:trPr>
        <w:tc>
          <w:tcPr>
            <w:tcW w:w="1714" w:type="dxa"/>
            <w:gridSpan w:val="2"/>
            <w:vMerge/>
          </w:tcPr>
          <w:p w14:paraId="1290908B" w14:textId="77777777" w:rsidR="00280F65" w:rsidRPr="00F03354" w:rsidRDefault="00280F65" w:rsidP="00280F65">
            <w:pPr>
              <w:spacing w:before="80" w:after="60"/>
              <w:rPr>
                <w:rFonts w:ascii="VIC" w:hAnsi="VIC"/>
              </w:rPr>
            </w:pPr>
          </w:p>
        </w:tc>
        <w:tc>
          <w:tcPr>
            <w:tcW w:w="1892" w:type="dxa"/>
            <w:vMerge/>
          </w:tcPr>
          <w:p w14:paraId="4F05DFFD" w14:textId="77777777" w:rsidR="00280F65" w:rsidRPr="00F03354" w:rsidRDefault="00280F65" w:rsidP="00280F65">
            <w:pPr>
              <w:spacing w:before="80" w:after="60"/>
              <w:rPr>
                <w:rFonts w:ascii="VIC" w:hAnsi="VIC"/>
              </w:rPr>
            </w:pPr>
          </w:p>
        </w:tc>
        <w:tc>
          <w:tcPr>
            <w:tcW w:w="5012" w:type="dxa"/>
            <w:shd w:val="clear" w:color="auto" w:fill="auto"/>
          </w:tcPr>
          <w:p w14:paraId="2F6ECF4B" w14:textId="77777777" w:rsidR="00280F65" w:rsidRPr="00F03354" w:rsidRDefault="084D64FE" w:rsidP="758D155A">
            <w:pPr>
              <w:spacing w:before="80" w:after="60"/>
              <w:rPr>
                <w:rFonts w:ascii="VIC" w:hAnsi="VIC" w:cs="Arial"/>
              </w:rPr>
            </w:pPr>
            <w:r w:rsidRPr="00F03354">
              <w:rPr>
                <w:rFonts w:ascii="VIC" w:hAnsi="VIC" w:cs="Arial"/>
              </w:rPr>
              <w:t>Rate of surgical site infections for hip prosthesis, per 100 procedures</w:t>
            </w:r>
          </w:p>
        </w:tc>
        <w:tc>
          <w:tcPr>
            <w:tcW w:w="1350" w:type="dxa"/>
            <w:vMerge w:val="restart"/>
            <w:shd w:val="clear" w:color="auto" w:fill="auto"/>
            <w:vAlign w:val="center"/>
          </w:tcPr>
          <w:p w14:paraId="491336AE" w14:textId="77777777" w:rsidR="00280F65" w:rsidRPr="00F03354" w:rsidRDefault="00280F65" w:rsidP="00280F65">
            <w:pPr>
              <w:spacing w:before="80" w:after="60"/>
              <w:jc w:val="right"/>
              <w:rPr>
                <w:rFonts w:ascii="VIC" w:hAnsi="VIC" w:cs="Arial"/>
              </w:rPr>
            </w:pPr>
            <w:r w:rsidRPr="00F03354">
              <w:rPr>
                <w:rFonts w:ascii="VIC" w:hAnsi="VIC" w:cs="Arial"/>
              </w:rPr>
              <w:t>No outliers</w:t>
            </w:r>
          </w:p>
        </w:tc>
      </w:tr>
      <w:tr w:rsidR="00296904" w:rsidRPr="00F03354" w14:paraId="198F3A9C" w14:textId="77777777" w:rsidTr="758D155A">
        <w:trPr>
          <w:cantSplit/>
          <w:trHeight w:val="96"/>
        </w:trPr>
        <w:tc>
          <w:tcPr>
            <w:tcW w:w="1714" w:type="dxa"/>
            <w:gridSpan w:val="2"/>
            <w:vMerge/>
          </w:tcPr>
          <w:p w14:paraId="16D8D478" w14:textId="77777777" w:rsidR="00280F65" w:rsidRPr="00F03354" w:rsidRDefault="00280F65" w:rsidP="00280F65">
            <w:pPr>
              <w:spacing w:before="80" w:after="60"/>
              <w:rPr>
                <w:rFonts w:ascii="VIC" w:hAnsi="VIC"/>
              </w:rPr>
            </w:pPr>
          </w:p>
        </w:tc>
        <w:tc>
          <w:tcPr>
            <w:tcW w:w="1892" w:type="dxa"/>
            <w:vMerge/>
          </w:tcPr>
          <w:p w14:paraId="175BB984" w14:textId="77777777" w:rsidR="00280F65" w:rsidRPr="00F03354" w:rsidRDefault="00280F65" w:rsidP="00280F65">
            <w:pPr>
              <w:spacing w:before="80" w:after="60"/>
              <w:rPr>
                <w:rFonts w:ascii="VIC" w:hAnsi="VIC"/>
              </w:rPr>
            </w:pPr>
          </w:p>
        </w:tc>
        <w:tc>
          <w:tcPr>
            <w:tcW w:w="5012" w:type="dxa"/>
            <w:shd w:val="clear" w:color="auto" w:fill="auto"/>
          </w:tcPr>
          <w:p w14:paraId="34E8CB97" w14:textId="77777777" w:rsidR="00280F65" w:rsidRPr="00F03354" w:rsidRDefault="084D64FE" w:rsidP="758D155A">
            <w:pPr>
              <w:spacing w:before="80" w:after="60"/>
              <w:rPr>
                <w:rFonts w:ascii="VIC" w:hAnsi="VIC" w:cs="Arial"/>
              </w:rPr>
            </w:pPr>
            <w:r w:rsidRPr="00F03354">
              <w:rPr>
                <w:rFonts w:ascii="VIC" w:hAnsi="VIC" w:cs="Arial"/>
              </w:rPr>
              <w:t>Rate of surgical site infections for knee prosthesis, per 100 procedures</w:t>
            </w:r>
          </w:p>
        </w:tc>
        <w:tc>
          <w:tcPr>
            <w:tcW w:w="1350" w:type="dxa"/>
            <w:vMerge/>
          </w:tcPr>
          <w:p w14:paraId="61D73EC0" w14:textId="77777777" w:rsidR="00280F65" w:rsidRPr="00F03354" w:rsidRDefault="00280F65" w:rsidP="00280F65">
            <w:pPr>
              <w:spacing w:before="80" w:after="60"/>
              <w:jc w:val="right"/>
              <w:rPr>
                <w:rFonts w:ascii="VIC" w:hAnsi="VIC" w:cs="Arial"/>
              </w:rPr>
            </w:pPr>
          </w:p>
        </w:tc>
      </w:tr>
      <w:tr w:rsidR="00FF0497" w:rsidRPr="00F03354" w14:paraId="5ADA895E" w14:textId="77777777" w:rsidTr="758D155A">
        <w:trPr>
          <w:cantSplit/>
          <w:trHeight w:val="543"/>
        </w:trPr>
        <w:tc>
          <w:tcPr>
            <w:tcW w:w="1714" w:type="dxa"/>
            <w:gridSpan w:val="2"/>
            <w:vMerge/>
          </w:tcPr>
          <w:p w14:paraId="26C82F37" w14:textId="77777777" w:rsidR="00280F65" w:rsidRPr="00F03354" w:rsidRDefault="00280F65" w:rsidP="00280F65">
            <w:pPr>
              <w:spacing w:before="80" w:after="60"/>
              <w:rPr>
                <w:rFonts w:ascii="VIC" w:hAnsi="VIC"/>
              </w:rPr>
            </w:pPr>
          </w:p>
        </w:tc>
        <w:tc>
          <w:tcPr>
            <w:tcW w:w="1892" w:type="dxa"/>
            <w:vMerge/>
          </w:tcPr>
          <w:p w14:paraId="68C821D3" w14:textId="77777777" w:rsidR="00280F65" w:rsidRPr="00F03354" w:rsidRDefault="00280F65" w:rsidP="00280F65">
            <w:pPr>
              <w:spacing w:before="80" w:after="60"/>
              <w:rPr>
                <w:rFonts w:ascii="VIC" w:hAnsi="VIC"/>
              </w:rPr>
            </w:pPr>
          </w:p>
        </w:tc>
        <w:tc>
          <w:tcPr>
            <w:tcW w:w="5012" w:type="dxa"/>
            <w:shd w:val="clear" w:color="auto" w:fill="auto"/>
          </w:tcPr>
          <w:p w14:paraId="60C69B7A" w14:textId="77777777" w:rsidR="00280F65" w:rsidRPr="00F03354" w:rsidRDefault="084D64FE" w:rsidP="758D155A">
            <w:pPr>
              <w:spacing w:before="80" w:after="60"/>
              <w:rPr>
                <w:rFonts w:ascii="VIC" w:hAnsi="VIC" w:cs="Arial"/>
              </w:rPr>
            </w:pPr>
            <w:r w:rsidRPr="00F03354">
              <w:rPr>
                <w:rFonts w:ascii="VIC" w:hAnsi="VIC" w:cs="Arial"/>
              </w:rPr>
              <w:t>Rate of surgical site infections for cardiac bypass, per 100 procedures</w:t>
            </w:r>
          </w:p>
        </w:tc>
        <w:tc>
          <w:tcPr>
            <w:tcW w:w="1350" w:type="dxa"/>
            <w:vMerge/>
          </w:tcPr>
          <w:p w14:paraId="3E4792E1" w14:textId="77777777" w:rsidR="00280F65" w:rsidRPr="00F03354" w:rsidRDefault="00280F65" w:rsidP="00280F65">
            <w:pPr>
              <w:spacing w:before="80" w:after="60"/>
              <w:jc w:val="right"/>
              <w:rPr>
                <w:rFonts w:ascii="VIC" w:hAnsi="VIC" w:cs="Arial"/>
              </w:rPr>
            </w:pPr>
          </w:p>
        </w:tc>
      </w:tr>
      <w:tr w:rsidR="00296904" w:rsidRPr="00F03354" w14:paraId="1D852AC2" w14:textId="77777777" w:rsidTr="758D155A">
        <w:trPr>
          <w:cantSplit/>
          <w:trHeight w:val="543"/>
        </w:trPr>
        <w:tc>
          <w:tcPr>
            <w:tcW w:w="1714" w:type="dxa"/>
            <w:gridSpan w:val="2"/>
            <w:vMerge/>
          </w:tcPr>
          <w:p w14:paraId="0CD4CDDE" w14:textId="77777777" w:rsidR="00280F65" w:rsidRPr="00F03354" w:rsidRDefault="00280F65" w:rsidP="00280F65">
            <w:pPr>
              <w:spacing w:before="80" w:after="60"/>
              <w:rPr>
                <w:rFonts w:ascii="VIC" w:hAnsi="VIC"/>
              </w:rPr>
            </w:pPr>
          </w:p>
        </w:tc>
        <w:tc>
          <w:tcPr>
            <w:tcW w:w="1892" w:type="dxa"/>
            <w:vMerge/>
          </w:tcPr>
          <w:p w14:paraId="5AEA74A5" w14:textId="77777777" w:rsidR="00280F65" w:rsidRPr="00F03354" w:rsidRDefault="00280F65" w:rsidP="00280F65">
            <w:pPr>
              <w:spacing w:before="80" w:after="60"/>
              <w:rPr>
                <w:rFonts w:ascii="VIC" w:hAnsi="VIC"/>
              </w:rPr>
            </w:pPr>
          </w:p>
        </w:tc>
        <w:tc>
          <w:tcPr>
            <w:tcW w:w="5012" w:type="dxa"/>
            <w:shd w:val="clear" w:color="auto" w:fill="auto"/>
          </w:tcPr>
          <w:p w14:paraId="6F89C437" w14:textId="77777777" w:rsidR="00280F65" w:rsidRPr="00F03354" w:rsidRDefault="084D64FE" w:rsidP="758D155A">
            <w:pPr>
              <w:spacing w:before="80" w:after="60"/>
              <w:rPr>
                <w:rFonts w:ascii="VIC" w:hAnsi="VIC" w:cs="Arial"/>
              </w:rPr>
            </w:pPr>
            <w:r w:rsidRPr="00F03354">
              <w:rPr>
                <w:rFonts w:ascii="VIC" w:hAnsi="VIC" w:cs="Arial"/>
              </w:rPr>
              <w:t>Rate of surgical site infections for caesarean section, per 100 procedures</w:t>
            </w:r>
          </w:p>
        </w:tc>
        <w:tc>
          <w:tcPr>
            <w:tcW w:w="1350" w:type="dxa"/>
            <w:vMerge/>
          </w:tcPr>
          <w:p w14:paraId="13396FDD" w14:textId="77777777" w:rsidR="00280F65" w:rsidRPr="00F03354" w:rsidRDefault="00280F65" w:rsidP="00280F65">
            <w:pPr>
              <w:spacing w:before="80" w:after="60"/>
              <w:jc w:val="right"/>
              <w:rPr>
                <w:rFonts w:ascii="VIC" w:hAnsi="VIC" w:cs="Arial"/>
              </w:rPr>
            </w:pPr>
          </w:p>
        </w:tc>
      </w:tr>
      <w:tr w:rsidR="00296904" w:rsidRPr="00F03354" w14:paraId="181D310E" w14:textId="77777777" w:rsidTr="758D155A">
        <w:trPr>
          <w:cantSplit/>
          <w:trHeight w:val="543"/>
        </w:trPr>
        <w:tc>
          <w:tcPr>
            <w:tcW w:w="1714" w:type="dxa"/>
            <w:gridSpan w:val="2"/>
            <w:vMerge/>
          </w:tcPr>
          <w:p w14:paraId="18C6142B" w14:textId="77777777" w:rsidR="00280F65" w:rsidRPr="00F03354" w:rsidRDefault="00280F65" w:rsidP="00280F65">
            <w:pPr>
              <w:spacing w:before="80" w:after="60"/>
              <w:rPr>
                <w:rFonts w:ascii="VIC" w:hAnsi="VIC"/>
              </w:rPr>
            </w:pPr>
          </w:p>
        </w:tc>
        <w:tc>
          <w:tcPr>
            <w:tcW w:w="1892" w:type="dxa"/>
            <w:vMerge/>
          </w:tcPr>
          <w:p w14:paraId="0200783D" w14:textId="77777777" w:rsidR="00280F65" w:rsidRPr="00F03354" w:rsidRDefault="00280F65" w:rsidP="00280F65">
            <w:pPr>
              <w:spacing w:before="80" w:after="60"/>
              <w:rPr>
                <w:rFonts w:ascii="VIC" w:hAnsi="VIC"/>
              </w:rPr>
            </w:pPr>
          </w:p>
        </w:tc>
        <w:tc>
          <w:tcPr>
            <w:tcW w:w="5012" w:type="dxa"/>
            <w:shd w:val="clear" w:color="auto" w:fill="auto"/>
          </w:tcPr>
          <w:p w14:paraId="67115BA1" w14:textId="77777777" w:rsidR="00280F65" w:rsidRPr="00F03354" w:rsidRDefault="084D64FE" w:rsidP="758D155A">
            <w:pPr>
              <w:spacing w:before="80" w:after="60"/>
              <w:rPr>
                <w:rFonts w:ascii="VIC" w:hAnsi="VIC" w:cs="Arial"/>
              </w:rPr>
            </w:pPr>
            <w:r w:rsidRPr="00F03354">
              <w:rPr>
                <w:rFonts w:ascii="VIC" w:hAnsi="VIC" w:cs="Arial"/>
              </w:rPr>
              <w:t>Rate of surgical site infections for colorectal surgery, per 100 procedures</w:t>
            </w:r>
          </w:p>
        </w:tc>
        <w:tc>
          <w:tcPr>
            <w:tcW w:w="1350" w:type="dxa"/>
            <w:vMerge/>
          </w:tcPr>
          <w:p w14:paraId="1FF5146C" w14:textId="77777777" w:rsidR="00280F65" w:rsidRPr="00F03354" w:rsidRDefault="00280F65" w:rsidP="00280F65">
            <w:pPr>
              <w:spacing w:before="80" w:after="60"/>
              <w:jc w:val="right"/>
              <w:rPr>
                <w:rFonts w:ascii="VIC" w:hAnsi="VIC" w:cs="Arial"/>
              </w:rPr>
            </w:pPr>
          </w:p>
        </w:tc>
      </w:tr>
      <w:tr w:rsidR="00F13BE9" w:rsidRPr="00F03354" w14:paraId="259A8496" w14:textId="77777777" w:rsidTr="758D155A">
        <w:trPr>
          <w:cantSplit/>
          <w:trHeight w:val="543"/>
        </w:trPr>
        <w:tc>
          <w:tcPr>
            <w:tcW w:w="1714" w:type="dxa"/>
            <w:gridSpan w:val="2"/>
            <w:vMerge/>
          </w:tcPr>
          <w:p w14:paraId="32EF93F1" w14:textId="77777777" w:rsidR="00280F65" w:rsidRPr="00F03354" w:rsidRDefault="00280F65" w:rsidP="00280F65">
            <w:pPr>
              <w:spacing w:before="80" w:after="60"/>
              <w:rPr>
                <w:rFonts w:ascii="VIC" w:hAnsi="VIC"/>
              </w:rPr>
            </w:pPr>
          </w:p>
        </w:tc>
        <w:tc>
          <w:tcPr>
            <w:tcW w:w="1892" w:type="dxa"/>
            <w:shd w:val="clear" w:color="auto" w:fill="BDD6EE" w:themeFill="accent5" w:themeFillTint="66"/>
          </w:tcPr>
          <w:p w14:paraId="2C0B64AF" w14:textId="77777777" w:rsidR="00280F65" w:rsidRPr="00F03354" w:rsidRDefault="00280F65" w:rsidP="00280F65">
            <w:pPr>
              <w:spacing w:before="80" w:after="60"/>
              <w:rPr>
                <w:rFonts w:ascii="VIC" w:hAnsi="VIC"/>
              </w:rPr>
            </w:pPr>
            <w:r w:rsidRPr="00F03354">
              <w:rPr>
                <w:rFonts w:ascii="VIC" w:hAnsi="VIC"/>
              </w:rPr>
              <w:t>ICU CLABSI</w:t>
            </w:r>
          </w:p>
        </w:tc>
        <w:tc>
          <w:tcPr>
            <w:tcW w:w="5012" w:type="dxa"/>
            <w:shd w:val="clear" w:color="auto" w:fill="BDD6EE" w:themeFill="accent5" w:themeFillTint="66"/>
          </w:tcPr>
          <w:p w14:paraId="4C226923" w14:textId="77777777" w:rsidR="00280F65" w:rsidRPr="00F03354" w:rsidRDefault="084D64FE" w:rsidP="758D155A">
            <w:pPr>
              <w:spacing w:before="80" w:after="60"/>
              <w:rPr>
                <w:rFonts w:ascii="VIC" w:hAnsi="VIC" w:cs="Arial"/>
              </w:rPr>
            </w:pPr>
            <w:r w:rsidRPr="00F03354">
              <w:rPr>
                <w:rFonts w:ascii="VIC" w:hAnsi="VIC" w:cs="Arial"/>
              </w:rPr>
              <w:t>Rate of central line (catheter) associated blood stream infections (CLABSI) in intensive care units, per 1,000 central line days</w:t>
            </w:r>
          </w:p>
        </w:tc>
        <w:tc>
          <w:tcPr>
            <w:tcW w:w="1350" w:type="dxa"/>
            <w:shd w:val="clear" w:color="auto" w:fill="BDD6EE" w:themeFill="accent5" w:themeFillTint="66"/>
          </w:tcPr>
          <w:p w14:paraId="5F283C34" w14:textId="0FCF1F49" w:rsidR="009249EA" w:rsidRPr="00F03354" w:rsidRDefault="575B31B5" w:rsidP="00280F65">
            <w:pPr>
              <w:spacing w:before="80" w:after="60"/>
              <w:jc w:val="right"/>
              <w:rPr>
                <w:rFonts w:ascii="VIC" w:hAnsi="VIC" w:cs="Arial"/>
              </w:rPr>
            </w:pPr>
            <w:r w:rsidRPr="00F03354">
              <w:rPr>
                <w:rFonts w:ascii="VIC" w:hAnsi="VIC" w:cs="Arial"/>
              </w:rPr>
              <w:t>Zero</w:t>
            </w:r>
          </w:p>
        </w:tc>
      </w:tr>
      <w:tr w:rsidR="00F13BE9" w:rsidRPr="00F03354" w14:paraId="2414E856" w14:textId="77777777" w:rsidTr="758D155A">
        <w:trPr>
          <w:cantSplit/>
          <w:trHeight w:val="543"/>
        </w:trPr>
        <w:tc>
          <w:tcPr>
            <w:tcW w:w="1714" w:type="dxa"/>
            <w:gridSpan w:val="2"/>
            <w:vMerge/>
          </w:tcPr>
          <w:p w14:paraId="33DD4556" w14:textId="77777777" w:rsidR="00280F65" w:rsidRPr="00F03354" w:rsidRDefault="00280F65" w:rsidP="00280F65">
            <w:pPr>
              <w:spacing w:before="80" w:after="60"/>
              <w:rPr>
                <w:rFonts w:ascii="VIC" w:hAnsi="VIC"/>
              </w:rPr>
            </w:pPr>
          </w:p>
        </w:tc>
        <w:tc>
          <w:tcPr>
            <w:tcW w:w="1892" w:type="dxa"/>
            <w:shd w:val="clear" w:color="auto" w:fill="BDD6EE" w:themeFill="accent5" w:themeFillTint="66"/>
          </w:tcPr>
          <w:p w14:paraId="4AB9BBB9" w14:textId="77777777" w:rsidR="00280F65" w:rsidRPr="00F03354" w:rsidRDefault="00280F65" w:rsidP="00280F65">
            <w:pPr>
              <w:spacing w:before="80" w:after="60"/>
              <w:rPr>
                <w:rFonts w:ascii="VIC" w:hAnsi="VIC"/>
              </w:rPr>
            </w:pPr>
            <w:r w:rsidRPr="00F03354">
              <w:rPr>
                <w:rFonts w:ascii="VIC" w:hAnsi="VIC"/>
              </w:rPr>
              <w:t>SAB</w:t>
            </w:r>
          </w:p>
        </w:tc>
        <w:tc>
          <w:tcPr>
            <w:tcW w:w="5012" w:type="dxa"/>
            <w:shd w:val="clear" w:color="auto" w:fill="BDD6EE" w:themeFill="accent5" w:themeFillTint="66"/>
          </w:tcPr>
          <w:p w14:paraId="52638CFC" w14:textId="77777777" w:rsidR="00280F65" w:rsidRPr="00F03354" w:rsidRDefault="084D64FE" w:rsidP="758D155A">
            <w:pPr>
              <w:spacing w:before="80" w:after="60"/>
              <w:rPr>
                <w:rFonts w:ascii="VIC" w:hAnsi="VIC" w:cs="Arial"/>
              </w:rPr>
            </w:pPr>
            <w:r w:rsidRPr="00F03354">
              <w:rPr>
                <w:rFonts w:ascii="VIC" w:hAnsi="VIC" w:cs="Arial"/>
              </w:rPr>
              <w:t>Rate of healthcare-associated S. aureus bloodstream infections per 10,000 bed days</w:t>
            </w:r>
          </w:p>
        </w:tc>
        <w:tc>
          <w:tcPr>
            <w:tcW w:w="1350" w:type="dxa"/>
            <w:shd w:val="clear" w:color="auto" w:fill="BDD6EE" w:themeFill="accent5" w:themeFillTint="66"/>
          </w:tcPr>
          <w:p w14:paraId="50248526" w14:textId="4A904881" w:rsidR="00280F65" w:rsidRPr="00F03354" w:rsidRDefault="00280F65" w:rsidP="62A232EF">
            <w:pPr>
              <w:spacing w:before="80" w:after="60"/>
              <w:jc w:val="right"/>
              <w:rPr>
                <w:rFonts w:ascii="VIC" w:hAnsi="VIC"/>
              </w:rPr>
            </w:pPr>
            <w:r w:rsidRPr="00F03354">
              <w:rPr>
                <w:rFonts w:ascii="VIC" w:hAnsi="VIC"/>
              </w:rPr>
              <w:t xml:space="preserve">≤ </w:t>
            </w:r>
            <w:r w:rsidR="41C961D2" w:rsidRPr="00F03354">
              <w:rPr>
                <w:rFonts w:ascii="VIC" w:hAnsi="VIC"/>
              </w:rPr>
              <w:t>0.7</w:t>
            </w:r>
          </w:p>
        </w:tc>
      </w:tr>
      <w:tr w:rsidR="00FF0497" w:rsidRPr="00F03354" w14:paraId="122C2B3E" w14:textId="77777777" w:rsidTr="758D155A">
        <w:trPr>
          <w:cantSplit/>
          <w:trHeight w:val="543"/>
        </w:trPr>
        <w:tc>
          <w:tcPr>
            <w:tcW w:w="1714" w:type="dxa"/>
            <w:gridSpan w:val="2"/>
            <w:vMerge w:val="restart"/>
            <w:shd w:val="clear" w:color="auto" w:fill="BDD6EE" w:themeFill="accent5" w:themeFillTint="66"/>
          </w:tcPr>
          <w:p w14:paraId="5121E370" w14:textId="77777777" w:rsidR="00280F65" w:rsidRPr="00F03354" w:rsidRDefault="00280F65" w:rsidP="00280F65">
            <w:pPr>
              <w:spacing w:before="80" w:after="60"/>
              <w:rPr>
                <w:rFonts w:ascii="VIC" w:hAnsi="VIC"/>
              </w:rPr>
            </w:pPr>
            <w:r w:rsidRPr="00F03354">
              <w:rPr>
                <w:rFonts w:ascii="VIC" w:hAnsi="VIC"/>
              </w:rPr>
              <w:t>Adverse events</w:t>
            </w:r>
          </w:p>
        </w:tc>
        <w:tc>
          <w:tcPr>
            <w:tcW w:w="1892" w:type="dxa"/>
            <w:shd w:val="clear" w:color="auto" w:fill="auto"/>
          </w:tcPr>
          <w:p w14:paraId="1C1F225F" w14:textId="77777777" w:rsidR="00280F65" w:rsidRPr="00F03354" w:rsidRDefault="00280F65" w:rsidP="00280F65">
            <w:pPr>
              <w:spacing w:before="80" w:after="60"/>
              <w:rPr>
                <w:rFonts w:ascii="VIC" w:hAnsi="VIC"/>
              </w:rPr>
            </w:pPr>
            <w:r w:rsidRPr="00F03354">
              <w:rPr>
                <w:rFonts w:ascii="VIC" w:hAnsi="VIC"/>
              </w:rPr>
              <w:t>Sentinel events</w:t>
            </w:r>
          </w:p>
        </w:tc>
        <w:tc>
          <w:tcPr>
            <w:tcW w:w="5012" w:type="dxa"/>
            <w:shd w:val="clear" w:color="auto" w:fill="auto"/>
          </w:tcPr>
          <w:p w14:paraId="71765274" w14:textId="3F5F3AFA" w:rsidR="00280F65" w:rsidRPr="00F03354" w:rsidRDefault="00280F65" w:rsidP="00280F65">
            <w:pPr>
              <w:spacing w:before="80" w:after="60"/>
              <w:rPr>
                <w:rFonts w:ascii="VIC" w:hAnsi="VIC" w:cs="Arial"/>
              </w:rPr>
            </w:pPr>
            <w:r w:rsidRPr="00F03354">
              <w:rPr>
                <w:rFonts w:ascii="VIC" w:hAnsi="VIC" w:cs="Arial"/>
              </w:rPr>
              <w:t xml:space="preserve">Percentage of </w:t>
            </w:r>
            <w:r w:rsidR="00F902AA" w:rsidRPr="00F03354">
              <w:rPr>
                <w:rFonts w:ascii="VIC" w:hAnsi="VIC" w:cs="Arial"/>
              </w:rPr>
              <w:t xml:space="preserve">notified </w:t>
            </w:r>
            <w:r w:rsidRPr="00F03354">
              <w:rPr>
                <w:rFonts w:ascii="VIC" w:hAnsi="VIC" w:cs="Arial"/>
              </w:rPr>
              <w:t xml:space="preserve">sentinel events for which a </w:t>
            </w:r>
            <w:r w:rsidR="004435CB" w:rsidRPr="00F03354">
              <w:rPr>
                <w:rFonts w:ascii="VIC" w:hAnsi="VIC" w:cs="Arial"/>
              </w:rPr>
              <w:t>sentinel event</w:t>
            </w:r>
            <w:r w:rsidRPr="00F03354">
              <w:rPr>
                <w:rFonts w:ascii="VIC" w:hAnsi="VIC" w:cs="Arial"/>
              </w:rPr>
              <w:t xml:space="preserve"> report was submitted within 30 business days from notification</w:t>
            </w:r>
          </w:p>
        </w:tc>
        <w:tc>
          <w:tcPr>
            <w:tcW w:w="1350" w:type="dxa"/>
            <w:shd w:val="clear" w:color="auto" w:fill="auto"/>
          </w:tcPr>
          <w:p w14:paraId="634611F7" w14:textId="43665F4A" w:rsidR="00280F65" w:rsidRPr="00F03354" w:rsidRDefault="00280F65" w:rsidP="00280F65">
            <w:pPr>
              <w:spacing w:before="80" w:after="60"/>
              <w:jc w:val="right"/>
              <w:rPr>
                <w:rFonts w:ascii="VIC" w:hAnsi="VIC"/>
              </w:rPr>
            </w:pPr>
            <w:r w:rsidRPr="00F03354">
              <w:rPr>
                <w:rFonts w:ascii="VIC" w:hAnsi="VIC"/>
              </w:rPr>
              <w:t xml:space="preserve">All </w:t>
            </w:r>
            <w:r w:rsidR="005F1177" w:rsidRPr="00F03354">
              <w:rPr>
                <w:rFonts w:ascii="VIC" w:hAnsi="VIC"/>
              </w:rPr>
              <w:t xml:space="preserve">sentinel event </w:t>
            </w:r>
            <w:r w:rsidRPr="00F03354">
              <w:rPr>
                <w:rFonts w:ascii="VIC" w:hAnsi="VIC"/>
              </w:rPr>
              <w:t>reports submitted within 30 business days</w:t>
            </w:r>
            <w:r w:rsidR="00FE2B0E" w:rsidRPr="00F03354">
              <w:rPr>
                <w:rFonts w:ascii="VIC" w:hAnsi="VIC"/>
              </w:rPr>
              <w:t xml:space="preserve"> from notification</w:t>
            </w:r>
          </w:p>
        </w:tc>
      </w:tr>
      <w:tr w:rsidR="00F13BE9" w:rsidRPr="00F03354" w14:paraId="174AE961" w14:textId="77777777" w:rsidTr="758D155A">
        <w:trPr>
          <w:cantSplit/>
          <w:trHeight w:val="285"/>
        </w:trPr>
        <w:tc>
          <w:tcPr>
            <w:tcW w:w="1714" w:type="dxa"/>
            <w:gridSpan w:val="2"/>
            <w:vMerge/>
          </w:tcPr>
          <w:p w14:paraId="43839C53" w14:textId="77777777" w:rsidR="00280F65" w:rsidRPr="00F03354" w:rsidRDefault="00280F65" w:rsidP="00280F65">
            <w:pPr>
              <w:spacing w:before="80" w:after="60"/>
              <w:rPr>
                <w:rFonts w:ascii="VIC" w:hAnsi="VIC"/>
              </w:rPr>
            </w:pPr>
          </w:p>
        </w:tc>
        <w:tc>
          <w:tcPr>
            <w:tcW w:w="1892" w:type="dxa"/>
            <w:vMerge w:val="restart"/>
            <w:shd w:val="clear" w:color="auto" w:fill="BDD6EE" w:themeFill="accent5" w:themeFillTint="66"/>
          </w:tcPr>
          <w:p w14:paraId="2B10FBD6" w14:textId="77777777" w:rsidR="00280F65" w:rsidRPr="00F03354" w:rsidRDefault="00280F65" w:rsidP="00280F65">
            <w:pPr>
              <w:spacing w:before="80" w:after="60"/>
              <w:rPr>
                <w:rFonts w:ascii="VIC" w:hAnsi="VIC"/>
              </w:rPr>
            </w:pPr>
            <w:r w:rsidRPr="00F03354">
              <w:rPr>
                <w:rFonts w:ascii="VIC" w:hAnsi="VIC"/>
              </w:rPr>
              <w:t>Readmission</w:t>
            </w:r>
          </w:p>
        </w:tc>
        <w:tc>
          <w:tcPr>
            <w:tcW w:w="5012" w:type="dxa"/>
            <w:shd w:val="clear" w:color="auto" w:fill="BDD6EE" w:themeFill="accent5" w:themeFillTint="66"/>
          </w:tcPr>
          <w:p w14:paraId="459A18DC" w14:textId="77777777" w:rsidR="00280F65" w:rsidRPr="00F03354" w:rsidRDefault="00280F65" w:rsidP="00280F65">
            <w:pPr>
              <w:spacing w:before="80" w:after="60"/>
              <w:rPr>
                <w:rFonts w:ascii="VIC" w:hAnsi="VIC" w:cs="Arial"/>
              </w:rPr>
            </w:pPr>
            <w:r w:rsidRPr="00F03354">
              <w:rPr>
                <w:rFonts w:ascii="VIC" w:hAnsi="VIC" w:cs="Arial"/>
              </w:rPr>
              <w:t>Unplanned readmissions to any hospital following treatment for a hip replacement</w:t>
            </w:r>
          </w:p>
        </w:tc>
        <w:tc>
          <w:tcPr>
            <w:tcW w:w="1350" w:type="dxa"/>
            <w:shd w:val="clear" w:color="auto" w:fill="BDD6EE" w:themeFill="accent5" w:themeFillTint="66"/>
          </w:tcPr>
          <w:p w14:paraId="43B87AC6" w14:textId="77777777" w:rsidR="00280F65" w:rsidRPr="00F03354" w:rsidRDefault="00280F65" w:rsidP="00280F65">
            <w:pPr>
              <w:spacing w:before="80" w:after="60"/>
              <w:jc w:val="right"/>
              <w:rPr>
                <w:rFonts w:ascii="VIC" w:hAnsi="VIC"/>
              </w:rPr>
            </w:pPr>
            <w:r w:rsidRPr="00F03354">
              <w:rPr>
                <w:rFonts w:ascii="VIC" w:hAnsi="VIC"/>
              </w:rPr>
              <w:t>≤ 6%</w:t>
            </w:r>
          </w:p>
        </w:tc>
      </w:tr>
      <w:tr w:rsidR="00FF0497" w:rsidRPr="00F03354" w14:paraId="06E2AD46" w14:textId="77777777" w:rsidTr="758D155A">
        <w:trPr>
          <w:cantSplit/>
          <w:trHeight w:val="543"/>
        </w:trPr>
        <w:tc>
          <w:tcPr>
            <w:tcW w:w="1714" w:type="dxa"/>
            <w:gridSpan w:val="2"/>
            <w:vMerge/>
          </w:tcPr>
          <w:p w14:paraId="2FE7F3D9" w14:textId="77777777" w:rsidR="00280F65" w:rsidRPr="00F03354" w:rsidRDefault="00280F65" w:rsidP="00280F65">
            <w:pPr>
              <w:spacing w:before="80" w:after="60"/>
              <w:rPr>
                <w:rFonts w:ascii="VIC" w:hAnsi="VIC"/>
              </w:rPr>
            </w:pPr>
          </w:p>
        </w:tc>
        <w:tc>
          <w:tcPr>
            <w:tcW w:w="1892" w:type="dxa"/>
            <w:vMerge/>
          </w:tcPr>
          <w:p w14:paraId="70829BDA" w14:textId="77777777" w:rsidR="00280F65" w:rsidRPr="00F03354" w:rsidRDefault="00280F65" w:rsidP="00280F65">
            <w:pPr>
              <w:spacing w:before="80" w:after="60"/>
              <w:rPr>
                <w:rFonts w:ascii="VIC" w:hAnsi="VIC"/>
              </w:rPr>
            </w:pPr>
          </w:p>
        </w:tc>
        <w:tc>
          <w:tcPr>
            <w:tcW w:w="5012" w:type="dxa"/>
            <w:shd w:val="clear" w:color="auto" w:fill="auto"/>
          </w:tcPr>
          <w:p w14:paraId="5DA1FA19" w14:textId="77777777" w:rsidR="00280F65" w:rsidRPr="00F03354" w:rsidRDefault="00280F65" w:rsidP="00280F65">
            <w:pPr>
              <w:spacing w:before="80" w:after="60"/>
              <w:rPr>
                <w:rFonts w:ascii="VIC" w:hAnsi="VIC" w:cs="Arial"/>
              </w:rPr>
            </w:pPr>
            <w:r w:rsidRPr="00F03354">
              <w:rPr>
                <w:rFonts w:ascii="VIC" w:hAnsi="VIC" w:cs="Arial"/>
              </w:rPr>
              <w:t>Unplanned readmissions to any hospital following treatment for a knee replacement</w:t>
            </w:r>
          </w:p>
        </w:tc>
        <w:tc>
          <w:tcPr>
            <w:tcW w:w="1350" w:type="dxa"/>
            <w:shd w:val="clear" w:color="auto" w:fill="auto"/>
          </w:tcPr>
          <w:p w14:paraId="2A046D52" w14:textId="77777777" w:rsidR="00280F65" w:rsidRPr="00F03354" w:rsidRDefault="00280F65" w:rsidP="00280F65">
            <w:pPr>
              <w:spacing w:before="80" w:after="60"/>
              <w:jc w:val="right"/>
              <w:rPr>
                <w:rFonts w:ascii="VIC" w:hAnsi="VIC"/>
              </w:rPr>
            </w:pPr>
            <w:r w:rsidRPr="00F03354">
              <w:rPr>
                <w:rFonts w:ascii="VIC" w:hAnsi="VIC"/>
              </w:rPr>
              <w:t>≤ 5.5%</w:t>
            </w:r>
          </w:p>
        </w:tc>
      </w:tr>
      <w:tr w:rsidR="00FF0497" w:rsidRPr="00F03354" w14:paraId="5C553E62" w14:textId="77777777" w:rsidTr="758D155A">
        <w:trPr>
          <w:cantSplit/>
          <w:trHeight w:val="543"/>
        </w:trPr>
        <w:tc>
          <w:tcPr>
            <w:tcW w:w="1714" w:type="dxa"/>
            <w:gridSpan w:val="2"/>
            <w:vMerge/>
          </w:tcPr>
          <w:p w14:paraId="411DF8AC" w14:textId="77777777" w:rsidR="00280F65" w:rsidRPr="00F03354" w:rsidRDefault="00280F65" w:rsidP="00280F65">
            <w:pPr>
              <w:spacing w:before="80" w:after="60"/>
              <w:rPr>
                <w:rFonts w:ascii="VIC" w:hAnsi="VIC"/>
              </w:rPr>
            </w:pPr>
          </w:p>
        </w:tc>
        <w:tc>
          <w:tcPr>
            <w:tcW w:w="1892" w:type="dxa"/>
            <w:vMerge/>
          </w:tcPr>
          <w:p w14:paraId="35D9B8B3" w14:textId="77777777" w:rsidR="00280F65" w:rsidRPr="00F03354" w:rsidRDefault="00280F65" w:rsidP="00280F65">
            <w:pPr>
              <w:spacing w:before="80" w:after="60"/>
              <w:rPr>
                <w:rFonts w:ascii="VIC" w:hAnsi="VIC"/>
              </w:rPr>
            </w:pPr>
          </w:p>
        </w:tc>
        <w:tc>
          <w:tcPr>
            <w:tcW w:w="5012" w:type="dxa"/>
            <w:shd w:val="clear" w:color="auto" w:fill="auto"/>
          </w:tcPr>
          <w:p w14:paraId="7C8F792D" w14:textId="77777777" w:rsidR="00280F65" w:rsidRPr="00F03354" w:rsidRDefault="00280F65" w:rsidP="00280F65">
            <w:pPr>
              <w:spacing w:before="80" w:after="60"/>
              <w:rPr>
                <w:rFonts w:ascii="VIC" w:hAnsi="VIC" w:cs="Arial"/>
              </w:rPr>
            </w:pPr>
            <w:r w:rsidRPr="00F03354">
              <w:rPr>
                <w:rFonts w:ascii="VIC" w:hAnsi="VIC" w:cs="Arial"/>
              </w:rPr>
              <w:t>Unplanned readmissions to any hospital following treatment for acute myocardial infarction</w:t>
            </w:r>
          </w:p>
        </w:tc>
        <w:tc>
          <w:tcPr>
            <w:tcW w:w="1350" w:type="dxa"/>
            <w:shd w:val="clear" w:color="auto" w:fill="auto"/>
          </w:tcPr>
          <w:p w14:paraId="27289E7F" w14:textId="77777777" w:rsidR="00280F65" w:rsidRPr="00F03354" w:rsidRDefault="00280F65" w:rsidP="00280F65">
            <w:pPr>
              <w:spacing w:before="80" w:after="60"/>
              <w:jc w:val="right"/>
              <w:rPr>
                <w:rFonts w:ascii="VIC" w:hAnsi="VIC"/>
              </w:rPr>
            </w:pPr>
            <w:r w:rsidRPr="00F03354">
              <w:rPr>
                <w:rFonts w:ascii="VIC" w:hAnsi="VIC"/>
              </w:rPr>
              <w:t>≤ 4%</w:t>
            </w:r>
          </w:p>
        </w:tc>
      </w:tr>
      <w:tr w:rsidR="00FF0497" w:rsidRPr="00F03354" w14:paraId="2BF5BB6D" w14:textId="77777777" w:rsidTr="758D155A">
        <w:trPr>
          <w:cantSplit/>
          <w:trHeight w:val="543"/>
        </w:trPr>
        <w:tc>
          <w:tcPr>
            <w:tcW w:w="1714" w:type="dxa"/>
            <w:gridSpan w:val="2"/>
            <w:vMerge/>
          </w:tcPr>
          <w:p w14:paraId="4D47240C" w14:textId="77777777" w:rsidR="00280F65" w:rsidRPr="00F03354" w:rsidRDefault="00280F65" w:rsidP="00280F65">
            <w:pPr>
              <w:spacing w:before="80" w:after="60"/>
              <w:rPr>
                <w:rFonts w:ascii="VIC" w:hAnsi="VIC"/>
              </w:rPr>
            </w:pPr>
          </w:p>
        </w:tc>
        <w:tc>
          <w:tcPr>
            <w:tcW w:w="1892" w:type="dxa"/>
            <w:vMerge/>
          </w:tcPr>
          <w:p w14:paraId="3D3EB029" w14:textId="77777777" w:rsidR="00280F65" w:rsidRPr="00F03354" w:rsidRDefault="00280F65" w:rsidP="00280F65">
            <w:pPr>
              <w:spacing w:before="80" w:after="60"/>
              <w:rPr>
                <w:rFonts w:ascii="VIC" w:hAnsi="VIC"/>
              </w:rPr>
            </w:pPr>
          </w:p>
        </w:tc>
        <w:tc>
          <w:tcPr>
            <w:tcW w:w="5012" w:type="dxa"/>
            <w:shd w:val="clear" w:color="auto" w:fill="auto"/>
          </w:tcPr>
          <w:p w14:paraId="28F8D988" w14:textId="77777777" w:rsidR="00280F65" w:rsidRPr="00F03354" w:rsidRDefault="00280F65" w:rsidP="00280F65">
            <w:pPr>
              <w:spacing w:before="80" w:after="60"/>
              <w:rPr>
                <w:rFonts w:ascii="VIC" w:hAnsi="VIC" w:cs="Arial"/>
              </w:rPr>
            </w:pPr>
            <w:r w:rsidRPr="00F03354">
              <w:rPr>
                <w:rFonts w:ascii="VIC" w:hAnsi="VIC" w:cs="Arial"/>
              </w:rPr>
              <w:t>Unplanned readmissions to any hospital following treatment for heart failure</w:t>
            </w:r>
          </w:p>
        </w:tc>
        <w:tc>
          <w:tcPr>
            <w:tcW w:w="1350" w:type="dxa"/>
            <w:shd w:val="clear" w:color="auto" w:fill="auto"/>
          </w:tcPr>
          <w:p w14:paraId="6DBDF891" w14:textId="77777777" w:rsidR="00280F65" w:rsidRPr="00F03354" w:rsidRDefault="00280F65" w:rsidP="00280F65">
            <w:pPr>
              <w:spacing w:before="80" w:after="60"/>
              <w:jc w:val="right"/>
              <w:rPr>
                <w:rFonts w:ascii="VIC" w:hAnsi="VIC"/>
              </w:rPr>
            </w:pPr>
            <w:r w:rsidRPr="00F03354">
              <w:rPr>
                <w:rFonts w:ascii="VIC" w:hAnsi="VIC"/>
              </w:rPr>
              <w:t>≤ 11.3%</w:t>
            </w:r>
          </w:p>
        </w:tc>
      </w:tr>
      <w:tr w:rsidR="00FF0497" w:rsidRPr="00F03354" w14:paraId="14F54C55" w14:textId="77777777" w:rsidTr="758D155A">
        <w:trPr>
          <w:cantSplit/>
          <w:trHeight w:val="543"/>
        </w:trPr>
        <w:tc>
          <w:tcPr>
            <w:tcW w:w="1714" w:type="dxa"/>
            <w:gridSpan w:val="2"/>
            <w:vMerge/>
          </w:tcPr>
          <w:p w14:paraId="0D241C0B" w14:textId="77777777" w:rsidR="00280F65" w:rsidRPr="00F03354" w:rsidRDefault="00280F65" w:rsidP="00280F65">
            <w:pPr>
              <w:spacing w:before="80" w:after="60"/>
              <w:rPr>
                <w:rFonts w:ascii="VIC" w:hAnsi="VIC"/>
              </w:rPr>
            </w:pPr>
          </w:p>
        </w:tc>
        <w:tc>
          <w:tcPr>
            <w:tcW w:w="1892" w:type="dxa"/>
            <w:vMerge/>
          </w:tcPr>
          <w:p w14:paraId="3D548480" w14:textId="77777777" w:rsidR="00280F65" w:rsidRPr="00F03354" w:rsidRDefault="00280F65" w:rsidP="00280F65">
            <w:pPr>
              <w:spacing w:before="80" w:after="60"/>
              <w:rPr>
                <w:rFonts w:ascii="VIC" w:hAnsi="VIC"/>
              </w:rPr>
            </w:pPr>
          </w:p>
        </w:tc>
        <w:tc>
          <w:tcPr>
            <w:tcW w:w="5012" w:type="dxa"/>
            <w:shd w:val="clear" w:color="auto" w:fill="auto"/>
          </w:tcPr>
          <w:p w14:paraId="6E6BE64F" w14:textId="77777777" w:rsidR="00280F65" w:rsidRPr="00F03354" w:rsidRDefault="00280F65" w:rsidP="00280F65">
            <w:pPr>
              <w:spacing w:before="80" w:after="60"/>
              <w:rPr>
                <w:rFonts w:ascii="VIC" w:hAnsi="VIC" w:cs="Arial"/>
              </w:rPr>
            </w:pPr>
            <w:r w:rsidRPr="00F03354">
              <w:rPr>
                <w:rFonts w:ascii="VIC" w:hAnsi="VIC" w:cs="Arial"/>
              </w:rPr>
              <w:t>Unplanned readmissions to any hospital following treatment for paediatric tonsillectomy and adenoidectomy</w:t>
            </w:r>
          </w:p>
        </w:tc>
        <w:tc>
          <w:tcPr>
            <w:tcW w:w="1350" w:type="dxa"/>
            <w:shd w:val="clear" w:color="auto" w:fill="auto"/>
          </w:tcPr>
          <w:p w14:paraId="3C6F4D4D" w14:textId="77777777" w:rsidR="00280F65" w:rsidRPr="00F03354" w:rsidRDefault="00280F65" w:rsidP="00280F65">
            <w:pPr>
              <w:spacing w:before="80" w:after="60"/>
              <w:jc w:val="right"/>
              <w:rPr>
                <w:rFonts w:ascii="VIC" w:hAnsi="VIC"/>
              </w:rPr>
            </w:pPr>
            <w:r w:rsidRPr="00F03354">
              <w:rPr>
                <w:rFonts w:ascii="VIC" w:hAnsi="VIC"/>
              </w:rPr>
              <w:t>≤ 3.7%</w:t>
            </w:r>
          </w:p>
        </w:tc>
      </w:tr>
      <w:tr w:rsidR="00F13BE9" w:rsidRPr="00F03354" w14:paraId="222A2227" w14:textId="77777777" w:rsidTr="758D155A">
        <w:trPr>
          <w:cantSplit/>
          <w:trHeight w:val="543"/>
        </w:trPr>
        <w:tc>
          <w:tcPr>
            <w:tcW w:w="1714" w:type="dxa"/>
            <w:gridSpan w:val="2"/>
            <w:vMerge/>
          </w:tcPr>
          <w:p w14:paraId="217E05B0" w14:textId="77777777" w:rsidR="00280F65" w:rsidRPr="00F03354" w:rsidRDefault="00280F65" w:rsidP="00280F65">
            <w:pPr>
              <w:spacing w:before="80" w:after="60"/>
              <w:rPr>
                <w:rFonts w:ascii="VIC" w:hAnsi="VIC"/>
              </w:rPr>
            </w:pPr>
          </w:p>
        </w:tc>
        <w:tc>
          <w:tcPr>
            <w:tcW w:w="1892" w:type="dxa"/>
            <w:vMerge/>
          </w:tcPr>
          <w:p w14:paraId="7AACFC3D" w14:textId="77777777" w:rsidR="00280F65" w:rsidRPr="00F03354" w:rsidRDefault="00280F65" w:rsidP="00280F65">
            <w:pPr>
              <w:spacing w:before="80" w:after="60"/>
              <w:rPr>
                <w:rFonts w:ascii="VIC" w:hAnsi="VIC"/>
              </w:rPr>
            </w:pPr>
          </w:p>
        </w:tc>
        <w:tc>
          <w:tcPr>
            <w:tcW w:w="5012" w:type="dxa"/>
            <w:shd w:val="clear" w:color="auto" w:fill="FFFFFF" w:themeFill="background1"/>
          </w:tcPr>
          <w:p w14:paraId="59559F0E" w14:textId="77777777" w:rsidR="00280F65" w:rsidRPr="00F03354" w:rsidRDefault="00280F65" w:rsidP="00280F65">
            <w:pPr>
              <w:spacing w:before="80" w:after="60"/>
              <w:rPr>
                <w:rFonts w:ascii="VIC" w:hAnsi="VIC" w:cs="Arial"/>
              </w:rPr>
            </w:pPr>
            <w:r w:rsidRPr="00F03354">
              <w:rPr>
                <w:rFonts w:ascii="VIC" w:hAnsi="VIC" w:cs="Arial"/>
              </w:rPr>
              <w:t>Unplanned maternity readmissions within 28 days of discharge from birth episode (mother)</w:t>
            </w:r>
          </w:p>
        </w:tc>
        <w:tc>
          <w:tcPr>
            <w:tcW w:w="1350" w:type="dxa"/>
            <w:vMerge w:val="restart"/>
            <w:shd w:val="clear" w:color="auto" w:fill="FFFFFF" w:themeFill="background1"/>
            <w:vAlign w:val="center"/>
          </w:tcPr>
          <w:p w14:paraId="44C3AF55" w14:textId="77777777" w:rsidR="00280F65" w:rsidRPr="00F03354" w:rsidRDefault="00280F65" w:rsidP="00280F65">
            <w:pPr>
              <w:spacing w:before="80" w:after="60"/>
              <w:jc w:val="right"/>
              <w:rPr>
                <w:rFonts w:ascii="VIC" w:hAnsi="VIC"/>
              </w:rPr>
            </w:pPr>
            <w:r w:rsidRPr="00F03354">
              <w:rPr>
                <w:rFonts w:ascii="VIC" w:hAnsi="VIC"/>
              </w:rPr>
              <w:t>No outliers</w:t>
            </w:r>
          </w:p>
        </w:tc>
      </w:tr>
      <w:tr w:rsidR="00F13BE9" w:rsidRPr="00F03354" w14:paraId="77BF5D2E" w14:textId="77777777" w:rsidTr="758D155A">
        <w:trPr>
          <w:cantSplit/>
          <w:trHeight w:val="543"/>
        </w:trPr>
        <w:tc>
          <w:tcPr>
            <w:tcW w:w="1714" w:type="dxa"/>
            <w:gridSpan w:val="2"/>
            <w:vMerge/>
          </w:tcPr>
          <w:p w14:paraId="456CF694" w14:textId="77777777" w:rsidR="00280F65" w:rsidRPr="00F03354" w:rsidRDefault="00280F65" w:rsidP="00280F65">
            <w:pPr>
              <w:spacing w:before="80" w:after="60"/>
              <w:rPr>
                <w:rFonts w:ascii="VIC" w:hAnsi="VIC"/>
              </w:rPr>
            </w:pPr>
          </w:p>
        </w:tc>
        <w:tc>
          <w:tcPr>
            <w:tcW w:w="1892" w:type="dxa"/>
            <w:vMerge/>
          </w:tcPr>
          <w:p w14:paraId="003C5F64" w14:textId="77777777" w:rsidR="00280F65" w:rsidRPr="00F03354" w:rsidRDefault="00280F65" w:rsidP="00280F65">
            <w:pPr>
              <w:spacing w:before="80" w:after="60"/>
              <w:rPr>
                <w:rFonts w:ascii="VIC" w:hAnsi="VIC"/>
              </w:rPr>
            </w:pPr>
          </w:p>
        </w:tc>
        <w:tc>
          <w:tcPr>
            <w:tcW w:w="5012" w:type="dxa"/>
            <w:shd w:val="clear" w:color="auto" w:fill="FFFFFF" w:themeFill="background1"/>
          </w:tcPr>
          <w:p w14:paraId="272427B7" w14:textId="77777777" w:rsidR="00280F65" w:rsidRPr="00F03354" w:rsidRDefault="00280F65" w:rsidP="00280F65">
            <w:pPr>
              <w:spacing w:before="80" w:after="60"/>
              <w:rPr>
                <w:rFonts w:ascii="VIC" w:hAnsi="VIC" w:cs="Arial"/>
              </w:rPr>
            </w:pPr>
            <w:r w:rsidRPr="00F03354">
              <w:rPr>
                <w:rFonts w:ascii="VIC" w:hAnsi="VIC" w:cs="Arial"/>
              </w:rPr>
              <w:t xml:space="preserve">Unplanned newborn readmissions </w:t>
            </w:r>
            <w:r w:rsidRPr="00F03354">
              <w:rPr>
                <w:rFonts w:ascii="VIC" w:hAnsi="VIC" w:cs="Arial"/>
                <w:shd w:val="clear" w:color="auto" w:fill="FFFFFF" w:themeFill="background1"/>
              </w:rPr>
              <w:t>within</w:t>
            </w:r>
            <w:r w:rsidRPr="00F03354">
              <w:rPr>
                <w:rFonts w:ascii="VIC" w:hAnsi="VIC" w:cs="Arial"/>
              </w:rPr>
              <w:t xml:space="preserve"> 28 days of discharge from birth episode (baby)</w:t>
            </w:r>
          </w:p>
        </w:tc>
        <w:tc>
          <w:tcPr>
            <w:tcW w:w="1350" w:type="dxa"/>
            <w:vMerge/>
          </w:tcPr>
          <w:p w14:paraId="31146DA7" w14:textId="77777777" w:rsidR="00280F65" w:rsidRPr="00F03354" w:rsidRDefault="00280F65" w:rsidP="00280F65">
            <w:pPr>
              <w:spacing w:before="80" w:after="60"/>
              <w:jc w:val="right"/>
              <w:rPr>
                <w:rFonts w:ascii="VIC" w:hAnsi="VIC"/>
              </w:rPr>
            </w:pPr>
          </w:p>
        </w:tc>
      </w:tr>
      <w:tr w:rsidR="00F13BE9" w:rsidRPr="00F03354" w14:paraId="08381FBA" w14:textId="77777777" w:rsidTr="758D155A">
        <w:trPr>
          <w:cantSplit/>
          <w:trHeight w:val="543"/>
        </w:trPr>
        <w:tc>
          <w:tcPr>
            <w:tcW w:w="1714" w:type="dxa"/>
            <w:gridSpan w:val="2"/>
            <w:vMerge w:val="restart"/>
            <w:shd w:val="clear" w:color="auto" w:fill="BDD6EE" w:themeFill="accent5" w:themeFillTint="66"/>
          </w:tcPr>
          <w:p w14:paraId="0366B2CA" w14:textId="77777777" w:rsidR="00280F65" w:rsidRPr="00F03354" w:rsidRDefault="00280F65" w:rsidP="00280F65">
            <w:pPr>
              <w:spacing w:before="80" w:after="60"/>
              <w:rPr>
                <w:rFonts w:ascii="VIC" w:hAnsi="VIC"/>
              </w:rPr>
            </w:pPr>
            <w:r w:rsidRPr="00F03354">
              <w:rPr>
                <w:rFonts w:ascii="VIC" w:hAnsi="VIC"/>
              </w:rPr>
              <w:t>Mental health</w:t>
            </w:r>
          </w:p>
        </w:tc>
        <w:tc>
          <w:tcPr>
            <w:tcW w:w="1892" w:type="dxa"/>
            <w:vMerge w:val="restart"/>
            <w:shd w:val="clear" w:color="auto" w:fill="BDD6EE" w:themeFill="accent5" w:themeFillTint="66"/>
          </w:tcPr>
          <w:p w14:paraId="15E59347" w14:textId="77777777" w:rsidR="00280F65" w:rsidRPr="00F03354" w:rsidRDefault="00280F65" w:rsidP="00280F65">
            <w:pPr>
              <w:spacing w:before="80" w:after="60"/>
              <w:rPr>
                <w:rFonts w:ascii="VIC" w:hAnsi="VIC"/>
              </w:rPr>
            </w:pPr>
            <w:r w:rsidRPr="00F03354">
              <w:rPr>
                <w:rFonts w:ascii="VIC" w:hAnsi="VIC"/>
              </w:rPr>
              <w:t>Closed community cases</w:t>
            </w:r>
          </w:p>
        </w:tc>
        <w:tc>
          <w:tcPr>
            <w:tcW w:w="5012" w:type="dxa"/>
            <w:shd w:val="clear" w:color="auto" w:fill="BDD6EE" w:themeFill="accent5" w:themeFillTint="66"/>
          </w:tcPr>
          <w:p w14:paraId="234FBE7F" w14:textId="0B0355CC" w:rsidR="00280F65" w:rsidRPr="00F03354" w:rsidRDefault="004C3179" w:rsidP="00280F65">
            <w:pPr>
              <w:spacing w:before="80" w:after="60"/>
              <w:rPr>
                <w:rFonts w:ascii="VIC" w:hAnsi="VIC" w:cs="Arial"/>
              </w:rPr>
            </w:pPr>
            <w:r w:rsidRPr="00F03354">
              <w:rPr>
                <w:rFonts w:ascii="VIC" w:hAnsi="VIC"/>
              </w:rPr>
              <w:t>Percentage of closed community cases re-referred within six months (adult)</w:t>
            </w:r>
          </w:p>
        </w:tc>
        <w:tc>
          <w:tcPr>
            <w:tcW w:w="1350" w:type="dxa"/>
            <w:shd w:val="clear" w:color="auto" w:fill="BDD6EE" w:themeFill="accent5" w:themeFillTint="66"/>
          </w:tcPr>
          <w:p w14:paraId="454BCE5A" w14:textId="77777777" w:rsidR="00280F65" w:rsidRPr="00F03354" w:rsidRDefault="00280F65" w:rsidP="00280F65">
            <w:pPr>
              <w:spacing w:before="80" w:after="60"/>
              <w:jc w:val="right"/>
              <w:rPr>
                <w:rFonts w:ascii="VIC" w:hAnsi="VIC"/>
              </w:rPr>
            </w:pPr>
            <w:r w:rsidRPr="00F03354">
              <w:rPr>
                <w:rFonts w:ascii="VIC" w:hAnsi="VIC"/>
              </w:rPr>
              <w:t>&lt; 25%</w:t>
            </w:r>
          </w:p>
        </w:tc>
      </w:tr>
      <w:tr w:rsidR="00F13BE9" w:rsidRPr="00F03354" w14:paraId="486DFA15" w14:textId="77777777" w:rsidTr="758D155A">
        <w:trPr>
          <w:cantSplit/>
          <w:trHeight w:val="543"/>
        </w:trPr>
        <w:tc>
          <w:tcPr>
            <w:tcW w:w="1714" w:type="dxa"/>
            <w:gridSpan w:val="2"/>
            <w:vMerge/>
          </w:tcPr>
          <w:p w14:paraId="6C25CB8E" w14:textId="77777777" w:rsidR="00280F65" w:rsidRPr="00F03354" w:rsidRDefault="00280F65" w:rsidP="00280F65">
            <w:pPr>
              <w:spacing w:before="80" w:after="60"/>
              <w:rPr>
                <w:rFonts w:ascii="VIC" w:hAnsi="VIC"/>
              </w:rPr>
            </w:pPr>
          </w:p>
        </w:tc>
        <w:tc>
          <w:tcPr>
            <w:tcW w:w="1892" w:type="dxa"/>
            <w:vMerge/>
          </w:tcPr>
          <w:p w14:paraId="00FEEE24" w14:textId="77777777" w:rsidR="00280F65" w:rsidRPr="00F03354" w:rsidRDefault="00280F65" w:rsidP="00280F65">
            <w:pPr>
              <w:spacing w:before="80" w:after="60"/>
              <w:rPr>
                <w:rFonts w:ascii="VIC" w:hAnsi="VIC"/>
              </w:rPr>
            </w:pPr>
          </w:p>
        </w:tc>
        <w:tc>
          <w:tcPr>
            <w:tcW w:w="5012" w:type="dxa"/>
            <w:shd w:val="clear" w:color="auto" w:fill="BDD6EE" w:themeFill="accent5" w:themeFillTint="66"/>
          </w:tcPr>
          <w:p w14:paraId="4F028FC1" w14:textId="65362560" w:rsidR="00280F65" w:rsidRPr="00F03354" w:rsidRDefault="004C3179" w:rsidP="00280F65">
            <w:pPr>
              <w:spacing w:before="80" w:after="60"/>
              <w:rPr>
                <w:rFonts w:ascii="VIC" w:hAnsi="VIC"/>
              </w:rPr>
            </w:pPr>
            <w:r w:rsidRPr="00F03354">
              <w:rPr>
                <w:rFonts w:ascii="VIC" w:hAnsi="VIC"/>
              </w:rPr>
              <w:t>Percentage of closed community cases re-referred within six months (older persons)</w:t>
            </w:r>
          </w:p>
        </w:tc>
        <w:tc>
          <w:tcPr>
            <w:tcW w:w="1350" w:type="dxa"/>
            <w:shd w:val="clear" w:color="auto" w:fill="BDD6EE" w:themeFill="accent5" w:themeFillTint="66"/>
          </w:tcPr>
          <w:p w14:paraId="3051AD31" w14:textId="77777777" w:rsidR="00280F65" w:rsidRPr="00F03354" w:rsidRDefault="00280F65" w:rsidP="00280F65">
            <w:pPr>
              <w:spacing w:before="80" w:after="60"/>
              <w:jc w:val="right"/>
              <w:rPr>
                <w:rFonts w:ascii="VIC" w:hAnsi="VIC"/>
              </w:rPr>
            </w:pPr>
            <w:r w:rsidRPr="00F03354">
              <w:rPr>
                <w:rFonts w:ascii="VIC" w:hAnsi="VIC"/>
              </w:rPr>
              <w:t>&lt; 25%</w:t>
            </w:r>
          </w:p>
        </w:tc>
      </w:tr>
      <w:tr w:rsidR="00F13BE9" w:rsidRPr="00F03354" w14:paraId="1A3C7C83" w14:textId="77777777" w:rsidTr="758D155A">
        <w:trPr>
          <w:cantSplit/>
          <w:trHeight w:val="543"/>
        </w:trPr>
        <w:tc>
          <w:tcPr>
            <w:tcW w:w="1714" w:type="dxa"/>
            <w:gridSpan w:val="2"/>
            <w:vMerge/>
          </w:tcPr>
          <w:p w14:paraId="3E1FC3D5" w14:textId="77777777" w:rsidR="00280F65" w:rsidRPr="00F03354" w:rsidRDefault="00280F65" w:rsidP="00280F65">
            <w:pPr>
              <w:spacing w:before="80" w:after="60"/>
              <w:rPr>
                <w:rFonts w:ascii="VIC" w:hAnsi="VIC"/>
              </w:rPr>
            </w:pPr>
          </w:p>
        </w:tc>
        <w:tc>
          <w:tcPr>
            <w:tcW w:w="1892" w:type="dxa"/>
            <w:vMerge/>
          </w:tcPr>
          <w:p w14:paraId="63A891CD" w14:textId="77777777" w:rsidR="00280F65" w:rsidRPr="00F03354" w:rsidRDefault="00280F65" w:rsidP="00280F65">
            <w:pPr>
              <w:spacing w:before="80" w:after="60"/>
              <w:rPr>
                <w:rFonts w:ascii="VIC" w:hAnsi="VIC"/>
              </w:rPr>
            </w:pPr>
          </w:p>
        </w:tc>
        <w:tc>
          <w:tcPr>
            <w:tcW w:w="5012" w:type="dxa"/>
            <w:shd w:val="clear" w:color="auto" w:fill="BDD6EE" w:themeFill="accent5" w:themeFillTint="66"/>
          </w:tcPr>
          <w:p w14:paraId="54EE53FE" w14:textId="4577F819" w:rsidR="00280F65" w:rsidRPr="00F03354" w:rsidRDefault="004C3179" w:rsidP="00280F65">
            <w:pPr>
              <w:spacing w:before="80" w:after="60"/>
              <w:rPr>
                <w:rFonts w:ascii="VIC" w:hAnsi="VIC"/>
              </w:rPr>
            </w:pPr>
            <w:r w:rsidRPr="00F03354">
              <w:rPr>
                <w:rFonts w:ascii="VIC" w:hAnsi="VIC"/>
              </w:rPr>
              <w:t>Percentage of closed community cases re-referred within six months (CAMHS/CYMHS)</w:t>
            </w:r>
          </w:p>
        </w:tc>
        <w:tc>
          <w:tcPr>
            <w:tcW w:w="1350" w:type="dxa"/>
            <w:shd w:val="clear" w:color="auto" w:fill="BDD6EE" w:themeFill="accent5" w:themeFillTint="66"/>
          </w:tcPr>
          <w:p w14:paraId="56190E0A" w14:textId="77777777" w:rsidR="00280F65" w:rsidRPr="00F03354" w:rsidRDefault="00280F65" w:rsidP="00280F65">
            <w:pPr>
              <w:spacing w:before="80" w:after="60"/>
              <w:jc w:val="right"/>
              <w:rPr>
                <w:rFonts w:ascii="VIC" w:hAnsi="VIC"/>
              </w:rPr>
            </w:pPr>
            <w:r w:rsidRPr="00F03354">
              <w:rPr>
                <w:rFonts w:ascii="VIC" w:hAnsi="VIC"/>
              </w:rPr>
              <w:t>&lt; 25%</w:t>
            </w:r>
          </w:p>
        </w:tc>
      </w:tr>
      <w:tr w:rsidR="00F13BE9" w:rsidRPr="00F03354" w14:paraId="3BEB7DBF" w14:textId="77777777" w:rsidTr="758D155A">
        <w:trPr>
          <w:cantSplit/>
          <w:trHeight w:val="543"/>
        </w:trPr>
        <w:tc>
          <w:tcPr>
            <w:tcW w:w="1714" w:type="dxa"/>
            <w:gridSpan w:val="2"/>
            <w:vMerge/>
          </w:tcPr>
          <w:p w14:paraId="1D817021" w14:textId="77777777" w:rsidR="00280F65" w:rsidRPr="00F03354" w:rsidRDefault="00280F65" w:rsidP="00280F65">
            <w:pPr>
              <w:spacing w:before="80" w:after="60"/>
              <w:rPr>
                <w:rFonts w:ascii="VIC" w:hAnsi="VIC"/>
              </w:rPr>
            </w:pPr>
          </w:p>
        </w:tc>
        <w:tc>
          <w:tcPr>
            <w:tcW w:w="1892" w:type="dxa"/>
            <w:vMerge w:val="restart"/>
            <w:shd w:val="clear" w:color="auto" w:fill="BDD6EE" w:themeFill="accent5" w:themeFillTint="66"/>
          </w:tcPr>
          <w:p w14:paraId="09B760DB" w14:textId="77777777" w:rsidR="00280F65" w:rsidRPr="00F03354" w:rsidRDefault="00280F65" w:rsidP="00280F65">
            <w:pPr>
              <w:spacing w:before="80" w:after="60"/>
              <w:rPr>
                <w:rFonts w:ascii="VIC" w:hAnsi="VIC"/>
              </w:rPr>
            </w:pPr>
            <w:r w:rsidRPr="00F03354">
              <w:rPr>
                <w:rFonts w:ascii="VIC" w:hAnsi="VIC"/>
              </w:rPr>
              <w:t>Seclusion</w:t>
            </w:r>
          </w:p>
        </w:tc>
        <w:tc>
          <w:tcPr>
            <w:tcW w:w="5012" w:type="dxa"/>
            <w:shd w:val="clear" w:color="auto" w:fill="BDD6EE" w:themeFill="accent5" w:themeFillTint="66"/>
          </w:tcPr>
          <w:p w14:paraId="5B0B743E" w14:textId="381BCFA5" w:rsidR="00280F65" w:rsidRPr="00F03354" w:rsidRDefault="004C3179" w:rsidP="00280F65">
            <w:pPr>
              <w:spacing w:before="80" w:after="60"/>
              <w:rPr>
                <w:rFonts w:ascii="VIC" w:hAnsi="VIC"/>
              </w:rPr>
            </w:pPr>
            <w:r w:rsidRPr="00F03354">
              <w:rPr>
                <w:rFonts w:ascii="VIC" w:hAnsi="VIC"/>
              </w:rPr>
              <w:t>Rate of seclusion episodes per 1,000 occupied bed days - Inpatient (CAMHS)</w:t>
            </w:r>
          </w:p>
        </w:tc>
        <w:tc>
          <w:tcPr>
            <w:tcW w:w="1350" w:type="dxa"/>
            <w:shd w:val="clear" w:color="auto" w:fill="BDD6EE" w:themeFill="accent5" w:themeFillTint="66"/>
          </w:tcPr>
          <w:p w14:paraId="617761B0" w14:textId="649579F1" w:rsidR="00280F65" w:rsidRPr="00F03354" w:rsidRDefault="00280F65" w:rsidP="00280F65">
            <w:pPr>
              <w:spacing w:before="80" w:after="60"/>
              <w:jc w:val="right"/>
              <w:rPr>
                <w:rFonts w:ascii="VIC" w:hAnsi="VIC"/>
              </w:rPr>
            </w:pPr>
            <w:r w:rsidRPr="00F03354">
              <w:rPr>
                <w:rFonts w:ascii="VIC" w:hAnsi="VIC"/>
              </w:rPr>
              <w:t xml:space="preserve">≤ </w:t>
            </w:r>
            <w:r w:rsidR="001D5848" w:rsidRPr="00F03354">
              <w:rPr>
                <w:rFonts w:ascii="VIC" w:hAnsi="VIC"/>
              </w:rPr>
              <w:t>5</w:t>
            </w:r>
          </w:p>
        </w:tc>
      </w:tr>
      <w:tr w:rsidR="00F13BE9" w:rsidRPr="00F03354" w14:paraId="50FB5D89" w14:textId="77777777" w:rsidTr="758D155A">
        <w:trPr>
          <w:cantSplit/>
          <w:trHeight w:val="543"/>
        </w:trPr>
        <w:tc>
          <w:tcPr>
            <w:tcW w:w="1714" w:type="dxa"/>
            <w:gridSpan w:val="2"/>
            <w:vMerge/>
          </w:tcPr>
          <w:p w14:paraId="5443D5F0" w14:textId="77777777" w:rsidR="00280F65" w:rsidRPr="00F03354" w:rsidRDefault="00280F65" w:rsidP="00280F65">
            <w:pPr>
              <w:spacing w:before="80" w:after="60"/>
              <w:rPr>
                <w:rFonts w:ascii="VIC" w:hAnsi="VIC"/>
              </w:rPr>
            </w:pPr>
          </w:p>
        </w:tc>
        <w:tc>
          <w:tcPr>
            <w:tcW w:w="1892" w:type="dxa"/>
            <w:vMerge/>
          </w:tcPr>
          <w:p w14:paraId="497331F4" w14:textId="77777777" w:rsidR="00280F65" w:rsidRPr="00F03354" w:rsidRDefault="00280F65" w:rsidP="00280F65">
            <w:pPr>
              <w:spacing w:before="80" w:after="60"/>
              <w:rPr>
                <w:rFonts w:ascii="VIC" w:hAnsi="VIC"/>
              </w:rPr>
            </w:pPr>
          </w:p>
        </w:tc>
        <w:tc>
          <w:tcPr>
            <w:tcW w:w="5012" w:type="dxa"/>
            <w:shd w:val="clear" w:color="auto" w:fill="BDD6EE" w:themeFill="accent5" w:themeFillTint="66"/>
          </w:tcPr>
          <w:p w14:paraId="63502858" w14:textId="589C5D67" w:rsidR="00280F65" w:rsidRPr="00F03354" w:rsidRDefault="004C3179" w:rsidP="00280F65">
            <w:pPr>
              <w:spacing w:before="80" w:after="60"/>
              <w:rPr>
                <w:rFonts w:ascii="VIC" w:hAnsi="VIC"/>
              </w:rPr>
            </w:pPr>
            <w:r w:rsidRPr="00F03354">
              <w:rPr>
                <w:rFonts w:ascii="VIC" w:hAnsi="VIC"/>
              </w:rPr>
              <w:t>Rate of seclusion episodes per 1,000 occupied bed days - Inpatient (adult)</w:t>
            </w:r>
          </w:p>
        </w:tc>
        <w:tc>
          <w:tcPr>
            <w:tcW w:w="1350" w:type="dxa"/>
            <w:shd w:val="clear" w:color="auto" w:fill="BDD6EE" w:themeFill="accent5" w:themeFillTint="66"/>
          </w:tcPr>
          <w:p w14:paraId="1528957B" w14:textId="5BA2459A" w:rsidR="00280F65" w:rsidRPr="00F03354" w:rsidRDefault="00280F65" w:rsidP="00280F65">
            <w:pPr>
              <w:spacing w:before="80" w:after="60"/>
              <w:jc w:val="right"/>
              <w:rPr>
                <w:rFonts w:ascii="VIC" w:hAnsi="VIC"/>
              </w:rPr>
            </w:pPr>
            <w:r w:rsidRPr="00F03354">
              <w:rPr>
                <w:rFonts w:ascii="VIC" w:hAnsi="VIC"/>
              </w:rPr>
              <w:t xml:space="preserve">≤ </w:t>
            </w:r>
            <w:r w:rsidR="001D5848" w:rsidRPr="00F03354">
              <w:rPr>
                <w:rFonts w:ascii="VIC" w:hAnsi="VIC"/>
              </w:rPr>
              <w:t>8</w:t>
            </w:r>
            <w:r w:rsidRPr="00F03354">
              <w:rPr>
                <w:rFonts w:ascii="VIC" w:hAnsi="VIC"/>
                <w:vertAlign w:val="superscript"/>
              </w:rPr>
              <w:t>3</w:t>
            </w:r>
          </w:p>
        </w:tc>
      </w:tr>
      <w:tr w:rsidR="00F13BE9" w:rsidRPr="00F03354" w14:paraId="76C53D07" w14:textId="77777777" w:rsidTr="758D155A">
        <w:trPr>
          <w:cantSplit/>
          <w:trHeight w:val="543"/>
        </w:trPr>
        <w:tc>
          <w:tcPr>
            <w:tcW w:w="1714" w:type="dxa"/>
            <w:gridSpan w:val="2"/>
            <w:vMerge/>
          </w:tcPr>
          <w:p w14:paraId="5640200B" w14:textId="77777777" w:rsidR="00280F65" w:rsidRPr="00F03354" w:rsidRDefault="00280F65" w:rsidP="00280F65">
            <w:pPr>
              <w:spacing w:before="80" w:after="60"/>
              <w:rPr>
                <w:rFonts w:ascii="VIC" w:hAnsi="VIC"/>
              </w:rPr>
            </w:pPr>
          </w:p>
        </w:tc>
        <w:tc>
          <w:tcPr>
            <w:tcW w:w="1892" w:type="dxa"/>
            <w:vMerge/>
          </w:tcPr>
          <w:p w14:paraId="751A2693" w14:textId="77777777" w:rsidR="00280F65" w:rsidRPr="00F03354" w:rsidRDefault="00280F65" w:rsidP="00280F65">
            <w:pPr>
              <w:spacing w:before="80" w:after="60"/>
              <w:rPr>
                <w:rFonts w:ascii="VIC" w:hAnsi="VIC"/>
              </w:rPr>
            </w:pPr>
          </w:p>
        </w:tc>
        <w:tc>
          <w:tcPr>
            <w:tcW w:w="5012" w:type="dxa"/>
            <w:shd w:val="clear" w:color="auto" w:fill="BDD6EE" w:themeFill="accent5" w:themeFillTint="66"/>
          </w:tcPr>
          <w:p w14:paraId="0746DAC7" w14:textId="449FB64F" w:rsidR="00280F65" w:rsidRPr="00F03354" w:rsidRDefault="004C3179" w:rsidP="00280F65">
            <w:pPr>
              <w:spacing w:before="80" w:after="60"/>
              <w:rPr>
                <w:rFonts w:ascii="VIC" w:hAnsi="VIC"/>
              </w:rPr>
            </w:pPr>
            <w:r w:rsidRPr="00F03354">
              <w:rPr>
                <w:rFonts w:ascii="VIC" w:hAnsi="VIC"/>
              </w:rPr>
              <w:t>Rate of seclusion episodes per 1,000 occupied bed days - Inpatient (older persons)</w:t>
            </w:r>
          </w:p>
        </w:tc>
        <w:tc>
          <w:tcPr>
            <w:tcW w:w="1350" w:type="dxa"/>
            <w:shd w:val="clear" w:color="auto" w:fill="BDD6EE" w:themeFill="accent5" w:themeFillTint="66"/>
          </w:tcPr>
          <w:p w14:paraId="4443C40F" w14:textId="77777777" w:rsidR="00280F65" w:rsidRPr="00F03354" w:rsidRDefault="00280F65" w:rsidP="00280F65">
            <w:pPr>
              <w:spacing w:before="80" w:after="60"/>
              <w:jc w:val="right"/>
              <w:rPr>
                <w:rFonts w:ascii="VIC" w:hAnsi="VIC"/>
              </w:rPr>
            </w:pPr>
            <w:r w:rsidRPr="00F03354">
              <w:rPr>
                <w:rFonts w:ascii="VIC" w:hAnsi="VIC"/>
              </w:rPr>
              <w:t>≤ 5</w:t>
            </w:r>
          </w:p>
        </w:tc>
      </w:tr>
      <w:tr w:rsidR="00F13BE9" w:rsidRPr="00F03354" w14:paraId="2DB07405" w14:textId="77777777" w:rsidTr="758D155A">
        <w:trPr>
          <w:cantSplit/>
          <w:trHeight w:val="543"/>
        </w:trPr>
        <w:tc>
          <w:tcPr>
            <w:tcW w:w="1714" w:type="dxa"/>
            <w:gridSpan w:val="2"/>
            <w:vMerge/>
          </w:tcPr>
          <w:p w14:paraId="07C31D9F" w14:textId="77777777" w:rsidR="00280F65" w:rsidRPr="00F03354" w:rsidRDefault="00280F65" w:rsidP="00280F65">
            <w:pPr>
              <w:spacing w:before="80" w:after="60"/>
              <w:rPr>
                <w:rFonts w:ascii="VIC" w:hAnsi="VIC"/>
              </w:rPr>
            </w:pPr>
          </w:p>
        </w:tc>
        <w:tc>
          <w:tcPr>
            <w:tcW w:w="1892" w:type="dxa"/>
            <w:vMerge w:val="restart"/>
            <w:shd w:val="clear" w:color="auto" w:fill="BDD6EE" w:themeFill="accent5" w:themeFillTint="66"/>
          </w:tcPr>
          <w:p w14:paraId="63541BC6" w14:textId="77777777" w:rsidR="00280F65" w:rsidRPr="00F03354" w:rsidRDefault="00280F65" w:rsidP="00280F65">
            <w:pPr>
              <w:spacing w:before="80" w:after="60"/>
              <w:rPr>
                <w:rFonts w:ascii="VIC" w:hAnsi="VIC"/>
              </w:rPr>
            </w:pPr>
            <w:r w:rsidRPr="00F03354">
              <w:rPr>
                <w:rFonts w:ascii="VIC" w:hAnsi="VIC"/>
              </w:rPr>
              <w:t>Post-discharge follow-up</w:t>
            </w:r>
          </w:p>
        </w:tc>
        <w:tc>
          <w:tcPr>
            <w:tcW w:w="5012" w:type="dxa"/>
            <w:shd w:val="clear" w:color="auto" w:fill="BDD6EE" w:themeFill="accent5" w:themeFillTint="66"/>
          </w:tcPr>
          <w:p w14:paraId="2CBA71EB" w14:textId="3AC42BB3" w:rsidR="00280F65" w:rsidRPr="00F03354" w:rsidRDefault="004C3179" w:rsidP="00280F65">
            <w:pPr>
              <w:spacing w:before="80" w:after="60"/>
              <w:rPr>
                <w:rFonts w:ascii="VIC" w:hAnsi="VIC"/>
              </w:rPr>
            </w:pPr>
            <w:r w:rsidRPr="00F03354">
              <w:rPr>
                <w:rFonts w:ascii="VIC" w:hAnsi="VIC"/>
              </w:rPr>
              <w:t>Percentage of consumers followed up within 7 days of separation – Inpatient (CAMHS)</w:t>
            </w:r>
          </w:p>
        </w:tc>
        <w:tc>
          <w:tcPr>
            <w:tcW w:w="1350" w:type="dxa"/>
            <w:shd w:val="clear" w:color="auto" w:fill="BDD6EE" w:themeFill="accent5" w:themeFillTint="66"/>
          </w:tcPr>
          <w:p w14:paraId="07B108EF" w14:textId="77777777" w:rsidR="00280F65" w:rsidRPr="00F03354" w:rsidRDefault="00280F65" w:rsidP="00280F65">
            <w:pPr>
              <w:spacing w:before="80" w:after="60"/>
              <w:jc w:val="right"/>
              <w:rPr>
                <w:rFonts w:ascii="VIC" w:hAnsi="VIC"/>
              </w:rPr>
            </w:pPr>
            <w:r w:rsidRPr="00F03354">
              <w:rPr>
                <w:rFonts w:ascii="VIC" w:hAnsi="VIC"/>
              </w:rPr>
              <w:t>88%</w:t>
            </w:r>
          </w:p>
        </w:tc>
      </w:tr>
      <w:tr w:rsidR="00F13BE9" w:rsidRPr="00F03354" w14:paraId="03B3AFA8" w14:textId="77777777" w:rsidTr="758D155A">
        <w:trPr>
          <w:cantSplit/>
          <w:trHeight w:val="543"/>
        </w:trPr>
        <w:tc>
          <w:tcPr>
            <w:tcW w:w="1714" w:type="dxa"/>
            <w:gridSpan w:val="2"/>
            <w:vMerge/>
          </w:tcPr>
          <w:p w14:paraId="655FAA52" w14:textId="77777777" w:rsidR="00280F65" w:rsidRPr="00F03354" w:rsidRDefault="00280F65" w:rsidP="00280F65">
            <w:pPr>
              <w:spacing w:before="80" w:after="60"/>
              <w:rPr>
                <w:rFonts w:ascii="VIC" w:hAnsi="VIC"/>
              </w:rPr>
            </w:pPr>
          </w:p>
        </w:tc>
        <w:tc>
          <w:tcPr>
            <w:tcW w:w="1892" w:type="dxa"/>
            <w:vMerge/>
          </w:tcPr>
          <w:p w14:paraId="22160912" w14:textId="77777777" w:rsidR="00280F65" w:rsidRPr="00F03354" w:rsidRDefault="00280F65" w:rsidP="00280F65">
            <w:pPr>
              <w:spacing w:before="80" w:after="60"/>
              <w:rPr>
                <w:rFonts w:ascii="VIC" w:hAnsi="VIC"/>
              </w:rPr>
            </w:pPr>
          </w:p>
        </w:tc>
        <w:tc>
          <w:tcPr>
            <w:tcW w:w="5012" w:type="dxa"/>
            <w:shd w:val="clear" w:color="auto" w:fill="BDD6EE" w:themeFill="accent5" w:themeFillTint="66"/>
          </w:tcPr>
          <w:p w14:paraId="4266C5FD" w14:textId="3FE695FD" w:rsidR="00280F65" w:rsidRPr="00F03354" w:rsidRDefault="004C3179" w:rsidP="00280F65">
            <w:pPr>
              <w:spacing w:before="80" w:after="60"/>
              <w:rPr>
                <w:rFonts w:ascii="VIC" w:hAnsi="VIC"/>
              </w:rPr>
            </w:pPr>
            <w:r w:rsidRPr="00F03354">
              <w:rPr>
                <w:rFonts w:ascii="VIC" w:hAnsi="VIC"/>
              </w:rPr>
              <w:t>Percentage of consumers followed up within 7 days of separation – Inpatient (adult)</w:t>
            </w:r>
          </w:p>
        </w:tc>
        <w:tc>
          <w:tcPr>
            <w:tcW w:w="1350" w:type="dxa"/>
            <w:shd w:val="clear" w:color="auto" w:fill="BDD6EE" w:themeFill="accent5" w:themeFillTint="66"/>
          </w:tcPr>
          <w:p w14:paraId="7BC65B90" w14:textId="77777777" w:rsidR="00280F65" w:rsidRPr="00F03354" w:rsidRDefault="00280F65" w:rsidP="00280F65">
            <w:pPr>
              <w:spacing w:before="80" w:after="60"/>
              <w:jc w:val="right"/>
              <w:rPr>
                <w:rFonts w:ascii="VIC" w:hAnsi="VIC"/>
              </w:rPr>
            </w:pPr>
            <w:r w:rsidRPr="00F03354">
              <w:rPr>
                <w:rFonts w:ascii="VIC" w:hAnsi="VIC"/>
              </w:rPr>
              <w:t>88%</w:t>
            </w:r>
            <w:r w:rsidRPr="00F03354">
              <w:rPr>
                <w:rFonts w:ascii="VIC" w:hAnsi="VIC"/>
                <w:vertAlign w:val="superscript"/>
              </w:rPr>
              <w:t>3</w:t>
            </w:r>
          </w:p>
        </w:tc>
      </w:tr>
      <w:tr w:rsidR="00F13BE9" w:rsidRPr="00F03354" w14:paraId="35CE746C" w14:textId="77777777" w:rsidTr="758D155A">
        <w:trPr>
          <w:cantSplit/>
          <w:trHeight w:val="543"/>
        </w:trPr>
        <w:tc>
          <w:tcPr>
            <w:tcW w:w="1714" w:type="dxa"/>
            <w:gridSpan w:val="2"/>
            <w:vMerge/>
          </w:tcPr>
          <w:p w14:paraId="1F667BC0" w14:textId="77777777" w:rsidR="00280F65" w:rsidRPr="00F03354" w:rsidRDefault="00280F65" w:rsidP="00280F65">
            <w:pPr>
              <w:spacing w:before="80" w:after="60"/>
              <w:rPr>
                <w:rFonts w:ascii="VIC" w:hAnsi="VIC"/>
              </w:rPr>
            </w:pPr>
          </w:p>
        </w:tc>
        <w:tc>
          <w:tcPr>
            <w:tcW w:w="1892" w:type="dxa"/>
            <w:vMerge/>
          </w:tcPr>
          <w:p w14:paraId="39A645AC" w14:textId="77777777" w:rsidR="00280F65" w:rsidRPr="00F03354" w:rsidRDefault="00280F65" w:rsidP="00280F65">
            <w:pPr>
              <w:spacing w:before="80" w:after="60"/>
              <w:rPr>
                <w:rFonts w:ascii="VIC" w:hAnsi="VIC"/>
              </w:rPr>
            </w:pPr>
          </w:p>
        </w:tc>
        <w:tc>
          <w:tcPr>
            <w:tcW w:w="5012" w:type="dxa"/>
            <w:shd w:val="clear" w:color="auto" w:fill="BDD6EE" w:themeFill="accent5" w:themeFillTint="66"/>
          </w:tcPr>
          <w:p w14:paraId="3ACBB7EB" w14:textId="53F2B2AC" w:rsidR="00280F65" w:rsidRPr="00F03354" w:rsidRDefault="004C3179" w:rsidP="00280F65">
            <w:pPr>
              <w:spacing w:before="80" w:after="60"/>
              <w:rPr>
                <w:rFonts w:ascii="VIC" w:hAnsi="VIC"/>
              </w:rPr>
            </w:pPr>
            <w:r w:rsidRPr="00F03354">
              <w:rPr>
                <w:rFonts w:ascii="VIC" w:hAnsi="VIC"/>
              </w:rPr>
              <w:t>Percentage of consumers followed up within 7 days of separation - Inpatient (older persons)</w:t>
            </w:r>
          </w:p>
        </w:tc>
        <w:tc>
          <w:tcPr>
            <w:tcW w:w="1350" w:type="dxa"/>
            <w:shd w:val="clear" w:color="auto" w:fill="BDD6EE" w:themeFill="accent5" w:themeFillTint="66"/>
          </w:tcPr>
          <w:p w14:paraId="345B8372" w14:textId="77777777" w:rsidR="00280F65" w:rsidRPr="00F03354" w:rsidRDefault="00280F65" w:rsidP="00280F65">
            <w:pPr>
              <w:spacing w:before="80" w:after="60"/>
              <w:jc w:val="right"/>
              <w:rPr>
                <w:rFonts w:ascii="VIC" w:hAnsi="VIC"/>
              </w:rPr>
            </w:pPr>
            <w:r w:rsidRPr="00F03354">
              <w:rPr>
                <w:rFonts w:ascii="VIC" w:hAnsi="VIC"/>
              </w:rPr>
              <w:t>88%</w:t>
            </w:r>
          </w:p>
        </w:tc>
      </w:tr>
      <w:tr w:rsidR="00F13BE9" w:rsidRPr="00F03354" w14:paraId="4A478730" w14:textId="77777777" w:rsidTr="758D155A">
        <w:trPr>
          <w:cantSplit/>
          <w:trHeight w:val="543"/>
        </w:trPr>
        <w:tc>
          <w:tcPr>
            <w:tcW w:w="1714" w:type="dxa"/>
            <w:gridSpan w:val="2"/>
            <w:vMerge/>
          </w:tcPr>
          <w:p w14:paraId="4C551C10" w14:textId="77777777" w:rsidR="00280F65" w:rsidRPr="00F03354" w:rsidRDefault="00280F65" w:rsidP="00280F65">
            <w:pPr>
              <w:spacing w:before="80" w:after="60"/>
              <w:rPr>
                <w:rFonts w:ascii="VIC" w:hAnsi="VIC"/>
              </w:rPr>
            </w:pPr>
          </w:p>
        </w:tc>
        <w:tc>
          <w:tcPr>
            <w:tcW w:w="1892" w:type="dxa"/>
            <w:vMerge w:val="restart"/>
            <w:shd w:val="clear" w:color="auto" w:fill="BDD6EE" w:themeFill="accent5" w:themeFillTint="66"/>
          </w:tcPr>
          <w:p w14:paraId="782280EE" w14:textId="77777777" w:rsidR="00280F65" w:rsidRPr="00F03354" w:rsidRDefault="00280F65" w:rsidP="00280F65">
            <w:pPr>
              <w:spacing w:before="80" w:after="60"/>
              <w:rPr>
                <w:rFonts w:ascii="VIC" w:hAnsi="VIC"/>
              </w:rPr>
            </w:pPr>
            <w:r w:rsidRPr="00F03354">
              <w:rPr>
                <w:rFonts w:ascii="VIC" w:hAnsi="VIC"/>
              </w:rPr>
              <w:t>Readmission</w:t>
            </w:r>
          </w:p>
        </w:tc>
        <w:tc>
          <w:tcPr>
            <w:tcW w:w="5012" w:type="dxa"/>
            <w:shd w:val="clear" w:color="auto" w:fill="BDD6EE" w:themeFill="accent5" w:themeFillTint="66"/>
          </w:tcPr>
          <w:p w14:paraId="5EB9129C" w14:textId="220ECC53" w:rsidR="00280F65" w:rsidRPr="00F03354" w:rsidRDefault="004C3179" w:rsidP="00280F65">
            <w:pPr>
              <w:spacing w:before="80" w:after="60"/>
              <w:rPr>
                <w:rFonts w:ascii="VIC" w:hAnsi="VIC"/>
              </w:rPr>
            </w:pPr>
            <w:r w:rsidRPr="00F03354">
              <w:rPr>
                <w:rFonts w:ascii="VIC" w:hAnsi="VIC"/>
              </w:rPr>
              <w:t>Percentage of consumers re-admitted within 28 days of separation - Inpatient (CAMHS)</w:t>
            </w:r>
          </w:p>
        </w:tc>
        <w:tc>
          <w:tcPr>
            <w:tcW w:w="1350" w:type="dxa"/>
            <w:shd w:val="clear" w:color="auto" w:fill="BDD6EE" w:themeFill="accent5" w:themeFillTint="66"/>
          </w:tcPr>
          <w:p w14:paraId="7D0BD717" w14:textId="07F1230A" w:rsidR="00280F65" w:rsidRPr="00F03354" w:rsidRDefault="00280F65" w:rsidP="00280F65">
            <w:pPr>
              <w:spacing w:before="80" w:after="60"/>
              <w:jc w:val="right"/>
              <w:rPr>
                <w:rFonts w:ascii="VIC" w:hAnsi="VIC"/>
              </w:rPr>
            </w:pPr>
            <w:r w:rsidRPr="00F03354">
              <w:rPr>
                <w:rFonts w:ascii="VIC" w:hAnsi="VIC" w:cs="Arial"/>
              </w:rPr>
              <w:t xml:space="preserve">&lt; </w:t>
            </w:r>
            <w:r w:rsidR="001D5848" w:rsidRPr="00F03354">
              <w:rPr>
                <w:rFonts w:ascii="VIC" w:hAnsi="VIC" w:cs="Arial"/>
              </w:rPr>
              <w:t>14</w:t>
            </w:r>
            <w:r w:rsidRPr="00F03354">
              <w:rPr>
                <w:rFonts w:ascii="VIC" w:hAnsi="VIC" w:cs="Arial"/>
              </w:rPr>
              <w:t>%</w:t>
            </w:r>
          </w:p>
        </w:tc>
      </w:tr>
      <w:tr w:rsidR="00F13BE9" w:rsidRPr="00F03354" w14:paraId="370E7E15" w14:textId="77777777" w:rsidTr="758D155A">
        <w:trPr>
          <w:cantSplit/>
          <w:trHeight w:val="543"/>
        </w:trPr>
        <w:tc>
          <w:tcPr>
            <w:tcW w:w="1714" w:type="dxa"/>
            <w:gridSpan w:val="2"/>
            <w:vMerge/>
          </w:tcPr>
          <w:p w14:paraId="351A23C4" w14:textId="77777777" w:rsidR="00280F65" w:rsidRPr="00F03354" w:rsidRDefault="00280F65" w:rsidP="00280F65">
            <w:pPr>
              <w:spacing w:before="80" w:after="60"/>
              <w:rPr>
                <w:rFonts w:ascii="VIC" w:hAnsi="VIC"/>
              </w:rPr>
            </w:pPr>
          </w:p>
        </w:tc>
        <w:tc>
          <w:tcPr>
            <w:tcW w:w="1892" w:type="dxa"/>
            <w:vMerge/>
          </w:tcPr>
          <w:p w14:paraId="46DADC30" w14:textId="77777777" w:rsidR="00280F65" w:rsidRPr="00F03354" w:rsidRDefault="00280F65" w:rsidP="00280F65">
            <w:pPr>
              <w:spacing w:before="80" w:after="60"/>
              <w:rPr>
                <w:rFonts w:ascii="VIC" w:hAnsi="VIC"/>
              </w:rPr>
            </w:pPr>
          </w:p>
        </w:tc>
        <w:tc>
          <w:tcPr>
            <w:tcW w:w="5012" w:type="dxa"/>
            <w:shd w:val="clear" w:color="auto" w:fill="BDD6EE" w:themeFill="accent5" w:themeFillTint="66"/>
          </w:tcPr>
          <w:p w14:paraId="553DE9F0" w14:textId="660B98EB" w:rsidR="00280F65" w:rsidRPr="00F03354" w:rsidRDefault="004C3179" w:rsidP="00280F65">
            <w:pPr>
              <w:spacing w:before="80" w:after="60"/>
              <w:rPr>
                <w:rFonts w:ascii="VIC" w:hAnsi="VIC" w:cs="Arial"/>
              </w:rPr>
            </w:pPr>
            <w:r w:rsidRPr="00F03354">
              <w:rPr>
                <w:rFonts w:ascii="VIC" w:hAnsi="VIC"/>
              </w:rPr>
              <w:t>Percentage of consumers re-admitted within 28 days of separation - Inpatient (adult)</w:t>
            </w:r>
          </w:p>
        </w:tc>
        <w:tc>
          <w:tcPr>
            <w:tcW w:w="1350" w:type="dxa"/>
            <w:shd w:val="clear" w:color="auto" w:fill="BDD6EE" w:themeFill="accent5" w:themeFillTint="66"/>
          </w:tcPr>
          <w:p w14:paraId="4344877C" w14:textId="77777777" w:rsidR="00280F65" w:rsidRPr="00F03354" w:rsidRDefault="00280F65" w:rsidP="00280F65">
            <w:pPr>
              <w:spacing w:before="80" w:after="60"/>
              <w:jc w:val="right"/>
              <w:rPr>
                <w:rFonts w:ascii="VIC" w:hAnsi="VIC" w:cs="Arial"/>
              </w:rPr>
            </w:pPr>
            <w:r w:rsidRPr="00F03354">
              <w:rPr>
                <w:rFonts w:ascii="VIC" w:hAnsi="VIC" w:cs="Arial"/>
              </w:rPr>
              <w:t>&lt; 14%</w:t>
            </w:r>
          </w:p>
        </w:tc>
      </w:tr>
      <w:tr w:rsidR="00F13BE9" w:rsidRPr="00F03354" w14:paraId="48EE22EB" w14:textId="77777777" w:rsidTr="758D155A">
        <w:trPr>
          <w:cantSplit/>
          <w:trHeight w:val="543"/>
        </w:trPr>
        <w:tc>
          <w:tcPr>
            <w:tcW w:w="1714" w:type="dxa"/>
            <w:gridSpan w:val="2"/>
            <w:vMerge/>
          </w:tcPr>
          <w:p w14:paraId="4207C3E5" w14:textId="77777777" w:rsidR="00280F65" w:rsidRPr="00F03354" w:rsidRDefault="00280F65" w:rsidP="00280F65">
            <w:pPr>
              <w:spacing w:before="80" w:after="60"/>
              <w:rPr>
                <w:rFonts w:ascii="VIC" w:hAnsi="VIC"/>
              </w:rPr>
            </w:pPr>
          </w:p>
        </w:tc>
        <w:tc>
          <w:tcPr>
            <w:tcW w:w="1892" w:type="dxa"/>
            <w:vMerge/>
          </w:tcPr>
          <w:p w14:paraId="3EF300FB" w14:textId="77777777" w:rsidR="00280F65" w:rsidRPr="00F03354" w:rsidRDefault="00280F65" w:rsidP="00280F65">
            <w:pPr>
              <w:spacing w:before="80" w:after="60"/>
              <w:rPr>
                <w:rFonts w:ascii="VIC" w:hAnsi="VIC"/>
              </w:rPr>
            </w:pPr>
          </w:p>
        </w:tc>
        <w:tc>
          <w:tcPr>
            <w:tcW w:w="5012" w:type="dxa"/>
            <w:shd w:val="clear" w:color="auto" w:fill="BDD6EE" w:themeFill="accent5" w:themeFillTint="66"/>
          </w:tcPr>
          <w:p w14:paraId="0B798064" w14:textId="0C982F8A" w:rsidR="00280F65" w:rsidRPr="00F03354" w:rsidRDefault="004C3179" w:rsidP="00280F65">
            <w:pPr>
              <w:spacing w:before="80" w:after="60"/>
              <w:rPr>
                <w:rFonts w:ascii="VIC" w:hAnsi="VIC" w:cs="Arial"/>
              </w:rPr>
            </w:pPr>
            <w:r w:rsidRPr="00F03354">
              <w:rPr>
                <w:rFonts w:ascii="VIC" w:hAnsi="VIC"/>
              </w:rPr>
              <w:t>Percentage of consumers re-admitted within 28 days of separation - Inpatient (older persons)</w:t>
            </w:r>
          </w:p>
        </w:tc>
        <w:tc>
          <w:tcPr>
            <w:tcW w:w="1350" w:type="dxa"/>
            <w:shd w:val="clear" w:color="auto" w:fill="BDD6EE" w:themeFill="accent5" w:themeFillTint="66"/>
          </w:tcPr>
          <w:p w14:paraId="4F3F42AF" w14:textId="6978B70B" w:rsidR="00280F65" w:rsidRPr="00F03354" w:rsidRDefault="00280F65" w:rsidP="00280F65">
            <w:pPr>
              <w:spacing w:before="80" w:after="60"/>
              <w:jc w:val="right"/>
              <w:rPr>
                <w:rFonts w:ascii="VIC" w:hAnsi="VIC" w:cs="Arial"/>
              </w:rPr>
            </w:pPr>
            <w:r w:rsidRPr="00F03354">
              <w:rPr>
                <w:rFonts w:ascii="VIC" w:hAnsi="VIC" w:cs="Arial"/>
              </w:rPr>
              <w:t xml:space="preserve">&lt; </w:t>
            </w:r>
            <w:r w:rsidR="001D5848" w:rsidRPr="00F03354">
              <w:rPr>
                <w:rFonts w:ascii="VIC" w:hAnsi="VIC" w:cs="Arial"/>
              </w:rPr>
              <w:t>7</w:t>
            </w:r>
            <w:r w:rsidRPr="00F03354">
              <w:rPr>
                <w:rFonts w:ascii="VIC" w:hAnsi="VIC" w:cs="Arial"/>
              </w:rPr>
              <w:t>%</w:t>
            </w:r>
          </w:p>
        </w:tc>
      </w:tr>
      <w:tr w:rsidR="00F13BE9" w:rsidRPr="00F03354" w14:paraId="66493A6F" w14:textId="77777777" w:rsidTr="758D155A">
        <w:trPr>
          <w:cantSplit/>
          <w:trHeight w:val="543"/>
        </w:trPr>
        <w:tc>
          <w:tcPr>
            <w:tcW w:w="1714" w:type="dxa"/>
            <w:gridSpan w:val="2"/>
            <w:vMerge w:val="restart"/>
            <w:shd w:val="clear" w:color="auto" w:fill="BDD6EE" w:themeFill="accent5" w:themeFillTint="66"/>
          </w:tcPr>
          <w:p w14:paraId="72BE680F" w14:textId="77777777" w:rsidR="00280F65" w:rsidRPr="00F03354" w:rsidRDefault="00280F65" w:rsidP="00280F65">
            <w:pPr>
              <w:spacing w:before="80" w:after="60"/>
              <w:rPr>
                <w:rFonts w:ascii="VIC" w:hAnsi="VIC"/>
              </w:rPr>
            </w:pPr>
            <w:r w:rsidRPr="00F03354">
              <w:rPr>
                <w:rFonts w:ascii="VIC" w:hAnsi="VIC"/>
              </w:rPr>
              <w:t>Maternity and newborn</w:t>
            </w:r>
          </w:p>
        </w:tc>
        <w:tc>
          <w:tcPr>
            <w:tcW w:w="1892" w:type="dxa"/>
            <w:shd w:val="clear" w:color="auto" w:fill="BDD6EE" w:themeFill="accent5" w:themeFillTint="66"/>
          </w:tcPr>
          <w:p w14:paraId="0DAB0DB9" w14:textId="774F74BA" w:rsidR="00280F65" w:rsidRPr="00F03354" w:rsidRDefault="00280F65" w:rsidP="00280F65">
            <w:pPr>
              <w:spacing w:before="80" w:after="60"/>
              <w:rPr>
                <w:rFonts w:ascii="VIC" w:hAnsi="VIC"/>
              </w:rPr>
            </w:pPr>
            <w:r w:rsidRPr="00F03354">
              <w:rPr>
                <w:rFonts w:ascii="VIC" w:hAnsi="VIC"/>
              </w:rPr>
              <w:t>APGAR</w:t>
            </w:r>
          </w:p>
        </w:tc>
        <w:tc>
          <w:tcPr>
            <w:tcW w:w="5012" w:type="dxa"/>
            <w:shd w:val="clear" w:color="auto" w:fill="BDD6EE" w:themeFill="accent5" w:themeFillTint="66"/>
          </w:tcPr>
          <w:p w14:paraId="763A38DD" w14:textId="77777777" w:rsidR="00280F65" w:rsidRPr="00F03354" w:rsidRDefault="00280F65" w:rsidP="00280F65">
            <w:pPr>
              <w:spacing w:before="80" w:after="60"/>
              <w:rPr>
                <w:rFonts w:ascii="VIC" w:hAnsi="VIC" w:cs="Arial"/>
              </w:rPr>
            </w:pPr>
            <w:r w:rsidRPr="00F03354">
              <w:rPr>
                <w:rFonts w:ascii="VIC" w:hAnsi="VIC" w:cs="Arial"/>
              </w:rPr>
              <w:t>Percentage of full-term babies (without congenital anomalies) who are considered in poor condition shortly after birth (Apgar)</w:t>
            </w:r>
          </w:p>
        </w:tc>
        <w:tc>
          <w:tcPr>
            <w:tcW w:w="1350" w:type="dxa"/>
            <w:shd w:val="clear" w:color="auto" w:fill="BDD6EE" w:themeFill="accent5" w:themeFillTint="66"/>
          </w:tcPr>
          <w:p w14:paraId="32A45B24" w14:textId="77777777" w:rsidR="00280F65" w:rsidRPr="00F03354" w:rsidRDefault="00280F65" w:rsidP="00280F65">
            <w:pPr>
              <w:spacing w:before="80" w:after="60"/>
              <w:jc w:val="right"/>
              <w:rPr>
                <w:rFonts w:ascii="VIC" w:hAnsi="VIC" w:cs="Arial"/>
              </w:rPr>
            </w:pPr>
            <w:r w:rsidRPr="00F03354">
              <w:rPr>
                <w:rFonts w:ascii="VIC" w:hAnsi="VIC" w:cs="Arial"/>
              </w:rPr>
              <w:t>≤ 1.4%</w:t>
            </w:r>
          </w:p>
        </w:tc>
      </w:tr>
      <w:tr w:rsidR="00F13BE9" w:rsidRPr="00F03354" w14:paraId="7D4FB7F6" w14:textId="77777777" w:rsidTr="758D155A">
        <w:trPr>
          <w:cantSplit/>
          <w:trHeight w:val="543"/>
        </w:trPr>
        <w:tc>
          <w:tcPr>
            <w:tcW w:w="1714" w:type="dxa"/>
            <w:gridSpan w:val="2"/>
            <w:vMerge/>
          </w:tcPr>
          <w:p w14:paraId="2253A3AB" w14:textId="77777777" w:rsidR="00280F65" w:rsidRPr="00F03354" w:rsidRDefault="00280F65" w:rsidP="00280F65">
            <w:pPr>
              <w:spacing w:before="80" w:after="60"/>
              <w:rPr>
                <w:rFonts w:ascii="VIC" w:hAnsi="VIC"/>
              </w:rPr>
            </w:pPr>
          </w:p>
        </w:tc>
        <w:tc>
          <w:tcPr>
            <w:tcW w:w="1892" w:type="dxa"/>
            <w:shd w:val="clear" w:color="auto" w:fill="BDD6EE" w:themeFill="accent5" w:themeFillTint="66"/>
          </w:tcPr>
          <w:p w14:paraId="7DBAADCF" w14:textId="77777777" w:rsidR="00280F65" w:rsidRPr="00F03354" w:rsidRDefault="00280F65" w:rsidP="00280F65">
            <w:pPr>
              <w:spacing w:before="80" w:after="60"/>
              <w:rPr>
                <w:rFonts w:ascii="VIC" w:hAnsi="VIC"/>
              </w:rPr>
            </w:pPr>
            <w:r w:rsidRPr="00F03354">
              <w:rPr>
                <w:rFonts w:ascii="VIC" w:hAnsi="VIC"/>
              </w:rPr>
              <w:t>FGR</w:t>
            </w:r>
          </w:p>
        </w:tc>
        <w:tc>
          <w:tcPr>
            <w:tcW w:w="5012" w:type="dxa"/>
            <w:shd w:val="clear" w:color="auto" w:fill="BDD6EE" w:themeFill="accent5" w:themeFillTint="66"/>
          </w:tcPr>
          <w:p w14:paraId="7DAAE478" w14:textId="77777777" w:rsidR="00280F65" w:rsidRPr="00F03354" w:rsidRDefault="00280F65" w:rsidP="00280F65">
            <w:pPr>
              <w:spacing w:before="80" w:after="60"/>
              <w:rPr>
                <w:rFonts w:ascii="VIC" w:hAnsi="VIC" w:cs="Arial"/>
              </w:rPr>
            </w:pPr>
            <w:r w:rsidRPr="00F03354">
              <w:rPr>
                <w:rFonts w:ascii="VIC" w:hAnsi="VIC" w:cs="Arial"/>
              </w:rPr>
              <w:t>Percentage of singleton babies with severe fetal growth restriction (FGR) delivered at 40 or more weeks gestation</w:t>
            </w:r>
          </w:p>
        </w:tc>
        <w:tc>
          <w:tcPr>
            <w:tcW w:w="1350" w:type="dxa"/>
            <w:shd w:val="clear" w:color="auto" w:fill="BDD6EE" w:themeFill="accent5" w:themeFillTint="66"/>
          </w:tcPr>
          <w:p w14:paraId="200BBC9E" w14:textId="77777777" w:rsidR="00280F65" w:rsidRPr="00F03354" w:rsidRDefault="00280F65" w:rsidP="00280F65">
            <w:pPr>
              <w:spacing w:before="80" w:after="60"/>
              <w:jc w:val="right"/>
              <w:rPr>
                <w:rFonts w:ascii="VIC" w:hAnsi="VIC" w:cs="Arial"/>
              </w:rPr>
            </w:pPr>
            <w:r w:rsidRPr="00F03354">
              <w:rPr>
                <w:rFonts w:ascii="VIC" w:hAnsi="VIC" w:cs="Arial"/>
              </w:rPr>
              <w:t>≤ 28.6%</w:t>
            </w:r>
          </w:p>
        </w:tc>
      </w:tr>
      <w:tr w:rsidR="00F13BE9" w:rsidRPr="00F03354" w14:paraId="135138FB" w14:textId="77777777" w:rsidTr="758D155A">
        <w:trPr>
          <w:cantSplit/>
          <w:trHeight w:val="543"/>
        </w:trPr>
        <w:tc>
          <w:tcPr>
            <w:tcW w:w="1714" w:type="dxa"/>
            <w:gridSpan w:val="2"/>
            <w:vMerge/>
          </w:tcPr>
          <w:p w14:paraId="76514BE7" w14:textId="77777777" w:rsidR="00280F65" w:rsidRPr="00F03354" w:rsidRDefault="00280F65" w:rsidP="00280F65">
            <w:pPr>
              <w:spacing w:before="80" w:after="60"/>
              <w:rPr>
                <w:rFonts w:ascii="VIC" w:hAnsi="VIC"/>
              </w:rPr>
            </w:pPr>
          </w:p>
        </w:tc>
        <w:tc>
          <w:tcPr>
            <w:tcW w:w="1892" w:type="dxa"/>
            <w:shd w:val="clear" w:color="auto" w:fill="FFFFFF" w:themeFill="background1"/>
          </w:tcPr>
          <w:p w14:paraId="27D9E0B8" w14:textId="77777777" w:rsidR="00280F65" w:rsidRPr="00F03354" w:rsidRDefault="00280F65" w:rsidP="00280F65">
            <w:pPr>
              <w:spacing w:before="80" w:after="60"/>
              <w:rPr>
                <w:rFonts w:ascii="VIC" w:hAnsi="VIC"/>
              </w:rPr>
            </w:pPr>
            <w:r w:rsidRPr="00F03354">
              <w:rPr>
                <w:rFonts w:ascii="VIC" w:hAnsi="VIC"/>
              </w:rPr>
              <w:t>Specialist clinic waiting time – obstetrics</w:t>
            </w:r>
          </w:p>
        </w:tc>
        <w:tc>
          <w:tcPr>
            <w:tcW w:w="5012" w:type="dxa"/>
            <w:shd w:val="clear" w:color="auto" w:fill="FFFFFF" w:themeFill="background1"/>
          </w:tcPr>
          <w:p w14:paraId="6C8EB9CC" w14:textId="77777777" w:rsidR="00280F65" w:rsidRPr="00F03354" w:rsidRDefault="00280F65" w:rsidP="00280F65">
            <w:pPr>
              <w:spacing w:before="80" w:after="60"/>
              <w:rPr>
                <w:rFonts w:ascii="VIC" w:hAnsi="VIC" w:cs="Arial"/>
              </w:rPr>
            </w:pPr>
            <w:r w:rsidRPr="00F03354">
              <w:rPr>
                <w:rFonts w:ascii="VIC" w:hAnsi="VIC" w:cs="Arial"/>
              </w:rPr>
              <w:t>Proportion of urgent maternity patients referred for obstetric care to a level 4, 5 or 6 maternity service who were booked for a specialist clinic appointment within 30 days of accepted referral</w:t>
            </w:r>
          </w:p>
        </w:tc>
        <w:tc>
          <w:tcPr>
            <w:tcW w:w="1350" w:type="dxa"/>
            <w:shd w:val="clear" w:color="auto" w:fill="FFFFFF" w:themeFill="background1"/>
          </w:tcPr>
          <w:p w14:paraId="3A7AC7D6" w14:textId="77777777" w:rsidR="00280F65" w:rsidRPr="00F03354" w:rsidRDefault="00280F65" w:rsidP="00280F65">
            <w:pPr>
              <w:spacing w:before="80" w:after="60"/>
              <w:jc w:val="right"/>
              <w:rPr>
                <w:rFonts w:ascii="VIC" w:hAnsi="VIC" w:cs="Arial"/>
              </w:rPr>
            </w:pPr>
            <w:r w:rsidRPr="00F03354">
              <w:rPr>
                <w:rFonts w:ascii="VIC" w:hAnsi="VIC" w:cs="Arial"/>
              </w:rPr>
              <w:t>100%</w:t>
            </w:r>
          </w:p>
        </w:tc>
      </w:tr>
      <w:tr w:rsidR="00F13BE9" w:rsidRPr="00F03354" w14:paraId="5EAF45F3" w14:textId="77777777" w:rsidTr="758D155A">
        <w:trPr>
          <w:cantSplit/>
          <w:trHeight w:val="543"/>
        </w:trPr>
        <w:tc>
          <w:tcPr>
            <w:tcW w:w="1714" w:type="dxa"/>
            <w:gridSpan w:val="2"/>
            <w:shd w:val="clear" w:color="auto" w:fill="BDD6EE" w:themeFill="accent5" w:themeFillTint="66"/>
          </w:tcPr>
          <w:p w14:paraId="2E03BFAA" w14:textId="77777777" w:rsidR="00280F65" w:rsidRPr="00F03354" w:rsidRDefault="00280F65" w:rsidP="00280F65">
            <w:pPr>
              <w:spacing w:before="80" w:after="60"/>
              <w:rPr>
                <w:rFonts w:ascii="VIC" w:hAnsi="VIC"/>
              </w:rPr>
            </w:pPr>
            <w:r w:rsidRPr="00F03354">
              <w:rPr>
                <w:rFonts w:ascii="VIC" w:hAnsi="VIC"/>
              </w:rPr>
              <w:t>Continuing care</w:t>
            </w:r>
          </w:p>
        </w:tc>
        <w:tc>
          <w:tcPr>
            <w:tcW w:w="1892" w:type="dxa"/>
            <w:shd w:val="clear" w:color="auto" w:fill="BDD6EE" w:themeFill="accent5" w:themeFillTint="66"/>
          </w:tcPr>
          <w:p w14:paraId="60DCA55D" w14:textId="77777777" w:rsidR="00280F65" w:rsidRPr="00F03354" w:rsidRDefault="00280F65" w:rsidP="00280F65">
            <w:pPr>
              <w:spacing w:before="80" w:after="60"/>
              <w:rPr>
                <w:rFonts w:ascii="VIC" w:hAnsi="VIC"/>
              </w:rPr>
            </w:pPr>
            <w:r w:rsidRPr="00F03354">
              <w:rPr>
                <w:rFonts w:ascii="VIC" w:hAnsi="VIC"/>
              </w:rPr>
              <w:t>FIM™ efficiency</w:t>
            </w:r>
          </w:p>
        </w:tc>
        <w:tc>
          <w:tcPr>
            <w:tcW w:w="5012" w:type="dxa"/>
            <w:shd w:val="clear" w:color="auto" w:fill="BDD6EE" w:themeFill="accent5" w:themeFillTint="66"/>
          </w:tcPr>
          <w:p w14:paraId="0BC0BB01" w14:textId="77777777" w:rsidR="00280F65" w:rsidRPr="00F03354" w:rsidRDefault="00280F65" w:rsidP="00280F65">
            <w:pPr>
              <w:spacing w:before="80" w:after="60"/>
              <w:rPr>
                <w:rFonts w:ascii="VIC" w:hAnsi="VIC" w:cs="Arial"/>
              </w:rPr>
            </w:pPr>
            <w:r w:rsidRPr="00F03354">
              <w:rPr>
                <w:rFonts w:ascii="VIC" w:hAnsi="VIC" w:cs="Arial"/>
              </w:rPr>
              <w:t>Average change in the functional independence measure (FIM) score per day of care for rehabilitation separations</w:t>
            </w:r>
          </w:p>
        </w:tc>
        <w:tc>
          <w:tcPr>
            <w:tcW w:w="1350" w:type="dxa"/>
            <w:shd w:val="clear" w:color="auto" w:fill="BDD6EE" w:themeFill="accent5" w:themeFillTint="66"/>
          </w:tcPr>
          <w:p w14:paraId="7BD2BD26" w14:textId="77777777" w:rsidR="00280F65" w:rsidRPr="00F03354" w:rsidRDefault="00280F65" w:rsidP="00280F65">
            <w:pPr>
              <w:spacing w:before="80" w:after="60"/>
              <w:jc w:val="right"/>
              <w:rPr>
                <w:rFonts w:ascii="VIC" w:hAnsi="VIC" w:cs="Arial"/>
              </w:rPr>
            </w:pPr>
            <w:r w:rsidRPr="00F03354">
              <w:rPr>
                <w:rFonts w:ascii="VIC" w:hAnsi="VIC" w:cs="Arial"/>
              </w:rPr>
              <w:t>≥ 0.645</w:t>
            </w:r>
          </w:p>
        </w:tc>
      </w:tr>
      <w:tr w:rsidR="00B61E4A" w:rsidRPr="00F03354" w14:paraId="139D8661" w14:textId="77777777" w:rsidTr="00C24172">
        <w:trPr>
          <w:cantSplit/>
          <w:trHeight w:val="543"/>
        </w:trPr>
        <w:tc>
          <w:tcPr>
            <w:tcW w:w="1714" w:type="dxa"/>
            <w:gridSpan w:val="2"/>
            <w:vMerge w:val="restart"/>
            <w:shd w:val="clear" w:color="auto" w:fill="FFFFFF" w:themeFill="background1"/>
          </w:tcPr>
          <w:p w14:paraId="0C580E60" w14:textId="1560E2F8" w:rsidR="00B61E4A" w:rsidRPr="00F03354" w:rsidRDefault="00B61E4A" w:rsidP="00B61E4A">
            <w:pPr>
              <w:rPr>
                <w:rFonts w:ascii="VIC" w:hAnsi="VIC"/>
              </w:rPr>
            </w:pPr>
            <w:r w:rsidRPr="00F03354">
              <w:rPr>
                <w:rFonts w:ascii="VIC" w:hAnsi="VIC"/>
              </w:rPr>
              <w:t xml:space="preserve">Aboriginal Health </w:t>
            </w:r>
          </w:p>
        </w:tc>
        <w:tc>
          <w:tcPr>
            <w:tcW w:w="1892" w:type="dxa"/>
            <w:shd w:val="clear" w:color="auto" w:fill="FFFFFF" w:themeFill="background1"/>
          </w:tcPr>
          <w:p w14:paraId="7A8347AE" w14:textId="089E2362" w:rsidR="00B61E4A" w:rsidRPr="00F03354" w:rsidRDefault="00B61E4A" w:rsidP="00B61E4A">
            <w:pPr>
              <w:rPr>
                <w:rFonts w:ascii="VIC" w:hAnsi="VIC"/>
              </w:rPr>
            </w:pPr>
            <w:r w:rsidRPr="00F03354">
              <w:rPr>
                <w:rFonts w:ascii="VIC" w:hAnsi="VIC"/>
              </w:rPr>
              <w:t>Cultural Safety – Left against medical advice</w:t>
            </w:r>
          </w:p>
        </w:tc>
        <w:tc>
          <w:tcPr>
            <w:tcW w:w="5012" w:type="dxa"/>
            <w:shd w:val="clear" w:color="auto" w:fill="FFFFFF" w:themeFill="background1"/>
          </w:tcPr>
          <w:p w14:paraId="77D7C48E" w14:textId="77777777" w:rsidR="00B61E4A" w:rsidRPr="00F03354" w:rsidRDefault="00B61E4A" w:rsidP="00C24172">
            <w:pPr>
              <w:rPr>
                <w:rFonts w:ascii="VIC" w:eastAsia="VIC" w:hAnsi="VIC" w:cs="VIC"/>
              </w:rPr>
            </w:pPr>
            <w:r w:rsidRPr="00F03354">
              <w:rPr>
                <w:rFonts w:ascii="VIC" w:eastAsia="VIC" w:hAnsi="VIC" w:cs="VIC"/>
              </w:rPr>
              <w:t>Difference in percentage</w:t>
            </w:r>
            <w:r w:rsidRPr="00F03354">
              <w:rPr>
                <w:rFonts w:ascii="VIC" w:hAnsi="VIC"/>
              </w:rPr>
              <w:t xml:space="preserve"> </w:t>
            </w:r>
            <w:r w:rsidRPr="00F03354">
              <w:rPr>
                <w:rFonts w:ascii="VIC" w:eastAsia="VIC" w:hAnsi="VIC" w:cs="VIC"/>
              </w:rPr>
              <w:t>of admitted patients who left against medical advice</w:t>
            </w:r>
          </w:p>
          <w:p w14:paraId="114EB32E" w14:textId="2B9C8169" w:rsidR="00B61E4A" w:rsidRPr="00F03354" w:rsidRDefault="00B61E4A" w:rsidP="00C24172">
            <w:pPr>
              <w:rPr>
                <w:rFonts w:ascii="VIC" w:hAnsi="VIC" w:cs="Arial"/>
              </w:rPr>
            </w:pPr>
            <w:r w:rsidRPr="00F03354">
              <w:rPr>
                <w:rStyle w:val="FootnoteReference"/>
                <w:rFonts w:ascii="VIC" w:hAnsi="VIC"/>
              </w:rPr>
              <w:footnoteReference w:id="5"/>
            </w:r>
            <w:r w:rsidRPr="00F03354">
              <w:rPr>
                <w:rFonts w:ascii="VIC" w:hAnsi="VIC"/>
              </w:rPr>
              <w:t xml:space="preserve"> for Aboriginal and non-Aboriginal patients</w:t>
            </w:r>
            <w:r w:rsidRPr="00F03354">
              <w:rPr>
                <w:rFonts w:ascii="Times New Roman" w:hAnsi="Times New Roman"/>
              </w:rPr>
              <w:t>​</w:t>
            </w:r>
          </w:p>
        </w:tc>
        <w:tc>
          <w:tcPr>
            <w:tcW w:w="1350" w:type="dxa"/>
            <w:shd w:val="clear" w:color="auto" w:fill="FFFFFF" w:themeFill="background1"/>
          </w:tcPr>
          <w:p w14:paraId="4DA5B233" w14:textId="660D996D" w:rsidR="00B61E4A" w:rsidRPr="00F03354" w:rsidRDefault="00B61E4A" w:rsidP="00B61E4A">
            <w:pPr>
              <w:jc w:val="right"/>
              <w:rPr>
                <w:rFonts w:ascii="VIC" w:hAnsi="VIC" w:cs="Arial"/>
              </w:rPr>
            </w:pPr>
            <w:r w:rsidRPr="00F03354">
              <w:rPr>
                <w:rFonts w:ascii="VIC" w:hAnsi="VIC" w:cs="Arial"/>
              </w:rPr>
              <w:t>25% reduction in gap based on 2021/22 rate</w:t>
            </w:r>
          </w:p>
        </w:tc>
      </w:tr>
      <w:tr w:rsidR="00097E76" w:rsidRPr="00F03354" w14:paraId="52DB52E4" w14:textId="77777777" w:rsidTr="00097E76">
        <w:trPr>
          <w:cantSplit/>
          <w:trHeight w:val="543"/>
        </w:trPr>
        <w:tc>
          <w:tcPr>
            <w:tcW w:w="1714" w:type="dxa"/>
            <w:gridSpan w:val="2"/>
            <w:vMerge/>
          </w:tcPr>
          <w:p w14:paraId="71A02613" w14:textId="77777777" w:rsidR="00097E76" w:rsidRPr="00F03354" w:rsidRDefault="00097E76" w:rsidP="00097E76"/>
        </w:tc>
        <w:tc>
          <w:tcPr>
            <w:tcW w:w="1892" w:type="dxa"/>
            <w:shd w:val="clear" w:color="auto" w:fill="FFFFFF" w:themeFill="background1"/>
          </w:tcPr>
          <w:p w14:paraId="7C745405" w14:textId="5F602A9F" w:rsidR="00097E76" w:rsidRPr="00F03354" w:rsidRDefault="00097E76" w:rsidP="00097E76">
            <w:pPr>
              <w:rPr>
                <w:rFonts w:ascii="VIC" w:hAnsi="VIC"/>
              </w:rPr>
            </w:pPr>
            <w:r w:rsidRPr="00F03354">
              <w:rPr>
                <w:rFonts w:ascii="VIC" w:hAnsi="VIC"/>
              </w:rPr>
              <w:t>Cultural Safety – Did not wait to be seen</w:t>
            </w:r>
          </w:p>
          <w:p w14:paraId="08C7A7B6" w14:textId="4649E7A9" w:rsidR="00097E76" w:rsidRPr="00F03354" w:rsidRDefault="00097E76" w:rsidP="00097E76">
            <w:pPr>
              <w:rPr>
                <w:rFonts w:ascii="VIC" w:hAnsi="VIC"/>
              </w:rPr>
            </w:pPr>
          </w:p>
        </w:tc>
        <w:tc>
          <w:tcPr>
            <w:tcW w:w="5012" w:type="dxa"/>
            <w:shd w:val="clear" w:color="auto" w:fill="FFFFFF" w:themeFill="background1"/>
          </w:tcPr>
          <w:p w14:paraId="31ABF1FD" w14:textId="54A0174E" w:rsidR="00097E76" w:rsidRPr="00F03354" w:rsidRDefault="00097E76" w:rsidP="00097E76">
            <w:pPr>
              <w:rPr>
                <w:rFonts w:ascii="VIC" w:hAnsi="VIC" w:cs="Arial"/>
              </w:rPr>
            </w:pPr>
            <w:r>
              <w:rPr>
                <w:rFonts w:ascii="VIC" w:eastAsia="VIC" w:hAnsi="VIC" w:cs="VIC"/>
              </w:rPr>
              <w:t>P</w:t>
            </w:r>
            <w:r w:rsidRPr="00F03354">
              <w:rPr>
                <w:rFonts w:ascii="VIC" w:eastAsia="VIC" w:hAnsi="VIC" w:cs="VIC"/>
              </w:rPr>
              <w:t>ercentage of patients that did not wait for treatment</w:t>
            </w:r>
            <w:r w:rsidRPr="00F03354">
              <w:rPr>
                <w:rFonts w:ascii="VIC" w:hAnsi="VIC"/>
              </w:rPr>
              <w:t xml:space="preserve"> for Aboriginal and non-Aboriginal patients presenting to hospital emergency departments</w:t>
            </w:r>
            <w:r w:rsidRPr="00F03354">
              <w:rPr>
                <w:rFonts w:ascii="Times New Roman" w:hAnsi="Times New Roman"/>
              </w:rPr>
              <w:t>​</w:t>
            </w:r>
          </w:p>
        </w:tc>
        <w:tc>
          <w:tcPr>
            <w:tcW w:w="1350" w:type="dxa"/>
            <w:shd w:val="clear" w:color="auto" w:fill="FFFFFF" w:themeFill="background1"/>
          </w:tcPr>
          <w:p w14:paraId="5E48A4A7" w14:textId="4153F483" w:rsidR="00097E76" w:rsidRPr="00F03354" w:rsidRDefault="00097E76" w:rsidP="00097E76">
            <w:pPr>
              <w:jc w:val="right"/>
              <w:rPr>
                <w:rFonts w:ascii="VIC" w:hAnsi="VIC" w:cs="Arial"/>
              </w:rPr>
            </w:pPr>
            <w:r w:rsidRPr="00F03354">
              <w:rPr>
                <w:rFonts w:ascii="VIC" w:hAnsi="VIC" w:cs="Arial"/>
              </w:rPr>
              <w:t>25% reduction in gap based on 2021/22 rate</w:t>
            </w:r>
          </w:p>
          <w:p w14:paraId="3825494E" w14:textId="1418C91C" w:rsidR="00097E76" w:rsidRPr="00F03354" w:rsidRDefault="00097E76" w:rsidP="00097E76">
            <w:pPr>
              <w:jc w:val="right"/>
              <w:rPr>
                <w:rFonts w:ascii="VIC" w:hAnsi="VIC" w:cs="Arial"/>
              </w:rPr>
            </w:pPr>
          </w:p>
        </w:tc>
      </w:tr>
      <w:tr w:rsidR="00097E76" w:rsidRPr="00F03354" w14:paraId="3EE6EBE2" w14:textId="77777777" w:rsidTr="758D155A">
        <w:trPr>
          <w:cantSplit/>
          <w:trHeight w:val="543"/>
        </w:trPr>
        <w:tc>
          <w:tcPr>
            <w:tcW w:w="1714" w:type="dxa"/>
            <w:gridSpan w:val="2"/>
            <w:vMerge w:val="restart"/>
            <w:shd w:val="clear" w:color="auto" w:fill="BDD6EE" w:themeFill="accent5" w:themeFillTint="66"/>
          </w:tcPr>
          <w:p w14:paraId="051B71E5" w14:textId="77777777" w:rsidR="00097E76" w:rsidRPr="00F03354" w:rsidRDefault="00097E76" w:rsidP="00097E76">
            <w:pPr>
              <w:spacing w:before="80" w:after="60"/>
              <w:rPr>
                <w:rFonts w:ascii="VIC" w:hAnsi="VIC"/>
              </w:rPr>
            </w:pPr>
            <w:r w:rsidRPr="00F03354">
              <w:rPr>
                <w:rFonts w:ascii="VIC" w:hAnsi="VIC"/>
              </w:rPr>
              <w:t>Ambulance Victoria</w:t>
            </w:r>
          </w:p>
        </w:tc>
        <w:tc>
          <w:tcPr>
            <w:tcW w:w="1892" w:type="dxa"/>
            <w:vMerge w:val="restart"/>
            <w:shd w:val="clear" w:color="auto" w:fill="BDD6EE" w:themeFill="accent5" w:themeFillTint="66"/>
          </w:tcPr>
          <w:p w14:paraId="08ECFFEA" w14:textId="6F4183A3" w:rsidR="00097E76" w:rsidRPr="00F03354" w:rsidRDefault="00097E76" w:rsidP="00097E76">
            <w:pPr>
              <w:spacing w:before="80" w:after="60"/>
              <w:rPr>
                <w:rFonts w:ascii="VIC" w:hAnsi="VIC"/>
              </w:rPr>
            </w:pPr>
            <w:r w:rsidRPr="00F03354">
              <w:rPr>
                <w:rFonts w:ascii="VIC" w:hAnsi="VIC"/>
              </w:rPr>
              <w:t>Patient experience</w:t>
            </w:r>
          </w:p>
        </w:tc>
        <w:tc>
          <w:tcPr>
            <w:tcW w:w="5012" w:type="dxa"/>
            <w:shd w:val="clear" w:color="auto" w:fill="BDD6EE" w:themeFill="accent5" w:themeFillTint="66"/>
          </w:tcPr>
          <w:p w14:paraId="07225D72" w14:textId="113A009C" w:rsidR="00097E76" w:rsidRPr="00F03354" w:rsidRDefault="00097E76" w:rsidP="00097E76">
            <w:pPr>
              <w:spacing w:before="80" w:after="60"/>
              <w:rPr>
                <w:rFonts w:ascii="VIC" w:hAnsi="VIC" w:cs="Arial"/>
              </w:rPr>
            </w:pPr>
            <w:r w:rsidRPr="00F03354">
              <w:rPr>
                <w:rFonts w:ascii="VIC" w:hAnsi="VIC" w:cs="Arial"/>
              </w:rPr>
              <w:t>Percentage of respondents who rated care, treatment, advice and /or transport received from the ambulance service as good or very good</w:t>
            </w:r>
          </w:p>
        </w:tc>
        <w:tc>
          <w:tcPr>
            <w:tcW w:w="1350" w:type="dxa"/>
            <w:shd w:val="clear" w:color="auto" w:fill="BDD6EE" w:themeFill="accent5" w:themeFillTint="66"/>
          </w:tcPr>
          <w:p w14:paraId="4C67A30C" w14:textId="77777777" w:rsidR="00097E76" w:rsidRPr="00F03354" w:rsidRDefault="00097E76" w:rsidP="00097E76">
            <w:pPr>
              <w:spacing w:before="80" w:after="60"/>
              <w:jc w:val="right"/>
              <w:rPr>
                <w:rFonts w:ascii="VIC" w:hAnsi="VIC" w:cs="Arial"/>
              </w:rPr>
            </w:pPr>
            <w:r w:rsidRPr="00F03354">
              <w:rPr>
                <w:rFonts w:ascii="VIC" w:hAnsi="VIC" w:cs="Arial"/>
              </w:rPr>
              <w:t>95%</w:t>
            </w:r>
          </w:p>
        </w:tc>
      </w:tr>
      <w:tr w:rsidR="00097E76" w:rsidRPr="00F03354" w14:paraId="5D7D6AE1" w14:textId="77777777" w:rsidTr="758D155A">
        <w:trPr>
          <w:cantSplit/>
          <w:trHeight w:val="543"/>
        </w:trPr>
        <w:tc>
          <w:tcPr>
            <w:tcW w:w="1714" w:type="dxa"/>
            <w:gridSpan w:val="2"/>
            <w:vMerge/>
          </w:tcPr>
          <w:p w14:paraId="3BF425DA" w14:textId="77777777" w:rsidR="00097E76" w:rsidRPr="00F03354" w:rsidRDefault="00097E76" w:rsidP="00097E76">
            <w:pPr>
              <w:spacing w:before="80" w:after="60"/>
              <w:rPr>
                <w:rFonts w:ascii="VIC" w:hAnsi="VIC"/>
              </w:rPr>
            </w:pPr>
          </w:p>
        </w:tc>
        <w:tc>
          <w:tcPr>
            <w:tcW w:w="1892" w:type="dxa"/>
            <w:vMerge/>
          </w:tcPr>
          <w:p w14:paraId="205CF37D" w14:textId="77777777" w:rsidR="00097E76" w:rsidRPr="00F03354" w:rsidRDefault="00097E76" w:rsidP="00097E76">
            <w:pPr>
              <w:spacing w:before="80" w:after="60"/>
              <w:rPr>
                <w:rFonts w:ascii="VIC" w:hAnsi="VIC"/>
              </w:rPr>
            </w:pPr>
          </w:p>
        </w:tc>
        <w:tc>
          <w:tcPr>
            <w:tcW w:w="5012" w:type="dxa"/>
            <w:shd w:val="clear" w:color="auto" w:fill="BDD6EE" w:themeFill="accent5" w:themeFillTint="66"/>
          </w:tcPr>
          <w:p w14:paraId="28F5CD57" w14:textId="4DCB4E3C" w:rsidR="00097E76" w:rsidRPr="00F03354" w:rsidRDefault="00097E76" w:rsidP="00097E76">
            <w:pPr>
              <w:spacing w:before="80" w:after="60"/>
              <w:rPr>
                <w:rFonts w:ascii="VIC" w:hAnsi="VIC" w:cs="Arial"/>
              </w:rPr>
            </w:pPr>
            <w:r w:rsidRPr="00F03354">
              <w:rPr>
                <w:rFonts w:ascii="VIC" w:hAnsi="VIC" w:cs="Arial"/>
              </w:rPr>
              <w:t>Percentage of respondents who rated care and treatment received from paramedics as good or very good</w:t>
            </w:r>
          </w:p>
        </w:tc>
        <w:tc>
          <w:tcPr>
            <w:tcW w:w="1350" w:type="dxa"/>
            <w:shd w:val="clear" w:color="auto" w:fill="BDD6EE" w:themeFill="accent5" w:themeFillTint="66"/>
          </w:tcPr>
          <w:p w14:paraId="78D34EA8" w14:textId="77777777" w:rsidR="00097E76" w:rsidRPr="00F03354" w:rsidRDefault="00097E76" w:rsidP="00097E76">
            <w:pPr>
              <w:spacing w:before="80" w:after="60"/>
              <w:jc w:val="right"/>
              <w:rPr>
                <w:rFonts w:ascii="VIC" w:hAnsi="VIC" w:cs="Arial"/>
              </w:rPr>
            </w:pPr>
            <w:r w:rsidRPr="00F03354">
              <w:rPr>
                <w:rFonts w:ascii="VIC" w:hAnsi="VIC" w:cs="Arial"/>
              </w:rPr>
              <w:t>95%</w:t>
            </w:r>
          </w:p>
        </w:tc>
      </w:tr>
      <w:tr w:rsidR="00097E76" w:rsidRPr="00F03354" w14:paraId="29282192" w14:textId="77777777" w:rsidTr="758D155A">
        <w:trPr>
          <w:cantSplit/>
          <w:trHeight w:val="543"/>
        </w:trPr>
        <w:tc>
          <w:tcPr>
            <w:tcW w:w="1714" w:type="dxa"/>
            <w:gridSpan w:val="2"/>
            <w:vMerge/>
          </w:tcPr>
          <w:p w14:paraId="2F7A30A7" w14:textId="77777777" w:rsidR="00097E76" w:rsidRPr="00F03354" w:rsidRDefault="00097E76" w:rsidP="00097E76">
            <w:pPr>
              <w:spacing w:before="80" w:after="60"/>
              <w:rPr>
                <w:rFonts w:ascii="VIC" w:hAnsi="VIC"/>
              </w:rPr>
            </w:pPr>
          </w:p>
        </w:tc>
        <w:tc>
          <w:tcPr>
            <w:tcW w:w="1892" w:type="dxa"/>
            <w:shd w:val="clear" w:color="auto" w:fill="BDD6EE" w:themeFill="accent5" w:themeFillTint="66"/>
          </w:tcPr>
          <w:p w14:paraId="7DA93441" w14:textId="77777777" w:rsidR="00097E76" w:rsidRPr="00F03354" w:rsidRDefault="00097E76" w:rsidP="00097E76">
            <w:pPr>
              <w:spacing w:before="80" w:after="60"/>
              <w:rPr>
                <w:rFonts w:ascii="VIC" w:hAnsi="VIC"/>
              </w:rPr>
            </w:pPr>
            <w:r w:rsidRPr="00F03354">
              <w:rPr>
                <w:rFonts w:ascii="VIC" w:hAnsi="VIC"/>
              </w:rPr>
              <w:t>Pain reduction</w:t>
            </w:r>
          </w:p>
        </w:tc>
        <w:tc>
          <w:tcPr>
            <w:tcW w:w="5012" w:type="dxa"/>
            <w:shd w:val="clear" w:color="auto" w:fill="BDD6EE" w:themeFill="accent5" w:themeFillTint="66"/>
          </w:tcPr>
          <w:p w14:paraId="5F46ADA7" w14:textId="77777777" w:rsidR="00097E76" w:rsidRPr="00F03354" w:rsidRDefault="00097E76" w:rsidP="00097E76">
            <w:pPr>
              <w:spacing w:before="80" w:after="60"/>
              <w:rPr>
                <w:rFonts w:ascii="VIC" w:hAnsi="VIC" w:cs="Arial"/>
              </w:rPr>
            </w:pPr>
            <w:r w:rsidRPr="00F03354">
              <w:rPr>
                <w:rFonts w:ascii="VIC" w:hAnsi="VIC" w:cs="Arial"/>
              </w:rPr>
              <w:t>Percentage of patients experiencing severe cardiac or traumatic pain whose level of pain was reduced significantly</w:t>
            </w:r>
          </w:p>
        </w:tc>
        <w:tc>
          <w:tcPr>
            <w:tcW w:w="1350" w:type="dxa"/>
            <w:shd w:val="clear" w:color="auto" w:fill="BDD6EE" w:themeFill="accent5" w:themeFillTint="66"/>
          </w:tcPr>
          <w:p w14:paraId="3580CC3D" w14:textId="77777777" w:rsidR="00097E76" w:rsidRPr="00F03354" w:rsidRDefault="00097E76" w:rsidP="00097E76">
            <w:pPr>
              <w:spacing w:before="80" w:after="60"/>
              <w:jc w:val="right"/>
              <w:rPr>
                <w:rFonts w:ascii="VIC" w:hAnsi="VIC" w:cs="Arial"/>
              </w:rPr>
            </w:pPr>
            <w:r w:rsidRPr="00F03354">
              <w:rPr>
                <w:rFonts w:ascii="VIC" w:hAnsi="VIC" w:cs="Arial"/>
              </w:rPr>
              <w:t>90%</w:t>
            </w:r>
          </w:p>
        </w:tc>
      </w:tr>
      <w:tr w:rsidR="00097E76" w:rsidRPr="00F03354" w14:paraId="26EC6C8F" w14:textId="77777777" w:rsidTr="758D155A">
        <w:trPr>
          <w:cantSplit/>
          <w:trHeight w:val="543"/>
        </w:trPr>
        <w:tc>
          <w:tcPr>
            <w:tcW w:w="1714" w:type="dxa"/>
            <w:gridSpan w:val="2"/>
            <w:vMerge/>
          </w:tcPr>
          <w:p w14:paraId="039C969D" w14:textId="77777777" w:rsidR="00097E76" w:rsidRPr="00F03354" w:rsidRDefault="00097E76" w:rsidP="00097E76">
            <w:pPr>
              <w:spacing w:before="80" w:after="60"/>
              <w:rPr>
                <w:rFonts w:ascii="VIC" w:hAnsi="VIC"/>
              </w:rPr>
            </w:pPr>
          </w:p>
        </w:tc>
        <w:tc>
          <w:tcPr>
            <w:tcW w:w="1892" w:type="dxa"/>
            <w:shd w:val="clear" w:color="auto" w:fill="BDD6EE" w:themeFill="accent5" w:themeFillTint="66"/>
          </w:tcPr>
          <w:p w14:paraId="294ABDD5" w14:textId="77777777" w:rsidR="00097E76" w:rsidRPr="00F03354" w:rsidRDefault="00097E76" w:rsidP="00097E76">
            <w:pPr>
              <w:spacing w:before="80" w:after="60"/>
              <w:rPr>
                <w:rFonts w:ascii="VIC" w:hAnsi="VIC"/>
              </w:rPr>
            </w:pPr>
            <w:r w:rsidRPr="00F03354">
              <w:rPr>
                <w:rFonts w:ascii="VIC" w:hAnsi="VIC"/>
              </w:rPr>
              <w:t>Stroke patients transport</w:t>
            </w:r>
          </w:p>
        </w:tc>
        <w:tc>
          <w:tcPr>
            <w:tcW w:w="5012" w:type="dxa"/>
            <w:shd w:val="clear" w:color="auto" w:fill="BDD6EE" w:themeFill="accent5" w:themeFillTint="66"/>
          </w:tcPr>
          <w:p w14:paraId="33616215" w14:textId="77777777" w:rsidR="00097E76" w:rsidRPr="00F03354" w:rsidRDefault="00097E76" w:rsidP="00097E76">
            <w:pPr>
              <w:spacing w:before="80" w:after="60"/>
              <w:rPr>
                <w:rFonts w:ascii="VIC" w:hAnsi="VIC" w:cs="Arial"/>
              </w:rPr>
            </w:pPr>
            <w:r w:rsidRPr="00F03354">
              <w:rPr>
                <w:rFonts w:ascii="VIC" w:hAnsi="VIC" w:cs="Arial"/>
              </w:rPr>
              <w:t>Percentage of adult stroke patients transported to definitive care within 60 minutes</w:t>
            </w:r>
          </w:p>
        </w:tc>
        <w:tc>
          <w:tcPr>
            <w:tcW w:w="1350" w:type="dxa"/>
            <w:shd w:val="clear" w:color="auto" w:fill="BDD6EE" w:themeFill="accent5" w:themeFillTint="66"/>
          </w:tcPr>
          <w:p w14:paraId="39FC80F8" w14:textId="77777777" w:rsidR="00097E76" w:rsidRPr="00F03354" w:rsidRDefault="00097E76" w:rsidP="00097E76">
            <w:pPr>
              <w:spacing w:before="80" w:after="60"/>
              <w:jc w:val="right"/>
              <w:rPr>
                <w:rFonts w:ascii="VIC" w:hAnsi="VIC" w:cs="Arial"/>
              </w:rPr>
            </w:pPr>
            <w:r w:rsidRPr="00F03354">
              <w:rPr>
                <w:rFonts w:ascii="VIC" w:hAnsi="VIC" w:cs="Arial"/>
              </w:rPr>
              <w:t>90%</w:t>
            </w:r>
          </w:p>
        </w:tc>
      </w:tr>
      <w:tr w:rsidR="00097E76" w:rsidRPr="00F03354" w14:paraId="36061275" w14:textId="77777777" w:rsidTr="758D155A">
        <w:trPr>
          <w:cantSplit/>
          <w:trHeight w:val="543"/>
        </w:trPr>
        <w:tc>
          <w:tcPr>
            <w:tcW w:w="1714" w:type="dxa"/>
            <w:gridSpan w:val="2"/>
            <w:vMerge/>
          </w:tcPr>
          <w:p w14:paraId="570D61D8" w14:textId="77777777" w:rsidR="00097E76" w:rsidRPr="00F03354" w:rsidRDefault="00097E76" w:rsidP="00097E76">
            <w:pPr>
              <w:spacing w:before="80" w:after="60"/>
              <w:rPr>
                <w:rFonts w:ascii="VIC" w:hAnsi="VIC"/>
              </w:rPr>
            </w:pPr>
          </w:p>
        </w:tc>
        <w:tc>
          <w:tcPr>
            <w:tcW w:w="1892" w:type="dxa"/>
            <w:shd w:val="clear" w:color="auto" w:fill="BDD6EE" w:themeFill="accent5" w:themeFillTint="66"/>
          </w:tcPr>
          <w:p w14:paraId="376F88A4" w14:textId="77777777" w:rsidR="00097E76" w:rsidRPr="00F03354" w:rsidRDefault="00097E76" w:rsidP="00097E76">
            <w:pPr>
              <w:spacing w:before="80" w:after="60"/>
              <w:rPr>
                <w:rFonts w:ascii="VIC" w:hAnsi="VIC"/>
              </w:rPr>
            </w:pPr>
            <w:r w:rsidRPr="00F03354">
              <w:rPr>
                <w:rFonts w:ascii="VIC" w:hAnsi="VIC"/>
              </w:rPr>
              <w:t>Trauma patients transport</w:t>
            </w:r>
          </w:p>
        </w:tc>
        <w:tc>
          <w:tcPr>
            <w:tcW w:w="5012" w:type="dxa"/>
            <w:shd w:val="clear" w:color="auto" w:fill="BDD6EE" w:themeFill="accent5" w:themeFillTint="66"/>
          </w:tcPr>
          <w:p w14:paraId="4CD9C801" w14:textId="77777777" w:rsidR="00097E76" w:rsidRPr="00F03354" w:rsidRDefault="00097E76" w:rsidP="00097E76">
            <w:pPr>
              <w:spacing w:before="80" w:after="60"/>
              <w:rPr>
                <w:rFonts w:ascii="VIC" w:hAnsi="VIC" w:cs="Arial"/>
              </w:rPr>
            </w:pPr>
            <w:r w:rsidRPr="00F03354">
              <w:rPr>
                <w:rFonts w:ascii="VIC" w:hAnsi="VIC" w:cs="Arial"/>
              </w:rPr>
              <w:t>Percentage of major trauma patients that meet destination compliance</w:t>
            </w:r>
          </w:p>
        </w:tc>
        <w:tc>
          <w:tcPr>
            <w:tcW w:w="1350" w:type="dxa"/>
            <w:shd w:val="clear" w:color="auto" w:fill="BDD6EE" w:themeFill="accent5" w:themeFillTint="66"/>
          </w:tcPr>
          <w:p w14:paraId="59DAB2B1" w14:textId="77777777" w:rsidR="00097E76" w:rsidRPr="00F03354" w:rsidRDefault="00097E76" w:rsidP="00097E76">
            <w:pPr>
              <w:spacing w:before="80" w:after="60"/>
              <w:jc w:val="right"/>
              <w:rPr>
                <w:rFonts w:ascii="VIC" w:hAnsi="VIC" w:cs="Arial"/>
              </w:rPr>
            </w:pPr>
            <w:r w:rsidRPr="00F03354">
              <w:rPr>
                <w:rFonts w:ascii="VIC" w:hAnsi="VIC" w:cs="Arial"/>
              </w:rPr>
              <w:t>85%</w:t>
            </w:r>
          </w:p>
        </w:tc>
      </w:tr>
      <w:tr w:rsidR="00097E76" w:rsidRPr="00F03354" w14:paraId="3D34CAF3" w14:textId="77777777" w:rsidTr="758D155A">
        <w:trPr>
          <w:cantSplit/>
          <w:trHeight w:val="543"/>
        </w:trPr>
        <w:tc>
          <w:tcPr>
            <w:tcW w:w="1714" w:type="dxa"/>
            <w:gridSpan w:val="2"/>
            <w:vMerge/>
          </w:tcPr>
          <w:p w14:paraId="21FEEA66" w14:textId="77777777" w:rsidR="00097E76" w:rsidRPr="00F03354" w:rsidRDefault="00097E76" w:rsidP="00097E76">
            <w:pPr>
              <w:spacing w:before="80" w:after="60"/>
              <w:rPr>
                <w:rFonts w:ascii="VIC" w:hAnsi="VIC"/>
              </w:rPr>
            </w:pPr>
          </w:p>
        </w:tc>
        <w:tc>
          <w:tcPr>
            <w:tcW w:w="1892" w:type="dxa"/>
            <w:shd w:val="clear" w:color="auto" w:fill="BDD6EE" w:themeFill="accent5" w:themeFillTint="66"/>
          </w:tcPr>
          <w:p w14:paraId="4B730101" w14:textId="77777777" w:rsidR="00097E76" w:rsidRPr="00F03354" w:rsidRDefault="00097E76" w:rsidP="00097E76">
            <w:pPr>
              <w:spacing w:before="80" w:after="60"/>
              <w:rPr>
                <w:rFonts w:ascii="VIC" w:hAnsi="VIC"/>
              </w:rPr>
            </w:pPr>
            <w:r w:rsidRPr="00F03354">
              <w:rPr>
                <w:rFonts w:ascii="VIC" w:hAnsi="VIC"/>
              </w:rPr>
              <w:t>Cardiac survival to hospital</w:t>
            </w:r>
          </w:p>
        </w:tc>
        <w:tc>
          <w:tcPr>
            <w:tcW w:w="5012" w:type="dxa"/>
            <w:shd w:val="clear" w:color="auto" w:fill="BDD6EE" w:themeFill="accent5" w:themeFillTint="66"/>
          </w:tcPr>
          <w:p w14:paraId="15FA54D0" w14:textId="77777777" w:rsidR="00097E76" w:rsidRPr="00F03354" w:rsidRDefault="00097E76" w:rsidP="00097E76">
            <w:pPr>
              <w:spacing w:before="80" w:after="60"/>
              <w:rPr>
                <w:rFonts w:ascii="VIC" w:hAnsi="VIC" w:cs="Arial"/>
              </w:rPr>
            </w:pPr>
            <w:r w:rsidRPr="00F03354">
              <w:rPr>
                <w:rFonts w:ascii="VIC" w:hAnsi="VIC" w:cs="Arial"/>
              </w:rPr>
              <w:t>Percentage of adult cardiac arrest patients surviving to hospital</w:t>
            </w:r>
          </w:p>
        </w:tc>
        <w:tc>
          <w:tcPr>
            <w:tcW w:w="1350" w:type="dxa"/>
            <w:shd w:val="clear" w:color="auto" w:fill="BDD6EE" w:themeFill="accent5" w:themeFillTint="66"/>
          </w:tcPr>
          <w:p w14:paraId="3F94740C" w14:textId="77777777" w:rsidR="00097E76" w:rsidRPr="00F03354" w:rsidRDefault="00097E76" w:rsidP="00097E76">
            <w:pPr>
              <w:spacing w:before="80" w:after="60"/>
              <w:jc w:val="right"/>
              <w:rPr>
                <w:rFonts w:ascii="VIC" w:hAnsi="VIC" w:cs="Arial"/>
              </w:rPr>
            </w:pPr>
            <w:r w:rsidRPr="00F03354">
              <w:rPr>
                <w:rFonts w:ascii="VIC" w:hAnsi="VIC" w:cs="Arial"/>
              </w:rPr>
              <w:t>50%</w:t>
            </w:r>
          </w:p>
        </w:tc>
      </w:tr>
      <w:tr w:rsidR="00097E76" w:rsidRPr="00F03354" w14:paraId="0161375D" w14:textId="77777777" w:rsidTr="758D155A">
        <w:trPr>
          <w:cantSplit/>
          <w:trHeight w:val="543"/>
        </w:trPr>
        <w:tc>
          <w:tcPr>
            <w:tcW w:w="1714" w:type="dxa"/>
            <w:gridSpan w:val="2"/>
            <w:vMerge/>
          </w:tcPr>
          <w:p w14:paraId="2D5A96E8" w14:textId="77777777" w:rsidR="00097E76" w:rsidRPr="00F03354" w:rsidRDefault="00097E76" w:rsidP="00097E76">
            <w:pPr>
              <w:spacing w:before="80" w:after="60"/>
              <w:rPr>
                <w:rFonts w:ascii="VIC" w:hAnsi="VIC"/>
              </w:rPr>
            </w:pPr>
          </w:p>
        </w:tc>
        <w:tc>
          <w:tcPr>
            <w:tcW w:w="1892" w:type="dxa"/>
            <w:shd w:val="clear" w:color="auto" w:fill="BDD6EE" w:themeFill="accent5" w:themeFillTint="66"/>
          </w:tcPr>
          <w:p w14:paraId="075C18D4" w14:textId="77777777" w:rsidR="00097E76" w:rsidRPr="00F03354" w:rsidRDefault="00097E76" w:rsidP="00097E76">
            <w:pPr>
              <w:spacing w:before="80" w:after="60"/>
              <w:rPr>
                <w:rFonts w:ascii="VIC" w:hAnsi="VIC"/>
              </w:rPr>
            </w:pPr>
            <w:r w:rsidRPr="00F03354">
              <w:rPr>
                <w:rFonts w:ascii="VIC" w:hAnsi="VIC"/>
              </w:rPr>
              <w:t>Cardiac survival on hospital discharge</w:t>
            </w:r>
          </w:p>
        </w:tc>
        <w:tc>
          <w:tcPr>
            <w:tcW w:w="5012" w:type="dxa"/>
            <w:shd w:val="clear" w:color="auto" w:fill="BDD6EE" w:themeFill="accent5" w:themeFillTint="66"/>
          </w:tcPr>
          <w:p w14:paraId="7331289F" w14:textId="77777777" w:rsidR="00097E76" w:rsidRPr="00F03354" w:rsidRDefault="00097E76" w:rsidP="00097E76">
            <w:pPr>
              <w:spacing w:before="80" w:after="60"/>
              <w:rPr>
                <w:rFonts w:ascii="VIC" w:hAnsi="VIC" w:cs="Arial"/>
              </w:rPr>
            </w:pPr>
            <w:r w:rsidRPr="00F03354">
              <w:rPr>
                <w:rFonts w:ascii="VIC" w:hAnsi="VIC" w:cs="Arial"/>
              </w:rPr>
              <w:t>Percentage of adult cardiac arrest patients surviving to hospital discharge</w:t>
            </w:r>
          </w:p>
        </w:tc>
        <w:tc>
          <w:tcPr>
            <w:tcW w:w="1350" w:type="dxa"/>
            <w:shd w:val="clear" w:color="auto" w:fill="BDD6EE" w:themeFill="accent5" w:themeFillTint="66"/>
          </w:tcPr>
          <w:p w14:paraId="3FF05106" w14:textId="77777777" w:rsidR="00097E76" w:rsidRPr="00F03354" w:rsidRDefault="00097E76" w:rsidP="00097E76">
            <w:pPr>
              <w:spacing w:before="80" w:after="60"/>
              <w:jc w:val="right"/>
              <w:rPr>
                <w:rFonts w:ascii="VIC" w:hAnsi="VIC" w:cs="Arial"/>
              </w:rPr>
            </w:pPr>
            <w:r w:rsidRPr="00F03354">
              <w:rPr>
                <w:rFonts w:ascii="VIC" w:hAnsi="VIC" w:cs="Arial"/>
              </w:rPr>
              <w:t>25%</w:t>
            </w:r>
          </w:p>
        </w:tc>
      </w:tr>
    </w:tbl>
    <w:p w14:paraId="099598A5" w14:textId="77777777" w:rsidR="00280F65" w:rsidRPr="00F03354" w:rsidRDefault="00280F65" w:rsidP="00280F65">
      <w:pPr>
        <w:spacing w:after="120" w:line="270" w:lineRule="atLeast"/>
        <w:rPr>
          <w:rFonts w:ascii="VIC" w:eastAsia="Times" w:hAnsi="VIC" w:cs="Times New Roman"/>
          <w:sz w:val="20"/>
          <w:szCs w:val="20"/>
        </w:rPr>
      </w:pPr>
    </w:p>
    <w:p w14:paraId="4B0DABB6" w14:textId="77777777" w:rsidR="00280F65" w:rsidRPr="00F03354" w:rsidRDefault="00280F65" w:rsidP="00280F65">
      <w:pPr>
        <w:rPr>
          <w:rFonts w:ascii="VIC" w:eastAsia="MS Gothic" w:hAnsi="VIC" w:cs="Arial"/>
          <w:b/>
          <w:bCs/>
          <w:color w:val="201547"/>
          <w:sz w:val="20"/>
          <w:szCs w:val="20"/>
        </w:rPr>
      </w:pPr>
      <w:bookmarkStart w:id="4" w:name="_Toc517959116"/>
      <w:bookmarkStart w:id="5" w:name="_Toc10123534"/>
      <w:r w:rsidRPr="00F03354">
        <w:rPr>
          <w:rFonts w:ascii="VIC" w:eastAsia="Times New Roman" w:hAnsi="VIC" w:cs="Times New Roman"/>
          <w:sz w:val="20"/>
          <w:szCs w:val="20"/>
        </w:rPr>
        <w:br w:type="page"/>
      </w:r>
    </w:p>
    <w:p w14:paraId="66814C2E" w14:textId="77777777" w:rsidR="00280F65" w:rsidRPr="00F03354" w:rsidRDefault="00280F65" w:rsidP="00280F65">
      <w:pPr>
        <w:keepNext/>
        <w:keepLines/>
        <w:spacing w:before="240" w:after="90" w:line="320" w:lineRule="atLeast"/>
        <w:outlineLvl w:val="2"/>
        <w:rPr>
          <w:rFonts w:ascii="VIC" w:eastAsia="MS Gothic" w:hAnsi="VIC" w:cs="Arial"/>
          <w:b/>
          <w:bCs/>
          <w:color w:val="244C5A"/>
          <w:sz w:val="20"/>
          <w:szCs w:val="20"/>
        </w:rPr>
      </w:pPr>
      <w:r w:rsidRPr="00F03354">
        <w:rPr>
          <w:rFonts w:ascii="VIC" w:eastAsia="MS Gothic" w:hAnsi="VIC" w:cs="Arial"/>
          <w:b/>
          <w:bCs/>
          <w:color w:val="244C5A"/>
          <w:sz w:val="20"/>
          <w:szCs w:val="20"/>
        </w:rPr>
        <w:lastRenderedPageBreak/>
        <w:t>Strong governance, leadership and culture</w:t>
      </w:r>
      <w:bookmarkEnd w:id="3"/>
      <w:bookmarkEnd w:id="4"/>
      <w:bookmarkEnd w:id="5"/>
    </w:p>
    <w:tbl>
      <w:tblPr>
        <w:tblStyle w:val="TableGrid3"/>
        <w:tblW w:w="9540" w:type="dxa"/>
        <w:tblInd w:w="-1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1649"/>
        <w:gridCol w:w="33"/>
        <w:gridCol w:w="1511"/>
        <w:gridCol w:w="32"/>
        <w:gridCol w:w="5265"/>
        <w:gridCol w:w="1050"/>
      </w:tblGrid>
      <w:tr w:rsidR="00A145E3" w:rsidRPr="00F03354" w14:paraId="13F5DF34" w14:textId="77777777" w:rsidTr="73D8BFD4">
        <w:trPr>
          <w:cantSplit/>
          <w:trHeight w:val="334"/>
          <w:tblHeader/>
        </w:trPr>
        <w:tc>
          <w:tcPr>
            <w:tcW w:w="1649" w:type="dxa"/>
            <w:shd w:val="clear" w:color="auto" w:fill="244C5A"/>
            <w:vAlign w:val="center"/>
          </w:tcPr>
          <w:p w14:paraId="095467D1" w14:textId="77777777" w:rsidR="00280F65" w:rsidRPr="00F03354" w:rsidRDefault="00280F65" w:rsidP="00280F65">
            <w:pPr>
              <w:spacing w:before="80" w:after="60"/>
              <w:rPr>
                <w:rFonts w:ascii="VIC" w:hAnsi="VIC" w:cs="Arial"/>
                <w:bCs/>
                <w:color w:val="FFFFFF" w:themeColor="background1"/>
              </w:rPr>
            </w:pPr>
            <w:bookmarkStart w:id="6" w:name="_Hlk84858302"/>
            <w:r w:rsidRPr="00F03354">
              <w:rPr>
                <w:rFonts w:ascii="VIC" w:hAnsi="VIC" w:cs="Arial"/>
                <w:bCs/>
                <w:color w:val="FFFFFF" w:themeColor="background1"/>
              </w:rPr>
              <w:t>Program</w:t>
            </w:r>
          </w:p>
        </w:tc>
        <w:tc>
          <w:tcPr>
            <w:tcW w:w="1544" w:type="dxa"/>
            <w:gridSpan w:val="2"/>
            <w:shd w:val="clear" w:color="auto" w:fill="244C5A"/>
            <w:vAlign w:val="center"/>
          </w:tcPr>
          <w:p w14:paraId="061F6E02" w14:textId="77777777" w:rsidR="00280F65" w:rsidRPr="00F03354" w:rsidRDefault="00280F65" w:rsidP="00280F65">
            <w:pPr>
              <w:spacing w:before="80" w:after="60"/>
              <w:rPr>
                <w:rFonts w:ascii="VIC" w:hAnsi="VIC" w:cs="Arial"/>
                <w:bCs/>
                <w:color w:val="FFFFFF" w:themeColor="background1"/>
              </w:rPr>
            </w:pPr>
            <w:r w:rsidRPr="00F03354">
              <w:rPr>
                <w:rFonts w:ascii="VIC" w:hAnsi="VIC" w:cs="Arial"/>
                <w:bCs/>
                <w:color w:val="FFFFFF" w:themeColor="background1"/>
              </w:rPr>
              <w:t>KPI</w:t>
            </w:r>
          </w:p>
        </w:tc>
        <w:tc>
          <w:tcPr>
            <w:tcW w:w="5297" w:type="dxa"/>
            <w:gridSpan w:val="2"/>
            <w:shd w:val="clear" w:color="auto" w:fill="244C5A"/>
            <w:vAlign w:val="center"/>
          </w:tcPr>
          <w:p w14:paraId="7ECBF53A" w14:textId="77777777" w:rsidR="00280F65" w:rsidRPr="00F03354" w:rsidRDefault="00280F65" w:rsidP="00280F65">
            <w:pPr>
              <w:spacing w:before="80" w:after="60"/>
              <w:rPr>
                <w:rFonts w:ascii="VIC" w:hAnsi="VIC" w:cs="Arial"/>
                <w:bCs/>
                <w:color w:val="FFFFFF" w:themeColor="background1"/>
              </w:rPr>
            </w:pPr>
            <w:r w:rsidRPr="00F03354">
              <w:rPr>
                <w:rFonts w:ascii="VIC" w:hAnsi="VIC" w:cs="Arial"/>
                <w:bCs/>
                <w:color w:val="FFFFFF" w:themeColor="background1"/>
              </w:rPr>
              <w:t>Key performance measure</w:t>
            </w:r>
          </w:p>
        </w:tc>
        <w:tc>
          <w:tcPr>
            <w:tcW w:w="1050" w:type="dxa"/>
            <w:shd w:val="clear" w:color="auto" w:fill="244C5A"/>
            <w:vAlign w:val="center"/>
          </w:tcPr>
          <w:p w14:paraId="718B9C3E" w14:textId="77777777" w:rsidR="00280F65" w:rsidRPr="00F03354" w:rsidRDefault="00280F65" w:rsidP="00280F65">
            <w:pPr>
              <w:spacing w:before="80" w:after="60"/>
              <w:jc w:val="center"/>
              <w:rPr>
                <w:rFonts w:ascii="VIC" w:hAnsi="VIC" w:cs="Arial"/>
                <w:bCs/>
                <w:color w:val="FFFFFF" w:themeColor="background1"/>
              </w:rPr>
            </w:pPr>
            <w:r w:rsidRPr="00F03354">
              <w:rPr>
                <w:rFonts w:ascii="VIC" w:hAnsi="VIC" w:cs="Arial"/>
                <w:bCs/>
                <w:color w:val="FFFFFF" w:themeColor="background1"/>
              </w:rPr>
              <w:t>Target</w:t>
            </w:r>
          </w:p>
        </w:tc>
      </w:tr>
      <w:tr w:rsidR="00FF0497" w:rsidRPr="00F03354" w14:paraId="1EE0BDF3" w14:textId="77777777" w:rsidTr="73D8BFD4">
        <w:trPr>
          <w:cantSplit/>
          <w:trHeight w:val="543"/>
        </w:trPr>
        <w:tc>
          <w:tcPr>
            <w:tcW w:w="1682" w:type="dxa"/>
            <w:gridSpan w:val="2"/>
            <w:vMerge w:val="restart"/>
            <w:shd w:val="clear" w:color="auto" w:fill="BDD6EE" w:themeFill="accent5" w:themeFillTint="66"/>
          </w:tcPr>
          <w:p w14:paraId="5A8077ED" w14:textId="77777777" w:rsidR="00280F65" w:rsidRPr="00F03354" w:rsidRDefault="00280F65" w:rsidP="00280F65">
            <w:pPr>
              <w:spacing w:before="80" w:after="60"/>
              <w:rPr>
                <w:rFonts w:ascii="VIC" w:hAnsi="VIC" w:cs="Arial"/>
              </w:rPr>
            </w:pPr>
            <w:r w:rsidRPr="00F03354">
              <w:rPr>
                <w:rFonts w:ascii="VIC" w:hAnsi="VIC" w:cs="Arial"/>
              </w:rPr>
              <w:t>Organisational culture</w:t>
            </w:r>
          </w:p>
        </w:tc>
        <w:tc>
          <w:tcPr>
            <w:tcW w:w="1543" w:type="dxa"/>
            <w:gridSpan w:val="2"/>
            <w:vMerge w:val="restart"/>
            <w:shd w:val="clear" w:color="auto" w:fill="BDD6EE" w:themeFill="accent5" w:themeFillTint="66"/>
          </w:tcPr>
          <w:p w14:paraId="0D85951E" w14:textId="77777777" w:rsidR="00280F65" w:rsidRPr="00F03354" w:rsidRDefault="00280F65" w:rsidP="00280F65">
            <w:pPr>
              <w:spacing w:before="80" w:after="60"/>
              <w:rPr>
                <w:rFonts w:ascii="VIC" w:hAnsi="VIC" w:cs="Arial"/>
              </w:rPr>
            </w:pPr>
            <w:r w:rsidRPr="00F03354">
              <w:rPr>
                <w:rFonts w:ascii="VIC" w:hAnsi="VIC"/>
              </w:rPr>
              <w:t>Safety culture</w:t>
            </w:r>
          </w:p>
        </w:tc>
        <w:tc>
          <w:tcPr>
            <w:tcW w:w="5265" w:type="dxa"/>
            <w:shd w:val="clear" w:color="auto" w:fill="BDD6EE" w:themeFill="accent5" w:themeFillTint="66"/>
          </w:tcPr>
          <w:p w14:paraId="58B66774" w14:textId="77777777" w:rsidR="00280F65" w:rsidRPr="00F03354" w:rsidRDefault="00280F65" w:rsidP="00280F65">
            <w:pPr>
              <w:spacing w:before="80" w:after="60"/>
              <w:rPr>
                <w:rFonts w:ascii="VIC" w:hAnsi="VIC" w:cs="Arial"/>
              </w:rPr>
            </w:pPr>
            <w:r w:rsidRPr="00F03354">
              <w:rPr>
                <w:rFonts w:ascii="VIC" w:hAnsi="VIC" w:cs="Arial"/>
              </w:rPr>
              <w:t>People matter survey – Percentage of staff with an overall positive response to safety culture survey questions</w:t>
            </w:r>
          </w:p>
        </w:tc>
        <w:tc>
          <w:tcPr>
            <w:tcW w:w="1050" w:type="dxa"/>
            <w:shd w:val="clear" w:color="auto" w:fill="BDD6EE" w:themeFill="accent5" w:themeFillTint="66"/>
          </w:tcPr>
          <w:p w14:paraId="68ABB8E3" w14:textId="77777777" w:rsidR="00280F65" w:rsidRPr="00F03354" w:rsidRDefault="084D64FE" w:rsidP="00280F65">
            <w:pPr>
              <w:spacing w:before="80" w:after="60"/>
              <w:jc w:val="right"/>
              <w:rPr>
                <w:rFonts w:ascii="VIC" w:hAnsi="VIC" w:cs="Arial"/>
              </w:rPr>
            </w:pPr>
            <w:r w:rsidRPr="00F03354">
              <w:rPr>
                <w:rFonts w:ascii="VIC" w:hAnsi="VIC" w:cs="Arial"/>
              </w:rPr>
              <w:t>62%</w:t>
            </w:r>
            <w:r w:rsidR="00280F65" w:rsidRPr="00F03354">
              <w:rPr>
                <w:rFonts w:ascii="VIC" w:hAnsi="VIC" w:cs="Arial"/>
                <w:vertAlign w:val="superscript"/>
              </w:rPr>
              <w:footnoteReference w:id="6"/>
            </w:r>
            <w:r w:rsidRPr="00BC6902">
              <w:rPr>
                <w:rFonts w:ascii="VIC" w:hAnsi="VIC" w:cs="Arial"/>
                <w:vertAlign w:val="superscript"/>
              </w:rPr>
              <w:t>,</w:t>
            </w:r>
            <w:r w:rsidR="00280F65" w:rsidRPr="00F03354">
              <w:rPr>
                <w:rFonts w:ascii="VIC" w:hAnsi="VIC" w:cs="Arial"/>
                <w:vertAlign w:val="superscript"/>
              </w:rPr>
              <w:footnoteReference w:id="7"/>
            </w:r>
          </w:p>
        </w:tc>
      </w:tr>
      <w:tr w:rsidR="00FF0497" w:rsidRPr="00F03354" w14:paraId="090E6B6B" w14:textId="77777777" w:rsidTr="73D8BFD4">
        <w:trPr>
          <w:cantSplit/>
          <w:trHeight w:val="543"/>
        </w:trPr>
        <w:tc>
          <w:tcPr>
            <w:tcW w:w="1682" w:type="dxa"/>
            <w:gridSpan w:val="2"/>
            <w:vMerge/>
          </w:tcPr>
          <w:p w14:paraId="2EE3D2D1" w14:textId="77777777" w:rsidR="00280F65" w:rsidRPr="00F03354" w:rsidRDefault="00280F65" w:rsidP="00280F65">
            <w:pPr>
              <w:spacing w:before="80" w:after="60"/>
              <w:ind w:left="314"/>
              <w:rPr>
                <w:rFonts w:ascii="VIC" w:hAnsi="VIC"/>
              </w:rPr>
            </w:pPr>
          </w:p>
        </w:tc>
        <w:tc>
          <w:tcPr>
            <w:tcW w:w="1543" w:type="dxa"/>
            <w:gridSpan w:val="2"/>
            <w:vMerge/>
          </w:tcPr>
          <w:p w14:paraId="751B76F6" w14:textId="77777777" w:rsidR="00280F65" w:rsidRPr="00F03354" w:rsidRDefault="00280F65" w:rsidP="00280F65">
            <w:pPr>
              <w:spacing w:before="80" w:after="60"/>
              <w:ind w:left="314"/>
              <w:rPr>
                <w:rFonts w:ascii="VIC" w:hAnsi="VIC"/>
              </w:rPr>
            </w:pPr>
          </w:p>
        </w:tc>
        <w:tc>
          <w:tcPr>
            <w:tcW w:w="5265" w:type="dxa"/>
            <w:shd w:val="clear" w:color="auto" w:fill="FFFFFF" w:themeFill="background1"/>
          </w:tcPr>
          <w:p w14:paraId="39AFAFCE" w14:textId="77777777" w:rsidR="00280F65" w:rsidRPr="00F03354" w:rsidRDefault="00280F65" w:rsidP="00280F65">
            <w:pPr>
              <w:spacing w:before="80" w:after="60"/>
              <w:rPr>
                <w:rFonts w:ascii="VIC" w:hAnsi="VIC" w:cs="Arial"/>
              </w:rPr>
            </w:pPr>
            <w:r w:rsidRPr="00F03354">
              <w:rPr>
                <w:rFonts w:ascii="VIC" w:hAnsi="VIC"/>
              </w:rPr>
              <w:t>Staff encouraged to report patient safety concerns</w:t>
            </w:r>
          </w:p>
        </w:tc>
        <w:tc>
          <w:tcPr>
            <w:tcW w:w="1050" w:type="dxa"/>
            <w:shd w:val="clear" w:color="auto" w:fill="FFFFFF" w:themeFill="background1"/>
          </w:tcPr>
          <w:p w14:paraId="23F8562B" w14:textId="1BBC28CB" w:rsidR="00280F65" w:rsidRPr="00F03354" w:rsidRDefault="00280F65" w:rsidP="00280F65">
            <w:pPr>
              <w:spacing w:before="80" w:after="60"/>
              <w:jc w:val="right"/>
              <w:rPr>
                <w:rFonts w:ascii="VIC" w:hAnsi="VIC" w:cs="Arial"/>
              </w:rPr>
            </w:pPr>
            <w:r w:rsidRPr="00F03354">
              <w:rPr>
                <w:rFonts w:ascii="VIC" w:hAnsi="VIC" w:cs="Arial"/>
              </w:rPr>
              <w:t>62%</w:t>
            </w:r>
            <w:r w:rsidRPr="00BC6902">
              <w:rPr>
                <w:rFonts w:ascii="VIC" w:hAnsi="VIC"/>
                <w:vertAlign w:val="superscript"/>
              </w:rPr>
              <w:t>5</w:t>
            </w:r>
            <w:r w:rsidR="007E5F76">
              <w:rPr>
                <w:rFonts w:ascii="VIC" w:hAnsi="VIC"/>
                <w:vertAlign w:val="superscript"/>
              </w:rPr>
              <w:t>,6</w:t>
            </w:r>
          </w:p>
        </w:tc>
      </w:tr>
      <w:tr w:rsidR="00FF0497" w:rsidRPr="00F03354" w14:paraId="68C911C3" w14:textId="77777777" w:rsidTr="73D8BFD4">
        <w:trPr>
          <w:cantSplit/>
          <w:trHeight w:val="543"/>
        </w:trPr>
        <w:tc>
          <w:tcPr>
            <w:tcW w:w="1682" w:type="dxa"/>
            <w:gridSpan w:val="2"/>
            <w:vMerge/>
          </w:tcPr>
          <w:p w14:paraId="093B9967" w14:textId="77777777" w:rsidR="00280F65" w:rsidRPr="00F03354" w:rsidRDefault="00280F65" w:rsidP="00280F65">
            <w:pPr>
              <w:spacing w:before="80" w:after="60"/>
              <w:ind w:left="314"/>
              <w:rPr>
                <w:rFonts w:ascii="VIC" w:hAnsi="VIC"/>
              </w:rPr>
            </w:pPr>
          </w:p>
        </w:tc>
        <w:tc>
          <w:tcPr>
            <w:tcW w:w="1543" w:type="dxa"/>
            <w:gridSpan w:val="2"/>
            <w:vMerge/>
          </w:tcPr>
          <w:p w14:paraId="4E78BA5E" w14:textId="77777777" w:rsidR="00280F65" w:rsidRPr="00F03354" w:rsidRDefault="00280F65" w:rsidP="00280F65">
            <w:pPr>
              <w:spacing w:before="80" w:after="60"/>
              <w:ind w:left="314"/>
              <w:rPr>
                <w:rFonts w:ascii="VIC" w:hAnsi="VIC"/>
              </w:rPr>
            </w:pPr>
          </w:p>
        </w:tc>
        <w:tc>
          <w:tcPr>
            <w:tcW w:w="5265" w:type="dxa"/>
            <w:shd w:val="clear" w:color="auto" w:fill="FFFFFF" w:themeFill="background1"/>
          </w:tcPr>
          <w:p w14:paraId="08927999" w14:textId="77777777" w:rsidR="00280F65" w:rsidRPr="00F03354" w:rsidRDefault="00280F65" w:rsidP="00280F65">
            <w:pPr>
              <w:spacing w:before="80" w:after="60"/>
              <w:rPr>
                <w:rFonts w:ascii="VIC" w:hAnsi="VIC"/>
              </w:rPr>
            </w:pPr>
            <w:r w:rsidRPr="00F03354">
              <w:rPr>
                <w:rFonts w:ascii="VIC" w:hAnsi="VIC"/>
              </w:rPr>
              <w:t>Patient care errors are handled appropriately</w:t>
            </w:r>
          </w:p>
        </w:tc>
        <w:tc>
          <w:tcPr>
            <w:tcW w:w="1050" w:type="dxa"/>
            <w:shd w:val="clear" w:color="auto" w:fill="FFFFFF" w:themeFill="background1"/>
          </w:tcPr>
          <w:p w14:paraId="764FA710" w14:textId="0E37FAE4" w:rsidR="00280F65" w:rsidRPr="00F03354" w:rsidRDefault="00280F65" w:rsidP="00280F65">
            <w:pPr>
              <w:spacing w:before="80" w:after="60"/>
              <w:jc w:val="right"/>
              <w:rPr>
                <w:rFonts w:ascii="VIC" w:hAnsi="VIC" w:cs="Arial"/>
              </w:rPr>
            </w:pPr>
            <w:r w:rsidRPr="00F03354">
              <w:rPr>
                <w:rFonts w:ascii="VIC" w:hAnsi="VIC" w:cs="Arial"/>
              </w:rPr>
              <w:t>62%</w:t>
            </w:r>
            <w:r w:rsidRPr="00BC6902">
              <w:rPr>
                <w:rFonts w:ascii="VIC" w:hAnsi="VIC"/>
                <w:vertAlign w:val="superscript"/>
              </w:rPr>
              <w:t>5</w:t>
            </w:r>
            <w:r w:rsidR="007E5F76">
              <w:rPr>
                <w:rFonts w:ascii="VIC" w:hAnsi="VIC"/>
                <w:vertAlign w:val="superscript"/>
              </w:rPr>
              <w:t>,6</w:t>
            </w:r>
          </w:p>
        </w:tc>
      </w:tr>
      <w:tr w:rsidR="00FF0497" w:rsidRPr="00F03354" w14:paraId="77571A23" w14:textId="77777777" w:rsidTr="73D8BFD4">
        <w:trPr>
          <w:cantSplit/>
          <w:trHeight w:val="543"/>
        </w:trPr>
        <w:tc>
          <w:tcPr>
            <w:tcW w:w="1682" w:type="dxa"/>
            <w:gridSpan w:val="2"/>
            <w:vMerge/>
          </w:tcPr>
          <w:p w14:paraId="04BB56E9" w14:textId="77777777" w:rsidR="00280F65" w:rsidRPr="00F03354" w:rsidRDefault="00280F65" w:rsidP="00280F65">
            <w:pPr>
              <w:spacing w:before="80" w:after="60"/>
              <w:ind w:left="314"/>
              <w:rPr>
                <w:rFonts w:ascii="VIC" w:hAnsi="VIC"/>
              </w:rPr>
            </w:pPr>
          </w:p>
        </w:tc>
        <w:tc>
          <w:tcPr>
            <w:tcW w:w="1543" w:type="dxa"/>
            <w:gridSpan w:val="2"/>
            <w:vMerge/>
          </w:tcPr>
          <w:p w14:paraId="2201DFCB" w14:textId="77777777" w:rsidR="00280F65" w:rsidRPr="00F03354" w:rsidRDefault="00280F65" w:rsidP="00280F65">
            <w:pPr>
              <w:spacing w:before="80" w:after="60"/>
              <w:ind w:left="314"/>
              <w:rPr>
                <w:rFonts w:ascii="VIC" w:hAnsi="VIC"/>
              </w:rPr>
            </w:pPr>
          </w:p>
        </w:tc>
        <w:tc>
          <w:tcPr>
            <w:tcW w:w="5265" w:type="dxa"/>
            <w:shd w:val="clear" w:color="auto" w:fill="FFFFFF" w:themeFill="background1"/>
          </w:tcPr>
          <w:p w14:paraId="3CF33C99" w14:textId="77777777" w:rsidR="00280F65" w:rsidRPr="00F03354" w:rsidRDefault="00280F65" w:rsidP="00280F65">
            <w:pPr>
              <w:spacing w:before="80" w:after="60"/>
              <w:rPr>
                <w:rFonts w:ascii="VIC" w:hAnsi="VIC"/>
              </w:rPr>
            </w:pPr>
            <w:r w:rsidRPr="00F03354">
              <w:rPr>
                <w:rFonts w:ascii="VIC" w:hAnsi="VIC"/>
              </w:rPr>
              <w:t>Suggestions about patient safety are acted upon</w:t>
            </w:r>
          </w:p>
        </w:tc>
        <w:tc>
          <w:tcPr>
            <w:tcW w:w="1050" w:type="dxa"/>
            <w:shd w:val="clear" w:color="auto" w:fill="FFFFFF" w:themeFill="background1"/>
          </w:tcPr>
          <w:p w14:paraId="5A6888DB" w14:textId="7E6BD152" w:rsidR="00280F65" w:rsidRPr="00F03354" w:rsidRDefault="00280F65" w:rsidP="00280F65">
            <w:pPr>
              <w:spacing w:before="80" w:after="60"/>
              <w:jc w:val="right"/>
              <w:rPr>
                <w:rFonts w:ascii="VIC" w:hAnsi="VIC" w:cs="Arial"/>
              </w:rPr>
            </w:pPr>
            <w:r w:rsidRPr="00F03354">
              <w:rPr>
                <w:rFonts w:ascii="VIC" w:hAnsi="VIC" w:cs="Arial"/>
              </w:rPr>
              <w:t>62%</w:t>
            </w:r>
            <w:r w:rsidR="00821435">
              <w:rPr>
                <w:rFonts w:ascii="VIC" w:hAnsi="VIC"/>
                <w:vertAlign w:val="superscript"/>
              </w:rPr>
              <w:t>5,6</w:t>
            </w:r>
          </w:p>
        </w:tc>
      </w:tr>
      <w:tr w:rsidR="00FF0497" w:rsidRPr="00F03354" w14:paraId="547F5803" w14:textId="77777777" w:rsidTr="73D8BFD4">
        <w:trPr>
          <w:cantSplit/>
          <w:trHeight w:val="543"/>
        </w:trPr>
        <w:tc>
          <w:tcPr>
            <w:tcW w:w="1682" w:type="dxa"/>
            <w:gridSpan w:val="2"/>
            <w:vMerge/>
          </w:tcPr>
          <w:p w14:paraId="6392B616" w14:textId="77777777" w:rsidR="00280F65" w:rsidRPr="00F03354" w:rsidRDefault="00280F65" w:rsidP="00280F65">
            <w:pPr>
              <w:spacing w:before="80" w:after="60"/>
              <w:ind w:left="314"/>
              <w:rPr>
                <w:rFonts w:ascii="VIC" w:hAnsi="VIC"/>
              </w:rPr>
            </w:pPr>
          </w:p>
        </w:tc>
        <w:tc>
          <w:tcPr>
            <w:tcW w:w="1543" w:type="dxa"/>
            <w:gridSpan w:val="2"/>
            <w:vMerge/>
          </w:tcPr>
          <w:p w14:paraId="0E60501F" w14:textId="77777777" w:rsidR="00280F65" w:rsidRPr="00F03354" w:rsidRDefault="00280F65" w:rsidP="00280F65">
            <w:pPr>
              <w:spacing w:before="80" w:after="60"/>
              <w:ind w:left="314"/>
              <w:rPr>
                <w:rFonts w:ascii="VIC" w:hAnsi="VIC"/>
              </w:rPr>
            </w:pPr>
          </w:p>
        </w:tc>
        <w:tc>
          <w:tcPr>
            <w:tcW w:w="5265" w:type="dxa"/>
            <w:shd w:val="clear" w:color="auto" w:fill="FFFFFF" w:themeFill="background1"/>
          </w:tcPr>
          <w:p w14:paraId="1FEE7ED8" w14:textId="77777777" w:rsidR="00280F65" w:rsidRPr="00F03354" w:rsidRDefault="00280F65" w:rsidP="00280F65">
            <w:pPr>
              <w:spacing w:before="80" w:after="60"/>
              <w:rPr>
                <w:rFonts w:ascii="VIC" w:hAnsi="VIC"/>
              </w:rPr>
            </w:pPr>
            <w:r w:rsidRPr="00F03354">
              <w:rPr>
                <w:rFonts w:ascii="VIC" w:hAnsi="VIC"/>
              </w:rPr>
              <w:t>Management driving safety centred organisation</w:t>
            </w:r>
          </w:p>
        </w:tc>
        <w:tc>
          <w:tcPr>
            <w:tcW w:w="1050" w:type="dxa"/>
            <w:shd w:val="clear" w:color="auto" w:fill="FFFFFF" w:themeFill="background1"/>
          </w:tcPr>
          <w:p w14:paraId="1B84E62F" w14:textId="0810CDC4" w:rsidR="00280F65" w:rsidRPr="00F03354" w:rsidRDefault="00280F65" w:rsidP="00280F65">
            <w:pPr>
              <w:spacing w:before="80" w:after="60"/>
              <w:jc w:val="right"/>
              <w:rPr>
                <w:rFonts w:ascii="VIC" w:hAnsi="VIC" w:cs="Arial"/>
              </w:rPr>
            </w:pPr>
            <w:r w:rsidRPr="00F03354">
              <w:rPr>
                <w:rFonts w:ascii="VIC" w:hAnsi="VIC" w:cs="Arial"/>
              </w:rPr>
              <w:t>62%</w:t>
            </w:r>
            <w:r w:rsidR="00BC6902" w:rsidRPr="00BC6902">
              <w:rPr>
                <w:rFonts w:ascii="VIC" w:hAnsi="VIC"/>
                <w:vertAlign w:val="superscript"/>
              </w:rPr>
              <w:t>5</w:t>
            </w:r>
            <w:r w:rsidR="0095471B">
              <w:rPr>
                <w:rFonts w:ascii="VIC" w:hAnsi="VIC"/>
                <w:vertAlign w:val="superscript"/>
              </w:rPr>
              <w:t>,6</w:t>
            </w:r>
          </w:p>
        </w:tc>
      </w:tr>
      <w:tr w:rsidR="00FF0497" w:rsidRPr="00F03354" w14:paraId="2D643C19" w14:textId="77777777" w:rsidTr="73D8BFD4">
        <w:trPr>
          <w:cantSplit/>
          <w:trHeight w:val="543"/>
        </w:trPr>
        <w:tc>
          <w:tcPr>
            <w:tcW w:w="1682" w:type="dxa"/>
            <w:gridSpan w:val="2"/>
            <w:vMerge/>
          </w:tcPr>
          <w:p w14:paraId="34605B1C" w14:textId="77777777" w:rsidR="00280F65" w:rsidRPr="00F03354" w:rsidRDefault="00280F65" w:rsidP="00280F65">
            <w:pPr>
              <w:spacing w:before="80" w:after="60"/>
              <w:ind w:left="314"/>
              <w:rPr>
                <w:rFonts w:ascii="VIC" w:hAnsi="VIC"/>
              </w:rPr>
            </w:pPr>
          </w:p>
        </w:tc>
        <w:tc>
          <w:tcPr>
            <w:tcW w:w="1543" w:type="dxa"/>
            <w:gridSpan w:val="2"/>
            <w:vMerge/>
          </w:tcPr>
          <w:p w14:paraId="6F9409DA" w14:textId="77777777" w:rsidR="00280F65" w:rsidRPr="00F03354" w:rsidRDefault="00280F65" w:rsidP="00280F65">
            <w:pPr>
              <w:spacing w:before="80" w:after="60"/>
              <w:ind w:left="314"/>
              <w:rPr>
                <w:rFonts w:ascii="VIC" w:hAnsi="VIC"/>
              </w:rPr>
            </w:pPr>
          </w:p>
        </w:tc>
        <w:tc>
          <w:tcPr>
            <w:tcW w:w="5265" w:type="dxa"/>
            <w:shd w:val="clear" w:color="auto" w:fill="FFFFFF" w:themeFill="background1"/>
          </w:tcPr>
          <w:p w14:paraId="1D4AD161" w14:textId="77777777" w:rsidR="00280F65" w:rsidRPr="00F03354" w:rsidRDefault="00280F65" w:rsidP="00280F65">
            <w:pPr>
              <w:spacing w:before="80" w:after="60"/>
              <w:rPr>
                <w:rFonts w:ascii="VIC" w:hAnsi="VIC"/>
              </w:rPr>
            </w:pPr>
            <w:r w:rsidRPr="00F03354">
              <w:rPr>
                <w:rFonts w:ascii="VIC" w:hAnsi="VIC"/>
              </w:rPr>
              <w:t>Culture conducive to learning from errors</w:t>
            </w:r>
          </w:p>
        </w:tc>
        <w:tc>
          <w:tcPr>
            <w:tcW w:w="1050" w:type="dxa"/>
            <w:shd w:val="clear" w:color="auto" w:fill="FFFFFF" w:themeFill="background1"/>
          </w:tcPr>
          <w:p w14:paraId="5A4F4057" w14:textId="599A3355" w:rsidR="00280F65" w:rsidRPr="00F03354" w:rsidRDefault="00280F65" w:rsidP="00280F65">
            <w:pPr>
              <w:spacing w:before="80" w:after="60"/>
              <w:jc w:val="right"/>
              <w:rPr>
                <w:rFonts w:ascii="VIC" w:hAnsi="VIC" w:cs="Arial"/>
              </w:rPr>
            </w:pPr>
            <w:r w:rsidRPr="00F03354">
              <w:rPr>
                <w:rFonts w:ascii="VIC" w:hAnsi="VIC" w:cs="Arial"/>
              </w:rPr>
              <w:t>62%</w:t>
            </w:r>
            <w:r w:rsidR="00BC6902" w:rsidRPr="00BC6902">
              <w:rPr>
                <w:rFonts w:ascii="VIC" w:hAnsi="VIC"/>
                <w:vertAlign w:val="superscript"/>
              </w:rPr>
              <w:t>5</w:t>
            </w:r>
            <w:r w:rsidR="0095471B">
              <w:rPr>
                <w:rFonts w:ascii="VIC" w:hAnsi="VIC"/>
                <w:vertAlign w:val="superscript"/>
              </w:rPr>
              <w:t>,6</w:t>
            </w:r>
          </w:p>
        </w:tc>
      </w:tr>
      <w:tr w:rsidR="00FF0497" w:rsidRPr="00F03354" w14:paraId="5E8D4D8B" w14:textId="77777777" w:rsidTr="73D8BFD4">
        <w:trPr>
          <w:cantSplit/>
          <w:trHeight w:val="543"/>
        </w:trPr>
        <w:tc>
          <w:tcPr>
            <w:tcW w:w="1682" w:type="dxa"/>
            <w:gridSpan w:val="2"/>
            <w:vMerge/>
          </w:tcPr>
          <w:p w14:paraId="79625389" w14:textId="77777777" w:rsidR="00280F65" w:rsidRPr="00F03354" w:rsidRDefault="00280F65" w:rsidP="00280F65">
            <w:pPr>
              <w:spacing w:before="80" w:after="60"/>
              <w:ind w:left="314"/>
              <w:rPr>
                <w:rFonts w:ascii="VIC" w:hAnsi="VIC"/>
              </w:rPr>
            </w:pPr>
          </w:p>
        </w:tc>
        <w:tc>
          <w:tcPr>
            <w:tcW w:w="1543" w:type="dxa"/>
            <w:gridSpan w:val="2"/>
            <w:vMerge/>
          </w:tcPr>
          <w:p w14:paraId="4C2BA169" w14:textId="77777777" w:rsidR="00280F65" w:rsidRPr="00F03354" w:rsidRDefault="00280F65" w:rsidP="00280F65">
            <w:pPr>
              <w:spacing w:before="80" w:after="60"/>
              <w:ind w:left="314"/>
              <w:rPr>
                <w:rFonts w:ascii="VIC" w:hAnsi="VIC"/>
              </w:rPr>
            </w:pPr>
          </w:p>
        </w:tc>
        <w:tc>
          <w:tcPr>
            <w:tcW w:w="5265" w:type="dxa"/>
            <w:shd w:val="clear" w:color="auto" w:fill="FFFFFF" w:themeFill="background1"/>
          </w:tcPr>
          <w:p w14:paraId="40DC0FB0" w14:textId="77777777" w:rsidR="00280F65" w:rsidRPr="00F03354" w:rsidRDefault="00280F65" w:rsidP="00280F65">
            <w:pPr>
              <w:spacing w:before="80" w:after="60"/>
              <w:rPr>
                <w:rFonts w:ascii="VIC" w:hAnsi="VIC"/>
              </w:rPr>
            </w:pPr>
            <w:r w:rsidRPr="00F03354">
              <w:rPr>
                <w:rFonts w:ascii="VIC" w:hAnsi="VIC"/>
              </w:rPr>
              <w:t>Training new and existing staff</w:t>
            </w:r>
          </w:p>
        </w:tc>
        <w:tc>
          <w:tcPr>
            <w:tcW w:w="1050" w:type="dxa"/>
            <w:shd w:val="clear" w:color="auto" w:fill="FFFFFF" w:themeFill="background1"/>
          </w:tcPr>
          <w:p w14:paraId="5552A4E8" w14:textId="4B7F4F75" w:rsidR="00280F65" w:rsidRPr="00F03354" w:rsidRDefault="00280F65" w:rsidP="00280F65">
            <w:pPr>
              <w:spacing w:before="80" w:after="60"/>
              <w:jc w:val="right"/>
              <w:rPr>
                <w:rFonts w:ascii="VIC" w:hAnsi="VIC" w:cs="Arial"/>
              </w:rPr>
            </w:pPr>
            <w:r w:rsidRPr="00F03354">
              <w:rPr>
                <w:rFonts w:ascii="VIC" w:hAnsi="VIC" w:cs="Arial"/>
              </w:rPr>
              <w:t>62%</w:t>
            </w:r>
            <w:r w:rsidR="00BC6902" w:rsidRPr="00BC6902">
              <w:rPr>
                <w:rFonts w:ascii="VIC" w:hAnsi="VIC"/>
                <w:vertAlign w:val="superscript"/>
              </w:rPr>
              <w:t>5</w:t>
            </w:r>
            <w:r w:rsidR="0095471B">
              <w:rPr>
                <w:rFonts w:ascii="VIC" w:hAnsi="VIC"/>
                <w:vertAlign w:val="superscript"/>
              </w:rPr>
              <w:t>,6</w:t>
            </w:r>
          </w:p>
        </w:tc>
      </w:tr>
      <w:tr w:rsidR="00FF0497" w:rsidRPr="00F03354" w14:paraId="7771114B" w14:textId="77777777" w:rsidTr="73D8BFD4">
        <w:trPr>
          <w:cantSplit/>
          <w:trHeight w:val="543"/>
        </w:trPr>
        <w:tc>
          <w:tcPr>
            <w:tcW w:w="1682" w:type="dxa"/>
            <w:gridSpan w:val="2"/>
            <w:vMerge/>
          </w:tcPr>
          <w:p w14:paraId="6DE4B199" w14:textId="77777777" w:rsidR="00280F65" w:rsidRPr="00F03354" w:rsidRDefault="00280F65" w:rsidP="00280F65">
            <w:pPr>
              <w:spacing w:before="80" w:after="60"/>
              <w:ind w:left="314"/>
              <w:rPr>
                <w:rFonts w:ascii="VIC" w:hAnsi="VIC"/>
              </w:rPr>
            </w:pPr>
          </w:p>
        </w:tc>
        <w:tc>
          <w:tcPr>
            <w:tcW w:w="1543" w:type="dxa"/>
            <w:gridSpan w:val="2"/>
            <w:vMerge/>
          </w:tcPr>
          <w:p w14:paraId="797E2E31" w14:textId="77777777" w:rsidR="00280F65" w:rsidRPr="00F03354" w:rsidRDefault="00280F65" w:rsidP="00280F65">
            <w:pPr>
              <w:spacing w:before="80" w:after="60"/>
              <w:ind w:left="314"/>
              <w:rPr>
                <w:rFonts w:ascii="VIC" w:hAnsi="VIC"/>
              </w:rPr>
            </w:pPr>
          </w:p>
        </w:tc>
        <w:tc>
          <w:tcPr>
            <w:tcW w:w="5265" w:type="dxa"/>
            <w:shd w:val="clear" w:color="auto" w:fill="FFFFFF" w:themeFill="background1"/>
          </w:tcPr>
          <w:p w14:paraId="78BF187D" w14:textId="77777777" w:rsidR="00280F65" w:rsidRPr="00F03354" w:rsidRDefault="00280F65" w:rsidP="00280F65">
            <w:pPr>
              <w:spacing w:before="80" w:after="60"/>
              <w:rPr>
                <w:rFonts w:ascii="VIC" w:hAnsi="VIC"/>
              </w:rPr>
            </w:pPr>
            <w:r w:rsidRPr="00F03354">
              <w:rPr>
                <w:rFonts w:ascii="VIC" w:hAnsi="VIC"/>
              </w:rPr>
              <w:t>Trainees are adequately supervised</w:t>
            </w:r>
          </w:p>
        </w:tc>
        <w:tc>
          <w:tcPr>
            <w:tcW w:w="1050" w:type="dxa"/>
            <w:shd w:val="clear" w:color="auto" w:fill="FFFFFF" w:themeFill="background1"/>
          </w:tcPr>
          <w:p w14:paraId="561B7C01" w14:textId="22BA6E20" w:rsidR="00280F65" w:rsidRPr="00F03354" w:rsidRDefault="00280F65" w:rsidP="00280F65">
            <w:pPr>
              <w:spacing w:before="80" w:after="60"/>
              <w:jc w:val="right"/>
              <w:rPr>
                <w:rFonts w:ascii="VIC" w:hAnsi="VIC" w:cs="Arial"/>
              </w:rPr>
            </w:pPr>
            <w:r w:rsidRPr="00F03354">
              <w:rPr>
                <w:rFonts w:ascii="VIC" w:hAnsi="VIC" w:cs="Arial"/>
              </w:rPr>
              <w:t>62%</w:t>
            </w:r>
            <w:r w:rsidR="0095471B">
              <w:rPr>
                <w:rFonts w:ascii="VIC" w:hAnsi="VIC"/>
                <w:vertAlign w:val="superscript"/>
              </w:rPr>
              <w:t>5,6</w:t>
            </w:r>
          </w:p>
        </w:tc>
      </w:tr>
      <w:tr w:rsidR="00FF0497" w:rsidRPr="00F03354" w14:paraId="371A96EE" w14:textId="77777777" w:rsidTr="73D8BFD4">
        <w:trPr>
          <w:cantSplit/>
          <w:trHeight w:val="543"/>
        </w:trPr>
        <w:tc>
          <w:tcPr>
            <w:tcW w:w="1682" w:type="dxa"/>
            <w:gridSpan w:val="2"/>
            <w:vMerge/>
          </w:tcPr>
          <w:p w14:paraId="47B16FC5" w14:textId="77777777" w:rsidR="00280F65" w:rsidRPr="00F03354" w:rsidRDefault="00280F65" w:rsidP="00280F65">
            <w:pPr>
              <w:spacing w:before="80" w:after="60"/>
              <w:ind w:left="314"/>
              <w:rPr>
                <w:rFonts w:ascii="VIC" w:hAnsi="VIC"/>
              </w:rPr>
            </w:pPr>
          </w:p>
        </w:tc>
        <w:tc>
          <w:tcPr>
            <w:tcW w:w="1543" w:type="dxa"/>
            <w:gridSpan w:val="2"/>
            <w:vMerge/>
          </w:tcPr>
          <w:p w14:paraId="7D19A66A" w14:textId="77777777" w:rsidR="00280F65" w:rsidRPr="00F03354" w:rsidRDefault="00280F65" w:rsidP="00280F65">
            <w:pPr>
              <w:spacing w:before="80" w:after="60"/>
              <w:ind w:left="314"/>
              <w:rPr>
                <w:rFonts w:ascii="VIC" w:hAnsi="VIC"/>
              </w:rPr>
            </w:pPr>
          </w:p>
        </w:tc>
        <w:tc>
          <w:tcPr>
            <w:tcW w:w="5265" w:type="dxa"/>
            <w:shd w:val="clear" w:color="auto" w:fill="FFFFFF" w:themeFill="background1"/>
          </w:tcPr>
          <w:p w14:paraId="5C122625" w14:textId="77777777" w:rsidR="00280F65" w:rsidRPr="00F03354" w:rsidRDefault="00280F65" w:rsidP="00280F65">
            <w:pPr>
              <w:spacing w:before="80" w:after="60"/>
              <w:rPr>
                <w:rFonts w:ascii="VIC" w:hAnsi="VIC"/>
              </w:rPr>
            </w:pPr>
            <w:r w:rsidRPr="00F03354">
              <w:rPr>
                <w:rFonts w:ascii="VIC" w:hAnsi="VIC"/>
              </w:rPr>
              <w:t>Would staff recommend a friend or relative to be treated as a patient there</w:t>
            </w:r>
          </w:p>
        </w:tc>
        <w:tc>
          <w:tcPr>
            <w:tcW w:w="1050" w:type="dxa"/>
            <w:shd w:val="clear" w:color="auto" w:fill="FFFFFF" w:themeFill="background1"/>
          </w:tcPr>
          <w:p w14:paraId="3F4E3A2D" w14:textId="026CB2BC" w:rsidR="00280F65" w:rsidRPr="00F03354" w:rsidRDefault="00280F65" w:rsidP="00280F65">
            <w:pPr>
              <w:spacing w:before="80" w:after="60"/>
              <w:jc w:val="right"/>
              <w:rPr>
                <w:rFonts w:ascii="VIC" w:hAnsi="VIC" w:cs="Arial"/>
              </w:rPr>
            </w:pPr>
            <w:r w:rsidRPr="00F03354">
              <w:rPr>
                <w:rFonts w:ascii="VIC" w:hAnsi="VIC" w:cs="Arial"/>
              </w:rPr>
              <w:t>62%</w:t>
            </w:r>
            <w:r w:rsidR="00BC6902" w:rsidRPr="00BC6902">
              <w:rPr>
                <w:rFonts w:ascii="VIC" w:hAnsi="VIC"/>
                <w:vertAlign w:val="superscript"/>
              </w:rPr>
              <w:t>5</w:t>
            </w:r>
            <w:r w:rsidR="0095471B">
              <w:rPr>
                <w:rFonts w:ascii="VIC" w:hAnsi="VIC"/>
                <w:vertAlign w:val="superscript"/>
              </w:rPr>
              <w:t>,</w:t>
            </w:r>
            <w:r w:rsidR="00FF2462">
              <w:rPr>
                <w:rFonts w:ascii="VIC" w:hAnsi="VIC"/>
                <w:vertAlign w:val="superscript"/>
              </w:rPr>
              <w:t>6</w:t>
            </w:r>
          </w:p>
        </w:tc>
      </w:tr>
      <w:tr w:rsidR="00280F65" w:rsidRPr="00F03354" w14:paraId="2400786F" w14:textId="77777777" w:rsidTr="73D8BFD4">
        <w:trPr>
          <w:cantSplit/>
          <w:trHeight w:val="543"/>
        </w:trPr>
        <w:tc>
          <w:tcPr>
            <w:tcW w:w="1682" w:type="dxa"/>
            <w:gridSpan w:val="2"/>
            <w:vMerge/>
          </w:tcPr>
          <w:p w14:paraId="121D0659" w14:textId="77777777" w:rsidR="00280F65" w:rsidRPr="00F03354" w:rsidRDefault="00280F65" w:rsidP="00280F65">
            <w:pPr>
              <w:spacing w:before="80" w:after="60"/>
              <w:ind w:left="314"/>
              <w:rPr>
                <w:rFonts w:ascii="VIC" w:hAnsi="VIC"/>
              </w:rPr>
            </w:pPr>
          </w:p>
        </w:tc>
        <w:tc>
          <w:tcPr>
            <w:tcW w:w="1543" w:type="dxa"/>
            <w:gridSpan w:val="2"/>
          </w:tcPr>
          <w:p w14:paraId="7E894EA8" w14:textId="77777777" w:rsidR="00280F65" w:rsidRPr="00F03354" w:rsidRDefault="00280F65" w:rsidP="00280F65">
            <w:pPr>
              <w:spacing w:before="80" w:after="60"/>
              <w:rPr>
                <w:rFonts w:ascii="VIC" w:hAnsi="VIC"/>
              </w:rPr>
            </w:pPr>
            <w:r w:rsidRPr="00F03354">
              <w:rPr>
                <w:rFonts w:ascii="VIC" w:hAnsi="VIC"/>
              </w:rPr>
              <w:t>Staff engagement</w:t>
            </w:r>
          </w:p>
        </w:tc>
        <w:tc>
          <w:tcPr>
            <w:tcW w:w="5265" w:type="dxa"/>
            <w:shd w:val="clear" w:color="auto" w:fill="auto"/>
          </w:tcPr>
          <w:p w14:paraId="749B8A6C" w14:textId="77777777" w:rsidR="00280F65" w:rsidRPr="00F03354" w:rsidRDefault="00280F65" w:rsidP="00280F65">
            <w:pPr>
              <w:spacing w:before="80" w:after="60"/>
              <w:rPr>
                <w:rFonts w:ascii="VIC" w:hAnsi="VIC"/>
              </w:rPr>
            </w:pPr>
            <w:r w:rsidRPr="00F03354">
              <w:rPr>
                <w:rFonts w:ascii="VIC" w:hAnsi="VIC"/>
              </w:rPr>
              <w:t>Low response rates to People Matter Survey</w:t>
            </w:r>
          </w:p>
        </w:tc>
        <w:tc>
          <w:tcPr>
            <w:tcW w:w="1050" w:type="dxa"/>
            <w:shd w:val="clear" w:color="auto" w:fill="auto"/>
          </w:tcPr>
          <w:p w14:paraId="0E1A5A22" w14:textId="7125D4C8" w:rsidR="00280F65" w:rsidRPr="00F03354" w:rsidRDefault="00280F65" w:rsidP="00280F65">
            <w:pPr>
              <w:spacing w:before="80" w:after="60"/>
              <w:jc w:val="right"/>
              <w:rPr>
                <w:rFonts w:ascii="VIC" w:hAnsi="VIC" w:cs="Arial"/>
              </w:rPr>
            </w:pPr>
            <w:r w:rsidRPr="00F03354">
              <w:rPr>
                <w:rFonts w:ascii="VIC" w:hAnsi="VIC" w:cs="Arial"/>
              </w:rPr>
              <w:t xml:space="preserve">≤ </w:t>
            </w:r>
            <w:r w:rsidRPr="00F03354">
              <w:rPr>
                <w:rFonts w:ascii="VIC" w:hAnsi="VIC"/>
              </w:rPr>
              <w:t>30%</w:t>
            </w:r>
            <w:r w:rsidR="00BC6902" w:rsidRPr="00BC6902">
              <w:rPr>
                <w:rFonts w:ascii="VIC" w:hAnsi="VIC"/>
                <w:vertAlign w:val="superscript"/>
              </w:rPr>
              <w:t>5</w:t>
            </w:r>
            <w:r w:rsidR="00FF2462">
              <w:rPr>
                <w:rFonts w:ascii="VIC" w:hAnsi="VIC"/>
                <w:vertAlign w:val="superscript"/>
              </w:rPr>
              <w:t>,6</w:t>
            </w:r>
          </w:p>
        </w:tc>
      </w:tr>
      <w:tr w:rsidR="00280F65" w:rsidRPr="00F03354" w14:paraId="0B8D5103" w14:textId="77777777" w:rsidTr="73D8BFD4">
        <w:trPr>
          <w:cantSplit/>
          <w:trHeight w:val="543"/>
        </w:trPr>
        <w:tc>
          <w:tcPr>
            <w:tcW w:w="1682" w:type="dxa"/>
            <w:gridSpan w:val="2"/>
            <w:vMerge/>
          </w:tcPr>
          <w:p w14:paraId="41190900" w14:textId="77777777" w:rsidR="00280F65" w:rsidRPr="00F03354" w:rsidRDefault="00280F65" w:rsidP="00280F65">
            <w:pPr>
              <w:spacing w:before="80" w:after="60"/>
              <w:ind w:left="314"/>
              <w:rPr>
                <w:rFonts w:ascii="VIC" w:hAnsi="VIC"/>
              </w:rPr>
            </w:pPr>
          </w:p>
        </w:tc>
        <w:tc>
          <w:tcPr>
            <w:tcW w:w="1543" w:type="dxa"/>
            <w:gridSpan w:val="2"/>
          </w:tcPr>
          <w:p w14:paraId="787B1432" w14:textId="77777777" w:rsidR="00280F65" w:rsidRPr="00F03354" w:rsidRDefault="00280F65" w:rsidP="00280F65">
            <w:pPr>
              <w:spacing w:before="80" w:after="60"/>
              <w:rPr>
                <w:rFonts w:ascii="VIC" w:hAnsi="VIC"/>
              </w:rPr>
            </w:pPr>
            <w:r w:rsidRPr="00F03354">
              <w:rPr>
                <w:rFonts w:ascii="VIC" w:hAnsi="VIC"/>
              </w:rPr>
              <w:t>Bullying</w:t>
            </w:r>
          </w:p>
        </w:tc>
        <w:tc>
          <w:tcPr>
            <w:tcW w:w="5265" w:type="dxa"/>
            <w:shd w:val="clear" w:color="auto" w:fill="auto"/>
          </w:tcPr>
          <w:p w14:paraId="24C2C225" w14:textId="77777777" w:rsidR="00280F65" w:rsidRPr="00F03354" w:rsidRDefault="00280F65" w:rsidP="00280F65">
            <w:pPr>
              <w:spacing w:before="80" w:after="60"/>
              <w:rPr>
                <w:rFonts w:ascii="VIC" w:hAnsi="VIC"/>
              </w:rPr>
            </w:pPr>
            <w:r w:rsidRPr="00F03354">
              <w:rPr>
                <w:rFonts w:ascii="VIC" w:hAnsi="VIC"/>
              </w:rPr>
              <w:t>Percentage of staff who personally experienced bullying at work in last 12mths / People Matter survey responses</w:t>
            </w:r>
          </w:p>
        </w:tc>
        <w:tc>
          <w:tcPr>
            <w:tcW w:w="1050" w:type="dxa"/>
            <w:shd w:val="clear" w:color="auto" w:fill="auto"/>
          </w:tcPr>
          <w:p w14:paraId="5E9EC235" w14:textId="5184EFE8" w:rsidR="00280F65" w:rsidRPr="00F03354" w:rsidRDefault="00280F65" w:rsidP="00280F65">
            <w:pPr>
              <w:spacing w:before="80" w:after="60"/>
              <w:jc w:val="right"/>
              <w:rPr>
                <w:rFonts w:ascii="VIC" w:hAnsi="VIC"/>
              </w:rPr>
            </w:pPr>
            <w:r w:rsidRPr="00F03354">
              <w:rPr>
                <w:rFonts w:ascii="VIC" w:hAnsi="VIC" w:cs="Arial"/>
              </w:rPr>
              <w:t xml:space="preserve">≥ </w:t>
            </w:r>
            <w:r w:rsidRPr="00F03354">
              <w:rPr>
                <w:rFonts w:ascii="VIC" w:hAnsi="VIC"/>
              </w:rPr>
              <w:t>17%</w:t>
            </w:r>
            <w:r w:rsidR="00FF2462">
              <w:rPr>
                <w:rFonts w:ascii="VIC" w:hAnsi="VIC"/>
                <w:vertAlign w:val="superscript"/>
              </w:rPr>
              <w:t>5,6</w:t>
            </w:r>
          </w:p>
        </w:tc>
      </w:tr>
      <w:tr w:rsidR="00280F65" w:rsidRPr="00F03354" w14:paraId="53B61A59" w14:textId="77777777" w:rsidTr="73D8BFD4">
        <w:trPr>
          <w:cantSplit/>
          <w:trHeight w:val="543"/>
        </w:trPr>
        <w:tc>
          <w:tcPr>
            <w:tcW w:w="1682" w:type="dxa"/>
            <w:gridSpan w:val="2"/>
            <w:vMerge w:val="restart"/>
          </w:tcPr>
          <w:p w14:paraId="476986D4" w14:textId="77777777" w:rsidR="00280F65" w:rsidRPr="00F03354" w:rsidRDefault="00280F65" w:rsidP="00280F65">
            <w:pPr>
              <w:spacing w:before="80" w:after="60"/>
              <w:rPr>
                <w:rFonts w:ascii="VIC" w:hAnsi="VIC"/>
              </w:rPr>
            </w:pPr>
            <w:r w:rsidRPr="00F03354">
              <w:rPr>
                <w:rFonts w:ascii="VIC" w:hAnsi="VIC"/>
              </w:rPr>
              <w:t>Learner’s experience</w:t>
            </w:r>
          </w:p>
        </w:tc>
        <w:tc>
          <w:tcPr>
            <w:tcW w:w="1543" w:type="dxa"/>
            <w:gridSpan w:val="2"/>
          </w:tcPr>
          <w:p w14:paraId="36664955" w14:textId="77777777" w:rsidR="00280F65" w:rsidRPr="00F03354" w:rsidRDefault="00280F65" w:rsidP="00280F65">
            <w:pPr>
              <w:spacing w:before="80" w:after="60"/>
              <w:rPr>
                <w:rFonts w:ascii="VIC" w:hAnsi="VIC"/>
              </w:rPr>
            </w:pPr>
            <w:r w:rsidRPr="00F03354">
              <w:rPr>
                <w:rFonts w:ascii="VIC" w:hAnsi="VIC"/>
              </w:rPr>
              <w:t>Safety</w:t>
            </w:r>
          </w:p>
        </w:tc>
        <w:tc>
          <w:tcPr>
            <w:tcW w:w="5265" w:type="dxa"/>
            <w:shd w:val="clear" w:color="auto" w:fill="auto"/>
          </w:tcPr>
          <w:p w14:paraId="0D182550" w14:textId="77777777" w:rsidR="00280F65" w:rsidRPr="00F03354" w:rsidRDefault="00280F65" w:rsidP="00280F65">
            <w:pPr>
              <w:spacing w:before="80" w:after="60"/>
              <w:rPr>
                <w:rFonts w:ascii="VIC" w:hAnsi="VIC"/>
              </w:rPr>
            </w:pPr>
            <w:r w:rsidRPr="00F03354">
              <w:rPr>
                <w:rFonts w:ascii="VIC" w:hAnsi="VIC"/>
              </w:rPr>
              <w:t>Percentage learners feeling safe at the organisation / total number of respondents</w:t>
            </w:r>
          </w:p>
        </w:tc>
        <w:tc>
          <w:tcPr>
            <w:tcW w:w="1050" w:type="dxa"/>
            <w:shd w:val="clear" w:color="auto" w:fill="auto"/>
          </w:tcPr>
          <w:p w14:paraId="725C22F6" w14:textId="77777777" w:rsidR="00280F65" w:rsidRPr="00F03354" w:rsidRDefault="00280F65" w:rsidP="00280F65">
            <w:pPr>
              <w:spacing w:before="80" w:after="60"/>
              <w:jc w:val="right"/>
              <w:rPr>
                <w:rFonts w:ascii="VIC" w:hAnsi="VIC" w:cs="Arial"/>
              </w:rPr>
            </w:pPr>
            <w:r w:rsidRPr="00F03354">
              <w:rPr>
                <w:rFonts w:ascii="VIC" w:hAnsi="VIC" w:cs="Arial"/>
              </w:rPr>
              <w:t xml:space="preserve">≤ </w:t>
            </w:r>
            <w:r w:rsidRPr="00F03354">
              <w:rPr>
                <w:rFonts w:ascii="VIC" w:hAnsi="VIC"/>
              </w:rPr>
              <w:t>80%</w:t>
            </w:r>
          </w:p>
        </w:tc>
      </w:tr>
      <w:tr w:rsidR="00280F65" w:rsidRPr="00F03354" w14:paraId="3FEF8907" w14:textId="77777777" w:rsidTr="73D8BFD4">
        <w:trPr>
          <w:cantSplit/>
          <w:trHeight w:val="543"/>
        </w:trPr>
        <w:tc>
          <w:tcPr>
            <w:tcW w:w="1682" w:type="dxa"/>
            <w:gridSpan w:val="2"/>
            <w:vMerge/>
          </w:tcPr>
          <w:p w14:paraId="0C1DA03A" w14:textId="77777777" w:rsidR="00280F65" w:rsidRPr="00F03354" w:rsidRDefault="00280F65" w:rsidP="00280F65">
            <w:pPr>
              <w:spacing w:before="80" w:after="60"/>
              <w:rPr>
                <w:rFonts w:ascii="VIC" w:hAnsi="VIC"/>
              </w:rPr>
            </w:pPr>
          </w:p>
        </w:tc>
        <w:tc>
          <w:tcPr>
            <w:tcW w:w="1543" w:type="dxa"/>
            <w:gridSpan w:val="2"/>
          </w:tcPr>
          <w:p w14:paraId="67988704" w14:textId="77777777" w:rsidR="00280F65" w:rsidRPr="00F03354" w:rsidRDefault="00280F65" w:rsidP="00280F65">
            <w:pPr>
              <w:spacing w:before="80" w:after="60"/>
              <w:rPr>
                <w:rFonts w:ascii="VIC" w:hAnsi="VIC"/>
              </w:rPr>
            </w:pPr>
            <w:r w:rsidRPr="00F03354">
              <w:rPr>
                <w:rFonts w:ascii="VIC" w:hAnsi="VIC"/>
              </w:rPr>
              <w:t>Wellbeing</w:t>
            </w:r>
          </w:p>
        </w:tc>
        <w:tc>
          <w:tcPr>
            <w:tcW w:w="5265" w:type="dxa"/>
            <w:shd w:val="clear" w:color="auto" w:fill="auto"/>
          </w:tcPr>
          <w:p w14:paraId="61809C43" w14:textId="77777777" w:rsidR="00280F65" w:rsidRPr="00F03354" w:rsidRDefault="00280F65" w:rsidP="00280F65">
            <w:pPr>
              <w:spacing w:before="80" w:after="60"/>
              <w:rPr>
                <w:rFonts w:ascii="VIC" w:hAnsi="VIC"/>
              </w:rPr>
            </w:pPr>
            <w:r w:rsidRPr="00F03354">
              <w:rPr>
                <w:rFonts w:ascii="VIC" w:hAnsi="VIC"/>
              </w:rPr>
              <w:t>Percentage learners having a sense of wellbeing at the organisation /total number of respondents</w:t>
            </w:r>
          </w:p>
        </w:tc>
        <w:tc>
          <w:tcPr>
            <w:tcW w:w="1050" w:type="dxa"/>
            <w:shd w:val="clear" w:color="auto" w:fill="auto"/>
          </w:tcPr>
          <w:p w14:paraId="1DF7A131" w14:textId="77777777" w:rsidR="00280F65" w:rsidRPr="00F03354" w:rsidRDefault="00280F65" w:rsidP="00280F65">
            <w:pPr>
              <w:spacing w:before="80" w:after="60"/>
              <w:jc w:val="right"/>
              <w:rPr>
                <w:rFonts w:ascii="VIC" w:hAnsi="VIC" w:cs="Arial"/>
              </w:rPr>
            </w:pPr>
            <w:r w:rsidRPr="00F03354">
              <w:rPr>
                <w:rFonts w:ascii="VIC" w:hAnsi="VIC" w:cs="Arial"/>
              </w:rPr>
              <w:t xml:space="preserve">≤ </w:t>
            </w:r>
            <w:r w:rsidRPr="00F03354">
              <w:rPr>
                <w:rFonts w:ascii="VIC" w:hAnsi="VIC"/>
              </w:rPr>
              <w:t>80%</w:t>
            </w:r>
          </w:p>
        </w:tc>
      </w:tr>
      <w:tr w:rsidR="00280F65" w:rsidRPr="00F03354" w14:paraId="7171DFDF" w14:textId="77777777" w:rsidTr="73D8BFD4">
        <w:trPr>
          <w:cantSplit/>
          <w:trHeight w:val="543"/>
        </w:trPr>
        <w:tc>
          <w:tcPr>
            <w:tcW w:w="1682" w:type="dxa"/>
            <w:gridSpan w:val="2"/>
            <w:vMerge/>
          </w:tcPr>
          <w:p w14:paraId="63689C2B" w14:textId="77777777" w:rsidR="00280F65" w:rsidRPr="00F03354" w:rsidRDefault="00280F65" w:rsidP="00280F65">
            <w:pPr>
              <w:spacing w:before="80" w:after="60"/>
              <w:rPr>
                <w:rFonts w:ascii="VIC" w:hAnsi="VIC"/>
              </w:rPr>
            </w:pPr>
          </w:p>
        </w:tc>
        <w:tc>
          <w:tcPr>
            <w:tcW w:w="1543" w:type="dxa"/>
            <w:gridSpan w:val="2"/>
          </w:tcPr>
          <w:p w14:paraId="3F3C1A87" w14:textId="77777777" w:rsidR="00280F65" w:rsidRPr="00F03354" w:rsidRDefault="00280F65" w:rsidP="00280F65">
            <w:pPr>
              <w:spacing w:before="80" w:after="60"/>
              <w:rPr>
                <w:rFonts w:ascii="VIC" w:hAnsi="VIC"/>
              </w:rPr>
            </w:pPr>
            <w:r w:rsidRPr="00F03354">
              <w:rPr>
                <w:rFonts w:ascii="VIC" w:hAnsi="VIC"/>
              </w:rPr>
              <w:t>Bullying</w:t>
            </w:r>
          </w:p>
        </w:tc>
        <w:tc>
          <w:tcPr>
            <w:tcW w:w="5265" w:type="dxa"/>
            <w:shd w:val="clear" w:color="auto" w:fill="auto"/>
          </w:tcPr>
          <w:p w14:paraId="7FD27F03" w14:textId="77777777" w:rsidR="00280F65" w:rsidRPr="00F03354" w:rsidRDefault="00280F65" w:rsidP="00280F65">
            <w:pPr>
              <w:spacing w:before="80" w:after="60"/>
              <w:rPr>
                <w:rFonts w:ascii="VIC" w:hAnsi="VIC"/>
              </w:rPr>
            </w:pPr>
            <w:r w:rsidRPr="00F03354">
              <w:rPr>
                <w:rFonts w:ascii="VIC" w:hAnsi="VIC"/>
              </w:rPr>
              <w:t>Percentage who reported experiencing or witnessing bullying at the organisation/total number of respondents</w:t>
            </w:r>
          </w:p>
        </w:tc>
        <w:tc>
          <w:tcPr>
            <w:tcW w:w="1050" w:type="dxa"/>
            <w:shd w:val="clear" w:color="auto" w:fill="auto"/>
          </w:tcPr>
          <w:p w14:paraId="495F8B5A" w14:textId="77777777" w:rsidR="00280F65" w:rsidRPr="00F03354" w:rsidRDefault="00280F65" w:rsidP="00280F65">
            <w:pPr>
              <w:spacing w:before="80" w:after="60"/>
              <w:jc w:val="right"/>
              <w:rPr>
                <w:rFonts w:ascii="VIC" w:hAnsi="VIC" w:cs="Arial"/>
              </w:rPr>
            </w:pPr>
            <w:r w:rsidRPr="00F03354">
              <w:rPr>
                <w:rFonts w:ascii="VIC" w:hAnsi="VIC" w:cs="Arial"/>
              </w:rPr>
              <w:t xml:space="preserve">≥ </w:t>
            </w:r>
            <w:r w:rsidRPr="00F03354">
              <w:rPr>
                <w:rFonts w:ascii="VIC" w:hAnsi="VIC"/>
              </w:rPr>
              <w:t>20%</w:t>
            </w:r>
          </w:p>
        </w:tc>
      </w:tr>
      <w:bookmarkEnd w:id="6"/>
    </w:tbl>
    <w:p w14:paraId="38A66898" w14:textId="77777777"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br w:type="page"/>
      </w:r>
    </w:p>
    <w:p w14:paraId="63076F5A" w14:textId="77777777" w:rsidR="00280F65" w:rsidRPr="00F03354" w:rsidRDefault="00280F65" w:rsidP="00280F65">
      <w:pPr>
        <w:keepNext/>
        <w:keepLines/>
        <w:spacing w:before="240" w:after="90" w:line="320" w:lineRule="atLeast"/>
        <w:outlineLvl w:val="2"/>
        <w:rPr>
          <w:rFonts w:ascii="VIC" w:eastAsia="MS Gothic" w:hAnsi="VIC" w:cs="Arial"/>
          <w:b/>
          <w:bCs/>
          <w:color w:val="244C5A"/>
          <w:sz w:val="20"/>
          <w:szCs w:val="20"/>
        </w:rPr>
      </w:pPr>
      <w:bookmarkStart w:id="7" w:name="_Toc517959117"/>
      <w:bookmarkStart w:id="8" w:name="_Toc10123535"/>
      <w:r w:rsidRPr="00F03354">
        <w:rPr>
          <w:rFonts w:ascii="VIC" w:eastAsia="MS Gothic" w:hAnsi="VIC" w:cs="Arial"/>
          <w:b/>
          <w:bCs/>
          <w:color w:val="244C5A"/>
          <w:sz w:val="20"/>
          <w:szCs w:val="20"/>
        </w:rPr>
        <w:lastRenderedPageBreak/>
        <w:t>Timely access to care</w:t>
      </w:r>
      <w:bookmarkEnd w:id="7"/>
      <w:bookmarkEnd w:id="8"/>
    </w:p>
    <w:tbl>
      <w:tblPr>
        <w:tblStyle w:val="TableGrid3"/>
        <w:tblW w:w="10084"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10"/>
        <w:gridCol w:w="1671"/>
        <w:gridCol w:w="12"/>
        <w:gridCol w:w="1573"/>
        <w:gridCol w:w="343"/>
        <w:gridCol w:w="4945"/>
        <w:gridCol w:w="1530"/>
      </w:tblGrid>
      <w:tr w:rsidR="00296904" w:rsidRPr="00F03354" w14:paraId="751F301B" w14:textId="77777777" w:rsidTr="43E0E1C9">
        <w:trPr>
          <w:cantSplit/>
          <w:trHeight w:val="334"/>
          <w:tblHeader/>
        </w:trPr>
        <w:tc>
          <w:tcPr>
            <w:tcW w:w="1682" w:type="dxa"/>
            <w:gridSpan w:val="2"/>
            <w:shd w:val="clear" w:color="auto" w:fill="244C5A"/>
            <w:vAlign w:val="center"/>
          </w:tcPr>
          <w:p w14:paraId="2F47AB42" w14:textId="77777777" w:rsidR="00280F65" w:rsidRPr="00F03354" w:rsidRDefault="00280F65" w:rsidP="00280F65">
            <w:pPr>
              <w:spacing w:before="80" w:after="60"/>
              <w:rPr>
                <w:rFonts w:ascii="VIC" w:hAnsi="VIC" w:cs="Arial"/>
                <w:bCs/>
                <w:color w:val="FFFFFF" w:themeColor="background1"/>
              </w:rPr>
            </w:pPr>
            <w:r w:rsidRPr="00F03354">
              <w:rPr>
                <w:rFonts w:ascii="VIC" w:hAnsi="VIC" w:cs="Arial"/>
                <w:bCs/>
                <w:color w:val="FFFFFF" w:themeColor="background1"/>
              </w:rPr>
              <w:t>Program</w:t>
            </w:r>
          </w:p>
        </w:tc>
        <w:tc>
          <w:tcPr>
            <w:tcW w:w="1587" w:type="dxa"/>
            <w:gridSpan w:val="2"/>
            <w:shd w:val="clear" w:color="auto" w:fill="244C5A"/>
            <w:vAlign w:val="center"/>
          </w:tcPr>
          <w:p w14:paraId="6B81DB77" w14:textId="77777777" w:rsidR="00280F65" w:rsidRPr="00F03354" w:rsidRDefault="00280F65" w:rsidP="00280F65">
            <w:pPr>
              <w:spacing w:before="80" w:after="60"/>
              <w:rPr>
                <w:rFonts w:ascii="VIC" w:hAnsi="VIC" w:cs="Arial"/>
                <w:bCs/>
                <w:color w:val="FFFFFF" w:themeColor="background1"/>
              </w:rPr>
            </w:pPr>
            <w:r w:rsidRPr="00F03354">
              <w:rPr>
                <w:rFonts w:ascii="VIC" w:hAnsi="VIC" w:cs="Arial"/>
                <w:bCs/>
                <w:color w:val="FFFFFF" w:themeColor="background1"/>
              </w:rPr>
              <w:t>KPI</w:t>
            </w:r>
          </w:p>
        </w:tc>
        <w:tc>
          <w:tcPr>
            <w:tcW w:w="5310" w:type="dxa"/>
            <w:gridSpan w:val="2"/>
            <w:shd w:val="clear" w:color="auto" w:fill="244C5A"/>
            <w:vAlign w:val="center"/>
          </w:tcPr>
          <w:p w14:paraId="6FCD51EC" w14:textId="77777777" w:rsidR="00280F65" w:rsidRPr="00F03354" w:rsidRDefault="00280F65" w:rsidP="00280F65">
            <w:pPr>
              <w:spacing w:before="80" w:after="60"/>
              <w:rPr>
                <w:rFonts w:ascii="VIC" w:hAnsi="VIC" w:cs="Arial"/>
                <w:bCs/>
                <w:color w:val="FFFFFF" w:themeColor="background1"/>
              </w:rPr>
            </w:pPr>
            <w:r w:rsidRPr="00F03354">
              <w:rPr>
                <w:rFonts w:ascii="VIC" w:hAnsi="VIC" w:cs="Arial"/>
                <w:bCs/>
                <w:color w:val="FFFFFF" w:themeColor="background1"/>
              </w:rPr>
              <w:t>Key performance measure</w:t>
            </w:r>
          </w:p>
        </w:tc>
        <w:tc>
          <w:tcPr>
            <w:tcW w:w="1505" w:type="dxa"/>
            <w:shd w:val="clear" w:color="auto" w:fill="244C5A"/>
            <w:vAlign w:val="center"/>
          </w:tcPr>
          <w:p w14:paraId="32CCC7F1" w14:textId="77777777" w:rsidR="00280F65" w:rsidRPr="00F03354" w:rsidRDefault="00280F65" w:rsidP="00280F65">
            <w:pPr>
              <w:spacing w:before="80" w:after="60"/>
              <w:jc w:val="center"/>
              <w:rPr>
                <w:rFonts w:ascii="VIC" w:hAnsi="VIC" w:cs="Arial"/>
                <w:bCs/>
                <w:color w:val="FFFFFF" w:themeColor="background1"/>
              </w:rPr>
            </w:pPr>
            <w:r w:rsidRPr="00F03354">
              <w:rPr>
                <w:rFonts w:ascii="VIC" w:hAnsi="VIC" w:cs="Arial"/>
                <w:bCs/>
                <w:color w:val="FFFFFF" w:themeColor="background1"/>
              </w:rPr>
              <w:t>Target</w:t>
            </w:r>
          </w:p>
        </w:tc>
      </w:tr>
      <w:tr w:rsidR="000C09A2" w:rsidRPr="00F03354" w14:paraId="4926B6D1" w14:textId="77777777" w:rsidTr="43E0E1C9">
        <w:trPr>
          <w:gridBefore w:val="1"/>
          <w:wBefore w:w="9" w:type="dxa"/>
          <w:cantSplit/>
          <w:trHeight w:val="543"/>
        </w:trPr>
        <w:tc>
          <w:tcPr>
            <w:tcW w:w="1685" w:type="dxa"/>
            <w:gridSpan w:val="2"/>
            <w:vMerge w:val="restart"/>
            <w:shd w:val="clear" w:color="auto" w:fill="BDD6EE" w:themeFill="accent5" w:themeFillTint="66"/>
          </w:tcPr>
          <w:p w14:paraId="4885678E" w14:textId="77777777" w:rsidR="00280F65" w:rsidRPr="00F03354" w:rsidRDefault="00280F65" w:rsidP="00280F65">
            <w:pPr>
              <w:spacing w:before="80" w:after="60"/>
              <w:rPr>
                <w:rFonts w:ascii="VIC" w:hAnsi="VIC" w:cs="Arial"/>
              </w:rPr>
            </w:pPr>
            <w:r w:rsidRPr="00F03354">
              <w:rPr>
                <w:rFonts w:ascii="VIC" w:hAnsi="VIC" w:cs="Arial"/>
              </w:rPr>
              <w:t>Emergency care</w:t>
            </w:r>
          </w:p>
        </w:tc>
        <w:tc>
          <w:tcPr>
            <w:tcW w:w="1920" w:type="dxa"/>
            <w:gridSpan w:val="2"/>
            <w:shd w:val="clear" w:color="auto" w:fill="BDD6EE" w:themeFill="accent5" w:themeFillTint="66"/>
          </w:tcPr>
          <w:p w14:paraId="40E29438" w14:textId="77777777" w:rsidR="00280F65" w:rsidRPr="00F03354" w:rsidRDefault="00280F65" w:rsidP="00280F65">
            <w:pPr>
              <w:spacing w:before="80" w:after="60"/>
              <w:rPr>
                <w:rFonts w:ascii="VIC" w:hAnsi="VIC" w:cs="Arial"/>
              </w:rPr>
            </w:pPr>
            <w:r w:rsidRPr="00F03354">
              <w:rPr>
                <w:rFonts w:ascii="VIC" w:hAnsi="VIC" w:cs="Arial"/>
              </w:rPr>
              <w:t>40-minute transfer</w:t>
            </w:r>
          </w:p>
        </w:tc>
        <w:tc>
          <w:tcPr>
            <w:tcW w:w="4965" w:type="dxa"/>
            <w:shd w:val="clear" w:color="auto" w:fill="BDD6EE" w:themeFill="accent5" w:themeFillTint="66"/>
          </w:tcPr>
          <w:p w14:paraId="4F5CF5D2" w14:textId="77777777" w:rsidR="00280F65" w:rsidRPr="00F03354" w:rsidRDefault="00280F65" w:rsidP="00280F65">
            <w:pPr>
              <w:spacing w:before="80" w:after="60"/>
              <w:rPr>
                <w:rFonts w:ascii="VIC" w:hAnsi="VIC" w:cs="Arial"/>
              </w:rPr>
            </w:pPr>
            <w:r w:rsidRPr="00F03354">
              <w:rPr>
                <w:rFonts w:ascii="VIC" w:hAnsi="VIC" w:cs="Arial"/>
              </w:rPr>
              <w:t>Percentage of patients transferred from ambulance to emergency department within 40 minutes</w:t>
            </w:r>
          </w:p>
        </w:tc>
        <w:tc>
          <w:tcPr>
            <w:tcW w:w="1505" w:type="dxa"/>
            <w:shd w:val="clear" w:color="auto" w:fill="BDD6EE" w:themeFill="accent5" w:themeFillTint="66"/>
          </w:tcPr>
          <w:p w14:paraId="3C4F4C16" w14:textId="77777777" w:rsidR="00280F65" w:rsidRPr="00F03354" w:rsidRDefault="084D64FE" w:rsidP="00280F65">
            <w:pPr>
              <w:spacing w:before="80" w:after="60"/>
              <w:jc w:val="right"/>
              <w:rPr>
                <w:rFonts w:ascii="VIC" w:hAnsi="VIC" w:cs="Arial"/>
              </w:rPr>
            </w:pPr>
            <w:r w:rsidRPr="00F03354">
              <w:rPr>
                <w:rFonts w:ascii="VIC" w:hAnsi="VIC" w:cs="Arial"/>
              </w:rPr>
              <w:t>90%</w:t>
            </w:r>
            <w:r w:rsidR="00280F65" w:rsidRPr="00F03354">
              <w:rPr>
                <w:rFonts w:ascii="VIC" w:hAnsi="VIC" w:cs="Arial"/>
                <w:vertAlign w:val="superscript"/>
              </w:rPr>
              <w:footnoteReference w:id="8"/>
            </w:r>
          </w:p>
        </w:tc>
      </w:tr>
      <w:tr w:rsidR="00296904" w:rsidRPr="00F03354" w14:paraId="2A303BBB" w14:textId="77777777" w:rsidTr="43E0E1C9">
        <w:trPr>
          <w:gridBefore w:val="1"/>
          <w:wBefore w:w="9" w:type="dxa"/>
          <w:cantSplit/>
          <w:trHeight w:val="543"/>
        </w:trPr>
        <w:tc>
          <w:tcPr>
            <w:tcW w:w="1685" w:type="dxa"/>
            <w:gridSpan w:val="2"/>
            <w:vMerge/>
          </w:tcPr>
          <w:p w14:paraId="6D404D0F"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56D9302F" w14:textId="77777777" w:rsidR="00280F65" w:rsidRPr="00F03354" w:rsidRDefault="00280F65" w:rsidP="00280F65">
            <w:pPr>
              <w:spacing w:before="80" w:after="60"/>
              <w:rPr>
                <w:rFonts w:ascii="VIC" w:hAnsi="VIC"/>
              </w:rPr>
            </w:pPr>
            <w:r w:rsidRPr="00F03354">
              <w:rPr>
                <w:rFonts w:ascii="VIC" w:hAnsi="VIC"/>
              </w:rPr>
              <w:t>Triage 1</w:t>
            </w:r>
          </w:p>
        </w:tc>
        <w:tc>
          <w:tcPr>
            <w:tcW w:w="4965" w:type="dxa"/>
            <w:shd w:val="clear" w:color="auto" w:fill="BDD6EE" w:themeFill="accent5" w:themeFillTint="66"/>
          </w:tcPr>
          <w:p w14:paraId="651A5F1A" w14:textId="77777777" w:rsidR="00280F65" w:rsidRPr="00F03354" w:rsidRDefault="00280F65" w:rsidP="00280F65">
            <w:pPr>
              <w:spacing w:before="80" w:after="60"/>
              <w:rPr>
                <w:rFonts w:ascii="VIC" w:hAnsi="VIC" w:cs="Arial"/>
              </w:rPr>
            </w:pPr>
            <w:r w:rsidRPr="00F03354">
              <w:rPr>
                <w:rFonts w:ascii="VIC" w:hAnsi="VIC" w:cs="Arial"/>
              </w:rPr>
              <w:t>Percentage of Triage Category 1 emergency patients seen immediately</w:t>
            </w:r>
          </w:p>
        </w:tc>
        <w:tc>
          <w:tcPr>
            <w:tcW w:w="1505" w:type="dxa"/>
            <w:shd w:val="clear" w:color="auto" w:fill="BDD6EE" w:themeFill="accent5" w:themeFillTint="66"/>
          </w:tcPr>
          <w:p w14:paraId="3FBF5517" w14:textId="77777777" w:rsidR="00280F65" w:rsidRPr="00F03354" w:rsidRDefault="00280F65" w:rsidP="00280F65">
            <w:pPr>
              <w:spacing w:before="80" w:after="60"/>
              <w:jc w:val="right"/>
              <w:rPr>
                <w:rFonts w:ascii="VIC" w:hAnsi="VIC" w:cs="Arial"/>
              </w:rPr>
            </w:pPr>
            <w:r w:rsidRPr="00F03354">
              <w:rPr>
                <w:rFonts w:ascii="VIC" w:hAnsi="VIC" w:cs="Arial"/>
              </w:rPr>
              <w:t>100%</w:t>
            </w:r>
          </w:p>
        </w:tc>
      </w:tr>
      <w:tr w:rsidR="00296904" w:rsidRPr="00F03354" w14:paraId="14A13825" w14:textId="77777777" w:rsidTr="43E0E1C9">
        <w:trPr>
          <w:gridBefore w:val="1"/>
          <w:wBefore w:w="9" w:type="dxa"/>
          <w:cantSplit/>
          <w:trHeight w:val="543"/>
        </w:trPr>
        <w:tc>
          <w:tcPr>
            <w:tcW w:w="1685" w:type="dxa"/>
            <w:gridSpan w:val="2"/>
            <w:vMerge/>
          </w:tcPr>
          <w:p w14:paraId="17704FC0"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4AB031EC" w14:textId="77777777" w:rsidR="00280F65" w:rsidRPr="00F03354" w:rsidRDefault="00280F65" w:rsidP="00280F65">
            <w:pPr>
              <w:spacing w:before="80" w:after="60"/>
              <w:rPr>
                <w:rFonts w:ascii="VIC" w:hAnsi="VIC"/>
              </w:rPr>
            </w:pPr>
            <w:r w:rsidRPr="00F03354">
              <w:rPr>
                <w:rFonts w:ascii="VIC" w:hAnsi="VIC"/>
              </w:rPr>
              <w:t>Triage 1–5</w:t>
            </w:r>
          </w:p>
        </w:tc>
        <w:tc>
          <w:tcPr>
            <w:tcW w:w="4965" w:type="dxa"/>
            <w:shd w:val="clear" w:color="auto" w:fill="BDD6EE" w:themeFill="accent5" w:themeFillTint="66"/>
          </w:tcPr>
          <w:p w14:paraId="6477F4E9" w14:textId="77777777" w:rsidR="00280F65" w:rsidRPr="00F03354" w:rsidRDefault="00280F65" w:rsidP="00280F65">
            <w:pPr>
              <w:spacing w:before="80" w:after="60"/>
              <w:rPr>
                <w:rFonts w:ascii="VIC" w:hAnsi="VIC" w:cs="Arial"/>
              </w:rPr>
            </w:pPr>
            <w:r w:rsidRPr="00F03354">
              <w:rPr>
                <w:rFonts w:ascii="VIC" w:hAnsi="VIC" w:cs="Arial"/>
              </w:rPr>
              <w:t>Percentage of Triage Category 1 to 5 emergency patients seen within clinically recommended time</w:t>
            </w:r>
          </w:p>
        </w:tc>
        <w:tc>
          <w:tcPr>
            <w:tcW w:w="1505" w:type="dxa"/>
            <w:shd w:val="clear" w:color="auto" w:fill="BDD6EE" w:themeFill="accent5" w:themeFillTint="66"/>
          </w:tcPr>
          <w:p w14:paraId="68FB881A" w14:textId="77777777" w:rsidR="00280F65" w:rsidRPr="00F03354" w:rsidRDefault="00280F65" w:rsidP="00280F65">
            <w:pPr>
              <w:spacing w:before="80" w:after="60"/>
              <w:jc w:val="right"/>
              <w:rPr>
                <w:rFonts w:ascii="VIC" w:hAnsi="VIC" w:cs="Arial"/>
              </w:rPr>
            </w:pPr>
            <w:r w:rsidRPr="00F03354">
              <w:rPr>
                <w:rFonts w:ascii="VIC" w:hAnsi="VIC" w:cs="Arial"/>
              </w:rPr>
              <w:t>80%</w:t>
            </w:r>
          </w:p>
        </w:tc>
      </w:tr>
      <w:tr w:rsidR="00296904" w:rsidRPr="00F03354" w14:paraId="2DE5BD8A" w14:textId="77777777" w:rsidTr="43E0E1C9">
        <w:trPr>
          <w:gridBefore w:val="1"/>
          <w:wBefore w:w="9" w:type="dxa"/>
          <w:cantSplit/>
          <w:trHeight w:val="543"/>
        </w:trPr>
        <w:tc>
          <w:tcPr>
            <w:tcW w:w="1685" w:type="dxa"/>
            <w:gridSpan w:val="2"/>
            <w:vMerge/>
          </w:tcPr>
          <w:p w14:paraId="07F3B019"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2AB75B97" w14:textId="77777777" w:rsidR="00280F65" w:rsidRPr="00F03354" w:rsidRDefault="00280F65" w:rsidP="00280F65">
            <w:pPr>
              <w:spacing w:before="80" w:after="60"/>
              <w:rPr>
                <w:rFonts w:ascii="VIC" w:hAnsi="VIC"/>
              </w:rPr>
            </w:pPr>
            <w:r w:rsidRPr="00F03354">
              <w:rPr>
                <w:rFonts w:ascii="VIC" w:hAnsi="VIC"/>
              </w:rPr>
              <w:t>ED &lt; 4 hours</w:t>
            </w:r>
          </w:p>
        </w:tc>
        <w:tc>
          <w:tcPr>
            <w:tcW w:w="4965" w:type="dxa"/>
            <w:shd w:val="clear" w:color="auto" w:fill="BDD6EE" w:themeFill="accent5" w:themeFillTint="66"/>
          </w:tcPr>
          <w:p w14:paraId="574185A6" w14:textId="77777777" w:rsidR="00280F65" w:rsidRPr="00F03354" w:rsidRDefault="00280F65" w:rsidP="00280F65">
            <w:pPr>
              <w:spacing w:before="80" w:after="60"/>
              <w:rPr>
                <w:rFonts w:ascii="VIC" w:hAnsi="VIC" w:cs="Arial"/>
              </w:rPr>
            </w:pPr>
            <w:r w:rsidRPr="00F03354">
              <w:rPr>
                <w:rFonts w:ascii="VIC" w:hAnsi="VIC" w:cs="Arial"/>
              </w:rPr>
              <w:t>Percentage of emergency patients with a length of stay in the emergency department of less than four hours</w:t>
            </w:r>
          </w:p>
        </w:tc>
        <w:tc>
          <w:tcPr>
            <w:tcW w:w="1505" w:type="dxa"/>
            <w:shd w:val="clear" w:color="auto" w:fill="BDD6EE" w:themeFill="accent5" w:themeFillTint="66"/>
          </w:tcPr>
          <w:p w14:paraId="07B10A53" w14:textId="77777777" w:rsidR="00280F65" w:rsidRPr="00F03354" w:rsidRDefault="00280F65" w:rsidP="00280F65">
            <w:pPr>
              <w:spacing w:before="80" w:after="60"/>
              <w:jc w:val="right"/>
              <w:rPr>
                <w:rFonts w:ascii="VIC" w:hAnsi="VIC" w:cs="Arial"/>
              </w:rPr>
            </w:pPr>
            <w:r w:rsidRPr="00F03354">
              <w:rPr>
                <w:rFonts w:ascii="VIC" w:hAnsi="VIC" w:cs="Arial"/>
              </w:rPr>
              <w:t>81%</w:t>
            </w:r>
          </w:p>
        </w:tc>
      </w:tr>
      <w:tr w:rsidR="00296904" w:rsidRPr="00F03354" w14:paraId="417FED29" w14:textId="77777777" w:rsidTr="43E0E1C9">
        <w:trPr>
          <w:gridBefore w:val="1"/>
          <w:wBefore w:w="9" w:type="dxa"/>
          <w:cantSplit/>
          <w:trHeight w:val="543"/>
        </w:trPr>
        <w:tc>
          <w:tcPr>
            <w:tcW w:w="1685" w:type="dxa"/>
            <w:gridSpan w:val="2"/>
            <w:vMerge/>
          </w:tcPr>
          <w:p w14:paraId="61A51120"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148EE918" w14:textId="77777777" w:rsidR="00280F65" w:rsidRPr="00F03354" w:rsidRDefault="00280F65" w:rsidP="00280F65">
            <w:pPr>
              <w:spacing w:before="80" w:after="60"/>
              <w:rPr>
                <w:rFonts w:ascii="VIC" w:hAnsi="VIC"/>
              </w:rPr>
            </w:pPr>
            <w:r w:rsidRPr="00F03354">
              <w:rPr>
                <w:rFonts w:ascii="VIC" w:hAnsi="VIC"/>
              </w:rPr>
              <w:t>ED &gt; 24 hours</w:t>
            </w:r>
          </w:p>
        </w:tc>
        <w:tc>
          <w:tcPr>
            <w:tcW w:w="4965" w:type="dxa"/>
            <w:shd w:val="clear" w:color="auto" w:fill="BDD6EE" w:themeFill="accent5" w:themeFillTint="66"/>
          </w:tcPr>
          <w:p w14:paraId="499109D8" w14:textId="77777777" w:rsidR="00280F65" w:rsidRPr="00F03354" w:rsidRDefault="00280F65" w:rsidP="00280F65">
            <w:pPr>
              <w:spacing w:before="80" w:after="60"/>
              <w:rPr>
                <w:rFonts w:ascii="VIC" w:hAnsi="VIC" w:cs="Arial"/>
              </w:rPr>
            </w:pPr>
            <w:r w:rsidRPr="00F03354">
              <w:rPr>
                <w:rFonts w:ascii="VIC" w:hAnsi="VIC" w:cs="Arial"/>
              </w:rPr>
              <w:t>Number of patients with a length of stay in the emergency department greater than 24 hours</w:t>
            </w:r>
          </w:p>
        </w:tc>
        <w:tc>
          <w:tcPr>
            <w:tcW w:w="1505" w:type="dxa"/>
            <w:shd w:val="clear" w:color="auto" w:fill="BDD6EE" w:themeFill="accent5" w:themeFillTint="66"/>
          </w:tcPr>
          <w:p w14:paraId="5C339249" w14:textId="77777777" w:rsidR="00280F65" w:rsidRPr="00F03354" w:rsidRDefault="00280F65" w:rsidP="00280F65">
            <w:pPr>
              <w:spacing w:before="80" w:after="60"/>
              <w:jc w:val="right"/>
              <w:rPr>
                <w:rFonts w:ascii="VIC" w:hAnsi="VIC" w:cs="Arial"/>
              </w:rPr>
            </w:pPr>
            <w:r w:rsidRPr="00F03354">
              <w:rPr>
                <w:rFonts w:ascii="VIC" w:hAnsi="VIC" w:cs="Arial"/>
              </w:rPr>
              <w:t>0</w:t>
            </w:r>
          </w:p>
        </w:tc>
      </w:tr>
      <w:tr w:rsidR="00296904" w:rsidRPr="00F03354" w14:paraId="2F6A8015" w14:textId="77777777" w:rsidTr="43E0E1C9">
        <w:trPr>
          <w:gridBefore w:val="1"/>
          <w:wBefore w:w="9" w:type="dxa"/>
          <w:cantSplit/>
          <w:trHeight w:val="543"/>
        </w:trPr>
        <w:tc>
          <w:tcPr>
            <w:tcW w:w="1685" w:type="dxa"/>
            <w:gridSpan w:val="2"/>
            <w:vMerge/>
          </w:tcPr>
          <w:p w14:paraId="63BA1449" w14:textId="77777777" w:rsidR="00280F65" w:rsidRPr="00F03354" w:rsidRDefault="00280F65" w:rsidP="00280F65">
            <w:pPr>
              <w:spacing w:before="80" w:after="60"/>
              <w:rPr>
                <w:rFonts w:ascii="VIC" w:hAnsi="VIC"/>
              </w:rPr>
            </w:pPr>
          </w:p>
        </w:tc>
        <w:tc>
          <w:tcPr>
            <w:tcW w:w="1920" w:type="dxa"/>
            <w:gridSpan w:val="2"/>
            <w:vMerge w:val="restart"/>
            <w:shd w:val="clear" w:color="auto" w:fill="BDD6EE" w:themeFill="accent5" w:themeFillTint="66"/>
          </w:tcPr>
          <w:p w14:paraId="74A91EEA" w14:textId="77777777" w:rsidR="00280F65" w:rsidRPr="00F03354" w:rsidRDefault="00280F65" w:rsidP="00280F65">
            <w:pPr>
              <w:spacing w:before="80" w:after="60"/>
              <w:rPr>
                <w:rFonts w:ascii="VIC" w:hAnsi="VIC"/>
              </w:rPr>
            </w:pPr>
            <w:r w:rsidRPr="00F03354">
              <w:rPr>
                <w:rFonts w:ascii="VIC" w:hAnsi="VIC"/>
              </w:rPr>
              <w:t>Mental health</w:t>
            </w:r>
          </w:p>
        </w:tc>
        <w:tc>
          <w:tcPr>
            <w:tcW w:w="4965" w:type="dxa"/>
            <w:shd w:val="clear" w:color="auto" w:fill="BDD6EE" w:themeFill="accent5" w:themeFillTint="66"/>
          </w:tcPr>
          <w:p w14:paraId="1713F484" w14:textId="5FC4C642" w:rsidR="00280F65" w:rsidRPr="00F03354" w:rsidRDefault="004C3179" w:rsidP="00280F65">
            <w:pPr>
              <w:spacing w:before="80" w:after="60"/>
              <w:rPr>
                <w:rFonts w:ascii="VIC" w:hAnsi="VIC" w:cs="Arial"/>
              </w:rPr>
            </w:pPr>
            <w:r w:rsidRPr="00F03354">
              <w:rPr>
                <w:rFonts w:ascii="VIC" w:hAnsi="VIC" w:cs="Arial"/>
              </w:rPr>
              <w:t>Percentage of triage episodes requiring an urgent response (triage scale C) where a face-to-face response was provided by the mental health service within 8 hours</w:t>
            </w:r>
          </w:p>
        </w:tc>
        <w:tc>
          <w:tcPr>
            <w:tcW w:w="1505" w:type="dxa"/>
            <w:shd w:val="clear" w:color="auto" w:fill="BDD6EE" w:themeFill="accent5" w:themeFillTint="66"/>
          </w:tcPr>
          <w:p w14:paraId="73982904" w14:textId="77777777" w:rsidR="00280F65" w:rsidRPr="00F03354" w:rsidRDefault="00280F65" w:rsidP="00280F65">
            <w:pPr>
              <w:spacing w:before="80" w:after="60"/>
              <w:jc w:val="right"/>
              <w:rPr>
                <w:rFonts w:ascii="VIC" w:hAnsi="VIC" w:cs="Arial"/>
              </w:rPr>
            </w:pPr>
            <w:r w:rsidRPr="00F03354">
              <w:rPr>
                <w:rFonts w:ascii="VIC" w:hAnsi="VIC" w:cs="Arial"/>
              </w:rPr>
              <w:t>80%</w:t>
            </w:r>
          </w:p>
        </w:tc>
      </w:tr>
      <w:tr w:rsidR="00296904" w:rsidRPr="00F03354" w14:paraId="22FF3C80" w14:textId="77777777" w:rsidTr="43E0E1C9">
        <w:trPr>
          <w:gridBefore w:val="1"/>
          <w:wBefore w:w="9" w:type="dxa"/>
          <w:cantSplit/>
          <w:trHeight w:val="543"/>
        </w:trPr>
        <w:tc>
          <w:tcPr>
            <w:tcW w:w="1685" w:type="dxa"/>
            <w:gridSpan w:val="2"/>
            <w:vMerge/>
          </w:tcPr>
          <w:p w14:paraId="23C06266" w14:textId="77777777" w:rsidR="00280F65" w:rsidRPr="00F03354" w:rsidRDefault="00280F65" w:rsidP="00280F65">
            <w:pPr>
              <w:spacing w:before="80" w:after="60"/>
              <w:rPr>
                <w:rFonts w:ascii="VIC" w:hAnsi="VIC"/>
              </w:rPr>
            </w:pPr>
          </w:p>
        </w:tc>
        <w:tc>
          <w:tcPr>
            <w:tcW w:w="1920" w:type="dxa"/>
            <w:gridSpan w:val="2"/>
            <w:vMerge/>
          </w:tcPr>
          <w:p w14:paraId="268BA272" w14:textId="77777777" w:rsidR="00280F65" w:rsidRPr="00F03354" w:rsidRDefault="00280F65" w:rsidP="00280F65">
            <w:pPr>
              <w:spacing w:before="80" w:after="60"/>
              <w:rPr>
                <w:rFonts w:ascii="VIC" w:hAnsi="VIC"/>
              </w:rPr>
            </w:pPr>
          </w:p>
        </w:tc>
        <w:tc>
          <w:tcPr>
            <w:tcW w:w="4965" w:type="dxa"/>
            <w:shd w:val="clear" w:color="auto" w:fill="BDD6EE" w:themeFill="accent5" w:themeFillTint="66"/>
          </w:tcPr>
          <w:p w14:paraId="55E3BC84" w14:textId="77777777" w:rsidR="00280F65" w:rsidRPr="00F03354" w:rsidRDefault="00280F65" w:rsidP="00280F65">
            <w:pPr>
              <w:spacing w:before="80" w:after="60"/>
              <w:rPr>
                <w:rFonts w:ascii="VIC" w:hAnsi="VIC" w:cs="Arial"/>
              </w:rPr>
            </w:pPr>
            <w:r w:rsidRPr="00F03354">
              <w:rPr>
                <w:rFonts w:ascii="VIC" w:hAnsi="VIC" w:cs="Arial"/>
              </w:rPr>
              <w:t>Percentage of mental health-related emergency department presentations with a length of stay of less than 4 hours</w:t>
            </w:r>
          </w:p>
        </w:tc>
        <w:tc>
          <w:tcPr>
            <w:tcW w:w="1505" w:type="dxa"/>
            <w:shd w:val="clear" w:color="auto" w:fill="BDD6EE" w:themeFill="accent5" w:themeFillTint="66"/>
          </w:tcPr>
          <w:p w14:paraId="1CC3EA46" w14:textId="77777777" w:rsidR="00280F65" w:rsidRPr="00F03354" w:rsidRDefault="00280F65" w:rsidP="00280F65">
            <w:pPr>
              <w:spacing w:before="80" w:after="60"/>
              <w:jc w:val="right"/>
              <w:rPr>
                <w:rFonts w:ascii="VIC" w:hAnsi="VIC" w:cs="Arial"/>
              </w:rPr>
            </w:pPr>
            <w:r w:rsidRPr="00F03354">
              <w:rPr>
                <w:rFonts w:ascii="VIC" w:hAnsi="VIC" w:cs="Arial"/>
              </w:rPr>
              <w:t>81%</w:t>
            </w:r>
          </w:p>
        </w:tc>
      </w:tr>
      <w:tr w:rsidR="000C09A2" w:rsidRPr="00F03354" w14:paraId="61D1E9CF" w14:textId="77777777" w:rsidTr="43E0E1C9">
        <w:trPr>
          <w:gridBefore w:val="1"/>
          <w:wBefore w:w="9" w:type="dxa"/>
          <w:cantSplit/>
          <w:trHeight w:val="543"/>
        </w:trPr>
        <w:tc>
          <w:tcPr>
            <w:tcW w:w="1685" w:type="dxa"/>
            <w:gridSpan w:val="2"/>
            <w:vMerge w:val="restart"/>
            <w:shd w:val="clear" w:color="auto" w:fill="BDD6EE" w:themeFill="accent5" w:themeFillTint="66"/>
          </w:tcPr>
          <w:p w14:paraId="34C0AF66" w14:textId="77777777" w:rsidR="00280F65" w:rsidRPr="00F03354" w:rsidRDefault="00280F65" w:rsidP="00280F65">
            <w:pPr>
              <w:spacing w:before="80" w:after="60"/>
              <w:rPr>
                <w:rFonts w:ascii="VIC" w:hAnsi="VIC"/>
              </w:rPr>
            </w:pPr>
            <w:r w:rsidRPr="00F03354">
              <w:rPr>
                <w:rFonts w:ascii="VIC" w:hAnsi="VIC"/>
              </w:rPr>
              <w:t>Elective surgery</w:t>
            </w:r>
          </w:p>
        </w:tc>
        <w:tc>
          <w:tcPr>
            <w:tcW w:w="1920" w:type="dxa"/>
            <w:gridSpan w:val="2"/>
            <w:shd w:val="clear" w:color="auto" w:fill="BDD6EE" w:themeFill="accent5" w:themeFillTint="66"/>
          </w:tcPr>
          <w:p w14:paraId="5F15BF09" w14:textId="77777777" w:rsidR="00280F65" w:rsidRPr="00F03354" w:rsidRDefault="00280F65" w:rsidP="00280F65">
            <w:pPr>
              <w:spacing w:before="80" w:after="60"/>
              <w:rPr>
                <w:rFonts w:ascii="VIC" w:hAnsi="VIC"/>
              </w:rPr>
            </w:pPr>
            <w:r w:rsidRPr="00F03354">
              <w:rPr>
                <w:rFonts w:ascii="VIC" w:hAnsi="VIC"/>
              </w:rPr>
              <w:t>Category 1 admissions</w:t>
            </w:r>
          </w:p>
        </w:tc>
        <w:tc>
          <w:tcPr>
            <w:tcW w:w="4965" w:type="dxa"/>
            <w:shd w:val="clear" w:color="auto" w:fill="BDD6EE" w:themeFill="accent5" w:themeFillTint="66"/>
          </w:tcPr>
          <w:p w14:paraId="604E9415" w14:textId="77777777" w:rsidR="00280F65" w:rsidRPr="00F03354" w:rsidRDefault="00280F65" w:rsidP="00280F65">
            <w:pPr>
              <w:spacing w:before="80" w:after="60"/>
              <w:rPr>
                <w:rFonts w:ascii="VIC" w:hAnsi="VIC" w:cs="Arial"/>
              </w:rPr>
            </w:pPr>
            <w:r w:rsidRPr="00F03354">
              <w:rPr>
                <w:rFonts w:ascii="VIC" w:hAnsi="VIC" w:cs="Arial"/>
              </w:rPr>
              <w:t>Percentage of urgency category 1 elective surgery patients admitted within 30 days</w:t>
            </w:r>
          </w:p>
        </w:tc>
        <w:tc>
          <w:tcPr>
            <w:tcW w:w="1505" w:type="dxa"/>
            <w:shd w:val="clear" w:color="auto" w:fill="BDD6EE" w:themeFill="accent5" w:themeFillTint="66"/>
          </w:tcPr>
          <w:p w14:paraId="4193E556" w14:textId="77777777" w:rsidR="00280F65" w:rsidRPr="00F03354" w:rsidRDefault="00280F65" w:rsidP="00280F65">
            <w:pPr>
              <w:spacing w:before="80" w:after="60"/>
              <w:jc w:val="right"/>
              <w:rPr>
                <w:rFonts w:ascii="VIC" w:hAnsi="VIC" w:cs="Arial"/>
              </w:rPr>
            </w:pPr>
            <w:r w:rsidRPr="00F03354">
              <w:rPr>
                <w:rFonts w:ascii="VIC" w:hAnsi="VIC" w:cs="Arial"/>
              </w:rPr>
              <w:t>100%</w:t>
            </w:r>
          </w:p>
        </w:tc>
      </w:tr>
      <w:tr w:rsidR="00296904" w:rsidRPr="00F03354" w14:paraId="200DE4C8" w14:textId="77777777" w:rsidTr="43E0E1C9">
        <w:trPr>
          <w:gridBefore w:val="1"/>
          <w:wBefore w:w="9" w:type="dxa"/>
          <w:cantSplit/>
          <w:trHeight w:val="543"/>
        </w:trPr>
        <w:tc>
          <w:tcPr>
            <w:tcW w:w="1685" w:type="dxa"/>
            <w:gridSpan w:val="2"/>
            <w:vMerge/>
          </w:tcPr>
          <w:p w14:paraId="4D0394AC"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1D6B6899" w14:textId="77777777" w:rsidR="00280F65" w:rsidRPr="00F03354" w:rsidRDefault="00280F65" w:rsidP="00280F65">
            <w:pPr>
              <w:spacing w:before="80" w:after="60"/>
              <w:rPr>
                <w:rFonts w:ascii="VIC" w:hAnsi="VIC"/>
              </w:rPr>
            </w:pPr>
            <w:r w:rsidRPr="00F03354">
              <w:rPr>
                <w:rFonts w:ascii="VIC" w:hAnsi="VIC"/>
              </w:rPr>
              <w:t>Cat 1, 2 and 3 admissions</w:t>
            </w:r>
          </w:p>
        </w:tc>
        <w:tc>
          <w:tcPr>
            <w:tcW w:w="4965" w:type="dxa"/>
            <w:shd w:val="clear" w:color="auto" w:fill="BDD6EE" w:themeFill="accent5" w:themeFillTint="66"/>
          </w:tcPr>
          <w:p w14:paraId="3C986E74" w14:textId="77777777" w:rsidR="00280F65" w:rsidRPr="00F03354" w:rsidRDefault="00280F65" w:rsidP="00280F65">
            <w:pPr>
              <w:spacing w:before="80" w:after="60"/>
              <w:rPr>
                <w:rFonts w:ascii="VIC" w:hAnsi="VIC" w:cs="Arial"/>
              </w:rPr>
            </w:pPr>
            <w:r w:rsidRPr="00F03354">
              <w:rPr>
                <w:rFonts w:ascii="VIC" w:hAnsi="VIC" w:cs="Arial"/>
              </w:rPr>
              <w:t>Percentage of urgency category 1, 2 and 3 elective surgery patients admitted within clinically recommended time</w:t>
            </w:r>
          </w:p>
        </w:tc>
        <w:tc>
          <w:tcPr>
            <w:tcW w:w="1505" w:type="dxa"/>
            <w:shd w:val="clear" w:color="auto" w:fill="BDD6EE" w:themeFill="accent5" w:themeFillTint="66"/>
          </w:tcPr>
          <w:p w14:paraId="3ED22CCF" w14:textId="77777777" w:rsidR="00280F65" w:rsidRPr="00F03354" w:rsidRDefault="00280F65" w:rsidP="00280F65">
            <w:pPr>
              <w:spacing w:before="80" w:after="60"/>
              <w:jc w:val="right"/>
              <w:rPr>
                <w:rFonts w:ascii="VIC" w:hAnsi="VIC" w:cs="Arial"/>
              </w:rPr>
            </w:pPr>
            <w:r w:rsidRPr="00F03354">
              <w:rPr>
                <w:rFonts w:ascii="VIC" w:hAnsi="VIC" w:cs="Arial"/>
              </w:rPr>
              <w:t>94%</w:t>
            </w:r>
          </w:p>
        </w:tc>
      </w:tr>
      <w:tr w:rsidR="00296904" w:rsidRPr="00F03354" w14:paraId="65C50F2C" w14:textId="77777777" w:rsidTr="43E0E1C9">
        <w:trPr>
          <w:gridBefore w:val="1"/>
          <w:wBefore w:w="9" w:type="dxa"/>
          <w:cantSplit/>
          <w:trHeight w:val="543"/>
        </w:trPr>
        <w:tc>
          <w:tcPr>
            <w:tcW w:w="1685" w:type="dxa"/>
            <w:gridSpan w:val="2"/>
            <w:vMerge/>
          </w:tcPr>
          <w:p w14:paraId="500E8F7E"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59A3AF83" w14:textId="77777777" w:rsidR="00280F65" w:rsidRPr="00F03354" w:rsidRDefault="084D64FE" w:rsidP="00280F65">
            <w:pPr>
              <w:spacing w:before="80" w:after="60"/>
              <w:rPr>
                <w:rFonts w:ascii="VIC" w:hAnsi="VIC"/>
              </w:rPr>
            </w:pPr>
            <w:r w:rsidRPr="00F03354">
              <w:rPr>
                <w:rFonts w:ascii="VIC" w:hAnsi="VIC"/>
              </w:rPr>
              <w:t>ESWL</w:t>
            </w:r>
          </w:p>
        </w:tc>
        <w:tc>
          <w:tcPr>
            <w:tcW w:w="4965" w:type="dxa"/>
            <w:shd w:val="clear" w:color="auto" w:fill="BDD6EE" w:themeFill="accent5" w:themeFillTint="66"/>
          </w:tcPr>
          <w:p w14:paraId="77910D27" w14:textId="77777777" w:rsidR="00280F65" w:rsidRPr="00F03354" w:rsidRDefault="00280F65" w:rsidP="00280F65">
            <w:pPr>
              <w:spacing w:before="80" w:after="60"/>
              <w:rPr>
                <w:rFonts w:ascii="VIC" w:hAnsi="VIC" w:cs="Arial"/>
              </w:rPr>
            </w:pPr>
            <w:r w:rsidRPr="00F03354">
              <w:rPr>
                <w:rFonts w:ascii="VIC" w:hAnsi="VIC"/>
              </w:rPr>
              <w:t>Number of patients on the elective surgery waiting list</w:t>
            </w:r>
          </w:p>
        </w:tc>
        <w:tc>
          <w:tcPr>
            <w:tcW w:w="1505" w:type="dxa"/>
            <w:shd w:val="clear" w:color="auto" w:fill="BDD6EE" w:themeFill="accent5" w:themeFillTint="66"/>
          </w:tcPr>
          <w:p w14:paraId="12B285D6" w14:textId="77777777" w:rsidR="00280F65" w:rsidRPr="00F03354" w:rsidRDefault="00280F65" w:rsidP="00280F65">
            <w:pPr>
              <w:spacing w:before="80" w:after="60"/>
              <w:jc w:val="right"/>
              <w:rPr>
                <w:rFonts w:ascii="VIC" w:hAnsi="VIC" w:cs="Arial"/>
              </w:rPr>
            </w:pPr>
            <w:r w:rsidRPr="00F03354">
              <w:rPr>
                <w:rFonts w:ascii="VIC" w:hAnsi="VIC" w:cs="Arial"/>
              </w:rPr>
              <w:t>Health service specific</w:t>
            </w:r>
          </w:p>
        </w:tc>
      </w:tr>
      <w:tr w:rsidR="00296904" w:rsidRPr="00F03354" w14:paraId="0DABD563" w14:textId="77777777" w:rsidTr="43E0E1C9">
        <w:trPr>
          <w:gridBefore w:val="1"/>
          <w:wBefore w:w="9" w:type="dxa"/>
          <w:cantSplit/>
          <w:trHeight w:val="543"/>
        </w:trPr>
        <w:tc>
          <w:tcPr>
            <w:tcW w:w="1685" w:type="dxa"/>
            <w:gridSpan w:val="2"/>
            <w:vMerge/>
          </w:tcPr>
          <w:p w14:paraId="53E4002C"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6CE7751E" w14:textId="6B134E16" w:rsidR="00280F65" w:rsidRPr="00F03354" w:rsidRDefault="643D3045" w:rsidP="6BF3BDE6">
            <w:pPr>
              <w:spacing w:before="80" w:after="60"/>
              <w:rPr>
                <w:rFonts w:ascii="VIC" w:hAnsi="VIC"/>
              </w:rPr>
            </w:pPr>
            <w:r w:rsidRPr="00F03354">
              <w:rPr>
                <w:rFonts w:ascii="VIC" w:hAnsi="VIC"/>
              </w:rPr>
              <w:t>ESWL</w:t>
            </w:r>
          </w:p>
        </w:tc>
        <w:tc>
          <w:tcPr>
            <w:tcW w:w="4965" w:type="dxa"/>
            <w:shd w:val="clear" w:color="auto" w:fill="BDD6EE" w:themeFill="accent5" w:themeFillTint="66"/>
          </w:tcPr>
          <w:p w14:paraId="0684F7A3" w14:textId="7A727AFE" w:rsidR="00280F65" w:rsidRPr="00F03354" w:rsidRDefault="37869347" w:rsidP="43E0E1C9">
            <w:pPr>
              <w:spacing w:before="80" w:after="60"/>
              <w:rPr>
                <w:rFonts w:ascii="VIC" w:hAnsi="VIC"/>
              </w:rPr>
            </w:pPr>
            <w:r w:rsidRPr="00F03354">
              <w:rPr>
                <w:rFonts w:ascii="VIC" w:hAnsi="VIC"/>
              </w:rPr>
              <w:t>Number of patients admitted from the elective surgery waiting list</w:t>
            </w:r>
            <w:r w:rsidR="3EB36E4A" w:rsidRPr="00F03354">
              <w:rPr>
                <w:rFonts w:ascii="VIC" w:hAnsi="VIC"/>
              </w:rPr>
              <w:t xml:space="preserve"> </w:t>
            </w:r>
          </w:p>
        </w:tc>
        <w:tc>
          <w:tcPr>
            <w:tcW w:w="1505" w:type="dxa"/>
            <w:shd w:val="clear" w:color="auto" w:fill="BDD6EE" w:themeFill="accent5" w:themeFillTint="66"/>
          </w:tcPr>
          <w:p w14:paraId="321BA386" w14:textId="1958556F" w:rsidR="00280F65" w:rsidRPr="00F03354" w:rsidRDefault="5309444A" w:rsidP="43E0E1C9">
            <w:pPr>
              <w:spacing w:before="80" w:after="60"/>
              <w:jc w:val="right"/>
              <w:rPr>
                <w:rFonts w:ascii="VIC" w:hAnsi="VIC" w:cs="Arial"/>
              </w:rPr>
            </w:pPr>
            <w:r w:rsidRPr="00F03354">
              <w:rPr>
                <w:rFonts w:ascii="VIC" w:hAnsi="VIC" w:cs="Arial"/>
              </w:rPr>
              <w:t>(base)</w:t>
            </w:r>
          </w:p>
          <w:p w14:paraId="361CE5E2" w14:textId="01D281D1" w:rsidR="00280F65" w:rsidRPr="00F03354" w:rsidRDefault="00280F65" w:rsidP="00280F65">
            <w:pPr>
              <w:spacing w:before="80" w:after="60"/>
              <w:jc w:val="right"/>
              <w:rPr>
                <w:rFonts w:ascii="VIC" w:hAnsi="VIC" w:cs="Arial"/>
              </w:rPr>
            </w:pPr>
            <w:r w:rsidRPr="00F03354">
              <w:rPr>
                <w:rFonts w:ascii="VIC" w:hAnsi="VIC" w:cs="Arial"/>
              </w:rPr>
              <w:t>Health service specific</w:t>
            </w:r>
          </w:p>
        </w:tc>
      </w:tr>
      <w:tr w:rsidR="6BF3BDE6" w:rsidRPr="00F03354" w14:paraId="3E072572" w14:textId="77777777" w:rsidTr="43E0E1C9">
        <w:trPr>
          <w:gridBefore w:val="1"/>
          <w:wBefore w:w="9" w:type="dxa"/>
          <w:cantSplit/>
          <w:trHeight w:val="543"/>
        </w:trPr>
        <w:tc>
          <w:tcPr>
            <w:tcW w:w="1685" w:type="dxa"/>
            <w:gridSpan w:val="2"/>
            <w:vMerge/>
          </w:tcPr>
          <w:p w14:paraId="792B924A" w14:textId="77777777" w:rsidR="00921FF3" w:rsidRPr="00F03354" w:rsidRDefault="00921FF3"/>
        </w:tc>
        <w:tc>
          <w:tcPr>
            <w:tcW w:w="1920" w:type="dxa"/>
            <w:gridSpan w:val="2"/>
            <w:shd w:val="clear" w:color="auto" w:fill="BDD6EE" w:themeFill="accent5" w:themeFillTint="66"/>
          </w:tcPr>
          <w:p w14:paraId="61AEE11D" w14:textId="338D4924" w:rsidR="643D3045" w:rsidRPr="00F03354" w:rsidRDefault="643D3045" w:rsidP="6BF3BDE6">
            <w:pPr>
              <w:rPr>
                <w:rFonts w:ascii="VIC" w:hAnsi="VIC"/>
              </w:rPr>
            </w:pPr>
            <w:r w:rsidRPr="00F03354">
              <w:rPr>
                <w:rFonts w:ascii="VIC" w:hAnsi="VIC"/>
              </w:rPr>
              <w:t>ESWL</w:t>
            </w:r>
          </w:p>
        </w:tc>
        <w:tc>
          <w:tcPr>
            <w:tcW w:w="4965" w:type="dxa"/>
            <w:shd w:val="clear" w:color="auto" w:fill="BDD6EE" w:themeFill="accent5" w:themeFillTint="66"/>
          </w:tcPr>
          <w:p w14:paraId="01722CE5" w14:textId="3E4113B3" w:rsidR="2F70FAC3" w:rsidRPr="00F03354" w:rsidRDefault="4E15E5F6" w:rsidP="6BF3BDE6">
            <w:pPr>
              <w:spacing w:before="80" w:after="60"/>
              <w:rPr>
                <w:rFonts w:ascii="VIC" w:hAnsi="VIC"/>
              </w:rPr>
            </w:pPr>
            <w:r w:rsidRPr="00F03354">
              <w:rPr>
                <w:rFonts w:ascii="VIC" w:hAnsi="VIC"/>
              </w:rPr>
              <w:t xml:space="preserve">Number of patients </w:t>
            </w:r>
            <w:r w:rsidR="688D13FE" w:rsidRPr="00F03354">
              <w:rPr>
                <w:rFonts w:ascii="VIC" w:hAnsi="VIC"/>
              </w:rPr>
              <w:t xml:space="preserve">(in addition to base) </w:t>
            </w:r>
            <w:r w:rsidRPr="00F03354">
              <w:rPr>
                <w:rFonts w:ascii="VIC" w:hAnsi="VIC"/>
              </w:rPr>
              <w:t>admitted from the elective surgery waiting list</w:t>
            </w:r>
          </w:p>
          <w:p w14:paraId="55264B60" w14:textId="4C1F5B7A" w:rsidR="6BF3BDE6" w:rsidRPr="00F03354" w:rsidRDefault="6BF3BDE6" w:rsidP="6BF3BDE6">
            <w:pPr>
              <w:rPr>
                <w:rFonts w:ascii="VIC" w:hAnsi="VIC"/>
              </w:rPr>
            </w:pPr>
          </w:p>
        </w:tc>
        <w:tc>
          <w:tcPr>
            <w:tcW w:w="1505" w:type="dxa"/>
            <w:shd w:val="clear" w:color="auto" w:fill="BDD6EE" w:themeFill="accent5" w:themeFillTint="66"/>
          </w:tcPr>
          <w:p w14:paraId="18820F5D" w14:textId="449403E6" w:rsidR="2F70FAC3" w:rsidRPr="00F03354" w:rsidRDefault="2F70FAC3" w:rsidP="6BF3BDE6">
            <w:pPr>
              <w:spacing w:before="80" w:after="60"/>
              <w:jc w:val="right"/>
              <w:rPr>
                <w:rFonts w:ascii="VIC" w:hAnsi="VIC" w:cs="Arial"/>
              </w:rPr>
            </w:pPr>
            <w:r w:rsidRPr="00F03354">
              <w:rPr>
                <w:rFonts w:ascii="VIC" w:hAnsi="VIC" w:cs="Arial"/>
              </w:rPr>
              <w:t>Health service specific</w:t>
            </w:r>
          </w:p>
        </w:tc>
      </w:tr>
      <w:tr w:rsidR="00296904" w:rsidRPr="00F03354" w14:paraId="791F6189" w14:textId="77777777" w:rsidTr="43E0E1C9">
        <w:trPr>
          <w:gridBefore w:val="1"/>
          <w:wBefore w:w="9" w:type="dxa"/>
          <w:cantSplit/>
          <w:trHeight w:val="543"/>
        </w:trPr>
        <w:tc>
          <w:tcPr>
            <w:tcW w:w="1685" w:type="dxa"/>
            <w:gridSpan w:val="2"/>
            <w:vMerge/>
          </w:tcPr>
          <w:p w14:paraId="1425F8FB"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0FCD69A3" w14:textId="77777777" w:rsidR="00280F65" w:rsidRPr="00F03354" w:rsidRDefault="00280F65" w:rsidP="00280F65">
            <w:pPr>
              <w:spacing w:before="80" w:after="60"/>
              <w:rPr>
                <w:rFonts w:ascii="VIC" w:hAnsi="VIC"/>
              </w:rPr>
            </w:pPr>
            <w:r w:rsidRPr="00F03354">
              <w:rPr>
                <w:rFonts w:ascii="VIC" w:hAnsi="VIC"/>
              </w:rPr>
              <w:t>Reducing long waiting elective surgery patients</w:t>
            </w:r>
          </w:p>
        </w:tc>
        <w:tc>
          <w:tcPr>
            <w:tcW w:w="4965" w:type="dxa"/>
            <w:shd w:val="clear" w:color="auto" w:fill="BDD6EE" w:themeFill="accent5" w:themeFillTint="66"/>
          </w:tcPr>
          <w:p w14:paraId="565A4B62" w14:textId="77777777" w:rsidR="00280F65" w:rsidRPr="00F03354" w:rsidRDefault="00280F65" w:rsidP="00280F65">
            <w:pPr>
              <w:spacing w:before="80" w:after="60"/>
              <w:rPr>
                <w:rFonts w:ascii="VIC" w:hAnsi="VIC"/>
              </w:rPr>
            </w:pPr>
            <w:r w:rsidRPr="00F03354">
              <w:rPr>
                <w:rFonts w:ascii="VIC" w:hAnsi="VIC"/>
              </w:rPr>
              <w:t>Percentage of patients on the waiting list who have waited longer than clinically recommended time for their respective triage category</w:t>
            </w:r>
          </w:p>
        </w:tc>
        <w:tc>
          <w:tcPr>
            <w:tcW w:w="1505" w:type="dxa"/>
            <w:shd w:val="clear" w:color="auto" w:fill="BDD6EE" w:themeFill="accent5" w:themeFillTint="66"/>
          </w:tcPr>
          <w:p w14:paraId="610ADF24" w14:textId="77777777" w:rsidR="00280F65" w:rsidRPr="00F03354" w:rsidRDefault="00280F65" w:rsidP="00280F65">
            <w:pPr>
              <w:spacing w:before="80" w:after="60"/>
              <w:jc w:val="right"/>
              <w:rPr>
                <w:rFonts w:ascii="VIC" w:hAnsi="VIC" w:cs="Arial"/>
              </w:rPr>
            </w:pPr>
            <w:r w:rsidRPr="00F03354">
              <w:rPr>
                <w:rFonts w:ascii="VIC" w:hAnsi="VIC" w:cs="Arial"/>
              </w:rPr>
              <w:t>5% or 15% proportional improvement from prior year</w:t>
            </w:r>
          </w:p>
        </w:tc>
      </w:tr>
      <w:tr w:rsidR="00296904" w:rsidRPr="00F03354" w14:paraId="4500DA15" w14:textId="77777777" w:rsidTr="43E0E1C9">
        <w:trPr>
          <w:gridBefore w:val="1"/>
          <w:wBefore w:w="9" w:type="dxa"/>
          <w:cantSplit/>
          <w:trHeight w:val="543"/>
        </w:trPr>
        <w:tc>
          <w:tcPr>
            <w:tcW w:w="1685" w:type="dxa"/>
            <w:gridSpan w:val="2"/>
            <w:vMerge/>
          </w:tcPr>
          <w:p w14:paraId="43EDAF78"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10715B40" w14:textId="77777777" w:rsidR="00280F65" w:rsidRPr="00F03354" w:rsidRDefault="00280F65" w:rsidP="00280F65">
            <w:pPr>
              <w:spacing w:before="80" w:after="60"/>
              <w:rPr>
                <w:rFonts w:ascii="VIC" w:hAnsi="VIC"/>
              </w:rPr>
            </w:pPr>
            <w:r w:rsidRPr="00F03354">
              <w:rPr>
                <w:rFonts w:ascii="VIC" w:hAnsi="VIC"/>
              </w:rPr>
              <w:t>HiPS</w:t>
            </w:r>
          </w:p>
        </w:tc>
        <w:tc>
          <w:tcPr>
            <w:tcW w:w="4965" w:type="dxa"/>
            <w:shd w:val="clear" w:color="auto" w:fill="BDD6EE" w:themeFill="accent5" w:themeFillTint="66"/>
          </w:tcPr>
          <w:p w14:paraId="67C652C1" w14:textId="77777777" w:rsidR="00280F65" w:rsidRPr="00F03354" w:rsidRDefault="00280F65" w:rsidP="00280F65">
            <w:pPr>
              <w:spacing w:before="80" w:after="60"/>
              <w:rPr>
                <w:rFonts w:ascii="VIC" w:hAnsi="VIC"/>
              </w:rPr>
            </w:pPr>
            <w:r w:rsidRPr="00F03354">
              <w:rPr>
                <w:rFonts w:ascii="VIC" w:hAnsi="VIC"/>
              </w:rPr>
              <w:t>Number of hospital-initiated postponements per 100 scheduled elective surgery admissions</w:t>
            </w:r>
          </w:p>
        </w:tc>
        <w:tc>
          <w:tcPr>
            <w:tcW w:w="1505" w:type="dxa"/>
            <w:shd w:val="clear" w:color="auto" w:fill="BDD6EE" w:themeFill="accent5" w:themeFillTint="66"/>
          </w:tcPr>
          <w:p w14:paraId="3E61B245" w14:textId="77777777" w:rsidR="00280F65" w:rsidRPr="00F03354" w:rsidRDefault="00280F65" w:rsidP="00280F65">
            <w:pPr>
              <w:spacing w:before="80" w:after="60"/>
              <w:jc w:val="right"/>
              <w:rPr>
                <w:rFonts w:ascii="VIC" w:hAnsi="VIC" w:cs="Arial"/>
              </w:rPr>
            </w:pPr>
            <w:r w:rsidRPr="00F03354">
              <w:rPr>
                <w:rFonts w:ascii="VIC" w:hAnsi="VIC" w:cs="Arial"/>
              </w:rPr>
              <w:t>≤ 7</w:t>
            </w:r>
          </w:p>
        </w:tc>
      </w:tr>
      <w:tr w:rsidR="000C09A2" w:rsidRPr="00F03354" w14:paraId="75341DD1" w14:textId="77777777" w:rsidTr="43E0E1C9">
        <w:trPr>
          <w:gridBefore w:val="1"/>
          <w:wBefore w:w="9" w:type="dxa"/>
          <w:cantSplit/>
          <w:trHeight w:val="543"/>
        </w:trPr>
        <w:tc>
          <w:tcPr>
            <w:tcW w:w="1685" w:type="dxa"/>
            <w:gridSpan w:val="2"/>
            <w:vMerge w:val="restart"/>
            <w:shd w:val="clear" w:color="auto" w:fill="BDD6EE" w:themeFill="accent5" w:themeFillTint="66"/>
          </w:tcPr>
          <w:p w14:paraId="4CBB2960" w14:textId="77777777" w:rsidR="00280F65" w:rsidRPr="00F03354" w:rsidRDefault="00280F65" w:rsidP="00280F65">
            <w:pPr>
              <w:spacing w:before="80" w:after="60"/>
              <w:rPr>
                <w:rFonts w:ascii="VIC" w:hAnsi="VIC"/>
              </w:rPr>
            </w:pPr>
            <w:r w:rsidRPr="00F03354">
              <w:rPr>
                <w:rFonts w:ascii="VIC" w:hAnsi="VIC"/>
              </w:rPr>
              <w:t>Specialist clinics</w:t>
            </w:r>
          </w:p>
        </w:tc>
        <w:tc>
          <w:tcPr>
            <w:tcW w:w="1920" w:type="dxa"/>
            <w:gridSpan w:val="2"/>
            <w:shd w:val="clear" w:color="auto" w:fill="BDD6EE" w:themeFill="accent5" w:themeFillTint="66"/>
          </w:tcPr>
          <w:p w14:paraId="432F283C" w14:textId="77777777" w:rsidR="00280F65" w:rsidRPr="00F03354" w:rsidRDefault="00280F65" w:rsidP="00280F65">
            <w:pPr>
              <w:spacing w:before="80" w:after="60"/>
              <w:rPr>
                <w:rFonts w:ascii="VIC" w:hAnsi="VIC"/>
              </w:rPr>
            </w:pPr>
            <w:r w:rsidRPr="00F03354">
              <w:rPr>
                <w:rFonts w:ascii="VIC" w:hAnsi="VIC"/>
              </w:rPr>
              <w:t>Waiting time</w:t>
            </w:r>
          </w:p>
        </w:tc>
        <w:tc>
          <w:tcPr>
            <w:tcW w:w="4965" w:type="dxa"/>
            <w:shd w:val="clear" w:color="auto" w:fill="BDD6EE" w:themeFill="accent5" w:themeFillTint="66"/>
          </w:tcPr>
          <w:p w14:paraId="03274FE8" w14:textId="77777777" w:rsidR="00280F65" w:rsidRPr="00F03354" w:rsidRDefault="00280F65" w:rsidP="00280F65">
            <w:pPr>
              <w:spacing w:before="80" w:after="60"/>
              <w:rPr>
                <w:rFonts w:ascii="VIC" w:hAnsi="VIC"/>
              </w:rPr>
            </w:pPr>
            <w:r w:rsidRPr="00F03354">
              <w:rPr>
                <w:rFonts w:ascii="VIC" w:hAnsi="VIC" w:cs="Arial"/>
              </w:rPr>
              <w:t>Percentage of urgent patients referred by a GP or external specialist who attended a first appointment within 30 days</w:t>
            </w:r>
          </w:p>
        </w:tc>
        <w:tc>
          <w:tcPr>
            <w:tcW w:w="1505" w:type="dxa"/>
            <w:shd w:val="clear" w:color="auto" w:fill="BDD6EE" w:themeFill="accent5" w:themeFillTint="66"/>
          </w:tcPr>
          <w:p w14:paraId="16311D0C" w14:textId="77777777" w:rsidR="00280F65" w:rsidRPr="00F03354" w:rsidRDefault="00280F65" w:rsidP="00280F65">
            <w:pPr>
              <w:spacing w:before="80" w:after="60"/>
              <w:jc w:val="right"/>
              <w:rPr>
                <w:rFonts w:ascii="VIC" w:hAnsi="VIC" w:cs="Arial"/>
              </w:rPr>
            </w:pPr>
            <w:r w:rsidRPr="00F03354">
              <w:rPr>
                <w:rFonts w:ascii="VIC" w:hAnsi="VIC" w:cs="Arial"/>
              </w:rPr>
              <w:t>100%</w:t>
            </w:r>
          </w:p>
        </w:tc>
      </w:tr>
      <w:tr w:rsidR="00296904" w:rsidRPr="00F03354" w14:paraId="00C7794E" w14:textId="77777777" w:rsidTr="43E0E1C9">
        <w:trPr>
          <w:gridBefore w:val="1"/>
          <w:wBefore w:w="9" w:type="dxa"/>
          <w:cantSplit/>
          <w:trHeight w:val="543"/>
        </w:trPr>
        <w:tc>
          <w:tcPr>
            <w:tcW w:w="1685" w:type="dxa"/>
            <w:gridSpan w:val="2"/>
            <w:vMerge/>
          </w:tcPr>
          <w:p w14:paraId="6B68BE34"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2C55C4A8" w14:textId="77777777" w:rsidR="00280F65" w:rsidRPr="00F03354" w:rsidRDefault="00280F65" w:rsidP="00280F65">
            <w:pPr>
              <w:spacing w:before="80" w:after="60"/>
              <w:rPr>
                <w:rFonts w:ascii="VIC" w:hAnsi="VIC"/>
              </w:rPr>
            </w:pPr>
            <w:r w:rsidRPr="00F03354">
              <w:rPr>
                <w:rFonts w:ascii="VIC" w:hAnsi="VIC"/>
              </w:rPr>
              <w:t>Waiting time</w:t>
            </w:r>
          </w:p>
        </w:tc>
        <w:tc>
          <w:tcPr>
            <w:tcW w:w="4965" w:type="dxa"/>
            <w:shd w:val="clear" w:color="auto" w:fill="BDD6EE" w:themeFill="accent5" w:themeFillTint="66"/>
          </w:tcPr>
          <w:p w14:paraId="71662CEE" w14:textId="77777777" w:rsidR="00280F65" w:rsidRPr="00F03354" w:rsidRDefault="00280F65" w:rsidP="00280F65">
            <w:pPr>
              <w:spacing w:before="80" w:after="60"/>
              <w:rPr>
                <w:rFonts w:ascii="VIC" w:hAnsi="VIC"/>
              </w:rPr>
            </w:pPr>
            <w:r w:rsidRPr="00F03354">
              <w:rPr>
                <w:rFonts w:ascii="VIC" w:hAnsi="VIC" w:cs="Arial"/>
              </w:rPr>
              <w:t>Percentage of routine patients referred by GP or external specialist who attended a first appointment within 365 days</w:t>
            </w:r>
          </w:p>
        </w:tc>
        <w:tc>
          <w:tcPr>
            <w:tcW w:w="1505" w:type="dxa"/>
            <w:shd w:val="clear" w:color="auto" w:fill="BDD6EE" w:themeFill="accent5" w:themeFillTint="66"/>
          </w:tcPr>
          <w:p w14:paraId="77D6A6BC" w14:textId="77777777" w:rsidR="00280F65" w:rsidRPr="00F03354" w:rsidRDefault="00280F65" w:rsidP="00280F65">
            <w:pPr>
              <w:spacing w:before="80" w:after="60"/>
              <w:jc w:val="right"/>
              <w:rPr>
                <w:rFonts w:ascii="VIC" w:hAnsi="VIC" w:cs="Arial"/>
              </w:rPr>
            </w:pPr>
            <w:r w:rsidRPr="00F03354">
              <w:rPr>
                <w:rFonts w:ascii="VIC" w:hAnsi="VIC" w:cs="Arial"/>
              </w:rPr>
              <w:t>90%</w:t>
            </w:r>
          </w:p>
        </w:tc>
      </w:tr>
      <w:tr w:rsidR="000C09A2" w:rsidRPr="00F03354" w14:paraId="2D96B989" w14:textId="77777777" w:rsidTr="43E0E1C9">
        <w:trPr>
          <w:gridBefore w:val="1"/>
          <w:wBefore w:w="9" w:type="dxa"/>
          <w:cantSplit/>
          <w:trHeight w:val="543"/>
        </w:trPr>
        <w:tc>
          <w:tcPr>
            <w:tcW w:w="1685" w:type="dxa"/>
            <w:gridSpan w:val="2"/>
            <w:vMerge w:val="restart"/>
            <w:shd w:val="clear" w:color="auto" w:fill="BDD6EE" w:themeFill="accent5" w:themeFillTint="66"/>
          </w:tcPr>
          <w:p w14:paraId="7F855450" w14:textId="77777777" w:rsidR="00280F65" w:rsidRPr="00F03354" w:rsidRDefault="00280F65" w:rsidP="00280F65">
            <w:pPr>
              <w:spacing w:before="80" w:after="60"/>
              <w:rPr>
                <w:rFonts w:ascii="VIC" w:hAnsi="VIC"/>
              </w:rPr>
            </w:pPr>
            <w:r w:rsidRPr="00F03354">
              <w:rPr>
                <w:rFonts w:ascii="VIC" w:hAnsi="VIC"/>
              </w:rPr>
              <w:t>Ambulance Victoria</w:t>
            </w:r>
          </w:p>
        </w:tc>
        <w:tc>
          <w:tcPr>
            <w:tcW w:w="1920" w:type="dxa"/>
            <w:gridSpan w:val="2"/>
            <w:vMerge w:val="restart"/>
            <w:shd w:val="clear" w:color="auto" w:fill="BDD6EE" w:themeFill="accent5" w:themeFillTint="66"/>
          </w:tcPr>
          <w:p w14:paraId="39007CFF" w14:textId="77777777" w:rsidR="00280F65" w:rsidRPr="00F03354" w:rsidRDefault="00280F65" w:rsidP="00280F65">
            <w:pPr>
              <w:spacing w:before="80" w:after="60"/>
              <w:rPr>
                <w:rFonts w:ascii="VIC" w:hAnsi="VIC"/>
              </w:rPr>
            </w:pPr>
            <w:r w:rsidRPr="00F03354">
              <w:rPr>
                <w:rFonts w:ascii="VIC" w:hAnsi="VIC"/>
              </w:rPr>
              <w:t>Response times statewide</w:t>
            </w:r>
          </w:p>
        </w:tc>
        <w:tc>
          <w:tcPr>
            <w:tcW w:w="4965" w:type="dxa"/>
            <w:shd w:val="clear" w:color="auto" w:fill="BDD6EE" w:themeFill="accent5" w:themeFillTint="66"/>
          </w:tcPr>
          <w:p w14:paraId="62C81249" w14:textId="77777777" w:rsidR="00280F65" w:rsidRPr="00F03354" w:rsidRDefault="00280F65" w:rsidP="00280F65">
            <w:pPr>
              <w:spacing w:before="80" w:after="60"/>
              <w:rPr>
                <w:rFonts w:ascii="VIC" w:hAnsi="VIC" w:cs="Arial"/>
              </w:rPr>
            </w:pPr>
            <w:r w:rsidRPr="00F03354">
              <w:rPr>
                <w:rFonts w:ascii="VIC" w:hAnsi="VIC" w:cs="Arial"/>
              </w:rPr>
              <w:t>Percentage of emergency (Code 1) incidents responded to within 15 minutes</w:t>
            </w:r>
          </w:p>
        </w:tc>
        <w:tc>
          <w:tcPr>
            <w:tcW w:w="1505" w:type="dxa"/>
            <w:shd w:val="clear" w:color="auto" w:fill="BDD6EE" w:themeFill="accent5" w:themeFillTint="66"/>
          </w:tcPr>
          <w:p w14:paraId="30725795" w14:textId="77777777" w:rsidR="00280F65" w:rsidRPr="00F03354" w:rsidRDefault="00280F65" w:rsidP="00280F65">
            <w:pPr>
              <w:spacing w:before="80" w:after="60"/>
              <w:jc w:val="right"/>
              <w:rPr>
                <w:rFonts w:ascii="VIC" w:hAnsi="VIC" w:cs="Arial"/>
              </w:rPr>
            </w:pPr>
            <w:r w:rsidRPr="00F03354">
              <w:rPr>
                <w:rFonts w:ascii="VIC" w:hAnsi="VIC" w:cs="Arial"/>
              </w:rPr>
              <w:t>85%</w:t>
            </w:r>
          </w:p>
        </w:tc>
      </w:tr>
      <w:tr w:rsidR="00296904" w:rsidRPr="00F03354" w14:paraId="1BD60B9E" w14:textId="77777777" w:rsidTr="43E0E1C9">
        <w:trPr>
          <w:gridBefore w:val="1"/>
          <w:wBefore w:w="9" w:type="dxa"/>
          <w:cantSplit/>
          <w:trHeight w:val="543"/>
        </w:trPr>
        <w:tc>
          <w:tcPr>
            <w:tcW w:w="1685" w:type="dxa"/>
            <w:gridSpan w:val="2"/>
            <w:vMerge/>
          </w:tcPr>
          <w:p w14:paraId="0A587E69" w14:textId="77777777" w:rsidR="00280F65" w:rsidRPr="00F03354" w:rsidRDefault="00280F65" w:rsidP="00280F65">
            <w:pPr>
              <w:spacing w:before="80" w:after="60"/>
              <w:rPr>
                <w:rFonts w:ascii="VIC" w:hAnsi="VIC"/>
              </w:rPr>
            </w:pPr>
          </w:p>
        </w:tc>
        <w:tc>
          <w:tcPr>
            <w:tcW w:w="1920" w:type="dxa"/>
            <w:gridSpan w:val="2"/>
            <w:vMerge/>
          </w:tcPr>
          <w:p w14:paraId="7FF63A1D" w14:textId="77777777" w:rsidR="00280F65" w:rsidRPr="00F03354" w:rsidRDefault="00280F65" w:rsidP="00280F65">
            <w:pPr>
              <w:spacing w:before="80" w:after="60"/>
              <w:rPr>
                <w:rFonts w:ascii="VIC" w:hAnsi="VIC"/>
              </w:rPr>
            </w:pPr>
          </w:p>
        </w:tc>
        <w:tc>
          <w:tcPr>
            <w:tcW w:w="4965" w:type="dxa"/>
            <w:shd w:val="clear" w:color="auto" w:fill="BDD6EE" w:themeFill="accent5" w:themeFillTint="66"/>
          </w:tcPr>
          <w:p w14:paraId="24205EAD" w14:textId="77777777" w:rsidR="00280F65" w:rsidRPr="00F03354" w:rsidRDefault="00280F65" w:rsidP="00280F65">
            <w:pPr>
              <w:spacing w:before="80" w:after="60"/>
              <w:rPr>
                <w:rFonts w:ascii="VIC" w:hAnsi="VIC" w:cs="Arial"/>
              </w:rPr>
            </w:pPr>
            <w:r w:rsidRPr="00F03354">
              <w:rPr>
                <w:rFonts w:ascii="VIC" w:hAnsi="VIC" w:cs="Arial"/>
              </w:rPr>
              <w:t>Percentage of emergency (Priority 0) incidents responded to within 13 minutes</w:t>
            </w:r>
          </w:p>
        </w:tc>
        <w:tc>
          <w:tcPr>
            <w:tcW w:w="1505" w:type="dxa"/>
            <w:shd w:val="clear" w:color="auto" w:fill="BDD6EE" w:themeFill="accent5" w:themeFillTint="66"/>
          </w:tcPr>
          <w:p w14:paraId="08DCDB4F" w14:textId="77777777" w:rsidR="00280F65" w:rsidRPr="00F03354" w:rsidRDefault="00280F65" w:rsidP="00280F65">
            <w:pPr>
              <w:spacing w:before="80" w:after="60"/>
              <w:jc w:val="right"/>
              <w:rPr>
                <w:rFonts w:ascii="VIC" w:hAnsi="VIC" w:cs="Arial"/>
              </w:rPr>
            </w:pPr>
            <w:r w:rsidRPr="00F03354">
              <w:rPr>
                <w:rFonts w:ascii="VIC" w:hAnsi="VIC" w:cs="Arial"/>
              </w:rPr>
              <w:t>85%</w:t>
            </w:r>
          </w:p>
        </w:tc>
      </w:tr>
      <w:tr w:rsidR="00296904" w:rsidRPr="00F03354" w14:paraId="3659E178" w14:textId="77777777" w:rsidTr="43E0E1C9">
        <w:trPr>
          <w:gridBefore w:val="1"/>
          <w:wBefore w:w="9" w:type="dxa"/>
          <w:cantSplit/>
          <w:trHeight w:val="543"/>
        </w:trPr>
        <w:tc>
          <w:tcPr>
            <w:tcW w:w="1685" w:type="dxa"/>
            <w:gridSpan w:val="2"/>
            <w:vMerge/>
          </w:tcPr>
          <w:p w14:paraId="7D885C6D"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734EABFE" w14:textId="77777777" w:rsidR="00280F65" w:rsidRPr="00F03354" w:rsidRDefault="00280F65" w:rsidP="00280F65">
            <w:pPr>
              <w:spacing w:before="80" w:after="60"/>
              <w:rPr>
                <w:rFonts w:ascii="VIC" w:hAnsi="VIC"/>
              </w:rPr>
            </w:pPr>
            <w:r w:rsidRPr="00F03354">
              <w:rPr>
                <w:rFonts w:ascii="VIC" w:hAnsi="VIC"/>
              </w:rPr>
              <w:t>Response times urban</w:t>
            </w:r>
          </w:p>
        </w:tc>
        <w:tc>
          <w:tcPr>
            <w:tcW w:w="4965" w:type="dxa"/>
            <w:shd w:val="clear" w:color="auto" w:fill="BDD6EE" w:themeFill="accent5" w:themeFillTint="66"/>
          </w:tcPr>
          <w:p w14:paraId="2C292CC8" w14:textId="77777777" w:rsidR="00280F65" w:rsidRPr="00F03354" w:rsidRDefault="00280F65" w:rsidP="00280F65">
            <w:pPr>
              <w:spacing w:before="80" w:after="60"/>
              <w:rPr>
                <w:rFonts w:ascii="VIC" w:hAnsi="VIC" w:cs="Arial"/>
              </w:rPr>
            </w:pPr>
            <w:r w:rsidRPr="00F03354">
              <w:rPr>
                <w:rFonts w:ascii="VIC" w:hAnsi="VIC" w:cs="Arial"/>
              </w:rPr>
              <w:t>Percentage of emergency (Code 1) incidents responded to within 15 minutes in centres with a population greater than 7,500</w:t>
            </w:r>
          </w:p>
        </w:tc>
        <w:tc>
          <w:tcPr>
            <w:tcW w:w="1505" w:type="dxa"/>
            <w:shd w:val="clear" w:color="auto" w:fill="BDD6EE" w:themeFill="accent5" w:themeFillTint="66"/>
          </w:tcPr>
          <w:p w14:paraId="42A7B1B9" w14:textId="77777777" w:rsidR="00280F65" w:rsidRPr="00F03354" w:rsidRDefault="00280F65" w:rsidP="00280F65">
            <w:pPr>
              <w:spacing w:before="80" w:after="60"/>
              <w:jc w:val="right"/>
              <w:rPr>
                <w:rFonts w:ascii="VIC" w:hAnsi="VIC" w:cs="Arial"/>
              </w:rPr>
            </w:pPr>
            <w:r w:rsidRPr="00F03354">
              <w:rPr>
                <w:rFonts w:ascii="VIC" w:hAnsi="VIC" w:cs="Arial"/>
              </w:rPr>
              <w:t>90%</w:t>
            </w:r>
          </w:p>
        </w:tc>
      </w:tr>
      <w:tr w:rsidR="00296904" w:rsidRPr="00F03354" w14:paraId="62DB0735" w14:textId="77777777" w:rsidTr="43E0E1C9">
        <w:trPr>
          <w:gridBefore w:val="1"/>
          <w:wBefore w:w="9" w:type="dxa"/>
          <w:cantSplit/>
          <w:trHeight w:val="543"/>
        </w:trPr>
        <w:tc>
          <w:tcPr>
            <w:tcW w:w="1685" w:type="dxa"/>
            <w:gridSpan w:val="2"/>
            <w:vMerge/>
          </w:tcPr>
          <w:p w14:paraId="312B9B93"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70FC2E37" w14:textId="77777777" w:rsidR="00280F65" w:rsidRPr="00F03354" w:rsidRDefault="00280F65" w:rsidP="00280F65">
            <w:pPr>
              <w:spacing w:before="80" w:after="60"/>
              <w:rPr>
                <w:rFonts w:ascii="VIC" w:hAnsi="VIC"/>
              </w:rPr>
            </w:pPr>
            <w:r w:rsidRPr="00F03354">
              <w:rPr>
                <w:rFonts w:ascii="VIC" w:hAnsi="VIC"/>
              </w:rPr>
              <w:t>Call referral</w:t>
            </w:r>
          </w:p>
        </w:tc>
        <w:tc>
          <w:tcPr>
            <w:tcW w:w="4965" w:type="dxa"/>
            <w:shd w:val="clear" w:color="auto" w:fill="BDD6EE" w:themeFill="accent5" w:themeFillTint="66"/>
          </w:tcPr>
          <w:p w14:paraId="1585EFB1" w14:textId="77777777" w:rsidR="00280F65" w:rsidRPr="00F03354" w:rsidRDefault="00280F65" w:rsidP="00280F65">
            <w:pPr>
              <w:spacing w:before="80" w:after="60"/>
              <w:rPr>
                <w:rFonts w:ascii="VIC" w:hAnsi="VIC" w:cs="Arial"/>
              </w:rPr>
            </w:pPr>
            <w:r w:rsidRPr="00F03354">
              <w:rPr>
                <w:rFonts w:ascii="VIC" w:hAnsi="VIC" w:cs="Arial"/>
              </w:rPr>
              <w:t>Percentage of triple zero events where the caller receives advice or service from another health provider as an alternative to emergency ambulance response – statewide</w:t>
            </w:r>
          </w:p>
        </w:tc>
        <w:tc>
          <w:tcPr>
            <w:tcW w:w="1505" w:type="dxa"/>
            <w:shd w:val="clear" w:color="auto" w:fill="BDD6EE" w:themeFill="accent5" w:themeFillTint="66"/>
          </w:tcPr>
          <w:p w14:paraId="4E490894" w14:textId="77777777" w:rsidR="00280F65" w:rsidRPr="00F03354" w:rsidRDefault="00280F65" w:rsidP="00280F65">
            <w:pPr>
              <w:spacing w:before="80" w:after="60"/>
              <w:jc w:val="right"/>
              <w:rPr>
                <w:rFonts w:ascii="VIC" w:hAnsi="VIC" w:cs="Arial"/>
              </w:rPr>
            </w:pPr>
            <w:r w:rsidRPr="00F03354">
              <w:rPr>
                <w:rFonts w:ascii="VIC" w:hAnsi="VIC" w:cs="Arial"/>
              </w:rPr>
              <w:t>15%</w:t>
            </w:r>
          </w:p>
        </w:tc>
      </w:tr>
      <w:tr w:rsidR="00296904" w:rsidRPr="00F03354" w14:paraId="762FEF07" w14:textId="77777777" w:rsidTr="43E0E1C9">
        <w:trPr>
          <w:gridBefore w:val="1"/>
          <w:wBefore w:w="9" w:type="dxa"/>
          <w:cantSplit/>
          <w:trHeight w:val="543"/>
        </w:trPr>
        <w:tc>
          <w:tcPr>
            <w:tcW w:w="1685" w:type="dxa"/>
            <w:gridSpan w:val="2"/>
            <w:vMerge/>
          </w:tcPr>
          <w:p w14:paraId="07B0563F" w14:textId="77777777" w:rsidR="00280F65" w:rsidRPr="00F03354" w:rsidRDefault="00280F65" w:rsidP="00280F65">
            <w:pPr>
              <w:spacing w:before="80" w:after="60"/>
              <w:rPr>
                <w:rFonts w:ascii="VIC" w:hAnsi="VIC"/>
              </w:rPr>
            </w:pPr>
          </w:p>
        </w:tc>
        <w:tc>
          <w:tcPr>
            <w:tcW w:w="1920" w:type="dxa"/>
            <w:gridSpan w:val="2"/>
            <w:shd w:val="clear" w:color="auto" w:fill="BDD6EE" w:themeFill="accent5" w:themeFillTint="66"/>
          </w:tcPr>
          <w:p w14:paraId="12E96823" w14:textId="77777777" w:rsidR="00280F65" w:rsidRPr="00F03354" w:rsidRDefault="00280F65" w:rsidP="00280F65">
            <w:pPr>
              <w:spacing w:before="80" w:after="60"/>
              <w:rPr>
                <w:rFonts w:ascii="VIC" w:hAnsi="VIC"/>
              </w:rPr>
            </w:pPr>
            <w:r w:rsidRPr="00F03354">
              <w:rPr>
                <w:rFonts w:ascii="VIC" w:hAnsi="VIC"/>
              </w:rPr>
              <w:t>Clearing time</w:t>
            </w:r>
          </w:p>
        </w:tc>
        <w:tc>
          <w:tcPr>
            <w:tcW w:w="4965" w:type="dxa"/>
            <w:shd w:val="clear" w:color="auto" w:fill="BDD6EE" w:themeFill="accent5" w:themeFillTint="66"/>
          </w:tcPr>
          <w:p w14:paraId="1F4CB180" w14:textId="77777777" w:rsidR="00280F65" w:rsidRPr="00F03354" w:rsidRDefault="00280F65" w:rsidP="00280F65">
            <w:pPr>
              <w:spacing w:before="80" w:after="60"/>
              <w:rPr>
                <w:rFonts w:ascii="VIC" w:hAnsi="VIC" w:cs="Arial"/>
              </w:rPr>
            </w:pPr>
            <w:r w:rsidRPr="00F03354">
              <w:rPr>
                <w:rFonts w:ascii="VIC" w:hAnsi="VIC" w:cs="Arial"/>
              </w:rPr>
              <w:t>Average ambulance hospital clearing time</w:t>
            </w:r>
          </w:p>
        </w:tc>
        <w:tc>
          <w:tcPr>
            <w:tcW w:w="1505" w:type="dxa"/>
            <w:shd w:val="clear" w:color="auto" w:fill="BDD6EE" w:themeFill="accent5" w:themeFillTint="66"/>
          </w:tcPr>
          <w:p w14:paraId="5C424A79" w14:textId="77777777" w:rsidR="00280F65" w:rsidRPr="00F03354" w:rsidRDefault="00280F65" w:rsidP="00280F65">
            <w:pPr>
              <w:spacing w:before="80" w:after="60"/>
              <w:jc w:val="right"/>
              <w:rPr>
                <w:rFonts w:ascii="VIC" w:hAnsi="VIC" w:cs="Arial"/>
              </w:rPr>
            </w:pPr>
            <w:r w:rsidRPr="00F03354">
              <w:rPr>
                <w:rFonts w:ascii="VIC" w:hAnsi="VIC" w:cs="Arial"/>
              </w:rPr>
              <w:t>20 minutes</w:t>
            </w:r>
          </w:p>
        </w:tc>
      </w:tr>
      <w:tr w:rsidR="000C09A2" w:rsidRPr="00F03354" w14:paraId="07164E5A" w14:textId="77777777" w:rsidTr="43E0E1C9">
        <w:trPr>
          <w:gridBefore w:val="1"/>
          <w:wBefore w:w="9" w:type="dxa"/>
          <w:cantSplit/>
          <w:trHeight w:val="543"/>
        </w:trPr>
        <w:tc>
          <w:tcPr>
            <w:tcW w:w="1685" w:type="dxa"/>
            <w:gridSpan w:val="2"/>
            <w:vMerge w:val="restart"/>
            <w:shd w:val="clear" w:color="auto" w:fill="BDD6EE" w:themeFill="accent5" w:themeFillTint="66"/>
          </w:tcPr>
          <w:p w14:paraId="27F1CF0A" w14:textId="3CB08495" w:rsidR="00280F65" w:rsidRPr="00F03354" w:rsidRDefault="00280F65" w:rsidP="00280F65">
            <w:pPr>
              <w:spacing w:before="80" w:after="60"/>
              <w:rPr>
                <w:rFonts w:ascii="VIC" w:hAnsi="VIC"/>
              </w:rPr>
            </w:pPr>
            <w:r w:rsidRPr="00F03354">
              <w:rPr>
                <w:rFonts w:ascii="VIC" w:hAnsi="VIC"/>
              </w:rPr>
              <w:t>Forensicare</w:t>
            </w:r>
          </w:p>
        </w:tc>
        <w:tc>
          <w:tcPr>
            <w:tcW w:w="1920" w:type="dxa"/>
            <w:gridSpan w:val="2"/>
            <w:vMerge w:val="restart"/>
            <w:shd w:val="clear" w:color="auto" w:fill="BDD6EE" w:themeFill="accent5" w:themeFillTint="66"/>
          </w:tcPr>
          <w:p w14:paraId="02A070E7" w14:textId="77777777" w:rsidR="00280F65" w:rsidRPr="00F03354" w:rsidRDefault="00280F65" w:rsidP="00280F65">
            <w:pPr>
              <w:spacing w:before="80" w:after="60"/>
              <w:rPr>
                <w:rFonts w:ascii="VIC" w:hAnsi="VIC"/>
              </w:rPr>
            </w:pPr>
            <w:r w:rsidRPr="00F03354">
              <w:rPr>
                <w:rFonts w:ascii="VIC" w:hAnsi="VIC"/>
              </w:rPr>
              <w:t>Admissions to Thomas Embling Hospital</w:t>
            </w:r>
          </w:p>
        </w:tc>
        <w:tc>
          <w:tcPr>
            <w:tcW w:w="4965" w:type="dxa"/>
            <w:shd w:val="clear" w:color="auto" w:fill="BDD6EE" w:themeFill="accent5" w:themeFillTint="66"/>
          </w:tcPr>
          <w:p w14:paraId="6017FF38" w14:textId="77777777" w:rsidR="00280F65" w:rsidRPr="00F03354" w:rsidRDefault="00280F65" w:rsidP="00280F65">
            <w:pPr>
              <w:spacing w:before="80" w:after="60"/>
              <w:rPr>
                <w:rFonts w:ascii="VIC" w:hAnsi="VIC" w:cs="Arial"/>
              </w:rPr>
            </w:pPr>
            <w:r w:rsidRPr="00F03354">
              <w:rPr>
                <w:rFonts w:ascii="VIC" w:hAnsi="VIC" w:cs="Arial"/>
              </w:rPr>
              <w:t>Number of male security patients admitted to Thomas Embling Hospital (TEH) Male Acute Units – Security</w:t>
            </w:r>
          </w:p>
        </w:tc>
        <w:tc>
          <w:tcPr>
            <w:tcW w:w="1505" w:type="dxa"/>
            <w:shd w:val="clear" w:color="auto" w:fill="BDD6EE" w:themeFill="accent5" w:themeFillTint="66"/>
          </w:tcPr>
          <w:p w14:paraId="13A6F51E" w14:textId="77777777" w:rsidR="00280F65" w:rsidRPr="00F03354" w:rsidRDefault="00280F65" w:rsidP="00280F65">
            <w:pPr>
              <w:spacing w:before="80" w:after="60"/>
              <w:jc w:val="right"/>
              <w:rPr>
                <w:rFonts w:ascii="VIC" w:hAnsi="VIC" w:cs="Arial"/>
              </w:rPr>
            </w:pPr>
            <w:r w:rsidRPr="00F03354">
              <w:rPr>
                <w:rFonts w:ascii="VIC" w:hAnsi="VIC" w:cs="Arial"/>
              </w:rPr>
              <w:t>20</w:t>
            </w:r>
          </w:p>
        </w:tc>
      </w:tr>
      <w:tr w:rsidR="00296904" w:rsidRPr="00F03354" w14:paraId="43F88517" w14:textId="77777777" w:rsidTr="43E0E1C9">
        <w:trPr>
          <w:gridBefore w:val="1"/>
          <w:wBefore w:w="9" w:type="dxa"/>
          <w:cantSplit/>
          <w:trHeight w:val="543"/>
        </w:trPr>
        <w:tc>
          <w:tcPr>
            <w:tcW w:w="1685" w:type="dxa"/>
            <w:gridSpan w:val="2"/>
            <w:vMerge/>
          </w:tcPr>
          <w:p w14:paraId="7DC88CFC" w14:textId="77777777" w:rsidR="00280F65" w:rsidRPr="00F03354" w:rsidRDefault="00280F65" w:rsidP="00280F65">
            <w:pPr>
              <w:spacing w:before="80" w:after="60"/>
              <w:rPr>
                <w:rFonts w:ascii="VIC" w:hAnsi="VIC"/>
              </w:rPr>
            </w:pPr>
          </w:p>
        </w:tc>
        <w:tc>
          <w:tcPr>
            <w:tcW w:w="1920" w:type="dxa"/>
            <w:gridSpan w:val="2"/>
            <w:vMerge/>
          </w:tcPr>
          <w:p w14:paraId="11D5ABE4" w14:textId="77777777" w:rsidR="00280F65" w:rsidRPr="00F03354" w:rsidRDefault="00280F65" w:rsidP="00280F65">
            <w:pPr>
              <w:spacing w:before="80" w:after="60"/>
              <w:rPr>
                <w:rFonts w:ascii="VIC" w:hAnsi="VIC"/>
              </w:rPr>
            </w:pPr>
          </w:p>
        </w:tc>
        <w:tc>
          <w:tcPr>
            <w:tcW w:w="4965" w:type="dxa"/>
            <w:shd w:val="clear" w:color="auto" w:fill="BDD6EE" w:themeFill="accent5" w:themeFillTint="66"/>
          </w:tcPr>
          <w:p w14:paraId="4D30058C" w14:textId="3AC972A5" w:rsidR="00280F65" w:rsidRPr="00F03354" w:rsidRDefault="00280F65" w:rsidP="00280F65">
            <w:pPr>
              <w:spacing w:before="80" w:after="60"/>
              <w:rPr>
                <w:rFonts w:ascii="VIC" w:hAnsi="VIC" w:cs="Arial"/>
              </w:rPr>
            </w:pPr>
            <w:r w:rsidRPr="00F03354">
              <w:rPr>
                <w:rFonts w:ascii="VIC" w:hAnsi="VIC" w:cs="Arial"/>
              </w:rPr>
              <w:t xml:space="preserve">Percentage of male Security Patients admitted to Thomas Embling Hospital within </w:t>
            </w:r>
            <w:r w:rsidR="00953644" w:rsidRPr="00F03354">
              <w:rPr>
                <w:rFonts w:ascii="VIC" w:hAnsi="VIC" w:cs="Arial"/>
              </w:rPr>
              <w:t>7</w:t>
            </w:r>
            <w:r w:rsidRPr="00F03354">
              <w:rPr>
                <w:rFonts w:ascii="VIC" w:hAnsi="VIC" w:cs="Arial"/>
              </w:rPr>
              <w:t xml:space="preserve"> days of certification</w:t>
            </w:r>
          </w:p>
        </w:tc>
        <w:tc>
          <w:tcPr>
            <w:tcW w:w="1505" w:type="dxa"/>
            <w:shd w:val="clear" w:color="auto" w:fill="BDD6EE" w:themeFill="accent5" w:themeFillTint="66"/>
          </w:tcPr>
          <w:p w14:paraId="46519CC8" w14:textId="45F6F647" w:rsidR="00280F65" w:rsidRPr="00F03354" w:rsidRDefault="00953644" w:rsidP="00280F65">
            <w:pPr>
              <w:spacing w:before="80" w:after="60"/>
              <w:jc w:val="right"/>
              <w:rPr>
                <w:rFonts w:ascii="VIC" w:hAnsi="VIC" w:cs="Arial"/>
              </w:rPr>
            </w:pPr>
            <w:r w:rsidRPr="00F03354">
              <w:rPr>
                <w:rFonts w:ascii="VIC" w:hAnsi="VIC" w:cs="Arial"/>
              </w:rPr>
              <w:t>8</w:t>
            </w:r>
            <w:r w:rsidR="00280F65" w:rsidRPr="00F03354">
              <w:rPr>
                <w:rFonts w:ascii="VIC" w:hAnsi="VIC" w:cs="Arial"/>
              </w:rPr>
              <w:t>0%</w:t>
            </w:r>
          </w:p>
        </w:tc>
      </w:tr>
      <w:tr w:rsidR="00296904" w:rsidRPr="00F03354" w14:paraId="63C75458" w14:textId="77777777" w:rsidTr="43E0E1C9">
        <w:trPr>
          <w:gridBefore w:val="1"/>
          <w:wBefore w:w="9" w:type="dxa"/>
          <w:cantSplit/>
          <w:trHeight w:val="543"/>
        </w:trPr>
        <w:tc>
          <w:tcPr>
            <w:tcW w:w="1685" w:type="dxa"/>
            <w:gridSpan w:val="2"/>
            <w:vMerge/>
          </w:tcPr>
          <w:p w14:paraId="3016946E" w14:textId="77777777" w:rsidR="00280F65" w:rsidRPr="00F03354" w:rsidRDefault="00280F65" w:rsidP="00280F65">
            <w:pPr>
              <w:spacing w:before="80" w:after="60"/>
              <w:rPr>
                <w:rFonts w:ascii="VIC" w:hAnsi="VIC"/>
              </w:rPr>
            </w:pPr>
          </w:p>
        </w:tc>
        <w:tc>
          <w:tcPr>
            <w:tcW w:w="1920" w:type="dxa"/>
            <w:gridSpan w:val="2"/>
            <w:vMerge w:val="restart"/>
            <w:shd w:val="clear" w:color="auto" w:fill="BDD6EE" w:themeFill="accent5" w:themeFillTint="66"/>
          </w:tcPr>
          <w:p w14:paraId="6D4907F7" w14:textId="77777777" w:rsidR="00280F65" w:rsidRPr="00F03354" w:rsidRDefault="00280F65" w:rsidP="00280F65">
            <w:pPr>
              <w:spacing w:before="80" w:after="60"/>
              <w:rPr>
                <w:rFonts w:ascii="VIC" w:hAnsi="VIC"/>
              </w:rPr>
            </w:pPr>
            <w:r w:rsidRPr="00F03354">
              <w:rPr>
                <w:rFonts w:ascii="VIC" w:hAnsi="VIC"/>
              </w:rPr>
              <w:t>Male security patient acute length of stay: Thomas Embling Hospital</w:t>
            </w:r>
          </w:p>
        </w:tc>
        <w:tc>
          <w:tcPr>
            <w:tcW w:w="4965" w:type="dxa"/>
            <w:shd w:val="clear" w:color="auto" w:fill="BDD6EE" w:themeFill="accent5" w:themeFillTint="66"/>
          </w:tcPr>
          <w:p w14:paraId="25C37DED" w14:textId="038F723A" w:rsidR="00280F65" w:rsidRPr="00F03354" w:rsidRDefault="00280F65" w:rsidP="00280F65">
            <w:pPr>
              <w:spacing w:before="80" w:after="60"/>
              <w:rPr>
                <w:rFonts w:ascii="VIC" w:hAnsi="VIC" w:cs="Arial"/>
              </w:rPr>
            </w:pPr>
            <w:r w:rsidRPr="00F03354">
              <w:rPr>
                <w:rFonts w:ascii="VIC" w:hAnsi="VIC" w:cs="Arial"/>
              </w:rPr>
              <w:t xml:space="preserve">Percentage of male security patients discharged from Thomas Embling Hospital to a correctional centre within </w:t>
            </w:r>
            <w:r w:rsidR="00953644" w:rsidRPr="00F03354">
              <w:rPr>
                <w:rFonts w:ascii="VIC" w:hAnsi="VIC" w:cs="Arial"/>
              </w:rPr>
              <w:t>21</w:t>
            </w:r>
            <w:r w:rsidRPr="00F03354">
              <w:rPr>
                <w:rFonts w:ascii="VIC" w:hAnsi="VIC" w:cs="Arial"/>
              </w:rPr>
              <w:t xml:space="preserve"> days</w:t>
            </w:r>
          </w:p>
        </w:tc>
        <w:tc>
          <w:tcPr>
            <w:tcW w:w="1505" w:type="dxa"/>
            <w:shd w:val="clear" w:color="auto" w:fill="BDD6EE" w:themeFill="accent5" w:themeFillTint="66"/>
          </w:tcPr>
          <w:p w14:paraId="57C2B5DA" w14:textId="32858233" w:rsidR="00280F65" w:rsidRPr="00F03354" w:rsidRDefault="00953644" w:rsidP="00280F65">
            <w:pPr>
              <w:spacing w:before="80" w:after="60"/>
              <w:jc w:val="right"/>
              <w:rPr>
                <w:rFonts w:ascii="VIC" w:hAnsi="VIC" w:cs="Arial"/>
              </w:rPr>
            </w:pPr>
            <w:r w:rsidRPr="00F03354">
              <w:rPr>
                <w:rFonts w:ascii="VIC" w:hAnsi="VIC" w:cs="Arial"/>
              </w:rPr>
              <w:t>80</w:t>
            </w:r>
            <w:r w:rsidR="00280F65" w:rsidRPr="00F03354">
              <w:rPr>
                <w:rFonts w:ascii="VIC" w:hAnsi="VIC" w:cs="Arial"/>
              </w:rPr>
              <w:t>%</w:t>
            </w:r>
          </w:p>
        </w:tc>
      </w:tr>
      <w:tr w:rsidR="00296904" w:rsidRPr="00F03354" w14:paraId="7BB060D5" w14:textId="77777777" w:rsidTr="43E0E1C9">
        <w:trPr>
          <w:gridBefore w:val="1"/>
          <w:wBefore w:w="9" w:type="dxa"/>
          <w:cantSplit/>
          <w:trHeight w:val="543"/>
        </w:trPr>
        <w:tc>
          <w:tcPr>
            <w:tcW w:w="1685" w:type="dxa"/>
            <w:gridSpan w:val="2"/>
            <w:vMerge/>
          </w:tcPr>
          <w:p w14:paraId="70FBA03D" w14:textId="77777777" w:rsidR="00280F65" w:rsidRPr="00F03354" w:rsidRDefault="00280F65" w:rsidP="00280F65">
            <w:pPr>
              <w:spacing w:before="80" w:after="60"/>
              <w:rPr>
                <w:rFonts w:ascii="VIC" w:hAnsi="VIC"/>
              </w:rPr>
            </w:pPr>
          </w:p>
        </w:tc>
        <w:tc>
          <w:tcPr>
            <w:tcW w:w="1920" w:type="dxa"/>
            <w:gridSpan w:val="2"/>
            <w:vMerge/>
          </w:tcPr>
          <w:p w14:paraId="003F3010" w14:textId="77777777" w:rsidR="00280F65" w:rsidRPr="00F03354" w:rsidRDefault="00280F65" w:rsidP="00280F65">
            <w:pPr>
              <w:spacing w:before="80" w:after="60"/>
              <w:rPr>
                <w:rFonts w:ascii="VIC" w:hAnsi="VIC"/>
              </w:rPr>
            </w:pPr>
          </w:p>
        </w:tc>
        <w:tc>
          <w:tcPr>
            <w:tcW w:w="4965" w:type="dxa"/>
            <w:shd w:val="clear" w:color="auto" w:fill="BDD6EE" w:themeFill="accent5" w:themeFillTint="66"/>
          </w:tcPr>
          <w:p w14:paraId="13237882" w14:textId="353BE943" w:rsidR="00280F65" w:rsidRPr="00F03354" w:rsidRDefault="00280F65" w:rsidP="00280F65">
            <w:pPr>
              <w:spacing w:before="80" w:after="60"/>
              <w:rPr>
                <w:rFonts w:ascii="VIC" w:hAnsi="VIC" w:cs="Arial"/>
              </w:rPr>
            </w:pPr>
            <w:r w:rsidRPr="00F03354">
              <w:rPr>
                <w:rFonts w:ascii="VIC" w:hAnsi="VIC" w:cs="Arial"/>
              </w:rPr>
              <w:t xml:space="preserve">Percentage of male security patients discharged within </w:t>
            </w:r>
            <w:r w:rsidR="00953644" w:rsidRPr="00F03354">
              <w:rPr>
                <w:rFonts w:ascii="VIC" w:hAnsi="VIC" w:cs="Arial"/>
              </w:rPr>
              <w:t>7</w:t>
            </w:r>
            <w:r w:rsidRPr="00F03354">
              <w:rPr>
                <w:rFonts w:ascii="VIC" w:hAnsi="VIC" w:cs="Arial"/>
              </w:rPr>
              <w:t xml:space="preserve"> days of becoming a civil client</w:t>
            </w:r>
          </w:p>
        </w:tc>
        <w:tc>
          <w:tcPr>
            <w:tcW w:w="1505" w:type="dxa"/>
            <w:shd w:val="clear" w:color="auto" w:fill="BDD6EE" w:themeFill="accent5" w:themeFillTint="66"/>
          </w:tcPr>
          <w:p w14:paraId="52D2CA86" w14:textId="0EDB3B82" w:rsidR="00280F65" w:rsidRPr="00F03354" w:rsidRDefault="00953644" w:rsidP="00280F65">
            <w:pPr>
              <w:spacing w:before="80" w:after="60"/>
              <w:jc w:val="right"/>
              <w:rPr>
                <w:rFonts w:ascii="VIC" w:hAnsi="VIC" w:cs="Arial"/>
              </w:rPr>
            </w:pPr>
            <w:r w:rsidRPr="00F03354">
              <w:rPr>
                <w:rFonts w:ascii="VIC" w:hAnsi="VIC" w:cs="Arial"/>
              </w:rPr>
              <w:t>80</w:t>
            </w:r>
            <w:r w:rsidR="00280F65" w:rsidRPr="00F03354">
              <w:rPr>
                <w:rFonts w:ascii="VIC" w:hAnsi="VIC" w:cs="Arial"/>
              </w:rPr>
              <w:t>%</w:t>
            </w:r>
          </w:p>
        </w:tc>
      </w:tr>
    </w:tbl>
    <w:p w14:paraId="5DE4CE26" w14:textId="77777777" w:rsidR="00280F65" w:rsidRPr="00F03354" w:rsidRDefault="00280F65" w:rsidP="00280F65">
      <w:pPr>
        <w:spacing w:after="120" w:line="270" w:lineRule="atLeast"/>
        <w:rPr>
          <w:rFonts w:ascii="VIC" w:eastAsia="Times" w:hAnsi="VIC" w:cs="Times New Roman"/>
          <w:sz w:val="20"/>
          <w:szCs w:val="20"/>
        </w:rPr>
      </w:pPr>
    </w:p>
    <w:p w14:paraId="0C75B81F" w14:textId="77777777" w:rsidR="00280F65" w:rsidRPr="00F03354" w:rsidRDefault="00280F65" w:rsidP="00280F65">
      <w:pPr>
        <w:spacing w:after="120" w:line="270" w:lineRule="atLeast"/>
        <w:rPr>
          <w:rFonts w:ascii="VIC" w:eastAsia="Times" w:hAnsi="VIC" w:cs="Times New Roman"/>
          <w:sz w:val="20"/>
          <w:szCs w:val="20"/>
        </w:rPr>
      </w:pPr>
    </w:p>
    <w:p w14:paraId="3BC31100" w14:textId="77777777" w:rsidR="00953644" w:rsidRPr="00F03354" w:rsidRDefault="00953644">
      <w:pPr>
        <w:rPr>
          <w:rFonts w:ascii="VIC" w:hAnsi="VIC"/>
          <w:color w:val="004EA8"/>
          <w:sz w:val="20"/>
          <w:szCs w:val="20"/>
        </w:rPr>
      </w:pPr>
      <w:r w:rsidRPr="00F03354">
        <w:rPr>
          <w:rFonts w:ascii="VIC" w:hAnsi="VIC"/>
          <w:color w:val="004EA8"/>
          <w:sz w:val="20"/>
          <w:szCs w:val="20"/>
        </w:rPr>
        <w:br w:type="page"/>
      </w:r>
    </w:p>
    <w:p w14:paraId="2E97F71D" w14:textId="29A4CF4B" w:rsidR="00953644" w:rsidRPr="00F03354" w:rsidRDefault="00953644" w:rsidP="00953644">
      <w:pPr>
        <w:keepNext/>
        <w:keepLines/>
        <w:spacing w:before="240" w:after="90" w:line="320" w:lineRule="atLeast"/>
        <w:outlineLvl w:val="2"/>
        <w:rPr>
          <w:rFonts w:ascii="VIC" w:eastAsia="MS Gothic" w:hAnsi="VIC" w:cs="Arial"/>
          <w:b/>
          <w:bCs/>
          <w:color w:val="244C5A"/>
          <w:sz w:val="20"/>
          <w:szCs w:val="20"/>
        </w:rPr>
      </w:pPr>
      <w:r w:rsidRPr="00F03354">
        <w:rPr>
          <w:rFonts w:ascii="VIC" w:eastAsia="MS Gothic" w:hAnsi="VIC" w:cs="Arial"/>
          <w:b/>
          <w:bCs/>
          <w:color w:val="244C5A"/>
          <w:sz w:val="20"/>
          <w:szCs w:val="20"/>
        </w:rPr>
        <w:lastRenderedPageBreak/>
        <w:t xml:space="preserve">Effective financial management </w:t>
      </w:r>
    </w:p>
    <w:tbl>
      <w:tblPr>
        <w:tblStyle w:val="TableGrid3"/>
        <w:tblW w:w="10068" w:type="dxa"/>
        <w:tblInd w:w="-1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1663"/>
        <w:gridCol w:w="30"/>
        <w:gridCol w:w="1491"/>
        <w:gridCol w:w="172"/>
        <w:gridCol w:w="5028"/>
        <w:gridCol w:w="1684"/>
      </w:tblGrid>
      <w:tr w:rsidR="00F13BE9" w:rsidRPr="00F03354" w14:paraId="3B71D27B" w14:textId="77777777" w:rsidTr="43E0E1C9">
        <w:trPr>
          <w:cantSplit/>
          <w:trHeight w:val="334"/>
          <w:tblHeader/>
        </w:trPr>
        <w:tc>
          <w:tcPr>
            <w:tcW w:w="1663" w:type="dxa"/>
            <w:shd w:val="clear" w:color="auto" w:fill="244C5A"/>
            <w:vAlign w:val="center"/>
          </w:tcPr>
          <w:p w14:paraId="04EB41AE" w14:textId="77777777" w:rsidR="00953644" w:rsidRPr="00F03354" w:rsidRDefault="00953644" w:rsidP="0088177F">
            <w:pPr>
              <w:spacing w:before="80" w:after="60"/>
              <w:rPr>
                <w:rFonts w:ascii="VIC" w:hAnsi="VIC" w:cs="Arial"/>
                <w:bCs/>
                <w:color w:val="FFFFFF" w:themeColor="background1"/>
              </w:rPr>
            </w:pPr>
            <w:r w:rsidRPr="00F03354">
              <w:rPr>
                <w:rFonts w:ascii="VIC" w:hAnsi="VIC" w:cs="Arial"/>
                <w:bCs/>
                <w:color w:val="FFFFFF" w:themeColor="background1"/>
              </w:rPr>
              <w:t>Program</w:t>
            </w:r>
          </w:p>
        </w:tc>
        <w:tc>
          <w:tcPr>
            <w:tcW w:w="1521" w:type="dxa"/>
            <w:gridSpan w:val="2"/>
            <w:shd w:val="clear" w:color="auto" w:fill="244C5A"/>
            <w:vAlign w:val="center"/>
          </w:tcPr>
          <w:p w14:paraId="50435F6A" w14:textId="77777777" w:rsidR="00953644" w:rsidRPr="00F03354" w:rsidRDefault="00953644" w:rsidP="0088177F">
            <w:pPr>
              <w:spacing w:before="80" w:after="60"/>
              <w:rPr>
                <w:rFonts w:ascii="VIC" w:hAnsi="VIC" w:cs="Arial"/>
                <w:bCs/>
                <w:color w:val="FFFFFF" w:themeColor="background1"/>
              </w:rPr>
            </w:pPr>
            <w:r w:rsidRPr="00F03354">
              <w:rPr>
                <w:rFonts w:ascii="VIC" w:hAnsi="VIC" w:cs="Arial"/>
                <w:bCs/>
                <w:color w:val="FFFFFF" w:themeColor="background1"/>
              </w:rPr>
              <w:t>KPI</w:t>
            </w:r>
          </w:p>
        </w:tc>
        <w:tc>
          <w:tcPr>
            <w:tcW w:w="5200" w:type="dxa"/>
            <w:gridSpan w:val="2"/>
            <w:shd w:val="clear" w:color="auto" w:fill="244C5A"/>
            <w:vAlign w:val="center"/>
          </w:tcPr>
          <w:p w14:paraId="43B04FFB" w14:textId="77777777" w:rsidR="00953644" w:rsidRPr="00F03354" w:rsidRDefault="00953644" w:rsidP="0088177F">
            <w:pPr>
              <w:spacing w:before="80" w:after="60"/>
              <w:rPr>
                <w:rFonts w:ascii="VIC" w:hAnsi="VIC" w:cs="Arial"/>
                <w:bCs/>
                <w:color w:val="FFFFFF" w:themeColor="background1"/>
              </w:rPr>
            </w:pPr>
            <w:r w:rsidRPr="00F03354">
              <w:rPr>
                <w:rFonts w:ascii="VIC" w:hAnsi="VIC" w:cs="Arial"/>
                <w:bCs/>
                <w:color w:val="FFFFFF" w:themeColor="background1"/>
              </w:rPr>
              <w:t>Key performance measure</w:t>
            </w:r>
          </w:p>
        </w:tc>
        <w:tc>
          <w:tcPr>
            <w:tcW w:w="1684" w:type="dxa"/>
            <w:shd w:val="clear" w:color="auto" w:fill="244C5A"/>
            <w:vAlign w:val="center"/>
          </w:tcPr>
          <w:p w14:paraId="5DF92E4B" w14:textId="77777777" w:rsidR="00953644" w:rsidRPr="00F03354" w:rsidRDefault="00953644" w:rsidP="0088177F">
            <w:pPr>
              <w:spacing w:before="80" w:after="60"/>
              <w:jc w:val="center"/>
              <w:rPr>
                <w:rFonts w:ascii="VIC" w:hAnsi="VIC" w:cs="Arial"/>
                <w:bCs/>
                <w:color w:val="FFFFFF" w:themeColor="background1"/>
              </w:rPr>
            </w:pPr>
            <w:r w:rsidRPr="00F03354">
              <w:rPr>
                <w:rFonts w:ascii="VIC" w:hAnsi="VIC" w:cs="Arial"/>
                <w:bCs/>
                <w:color w:val="FFFFFF" w:themeColor="background1"/>
              </w:rPr>
              <w:t>Target</w:t>
            </w:r>
          </w:p>
        </w:tc>
      </w:tr>
      <w:tr w:rsidR="00A145E3" w:rsidRPr="00F03354" w14:paraId="5009CBA3" w14:textId="77777777" w:rsidTr="43E0E1C9">
        <w:trPr>
          <w:cantSplit/>
          <w:trHeight w:val="543"/>
        </w:trPr>
        <w:tc>
          <w:tcPr>
            <w:tcW w:w="1693" w:type="dxa"/>
            <w:gridSpan w:val="2"/>
            <w:vMerge w:val="restart"/>
            <w:shd w:val="clear" w:color="auto" w:fill="BDD6EE" w:themeFill="accent5" w:themeFillTint="66"/>
          </w:tcPr>
          <w:p w14:paraId="18A48D5B" w14:textId="4D356204" w:rsidR="00953644" w:rsidRPr="00F03354" w:rsidRDefault="00953644" w:rsidP="0088177F">
            <w:pPr>
              <w:spacing w:before="80" w:after="60"/>
              <w:rPr>
                <w:rFonts w:ascii="VIC" w:hAnsi="VIC" w:cs="Arial"/>
              </w:rPr>
            </w:pPr>
            <w:r w:rsidRPr="00F03354">
              <w:rPr>
                <w:rFonts w:ascii="VIC" w:hAnsi="VIC" w:cs="Arial"/>
              </w:rPr>
              <w:t>Effective financial management</w:t>
            </w:r>
          </w:p>
        </w:tc>
        <w:tc>
          <w:tcPr>
            <w:tcW w:w="1663" w:type="dxa"/>
            <w:gridSpan w:val="2"/>
            <w:shd w:val="clear" w:color="auto" w:fill="BDD6EE" w:themeFill="accent5" w:themeFillTint="66"/>
          </w:tcPr>
          <w:p w14:paraId="7BCF9946" w14:textId="4D299C72" w:rsidR="00953644" w:rsidRPr="00F03354" w:rsidRDefault="5A507137" w:rsidP="6BF3BDE6">
            <w:pPr>
              <w:spacing w:before="80" w:after="60" w:line="259" w:lineRule="auto"/>
            </w:pPr>
            <w:r w:rsidRPr="00F03354">
              <w:rPr>
                <w:rFonts w:ascii="VIC" w:hAnsi="VIC"/>
              </w:rPr>
              <w:t xml:space="preserve">Budget </w:t>
            </w:r>
          </w:p>
        </w:tc>
        <w:tc>
          <w:tcPr>
            <w:tcW w:w="5028" w:type="dxa"/>
            <w:shd w:val="clear" w:color="auto" w:fill="BDD6EE" w:themeFill="accent5" w:themeFillTint="66"/>
          </w:tcPr>
          <w:p w14:paraId="6637FBA1" w14:textId="548FDFA3" w:rsidR="00953644" w:rsidRPr="00F03354" w:rsidRDefault="2135B91A" w:rsidP="6BF3BDE6">
            <w:pPr>
              <w:spacing w:before="80" w:after="60"/>
              <w:rPr>
                <w:rFonts w:ascii="VIC" w:hAnsi="VIC" w:cs="Arial"/>
              </w:rPr>
            </w:pPr>
            <w:r w:rsidRPr="00F03354">
              <w:rPr>
                <w:rFonts w:ascii="VIC" w:hAnsi="VIC" w:cs="Arial"/>
              </w:rPr>
              <w:t>Operating result</w:t>
            </w:r>
            <w:r w:rsidR="53E9DAD3" w:rsidRPr="00F03354">
              <w:rPr>
                <w:rFonts w:ascii="VIC" w:hAnsi="VIC" w:cs="Arial"/>
              </w:rPr>
              <w:t xml:space="preserve"> ($M)</w:t>
            </w:r>
          </w:p>
        </w:tc>
        <w:tc>
          <w:tcPr>
            <w:tcW w:w="1684" w:type="dxa"/>
            <w:shd w:val="clear" w:color="auto" w:fill="BDD6EE" w:themeFill="accent5" w:themeFillTint="66"/>
          </w:tcPr>
          <w:p w14:paraId="0CBD2A3B" w14:textId="13BC8210" w:rsidR="00953644" w:rsidRPr="00F03354" w:rsidRDefault="2135B91A" w:rsidP="0088177F">
            <w:pPr>
              <w:spacing w:before="80" w:after="60"/>
              <w:jc w:val="right"/>
              <w:rPr>
                <w:rFonts w:ascii="VIC" w:hAnsi="VIC" w:cs="Arial"/>
              </w:rPr>
            </w:pPr>
            <w:r w:rsidRPr="00F03354">
              <w:rPr>
                <w:rFonts w:ascii="VIC" w:hAnsi="VIC" w:cs="Arial"/>
              </w:rPr>
              <w:t>Health service specific</w:t>
            </w:r>
            <w:r w:rsidR="00953644" w:rsidRPr="00F03354">
              <w:rPr>
                <w:rFonts w:ascii="VIC" w:hAnsi="VIC" w:cs="Arial"/>
                <w:vertAlign w:val="superscript"/>
              </w:rPr>
              <w:footnoteReference w:id="9"/>
            </w:r>
            <w:r w:rsidR="47F31F64" w:rsidRPr="00F03354">
              <w:rPr>
                <w:rFonts w:ascii="VIC" w:hAnsi="VIC" w:cs="Arial"/>
              </w:rPr>
              <w:t>,</w:t>
            </w:r>
            <w:r w:rsidR="00953644" w:rsidRPr="00F03354">
              <w:rPr>
                <w:rFonts w:ascii="VIC" w:hAnsi="VIC" w:cs="Arial"/>
                <w:vertAlign w:val="superscript"/>
              </w:rPr>
              <w:footnoteReference w:id="10"/>
            </w:r>
          </w:p>
        </w:tc>
      </w:tr>
      <w:tr w:rsidR="6BF3BDE6" w:rsidRPr="00F03354" w14:paraId="47DC0A70" w14:textId="77777777" w:rsidTr="43E0E1C9">
        <w:trPr>
          <w:cantSplit/>
          <w:trHeight w:val="543"/>
        </w:trPr>
        <w:tc>
          <w:tcPr>
            <w:tcW w:w="1693" w:type="dxa"/>
            <w:gridSpan w:val="2"/>
            <w:vMerge/>
          </w:tcPr>
          <w:p w14:paraId="7CDFBBFD" w14:textId="77777777" w:rsidR="00921FF3" w:rsidRPr="00F03354" w:rsidRDefault="00921FF3"/>
        </w:tc>
        <w:tc>
          <w:tcPr>
            <w:tcW w:w="1663" w:type="dxa"/>
            <w:gridSpan w:val="2"/>
            <w:shd w:val="clear" w:color="auto" w:fill="FFFFFF" w:themeFill="background1"/>
          </w:tcPr>
          <w:p w14:paraId="6C90EDD8" w14:textId="259DCDD6" w:rsidR="47E7A96C" w:rsidRPr="00F03354" w:rsidRDefault="47E7A96C" w:rsidP="6BF3BDE6">
            <w:pPr>
              <w:rPr>
                <w:rFonts w:ascii="VIC" w:hAnsi="VIC"/>
              </w:rPr>
            </w:pPr>
            <w:r w:rsidRPr="00F03354">
              <w:rPr>
                <w:rFonts w:ascii="VIC" w:hAnsi="VIC"/>
              </w:rPr>
              <w:t>Budget Management</w:t>
            </w:r>
          </w:p>
        </w:tc>
        <w:tc>
          <w:tcPr>
            <w:tcW w:w="5028" w:type="dxa"/>
            <w:shd w:val="clear" w:color="auto" w:fill="FFFFFF" w:themeFill="background1"/>
          </w:tcPr>
          <w:p w14:paraId="2FD26D5F" w14:textId="605FDB25" w:rsidR="4703132F" w:rsidRPr="00F03354" w:rsidRDefault="4703132F" w:rsidP="6BF3BDE6">
            <w:pPr>
              <w:spacing w:before="80" w:after="60"/>
              <w:rPr>
                <w:rFonts w:ascii="VIC" w:hAnsi="VIC" w:cs="Arial"/>
              </w:rPr>
            </w:pPr>
            <w:r w:rsidRPr="00F03354">
              <w:rPr>
                <w:rFonts w:ascii="VIC" w:hAnsi="VIC" w:cs="Arial"/>
              </w:rPr>
              <w:t>Operating result as a percentage of total operating revenue</w:t>
            </w:r>
          </w:p>
        </w:tc>
        <w:tc>
          <w:tcPr>
            <w:tcW w:w="1684" w:type="dxa"/>
            <w:shd w:val="clear" w:color="auto" w:fill="FFFFFF" w:themeFill="background1"/>
          </w:tcPr>
          <w:p w14:paraId="4894C723" w14:textId="2EA38E63" w:rsidR="1CEBCC70" w:rsidRPr="00F03354" w:rsidRDefault="1CEBCC70" w:rsidP="6BF3BDE6">
            <w:pPr>
              <w:spacing w:before="80" w:after="60"/>
              <w:jc w:val="right"/>
              <w:rPr>
                <w:rFonts w:ascii="VIC" w:hAnsi="VIC" w:cs="Arial"/>
              </w:rPr>
            </w:pPr>
            <w:r w:rsidRPr="00F03354">
              <w:rPr>
                <w:rFonts w:ascii="VIC" w:hAnsi="VIC" w:cs="Arial"/>
              </w:rPr>
              <w:t>Health service specific</w:t>
            </w:r>
            <w:r w:rsidRPr="00F03354">
              <w:rPr>
                <w:rFonts w:ascii="VIC" w:hAnsi="VIC" w:cs="Arial"/>
                <w:vertAlign w:val="superscript"/>
              </w:rPr>
              <w:footnoteReference w:id="11"/>
            </w:r>
            <w:r w:rsidRPr="00F03354">
              <w:rPr>
                <w:rFonts w:ascii="VIC" w:hAnsi="VIC" w:cs="Arial"/>
              </w:rPr>
              <w:t>,</w:t>
            </w:r>
            <w:r w:rsidRPr="00F03354">
              <w:rPr>
                <w:rFonts w:ascii="VIC" w:hAnsi="VIC" w:cs="Arial"/>
                <w:vertAlign w:val="superscript"/>
              </w:rPr>
              <w:footnoteReference w:id="12"/>
            </w:r>
          </w:p>
        </w:tc>
      </w:tr>
      <w:tr w:rsidR="00A145E3" w:rsidRPr="00F03354" w14:paraId="497D534D" w14:textId="77777777" w:rsidTr="43E0E1C9">
        <w:trPr>
          <w:cantSplit/>
          <w:trHeight w:val="543"/>
        </w:trPr>
        <w:tc>
          <w:tcPr>
            <w:tcW w:w="1693" w:type="dxa"/>
            <w:gridSpan w:val="2"/>
            <w:vMerge/>
          </w:tcPr>
          <w:p w14:paraId="22D5FA84" w14:textId="77777777" w:rsidR="00953644" w:rsidRPr="00F03354" w:rsidRDefault="00953644" w:rsidP="0088177F">
            <w:pPr>
              <w:spacing w:before="80" w:after="60"/>
              <w:ind w:left="314"/>
              <w:rPr>
                <w:rFonts w:ascii="VIC" w:hAnsi="VIC"/>
              </w:rPr>
            </w:pPr>
          </w:p>
        </w:tc>
        <w:tc>
          <w:tcPr>
            <w:tcW w:w="1663" w:type="dxa"/>
            <w:gridSpan w:val="2"/>
            <w:shd w:val="clear" w:color="auto" w:fill="BDD6EE" w:themeFill="accent5" w:themeFillTint="66"/>
          </w:tcPr>
          <w:p w14:paraId="05F86CAE" w14:textId="6C73BA61" w:rsidR="00953644" w:rsidRPr="00F03354" w:rsidRDefault="007E0D0C" w:rsidP="007E0D0C">
            <w:pPr>
              <w:spacing w:before="80" w:after="60"/>
              <w:rPr>
                <w:rFonts w:ascii="VIC" w:hAnsi="VIC"/>
              </w:rPr>
            </w:pPr>
            <w:r w:rsidRPr="00F03354">
              <w:rPr>
                <w:rFonts w:ascii="VIC" w:hAnsi="VIC"/>
              </w:rPr>
              <w:t>Creditors</w:t>
            </w:r>
          </w:p>
        </w:tc>
        <w:tc>
          <w:tcPr>
            <w:tcW w:w="5028" w:type="dxa"/>
            <w:shd w:val="clear" w:color="auto" w:fill="BDD6EE" w:themeFill="accent5" w:themeFillTint="66"/>
          </w:tcPr>
          <w:p w14:paraId="266DF0B5" w14:textId="045F6259" w:rsidR="00953644" w:rsidRPr="00F03354" w:rsidRDefault="007E0D0C" w:rsidP="0088177F">
            <w:pPr>
              <w:spacing w:before="80" w:after="60"/>
              <w:rPr>
                <w:rFonts w:ascii="VIC" w:hAnsi="VIC" w:cs="Arial"/>
              </w:rPr>
            </w:pPr>
            <w:r w:rsidRPr="00F03354">
              <w:rPr>
                <w:rFonts w:ascii="VIC" w:hAnsi="VIC"/>
              </w:rPr>
              <w:t>Average number of days to paying trade creditors</w:t>
            </w:r>
          </w:p>
        </w:tc>
        <w:tc>
          <w:tcPr>
            <w:tcW w:w="1684" w:type="dxa"/>
            <w:shd w:val="clear" w:color="auto" w:fill="BDD6EE" w:themeFill="accent5" w:themeFillTint="66"/>
          </w:tcPr>
          <w:p w14:paraId="62B80AA5" w14:textId="31726A55" w:rsidR="00953644" w:rsidRPr="00F03354" w:rsidRDefault="007E0D0C" w:rsidP="007E0D0C">
            <w:pPr>
              <w:spacing w:before="80" w:after="60"/>
              <w:jc w:val="right"/>
              <w:rPr>
                <w:rFonts w:ascii="VIC" w:hAnsi="VIC" w:cs="Arial"/>
              </w:rPr>
            </w:pPr>
            <w:r w:rsidRPr="00F03354">
              <w:rPr>
                <w:rFonts w:ascii="VIC" w:hAnsi="VIC" w:cs="Arial"/>
              </w:rPr>
              <w:t>60 days</w:t>
            </w:r>
            <w:r w:rsidR="00953644" w:rsidRPr="00F03354">
              <w:rPr>
                <w:rFonts w:ascii="VIC" w:hAnsi="VIC"/>
                <w:vertAlign w:val="superscript"/>
              </w:rPr>
              <w:t>4</w:t>
            </w:r>
            <w:r w:rsidR="00953644" w:rsidRPr="00F03354">
              <w:rPr>
                <w:rFonts w:ascii="VIC" w:hAnsi="VIC" w:cs="Arial"/>
              </w:rPr>
              <w:t>,</w:t>
            </w:r>
            <w:r w:rsidR="00953644" w:rsidRPr="00F03354">
              <w:rPr>
                <w:rFonts w:ascii="VIC" w:hAnsi="VIC"/>
                <w:vertAlign w:val="superscript"/>
              </w:rPr>
              <w:t>5</w:t>
            </w:r>
          </w:p>
        </w:tc>
      </w:tr>
      <w:tr w:rsidR="00A145E3" w:rsidRPr="00F03354" w14:paraId="1D18984D" w14:textId="77777777" w:rsidTr="43E0E1C9">
        <w:trPr>
          <w:cantSplit/>
          <w:trHeight w:val="543"/>
        </w:trPr>
        <w:tc>
          <w:tcPr>
            <w:tcW w:w="1693" w:type="dxa"/>
            <w:gridSpan w:val="2"/>
            <w:vMerge/>
          </w:tcPr>
          <w:p w14:paraId="67F1985F" w14:textId="77777777" w:rsidR="00953644" w:rsidRPr="00F03354" w:rsidRDefault="00953644" w:rsidP="0088177F">
            <w:pPr>
              <w:spacing w:before="80" w:after="60"/>
              <w:ind w:left="314"/>
              <w:rPr>
                <w:rFonts w:ascii="VIC" w:hAnsi="VIC"/>
              </w:rPr>
            </w:pPr>
          </w:p>
        </w:tc>
        <w:tc>
          <w:tcPr>
            <w:tcW w:w="1663" w:type="dxa"/>
            <w:gridSpan w:val="2"/>
            <w:shd w:val="clear" w:color="auto" w:fill="BDD6EE" w:themeFill="accent5" w:themeFillTint="66"/>
          </w:tcPr>
          <w:p w14:paraId="3A6F67D4" w14:textId="3BC76B7F" w:rsidR="00953644" w:rsidRPr="00F03354" w:rsidRDefault="007E0D0C" w:rsidP="007E0D0C">
            <w:pPr>
              <w:spacing w:before="80" w:after="60"/>
              <w:rPr>
                <w:rFonts w:ascii="VIC" w:hAnsi="VIC"/>
              </w:rPr>
            </w:pPr>
            <w:r w:rsidRPr="00F03354">
              <w:rPr>
                <w:rFonts w:ascii="VIC" w:hAnsi="VIC"/>
              </w:rPr>
              <w:t>Debtors</w:t>
            </w:r>
          </w:p>
        </w:tc>
        <w:tc>
          <w:tcPr>
            <w:tcW w:w="5028" w:type="dxa"/>
            <w:shd w:val="clear" w:color="auto" w:fill="BDD6EE" w:themeFill="accent5" w:themeFillTint="66"/>
          </w:tcPr>
          <w:p w14:paraId="5EEEF865" w14:textId="4969D28F" w:rsidR="00953644" w:rsidRPr="00F03354" w:rsidRDefault="007E0D0C" w:rsidP="0088177F">
            <w:pPr>
              <w:spacing w:before="80" w:after="60"/>
              <w:rPr>
                <w:rFonts w:ascii="VIC" w:hAnsi="VIC"/>
              </w:rPr>
            </w:pPr>
            <w:r w:rsidRPr="00F03354">
              <w:rPr>
                <w:rFonts w:ascii="VIC" w:hAnsi="VIC"/>
              </w:rPr>
              <w:t>Average number of days to receiving patient fee debtors</w:t>
            </w:r>
          </w:p>
        </w:tc>
        <w:tc>
          <w:tcPr>
            <w:tcW w:w="1684" w:type="dxa"/>
            <w:shd w:val="clear" w:color="auto" w:fill="BDD6EE" w:themeFill="accent5" w:themeFillTint="66"/>
          </w:tcPr>
          <w:p w14:paraId="10BC265E" w14:textId="5E122300" w:rsidR="00953644" w:rsidRPr="00F03354" w:rsidRDefault="00953644" w:rsidP="007E0D0C">
            <w:pPr>
              <w:spacing w:before="80" w:after="60"/>
              <w:jc w:val="right"/>
              <w:rPr>
                <w:rFonts w:ascii="VIC" w:hAnsi="VIC" w:cs="Arial"/>
              </w:rPr>
            </w:pPr>
            <w:r w:rsidRPr="00F03354">
              <w:rPr>
                <w:rFonts w:ascii="VIC" w:hAnsi="VIC" w:cs="Arial"/>
              </w:rPr>
              <w:t>6</w:t>
            </w:r>
            <w:r w:rsidR="007E0D0C" w:rsidRPr="00F03354">
              <w:rPr>
                <w:rFonts w:ascii="VIC" w:hAnsi="VIC" w:cs="Arial"/>
              </w:rPr>
              <w:t>0 days</w:t>
            </w:r>
            <w:r w:rsidRPr="00F03354">
              <w:rPr>
                <w:rFonts w:ascii="VIC" w:hAnsi="VIC"/>
                <w:vertAlign w:val="superscript"/>
              </w:rPr>
              <w:t>4</w:t>
            </w:r>
            <w:r w:rsidRPr="00F03354">
              <w:rPr>
                <w:rFonts w:ascii="VIC" w:hAnsi="VIC" w:cs="Arial"/>
              </w:rPr>
              <w:t>,</w:t>
            </w:r>
            <w:r w:rsidRPr="00F03354">
              <w:rPr>
                <w:rFonts w:ascii="VIC" w:hAnsi="VIC"/>
                <w:vertAlign w:val="superscript"/>
              </w:rPr>
              <w:t>5</w:t>
            </w:r>
          </w:p>
        </w:tc>
      </w:tr>
      <w:tr w:rsidR="00A145E3" w:rsidRPr="00F03354" w14:paraId="16D50E29" w14:textId="77777777" w:rsidTr="43E0E1C9">
        <w:trPr>
          <w:cantSplit/>
          <w:trHeight w:val="543"/>
        </w:trPr>
        <w:tc>
          <w:tcPr>
            <w:tcW w:w="1693" w:type="dxa"/>
            <w:gridSpan w:val="2"/>
            <w:vMerge/>
          </w:tcPr>
          <w:p w14:paraId="539785A2" w14:textId="77777777" w:rsidR="00953644" w:rsidRPr="00F03354" w:rsidRDefault="00953644" w:rsidP="0088177F">
            <w:pPr>
              <w:spacing w:before="80" w:after="60"/>
              <w:ind w:left="314"/>
              <w:rPr>
                <w:rFonts w:ascii="VIC" w:hAnsi="VIC"/>
              </w:rPr>
            </w:pPr>
          </w:p>
        </w:tc>
        <w:tc>
          <w:tcPr>
            <w:tcW w:w="1663" w:type="dxa"/>
            <w:gridSpan w:val="2"/>
            <w:shd w:val="clear" w:color="auto" w:fill="BDD6EE" w:themeFill="accent5" w:themeFillTint="66"/>
          </w:tcPr>
          <w:p w14:paraId="76EE7283" w14:textId="78496ABD" w:rsidR="00953644" w:rsidRPr="00F03354" w:rsidRDefault="007E0D0C" w:rsidP="007E0D0C">
            <w:pPr>
              <w:spacing w:before="80" w:after="60"/>
              <w:ind w:left="-16"/>
              <w:rPr>
                <w:rFonts w:ascii="VIC" w:hAnsi="VIC"/>
              </w:rPr>
            </w:pPr>
            <w:r w:rsidRPr="00F03354">
              <w:rPr>
                <w:rFonts w:ascii="VIC" w:hAnsi="VIC"/>
              </w:rPr>
              <w:t>Adjusted current asset ratio</w:t>
            </w:r>
          </w:p>
        </w:tc>
        <w:tc>
          <w:tcPr>
            <w:tcW w:w="5028" w:type="dxa"/>
            <w:shd w:val="clear" w:color="auto" w:fill="BDD6EE" w:themeFill="accent5" w:themeFillTint="66"/>
          </w:tcPr>
          <w:p w14:paraId="34AC038D" w14:textId="6EE76BC1" w:rsidR="00953644" w:rsidRPr="00F03354" w:rsidRDefault="007E0D0C" w:rsidP="0088177F">
            <w:pPr>
              <w:spacing w:before="80" w:after="60"/>
              <w:rPr>
                <w:rFonts w:ascii="VIC" w:hAnsi="VIC"/>
              </w:rPr>
            </w:pPr>
            <w:r w:rsidRPr="00F03354">
              <w:rPr>
                <w:rFonts w:ascii="VIC" w:hAnsi="VIC"/>
              </w:rPr>
              <w:t>Variance between actual ACAR and target, including performance improvement over time or maintaining actual performance</w:t>
            </w:r>
          </w:p>
        </w:tc>
        <w:tc>
          <w:tcPr>
            <w:tcW w:w="1684" w:type="dxa"/>
            <w:shd w:val="clear" w:color="auto" w:fill="BDD6EE" w:themeFill="accent5" w:themeFillTint="66"/>
          </w:tcPr>
          <w:p w14:paraId="46110AB8" w14:textId="6A9DAC5E" w:rsidR="00953644" w:rsidRPr="00F03354" w:rsidRDefault="007E0D0C" w:rsidP="0088177F">
            <w:pPr>
              <w:spacing w:before="80" w:after="60"/>
              <w:jc w:val="right"/>
              <w:rPr>
                <w:rFonts w:ascii="VIC" w:hAnsi="VIC" w:cs="Arial"/>
              </w:rPr>
            </w:pPr>
            <w:r w:rsidRPr="00F03354">
              <w:rPr>
                <w:rFonts w:ascii="VIC" w:hAnsi="VIC" w:cs="Arial"/>
              </w:rPr>
              <w:t xml:space="preserve">0.7 or 3% improvement from health service base target </w:t>
            </w:r>
            <w:r w:rsidR="00953644" w:rsidRPr="00F03354">
              <w:rPr>
                <w:rFonts w:ascii="VIC" w:hAnsi="VIC"/>
                <w:vertAlign w:val="superscript"/>
              </w:rPr>
              <w:t>4</w:t>
            </w:r>
            <w:r w:rsidR="00953644" w:rsidRPr="00F03354">
              <w:rPr>
                <w:rFonts w:ascii="VIC" w:hAnsi="VIC" w:cs="Arial"/>
              </w:rPr>
              <w:t>,</w:t>
            </w:r>
            <w:r w:rsidR="00953644" w:rsidRPr="00F03354">
              <w:rPr>
                <w:rFonts w:ascii="VIC" w:hAnsi="VIC"/>
                <w:vertAlign w:val="superscript"/>
              </w:rPr>
              <w:t>5</w:t>
            </w:r>
          </w:p>
        </w:tc>
      </w:tr>
      <w:tr w:rsidR="00A145E3" w:rsidRPr="00F03354" w14:paraId="66893CAB" w14:textId="77777777" w:rsidTr="43E0E1C9">
        <w:trPr>
          <w:cantSplit/>
          <w:trHeight w:val="543"/>
        </w:trPr>
        <w:tc>
          <w:tcPr>
            <w:tcW w:w="1693" w:type="dxa"/>
            <w:gridSpan w:val="2"/>
            <w:vMerge/>
          </w:tcPr>
          <w:p w14:paraId="068D0228" w14:textId="77777777" w:rsidR="00953644" w:rsidRPr="00F03354" w:rsidRDefault="00953644" w:rsidP="0088177F">
            <w:pPr>
              <w:spacing w:before="80" w:after="60"/>
              <w:ind w:left="314"/>
              <w:rPr>
                <w:rFonts w:ascii="VIC" w:hAnsi="VIC"/>
              </w:rPr>
            </w:pPr>
          </w:p>
        </w:tc>
        <w:tc>
          <w:tcPr>
            <w:tcW w:w="1663" w:type="dxa"/>
            <w:gridSpan w:val="2"/>
            <w:shd w:val="clear" w:color="auto" w:fill="BDD6EE" w:themeFill="accent5" w:themeFillTint="66"/>
          </w:tcPr>
          <w:p w14:paraId="6A98620A" w14:textId="54710B18" w:rsidR="00953644" w:rsidRPr="00F03354" w:rsidRDefault="00017150" w:rsidP="00017150">
            <w:pPr>
              <w:spacing w:before="80" w:after="60"/>
              <w:rPr>
                <w:rFonts w:ascii="VIC" w:hAnsi="VIC"/>
              </w:rPr>
            </w:pPr>
            <w:r w:rsidRPr="00F03354">
              <w:rPr>
                <w:rFonts w:ascii="VIC" w:hAnsi="VIC"/>
              </w:rPr>
              <w:t>Current Days Available Cash</w:t>
            </w:r>
          </w:p>
        </w:tc>
        <w:tc>
          <w:tcPr>
            <w:tcW w:w="5028" w:type="dxa"/>
            <w:shd w:val="clear" w:color="auto" w:fill="BDD6EE" w:themeFill="accent5" w:themeFillTint="66"/>
          </w:tcPr>
          <w:p w14:paraId="72F60B99" w14:textId="612EAE5B" w:rsidR="00953644" w:rsidRPr="00F03354" w:rsidRDefault="007E0D0C" w:rsidP="3C7BF89B">
            <w:pPr>
              <w:spacing w:before="80" w:after="60"/>
              <w:rPr>
                <w:rFonts w:ascii="VIC" w:hAnsi="VIC"/>
              </w:rPr>
            </w:pPr>
            <w:r w:rsidRPr="00F03354">
              <w:rPr>
                <w:rFonts w:ascii="VIC" w:hAnsi="VIC"/>
              </w:rPr>
              <w:t xml:space="preserve">Actual number of days </w:t>
            </w:r>
            <w:r w:rsidR="35B7AA88" w:rsidRPr="00F03354">
              <w:rPr>
                <w:rFonts w:ascii="VIC" w:hAnsi="VIC"/>
              </w:rPr>
              <w:t xml:space="preserve">of available cash, </w:t>
            </w:r>
            <w:r w:rsidRPr="00F03354">
              <w:rPr>
                <w:rFonts w:ascii="VIC" w:hAnsi="VIC"/>
              </w:rPr>
              <w:t>measured on the last day of each month</w:t>
            </w:r>
          </w:p>
        </w:tc>
        <w:tc>
          <w:tcPr>
            <w:tcW w:w="1684" w:type="dxa"/>
            <w:shd w:val="clear" w:color="auto" w:fill="BDD6EE" w:themeFill="accent5" w:themeFillTint="66"/>
          </w:tcPr>
          <w:p w14:paraId="6427D0FC" w14:textId="79C2EC57" w:rsidR="00953644" w:rsidRPr="00F03354" w:rsidRDefault="007E0D0C" w:rsidP="0088177F">
            <w:pPr>
              <w:spacing w:before="80" w:after="60"/>
              <w:jc w:val="right"/>
              <w:rPr>
                <w:rFonts w:ascii="VIC" w:hAnsi="VIC" w:cs="Arial"/>
              </w:rPr>
            </w:pPr>
            <w:r w:rsidRPr="00F03354">
              <w:rPr>
                <w:rFonts w:ascii="VIC" w:hAnsi="VIC" w:cs="Arial"/>
              </w:rPr>
              <w:t>14 days</w:t>
            </w:r>
            <w:r w:rsidR="00953644" w:rsidRPr="00F03354">
              <w:rPr>
                <w:rFonts w:ascii="VIC" w:hAnsi="VIC"/>
                <w:vertAlign w:val="superscript"/>
              </w:rPr>
              <w:t>4</w:t>
            </w:r>
            <w:r w:rsidR="00953644" w:rsidRPr="00F03354">
              <w:rPr>
                <w:rFonts w:ascii="VIC" w:hAnsi="VIC" w:cs="Arial"/>
              </w:rPr>
              <w:t>,</w:t>
            </w:r>
            <w:r w:rsidR="00953644" w:rsidRPr="00F03354">
              <w:rPr>
                <w:rFonts w:ascii="VIC" w:hAnsi="VIC"/>
                <w:vertAlign w:val="superscript"/>
              </w:rPr>
              <w:t>5</w:t>
            </w:r>
          </w:p>
        </w:tc>
      </w:tr>
      <w:tr w:rsidR="3C7BF89B" w:rsidRPr="00F03354" w14:paraId="1645256C" w14:textId="77777777" w:rsidTr="43E0E1C9">
        <w:trPr>
          <w:cantSplit/>
          <w:trHeight w:val="543"/>
        </w:trPr>
        <w:tc>
          <w:tcPr>
            <w:tcW w:w="1693" w:type="dxa"/>
            <w:gridSpan w:val="2"/>
            <w:vMerge/>
          </w:tcPr>
          <w:p w14:paraId="0488B559" w14:textId="77777777" w:rsidR="00921FF3" w:rsidRPr="00F03354" w:rsidRDefault="00921FF3"/>
        </w:tc>
        <w:tc>
          <w:tcPr>
            <w:tcW w:w="1663" w:type="dxa"/>
            <w:gridSpan w:val="2"/>
            <w:shd w:val="clear" w:color="auto" w:fill="FFFFFF" w:themeFill="background1"/>
          </w:tcPr>
          <w:p w14:paraId="4B488DD2" w14:textId="1EFF2A0C" w:rsidR="4B1CFF7A" w:rsidRPr="00F03354" w:rsidRDefault="4B1CFF7A" w:rsidP="3C7BF89B">
            <w:pPr>
              <w:rPr>
                <w:rFonts w:ascii="VIC" w:hAnsi="VIC"/>
              </w:rPr>
            </w:pPr>
            <w:r w:rsidRPr="00F03354">
              <w:rPr>
                <w:rFonts w:ascii="VIC" w:hAnsi="VIC"/>
              </w:rPr>
              <w:t>Forecast Days Available Cash</w:t>
            </w:r>
          </w:p>
        </w:tc>
        <w:tc>
          <w:tcPr>
            <w:tcW w:w="5028" w:type="dxa"/>
            <w:shd w:val="clear" w:color="auto" w:fill="FFFFFF" w:themeFill="background1"/>
          </w:tcPr>
          <w:p w14:paraId="776D98D2" w14:textId="75D3C9DA" w:rsidR="20BE7337" w:rsidRPr="00F03354" w:rsidRDefault="6E54F1F5" w:rsidP="3C7BF89B">
            <w:pPr>
              <w:rPr>
                <w:rFonts w:ascii="VIC" w:hAnsi="VIC"/>
              </w:rPr>
            </w:pPr>
            <w:r w:rsidRPr="00F03354">
              <w:rPr>
                <w:rFonts w:ascii="VIC" w:hAnsi="VIC"/>
              </w:rPr>
              <w:t>Forecast</w:t>
            </w:r>
            <w:r w:rsidR="72C3E76A" w:rsidRPr="00F03354">
              <w:rPr>
                <w:rFonts w:ascii="VIC" w:hAnsi="VIC"/>
              </w:rPr>
              <w:t xml:space="preserve"> days available cash</w:t>
            </w:r>
          </w:p>
        </w:tc>
        <w:tc>
          <w:tcPr>
            <w:tcW w:w="1684" w:type="dxa"/>
            <w:shd w:val="clear" w:color="auto" w:fill="FFFFFF" w:themeFill="background1"/>
          </w:tcPr>
          <w:p w14:paraId="2D867C50" w14:textId="4908803E" w:rsidR="4B1CFF7A" w:rsidRPr="00F03354" w:rsidRDefault="70C77B7E" w:rsidP="3C7BF89B">
            <w:pPr>
              <w:jc w:val="right"/>
              <w:rPr>
                <w:rFonts w:ascii="VIC" w:hAnsi="VIC" w:cs="Arial"/>
              </w:rPr>
            </w:pPr>
            <w:r w:rsidRPr="00F03354">
              <w:rPr>
                <w:rFonts w:ascii="VIC" w:hAnsi="VIC" w:cs="Arial"/>
              </w:rPr>
              <w:t xml:space="preserve">14 days </w:t>
            </w:r>
            <w:r w:rsidR="2155A4F2" w:rsidRPr="00F03354">
              <w:rPr>
                <w:rFonts w:ascii="VIC" w:hAnsi="VIC" w:cs="Arial"/>
                <w:vertAlign w:val="superscript"/>
              </w:rPr>
              <w:t>4, 5</w:t>
            </w:r>
          </w:p>
        </w:tc>
      </w:tr>
      <w:tr w:rsidR="00A145E3" w:rsidRPr="00F03354" w14:paraId="3576FE92" w14:textId="77777777" w:rsidTr="43E0E1C9">
        <w:trPr>
          <w:cantSplit/>
          <w:trHeight w:val="543"/>
        </w:trPr>
        <w:tc>
          <w:tcPr>
            <w:tcW w:w="1693" w:type="dxa"/>
            <w:gridSpan w:val="2"/>
            <w:vMerge/>
          </w:tcPr>
          <w:p w14:paraId="39E96641" w14:textId="77777777" w:rsidR="00953644" w:rsidRPr="00F03354" w:rsidRDefault="00953644" w:rsidP="0088177F">
            <w:pPr>
              <w:spacing w:before="80" w:after="60"/>
              <w:ind w:left="314"/>
              <w:rPr>
                <w:rFonts w:ascii="VIC" w:hAnsi="VIC"/>
              </w:rPr>
            </w:pPr>
          </w:p>
        </w:tc>
        <w:tc>
          <w:tcPr>
            <w:tcW w:w="1663" w:type="dxa"/>
            <w:gridSpan w:val="2"/>
            <w:shd w:val="clear" w:color="auto" w:fill="BDD6EE" w:themeFill="accent5" w:themeFillTint="66"/>
          </w:tcPr>
          <w:p w14:paraId="4A04A84D" w14:textId="0DFCA3D8" w:rsidR="00953644" w:rsidRPr="00F03354" w:rsidRDefault="00017150" w:rsidP="00017150">
            <w:pPr>
              <w:spacing w:before="80" w:after="60"/>
              <w:rPr>
                <w:rFonts w:ascii="VIC" w:hAnsi="VIC"/>
              </w:rPr>
            </w:pPr>
            <w:r w:rsidRPr="00F03354">
              <w:rPr>
                <w:rFonts w:ascii="VIC" w:hAnsi="VIC"/>
              </w:rPr>
              <w:t>NRFT Variance</w:t>
            </w:r>
          </w:p>
        </w:tc>
        <w:tc>
          <w:tcPr>
            <w:tcW w:w="5028" w:type="dxa"/>
            <w:shd w:val="clear" w:color="auto" w:fill="BDD6EE" w:themeFill="accent5" w:themeFillTint="66"/>
          </w:tcPr>
          <w:p w14:paraId="2FB95FE6" w14:textId="7BD3C697" w:rsidR="00953644" w:rsidRPr="00F03354" w:rsidRDefault="007E0D0C" w:rsidP="0088177F">
            <w:pPr>
              <w:spacing w:before="80" w:after="60"/>
              <w:rPr>
                <w:rFonts w:ascii="VIC" w:hAnsi="VIC"/>
              </w:rPr>
            </w:pPr>
            <w:r w:rsidRPr="00F03354">
              <w:rPr>
                <w:rFonts w:ascii="VIC" w:hAnsi="VIC"/>
              </w:rPr>
              <w:t>Variance between forecast and actual Net result from transactions (NRFT) for the current financial year ending 30 June</w:t>
            </w:r>
          </w:p>
        </w:tc>
        <w:tc>
          <w:tcPr>
            <w:tcW w:w="1684" w:type="dxa"/>
            <w:shd w:val="clear" w:color="auto" w:fill="BDD6EE" w:themeFill="accent5" w:themeFillTint="66"/>
          </w:tcPr>
          <w:p w14:paraId="75A0D0CB" w14:textId="6586B406" w:rsidR="00953644" w:rsidRPr="00F03354" w:rsidRDefault="007E0D0C" w:rsidP="0088177F">
            <w:pPr>
              <w:spacing w:before="80" w:after="60"/>
              <w:jc w:val="right"/>
              <w:rPr>
                <w:rFonts w:ascii="VIC" w:hAnsi="VIC" w:cs="Arial"/>
              </w:rPr>
            </w:pPr>
            <w:r w:rsidRPr="00F03354">
              <w:rPr>
                <w:rFonts w:ascii="VIC" w:hAnsi="VIC" w:cs="Arial"/>
              </w:rPr>
              <w:t xml:space="preserve">Variance ≤ $250,000 </w:t>
            </w:r>
            <w:r w:rsidR="00953644" w:rsidRPr="00F03354">
              <w:rPr>
                <w:rFonts w:ascii="VIC" w:hAnsi="VIC"/>
                <w:vertAlign w:val="superscript"/>
              </w:rPr>
              <w:t>4</w:t>
            </w:r>
            <w:r w:rsidR="00953644" w:rsidRPr="00F03354">
              <w:rPr>
                <w:rFonts w:ascii="VIC" w:hAnsi="VIC" w:cs="Arial"/>
              </w:rPr>
              <w:t>,</w:t>
            </w:r>
            <w:r w:rsidR="00953644" w:rsidRPr="00F03354">
              <w:rPr>
                <w:rFonts w:ascii="VIC" w:hAnsi="VIC"/>
                <w:vertAlign w:val="superscript"/>
              </w:rPr>
              <w:t>5</w:t>
            </w:r>
          </w:p>
        </w:tc>
      </w:tr>
    </w:tbl>
    <w:p w14:paraId="7BFC4B94" w14:textId="1ACF572D" w:rsidR="00280F65" w:rsidRPr="00F03354" w:rsidRDefault="00280F65">
      <w:pPr>
        <w:rPr>
          <w:rFonts w:ascii="VIC" w:hAnsi="VIC"/>
          <w:color w:val="004EA8"/>
          <w:sz w:val="20"/>
          <w:szCs w:val="20"/>
        </w:rPr>
      </w:pPr>
      <w:r w:rsidRPr="00F03354">
        <w:rPr>
          <w:rFonts w:ascii="VIC" w:hAnsi="VIC"/>
          <w:color w:val="004EA8"/>
          <w:sz w:val="20"/>
          <w:szCs w:val="20"/>
        </w:rPr>
        <w:br w:type="page"/>
      </w:r>
    </w:p>
    <w:p w14:paraId="1B25256D" w14:textId="659ABAC7" w:rsidR="00280F65" w:rsidRPr="00F03354" w:rsidRDefault="00280F65" w:rsidP="00280F65">
      <w:pPr>
        <w:rPr>
          <w:rFonts w:ascii="VIC" w:hAnsi="VIC"/>
          <w:color w:val="004EA8"/>
          <w:sz w:val="20"/>
          <w:szCs w:val="20"/>
        </w:rPr>
      </w:pPr>
      <w:r w:rsidRPr="00F03354">
        <w:rPr>
          <w:rFonts w:ascii="VIC" w:hAnsi="VIC"/>
          <w:color w:val="004EA8"/>
          <w:sz w:val="20"/>
          <w:szCs w:val="20"/>
        </w:rPr>
        <w:lastRenderedPageBreak/>
        <w:t>Business Rules</w:t>
      </w:r>
    </w:p>
    <w:p w14:paraId="7B1987DB" w14:textId="18EC68D9"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t>The Business rules provide the next level of detail regarding calculating performance for the Key Performance Measures. The methodology for assessing improvement has also been included.</w:t>
      </w:r>
    </w:p>
    <w:p w14:paraId="407F1EE1" w14:textId="77777777" w:rsidR="00280F65" w:rsidRPr="00F03354" w:rsidRDefault="00280F65" w:rsidP="00280F65">
      <w:pPr>
        <w:spacing w:after="120" w:line="270" w:lineRule="atLeast"/>
        <w:rPr>
          <w:rFonts w:ascii="VIC" w:eastAsia="Times" w:hAnsi="VIC" w:cs="Times New Roman"/>
          <w:sz w:val="20"/>
          <w:szCs w:val="20"/>
        </w:rPr>
      </w:pPr>
    </w:p>
    <w:p w14:paraId="5DF85258" w14:textId="77777777" w:rsidR="00280F65" w:rsidRPr="00F03354" w:rsidRDefault="00280F65" w:rsidP="00280F65">
      <w:pPr>
        <w:keepNext/>
        <w:keepLines/>
        <w:spacing w:before="240" w:after="90" w:line="320" w:lineRule="atLeast"/>
        <w:outlineLvl w:val="2"/>
        <w:rPr>
          <w:rFonts w:ascii="VIC" w:eastAsia="MS Gothic" w:hAnsi="VIC" w:cs="Arial"/>
          <w:b/>
          <w:bCs/>
          <w:color w:val="244C5A"/>
          <w:sz w:val="20"/>
          <w:szCs w:val="20"/>
        </w:rPr>
      </w:pPr>
      <w:bookmarkStart w:id="9" w:name="_Toc10123538"/>
      <w:r w:rsidRPr="00F03354">
        <w:rPr>
          <w:rFonts w:ascii="VIC" w:eastAsia="MS Gothic" w:hAnsi="VIC" w:cs="Arial"/>
          <w:b/>
          <w:bCs/>
          <w:color w:val="244C5A"/>
          <w:sz w:val="20"/>
          <w:szCs w:val="20"/>
        </w:rPr>
        <w:t>High quality and safe care</w:t>
      </w:r>
      <w:bookmarkEnd w:id="9"/>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552"/>
        <w:gridCol w:w="7116"/>
      </w:tblGrid>
      <w:tr w:rsidR="00280F65" w:rsidRPr="00F03354" w14:paraId="085E6650" w14:textId="77777777" w:rsidTr="00280F65">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1A7BF57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116"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208423CE"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Compliance with the Commonwealth’s Aged Care Accreditation Standards</w:t>
            </w:r>
          </w:p>
        </w:tc>
      </w:tr>
      <w:tr w:rsidR="00280F65" w:rsidRPr="00F03354" w14:paraId="3BF2ECE3" w14:textId="77777777" w:rsidTr="00280F65">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887C1B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116" w:type="dxa"/>
            <w:tcBorders>
              <w:top w:val="single" w:sz="4" w:space="0" w:color="201547"/>
              <w:left w:val="single" w:sz="4" w:space="0" w:color="201547"/>
              <w:bottom w:val="single" w:sz="4" w:space="0" w:color="201547"/>
              <w:right w:val="single" w:sz="4" w:space="0" w:color="201547"/>
            </w:tcBorders>
            <w:hideMark/>
          </w:tcPr>
          <w:p w14:paraId="7B1E405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It is a requirement that all residential aged care facilities are accredited and maintain full compliance with the relevant accreditation standards.</w:t>
            </w:r>
          </w:p>
          <w:p w14:paraId="529868A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Commonwealth Government has primary responsibility for funding and regulating the residential aged care sector. In Victoria, a number of residential aged care services are provided by public health services and are subject to the Commonwealth’s Aged Care Accreditation Standards.</w:t>
            </w:r>
          </w:p>
        </w:tc>
      </w:tr>
      <w:tr w:rsidR="00280F65" w:rsidRPr="00F03354" w14:paraId="0F9CA3DC" w14:textId="77777777" w:rsidTr="00280F65">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717698B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116" w:type="dxa"/>
            <w:tcBorders>
              <w:top w:val="single" w:sz="4" w:space="0" w:color="201547"/>
              <w:left w:val="single" w:sz="4" w:space="0" w:color="201547"/>
              <w:bottom w:val="single" w:sz="4" w:space="0" w:color="201547"/>
              <w:right w:val="single" w:sz="4" w:space="0" w:color="201547"/>
            </w:tcBorders>
            <w:hideMark/>
          </w:tcPr>
          <w:p w14:paraId="6DCE16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assessed at the health service level. Where a health service has multiple facilities, all facilities are required to meet the expected outcomes.</w:t>
            </w:r>
          </w:p>
          <w:p w14:paraId="164A9A7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Full compliance with accreditation standards will be referred to as ‘achieved’.</w:t>
            </w:r>
          </w:p>
          <w:p w14:paraId="47157AD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Where a health service has not met accreditation standards they will be referred to as ‘not achieved’.</w:t>
            </w:r>
          </w:p>
          <w:p w14:paraId="1E15496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 achieve this indicator all residential aged care services must be fully compliant with all 44 expected outcomes of the Aged Care Accreditation Standards, at all times.</w:t>
            </w:r>
          </w:p>
          <w:p w14:paraId="31AD544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episodes where expected outcomes are not met during the reporting period will be assessed as ‘not achieved’. Any breaches require health services to meet a timetable for improvements set by the Aged Care Standards and Accreditation Agency (ACSAA), usually within a three-month period, which includes submitting action plans and follow-up visits during and after this period.</w:t>
            </w:r>
          </w:p>
          <w:p w14:paraId="6186DE30" w14:textId="77777777" w:rsidR="00280F65" w:rsidRPr="00F03354" w:rsidRDefault="00280F65" w:rsidP="00280F65">
            <w:pPr>
              <w:spacing w:before="120" w:after="60" w:line="240" w:lineRule="auto"/>
              <w:rPr>
                <w:rFonts w:ascii="VIC" w:eastAsia="Times New Roman" w:hAnsi="VIC" w:cs="Times New Roman"/>
                <w:b/>
                <w:sz w:val="20"/>
                <w:szCs w:val="20"/>
              </w:rPr>
            </w:pPr>
            <w:r w:rsidRPr="00F03354">
              <w:rPr>
                <w:rFonts w:ascii="VIC" w:eastAsia="Times New Roman" w:hAnsi="VIC" w:cs="Times New Roman"/>
                <w:b/>
                <w:sz w:val="20"/>
                <w:szCs w:val="20"/>
              </w:rPr>
              <w:t>Performance breach</w:t>
            </w:r>
          </w:p>
          <w:p w14:paraId="0E06D2B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As not met criteria for accreditation is considered a performance breach. </w:t>
            </w:r>
          </w:p>
          <w:p w14:paraId="36CDC8C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department’s Aged Care team should also be notified of any instances of noncompliance as soon as the ACSAA have identified them.</w:t>
            </w:r>
          </w:p>
        </w:tc>
      </w:tr>
      <w:tr w:rsidR="00280F65" w:rsidRPr="00F03354" w14:paraId="6B28C801" w14:textId="77777777" w:rsidTr="00280F65">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0746E46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116" w:type="dxa"/>
            <w:tcBorders>
              <w:top w:val="single" w:sz="4" w:space="0" w:color="201547"/>
              <w:left w:val="single" w:sz="4" w:space="0" w:color="201547"/>
              <w:bottom w:val="single" w:sz="4" w:space="0" w:color="201547"/>
              <w:right w:val="single" w:sz="4" w:space="0" w:color="201547"/>
            </w:tcBorders>
            <w:hideMark/>
          </w:tcPr>
          <w:p w14:paraId="45B5D13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Full compliance</w:t>
            </w:r>
          </w:p>
        </w:tc>
      </w:tr>
      <w:tr w:rsidR="00280F65" w:rsidRPr="00F03354" w14:paraId="4A26B244" w14:textId="77777777" w:rsidTr="00280F65">
        <w:trPr>
          <w:cantSplit/>
          <w:trHeight w:val="770"/>
        </w:trPr>
        <w:tc>
          <w:tcPr>
            <w:tcW w:w="2552" w:type="dxa"/>
            <w:tcBorders>
              <w:top w:val="single" w:sz="4" w:space="0" w:color="201547"/>
              <w:left w:val="single" w:sz="4" w:space="0" w:color="201547"/>
              <w:bottom w:val="single" w:sz="4" w:space="0" w:color="201547"/>
              <w:right w:val="single" w:sz="4" w:space="0" w:color="201547"/>
            </w:tcBorders>
            <w:hideMark/>
          </w:tcPr>
          <w:p w14:paraId="168DCD1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116" w:type="dxa"/>
            <w:tcBorders>
              <w:top w:val="single" w:sz="4" w:space="0" w:color="201547"/>
              <w:left w:val="single" w:sz="4" w:space="0" w:color="201547"/>
              <w:bottom w:val="single" w:sz="4" w:space="0" w:color="201547"/>
              <w:right w:val="single" w:sz="4" w:space="0" w:color="201547"/>
            </w:tcBorders>
          </w:tcPr>
          <w:p w14:paraId="5900E50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125E63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1F9E443A" w14:textId="77777777" w:rsidTr="00280F65">
        <w:trPr>
          <w:cantSplit/>
          <w:trHeight w:val="575"/>
        </w:trPr>
        <w:tc>
          <w:tcPr>
            <w:tcW w:w="2552" w:type="dxa"/>
            <w:tcBorders>
              <w:top w:val="single" w:sz="4" w:space="0" w:color="201547"/>
              <w:left w:val="single" w:sz="4" w:space="0" w:color="201547"/>
              <w:bottom w:val="single" w:sz="4" w:space="0" w:color="201547"/>
              <w:right w:val="single" w:sz="4" w:space="0" w:color="201547"/>
            </w:tcBorders>
            <w:vAlign w:val="center"/>
            <w:hideMark/>
          </w:tcPr>
          <w:p w14:paraId="4991C6E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116" w:type="dxa"/>
            <w:tcBorders>
              <w:top w:val="single" w:sz="4" w:space="0" w:color="201547"/>
              <w:left w:val="single" w:sz="4" w:space="0" w:color="201547"/>
              <w:bottom w:val="single" w:sz="4" w:space="0" w:color="201547"/>
              <w:right w:val="single" w:sz="4" w:space="0" w:color="201547"/>
            </w:tcBorders>
          </w:tcPr>
          <w:p w14:paraId="78884A7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against the previous accreditation result. </w:t>
            </w:r>
          </w:p>
        </w:tc>
      </w:tr>
      <w:tr w:rsidR="00280F65" w:rsidRPr="00F03354" w14:paraId="52136AC5" w14:textId="77777777" w:rsidTr="00280F65">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5AC1C2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116" w:type="dxa"/>
            <w:tcBorders>
              <w:top w:val="single" w:sz="4" w:space="0" w:color="201547"/>
              <w:left w:val="single" w:sz="4" w:space="0" w:color="201547"/>
              <w:bottom w:val="single" w:sz="4" w:space="0" w:color="201547"/>
              <w:right w:val="single" w:sz="4" w:space="0" w:color="201547"/>
            </w:tcBorders>
            <w:hideMark/>
          </w:tcPr>
          <w:p w14:paraId="06C07E5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Where a health service does not achieve the indicator in any quarter the annual result is not achieved.</w:t>
            </w:r>
          </w:p>
          <w:p w14:paraId="21BB098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accreditation status as at the end of the quarter for the health service is to be reported for the periods:</w:t>
            </w:r>
          </w:p>
          <w:p w14:paraId="1F6A2012"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455D0EB5"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1E0A0A20"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02333556"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0191D13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each quarter, a list of residential aged care services that have failed to comply with the Aged Care Accreditation Standards during the relevant quarter will be obtained.</w:t>
            </w:r>
          </w:p>
        </w:tc>
      </w:tr>
    </w:tbl>
    <w:p w14:paraId="4DF3DEDA" w14:textId="77777777" w:rsidR="00280F65" w:rsidRPr="00F03354" w:rsidRDefault="00280F65" w:rsidP="00280F65">
      <w:pPr>
        <w:spacing w:after="120" w:line="270" w:lineRule="atLeast"/>
        <w:rPr>
          <w:rFonts w:ascii="VIC" w:eastAsia="MS Gothic" w:hAnsi="VIC" w:cs="Arial"/>
          <w:color w:val="201547"/>
          <w:sz w:val="20"/>
          <w:szCs w:val="20"/>
        </w:rPr>
      </w:pPr>
      <w:r w:rsidRPr="00F03354">
        <w:rPr>
          <w:rFonts w:ascii="VIC" w:eastAsia="Times" w:hAnsi="VIC" w:cs="Times New Roman"/>
          <w:sz w:val="20"/>
          <w:szCs w:val="20"/>
        </w:rPr>
        <w:br w:type="page"/>
      </w:r>
    </w:p>
    <w:p w14:paraId="1FB92F62" w14:textId="77777777" w:rsidR="00280F65" w:rsidRPr="00F03354" w:rsidRDefault="00280F65" w:rsidP="00280F65">
      <w:pPr>
        <w:keepNext/>
        <w:keepLines/>
        <w:spacing w:before="240" w:after="120" w:line="280" w:lineRule="atLeast"/>
        <w:outlineLvl w:val="3"/>
        <w:rPr>
          <w:rFonts w:ascii="VIC" w:eastAsia="MS Mincho" w:hAnsi="VIC" w:cs="Arial"/>
          <w:b/>
          <w:bCs/>
          <w:color w:val="244C5A"/>
          <w:sz w:val="20"/>
          <w:szCs w:val="20"/>
        </w:rPr>
      </w:pPr>
      <w:bookmarkStart w:id="10" w:name="_Toc517959125"/>
      <w:bookmarkStart w:id="11" w:name="_Toc10123540"/>
      <w:r w:rsidRPr="00F03354">
        <w:rPr>
          <w:rFonts w:ascii="VIC" w:eastAsia="MS Mincho" w:hAnsi="VIC" w:cs="Arial"/>
          <w:b/>
          <w:bCs/>
          <w:color w:val="244C5A"/>
          <w:sz w:val="20"/>
          <w:szCs w:val="20"/>
        </w:rPr>
        <w:lastRenderedPageBreak/>
        <w:t>Infection prevention and control</w:t>
      </w:r>
      <w:bookmarkEnd w:id="10"/>
      <w:bookmarkEnd w:id="11"/>
    </w:p>
    <w:tbl>
      <w:tblPr>
        <w:tblW w:w="9668"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52"/>
        <w:gridCol w:w="3809"/>
        <w:gridCol w:w="3307"/>
      </w:tblGrid>
      <w:tr w:rsidR="00280F65" w:rsidRPr="00F03354" w14:paraId="421F4689" w14:textId="77777777" w:rsidTr="007201E3">
        <w:trPr>
          <w:cantSplit/>
          <w:trHeight w:val="60"/>
          <w:tblHeader/>
        </w:trPr>
        <w:tc>
          <w:tcPr>
            <w:tcW w:w="2552" w:type="dxa"/>
            <w:shd w:val="clear" w:color="auto" w:fill="244C5A"/>
          </w:tcPr>
          <w:p w14:paraId="1E5B8271"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116" w:type="dxa"/>
            <w:gridSpan w:val="2"/>
            <w:shd w:val="clear" w:color="auto" w:fill="244C5A"/>
          </w:tcPr>
          <w:p w14:paraId="37A7F99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Compliance with the Hand Hygiene Australia program</w:t>
            </w:r>
          </w:p>
        </w:tc>
      </w:tr>
      <w:tr w:rsidR="00280F65" w:rsidRPr="00F03354" w14:paraId="2FFB7D5C" w14:textId="77777777" w:rsidTr="007201E3">
        <w:trPr>
          <w:cantSplit/>
          <w:trHeight w:val="60"/>
        </w:trPr>
        <w:tc>
          <w:tcPr>
            <w:tcW w:w="2552" w:type="dxa"/>
            <w:hideMark/>
          </w:tcPr>
          <w:p w14:paraId="44E1DB7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116" w:type="dxa"/>
            <w:gridSpan w:val="2"/>
            <w:hideMark/>
          </w:tcPr>
          <w:p w14:paraId="27AC90E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hand hygiene program aims to improve compliance with best practice hand hygiene processes so that healthcare-associated infections are reduced.</w:t>
            </w:r>
          </w:p>
          <w:p w14:paraId="2240151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indicator encourages health services to achieve a high standard of hand hygiene and be fully compliant in their data submission to Hand Hygiene Australia (HHA).</w:t>
            </w:r>
          </w:p>
          <w:p w14:paraId="0F75A9B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percentage of hand hygiene compliance achieved. This percentage represents compliance with the ‘5 moments’ for hand hygiene methodology.</w:t>
            </w:r>
          </w:p>
        </w:tc>
      </w:tr>
      <w:tr w:rsidR="00280F65" w:rsidRPr="00F03354" w14:paraId="09674B28" w14:textId="77777777" w:rsidTr="007201E3">
        <w:trPr>
          <w:cantSplit/>
          <w:trHeight w:val="60"/>
        </w:trPr>
        <w:tc>
          <w:tcPr>
            <w:tcW w:w="2552" w:type="dxa"/>
            <w:hideMark/>
          </w:tcPr>
          <w:p w14:paraId="5E0503A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116" w:type="dxa"/>
            <w:gridSpan w:val="2"/>
            <w:hideMark/>
          </w:tcPr>
          <w:p w14:paraId="0169A6E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VICNISS coordinates the hand hygiene program for Victoria. Data are reported to HHA. VICNISS analyses the data for each audit period and reports results to the department.</w:t>
            </w:r>
          </w:p>
          <w:p w14:paraId="4D34130D" w14:textId="0B8031E2"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Auditing requirements are outlined by </w:t>
            </w:r>
            <w:hyperlink r:id="rId12" w:history="1">
              <w:r w:rsidRPr="00F03354">
                <w:rPr>
                  <w:rFonts w:ascii="VIC" w:eastAsia="Times New Roman" w:hAnsi="VIC" w:cs="Times New Roman"/>
                  <w:color w:val="3366FF"/>
                  <w:sz w:val="20"/>
                  <w:szCs w:val="20"/>
                  <w:u w:val="dotted"/>
                </w:rPr>
                <w:t>Hand Hygiene Australia</w:t>
              </w:r>
            </w:hyperlink>
            <w:r w:rsidRPr="00F03354">
              <w:rPr>
                <w:rFonts w:ascii="VIC" w:eastAsia="Times New Roman" w:hAnsi="VIC" w:cs="Times New Roman"/>
                <w:sz w:val="20"/>
                <w:szCs w:val="20"/>
              </w:rPr>
              <w:t xml:space="preserve"> &lt;http://www.hha.org.au</w:t>
            </w:r>
            <w:r w:rsidRPr="00F03354">
              <w:rPr>
                <w:rFonts w:ascii="VIC" w:eastAsia="Times New Roman" w:hAnsi="VIC" w:cs="Times New Roman"/>
                <w:color w:val="000000" w:themeColor="text1"/>
                <w:sz w:val="20"/>
                <w:szCs w:val="20"/>
              </w:rPr>
              <w:t>&gt;.</w:t>
            </w:r>
          </w:p>
          <w:p w14:paraId="61CBC99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There are three hand hygiene audit periods per year:</w:t>
            </w:r>
          </w:p>
          <w:p w14:paraId="6201926D"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31 October</w:t>
            </w:r>
          </w:p>
          <w:p w14:paraId="715B4100"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November to 31 March</w:t>
            </w:r>
          </w:p>
          <w:p w14:paraId="54D9A24C"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w:t>
            </w:r>
          </w:p>
          <w:p w14:paraId="3C341CD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moments each campus is required to collect is based on acute inpatient bed numbers submitted to the Agency Information Management System.</w:t>
            </w:r>
          </w:p>
          <w:p w14:paraId="36435F2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assessed at the health service level. Where a health service has multiple campuses, the compliance is aggregated to produce an average health service result.</w:t>
            </w:r>
          </w:p>
          <w:p w14:paraId="51A5A54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Where a health service has fewer than 25 acute inpatient beds at each campus, the number of moments required to be collected will be based on the total number of acute inpatient beds at the health service.</w:t>
            </w:r>
          </w:p>
          <w:p w14:paraId="5AC3177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department may determine alternative reporting arrangements for campuses with low bed numbers and low occupancy in consultation with SCV and the relevant health services.</w:t>
            </w:r>
          </w:p>
        </w:tc>
      </w:tr>
      <w:tr w:rsidR="00280F65" w:rsidRPr="00F03354" w14:paraId="1E5B394E" w14:textId="77777777" w:rsidTr="007201E3">
        <w:trPr>
          <w:cantSplit/>
          <w:trHeight w:val="60"/>
        </w:trPr>
        <w:tc>
          <w:tcPr>
            <w:tcW w:w="2552" w:type="dxa"/>
            <w:hideMark/>
          </w:tcPr>
          <w:p w14:paraId="5ABAEFB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Statewide target </w:t>
            </w:r>
          </w:p>
        </w:tc>
        <w:tc>
          <w:tcPr>
            <w:tcW w:w="7116" w:type="dxa"/>
            <w:gridSpan w:val="2"/>
            <w:vAlign w:val="center"/>
            <w:hideMark/>
          </w:tcPr>
          <w:p w14:paraId="508BCD99" w14:textId="77777777" w:rsidR="00280F65" w:rsidRPr="00F03354" w:rsidRDefault="00280F65" w:rsidP="00280F65">
            <w:pPr>
              <w:spacing w:before="80" w:after="60" w:line="240" w:lineRule="auto"/>
              <w:rPr>
                <w:rFonts w:ascii="VIC" w:eastAsia="Times New Roman" w:hAnsi="VIC" w:cs="Arial"/>
                <w:sz w:val="20"/>
                <w:szCs w:val="20"/>
              </w:rPr>
            </w:pPr>
            <w:r w:rsidRPr="00F03354">
              <w:rPr>
                <w:rFonts w:ascii="VIC" w:eastAsia="Times New Roman" w:hAnsi="VIC" w:cs="Times New Roman"/>
                <w:sz w:val="20"/>
                <w:szCs w:val="20"/>
              </w:rPr>
              <w:t>≥ 85%</w:t>
            </w:r>
          </w:p>
        </w:tc>
      </w:tr>
      <w:tr w:rsidR="00280F65" w:rsidRPr="00F03354" w14:paraId="0D8F6ED2" w14:textId="77777777" w:rsidTr="007201E3">
        <w:trPr>
          <w:cantSplit/>
          <w:trHeight w:val="60"/>
        </w:trPr>
        <w:tc>
          <w:tcPr>
            <w:tcW w:w="2552" w:type="dxa"/>
            <w:vMerge w:val="restart"/>
          </w:tcPr>
          <w:p w14:paraId="2CB22D3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809" w:type="dxa"/>
          </w:tcPr>
          <w:p w14:paraId="4A7C920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Equal to or above 85% </w:t>
            </w:r>
          </w:p>
        </w:tc>
        <w:tc>
          <w:tcPr>
            <w:tcW w:w="3307" w:type="dxa"/>
          </w:tcPr>
          <w:p w14:paraId="27FC1A73"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72DC218D" w14:textId="77777777" w:rsidTr="007201E3">
        <w:trPr>
          <w:cantSplit/>
          <w:trHeight w:val="60"/>
        </w:trPr>
        <w:tc>
          <w:tcPr>
            <w:tcW w:w="2552" w:type="dxa"/>
            <w:vMerge/>
          </w:tcPr>
          <w:p w14:paraId="529B14E0"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09" w:type="dxa"/>
          </w:tcPr>
          <w:p w14:paraId="227CC41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Below 85% </w:t>
            </w:r>
          </w:p>
        </w:tc>
        <w:tc>
          <w:tcPr>
            <w:tcW w:w="3307" w:type="dxa"/>
          </w:tcPr>
          <w:p w14:paraId="277C9E92"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514E59B1" w14:textId="77777777" w:rsidTr="007201E3">
        <w:trPr>
          <w:cantSplit/>
          <w:trHeight w:val="60"/>
        </w:trPr>
        <w:tc>
          <w:tcPr>
            <w:tcW w:w="2552" w:type="dxa"/>
          </w:tcPr>
          <w:p w14:paraId="020008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Improvement </w:t>
            </w:r>
          </w:p>
        </w:tc>
        <w:tc>
          <w:tcPr>
            <w:tcW w:w="7116" w:type="dxa"/>
            <w:gridSpan w:val="2"/>
          </w:tcPr>
          <w:p w14:paraId="564933A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reporting period.</w:t>
            </w:r>
          </w:p>
        </w:tc>
      </w:tr>
      <w:tr w:rsidR="00280F65" w:rsidRPr="00F03354" w14:paraId="1B927E99" w14:textId="77777777" w:rsidTr="007201E3">
        <w:trPr>
          <w:cantSplit/>
          <w:trHeight w:val="60"/>
        </w:trPr>
        <w:tc>
          <w:tcPr>
            <w:tcW w:w="2552" w:type="dxa"/>
            <w:hideMark/>
          </w:tcPr>
          <w:p w14:paraId="45D3C0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116" w:type="dxa"/>
            <w:gridSpan w:val="2"/>
            <w:hideMark/>
          </w:tcPr>
          <w:p w14:paraId="6790C3F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collected at the campus level and used to produce an aggregated health service result.</w:t>
            </w:r>
          </w:p>
          <w:p w14:paraId="37BAA36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Hand hygiene compliance data is submitted to HHA throughout the year, and VICNISS creates reports for the three audit periods:</w:t>
            </w:r>
          </w:p>
          <w:p w14:paraId="0E1BD454"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31 October (reported with quarter 2)</w:t>
            </w:r>
          </w:p>
          <w:p w14:paraId="5CAD648B"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November to 31 March (reported with quarter 3)</w:t>
            </w:r>
          </w:p>
          <w:p w14:paraId="02F71406"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(reported with quarter 4).</w:t>
            </w:r>
          </w:p>
          <w:p w14:paraId="5BC7D06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Where a campus fails to submit the required number of moments in an audit period the measure is deemed not met. </w:t>
            </w:r>
          </w:p>
        </w:tc>
      </w:tr>
    </w:tbl>
    <w:p w14:paraId="5E0F7E22" w14:textId="77777777" w:rsidR="00280F65" w:rsidRPr="00F03354" w:rsidRDefault="00280F65" w:rsidP="00280F65">
      <w:pPr>
        <w:spacing w:after="120" w:line="270" w:lineRule="atLeast"/>
        <w:rPr>
          <w:rFonts w:ascii="VIC" w:eastAsia="Times" w:hAnsi="VIC" w:cs="Times New Roman"/>
          <w:b/>
          <w:bCs/>
          <w:sz w:val="20"/>
          <w:szCs w:val="20"/>
        </w:rPr>
      </w:pPr>
      <w:r w:rsidRPr="00F03354">
        <w:rPr>
          <w:rFonts w:ascii="VIC" w:eastAsia="Times" w:hAnsi="VIC" w:cs="Times New Roman"/>
          <w:sz w:val="20"/>
          <w:szCs w:val="20"/>
        </w:rPr>
        <w:br w:type="page"/>
      </w:r>
    </w:p>
    <w:tbl>
      <w:tblPr>
        <w:tblW w:w="9668"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52"/>
        <w:gridCol w:w="3664"/>
        <w:gridCol w:w="3452"/>
      </w:tblGrid>
      <w:tr w:rsidR="00280F65" w:rsidRPr="00F03354" w14:paraId="522B7558" w14:textId="77777777" w:rsidTr="007201E3">
        <w:trPr>
          <w:cantSplit/>
          <w:trHeight w:val="60"/>
          <w:tblHeader/>
        </w:trPr>
        <w:tc>
          <w:tcPr>
            <w:tcW w:w="0" w:type="auto"/>
            <w:shd w:val="clear" w:color="auto" w:fill="244C5A"/>
          </w:tcPr>
          <w:p w14:paraId="1366D44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116" w:type="dxa"/>
            <w:gridSpan w:val="2"/>
            <w:shd w:val="clear" w:color="auto" w:fill="244C5A"/>
          </w:tcPr>
          <w:p w14:paraId="6AEAF0F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healthcare workers immunised for influenza</w:t>
            </w:r>
          </w:p>
        </w:tc>
      </w:tr>
      <w:tr w:rsidR="00280F65" w:rsidRPr="00F03354" w14:paraId="09AAB698" w14:textId="77777777" w:rsidTr="007201E3">
        <w:trPr>
          <w:cantSplit/>
          <w:trHeight w:val="60"/>
        </w:trPr>
        <w:tc>
          <w:tcPr>
            <w:tcW w:w="2552" w:type="dxa"/>
            <w:hideMark/>
          </w:tcPr>
          <w:p w14:paraId="6841989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116" w:type="dxa"/>
            <w:gridSpan w:val="2"/>
            <w:hideMark/>
          </w:tcPr>
          <w:p w14:paraId="3787E11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High coverage rates of immunisation in healthcare workers (HCW) are essential to reduce the risk of influenza transmission in healthcare settings.</w:t>
            </w:r>
          </w:p>
          <w:p w14:paraId="72D27848" w14:textId="67C153BC"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aims to measure the percentage of vaccinated health service staff (including residential aged care services and community health staff) who are permanently, temporarily</w:t>
            </w:r>
            <w:r w:rsidR="00305D64" w:rsidRPr="00F03354">
              <w:rPr>
                <w:rFonts w:ascii="VIC" w:eastAsia="Times New Roman" w:hAnsi="VIC" w:cs="Times New Roman"/>
                <w:sz w:val="20"/>
                <w:szCs w:val="20"/>
              </w:rPr>
              <w:t>,</w:t>
            </w:r>
            <w:r w:rsidRPr="00F03354">
              <w:rPr>
                <w:rFonts w:ascii="VIC" w:eastAsia="Times New Roman" w:hAnsi="VIC" w:cs="Times New Roman"/>
                <w:sz w:val="20"/>
                <w:szCs w:val="20"/>
              </w:rPr>
              <w:t xml:space="preserve"> or casually (bank staff) employed by the nominated hospital / health service and worked one or more shifts during the influenza vaccination campaign.</w:t>
            </w:r>
          </w:p>
          <w:p w14:paraId="0F5D4EF5" w14:textId="50066219"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HCW categories used are aligned with the Australian Council on Safety and Quality in Health Care (ACSQHC) </w:t>
            </w:r>
            <w:r w:rsidRPr="00F03354">
              <w:rPr>
                <w:rFonts w:ascii="VIC" w:eastAsia="Times New Roman" w:hAnsi="VIC" w:cs="Times New Roman"/>
                <w:i/>
                <w:sz w:val="20"/>
                <w:szCs w:val="20"/>
              </w:rPr>
              <w:t>Australian guidelines for prevention and control of infection in healthcare</w:t>
            </w:r>
            <w:r w:rsidRPr="00F03354">
              <w:rPr>
                <w:rFonts w:ascii="VIC" w:eastAsia="Times New Roman" w:hAnsi="VIC" w:cs="Times New Roman"/>
                <w:sz w:val="20"/>
                <w:szCs w:val="20"/>
              </w:rPr>
              <w:t xml:space="preserve">. Details can be found at </w:t>
            </w:r>
            <w:hyperlink r:id="rId13" w:history="1">
              <w:r w:rsidRPr="00F03354">
                <w:rPr>
                  <w:rFonts w:ascii="VIC" w:eastAsia="Times New Roman" w:hAnsi="VIC" w:cs="Times New Roman"/>
                  <w:color w:val="3366FF"/>
                  <w:sz w:val="20"/>
                  <w:szCs w:val="20"/>
                  <w:u w:val="dotted"/>
                </w:rPr>
                <w:t>VICNISS</w:t>
              </w:r>
            </w:hyperlink>
            <w:r w:rsidRPr="00F03354">
              <w:rPr>
                <w:rFonts w:ascii="VIC" w:eastAsia="Times New Roman" w:hAnsi="VIC" w:cs="Times New Roman"/>
                <w:sz w:val="20"/>
                <w:szCs w:val="20"/>
              </w:rPr>
              <w:t xml:space="preserve"> &lt;http://www.vicniss.org.au</w:t>
            </w:r>
            <w:r w:rsidRPr="00F03354">
              <w:rPr>
                <w:rFonts w:ascii="VIC" w:eastAsia="Times New Roman" w:hAnsi="VIC" w:cs="Times New Roman"/>
                <w:color w:val="000000" w:themeColor="text1"/>
                <w:sz w:val="20"/>
                <w:szCs w:val="20"/>
              </w:rPr>
              <w:t>&gt;.</w:t>
            </w:r>
          </w:p>
        </w:tc>
      </w:tr>
      <w:tr w:rsidR="00280F65" w:rsidRPr="00F03354" w14:paraId="22EABB50" w14:textId="77777777" w:rsidTr="007201E3">
        <w:trPr>
          <w:cantSplit/>
          <w:trHeight w:val="60"/>
        </w:trPr>
        <w:tc>
          <w:tcPr>
            <w:tcW w:w="2552" w:type="dxa"/>
            <w:hideMark/>
          </w:tcPr>
          <w:p w14:paraId="752B916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116" w:type="dxa"/>
            <w:gridSpan w:val="2"/>
            <w:hideMark/>
          </w:tcPr>
          <w:p w14:paraId="2376E2E2" w14:textId="70AFD33E"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period used to calculate the rate of HCW immunisation is </w:t>
            </w:r>
            <w:r w:rsidR="007F5E59" w:rsidRPr="00F03354">
              <w:rPr>
                <w:rFonts w:ascii="VIC" w:eastAsia="Times New Roman" w:hAnsi="VIC" w:cs="Times New Roman"/>
                <w:sz w:val="20"/>
                <w:szCs w:val="20"/>
              </w:rPr>
              <w:t>11</w:t>
            </w:r>
            <w:r w:rsidRPr="00F03354">
              <w:rPr>
                <w:rFonts w:ascii="VIC" w:eastAsia="Times New Roman" w:hAnsi="VIC" w:cs="Times New Roman"/>
                <w:sz w:val="20"/>
                <w:szCs w:val="20"/>
              </w:rPr>
              <w:t xml:space="preserve"> April to </w:t>
            </w:r>
            <w:r w:rsidR="00DA7AF7" w:rsidRPr="00F03354">
              <w:rPr>
                <w:rFonts w:ascii="VIC" w:eastAsia="Times New Roman" w:hAnsi="VIC" w:cs="Times New Roman"/>
                <w:sz w:val="20"/>
                <w:szCs w:val="20"/>
              </w:rPr>
              <w:t>15</w:t>
            </w:r>
            <w:r w:rsidRPr="00F03354">
              <w:rPr>
                <w:rFonts w:ascii="VIC" w:eastAsia="Times New Roman" w:hAnsi="VIC" w:cs="Times New Roman"/>
                <w:sz w:val="20"/>
                <w:szCs w:val="20"/>
              </w:rPr>
              <w:t xml:space="preserve"> August</w:t>
            </w:r>
            <w:r w:rsidR="008B4D71" w:rsidRPr="00F03354">
              <w:rPr>
                <w:rFonts w:ascii="VIC" w:eastAsia="Times New Roman" w:hAnsi="VIC" w:cs="Times New Roman"/>
                <w:sz w:val="20"/>
                <w:szCs w:val="20"/>
              </w:rPr>
              <w:t xml:space="preserve"> 2022</w:t>
            </w:r>
            <w:r w:rsidRPr="00F03354">
              <w:rPr>
                <w:rFonts w:ascii="VIC" w:eastAsia="Times New Roman" w:hAnsi="VIC" w:cs="Times New Roman"/>
                <w:sz w:val="20"/>
                <w:szCs w:val="20"/>
              </w:rPr>
              <w:t xml:space="preserve">. </w:t>
            </w:r>
          </w:p>
        </w:tc>
      </w:tr>
      <w:tr w:rsidR="00280F65" w:rsidRPr="00F03354" w14:paraId="6A640012" w14:textId="77777777" w:rsidTr="007201E3">
        <w:trPr>
          <w:cantSplit/>
          <w:trHeight w:val="60"/>
        </w:trPr>
        <w:tc>
          <w:tcPr>
            <w:tcW w:w="2552" w:type="dxa"/>
            <w:hideMark/>
          </w:tcPr>
          <w:p w14:paraId="2220C34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116" w:type="dxa"/>
            <w:gridSpan w:val="2"/>
            <w:hideMark/>
          </w:tcPr>
          <w:p w14:paraId="5DF0651D" w14:textId="2447DA46"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Number of category A, B and C HCW vaccinated as at </w:t>
            </w:r>
            <w:r w:rsidR="00DA7AF7" w:rsidRPr="00F03354">
              <w:rPr>
                <w:rFonts w:ascii="VIC" w:eastAsia="Times New Roman" w:hAnsi="VIC" w:cs="Times New Roman"/>
                <w:sz w:val="20"/>
                <w:szCs w:val="20"/>
              </w:rPr>
              <w:t>15</w:t>
            </w:r>
            <w:r w:rsidRPr="00F03354">
              <w:rPr>
                <w:rFonts w:ascii="VIC" w:eastAsia="Times New Roman" w:hAnsi="VIC" w:cs="Times New Roman"/>
                <w:sz w:val="20"/>
                <w:szCs w:val="20"/>
              </w:rPr>
              <w:t xml:space="preserve"> August.</w:t>
            </w:r>
          </w:p>
        </w:tc>
      </w:tr>
      <w:tr w:rsidR="00280F65" w:rsidRPr="00F03354" w14:paraId="4B0FAA22" w14:textId="77777777" w:rsidTr="007201E3">
        <w:trPr>
          <w:cantSplit/>
          <w:trHeight w:val="60"/>
        </w:trPr>
        <w:tc>
          <w:tcPr>
            <w:tcW w:w="2552" w:type="dxa"/>
            <w:hideMark/>
          </w:tcPr>
          <w:p w14:paraId="19639A0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116" w:type="dxa"/>
            <w:gridSpan w:val="2"/>
            <w:hideMark/>
          </w:tcPr>
          <w:p w14:paraId="1D185F60" w14:textId="08FB08B4"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category A, B and C HCW employed who worked one or more shifts during the influenza vaccination campaign (1</w:t>
            </w:r>
            <w:r w:rsidR="009B5203" w:rsidRPr="00F03354">
              <w:rPr>
                <w:rFonts w:ascii="VIC" w:eastAsia="Times New Roman" w:hAnsi="VIC" w:cs="Times New Roman"/>
                <w:sz w:val="20"/>
                <w:szCs w:val="20"/>
              </w:rPr>
              <w:t>1</w:t>
            </w:r>
            <w:r w:rsidRPr="00F03354">
              <w:rPr>
                <w:rFonts w:ascii="VIC" w:eastAsia="Times New Roman" w:hAnsi="VIC" w:cs="Times New Roman"/>
                <w:sz w:val="20"/>
                <w:szCs w:val="20"/>
              </w:rPr>
              <w:t xml:space="preserve"> April to </w:t>
            </w:r>
            <w:r w:rsidR="002119F6" w:rsidRPr="00F03354">
              <w:rPr>
                <w:rFonts w:ascii="VIC" w:eastAsia="Times New Roman" w:hAnsi="VIC" w:cs="Times New Roman"/>
                <w:sz w:val="20"/>
                <w:szCs w:val="20"/>
              </w:rPr>
              <w:t>15</w:t>
            </w:r>
            <w:r w:rsidRPr="00F03354">
              <w:rPr>
                <w:rFonts w:ascii="VIC" w:eastAsia="Times New Roman" w:hAnsi="VIC" w:cs="Times New Roman"/>
                <w:sz w:val="20"/>
                <w:szCs w:val="20"/>
              </w:rPr>
              <w:t xml:space="preserve"> August).</w:t>
            </w:r>
          </w:p>
        </w:tc>
      </w:tr>
      <w:tr w:rsidR="00280F65" w:rsidRPr="00F03354" w14:paraId="7D3DB7C6" w14:textId="77777777" w:rsidTr="007201E3">
        <w:trPr>
          <w:cantSplit/>
          <w:trHeight w:val="60"/>
        </w:trPr>
        <w:tc>
          <w:tcPr>
            <w:tcW w:w="2552" w:type="dxa"/>
            <w:hideMark/>
          </w:tcPr>
          <w:p w14:paraId="32FEC66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116" w:type="dxa"/>
            <w:gridSpan w:val="2"/>
            <w:vAlign w:val="center"/>
            <w:hideMark/>
          </w:tcPr>
          <w:p w14:paraId="730E0E0B" w14:textId="77777777" w:rsidR="00280F65" w:rsidRPr="00F03354" w:rsidRDefault="00280F65" w:rsidP="00280F65">
            <w:pPr>
              <w:spacing w:before="80" w:after="60" w:line="240" w:lineRule="auto"/>
              <w:rPr>
                <w:rFonts w:ascii="VIC" w:eastAsia="Times New Roman" w:hAnsi="VIC" w:cs="Arial"/>
                <w:sz w:val="20"/>
                <w:szCs w:val="20"/>
              </w:rPr>
            </w:pPr>
            <w:r w:rsidRPr="00F03354">
              <w:rPr>
                <w:rFonts w:ascii="VIC" w:eastAsia="Times New Roman" w:hAnsi="VIC" w:cs="Times New Roman"/>
                <w:sz w:val="20"/>
                <w:szCs w:val="20"/>
              </w:rPr>
              <w:t>≥ 92%</w:t>
            </w:r>
          </w:p>
        </w:tc>
      </w:tr>
      <w:tr w:rsidR="00280F65" w:rsidRPr="00F03354" w14:paraId="05884075" w14:textId="77777777" w:rsidTr="007201E3">
        <w:trPr>
          <w:cantSplit/>
          <w:trHeight w:val="60"/>
        </w:trPr>
        <w:tc>
          <w:tcPr>
            <w:tcW w:w="2552" w:type="dxa"/>
            <w:vMerge w:val="restart"/>
          </w:tcPr>
          <w:p w14:paraId="43C029D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664" w:type="dxa"/>
          </w:tcPr>
          <w:p w14:paraId="3E11907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Equal to or above 92% </w:t>
            </w:r>
          </w:p>
        </w:tc>
        <w:tc>
          <w:tcPr>
            <w:tcW w:w="3452" w:type="dxa"/>
          </w:tcPr>
          <w:p w14:paraId="42DF2481"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410FF295" w14:textId="77777777" w:rsidTr="007201E3">
        <w:trPr>
          <w:cantSplit/>
          <w:trHeight w:val="60"/>
        </w:trPr>
        <w:tc>
          <w:tcPr>
            <w:tcW w:w="2552" w:type="dxa"/>
            <w:vMerge/>
          </w:tcPr>
          <w:p w14:paraId="571D88F1"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664" w:type="dxa"/>
          </w:tcPr>
          <w:p w14:paraId="231B677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Below 92% </w:t>
            </w:r>
          </w:p>
        </w:tc>
        <w:tc>
          <w:tcPr>
            <w:tcW w:w="3452" w:type="dxa"/>
          </w:tcPr>
          <w:p w14:paraId="6D5DC308"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2B23585F" w14:textId="77777777" w:rsidTr="007201E3">
        <w:trPr>
          <w:cantSplit/>
          <w:trHeight w:val="60"/>
        </w:trPr>
        <w:tc>
          <w:tcPr>
            <w:tcW w:w="2552" w:type="dxa"/>
          </w:tcPr>
          <w:p w14:paraId="1BDA0E8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116" w:type="dxa"/>
            <w:gridSpan w:val="2"/>
            <w:vAlign w:val="center"/>
          </w:tcPr>
          <w:p w14:paraId="176C271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assessed against the previous year performance.</w:t>
            </w:r>
          </w:p>
        </w:tc>
      </w:tr>
      <w:tr w:rsidR="00280F65" w:rsidRPr="00F03354" w14:paraId="32829084" w14:textId="77777777" w:rsidTr="007201E3">
        <w:trPr>
          <w:cantSplit/>
          <w:trHeight w:val="60"/>
        </w:trPr>
        <w:tc>
          <w:tcPr>
            <w:tcW w:w="2552" w:type="dxa"/>
            <w:hideMark/>
          </w:tcPr>
          <w:p w14:paraId="0601F9E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116" w:type="dxa"/>
            <w:gridSpan w:val="2"/>
            <w:hideMark/>
          </w:tcPr>
          <w:p w14:paraId="14DCA7AD" w14:textId="21898B34"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on vaccination rates must be submitted to VICNISS by </w:t>
            </w:r>
            <w:r w:rsidR="008954A0" w:rsidRPr="00F03354">
              <w:rPr>
                <w:rFonts w:ascii="VIC" w:eastAsia="Times New Roman" w:hAnsi="VIC" w:cs="Times New Roman"/>
                <w:sz w:val="20"/>
                <w:szCs w:val="20"/>
              </w:rPr>
              <w:t>31 August</w:t>
            </w:r>
            <w:r w:rsidR="008B4D71" w:rsidRPr="00F03354">
              <w:rPr>
                <w:rFonts w:ascii="VIC" w:eastAsia="Times New Roman" w:hAnsi="VIC" w:cs="Times New Roman"/>
                <w:sz w:val="20"/>
                <w:szCs w:val="20"/>
              </w:rPr>
              <w:t xml:space="preserve"> 2022</w:t>
            </w:r>
            <w:r w:rsidRPr="00F03354">
              <w:rPr>
                <w:rFonts w:ascii="VIC" w:eastAsia="Times New Roman" w:hAnsi="VIC" w:cs="Times New Roman"/>
                <w:sz w:val="20"/>
                <w:szCs w:val="20"/>
              </w:rPr>
              <w:t>. If possible, data should be submitted by HCW category.</w:t>
            </w:r>
          </w:p>
          <w:p w14:paraId="7019576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Where data is not submitted, the measure is deemed as not achieved. </w:t>
            </w:r>
          </w:p>
          <w:p w14:paraId="173A4C0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Performance is monitored and assessed annually and reported in Q1. </w:t>
            </w:r>
          </w:p>
        </w:tc>
      </w:tr>
    </w:tbl>
    <w:p w14:paraId="55EEDCBC" w14:textId="77777777" w:rsidR="00280F65" w:rsidRPr="00F03354" w:rsidRDefault="00280F65" w:rsidP="00280F65">
      <w:pPr>
        <w:spacing w:after="120" w:line="270" w:lineRule="atLeast"/>
        <w:rPr>
          <w:rFonts w:ascii="VIC" w:eastAsia="MS Gothic" w:hAnsi="VIC" w:cs="Arial"/>
          <w:color w:val="201547"/>
          <w:sz w:val="20"/>
          <w:szCs w:val="20"/>
        </w:rPr>
      </w:pPr>
      <w:r w:rsidRPr="00F03354">
        <w:rPr>
          <w:rFonts w:ascii="VIC" w:eastAsia="Times" w:hAnsi="VIC" w:cs="Times New Roman"/>
          <w:sz w:val="20"/>
          <w:szCs w:val="20"/>
        </w:rPr>
        <w:br w:type="page"/>
      </w:r>
    </w:p>
    <w:p w14:paraId="47970EC2" w14:textId="77777777" w:rsidR="00280F65" w:rsidRPr="00F03354" w:rsidRDefault="00280F65" w:rsidP="00280F65">
      <w:pPr>
        <w:keepNext/>
        <w:keepLines/>
        <w:spacing w:before="240" w:after="120" w:line="280" w:lineRule="atLeast"/>
        <w:outlineLvl w:val="3"/>
        <w:rPr>
          <w:rFonts w:ascii="VIC" w:eastAsia="MS Mincho" w:hAnsi="VIC" w:cs="Arial"/>
          <w:b/>
          <w:bCs/>
          <w:color w:val="244C5A"/>
          <w:sz w:val="20"/>
          <w:szCs w:val="20"/>
        </w:rPr>
      </w:pPr>
      <w:bookmarkStart w:id="12" w:name="_Toc517959126"/>
      <w:bookmarkStart w:id="13" w:name="_Toc10123541"/>
      <w:r w:rsidRPr="00F03354">
        <w:rPr>
          <w:rFonts w:ascii="VIC" w:eastAsia="MS Mincho" w:hAnsi="VIC" w:cs="Arial"/>
          <w:b/>
          <w:bCs/>
          <w:color w:val="244C5A"/>
          <w:sz w:val="20"/>
          <w:szCs w:val="20"/>
        </w:rPr>
        <w:lastRenderedPageBreak/>
        <w:t>Patient experience</w:t>
      </w:r>
      <w:bookmarkEnd w:id="12"/>
      <w:bookmarkEnd w:id="13"/>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6717B4" w:rsidRPr="00F03354" w14:paraId="0202C33B" w14:textId="77777777" w:rsidTr="6BF3BDE6">
        <w:trPr>
          <w:cantSplit/>
          <w:trHeight w:val="60"/>
          <w:tblHeader/>
        </w:trPr>
        <w:tc>
          <w:tcPr>
            <w:tcW w:w="2014" w:type="dxa"/>
            <w:shd w:val="clear" w:color="auto" w:fill="244C5A"/>
          </w:tcPr>
          <w:p w14:paraId="4624F2EA" w14:textId="77777777" w:rsidR="006717B4" w:rsidRPr="00F03354" w:rsidRDefault="006717B4" w:rsidP="00D65821">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285" w:type="dxa"/>
            <w:gridSpan w:val="2"/>
            <w:shd w:val="clear" w:color="auto" w:fill="244C5A"/>
          </w:tcPr>
          <w:p w14:paraId="1287E256" w14:textId="71A92672" w:rsidR="006717B4" w:rsidRPr="00F03354" w:rsidRDefault="62699B34" w:rsidP="6BF3BDE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Percentage of patients who reported positive experiences of their hospital stay</w:t>
            </w:r>
          </w:p>
        </w:tc>
      </w:tr>
      <w:tr w:rsidR="006717B4" w:rsidRPr="00F03354" w14:paraId="7093E847" w14:textId="77777777" w:rsidTr="6BF3BDE6">
        <w:trPr>
          <w:cantSplit/>
          <w:trHeight w:val="60"/>
        </w:trPr>
        <w:tc>
          <w:tcPr>
            <w:tcW w:w="2014" w:type="dxa"/>
            <w:hideMark/>
          </w:tcPr>
          <w:p w14:paraId="3F085493"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285" w:type="dxa"/>
            <w:gridSpan w:val="2"/>
            <w:hideMark/>
          </w:tcPr>
          <w:p w14:paraId="3DA15057"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Patient experience measures provide a patient-centred perspective on interactions with health-care providers. Monitoring insights from these measures contributes to improving the provision of care and strengthens the relationship between patients and care providers. These measures contribute to overall safety and quality monitoring within the health system.</w:t>
            </w:r>
          </w:p>
        </w:tc>
      </w:tr>
      <w:tr w:rsidR="006717B4" w:rsidRPr="00F03354" w14:paraId="32D03E90" w14:textId="77777777" w:rsidTr="6BF3BDE6">
        <w:trPr>
          <w:cantSplit/>
          <w:trHeight w:val="60"/>
        </w:trPr>
        <w:tc>
          <w:tcPr>
            <w:tcW w:w="2014" w:type="dxa"/>
            <w:hideMark/>
          </w:tcPr>
          <w:p w14:paraId="7542E15A"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285" w:type="dxa"/>
            <w:gridSpan w:val="2"/>
            <w:hideMark/>
          </w:tcPr>
          <w:p w14:paraId="34BE6881" w14:textId="2DA0F066" w:rsidR="006717B4" w:rsidRPr="00F03354" w:rsidRDefault="62699B34" w:rsidP="6BF3BDE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percentage of patients who respond</w:t>
            </w:r>
            <w:r w:rsidR="46644D08" w:rsidRPr="00F03354">
              <w:rPr>
                <w:rFonts w:ascii="VIC" w:eastAsia="Times New Roman" w:hAnsi="VIC" w:cs="Times New Roman"/>
                <w:sz w:val="20"/>
                <w:szCs w:val="20"/>
              </w:rPr>
              <w:t>,</w:t>
            </w:r>
            <w:r w:rsidRPr="00F03354">
              <w:rPr>
                <w:rFonts w:ascii="VIC" w:eastAsia="Times New Roman" w:hAnsi="VIC" w:cs="Times New Roman"/>
                <w:sz w:val="20"/>
                <w:szCs w:val="20"/>
              </w:rPr>
              <w:t xml:space="preserve"> 'Very good' or 'Good' to question</w:t>
            </w:r>
          </w:p>
          <w:p w14:paraId="2498E435" w14:textId="60B4B183" w:rsidR="006717B4" w:rsidRPr="00F03354" w:rsidRDefault="62699B34" w:rsidP="6BF3BDE6">
            <w:pPr>
              <w:pStyle w:val="ListParagraph"/>
              <w:numPr>
                <w:ilvl w:val="0"/>
                <w:numId w:val="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'Overall, how would you rate the care you received from the in hospital?' in the adult inpatient section of the Victorian Healthcare Experience Survey (VHES)</w:t>
            </w:r>
            <w:r w:rsidR="0FBBF65B" w:rsidRPr="00F03354">
              <w:rPr>
                <w:rFonts w:ascii="VIC" w:eastAsia="Times New Roman" w:hAnsi="VIC" w:cs="Times New Roman"/>
                <w:sz w:val="20"/>
                <w:szCs w:val="20"/>
              </w:rPr>
              <w:t xml:space="preserve"> </w:t>
            </w:r>
            <w:r w:rsidR="67CA56BE" w:rsidRPr="00F03354">
              <w:rPr>
                <w:rFonts w:ascii="VIC" w:eastAsia="Times New Roman" w:hAnsi="VIC" w:cs="Times New Roman"/>
                <w:sz w:val="20"/>
                <w:szCs w:val="20"/>
              </w:rPr>
              <w:t xml:space="preserve">collected at </w:t>
            </w:r>
            <w:r w:rsidR="27B6846A" w:rsidRPr="00F03354">
              <w:rPr>
                <w:rFonts w:ascii="VIC" w:eastAsia="Times New Roman" w:hAnsi="VIC" w:cs="Times New Roman"/>
                <w:sz w:val="20"/>
                <w:szCs w:val="20"/>
              </w:rPr>
              <w:t>all health services with exception of Royal Childrens Hospital</w:t>
            </w:r>
          </w:p>
          <w:p w14:paraId="7D41B74E" w14:textId="45FAFC00" w:rsidR="006717B4" w:rsidRPr="00F03354" w:rsidRDefault="0FBBF65B" w:rsidP="6BF3BDE6">
            <w:pPr>
              <w:spacing w:before="80" w:after="60" w:line="240" w:lineRule="auto"/>
              <w:rPr>
                <w:rFonts w:ascii="VIC" w:eastAsia="Times New Roman" w:hAnsi="VIC" w:cs="Times New Roman"/>
                <w:sz w:val="20"/>
                <w:szCs w:val="20"/>
              </w:rPr>
            </w:pPr>
            <w:r w:rsidRPr="00F03354">
              <w:rPr>
                <w:rFonts w:ascii="VIC" w:eastAsia="Times New Roman" w:hAnsi="VIC" w:cs="Times New Roman"/>
                <w:i/>
                <w:iCs/>
                <w:sz w:val="20"/>
                <w:szCs w:val="20"/>
              </w:rPr>
              <w:t>or</w:t>
            </w:r>
            <w:r w:rsidR="085E7897" w:rsidRPr="00F03354">
              <w:rPr>
                <w:rFonts w:ascii="VIC" w:eastAsia="Times New Roman" w:hAnsi="VIC" w:cs="Times New Roman"/>
                <w:i/>
                <w:iCs/>
                <w:sz w:val="20"/>
                <w:szCs w:val="20"/>
              </w:rPr>
              <w:t xml:space="preserve"> to the question</w:t>
            </w:r>
            <w:r w:rsidRPr="00F03354">
              <w:rPr>
                <w:rFonts w:ascii="VIC" w:eastAsia="Times New Roman" w:hAnsi="VIC" w:cs="Times New Roman"/>
                <w:i/>
                <w:iCs/>
                <w:sz w:val="20"/>
                <w:szCs w:val="20"/>
              </w:rPr>
              <w:t xml:space="preserve"> </w:t>
            </w:r>
          </w:p>
          <w:p w14:paraId="21CC39C0" w14:textId="5A35D64A" w:rsidR="006717B4" w:rsidRPr="00F03354" w:rsidRDefault="4462C48A" w:rsidP="6BF3BDE6">
            <w:pPr>
              <w:pStyle w:val="ListParagraph"/>
              <w:numPr>
                <w:ilvl w:val="0"/>
                <w:numId w:val="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t>
            </w:r>
            <w:r w:rsidRPr="00F03354">
              <w:rPr>
                <w:rFonts w:ascii="VIC" w:eastAsia="VIC" w:hAnsi="VIC" w:cs="VIC"/>
                <w:sz w:val="21"/>
                <w:szCs w:val="21"/>
              </w:rPr>
              <w:t>Overall, how would you rate the care your child received from the hospital?’</w:t>
            </w:r>
            <w:r w:rsidR="0FBBF65B" w:rsidRPr="00F03354">
              <w:rPr>
                <w:rFonts w:ascii="VIC" w:eastAsia="Times New Roman" w:hAnsi="VIC" w:cs="Times New Roman"/>
                <w:sz w:val="20"/>
                <w:szCs w:val="20"/>
              </w:rPr>
              <w:t xml:space="preserve"> in the inpatient section of the Victorian Paediatric Inpatient Survey</w:t>
            </w:r>
            <w:r w:rsidR="7E1308D4" w:rsidRPr="00F03354">
              <w:rPr>
                <w:rFonts w:ascii="VIC" w:eastAsia="Times New Roman" w:hAnsi="VIC" w:cs="Times New Roman"/>
                <w:sz w:val="20"/>
                <w:szCs w:val="20"/>
              </w:rPr>
              <w:t xml:space="preserve"> collected at Royal Childrens Hospital only</w:t>
            </w:r>
          </w:p>
        </w:tc>
      </w:tr>
      <w:tr w:rsidR="006717B4" w:rsidRPr="00F03354" w14:paraId="1925BF03" w14:textId="77777777" w:rsidTr="6BF3BDE6">
        <w:trPr>
          <w:cantSplit/>
          <w:trHeight w:val="60"/>
        </w:trPr>
        <w:tc>
          <w:tcPr>
            <w:tcW w:w="2014" w:type="dxa"/>
            <w:hideMark/>
          </w:tcPr>
          <w:p w14:paraId="79FCDC8C"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285" w:type="dxa"/>
            <w:gridSpan w:val="2"/>
            <w:hideMark/>
          </w:tcPr>
          <w:p w14:paraId="74A5D693" w14:textId="2B004CB1" w:rsidR="006717B4" w:rsidRPr="007C75C3" w:rsidRDefault="62699B34" w:rsidP="6BF3BDE6">
            <w:pPr>
              <w:spacing w:before="80" w:after="60" w:line="240" w:lineRule="auto"/>
              <w:rPr>
                <w:rFonts w:ascii="VIC" w:eastAsia="Times New Roman" w:hAnsi="VIC" w:cs="Times New Roman"/>
                <w:i/>
                <w:iCs/>
                <w:sz w:val="20"/>
                <w:szCs w:val="20"/>
              </w:rPr>
            </w:pPr>
            <w:r w:rsidRPr="007C75C3">
              <w:rPr>
                <w:rFonts w:ascii="VIC" w:eastAsia="Times New Roman" w:hAnsi="VIC" w:cs="Times New Roman"/>
                <w:sz w:val="20"/>
                <w:szCs w:val="20"/>
              </w:rPr>
              <w:t>Weighted sum of '‘Good’ or ‘Very good’ responses to the question: 'Overall, how would you rate the care you received while in hospital?</w:t>
            </w:r>
            <w:r w:rsidR="30D3506B" w:rsidRPr="007C75C3">
              <w:rPr>
                <w:rFonts w:ascii="VIC" w:eastAsia="Times New Roman" w:hAnsi="VIC" w:cs="Times New Roman"/>
                <w:sz w:val="20"/>
                <w:szCs w:val="20"/>
              </w:rPr>
              <w:t xml:space="preserve"> </w:t>
            </w:r>
            <w:r w:rsidR="30D3506B" w:rsidRPr="007C75C3">
              <w:rPr>
                <w:rFonts w:ascii="VIC" w:eastAsia="Times New Roman" w:hAnsi="VIC" w:cs="Times New Roman"/>
                <w:i/>
                <w:iCs/>
                <w:sz w:val="20"/>
                <w:szCs w:val="20"/>
              </w:rPr>
              <w:t>Or the question</w:t>
            </w:r>
            <w:r w:rsidR="30D3506B" w:rsidRPr="007C75C3">
              <w:rPr>
                <w:rFonts w:ascii="VIC" w:eastAsia="Times New Roman" w:hAnsi="VIC" w:cs="Times New Roman"/>
                <w:sz w:val="20"/>
                <w:szCs w:val="20"/>
              </w:rPr>
              <w:t xml:space="preserve"> ‘</w:t>
            </w:r>
            <w:r w:rsidR="30D3506B" w:rsidRPr="007C75C3">
              <w:rPr>
                <w:rFonts w:ascii="VIC" w:eastAsia="VIC" w:hAnsi="VIC" w:cs="VIC"/>
                <w:sz w:val="20"/>
                <w:szCs w:val="20"/>
              </w:rPr>
              <w:t>Overall, how would you rate the care your child received from the hospital?’</w:t>
            </w:r>
            <w:r w:rsidR="30D3506B" w:rsidRPr="007C75C3">
              <w:rPr>
                <w:rFonts w:ascii="VIC" w:eastAsia="Times New Roman" w:hAnsi="VIC" w:cs="Times New Roman"/>
                <w:sz w:val="20"/>
                <w:szCs w:val="20"/>
              </w:rPr>
              <w:t xml:space="preserve"> </w:t>
            </w:r>
          </w:p>
        </w:tc>
      </w:tr>
      <w:tr w:rsidR="006717B4" w:rsidRPr="00F03354" w14:paraId="3045911B" w14:textId="77777777" w:rsidTr="6BF3BDE6">
        <w:trPr>
          <w:cantSplit/>
          <w:trHeight w:val="60"/>
        </w:trPr>
        <w:tc>
          <w:tcPr>
            <w:tcW w:w="2014" w:type="dxa"/>
            <w:hideMark/>
          </w:tcPr>
          <w:p w14:paraId="581DA86F"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285" w:type="dxa"/>
            <w:gridSpan w:val="2"/>
            <w:hideMark/>
          </w:tcPr>
          <w:p w14:paraId="04D39C12" w14:textId="71EDAE79" w:rsidR="006717B4" w:rsidRPr="00F03354" w:rsidRDefault="62699B34" w:rsidP="6BF3BDE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Weighted sum of valid responses to the question 'Overall, how would you rate the care you received while in hospital?'</w:t>
            </w:r>
            <w:r w:rsidR="632F3AF6" w:rsidRPr="00F03354">
              <w:rPr>
                <w:rFonts w:ascii="VIC" w:eastAsia="Times New Roman" w:hAnsi="VIC" w:cs="Times New Roman"/>
                <w:sz w:val="20"/>
                <w:szCs w:val="20"/>
              </w:rPr>
              <w:t xml:space="preserve"> </w:t>
            </w:r>
            <w:r w:rsidR="632F3AF6" w:rsidRPr="00F03354">
              <w:rPr>
                <w:rFonts w:ascii="VIC" w:eastAsia="Times New Roman" w:hAnsi="VIC" w:cs="Times New Roman"/>
                <w:i/>
                <w:iCs/>
                <w:sz w:val="20"/>
                <w:szCs w:val="20"/>
              </w:rPr>
              <w:t>Or the question</w:t>
            </w:r>
            <w:r w:rsidR="632F3AF6" w:rsidRPr="00F03354">
              <w:rPr>
                <w:rFonts w:ascii="VIC" w:eastAsia="Times New Roman" w:hAnsi="VIC" w:cs="Times New Roman"/>
                <w:sz w:val="20"/>
                <w:szCs w:val="20"/>
              </w:rPr>
              <w:t xml:space="preserve"> ‘</w:t>
            </w:r>
            <w:r w:rsidR="632F3AF6" w:rsidRPr="00F03354">
              <w:rPr>
                <w:rFonts w:ascii="VIC" w:eastAsia="VIC" w:hAnsi="VIC" w:cs="VIC"/>
                <w:sz w:val="21"/>
                <w:szCs w:val="21"/>
              </w:rPr>
              <w:t>Overall, how would you rate the care your child received from the hospital?’</w:t>
            </w:r>
          </w:p>
          <w:p w14:paraId="451707AD"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excludes:</w:t>
            </w:r>
          </w:p>
          <w:p w14:paraId="1F8E46F9" w14:textId="77777777" w:rsidR="006717B4" w:rsidRPr="00F03354" w:rsidRDefault="006717B4" w:rsidP="0089279C">
            <w:pPr>
              <w:numPr>
                <w:ilvl w:val="0"/>
                <w:numId w:val="30"/>
              </w:numPr>
              <w:spacing w:before="80" w:after="60" w:line="240" w:lineRule="auto"/>
              <w:ind w:left="335" w:hanging="218"/>
              <w:rPr>
                <w:rFonts w:ascii="VIC" w:eastAsia="Times New Roman" w:hAnsi="VIC" w:cs="Times New Roman"/>
                <w:sz w:val="20"/>
                <w:szCs w:val="20"/>
              </w:rPr>
            </w:pPr>
            <w:r w:rsidRPr="00F03354">
              <w:rPr>
                <w:rFonts w:ascii="VIC" w:eastAsia="Times New Roman" w:hAnsi="VIC" w:cs="Times New Roman"/>
                <w:sz w:val="20"/>
                <w:szCs w:val="20"/>
              </w:rPr>
              <w:t>Invalid responses to any question</w:t>
            </w:r>
          </w:p>
        </w:tc>
      </w:tr>
      <w:tr w:rsidR="006717B4" w:rsidRPr="00F03354" w14:paraId="008A81B3" w14:textId="77777777" w:rsidTr="6BF3BDE6">
        <w:trPr>
          <w:cantSplit/>
          <w:trHeight w:val="60"/>
        </w:trPr>
        <w:tc>
          <w:tcPr>
            <w:tcW w:w="2014" w:type="dxa"/>
            <w:hideMark/>
          </w:tcPr>
          <w:p w14:paraId="77DC79B2"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285" w:type="dxa"/>
            <w:gridSpan w:val="2"/>
            <w:vAlign w:val="center"/>
            <w:hideMark/>
          </w:tcPr>
          <w:p w14:paraId="6035870A" w14:textId="77777777" w:rsidR="006717B4" w:rsidRPr="00F03354" w:rsidRDefault="006717B4" w:rsidP="00D65821">
            <w:pPr>
              <w:spacing w:before="80" w:after="60" w:line="240" w:lineRule="auto"/>
              <w:rPr>
                <w:rFonts w:ascii="VIC" w:eastAsia="Times New Roman" w:hAnsi="VIC" w:cs="Arial"/>
                <w:sz w:val="20"/>
                <w:szCs w:val="20"/>
              </w:rPr>
            </w:pPr>
            <w:r w:rsidRPr="00F03354">
              <w:rPr>
                <w:rFonts w:ascii="VIC" w:eastAsia="Times New Roman" w:hAnsi="VIC" w:cs="Times New Roman"/>
                <w:sz w:val="20"/>
                <w:szCs w:val="20"/>
              </w:rPr>
              <w:t>≥ 95%</w:t>
            </w:r>
          </w:p>
        </w:tc>
      </w:tr>
      <w:tr w:rsidR="006717B4" w:rsidRPr="00F03354" w14:paraId="7E1CEA9A" w14:textId="77777777" w:rsidTr="6BF3BDE6">
        <w:trPr>
          <w:cantSplit/>
          <w:trHeight w:val="60"/>
        </w:trPr>
        <w:tc>
          <w:tcPr>
            <w:tcW w:w="2014" w:type="dxa"/>
            <w:vMerge w:val="restart"/>
          </w:tcPr>
          <w:p w14:paraId="5C9E5531"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4107" w:type="dxa"/>
          </w:tcPr>
          <w:p w14:paraId="4137163D"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Equal to or above 95% </w:t>
            </w:r>
          </w:p>
        </w:tc>
        <w:tc>
          <w:tcPr>
            <w:tcW w:w="0" w:type="auto"/>
          </w:tcPr>
          <w:p w14:paraId="795CF481" w14:textId="77777777" w:rsidR="006717B4" w:rsidRPr="00F03354" w:rsidRDefault="006717B4" w:rsidP="00D65821">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6717B4" w:rsidRPr="00F03354" w14:paraId="766E28A7" w14:textId="77777777" w:rsidTr="6BF3BDE6">
        <w:trPr>
          <w:cantSplit/>
          <w:trHeight w:val="60"/>
        </w:trPr>
        <w:tc>
          <w:tcPr>
            <w:tcW w:w="2014" w:type="dxa"/>
            <w:vMerge/>
          </w:tcPr>
          <w:p w14:paraId="36610BF5" w14:textId="77777777" w:rsidR="006717B4" w:rsidRPr="00F03354" w:rsidRDefault="006717B4" w:rsidP="00D65821">
            <w:pPr>
              <w:spacing w:before="80" w:after="60" w:line="240" w:lineRule="auto"/>
              <w:rPr>
                <w:rFonts w:ascii="VIC" w:eastAsia="Times New Roman" w:hAnsi="VIC" w:cs="Times New Roman"/>
                <w:sz w:val="20"/>
                <w:szCs w:val="20"/>
              </w:rPr>
            </w:pPr>
          </w:p>
        </w:tc>
        <w:tc>
          <w:tcPr>
            <w:tcW w:w="4107" w:type="dxa"/>
          </w:tcPr>
          <w:p w14:paraId="44149324"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Below 95% </w:t>
            </w:r>
          </w:p>
        </w:tc>
        <w:tc>
          <w:tcPr>
            <w:tcW w:w="0" w:type="auto"/>
          </w:tcPr>
          <w:p w14:paraId="645D9D73" w14:textId="77777777" w:rsidR="006717B4" w:rsidRPr="00F03354" w:rsidRDefault="006717B4" w:rsidP="00D65821">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6717B4" w:rsidRPr="00F03354" w14:paraId="0C6B3FEF" w14:textId="77777777" w:rsidTr="6BF3BDE6">
        <w:trPr>
          <w:cantSplit/>
          <w:trHeight w:val="60"/>
        </w:trPr>
        <w:tc>
          <w:tcPr>
            <w:tcW w:w="2014" w:type="dxa"/>
          </w:tcPr>
          <w:p w14:paraId="7B1A93BD"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285" w:type="dxa"/>
            <w:gridSpan w:val="2"/>
            <w:vAlign w:val="center"/>
          </w:tcPr>
          <w:p w14:paraId="45A2AA47"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assessed against the previous quarter performance.</w:t>
            </w:r>
          </w:p>
        </w:tc>
      </w:tr>
      <w:tr w:rsidR="006717B4" w:rsidRPr="00F03354" w14:paraId="7A40CD6E" w14:textId="77777777" w:rsidTr="6BF3BDE6">
        <w:trPr>
          <w:cantSplit/>
          <w:trHeight w:val="60"/>
        </w:trPr>
        <w:tc>
          <w:tcPr>
            <w:tcW w:w="2014" w:type="dxa"/>
            <w:hideMark/>
          </w:tcPr>
          <w:p w14:paraId="09807B02"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285" w:type="dxa"/>
            <w:gridSpan w:val="2"/>
            <w:hideMark/>
          </w:tcPr>
          <w:p w14:paraId="20FBC4A2"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Reported data is lagged by one quarter.</w:t>
            </w:r>
          </w:p>
          <w:p w14:paraId="75B34A93" w14:textId="77777777" w:rsidR="006717B4" w:rsidRPr="00F03354" w:rsidRDefault="006717B4" w:rsidP="00D65821">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supplied and reported quarterly at health service level.</w:t>
            </w:r>
          </w:p>
        </w:tc>
      </w:tr>
    </w:tbl>
    <w:p w14:paraId="1E6209E1" w14:textId="77777777" w:rsidR="00B570D0" w:rsidRPr="00F03354" w:rsidRDefault="00B570D0" w:rsidP="00280F65">
      <w:pPr>
        <w:keepNext/>
        <w:keepLines/>
        <w:spacing w:before="240" w:after="120" w:line="280" w:lineRule="atLeast"/>
        <w:outlineLvl w:val="3"/>
        <w:rPr>
          <w:rFonts w:ascii="VIC" w:eastAsia="MS Mincho" w:hAnsi="VIC" w:cs="Arial"/>
          <w:b/>
          <w:bCs/>
          <w:color w:val="244C5A"/>
          <w:sz w:val="20"/>
          <w:szCs w:val="20"/>
        </w:rPr>
      </w:pPr>
    </w:p>
    <w:p w14:paraId="06D86616" w14:textId="77777777" w:rsidR="006717B4" w:rsidRPr="00F03354" w:rsidRDefault="006717B4" w:rsidP="00280F65">
      <w:pPr>
        <w:keepNext/>
        <w:keepLines/>
        <w:spacing w:before="240" w:after="120" w:line="280" w:lineRule="atLeast"/>
        <w:outlineLvl w:val="3"/>
        <w:rPr>
          <w:rFonts w:ascii="VIC" w:eastAsia="MS Mincho" w:hAnsi="VIC" w:cs="Arial"/>
          <w:b/>
          <w:bCs/>
          <w:color w:val="244C5A"/>
          <w:sz w:val="20"/>
          <w:szCs w:val="20"/>
        </w:rPr>
      </w:pPr>
    </w:p>
    <w:p w14:paraId="1EC4E103" w14:textId="77777777" w:rsidR="006717B4" w:rsidRPr="00F03354" w:rsidRDefault="006717B4" w:rsidP="00280F65">
      <w:pPr>
        <w:keepNext/>
        <w:keepLines/>
        <w:spacing w:before="240" w:after="120" w:line="280" w:lineRule="atLeast"/>
        <w:outlineLvl w:val="3"/>
        <w:rPr>
          <w:rFonts w:ascii="VIC" w:eastAsia="MS Mincho" w:hAnsi="VIC" w:cs="Arial"/>
          <w:b/>
          <w:bCs/>
          <w:color w:val="244C5A"/>
          <w:sz w:val="20"/>
          <w:szCs w:val="20"/>
        </w:rPr>
      </w:pP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53"/>
        <w:gridCol w:w="3818"/>
        <w:gridCol w:w="3428"/>
      </w:tblGrid>
      <w:tr w:rsidR="00280F65" w:rsidRPr="00F03354" w14:paraId="4C03FBBD" w14:textId="77777777" w:rsidTr="007201E3">
        <w:trPr>
          <w:cantSplit/>
          <w:trHeight w:val="60"/>
          <w:tblHeader/>
        </w:trPr>
        <w:tc>
          <w:tcPr>
            <w:tcW w:w="0" w:type="auto"/>
            <w:shd w:val="clear" w:color="auto" w:fill="244C5A"/>
          </w:tcPr>
          <w:p w14:paraId="091E08F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bookmarkStart w:id="14" w:name="_Toc517959127"/>
            <w:bookmarkStart w:id="15" w:name="_Toc10123546"/>
            <w:r w:rsidRPr="00F03354">
              <w:rPr>
                <w:rFonts w:ascii="VIC" w:eastAsia="Times New Roman" w:hAnsi="VIC" w:cs="Times New Roman"/>
                <w:bCs/>
                <w:color w:val="FFFFFF" w:themeColor="background1"/>
                <w:sz w:val="20"/>
                <w:szCs w:val="20"/>
              </w:rPr>
              <w:t>Indicator</w:t>
            </w:r>
          </w:p>
        </w:tc>
        <w:tc>
          <w:tcPr>
            <w:tcW w:w="0" w:type="auto"/>
            <w:gridSpan w:val="2"/>
            <w:shd w:val="clear" w:color="auto" w:fill="244C5A"/>
          </w:tcPr>
          <w:p w14:paraId="604B839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adult patients who reported positive experiences of their discharge from hospital</w:t>
            </w:r>
          </w:p>
        </w:tc>
      </w:tr>
      <w:tr w:rsidR="00280F65" w:rsidRPr="00F03354" w14:paraId="2772D8AB" w14:textId="77777777" w:rsidTr="007201E3">
        <w:trPr>
          <w:cantSplit/>
          <w:trHeight w:val="60"/>
        </w:trPr>
        <w:tc>
          <w:tcPr>
            <w:tcW w:w="2282" w:type="dxa"/>
            <w:hideMark/>
          </w:tcPr>
          <w:p w14:paraId="4FDD713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017" w:type="dxa"/>
            <w:gridSpan w:val="2"/>
            <w:hideMark/>
          </w:tcPr>
          <w:p w14:paraId="7D4DA9A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Patient experience measures provide a patient-centred perspective on interactions with health-care providers. Monitoring insights from these measures contributes to improving the provision of care and strengthens the relationship between patients and care providers. These measures contribute to overall safety and quality monitoring within the health system.</w:t>
            </w:r>
          </w:p>
        </w:tc>
      </w:tr>
      <w:tr w:rsidR="00280F65" w:rsidRPr="00F03354" w14:paraId="2DE8E6B8" w14:textId="77777777" w:rsidTr="007201E3">
        <w:trPr>
          <w:cantSplit/>
          <w:trHeight w:val="60"/>
        </w:trPr>
        <w:tc>
          <w:tcPr>
            <w:tcW w:w="2282" w:type="dxa"/>
            <w:hideMark/>
          </w:tcPr>
          <w:p w14:paraId="7BEEDFF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017" w:type="dxa"/>
            <w:gridSpan w:val="2"/>
            <w:hideMark/>
          </w:tcPr>
          <w:p w14:paraId="16135B15" w14:textId="4876DFF5"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An index which is calculated from the responses to </w:t>
            </w:r>
            <w:r w:rsidR="00477BA5" w:rsidRPr="00F03354">
              <w:rPr>
                <w:rFonts w:ascii="VIC" w:eastAsia="Times New Roman" w:hAnsi="VIC" w:cs="Times New Roman"/>
                <w:sz w:val="20"/>
                <w:szCs w:val="20"/>
              </w:rPr>
              <w:t>three</w:t>
            </w:r>
            <w:r w:rsidRPr="00F03354">
              <w:rPr>
                <w:rFonts w:ascii="VIC" w:eastAsia="Times New Roman" w:hAnsi="VIC" w:cs="Times New Roman"/>
                <w:sz w:val="20"/>
                <w:szCs w:val="20"/>
              </w:rPr>
              <w:t xml:space="preserve"> questions about the patient's transition from hospital to home. Included are the percentage of 'Yes, completely' responses to the first three transition questions:</w:t>
            </w:r>
          </w:p>
          <w:p w14:paraId="7F99DF69" w14:textId="77777777" w:rsidR="00280F65" w:rsidRPr="00F03354" w:rsidRDefault="00280F65" w:rsidP="0089279C">
            <w:pPr>
              <w:numPr>
                <w:ilvl w:val="0"/>
                <w:numId w:val="29"/>
              </w:numPr>
              <w:spacing w:before="80" w:after="60" w:line="240" w:lineRule="auto"/>
              <w:ind w:left="335" w:hanging="218"/>
              <w:rPr>
                <w:rFonts w:ascii="VIC" w:eastAsia="Times New Roman" w:hAnsi="VIC" w:cs="Times New Roman"/>
                <w:sz w:val="20"/>
                <w:szCs w:val="20"/>
              </w:rPr>
            </w:pPr>
            <w:r w:rsidRPr="00F03354">
              <w:rPr>
                <w:rFonts w:ascii="VIC" w:eastAsia="Times New Roman" w:hAnsi="VIC" w:cs="Times New Roman"/>
                <w:sz w:val="20"/>
                <w:szCs w:val="20"/>
              </w:rPr>
              <w:t>Before you left hospital, did staff give you or to someone close to you useful information about managing your health and care at home?</w:t>
            </w:r>
          </w:p>
          <w:p w14:paraId="4D1CB47B" w14:textId="77777777" w:rsidR="00280F65" w:rsidRPr="00F03354" w:rsidRDefault="00280F65" w:rsidP="0089279C">
            <w:pPr>
              <w:numPr>
                <w:ilvl w:val="0"/>
                <w:numId w:val="29"/>
              </w:numPr>
              <w:spacing w:before="80" w:after="60" w:line="240" w:lineRule="auto"/>
              <w:ind w:left="335" w:hanging="218"/>
              <w:rPr>
                <w:rFonts w:ascii="VIC" w:eastAsia="Times New Roman" w:hAnsi="VIC" w:cs="Times New Roman"/>
                <w:sz w:val="20"/>
                <w:szCs w:val="20"/>
              </w:rPr>
            </w:pPr>
            <w:r w:rsidRPr="00F03354">
              <w:rPr>
                <w:rFonts w:ascii="VIC" w:eastAsia="Times New Roman" w:hAnsi="VIC" w:cs="Times New Roman"/>
                <w:sz w:val="20"/>
                <w:szCs w:val="20"/>
              </w:rPr>
              <w:t>Did hospital staff take your family, home and health situation into account when planning your return to home?</w:t>
            </w:r>
          </w:p>
          <w:p w14:paraId="6144BDE7" w14:textId="77777777" w:rsidR="00280F65" w:rsidRPr="00F03354" w:rsidRDefault="00280F65" w:rsidP="0089279C">
            <w:pPr>
              <w:numPr>
                <w:ilvl w:val="0"/>
                <w:numId w:val="29"/>
              </w:numPr>
              <w:spacing w:before="80" w:after="60" w:line="240" w:lineRule="auto"/>
              <w:ind w:left="335" w:hanging="218"/>
              <w:rPr>
                <w:rFonts w:ascii="VIC" w:eastAsia="Times New Roman" w:hAnsi="VIC" w:cs="Times New Roman"/>
                <w:sz w:val="20"/>
                <w:szCs w:val="20"/>
              </w:rPr>
            </w:pPr>
            <w:r w:rsidRPr="00F03354">
              <w:rPr>
                <w:rFonts w:ascii="VIC" w:eastAsia="Times New Roman" w:hAnsi="VIC" w:cs="Times New Roman"/>
                <w:sz w:val="20"/>
                <w:szCs w:val="20"/>
              </w:rPr>
              <w:t>Were you involved, as much as you wanted to be, in decisions about leaving hospital?</w:t>
            </w:r>
          </w:p>
          <w:p w14:paraId="2536445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from the adult inpatient Victorian Healthcare Experience Survey (VHES)</w:t>
            </w:r>
          </w:p>
        </w:tc>
      </w:tr>
      <w:tr w:rsidR="00280F65" w:rsidRPr="00F03354" w14:paraId="3E62B75B" w14:textId="77777777" w:rsidTr="007201E3">
        <w:trPr>
          <w:cantSplit/>
          <w:trHeight w:val="60"/>
        </w:trPr>
        <w:tc>
          <w:tcPr>
            <w:tcW w:w="2282" w:type="dxa"/>
            <w:hideMark/>
          </w:tcPr>
          <w:p w14:paraId="5AE7F94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017" w:type="dxa"/>
            <w:gridSpan w:val="2"/>
            <w:hideMark/>
          </w:tcPr>
          <w:p w14:paraId="10523FB5" w14:textId="351B5912"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Sum of (weighted) percent of 'Yes, completely' responses to the first three transition questions</w:t>
            </w:r>
            <w:r w:rsidR="00DB6023" w:rsidRPr="00F03354">
              <w:rPr>
                <w:rFonts w:ascii="VIC" w:eastAsia="Times New Roman" w:hAnsi="VIC" w:cs="Times New Roman"/>
                <w:sz w:val="20"/>
                <w:szCs w:val="20"/>
              </w:rPr>
              <w:t xml:space="preserve"> in the adult inpatient VHES.</w:t>
            </w:r>
          </w:p>
        </w:tc>
      </w:tr>
      <w:tr w:rsidR="00280F65" w:rsidRPr="00F03354" w14:paraId="31A9E939" w14:textId="77777777" w:rsidTr="007201E3">
        <w:trPr>
          <w:cantSplit/>
          <w:trHeight w:val="60"/>
        </w:trPr>
        <w:tc>
          <w:tcPr>
            <w:tcW w:w="2282" w:type="dxa"/>
            <w:hideMark/>
          </w:tcPr>
          <w:p w14:paraId="6C20E52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017" w:type="dxa"/>
            <w:gridSpan w:val="2"/>
            <w:hideMark/>
          </w:tcPr>
          <w:p w14:paraId="4504648F" w14:textId="72D705FA"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Sum of valid responses to each of the </w:t>
            </w:r>
            <w:r w:rsidR="0006581B" w:rsidRPr="00F03354">
              <w:rPr>
                <w:rFonts w:ascii="VIC" w:eastAsia="Times New Roman" w:hAnsi="VIC" w:cs="Times New Roman"/>
                <w:sz w:val="20"/>
                <w:szCs w:val="20"/>
              </w:rPr>
              <w:t>three</w:t>
            </w:r>
            <w:r w:rsidRPr="00F03354">
              <w:rPr>
                <w:rFonts w:ascii="VIC" w:eastAsia="Times New Roman" w:hAnsi="VIC" w:cs="Times New Roman"/>
                <w:sz w:val="20"/>
                <w:szCs w:val="20"/>
              </w:rPr>
              <w:t xml:space="preserve"> transition questions in the VHES.</w:t>
            </w:r>
          </w:p>
          <w:p w14:paraId="549295C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excludes:</w:t>
            </w:r>
          </w:p>
          <w:p w14:paraId="16897067" w14:textId="77777777" w:rsidR="00280F65" w:rsidRPr="00F03354" w:rsidRDefault="00280F65" w:rsidP="0089279C">
            <w:pPr>
              <w:numPr>
                <w:ilvl w:val="0"/>
                <w:numId w:val="30"/>
              </w:numPr>
              <w:spacing w:before="80" w:after="60" w:line="240" w:lineRule="auto"/>
              <w:ind w:left="335" w:hanging="218"/>
              <w:rPr>
                <w:rFonts w:ascii="VIC" w:eastAsia="Times New Roman" w:hAnsi="VIC" w:cs="Times New Roman"/>
                <w:sz w:val="20"/>
                <w:szCs w:val="20"/>
              </w:rPr>
            </w:pPr>
            <w:r w:rsidRPr="00F03354">
              <w:rPr>
                <w:rFonts w:ascii="VIC" w:eastAsia="Times New Roman" w:hAnsi="VIC" w:cs="Times New Roman"/>
                <w:sz w:val="20"/>
                <w:szCs w:val="20"/>
              </w:rPr>
              <w:t>Invalid responses to any question</w:t>
            </w:r>
          </w:p>
        </w:tc>
      </w:tr>
      <w:tr w:rsidR="00280F65" w:rsidRPr="00F03354" w14:paraId="60D59E7F" w14:textId="77777777" w:rsidTr="007201E3">
        <w:trPr>
          <w:cantSplit/>
          <w:trHeight w:val="60"/>
        </w:trPr>
        <w:tc>
          <w:tcPr>
            <w:tcW w:w="2282" w:type="dxa"/>
            <w:hideMark/>
          </w:tcPr>
          <w:p w14:paraId="5E65065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017" w:type="dxa"/>
            <w:gridSpan w:val="2"/>
            <w:vAlign w:val="center"/>
            <w:hideMark/>
          </w:tcPr>
          <w:p w14:paraId="64B07717" w14:textId="020D2E23" w:rsidR="00280F65" w:rsidRPr="00F03354" w:rsidRDefault="00280F65" w:rsidP="00280F65">
            <w:pPr>
              <w:spacing w:before="80" w:after="60" w:line="240" w:lineRule="auto"/>
              <w:rPr>
                <w:rFonts w:ascii="VIC" w:eastAsia="Times New Roman" w:hAnsi="VIC" w:cs="Arial"/>
                <w:sz w:val="20"/>
                <w:szCs w:val="20"/>
              </w:rPr>
            </w:pPr>
            <w:r w:rsidRPr="00F03354">
              <w:rPr>
                <w:rFonts w:ascii="VIC" w:eastAsia="Times New Roman" w:hAnsi="VIC" w:cs="Times New Roman"/>
                <w:sz w:val="20"/>
                <w:szCs w:val="20"/>
              </w:rPr>
              <w:t xml:space="preserve">≥ </w:t>
            </w:r>
            <w:r w:rsidR="00B1375E" w:rsidRPr="00F03354">
              <w:rPr>
                <w:rFonts w:ascii="VIC" w:eastAsia="Times New Roman" w:hAnsi="VIC" w:cs="Times New Roman"/>
                <w:sz w:val="20"/>
                <w:szCs w:val="20"/>
              </w:rPr>
              <w:t>7</w:t>
            </w:r>
            <w:r w:rsidRPr="00F03354">
              <w:rPr>
                <w:rFonts w:ascii="VIC" w:eastAsia="Times New Roman" w:hAnsi="VIC" w:cs="Times New Roman"/>
                <w:sz w:val="20"/>
                <w:szCs w:val="20"/>
              </w:rPr>
              <w:t>5%</w:t>
            </w:r>
          </w:p>
        </w:tc>
      </w:tr>
      <w:tr w:rsidR="00280F65" w:rsidRPr="00F03354" w14:paraId="54B27046" w14:textId="77777777" w:rsidTr="007201E3">
        <w:trPr>
          <w:cantSplit/>
          <w:trHeight w:val="60"/>
        </w:trPr>
        <w:tc>
          <w:tcPr>
            <w:tcW w:w="2282" w:type="dxa"/>
            <w:vMerge w:val="restart"/>
          </w:tcPr>
          <w:p w14:paraId="7E2E529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761" w:type="dxa"/>
          </w:tcPr>
          <w:p w14:paraId="52244121" w14:textId="45D6BA53"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Equal to or above </w:t>
            </w:r>
            <w:r w:rsidR="00B1375E" w:rsidRPr="00F03354">
              <w:rPr>
                <w:rFonts w:ascii="VIC" w:eastAsia="Times New Roman" w:hAnsi="VIC" w:cs="Times New Roman"/>
                <w:sz w:val="20"/>
                <w:szCs w:val="20"/>
              </w:rPr>
              <w:t>7</w:t>
            </w:r>
            <w:r w:rsidRPr="00F03354">
              <w:rPr>
                <w:rFonts w:ascii="VIC" w:eastAsia="Times New Roman" w:hAnsi="VIC" w:cs="Times New Roman"/>
                <w:sz w:val="20"/>
                <w:szCs w:val="20"/>
              </w:rPr>
              <w:t xml:space="preserve">5% </w:t>
            </w:r>
          </w:p>
        </w:tc>
        <w:tc>
          <w:tcPr>
            <w:tcW w:w="0" w:type="auto"/>
          </w:tcPr>
          <w:p w14:paraId="53E35EA3"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25A425FF" w14:textId="77777777" w:rsidTr="007201E3">
        <w:trPr>
          <w:cantSplit/>
          <w:trHeight w:val="60"/>
        </w:trPr>
        <w:tc>
          <w:tcPr>
            <w:tcW w:w="2282" w:type="dxa"/>
            <w:vMerge/>
          </w:tcPr>
          <w:p w14:paraId="5C8A1E32"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761" w:type="dxa"/>
          </w:tcPr>
          <w:p w14:paraId="39B54C2A" w14:textId="59335926"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Below </w:t>
            </w:r>
            <w:r w:rsidR="00B1375E" w:rsidRPr="00F03354">
              <w:rPr>
                <w:rFonts w:ascii="VIC" w:eastAsia="Times New Roman" w:hAnsi="VIC" w:cs="Times New Roman"/>
                <w:sz w:val="20"/>
                <w:szCs w:val="20"/>
              </w:rPr>
              <w:t>7</w:t>
            </w:r>
            <w:r w:rsidRPr="00F03354">
              <w:rPr>
                <w:rFonts w:ascii="VIC" w:eastAsia="Times New Roman" w:hAnsi="VIC" w:cs="Times New Roman"/>
                <w:sz w:val="20"/>
                <w:szCs w:val="20"/>
              </w:rPr>
              <w:t xml:space="preserve">5% </w:t>
            </w:r>
          </w:p>
        </w:tc>
        <w:tc>
          <w:tcPr>
            <w:tcW w:w="0" w:type="auto"/>
          </w:tcPr>
          <w:p w14:paraId="7B37C597"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19695108" w14:textId="77777777" w:rsidTr="007201E3">
        <w:trPr>
          <w:cantSplit/>
          <w:trHeight w:val="60"/>
        </w:trPr>
        <w:tc>
          <w:tcPr>
            <w:tcW w:w="2282" w:type="dxa"/>
          </w:tcPr>
          <w:p w14:paraId="2552701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017" w:type="dxa"/>
            <w:gridSpan w:val="2"/>
            <w:vAlign w:val="center"/>
          </w:tcPr>
          <w:p w14:paraId="66A314F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assessed against the previous quarter performance.</w:t>
            </w:r>
          </w:p>
        </w:tc>
      </w:tr>
      <w:tr w:rsidR="00280F65" w:rsidRPr="00F03354" w14:paraId="4BAB8932" w14:textId="77777777" w:rsidTr="007201E3">
        <w:trPr>
          <w:cantSplit/>
          <w:trHeight w:val="60"/>
        </w:trPr>
        <w:tc>
          <w:tcPr>
            <w:tcW w:w="2282" w:type="dxa"/>
            <w:hideMark/>
          </w:tcPr>
          <w:p w14:paraId="785663F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017" w:type="dxa"/>
            <w:gridSpan w:val="2"/>
            <w:hideMark/>
          </w:tcPr>
          <w:p w14:paraId="2544EBB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Reported data is lagged by one quarter.</w:t>
            </w:r>
          </w:p>
          <w:p w14:paraId="6012C8B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supplied and reported quarterly at health service level.</w:t>
            </w:r>
          </w:p>
        </w:tc>
      </w:tr>
    </w:tbl>
    <w:p w14:paraId="0EBB2626" w14:textId="77777777" w:rsidR="00280F65" w:rsidRPr="00F03354" w:rsidRDefault="00280F65" w:rsidP="00280F65">
      <w:pPr>
        <w:spacing w:after="120" w:line="270" w:lineRule="atLeast"/>
        <w:rPr>
          <w:rFonts w:ascii="VIC" w:eastAsia="Times" w:hAnsi="VIC" w:cs="Times New Roman"/>
          <w:sz w:val="20"/>
          <w:szCs w:val="20"/>
        </w:rPr>
      </w:pPr>
    </w:p>
    <w:p w14:paraId="69A88588" w14:textId="77777777" w:rsidR="00280F65" w:rsidRPr="00F03354" w:rsidRDefault="00280F65" w:rsidP="00280F65">
      <w:pPr>
        <w:rPr>
          <w:rFonts w:ascii="VIC" w:eastAsia="Times New Roman" w:hAnsi="VIC" w:cs="Times New Roman"/>
          <w:sz w:val="20"/>
          <w:szCs w:val="20"/>
        </w:rPr>
      </w:pP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29"/>
        <w:gridCol w:w="3831"/>
        <w:gridCol w:w="3439"/>
      </w:tblGrid>
      <w:tr w:rsidR="00280F65" w:rsidRPr="00F03354" w14:paraId="32542AF2" w14:textId="77777777" w:rsidTr="007201E3">
        <w:trPr>
          <w:cantSplit/>
          <w:trHeight w:val="60"/>
          <w:tblHeader/>
        </w:trPr>
        <w:tc>
          <w:tcPr>
            <w:tcW w:w="0" w:type="auto"/>
            <w:shd w:val="clear" w:color="auto" w:fill="244C5A"/>
          </w:tcPr>
          <w:p w14:paraId="0117A11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0" w:type="auto"/>
            <w:gridSpan w:val="2"/>
            <w:shd w:val="clear" w:color="auto" w:fill="244C5A"/>
          </w:tcPr>
          <w:p w14:paraId="028B3A9C" w14:textId="7BC65395" w:rsidR="00280F65" w:rsidRPr="00F03354" w:rsidRDefault="00721921"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adult patients who reported they were involved as much as they wanted to be in making decisions about their care</w:t>
            </w:r>
          </w:p>
        </w:tc>
      </w:tr>
      <w:tr w:rsidR="00280F65" w:rsidRPr="00F03354" w14:paraId="37CBBD34" w14:textId="77777777" w:rsidTr="007201E3">
        <w:trPr>
          <w:cantSplit/>
          <w:trHeight w:val="60"/>
        </w:trPr>
        <w:tc>
          <w:tcPr>
            <w:tcW w:w="2552" w:type="dxa"/>
            <w:hideMark/>
          </w:tcPr>
          <w:p w14:paraId="620054B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6747" w:type="dxa"/>
            <w:gridSpan w:val="2"/>
            <w:hideMark/>
          </w:tcPr>
          <w:p w14:paraId="41BE2CD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Patient experience measures provide a patient-centred perspective on interactions with health-care providers. Monitoring insights from these measures contributes to improving the provision of care and strengthens the relationship between patients and care providers. These measures contribute to overall safety and quality monitoring within the health system.</w:t>
            </w:r>
          </w:p>
        </w:tc>
      </w:tr>
      <w:tr w:rsidR="00280F65" w:rsidRPr="00F03354" w14:paraId="08C05B9A" w14:textId="77777777" w:rsidTr="007201E3">
        <w:trPr>
          <w:cantSplit/>
          <w:trHeight w:val="60"/>
        </w:trPr>
        <w:tc>
          <w:tcPr>
            <w:tcW w:w="2552" w:type="dxa"/>
            <w:hideMark/>
          </w:tcPr>
          <w:p w14:paraId="1E26401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6747" w:type="dxa"/>
            <w:gridSpan w:val="2"/>
            <w:hideMark/>
          </w:tcPr>
          <w:p w14:paraId="3C75A825" w14:textId="6EA5B4ED" w:rsidR="00280F65" w:rsidRPr="00F03354" w:rsidRDefault="00C765C8" w:rsidP="00D63E84">
            <w:pPr>
              <w:spacing w:before="80" w:after="60"/>
              <w:rPr>
                <w:rFonts w:ascii="VIC" w:eastAsia="Times New Roman" w:hAnsi="VIC" w:cs="Times New Roman"/>
                <w:sz w:val="20"/>
                <w:szCs w:val="20"/>
              </w:rPr>
            </w:pPr>
            <w:r w:rsidRPr="00F03354">
              <w:rPr>
                <w:rFonts w:ascii="VIC" w:eastAsia="Times New Roman" w:hAnsi="VIC" w:cs="Times New Roman"/>
                <w:sz w:val="20"/>
                <w:szCs w:val="20"/>
              </w:rPr>
              <w:t>The percentage of patients who responded ‘Yes, definitely’ to the question ‘Were you involved as much as you wanted to be in making decisions about your care?</w:t>
            </w:r>
            <w:r w:rsidR="00294262" w:rsidRPr="00F03354">
              <w:rPr>
                <w:rFonts w:ascii="VIC" w:eastAsia="Times New Roman" w:hAnsi="VIC" w:cs="Times New Roman"/>
                <w:sz w:val="20"/>
                <w:szCs w:val="20"/>
              </w:rPr>
              <w:t>’</w:t>
            </w:r>
            <w:r w:rsidR="00280F65" w:rsidRPr="00F03354" w:rsidDel="00C765C8">
              <w:rPr>
                <w:rFonts w:ascii="VIC" w:eastAsia="Times New Roman" w:hAnsi="VIC" w:cs="Times New Roman"/>
                <w:sz w:val="20"/>
                <w:szCs w:val="20"/>
              </w:rPr>
              <w:t xml:space="preserve"> </w:t>
            </w:r>
            <w:r w:rsidR="00280F65" w:rsidRPr="00F03354">
              <w:rPr>
                <w:rFonts w:ascii="VIC" w:eastAsia="Times New Roman" w:hAnsi="VIC" w:cs="Times New Roman"/>
                <w:sz w:val="20"/>
                <w:szCs w:val="20"/>
              </w:rPr>
              <w:t>in the adult inpatient Victorian Healthcare Experience Survey (VHES).</w:t>
            </w:r>
          </w:p>
        </w:tc>
      </w:tr>
      <w:tr w:rsidR="00280F65" w:rsidRPr="00F03354" w14:paraId="3F4DAE27" w14:textId="77777777" w:rsidTr="007201E3">
        <w:trPr>
          <w:cantSplit/>
          <w:trHeight w:val="60"/>
        </w:trPr>
        <w:tc>
          <w:tcPr>
            <w:tcW w:w="2552" w:type="dxa"/>
            <w:hideMark/>
          </w:tcPr>
          <w:p w14:paraId="5686D35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6747" w:type="dxa"/>
            <w:gridSpan w:val="2"/>
            <w:hideMark/>
          </w:tcPr>
          <w:p w14:paraId="4B0927EB" w14:textId="556DF79C" w:rsidR="00D91B37" w:rsidRPr="00F03354" w:rsidRDefault="00D91B37" w:rsidP="00817895">
            <w:pPr>
              <w:spacing w:before="80" w:after="60"/>
              <w:rPr>
                <w:rFonts w:ascii="VIC" w:eastAsia="Times New Roman" w:hAnsi="VIC" w:cs="Times New Roman"/>
                <w:sz w:val="20"/>
                <w:szCs w:val="20"/>
              </w:rPr>
            </w:pPr>
            <w:r w:rsidRPr="00F03354">
              <w:rPr>
                <w:rFonts w:ascii="VIC" w:eastAsia="Times New Roman" w:hAnsi="VIC" w:cs="Times New Roman"/>
                <w:sz w:val="20"/>
                <w:szCs w:val="20"/>
              </w:rPr>
              <w:t xml:space="preserve">The percentage of patients who responded ‘Yes, definitely’ to the question </w:t>
            </w:r>
            <w:r w:rsidR="00F301CC" w:rsidRPr="00F03354">
              <w:rPr>
                <w:rFonts w:ascii="VIC" w:eastAsia="Times New Roman" w:hAnsi="VIC" w:cs="Times New Roman"/>
                <w:sz w:val="20"/>
                <w:szCs w:val="20"/>
              </w:rPr>
              <w:t>‘</w:t>
            </w:r>
            <w:r w:rsidRPr="00F03354">
              <w:rPr>
                <w:rFonts w:ascii="VIC" w:eastAsia="Times New Roman" w:hAnsi="VIC" w:cs="Times New Roman"/>
                <w:sz w:val="20"/>
                <w:szCs w:val="20"/>
              </w:rPr>
              <w:t>Were you involved as much as you wanted to be in making decisions about your care?</w:t>
            </w:r>
            <w:r w:rsidR="00C86B19" w:rsidRPr="00F03354">
              <w:rPr>
                <w:rFonts w:ascii="VIC" w:eastAsia="Times New Roman" w:hAnsi="VIC" w:cs="Times New Roman"/>
                <w:sz w:val="20"/>
                <w:szCs w:val="20"/>
              </w:rPr>
              <w:t>’</w:t>
            </w:r>
          </w:p>
          <w:p w14:paraId="0D66E436" w14:textId="6A6FD657" w:rsidR="00280F65" w:rsidRPr="00F03354" w:rsidRDefault="00280F65" w:rsidP="00280F65">
            <w:pPr>
              <w:spacing w:before="80" w:after="60" w:line="240" w:lineRule="auto"/>
              <w:rPr>
                <w:rFonts w:ascii="VIC" w:eastAsia="Times New Roman" w:hAnsi="VIC" w:cs="Times New Roman"/>
                <w:sz w:val="20"/>
                <w:szCs w:val="20"/>
              </w:rPr>
            </w:pPr>
          </w:p>
        </w:tc>
      </w:tr>
      <w:tr w:rsidR="00280F65" w:rsidRPr="00F03354" w14:paraId="0BA8666C" w14:textId="77777777" w:rsidTr="007201E3">
        <w:trPr>
          <w:cantSplit/>
          <w:trHeight w:val="60"/>
        </w:trPr>
        <w:tc>
          <w:tcPr>
            <w:tcW w:w="2552" w:type="dxa"/>
            <w:hideMark/>
          </w:tcPr>
          <w:p w14:paraId="221EF36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6747" w:type="dxa"/>
            <w:gridSpan w:val="2"/>
            <w:hideMark/>
          </w:tcPr>
          <w:p w14:paraId="186C52BE" w14:textId="334E982F"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Weighted sum of valid responses to the question </w:t>
            </w:r>
            <w:r w:rsidR="008033D1" w:rsidRPr="00F03354">
              <w:rPr>
                <w:rFonts w:ascii="VIC" w:eastAsia="Times New Roman" w:hAnsi="VIC" w:cs="Times New Roman"/>
                <w:sz w:val="20"/>
                <w:szCs w:val="20"/>
              </w:rPr>
              <w:t>‘</w:t>
            </w:r>
            <w:r w:rsidR="00721921" w:rsidRPr="00F03354">
              <w:rPr>
                <w:rFonts w:ascii="VIC" w:eastAsia="Times New Roman" w:hAnsi="VIC" w:cs="Times New Roman"/>
                <w:sz w:val="20"/>
                <w:szCs w:val="20"/>
              </w:rPr>
              <w:t>they were involved as much as they wanted to be in making decisions about their care</w:t>
            </w:r>
            <w:r w:rsidR="008033D1" w:rsidRPr="00F03354">
              <w:rPr>
                <w:rFonts w:ascii="VIC" w:eastAsia="Times New Roman" w:hAnsi="VIC" w:cs="Times New Roman"/>
                <w:sz w:val="20"/>
                <w:szCs w:val="20"/>
              </w:rPr>
              <w:t>’</w:t>
            </w:r>
          </w:p>
          <w:p w14:paraId="0EAF0FD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excludes:</w:t>
            </w:r>
          </w:p>
          <w:p w14:paraId="6CFEF275" w14:textId="77777777" w:rsidR="00280F65" w:rsidRPr="00F03354" w:rsidRDefault="00280F65" w:rsidP="0089279C">
            <w:pPr>
              <w:numPr>
                <w:ilvl w:val="0"/>
                <w:numId w:val="30"/>
              </w:numPr>
              <w:spacing w:before="80" w:after="60" w:line="240" w:lineRule="auto"/>
              <w:ind w:left="335" w:hanging="218"/>
              <w:rPr>
                <w:rFonts w:ascii="VIC" w:eastAsia="Times New Roman" w:hAnsi="VIC" w:cs="Times New Roman"/>
                <w:sz w:val="20"/>
                <w:szCs w:val="20"/>
              </w:rPr>
            </w:pPr>
            <w:r w:rsidRPr="00F03354">
              <w:rPr>
                <w:rFonts w:ascii="VIC" w:eastAsia="Times New Roman" w:hAnsi="VIC" w:cs="Times New Roman"/>
                <w:sz w:val="20"/>
                <w:szCs w:val="20"/>
              </w:rPr>
              <w:t>Invalid responses to any question</w:t>
            </w:r>
          </w:p>
        </w:tc>
      </w:tr>
      <w:tr w:rsidR="00280F65" w:rsidRPr="00F03354" w14:paraId="02A6E9C7" w14:textId="77777777" w:rsidTr="007201E3">
        <w:trPr>
          <w:cantSplit/>
          <w:trHeight w:val="60"/>
        </w:trPr>
        <w:tc>
          <w:tcPr>
            <w:tcW w:w="2552" w:type="dxa"/>
            <w:hideMark/>
          </w:tcPr>
          <w:p w14:paraId="566DF0B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6747" w:type="dxa"/>
            <w:gridSpan w:val="2"/>
            <w:vAlign w:val="center"/>
            <w:hideMark/>
          </w:tcPr>
          <w:p w14:paraId="52B847CA" w14:textId="6C144C2F" w:rsidR="00280F65" w:rsidRPr="00F03354" w:rsidRDefault="00B1375E" w:rsidP="00280F65">
            <w:pPr>
              <w:spacing w:before="80" w:after="60" w:line="240" w:lineRule="auto"/>
              <w:rPr>
                <w:rFonts w:ascii="VIC" w:eastAsia="Times New Roman" w:hAnsi="VIC" w:cs="Arial"/>
                <w:sz w:val="20"/>
                <w:szCs w:val="20"/>
              </w:rPr>
            </w:pPr>
            <w:r w:rsidRPr="00F03354">
              <w:rPr>
                <w:rFonts w:ascii="VIC" w:eastAsia="Times New Roman" w:hAnsi="VIC" w:cs="Times New Roman"/>
                <w:sz w:val="20"/>
                <w:szCs w:val="20"/>
              </w:rPr>
              <w:t>7</w:t>
            </w:r>
            <w:r w:rsidR="00721921" w:rsidRPr="00F03354">
              <w:rPr>
                <w:rFonts w:ascii="VIC" w:eastAsia="Times New Roman" w:hAnsi="VIC" w:cs="Times New Roman"/>
                <w:sz w:val="20"/>
                <w:szCs w:val="20"/>
              </w:rPr>
              <w:t>5</w:t>
            </w:r>
            <w:r w:rsidR="00280F65" w:rsidRPr="00F03354">
              <w:rPr>
                <w:rFonts w:ascii="VIC" w:eastAsia="Times New Roman" w:hAnsi="VIC" w:cs="Times New Roman"/>
                <w:sz w:val="20"/>
                <w:szCs w:val="20"/>
              </w:rPr>
              <w:t>%</w:t>
            </w:r>
          </w:p>
        </w:tc>
      </w:tr>
      <w:tr w:rsidR="00280F65" w:rsidRPr="00F03354" w14:paraId="0A23E265" w14:textId="77777777" w:rsidTr="007201E3">
        <w:trPr>
          <w:cantSplit/>
          <w:trHeight w:val="60"/>
        </w:trPr>
        <w:tc>
          <w:tcPr>
            <w:tcW w:w="2552" w:type="dxa"/>
            <w:vMerge w:val="restart"/>
          </w:tcPr>
          <w:p w14:paraId="58631F2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664" w:type="dxa"/>
          </w:tcPr>
          <w:p w14:paraId="6DAF0D49" w14:textId="722D98AA"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Equal to or above </w:t>
            </w:r>
            <w:r w:rsidR="00B1375E" w:rsidRPr="00F03354">
              <w:rPr>
                <w:rFonts w:ascii="VIC" w:eastAsia="Times New Roman" w:hAnsi="VIC" w:cs="Times New Roman"/>
                <w:sz w:val="20"/>
                <w:szCs w:val="20"/>
              </w:rPr>
              <w:t>7</w:t>
            </w:r>
            <w:r w:rsidR="00721921" w:rsidRPr="00F03354">
              <w:rPr>
                <w:rFonts w:ascii="VIC" w:eastAsia="Times New Roman" w:hAnsi="VIC" w:cs="Times New Roman"/>
                <w:sz w:val="20"/>
                <w:szCs w:val="20"/>
              </w:rPr>
              <w:t>5</w:t>
            </w:r>
            <w:r w:rsidRPr="00F03354">
              <w:rPr>
                <w:rFonts w:ascii="VIC" w:eastAsia="Times New Roman" w:hAnsi="VIC" w:cs="Times New Roman"/>
                <w:sz w:val="20"/>
                <w:szCs w:val="20"/>
              </w:rPr>
              <w:t xml:space="preserve">% </w:t>
            </w:r>
          </w:p>
        </w:tc>
        <w:tc>
          <w:tcPr>
            <w:tcW w:w="0" w:type="auto"/>
          </w:tcPr>
          <w:p w14:paraId="6F9D8C7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0DD72B56" w14:textId="77777777" w:rsidTr="007201E3">
        <w:trPr>
          <w:cantSplit/>
          <w:trHeight w:val="60"/>
        </w:trPr>
        <w:tc>
          <w:tcPr>
            <w:tcW w:w="2552" w:type="dxa"/>
            <w:vMerge/>
          </w:tcPr>
          <w:p w14:paraId="1DB0F2B8"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664" w:type="dxa"/>
          </w:tcPr>
          <w:p w14:paraId="285C2EE6" w14:textId="63F269E0"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Below </w:t>
            </w:r>
            <w:r w:rsidR="00B1375E" w:rsidRPr="00F03354">
              <w:rPr>
                <w:rFonts w:ascii="VIC" w:eastAsia="Times New Roman" w:hAnsi="VIC" w:cs="Times New Roman"/>
                <w:sz w:val="20"/>
                <w:szCs w:val="20"/>
              </w:rPr>
              <w:t>7</w:t>
            </w:r>
            <w:r w:rsidR="00721921" w:rsidRPr="00F03354">
              <w:rPr>
                <w:rFonts w:ascii="VIC" w:eastAsia="Times New Roman" w:hAnsi="VIC" w:cs="Times New Roman"/>
                <w:sz w:val="20"/>
                <w:szCs w:val="20"/>
              </w:rPr>
              <w:t>5</w:t>
            </w:r>
            <w:r w:rsidRPr="00F03354">
              <w:rPr>
                <w:rFonts w:ascii="VIC" w:eastAsia="Times New Roman" w:hAnsi="VIC" w:cs="Times New Roman"/>
                <w:sz w:val="20"/>
                <w:szCs w:val="20"/>
              </w:rPr>
              <w:t xml:space="preserve">% </w:t>
            </w:r>
          </w:p>
        </w:tc>
        <w:tc>
          <w:tcPr>
            <w:tcW w:w="0" w:type="auto"/>
          </w:tcPr>
          <w:p w14:paraId="737FEDEA"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14E2C57B" w14:textId="77777777" w:rsidTr="007201E3">
        <w:trPr>
          <w:cantSplit/>
          <w:trHeight w:val="60"/>
        </w:trPr>
        <w:tc>
          <w:tcPr>
            <w:tcW w:w="2552" w:type="dxa"/>
          </w:tcPr>
          <w:p w14:paraId="12A6498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6747" w:type="dxa"/>
            <w:gridSpan w:val="2"/>
            <w:vAlign w:val="center"/>
          </w:tcPr>
          <w:p w14:paraId="105E83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assessed against the previous quarter performance.</w:t>
            </w:r>
          </w:p>
        </w:tc>
      </w:tr>
      <w:tr w:rsidR="00280F65" w:rsidRPr="00F03354" w14:paraId="7FB1EFFD" w14:textId="77777777" w:rsidTr="007201E3">
        <w:trPr>
          <w:cantSplit/>
          <w:trHeight w:val="60"/>
        </w:trPr>
        <w:tc>
          <w:tcPr>
            <w:tcW w:w="2552" w:type="dxa"/>
            <w:hideMark/>
          </w:tcPr>
          <w:p w14:paraId="5ABEBD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6747" w:type="dxa"/>
            <w:gridSpan w:val="2"/>
            <w:hideMark/>
          </w:tcPr>
          <w:p w14:paraId="62814B5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Reported data is lagged by one quarter.</w:t>
            </w:r>
          </w:p>
          <w:p w14:paraId="1533CFA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supplied and reported quarterly at health service level.</w:t>
            </w:r>
          </w:p>
        </w:tc>
      </w:tr>
    </w:tbl>
    <w:p w14:paraId="3A2DC349" w14:textId="77777777" w:rsidR="00FF6960" w:rsidRPr="00F03354" w:rsidRDefault="00FF6960" w:rsidP="00280F65">
      <w:pPr>
        <w:rPr>
          <w:rFonts w:ascii="VIC" w:eastAsia="Times New Roman" w:hAnsi="VIC" w:cs="Times New Roman"/>
          <w:sz w:val="20"/>
          <w:szCs w:val="20"/>
        </w:rPr>
      </w:pPr>
    </w:p>
    <w:p w14:paraId="61D45463" w14:textId="77777777" w:rsidR="00E55565" w:rsidRPr="00F03354" w:rsidRDefault="00E55565">
      <w:pPr>
        <w:rPr>
          <w:rFonts w:ascii="VIC" w:eastAsia="Times New Roman" w:hAnsi="VIC" w:cs="Times New Roman"/>
          <w:sz w:val="20"/>
          <w:szCs w:val="20"/>
        </w:rPr>
      </w:pPr>
      <w:r w:rsidRPr="00F03354">
        <w:rPr>
          <w:rFonts w:ascii="VIC" w:eastAsia="Times New Roman" w:hAnsi="VIC" w:cs="Times New Roman"/>
          <w:sz w:val="20"/>
          <w:szCs w:val="20"/>
        </w:rPr>
        <w:br w:type="page"/>
      </w: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4C2B08" w:rsidRPr="00F03354" w14:paraId="23885F37" w14:textId="77777777" w:rsidTr="005F6246">
        <w:trPr>
          <w:cantSplit/>
          <w:trHeight w:val="60"/>
          <w:tblHeader/>
        </w:trPr>
        <w:tc>
          <w:tcPr>
            <w:tcW w:w="2014" w:type="dxa"/>
            <w:shd w:val="clear" w:color="auto" w:fill="244C5A"/>
          </w:tcPr>
          <w:p w14:paraId="5692ED17" w14:textId="77777777" w:rsidR="004C2B08" w:rsidRPr="00F03354" w:rsidRDefault="004C2B08"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lastRenderedPageBreak/>
              <w:t>Indicator</w:t>
            </w:r>
          </w:p>
        </w:tc>
        <w:tc>
          <w:tcPr>
            <w:tcW w:w="7285" w:type="dxa"/>
            <w:gridSpan w:val="2"/>
            <w:shd w:val="clear" w:color="auto" w:fill="244C5A"/>
          </w:tcPr>
          <w:p w14:paraId="5D9E78AD" w14:textId="77777777" w:rsidR="004C2B08" w:rsidRPr="00F03354" w:rsidRDefault="004C2B08"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 xml:space="preserve">Percentage of consumers who rated their overall experience of care with a service in the last 3 months as positive </w:t>
            </w:r>
          </w:p>
        </w:tc>
      </w:tr>
      <w:tr w:rsidR="004C2B08" w:rsidRPr="00F03354" w14:paraId="5D284FF8" w14:textId="77777777" w:rsidTr="005F6246">
        <w:trPr>
          <w:cantSplit/>
          <w:trHeight w:val="60"/>
        </w:trPr>
        <w:tc>
          <w:tcPr>
            <w:tcW w:w="2014" w:type="dxa"/>
            <w:hideMark/>
          </w:tcPr>
          <w:p w14:paraId="41B976B4"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285" w:type="dxa"/>
            <w:gridSpan w:val="2"/>
            <w:hideMark/>
          </w:tcPr>
          <w:p w14:paraId="030BBA4D"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Personalised care and support is one of three national mental health and suicide prevention information priorities. It includes collecting and publishing consumer experience data at a range of levels to embed consumer experience of care at the heart of discussions about mental health services. Consumer and carer experience surveys are a key part of efforts to embed and amplify the voices of mental health consumers and carers in service improvement. </w:t>
            </w:r>
          </w:p>
          <w:p w14:paraId="73F6C674" w14:textId="77777777" w:rsidR="004C2B08" w:rsidRPr="00F03354" w:rsidRDefault="004C2B08" w:rsidP="005F6246">
            <w:pPr>
              <w:spacing w:before="80" w:after="60" w:line="240" w:lineRule="auto"/>
              <w:rPr>
                <w:rFonts w:ascii="VIC" w:eastAsia="Times New Roman" w:hAnsi="VIC" w:cs="Times New Roman"/>
                <w:sz w:val="20"/>
                <w:szCs w:val="20"/>
              </w:rPr>
            </w:pPr>
          </w:p>
        </w:tc>
      </w:tr>
      <w:tr w:rsidR="004C2B08" w:rsidRPr="00F03354" w14:paraId="1B7D62A2" w14:textId="77777777" w:rsidTr="005F6246">
        <w:trPr>
          <w:cantSplit/>
          <w:trHeight w:val="60"/>
        </w:trPr>
        <w:tc>
          <w:tcPr>
            <w:tcW w:w="2014" w:type="dxa"/>
            <w:hideMark/>
          </w:tcPr>
          <w:p w14:paraId="6E90C95D"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285" w:type="dxa"/>
            <w:gridSpan w:val="2"/>
            <w:hideMark/>
          </w:tcPr>
          <w:p w14:paraId="4389E0AF"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Percentage of Your Experience of Service (YES) survey respondents reporting a positive overall experience of care in the last 3 months with a clinical mental health service provider. </w:t>
            </w:r>
          </w:p>
        </w:tc>
      </w:tr>
      <w:tr w:rsidR="004C2B08" w:rsidRPr="00F03354" w14:paraId="04C34B01" w14:textId="77777777" w:rsidTr="005F6246">
        <w:trPr>
          <w:cantSplit/>
          <w:trHeight w:val="60"/>
        </w:trPr>
        <w:tc>
          <w:tcPr>
            <w:tcW w:w="2014" w:type="dxa"/>
            <w:hideMark/>
          </w:tcPr>
          <w:p w14:paraId="343D9826"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285" w:type="dxa"/>
            <w:gridSpan w:val="2"/>
            <w:hideMark/>
          </w:tcPr>
          <w:p w14:paraId="3A02C598"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Total score of responses to questions 1-22. </w:t>
            </w:r>
          </w:p>
          <w:p w14:paraId="17631F41"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numerator excludes: </w:t>
            </w:r>
          </w:p>
          <w:p w14:paraId="50B2BB95"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Invalid responses, YES surveys where &lt;12 of questions 1-22 were completed and where a service has completed less than 10 questionnaires during the survey period. </w:t>
            </w:r>
          </w:p>
          <w:p w14:paraId="73D31B18" w14:textId="77777777" w:rsidR="004C2B08" w:rsidRPr="00F03354" w:rsidRDefault="004C2B08" w:rsidP="005F6246">
            <w:pPr>
              <w:spacing w:before="80" w:after="60" w:line="240" w:lineRule="auto"/>
              <w:rPr>
                <w:rFonts w:ascii="VIC" w:eastAsia="Times New Roman" w:hAnsi="VIC" w:cs="Times New Roman"/>
                <w:sz w:val="20"/>
                <w:szCs w:val="20"/>
              </w:rPr>
            </w:pPr>
          </w:p>
        </w:tc>
      </w:tr>
      <w:tr w:rsidR="004C2B08" w:rsidRPr="00F03354" w14:paraId="28107595" w14:textId="77777777" w:rsidTr="005F6246">
        <w:trPr>
          <w:cantSplit/>
          <w:trHeight w:val="60"/>
        </w:trPr>
        <w:tc>
          <w:tcPr>
            <w:tcW w:w="2014" w:type="dxa"/>
            <w:hideMark/>
          </w:tcPr>
          <w:p w14:paraId="53210C66"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285" w:type="dxa"/>
            <w:gridSpan w:val="2"/>
            <w:hideMark/>
          </w:tcPr>
          <w:p w14:paraId="35E5973F"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valid question responses to questions 1-22 of the YES survey.</w:t>
            </w:r>
          </w:p>
          <w:p w14:paraId="43E81ED5"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excludes:</w:t>
            </w:r>
          </w:p>
          <w:p w14:paraId="3AF3AE24"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Invalid responses, YES questionnaires where &lt;12 of questions 1-22 were completed and where a service has completed less than 10 questionnaires during the survey period. </w:t>
            </w:r>
          </w:p>
          <w:p w14:paraId="316C6FF9" w14:textId="77777777" w:rsidR="004C2B08" w:rsidRPr="00F03354" w:rsidRDefault="004C2B08" w:rsidP="005F6246">
            <w:pPr>
              <w:spacing w:before="80" w:after="60" w:line="240" w:lineRule="auto"/>
              <w:rPr>
                <w:rFonts w:ascii="VIC" w:eastAsia="Times New Roman" w:hAnsi="VIC" w:cs="Times New Roman"/>
                <w:sz w:val="20"/>
                <w:szCs w:val="20"/>
              </w:rPr>
            </w:pPr>
          </w:p>
        </w:tc>
      </w:tr>
      <w:tr w:rsidR="004C2B08" w:rsidRPr="00F03354" w14:paraId="0252C934" w14:textId="77777777" w:rsidTr="005F6246">
        <w:trPr>
          <w:cantSplit/>
          <w:trHeight w:val="60"/>
        </w:trPr>
        <w:tc>
          <w:tcPr>
            <w:tcW w:w="2014" w:type="dxa"/>
            <w:hideMark/>
          </w:tcPr>
          <w:p w14:paraId="1A7B8B9B"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285" w:type="dxa"/>
            <w:gridSpan w:val="2"/>
            <w:vAlign w:val="center"/>
            <w:hideMark/>
          </w:tcPr>
          <w:p w14:paraId="10A76ED0"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80%</w:t>
            </w:r>
          </w:p>
        </w:tc>
      </w:tr>
      <w:tr w:rsidR="004C2B08" w:rsidRPr="00F03354" w14:paraId="5C18CDDB" w14:textId="77777777" w:rsidTr="005F6246">
        <w:trPr>
          <w:cantSplit/>
          <w:trHeight w:val="60"/>
        </w:trPr>
        <w:tc>
          <w:tcPr>
            <w:tcW w:w="2014" w:type="dxa"/>
            <w:vMerge w:val="restart"/>
          </w:tcPr>
          <w:p w14:paraId="3CFD86BD"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4107" w:type="dxa"/>
          </w:tcPr>
          <w:p w14:paraId="6526D900"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above 80%</w:t>
            </w:r>
          </w:p>
        </w:tc>
        <w:tc>
          <w:tcPr>
            <w:tcW w:w="0" w:type="auto"/>
          </w:tcPr>
          <w:p w14:paraId="1E5FCBC4" w14:textId="77777777" w:rsidR="004C2B08" w:rsidRPr="00F03354" w:rsidRDefault="004C2B08"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4C2B08" w:rsidRPr="00F03354" w14:paraId="57A997EF" w14:textId="77777777" w:rsidTr="005F6246">
        <w:trPr>
          <w:cantSplit/>
          <w:trHeight w:val="60"/>
        </w:trPr>
        <w:tc>
          <w:tcPr>
            <w:tcW w:w="2014" w:type="dxa"/>
            <w:vMerge/>
          </w:tcPr>
          <w:p w14:paraId="3E9E387B" w14:textId="77777777" w:rsidR="004C2B08" w:rsidRPr="00F03354" w:rsidRDefault="004C2B08" w:rsidP="005F6246">
            <w:pPr>
              <w:spacing w:before="80" w:after="60" w:line="240" w:lineRule="auto"/>
              <w:rPr>
                <w:rFonts w:ascii="VIC" w:eastAsia="Times New Roman" w:hAnsi="VIC" w:cs="Times New Roman"/>
                <w:sz w:val="20"/>
                <w:szCs w:val="20"/>
              </w:rPr>
            </w:pPr>
          </w:p>
        </w:tc>
        <w:tc>
          <w:tcPr>
            <w:tcW w:w="4107" w:type="dxa"/>
          </w:tcPr>
          <w:p w14:paraId="56E98C11"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Below 80%</w:t>
            </w:r>
          </w:p>
        </w:tc>
        <w:tc>
          <w:tcPr>
            <w:tcW w:w="0" w:type="auto"/>
          </w:tcPr>
          <w:p w14:paraId="58AF49A8" w14:textId="77777777" w:rsidR="004C2B08" w:rsidRPr="00F03354" w:rsidRDefault="004C2B08"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4C2B08" w:rsidRPr="00F03354" w14:paraId="518E9F9A" w14:textId="77777777" w:rsidTr="005F6246">
        <w:trPr>
          <w:cantSplit/>
          <w:trHeight w:val="60"/>
        </w:trPr>
        <w:tc>
          <w:tcPr>
            <w:tcW w:w="2014" w:type="dxa"/>
          </w:tcPr>
          <w:p w14:paraId="203686DD"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285" w:type="dxa"/>
            <w:gridSpan w:val="2"/>
            <w:vAlign w:val="center"/>
          </w:tcPr>
          <w:p w14:paraId="66E09A5C"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period performance</w:t>
            </w:r>
          </w:p>
        </w:tc>
      </w:tr>
      <w:tr w:rsidR="004C2B08" w:rsidRPr="00F03354" w14:paraId="11A36920" w14:textId="77777777" w:rsidTr="005F6246">
        <w:trPr>
          <w:cantSplit/>
          <w:trHeight w:val="60"/>
        </w:trPr>
        <w:tc>
          <w:tcPr>
            <w:tcW w:w="2014" w:type="dxa"/>
            <w:hideMark/>
          </w:tcPr>
          <w:p w14:paraId="678DAB2A"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285" w:type="dxa"/>
            <w:gridSpan w:val="2"/>
            <w:hideMark/>
          </w:tcPr>
          <w:p w14:paraId="40EC4A64" w14:textId="77777777" w:rsidR="004C2B08" w:rsidRPr="00F03354" w:rsidRDefault="004C2B0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supplied and reported annually at health service level.</w:t>
            </w:r>
          </w:p>
          <w:p w14:paraId="43EEB9E4" w14:textId="77777777" w:rsidR="004C2B08" w:rsidRPr="00F03354" w:rsidRDefault="004C2B08" w:rsidP="005F6246">
            <w:pPr>
              <w:pStyle w:val="Default"/>
              <w:rPr>
                <w:rFonts w:ascii="VIC" w:eastAsia="Times New Roman" w:hAnsi="VIC"/>
                <w:color w:val="auto"/>
                <w:sz w:val="20"/>
                <w:szCs w:val="20"/>
              </w:rPr>
            </w:pPr>
            <w:r w:rsidRPr="00F03354">
              <w:rPr>
                <w:rFonts w:ascii="VIC" w:eastAsia="Times New Roman" w:hAnsi="VIC"/>
                <w:color w:val="auto"/>
                <w:sz w:val="20"/>
                <w:szCs w:val="20"/>
              </w:rPr>
              <w:t xml:space="preserve">Participation is based on health services providing the questionnaire to in-scope consumers and at least 30 responses being received by the contractor to enable statistically significant analysis </w:t>
            </w:r>
          </w:p>
          <w:p w14:paraId="385E3852" w14:textId="77777777" w:rsidR="004C2B08" w:rsidRPr="00F03354" w:rsidRDefault="004C2B08" w:rsidP="005F6246">
            <w:pPr>
              <w:spacing w:before="80" w:after="60" w:line="240" w:lineRule="auto"/>
              <w:rPr>
                <w:rFonts w:ascii="VIC" w:eastAsia="Times New Roman" w:hAnsi="VIC" w:cs="Times New Roman"/>
                <w:sz w:val="20"/>
                <w:szCs w:val="20"/>
              </w:rPr>
            </w:pPr>
          </w:p>
        </w:tc>
      </w:tr>
    </w:tbl>
    <w:p w14:paraId="44FA37FF" w14:textId="77777777" w:rsidR="004C2B08" w:rsidRPr="00F03354" w:rsidRDefault="004C2B08" w:rsidP="00280F65">
      <w:pPr>
        <w:rPr>
          <w:rFonts w:ascii="VIC" w:eastAsia="Times New Roman" w:hAnsi="VIC" w:cs="Times New Roman"/>
          <w:sz w:val="20"/>
          <w:szCs w:val="20"/>
        </w:rPr>
      </w:pP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BF4DED" w:rsidRPr="00F03354" w14:paraId="65806C86" w14:textId="77777777" w:rsidTr="005F6246">
        <w:trPr>
          <w:cantSplit/>
          <w:trHeight w:val="60"/>
          <w:tblHeader/>
        </w:trPr>
        <w:tc>
          <w:tcPr>
            <w:tcW w:w="2014" w:type="dxa"/>
            <w:shd w:val="clear" w:color="auto" w:fill="244C5A"/>
          </w:tcPr>
          <w:p w14:paraId="638AE4D3" w14:textId="77777777" w:rsidR="00BF4DED" w:rsidRPr="00F03354" w:rsidRDefault="00BF4DED"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285" w:type="dxa"/>
            <w:gridSpan w:val="2"/>
            <w:shd w:val="clear" w:color="auto" w:fill="244C5A"/>
          </w:tcPr>
          <w:p w14:paraId="627960B8" w14:textId="77777777" w:rsidR="00BF4DED" w:rsidRPr="00F03354" w:rsidRDefault="00BF4DED"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 xml:space="preserve">Percentage of consumers who reporting they ‘usually’ or ‘always’ felt safe using this service </w:t>
            </w:r>
          </w:p>
        </w:tc>
      </w:tr>
      <w:tr w:rsidR="00BF4DED" w:rsidRPr="00F03354" w14:paraId="7352DE77" w14:textId="77777777" w:rsidTr="005F6246">
        <w:trPr>
          <w:cantSplit/>
          <w:trHeight w:val="60"/>
        </w:trPr>
        <w:tc>
          <w:tcPr>
            <w:tcW w:w="2014" w:type="dxa"/>
            <w:hideMark/>
          </w:tcPr>
          <w:p w14:paraId="0AD05049"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285" w:type="dxa"/>
            <w:gridSpan w:val="2"/>
            <w:hideMark/>
          </w:tcPr>
          <w:p w14:paraId="74A4C0CE" w14:textId="77777777" w:rsidR="00BF4DED" w:rsidRPr="00F03354" w:rsidRDefault="00BF4DED" w:rsidP="005F6246">
            <w:pPr>
              <w:pStyle w:val="Default"/>
              <w:rPr>
                <w:rFonts w:ascii="VIC" w:eastAsia="Times New Roman" w:hAnsi="VIC"/>
                <w:color w:val="auto"/>
                <w:sz w:val="20"/>
                <w:szCs w:val="20"/>
                <w:vertAlign w:val="superscript"/>
              </w:rPr>
            </w:pPr>
            <w:r w:rsidRPr="00F03354">
              <w:rPr>
                <w:rFonts w:ascii="VIC" w:eastAsia="Times New Roman" w:hAnsi="VIC"/>
                <w:color w:val="auto"/>
                <w:sz w:val="20"/>
                <w:szCs w:val="20"/>
              </w:rPr>
              <w:t>Patient safety is the prevention of harm to patients from the care that is intended to help them. Safety is an essential part of delivering quality care and a fundamental principle of person-centred care. Patients may be the most reliable reporters of some aspects of healthcare processes; their perspectives should be considered when pursuing changes to improve patient safety.</w:t>
            </w:r>
            <w:r w:rsidRPr="00F03354">
              <w:rPr>
                <w:rFonts w:ascii="VIC" w:eastAsia="Times New Roman" w:hAnsi="VIC"/>
                <w:color w:val="auto"/>
                <w:sz w:val="20"/>
                <w:szCs w:val="20"/>
                <w:vertAlign w:val="superscript"/>
              </w:rPr>
              <w:t>2</w:t>
            </w:r>
          </w:p>
          <w:p w14:paraId="6F859931" w14:textId="77777777" w:rsidR="00BF4DED" w:rsidRPr="00F03354" w:rsidRDefault="00BF4DED" w:rsidP="005F6246">
            <w:pPr>
              <w:spacing w:before="80" w:after="60" w:line="240" w:lineRule="auto"/>
              <w:rPr>
                <w:sz w:val="20"/>
                <w:szCs w:val="20"/>
              </w:rPr>
            </w:pPr>
          </w:p>
        </w:tc>
      </w:tr>
      <w:tr w:rsidR="00BF4DED" w:rsidRPr="00F03354" w14:paraId="323C270C" w14:textId="77777777" w:rsidTr="005F6246">
        <w:trPr>
          <w:cantSplit/>
          <w:trHeight w:val="60"/>
        </w:trPr>
        <w:tc>
          <w:tcPr>
            <w:tcW w:w="2014" w:type="dxa"/>
            <w:hideMark/>
          </w:tcPr>
          <w:p w14:paraId="4D2D6A33"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285" w:type="dxa"/>
            <w:gridSpan w:val="2"/>
            <w:hideMark/>
          </w:tcPr>
          <w:p w14:paraId="625000D0" w14:textId="77777777" w:rsidR="00BF4DED" w:rsidRPr="00F03354" w:rsidRDefault="00BF4DED" w:rsidP="005F6246">
            <w:pPr>
              <w:pStyle w:val="Default"/>
              <w:rPr>
                <w:rFonts w:ascii="VIC" w:eastAsia="Times New Roman" w:hAnsi="VIC"/>
                <w:color w:val="auto"/>
                <w:sz w:val="20"/>
                <w:szCs w:val="20"/>
              </w:rPr>
            </w:pPr>
            <w:r w:rsidRPr="00F03354">
              <w:rPr>
                <w:rFonts w:ascii="VIC" w:eastAsia="Times New Roman" w:hAnsi="VIC"/>
                <w:color w:val="auto"/>
                <w:sz w:val="20"/>
                <w:szCs w:val="20"/>
              </w:rPr>
              <w:t xml:space="preserve">Percentage of Your Experience of Service (YES) survey respondents reporting that in the last 3 months they ‘usually’ or ‘always’ felt safe using this service. </w:t>
            </w:r>
          </w:p>
        </w:tc>
      </w:tr>
      <w:tr w:rsidR="00BF4DED" w:rsidRPr="00F03354" w14:paraId="464F79A7" w14:textId="77777777" w:rsidTr="005F6246">
        <w:trPr>
          <w:cantSplit/>
          <w:trHeight w:val="60"/>
        </w:trPr>
        <w:tc>
          <w:tcPr>
            <w:tcW w:w="2014" w:type="dxa"/>
            <w:hideMark/>
          </w:tcPr>
          <w:p w14:paraId="48B2B806"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285" w:type="dxa"/>
            <w:gridSpan w:val="2"/>
            <w:hideMark/>
          </w:tcPr>
          <w:p w14:paraId="0B4A8EA8" w14:textId="77777777" w:rsidR="00BF4DED" w:rsidRPr="00F03354" w:rsidRDefault="00BF4DED" w:rsidP="005F6246">
            <w:pPr>
              <w:pStyle w:val="Default"/>
              <w:rPr>
                <w:rFonts w:ascii="VIC" w:eastAsia="Times New Roman" w:hAnsi="VIC"/>
                <w:color w:val="auto"/>
                <w:sz w:val="20"/>
                <w:szCs w:val="20"/>
              </w:rPr>
            </w:pPr>
            <w:r w:rsidRPr="00F03354">
              <w:rPr>
                <w:rFonts w:ascii="VIC" w:eastAsia="Times New Roman" w:hAnsi="VIC"/>
                <w:color w:val="auto"/>
                <w:sz w:val="20"/>
                <w:szCs w:val="20"/>
              </w:rPr>
              <w:t xml:space="preserve">Number of consumers responding with a result of ‘Always’ or ‘Usually’ to the prompt (3): ‘You felt safe using the service’ </w:t>
            </w:r>
          </w:p>
        </w:tc>
      </w:tr>
      <w:tr w:rsidR="00BF4DED" w:rsidRPr="00F03354" w14:paraId="2D5D8752" w14:textId="77777777" w:rsidTr="005F6246">
        <w:trPr>
          <w:cantSplit/>
          <w:trHeight w:val="60"/>
        </w:trPr>
        <w:tc>
          <w:tcPr>
            <w:tcW w:w="2014" w:type="dxa"/>
            <w:hideMark/>
          </w:tcPr>
          <w:p w14:paraId="71FAE577"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Denominator</w:t>
            </w:r>
          </w:p>
        </w:tc>
        <w:tc>
          <w:tcPr>
            <w:tcW w:w="7285" w:type="dxa"/>
            <w:gridSpan w:val="2"/>
            <w:hideMark/>
          </w:tcPr>
          <w:p w14:paraId="4141F25A" w14:textId="77777777" w:rsidR="00BF4DED" w:rsidRPr="00F03354" w:rsidRDefault="00BF4DED" w:rsidP="005F6246">
            <w:pPr>
              <w:pStyle w:val="Default"/>
              <w:rPr>
                <w:rFonts w:ascii="VIC" w:eastAsia="Times New Roman" w:hAnsi="VIC"/>
                <w:color w:val="auto"/>
                <w:sz w:val="20"/>
                <w:szCs w:val="20"/>
              </w:rPr>
            </w:pPr>
            <w:r w:rsidRPr="00F03354">
              <w:rPr>
                <w:rFonts w:ascii="VIC" w:eastAsia="Times New Roman" w:hAnsi="VIC"/>
                <w:color w:val="auto"/>
                <w:sz w:val="20"/>
                <w:szCs w:val="20"/>
              </w:rPr>
              <w:t>Number of consumers completing YES surveys with a valid response.</w:t>
            </w:r>
          </w:p>
          <w:p w14:paraId="19FB44BC"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excludes:</w:t>
            </w:r>
          </w:p>
          <w:p w14:paraId="57889233" w14:textId="77777777" w:rsidR="00BF4DED" w:rsidRPr="00F03354" w:rsidRDefault="00BF4DED" w:rsidP="005F6246">
            <w:pPr>
              <w:numPr>
                <w:ilvl w:val="0"/>
                <w:numId w:val="30"/>
              </w:numPr>
              <w:spacing w:before="80" w:after="60" w:line="240" w:lineRule="auto"/>
              <w:ind w:left="335" w:hanging="218"/>
              <w:rPr>
                <w:rFonts w:ascii="VIC" w:eastAsia="Times New Roman" w:hAnsi="VIC" w:cs="Times New Roman"/>
                <w:sz w:val="20"/>
                <w:szCs w:val="20"/>
              </w:rPr>
            </w:pPr>
            <w:r w:rsidRPr="00F03354">
              <w:rPr>
                <w:rFonts w:ascii="VIC" w:eastAsia="Times New Roman" w:hAnsi="VIC" w:cs="Times New Roman"/>
                <w:sz w:val="20"/>
                <w:szCs w:val="20"/>
              </w:rPr>
              <w:t xml:space="preserve">Invalid responses to any question, ‘not completed’ and ‘not needed’ </w:t>
            </w:r>
          </w:p>
        </w:tc>
      </w:tr>
      <w:tr w:rsidR="00BF4DED" w:rsidRPr="00F03354" w14:paraId="6AD7F2AC" w14:textId="77777777" w:rsidTr="005F6246">
        <w:trPr>
          <w:cantSplit/>
          <w:trHeight w:val="60"/>
        </w:trPr>
        <w:tc>
          <w:tcPr>
            <w:tcW w:w="2014" w:type="dxa"/>
            <w:hideMark/>
          </w:tcPr>
          <w:p w14:paraId="781D11A1"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285" w:type="dxa"/>
            <w:gridSpan w:val="2"/>
            <w:vAlign w:val="center"/>
            <w:hideMark/>
          </w:tcPr>
          <w:p w14:paraId="0E3A3A36"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90%</w:t>
            </w:r>
          </w:p>
        </w:tc>
      </w:tr>
      <w:tr w:rsidR="00BF4DED" w:rsidRPr="00F03354" w14:paraId="75067536" w14:textId="77777777" w:rsidTr="005F6246">
        <w:trPr>
          <w:cantSplit/>
          <w:trHeight w:val="60"/>
        </w:trPr>
        <w:tc>
          <w:tcPr>
            <w:tcW w:w="2014" w:type="dxa"/>
            <w:vMerge w:val="restart"/>
          </w:tcPr>
          <w:p w14:paraId="79858E24"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4107" w:type="dxa"/>
          </w:tcPr>
          <w:p w14:paraId="13AAFD62"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above 90%</w:t>
            </w:r>
          </w:p>
        </w:tc>
        <w:tc>
          <w:tcPr>
            <w:tcW w:w="0" w:type="auto"/>
          </w:tcPr>
          <w:p w14:paraId="21C74749" w14:textId="77777777" w:rsidR="00BF4DED" w:rsidRPr="00F03354" w:rsidRDefault="00BF4DED"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BF4DED" w:rsidRPr="00F03354" w14:paraId="1D09C367" w14:textId="77777777" w:rsidTr="005F6246">
        <w:trPr>
          <w:cantSplit/>
          <w:trHeight w:val="60"/>
        </w:trPr>
        <w:tc>
          <w:tcPr>
            <w:tcW w:w="2014" w:type="dxa"/>
            <w:vMerge/>
          </w:tcPr>
          <w:p w14:paraId="13CB9394" w14:textId="77777777" w:rsidR="00BF4DED" w:rsidRPr="00F03354" w:rsidRDefault="00BF4DED" w:rsidP="005F6246">
            <w:pPr>
              <w:spacing w:before="80" w:after="60" w:line="240" w:lineRule="auto"/>
              <w:rPr>
                <w:rFonts w:ascii="VIC" w:eastAsia="Times New Roman" w:hAnsi="VIC" w:cs="Times New Roman"/>
                <w:sz w:val="20"/>
                <w:szCs w:val="20"/>
              </w:rPr>
            </w:pPr>
          </w:p>
        </w:tc>
        <w:tc>
          <w:tcPr>
            <w:tcW w:w="4107" w:type="dxa"/>
          </w:tcPr>
          <w:p w14:paraId="03E94B18"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Below 90%</w:t>
            </w:r>
          </w:p>
        </w:tc>
        <w:tc>
          <w:tcPr>
            <w:tcW w:w="0" w:type="auto"/>
          </w:tcPr>
          <w:p w14:paraId="27F27F48" w14:textId="77777777" w:rsidR="00BF4DED" w:rsidRPr="00F03354" w:rsidRDefault="00BF4DED"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BF4DED" w:rsidRPr="00F03354" w14:paraId="64B34CD9" w14:textId="77777777" w:rsidTr="005F6246">
        <w:trPr>
          <w:cantSplit/>
          <w:trHeight w:val="60"/>
        </w:trPr>
        <w:tc>
          <w:tcPr>
            <w:tcW w:w="2014" w:type="dxa"/>
          </w:tcPr>
          <w:p w14:paraId="1A99FC85"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285" w:type="dxa"/>
            <w:gridSpan w:val="2"/>
            <w:vAlign w:val="center"/>
          </w:tcPr>
          <w:p w14:paraId="20793357"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period performance</w:t>
            </w:r>
          </w:p>
        </w:tc>
      </w:tr>
      <w:tr w:rsidR="00BF4DED" w:rsidRPr="00F03354" w14:paraId="6F53FC7F" w14:textId="77777777" w:rsidTr="005F6246">
        <w:trPr>
          <w:cantSplit/>
          <w:trHeight w:val="60"/>
        </w:trPr>
        <w:tc>
          <w:tcPr>
            <w:tcW w:w="2014" w:type="dxa"/>
            <w:hideMark/>
          </w:tcPr>
          <w:p w14:paraId="4D97FC2B"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285" w:type="dxa"/>
            <w:gridSpan w:val="2"/>
            <w:hideMark/>
          </w:tcPr>
          <w:p w14:paraId="5AB1E792" w14:textId="77777777" w:rsidR="00BF4DED" w:rsidRPr="00F03354" w:rsidRDefault="00BF4DED"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supplied and reported annually at health service level.</w:t>
            </w:r>
          </w:p>
          <w:p w14:paraId="760D9FBB" w14:textId="77777777" w:rsidR="00BF4DED" w:rsidRPr="00F03354" w:rsidRDefault="00BF4DED" w:rsidP="005F6246">
            <w:pPr>
              <w:pStyle w:val="Default"/>
              <w:rPr>
                <w:rFonts w:ascii="VIC" w:eastAsia="Times New Roman" w:hAnsi="VIC"/>
                <w:color w:val="auto"/>
                <w:sz w:val="20"/>
                <w:szCs w:val="20"/>
              </w:rPr>
            </w:pPr>
            <w:r w:rsidRPr="00F03354">
              <w:rPr>
                <w:rFonts w:ascii="VIC" w:eastAsia="Times New Roman" w:hAnsi="VIC"/>
                <w:color w:val="auto"/>
                <w:sz w:val="20"/>
                <w:szCs w:val="20"/>
              </w:rPr>
              <w:t xml:space="preserve">Participation is based on health services providing the questionnaire to in-scope consumers and at least 30 responses being received by the contractor to enable statistically significant analysis </w:t>
            </w:r>
          </w:p>
          <w:p w14:paraId="03B5C505" w14:textId="77777777" w:rsidR="00BF4DED" w:rsidRPr="00F03354" w:rsidRDefault="00BF4DED" w:rsidP="005F6246">
            <w:pPr>
              <w:spacing w:before="80" w:after="60" w:line="240" w:lineRule="auto"/>
              <w:rPr>
                <w:rFonts w:ascii="VIC" w:eastAsia="Times New Roman" w:hAnsi="VIC" w:cs="Times New Roman"/>
                <w:sz w:val="20"/>
                <w:szCs w:val="20"/>
              </w:rPr>
            </w:pPr>
          </w:p>
        </w:tc>
      </w:tr>
    </w:tbl>
    <w:p w14:paraId="1DDBCE68" w14:textId="77777777" w:rsidR="000B187D" w:rsidRPr="00F03354" w:rsidRDefault="000B187D" w:rsidP="004572E9">
      <w:pPr>
        <w:ind w:left="142"/>
      </w:pPr>
      <w:r w:rsidRPr="00F03354">
        <w:rPr>
          <w:sz w:val="18"/>
          <w:szCs w:val="18"/>
        </w:rPr>
        <w:t xml:space="preserve">2. Hincapie, A; Slack, M; Malone, D; MacKinnon, N; Warholak, T. Relationship between patients’ perceptions of care, quality and health care errors in 11 countries: A secondary data analysis; Quality Management in Health Care, 25 (1); 2016 </w:t>
      </w:r>
      <w:r w:rsidRPr="00F03354">
        <w:t xml:space="preserve"> </w:t>
      </w:r>
    </w:p>
    <w:p w14:paraId="1A880C3C" w14:textId="77777777" w:rsidR="000B187D" w:rsidRPr="00F03354" w:rsidRDefault="000B187D" w:rsidP="00280F65">
      <w:pPr>
        <w:rPr>
          <w:rFonts w:ascii="VIC" w:eastAsia="Times New Roman" w:hAnsi="VIC" w:cs="Times New Roman"/>
          <w:sz w:val="20"/>
          <w:szCs w:val="20"/>
        </w:rPr>
      </w:pPr>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0D4487" w:rsidRPr="00F03354" w14:paraId="58F464E9" w14:textId="77777777" w:rsidTr="005F6246">
        <w:trPr>
          <w:cantSplit/>
          <w:trHeight w:val="60"/>
          <w:tblHeader/>
        </w:trPr>
        <w:tc>
          <w:tcPr>
            <w:tcW w:w="2014" w:type="dxa"/>
            <w:shd w:val="clear" w:color="auto" w:fill="244C5A"/>
          </w:tcPr>
          <w:p w14:paraId="2149CC35" w14:textId="77777777" w:rsidR="000D4487" w:rsidRPr="00F03354" w:rsidRDefault="000D4487"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285" w:type="dxa"/>
            <w:gridSpan w:val="2"/>
            <w:shd w:val="clear" w:color="auto" w:fill="244C5A"/>
          </w:tcPr>
          <w:p w14:paraId="272BDE1A" w14:textId="77777777" w:rsidR="000D4487" w:rsidRPr="00F03354" w:rsidRDefault="000D4487"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 xml:space="preserve">Percentage of families/ carers reporting a ‘very good’ or ‘excellent’ overall experience of service </w:t>
            </w:r>
          </w:p>
        </w:tc>
      </w:tr>
      <w:tr w:rsidR="000D4487" w:rsidRPr="00F03354" w14:paraId="19172987" w14:textId="77777777" w:rsidTr="005F6246">
        <w:trPr>
          <w:cantSplit/>
          <w:trHeight w:val="60"/>
        </w:trPr>
        <w:tc>
          <w:tcPr>
            <w:tcW w:w="2014" w:type="dxa"/>
            <w:hideMark/>
          </w:tcPr>
          <w:p w14:paraId="32D013D7"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285" w:type="dxa"/>
            <w:gridSpan w:val="2"/>
            <w:hideMark/>
          </w:tcPr>
          <w:p w14:paraId="7395E6BC"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principles of the </w:t>
            </w:r>
            <w:r w:rsidRPr="00F03354">
              <w:rPr>
                <w:rFonts w:ascii="VIC" w:eastAsia="Times New Roman" w:hAnsi="VIC" w:cs="Times New Roman"/>
                <w:i/>
                <w:iCs/>
                <w:sz w:val="20"/>
                <w:szCs w:val="20"/>
              </w:rPr>
              <w:t>Mental Health Act 2014</w:t>
            </w:r>
            <w:r w:rsidRPr="00F03354">
              <w:rPr>
                <w:rFonts w:ascii="VIC" w:eastAsia="Times New Roman" w:hAnsi="VIC" w:cs="Times New Roman"/>
                <w:sz w:val="20"/>
                <w:szCs w:val="20"/>
              </w:rPr>
              <w:t xml:space="preserve"> outline a vision for services that protect human rights and promote hope, recovery, capacity and autonomy. These principles recognise the importance of the wellbeing of carers and children, promoting and encouraging communication between health practitioners, consumers, their families and carers. While paying regard to consumers' preferences, families and carers must be meaningfully included in consumers' treatment and care.</w:t>
            </w:r>
          </w:p>
          <w:p w14:paraId="58C1AD03" w14:textId="77777777" w:rsidR="000D4487" w:rsidRPr="00F03354" w:rsidRDefault="000D4487" w:rsidP="005F6246">
            <w:pPr>
              <w:spacing w:before="80" w:after="60" w:line="240" w:lineRule="auto"/>
              <w:rPr>
                <w:rFonts w:ascii="VIC" w:eastAsia="Times New Roman" w:hAnsi="VIC" w:cs="Times New Roman"/>
                <w:sz w:val="20"/>
                <w:szCs w:val="20"/>
                <w:vertAlign w:val="superscript"/>
              </w:rPr>
            </w:pPr>
            <w:r w:rsidRPr="00F03354">
              <w:rPr>
                <w:rFonts w:ascii="VIC" w:eastAsia="Times New Roman" w:hAnsi="VIC" w:cs="Times New Roman"/>
                <w:sz w:val="20"/>
                <w:szCs w:val="20"/>
              </w:rPr>
              <w:t>Clinical best practice requires identification, recognition, and involvement of families and carers, including children, across the service continuum. Clinicians need to actively engage with families and carers as an essential part of mental health service delivery and acknowledge that some consumers may not want their families involved and that some families may not want to be involved</w:t>
            </w:r>
            <w:r w:rsidRPr="00F03354">
              <w:rPr>
                <w:rFonts w:ascii="VIC" w:eastAsia="Times New Roman" w:hAnsi="VIC" w:cs="Times New Roman"/>
                <w:sz w:val="20"/>
                <w:szCs w:val="20"/>
                <w:vertAlign w:val="superscript"/>
              </w:rPr>
              <w:t>1</w:t>
            </w:r>
          </w:p>
        </w:tc>
      </w:tr>
      <w:tr w:rsidR="000D4487" w:rsidRPr="00F03354" w14:paraId="72BBF2FB" w14:textId="77777777" w:rsidTr="005F6246">
        <w:trPr>
          <w:cantSplit/>
          <w:trHeight w:val="60"/>
        </w:trPr>
        <w:tc>
          <w:tcPr>
            <w:tcW w:w="2014" w:type="dxa"/>
            <w:hideMark/>
          </w:tcPr>
          <w:p w14:paraId="28A0E6ED"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285" w:type="dxa"/>
            <w:gridSpan w:val="2"/>
            <w:hideMark/>
          </w:tcPr>
          <w:p w14:paraId="3FC7E57E"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percentage of carers who responded with 'Very good' or 'Excellent' to the question, '‘Overall, how would you rate your experience as a carer with this mental health service over the last 3 months?’. </w:t>
            </w:r>
          </w:p>
        </w:tc>
      </w:tr>
      <w:tr w:rsidR="000D4487" w:rsidRPr="00F03354" w14:paraId="5E7403C5" w14:textId="77777777" w:rsidTr="005F6246">
        <w:trPr>
          <w:cantSplit/>
          <w:trHeight w:val="60"/>
        </w:trPr>
        <w:tc>
          <w:tcPr>
            <w:tcW w:w="2014" w:type="dxa"/>
            <w:hideMark/>
          </w:tcPr>
          <w:p w14:paraId="2F6569B7"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285" w:type="dxa"/>
            <w:gridSpan w:val="2"/>
            <w:hideMark/>
          </w:tcPr>
          <w:p w14:paraId="609565EC"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'‘Excellent’ or ‘Very good’ responses to the question: ‘Overall, how would you rate your experience as a carer with this mental health service over the last 3 months?’.</w:t>
            </w:r>
            <w:r w:rsidRPr="00F03354">
              <w:rPr>
                <w:lang w:eastAsia="en-AU"/>
              </w:rPr>
              <w:t xml:space="preserve"> </w:t>
            </w:r>
          </w:p>
        </w:tc>
      </w:tr>
      <w:tr w:rsidR="000D4487" w:rsidRPr="00F03354" w14:paraId="7D611847" w14:textId="77777777" w:rsidTr="005F6246">
        <w:trPr>
          <w:cantSplit/>
          <w:trHeight w:val="60"/>
        </w:trPr>
        <w:tc>
          <w:tcPr>
            <w:tcW w:w="2014" w:type="dxa"/>
            <w:hideMark/>
          </w:tcPr>
          <w:p w14:paraId="23C19222"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285" w:type="dxa"/>
            <w:gridSpan w:val="2"/>
            <w:hideMark/>
          </w:tcPr>
          <w:p w14:paraId="540FD59A" w14:textId="77777777" w:rsidR="000D4487" w:rsidRPr="00F03354" w:rsidRDefault="000D4487" w:rsidP="005F6246">
            <w:pPr>
              <w:spacing w:before="80" w:after="60" w:line="240" w:lineRule="auto"/>
              <w:rPr>
                <w:lang w:eastAsia="en-AU"/>
              </w:rPr>
            </w:pPr>
            <w:r w:rsidRPr="00F03354">
              <w:rPr>
                <w:rFonts w:ascii="VIC" w:eastAsia="Times New Roman" w:hAnsi="VIC" w:cs="Times New Roman"/>
                <w:sz w:val="20"/>
                <w:szCs w:val="20"/>
              </w:rPr>
              <w:t>Number of valid responses to the question ‘Overall, how would you rate your experience as a carer with this mental health service over the last 3 months?’.</w:t>
            </w:r>
            <w:r w:rsidRPr="00F03354">
              <w:rPr>
                <w:lang w:eastAsia="en-AU"/>
              </w:rPr>
              <w:t xml:space="preserve"> </w:t>
            </w:r>
          </w:p>
          <w:p w14:paraId="7E825812"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excludes:</w:t>
            </w:r>
          </w:p>
          <w:p w14:paraId="6979B6A7" w14:textId="77777777" w:rsidR="000D4487" w:rsidRPr="00F03354" w:rsidRDefault="000D4487" w:rsidP="005F6246">
            <w:pPr>
              <w:numPr>
                <w:ilvl w:val="0"/>
                <w:numId w:val="30"/>
              </w:numPr>
              <w:spacing w:before="80" w:after="60" w:line="240" w:lineRule="auto"/>
              <w:ind w:left="335" w:hanging="218"/>
              <w:rPr>
                <w:rFonts w:ascii="VIC" w:eastAsia="Times New Roman" w:hAnsi="VIC" w:cs="Times New Roman"/>
                <w:sz w:val="20"/>
                <w:szCs w:val="20"/>
              </w:rPr>
            </w:pPr>
            <w:r w:rsidRPr="00F03354">
              <w:rPr>
                <w:rFonts w:ascii="VIC" w:eastAsia="Times New Roman" w:hAnsi="VIC" w:cs="Times New Roman"/>
                <w:sz w:val="20"/>
                <w:szCs w:val="20"/>
              </w:rPr>
              <w:t xml:space="preserve">Invalid responses to any question, ‘not completed’ and ‘not applicable’ </w:t>
            </w:r>
          </w:p>
        </w:tc>
      </w:tr>
      <w:tr w:rsidR="000D4487" w:rsidRPr="00F03354" w14:paraId="5B9F49A1" w14:textId="77777777" w:rsidTr="005F6246">
        <w:trPr>
          <w:cantSplit/>
          <w:trHeight w:val="60"/>
        </w:trPr>
        <w:tc>
          <w:tcPr>
            <w:tcW w:w="2014" w:type="dxa"/>
            <w:hideMark/>
          </w:tcPr>
          <w:p w14:paraId="10ED666A"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Statewide target</w:t>
            </w:r>
          </w:p>
        </w:tc>
        <w:tc>
          <w:tcPr>
            <w:tcW w:w="7285" w:type="dxa"/>
            <w:gridSpan w:val="2"/>
            <w:vAlign w:val="center"/>
            <w:hideMark/>
          </w:tcPr>
          <w:p w14:paraId="7E7EA57B" w14:textId="77777777" w:rsidR="000D4487" w:rsidRPr="00F03354" w:rsidRDefault="000D4487" w:rsidP="005F6246">
            <w:pPr>
              <w:spacing w:before="80" w:after="60" w:line="240" w:lineRule="auto"/>
              <w:rPr>
                <w:rFonts w:ascii="VIC" w:eastAsia="Times New Roman" w:hAnsi="VIC" w:cs="Arial"/>
                <w:sz w:val="20"/>
                <w:szCs w:val="20"/>
              </w:rPr>
            </w:pPr>
            <w:r w:rsidRPr="00F03354">
              <w:rPr>
                <w:rFonts w:ascii="VIC" w:eastAsia="Times New Roman" w:hAnsi="VIC" w:cs="Arial"/>
                <w:sz w:val="20"/>
                <w:szCs w:val="20"/>
              </w:rPr>
              <w:t>80%</w:t>
            </w:r>
          </w:p>
        </w:tc>
      </w:tr>
      <w:tr w:rsidR="000D4487" w:rsidRPr="00F03354" w14:paraId="18E4AFEA" w14:textId="77777777" w:rsidTr="005F6246">
        <w:trPr>
          <w:cantSplit/>
          <w:trHeight w:val="60"/>
        </w:trPr>
        <w:tc>
          <w:tcPr>
            <w:tcW w:w="2014" w:type="dxa"/>
            <w:vMerge w:val="restart"/>
          </w:tcPr>
          <w:p w14:paraId="08D89FB3"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4107" w:type="dxa"/>
          </w:tcPr>
          <w:p w14:paraId="79735351"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above 80%</w:t>
            </w:r>
          </w:p>
        </w:tc>
        <w:tc>
          <w:tcPr>
            <w:tcW w:w="0" w:type="auto"/>
          </w:tcPr>
          <w:p w14:paraId="58503A98" w14:textId="77777777" w:rsidR="000D4487" w:rsidRPr="00F03354" w:rsidRDefault="000D4487"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0D4487" w:rsidRPr="00F03354" w14:paraId="32123173" w14:textId="77777777" w:rsidTr="005F6246">
        <w:trPr>
          <w:cantSplit/>
          <w:trHeight w:val="60"/>
        </w:trPr>
        <w:tc>
          <w:tcPr>
            <w:tcW w:w="2014" w:type="dxa"/>
            <w:vMerge/>
          </w:tcPr>
          <w:p w14:paraId="183D5D8E" w14:textId="77777777" w:rsidR="000D4487" w:rsidRPr="00F03354" w:rsidRDefault="000D4487" w:rsidP="005F6246">
            <w:pPr>
              <w:spacing w:before="80" w:after="60" w:line="240" w:lineRule="auto"/>
              <w:rPr>
                <w:rFonts w:ascii="VIC" w:eastAsia="Times New Roman" w:hAnsi="VIC" w:cs="Times New Roman"/>
                <w:sz w:val="20"/>
                <w:szCs w:val="20"/>
              </w:rPr>
            </w:pPr>
          </w:p>
        </w:tc>
        <w:tc>
          <w:tcPr>
            <w:tcW w:w="4107" w:type="dxa"/>
          </w:tcPr>
          <w:p w14:paraId="053AD73F"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Below 80%</w:t>
            </w:r>
          </w:p>
        </w:tc>
        <w:tc>
          <w:tcPr>
            <w:tcW w:w="0" w:type="auto"/>
          </w:tcPr>
          <w:p w14:paraId="3D604A61" w14:textId="77777777" w:rsidR="000D4487" w:rsidRPr="00F03354" w:rsidRDefault="000D4487"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0D4487" w:rsidRPr="00F03354" w14:paraId="15E21FF2" w14:textId="77777777" w:rsidTr="005F6246">
        <w:trPr>
          <w:cantSplit/>
          <w:trHeight w:val="60"/>
        </w:trPr>
        <w:tc>
          <w:tcPr>
            <w:tcW w:w="2014" w:type="dxa"/>
          </w:tcPr>
          <w:p w14:paraId="7EFFC3D1"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285" w:type="dxa"/>
            <w:gridSpan w:val="2"/>
            <w:vAlign w:val="center"/>
          </w:tcPr>
          <w:p w14:paraId="35082E39"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period performance</w:t>
            </w:r>
          </w:p>
        </w:tc>
      </w:tr>
      <w:tr w:rsidR="000D4487" w:rsidRPr="00F03354" w14:paraId="1F183844" w14:textId="77777777" w:rsidTr="005F6246">
        <w:trPr>
          <w:cantSplit/>
          <w:trHeight w:val="60"/>
        </w:trPr>
        <w:tc>
          <w:tcPr>
            <w:tcW w:w="2014" w:type="dxa"/>
            <w:hideMark/>
          </w:tcPr>
          <w:p w14:paraId="1EF03539"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285" w:type="dxa"/>
            <w:gridSpan w:val="2"/>
            <w:hideMark/>
          </w:tcPr>
          <w:p w14:paraId="003688ED" w14:textId="77777777" w:rsidR="000D4487" w:rsidRPr="00F03354" w:rsidRDefault="000D4487"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supplied and reported annually at health service level.</w:t>
            </w:r>
          </w:p>
          <w:p w14:paraId="472FAEEF" w14:textId="77777777" w:rsidR="000D4487" w:rsidRPr="00F03354" w:rsidRDefault="000D4487" w:rsidP="005F6246">
            <w:pPr>
              <w:pStyle w:val="Default"/>
              <w:rPr>
                <w:rFonts w:ascii="VIC" w:eastAsia="Times New Roman" w:hAnsi="VIC"/>
                <w:color w:val="auto"/>
                <w:sz w:val="20"/>
                <w:szCs w:val="20"/>
              </w:rPr>
            </w:pPr>
            <w:r w:rsidRPr="00F03354">
              <w:rPr>
                <w:rFonts w:ascii="VIC" w:eastAsia="Times New Roman" w:hAnsi="VIC"/>
                <w:color w:val="auto"/>
                <w:sz w:val="20"/>
                <w:szCs w:val="20"/>
              </w:rPr>
              <w:t xml:space="preserve">Participation is based on health services providing the questionnaire to in-scope consumers and at least 30 responses being received by the contractor to enable statistically significant analysis </w:t>
            </w:r>
          </w:p>
          <w:p w14:paraId="0B56E191" w14:textId="77777777" w:rsidR="000D4487" w:rsidRPr="00F03354" w:rsidRDefault="000D4487" w:rsidP="005F6246">
            <w:pPr>
              <w:spacing w:before="80" w:after="60" w:line="240" w:lineRule="auto"/>
              <w:rPr>
                <w:rFonts w:ascii="VIC" w:eastAsia="Times New Roman" w:hAnsi="VIC" w:cs="Times New Roman"/>
                <w:sz w:val="20"/>
                <w:szCs w:val="20"/>
              </w:rPr>
            </w:pPr>
          </w:p>
        </w:tc>
      </w:tr>
    </w:tbl>
    <w:p w14:paraId="6EE59C5C" w14:textId="77777777" w:rsidR="000D4487" w:rsidRPr="00F03354" w:rsidRDefault="000D4487" w:rsidP="003E5D28">
      <w:pPr>
        <w:ind w:left="142"/>
        <w:rPr>
          <w:rStyle w:val="Hyperlink"/>
          <w:sz w:val="18"/>
          <w:szCs w:val="18"/>
        </w:rPr>
      </w:pPr>
      <w:r w:rsidRPr="00F03354">
        <w:rPr>
          <w:rStyle w:val="FootnoteReference"/>
        </w:rPr>
        <w:footnoteRef/>
      </w:r>
      <w:r w:rsidRPr="00F03354">
        <w:t xml:space="preserve"> </w:t>
      </w:r>
      <w:r w:rsidRPr="00F03354">
        <w:rPr>
          <w:sz w:val="18"/>
          <w:szCs w:val="18"/>
        </w:rPr>
        <w:t xml:space="preserve">Working together with families and carers: Chief Psychiatrist’s Guideline  </w:t>
      </w:r>
      <w:hyperlink r:id="rId14" w:history="1">
        <w:r w:rsidRPr="00F03354">
          <w:rPr>
            <w:rStyle w:val="Hyperlink"/>
            <w:sz w:val="18"/>
            <w:szCs w:val="18"/>
          </w:rPr>
          <w:t>https://www2.health.vic.gov.au/about/key-staff/chief-psychiatrist/chief-psychiatrist-guidelines/working-together-with-families-and-carers</w:t>
        </w:r>
      </w:hyperlink>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014"/>
        <w:gridCol w:w="4107"/>
        <w:gridCol w:w="3178"/>
      </w:tblGrid>
      <w:tr w:rsidR="00BC7B4C" w:rsidRPr="00F03354" w14:paraId="20103363" w14:textId="77777777" w:rsidTr="005F6246">
        <w:trPr>
          <w:cantSplit/>
          <w:trHeight w:val="60"/>
          <w:tblHeader/>
        </w:trPr>
        <w:tc>
          <w:tcPr>
            <w:tcW w:w="2014" w:type="dxa"/>
            <w:shd w:val="clear" w:color="auto" w:fill="244C5A"/>
          </w:tcPr>
          <w:p w14:paraId="50ABA253" w14:textId="77777777" w:rsidR="00BC7B4C" w:rsidRPr="00F03354" w:rsidRDefault="00BC7B4C"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285" w:type="dxa"/>
            <w:gridSpan w:val="2"/>
            <w:shd w:val="clear" w:color="auto" w:fill="244C5A"/>
          </w:tcPr>
          <w:p w14:paraId="637F2736" w14:textId="77777777" w:rsidR="00BC7B4C" w:rsidRPr="00F03354" w:rsidRDefault="00BC7B4C"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 xml:space="preserve">Percentage of families/ carers reporting they ‘usually’ or ‘always’ felt their opinions as a carer were respected </w:t>
            </w:r>
          </w:p>
        </w:tc>
      </w:tr>
      <w:tr w:rsidR="00BC7B4C" w:rsidRPr="00F03354" w14:paraId="6E600FEE" w14:textId="77777777" w:rsidTr="005F6246">
        <w:trPr>
          <w:cantSplit/>
          <w:trHeight w:val="60"/>
        </w:trPr>
        <w:tc>
          <w:tcPr>
            <w:tcW w:w="2014" w:type="dxa"/>
            <w:hideMark/>
          </w:tcPr>
          <w:p w14:paraId="28901E9B"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285" w:type="dxa"/>
            <w:gridSpan w:val="2"/>
            <w:hideMark/>
          </w:tcPr>
          <w:p w14:paraId="3BF2D848"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 key principle under the department’s </w:t>
            </w:r>
            <w:r w:rsidRPr="00F03354">
              <w:rPr>
                <w:rFonts w:ascii="VIC" w:eastAsia="Times New Roman" w:hAnsi="VIC" w:cs="Times New Roman"/>
                <w:i/>
                <w:iCs/>
                <w:sz w:val="20"/>
                <w:szCs w:val="20"/>
              </w:rPr>
              <w:t xml:space="preserve">Mental Health Lived Experience Framework </w:t>
            </w:r>
            <w:r w:rsidRPr="00F03354">
              <w:rPr>
                <w:rFonts w:ascii="VIC" w:eastAsia="Times New Roman" w:hAnsi="VIC" w:cs="Times New Roman"/>
                <w:sz w:val="20"/>
                <w:szCs w:val="20"/>
              </w:rPr>
              <w:t xml:space="preserve">includes valuing the experience and opinions of all those involved by providing meaningful opportunities and support to enable participation of consumers and families/carers. </w:t>
            </w:r>
          </w:p>
        </w:tc>
      </w:tr>
      <w:tr w:rsidR="00BC7B4C" w:rsidRPr="00F03354" w14:paraId="081E6EE2" w14:textId="77777777" w:rsidTr="005F6246">
        <w:trPr>
          <w:cantSplit/>
          <w:trHeight w:val="60"/>
        </w:trPr>
        <w:tc>
          <w:tcPr>
            <w:tcW w:w="2014" w:type="dxa"/>
            <w:hideMark/>
          </w:tcPr>
          <w:p w14:paraId="76500C21"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285" w:type="dxa"/>
            <w:gridSpan w:val="2"/>
            <w:hideMark/>
          </w:tcPr>
          <w:p w14:paraId="77EE32C4"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percentage of carers who responded with ‘Usually’ or 'always' to the question, ‘Your opinion as a carer was respected’.</w:t>
            </w:r>
          </w:p>
        </w:tc>
      </w:tr>
      <w:tr w:rsidR="00BC7B4C" w:rsidRPr="00F03354" w14:paraId="5996ACBE" w14:textId="77777777" w:rsidTr="005F6246">
        <w:trPr>
          <w:cantSplit/>
          <w:trHeight w:val="60"/>
        </w:trPr>
        <w:tc>
          <w:tcPr>
            <w:tcW w:w="2014" w:type="dxa"/>
            <w:hideMark/>
          </w:tcPr>
          <w:p w14:paraId="12909A50"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285" w:type="dxa"/>
            <w:gridSpan w:val="2"/>
            <w:hideMark/>
          </w:tcPr>
          <w:p w14:paraId="507CAA1B"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‘Usually’ or ‘always’ responses to the question: ‘Your opinion as a carer was respected’.</w:t>
            </w:r>
            <w:r w:rsidRPr="00F03354">
              <w:rPr>
                <w:lang w:eastAsia="en-AU"/>
              </w:rPr>
              <w:t xml:space="preserve"> </w:t>
            </w:r>
          </w:p>
        </w:tc>
      </w:tr>
      <w:tr w:rsidR="00BC7B4C" w:rsidRPr="00F03354" w14:paraId="44F0D753" w14:textId="77777777" w:rsidTr="005F6246">
        <w:trPr>
          <w:cantSplit/>
          <w:trHeight w:val="60"/>
        </w:trPr>
        <w:tc>
          <w:tcPr>
            <w:tcW w:w="2014" w:type="dxa"/>
            <w:hideMark/>
          </w:tcPr>
          <w:p w14:paraId="046DD430"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285" w:type="dxa"/>
            <w:gridSpan w:val="2"/>
            <w:hideMark/>
          </w:tcPr>
          <w:p w14:paraId="0471DCC7" w14:textId="77777777" w:rsidR="00BC7B4C" w:rsidRPr="00F03354" w:rsidRDefault="00BC7B4C" w:rsidP="005F6246">
            <w:pPr>
              <w:spacing w:before="80" w:after="60" w:line="240" w:lineRule="auto"/>
              <w:rPr>
                <w:lang w:eastAsia="en-AU"/>
              </w:rPr>
            </w:pPr>
            <w:r w:rsidRPr="00F03354">
              <w:rPr>
                <w:rFonts w:ascii="VIC" w:eastAsia="Times New Roman" w:hAnsi="VIC" w:cs="Times New Roman"/>
                <w:sz w:val="20"/>
                <w:szCs w:val="20"/>
              </w:rPr>
              <w:t>Number of valid responses to the question ‘Overall, how would you rate your experience as a carer with this mental health service over the last 3 months?’.</w:t>
            </w:r>
            <w:r w:rsidRPr="00F03354">
              <w:rPr>
                <w:lang w:eastAsia="en-AU"/>
              </w:rPr>
              <w:t xml:space="preserve"> </w:t>
            </w:r>
          </w:p>
          <w:p w14:paraId="1F2F7FA2"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excludes:</w:t>
            </w:r>
          </w:p>
          <w:p w14:paraId="7C402C4F" w14:textId="77777777" w:rsidR="00BC7B4C" w:rsidRPr="00F03354" w:rsidRDefault="00BC7B4C" w:rsidP="005F6246">
            <w:pPr>
              <w:numPr>
                <w:ilvl w:val="0"/>
                <w:numId w:val="30"/>
              </w:numPr>
              <w:spacing w:before="80" w:after="60" w:line="240" w:lineRule="auto"/>
              <w:ind w:left="335" w:hanging="218"/>
              <w:rPr>
                <w:rFonts w:ascii="VIC" w:eastAsia="Times New Roman" w:hAnsi="VIC" w:cs="Times New Roman"/>
                <w:sz w:val="20"/>
                <w:szCs w:val="20"/>
              </w:rPr>
            </w:pPr>
            <w:r w:rsidRPr="00F03354">
              <w:rPr>
                <w:rFonts w:ascii="VIC" w:eastAsia="Times New Roman" w:hAnsi="VIC" w:cs="Times New Roman"/>
                <w:sz w:val="20"/>
                <w:szCs w:val="20"/>
              </w:rPr>
              <w:t xml:space="preserve">Invalid responses to any question, ‘not completed’ and ‘not needed’ </w:t>
            </w:r>
          </w:p>
        </w:tc>
      </w:tr>
      <w:tr w:rsidR="00BC7B4C" w:rsidRPr="00F03354" w14:paraId="1B2E21DC" w14:textId="77777777" w:rsidTr="005F6246">
        <w:trPr>
          <w:cantSplit/>
          <w:trHeight w:val="60"/>
        </w:trPr>
        <w:tc>
          <w:tcPr>
            <w:tcW w:w="2014" w:type="dxa"/>
            <w:hideMark/>
          </w:tcPr>
          <w:p w14:paraId="6681521B"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285" w:type="dxa"/>
            <w:gridSpan w:val="2"/>
            <w:vAlign w:val="center"/>
            <w:hideMark/>
          </w:tcPr>
          <w:p w14:paraId="0A37D68A" w14:textId="77777777" w:rsidR="00BC7B4C" w:rsidRPr="00F03354" w:rsidRDefault="00BC7B4C" w:rsidP="005F6246">
            <w:pPr>
              <w:spacing w:before="80" w:after="60" w:line="240" w:lineRule="auto"/>
              <w:rPr>
                <w:rFonts w:ascii="VIC" w:eastAsia="Times New Roman" w:hAnsi="VIC" w:cs="Arial"/>
                <w:sz w:val="20"/>
                <w:szCs w:val="20"/>
              </w:rPr>
            </w:pPr>
            <w:r w:rsidRPr="00F03354">
              <w:rPr>
                <w:rFonts w:ascii="VIC" w:eastAsia="Times New Roman" w:hAnsi="VIC" w:cs="Arial"/>
                <w:sz w:val="20"/>
                <w:szCs w:val="20"/>
              </w:rPr>
              <w:t>90%</w:t>
            </w:r>
          </w:p>
        </w:tc>
      </w:tr>
      <w:tr w:rsidR="00BC7B4C" w:rsidRPr="00F03354" w14:paraId="080D1E21" w14:textId="77777777" w:rsidTr="005F6246">
        <w:trPr>
          <w:cantSplit/>
          <w:trHeight w:val="60"/>
        </w:trPr>
        <w:tc>
          <w:tcPr>
            <w:tcW w:w="2014" w:type="dxa"/>
            <w:vMerge w:val="restart"/>
          </w:tcPr>
          <w:p w14:paraId="53D5B177"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4107" w:type="dxa"/>
          </w:tcPr>
          <w:p w14:paraId="4805F314"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above 90%</w:t>
            </w:r>
          </w:p>
        </w:tc>
        <w:tc>
          <w:tcPr>
            <w:tcW w:w="0" w:type="auto"/>
          </w:tcPr>
          <w:p w14:paraId="274B1FBB" w14:textId="77777777" w:rsidR="00BC7B4C" w:rsidRPr="00F03354" w:rsidRDefault="00BC7B4C"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BC7B4C" w:rsidRPr="00F03354" w14:paraId="2CDA136A" w14:textId="77777777" w:rsidTr="005F6246">
        <w:trPr>
          <w:cantSplit/>
          <w:trHeight w:val="60"/>
        </w:trPr>
        <w:tc>
          <w:tcPr>
            <w:tcW w:w="2014" w:type="dxa"/>
            <w:vMerge/>
          </w:tcPr>
          <w:p w14:paraId="7A499F9E" w14:textId="77777777" w:rsidR="00BC7B4C" w:rsidRPr="00F03354" w:rsidRDefault="00BC7B4C" w:rsidP="005F6246">
            <w:pPr>
              <w:spacing w:before="80" w:after="60" w:line="240" w:lineRule="auto"/>
              <w:rPr>
                <w:rFonts w:ascii="VIC" w:eastAsia="Times New Roman" w:hAnsi="VIC" w:cs="Times New Roman"/>
                <w:sz w:val="20"/>
                <w:szCs w:val="20"/>
              </w:rPr>
            </w:pPr>
          </w:p>
        </w:tc>
        <w:tc>
          <w:tcPr>
            <w:tcW w:w="4107" w:type="dxa"/>
          </w:tcPr>
          <w:p w14:paraId="757D631C"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Below 90%</w:t>
            </w:r>
          </w:p>
        </w:tc>
        <w:tc>
          <w:tcPr>
            <w:tcW w:w="0" w:type="auto"/>
          </w:tcPr>
          <w:p w14:paraId="66502CF8" w14:textId="77777777" w:rsidR="00BC7B4C" w:rsidRPr="00F03354" w:rsidRDefault="00BC7B4C"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BC7B4C" w:rsidRPr="00F03354" w14:paraId="05E067FE" w14:textId="77777777" w:rsidTr="005F6246">
        <w:trPr>
          <w:cantSplit/>
          <w:trHeight w:val="60"/>
        </w:trPr>
        <w:tc>
          <w:tcPr>
            <w:tcW w:w="2014" w:type="dxa"/>
          </w:tcPr>
          <w:p w14:paraId="4527A3DF"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285" w:type="dxa"/>
            <w:gridSpan w:val="2"/>
            <w:vAlign w:val="center"/>
          </w:tcPr>
          <w:p w14:paraId="1CC67E1A"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period performance</w:t>
            </w:r>
          </w:p>
        </w:tc>
      </w:tr>
      <w:tr w:rsidR="00BC7B4C" w:rsidRPr="00F03354" w14:paraId="3C86C52B" w14:textId="77777777" w:rsidTr="005F6246">
        <w:trPr>
          <w:cantSplit/>
          <w:trHeight w:val="60"/>
        </w:trPr>
        <w:tc>
          <w:tcPr>
            <w:tcW w:w="2014" w:type="dxa"/>
            <w:hideMark/>
          </w:tcPr>
          <w:p w14:paraId="0D0225C3"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285" w:type="dxa"/>
            <w:gridSpan w:val="2"/>
            <w:hideMark/>
          </w:tcPr>
          <w:p w14:paraId="266F5CF1" w14:textId="77777777" w:rsidR="00BC7B4C" w:rsidRPr="00F03354" w:rsidRDefault="00BC7B4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supplied and reported annually at health service level.</w:t>
            </w:r>
          </w:p>
          <w:p w14:paraId="194D5EBF" w14:textId="77777777" w:rsidR="00BC7B4C" w:rsidRPr="00F03354" w:rsidRDefault="00BC7B4C" w:rsidP="005F6246">
            <w:pPr>
              <w:pStyle w:val="Default"/>
              <w:rPr>
                <w:rFonts w:ascii="VIC" w:eastAsia="Times New Roman" w:hAnsi="VIC"/>
                <w:color w:val="auto"/>
                <w:sz w:val="20"/>
                <w:szCs w:val="20"/>
              </w:rPr>
            </w:pPr>
            <w:r w:rsidRPr="00F03354">
              <w:rPr>
                <w:rFonts w:ascii="VIC" w:eastAsia="Times New Roman" w:hAnsi="VIC"/>
                <w:color w:val="auto"/>
                <w:sz w:val="20"/>
                <w:szCs w:val="20"/>
              </w:rPr>
              <w:t xml:space="preserve">Participation is based on health services providing the questionnaire to in-scope consumers and at least 30 responses being received by the contractor to enable statistically significant analysis </w:t>
            </w:r>
          </w:p>
          <w:p w14:paraId="48388D05" w14:textId="77777777" w:rsidR="00BC7B4C" w:rsidRPr="00F03354" w:rsidRDefault="00BC7B4C" w:rsidP="005F6246">
            <w:pPr>
              <w:spacing w:before="80" w:after="60" w:line="240" w:lineRule="auto"/>
              <w:rPr>
                <w:rFonts w:ascii="VIC" w:eastAsia="Times New Roman" w:hAnsi="VIC" w:cs="Times New Roman"/>
                <w:sz w:val="20"/>
                <w:szCs w:val="20"/>
              </w:rPr>
            </w:pPr>
          </w:p>
        </w:tc>
      </w:tr>
    </w:tbl>
    <w:p w14:paraId="6850B132" w14:textId="704A22D9" w:rsidR="00280F65" w:rsidRPr="00F03354" w:rsidRDefault="00280F65" w:rsidP="00280F65">
      <w:pPr>
        <w:rPr>
          <w:rFonts w:ascii="VIC" w:eastAsia="MS Mincho" w:hAnsi="VIC" w:cs="Arial"/>
          <w:b/>
          <w:bCs/>
          <w:sz w:val="20"/>
          <w:szCs w:val="20"/>
        </w:rPr>
      </w:pPr>
      <w:r w:rsidRPr="00F03354">
        <w:rPr>
          <w:rFonts w:ascii="VIC" w:eastAsia="Times New Roman" w:hAnsi="VIC" w:cs="Times New Roman"/>
          <w:sz w:val="20"/>
          <w:szCs w:val="20"/>
        </w:rPr>
        <w:br w:type="page"/>
      </w:r>
    </w:p>
    <w:p w14:paraId="7AAAC7C4" w14:textId="77777777" w:rsidR="00280F65" w:rsidRPr="00F03354" w:rsidRDefault="00280F65" w:rsidP="00280F65">
      <w:pPr>
        <w:keepNext/>
        <w:keepLines/>
        <w:spacing w:before="240" w:after="120" w:line="280" w:lineRule="atLeast"/>
        <w:outlineLvl w:val="3"/>
        <w:rPr>
          <w:rFonts w:ascii="VIC" w:eastAsia="MS Mincho" w:hAnsi="VIC" w:cs="Arial"/>
          <w:b/>
          <w:bCs/>
          <w:color w:val="244C5A"/>
          <w:sz w:val="20"/>
          <w:szCs w:val="20"/>
        </w:rPr>
      </w:pPr>
      <w:r w:rsidRPr="00F03354">
        <w:rPr>
          <w:rFonts w:ascii="VIC" w:eastAsia="MS Mincho" w:hAnsi="VIC" w:cs="Arial"/>
          <w:b/>
          <w:bCs/>
          <w:color w:val="244C5A"/>
          <w:sz w:val="20"/>
          <w:szCs w:val="20"/>
        </w:rPr>
        <w:lastRenderedPageBreak/>
        <w:t>Forensicare patient experience</w:t>
      </w:r>
      <w:bookmarkEnd w:id="14"/>
      <w:bookmarkEnd w:id="15"/>
    </w:p>
    <w:tbl>
      <w:tblPr>
        <w:tblW w:w="9299"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57"/>
        <w:gridCol w:w="4302"/>
        <w:gridCol w:w="2440"/>
      </w:tblGrid>
      <w:tr w:rsidR="00280F65" w:rsidRPr="00F03354" w14:paraId="12955A73" w14:textId="77777777" w:rsidTr="007201E3">
        <w:trPr>
          <w:cantSplit/>
          <w:trHeight w:val="58"/>
          <w:tblHeader/>
        </w:trPr>
        <w:tc>
          <w:tcPr>
            <w:tcW w:w="2581" w:type="dxa"/>
            <w:shd w:val="clear" w:color="auto" w:fill="244C5A"/>
            <w:vAlign w:val="bottom"/>
          </w:tcPr>
          <w:p w14:paraId="04BEAD08" w14:textId="66F68394" w:rsidR="00280F65" w:rsidRPr="00F03354" w:rsidRDefault="00280F65" w:rsidP="00280F65">
            <w:pPr>
              <w:spacing w:before="80" w:after="60" w:line="240" w:lineRule="auto"/>
              <w:rPr>
                <w:rFonts w:ascii="VIC" w:eastAsia="Times New Roman" w:hAnsi="VIC" w:cs="Times New Roman"/>
                <w:b/>
                <w:color w:val="FFFFFF" w:themeColor="background1"/>
                <w:sz w:val="20"/>
                <w:szCs w:val="20"/>
              </w:rPr>
            </w:pPr>
            <w:r w:rsidRPr="00F03354">
              <w:rPr>
                <w:rFonts w:ascii="VIC" w:eastAsia="Times New Roman" w:hAnsi="VIC" w:cs="Times New Roman"/>
                <w:b/>
                <w:color w:val="FFFFFF" w:themeColor="background1"/>
                <w:sz w:val="20"/>
                <w:szCs w:val="20"/>
              </w:rPr>
              <w:t>Indicator</w:t>
            </w:r>
          </w:p>
        </w:tc>
        <w:tc>
          <w:tcPr>
            <w:tcW w:w="6852" w:type="dxa"/>
            <w:gridSpan w:val="2"/>
            <w:shd w:val="clear" w:color="auto" w:fill="244C5A"/>
            <w:vAlign w:val="bottom"/>
          </w:tcPr>
          <w:p w14:paraId="2200C514" w14:textId="77777777" w:rsidR="00280F65" w:rsidRPr="00F03354" w:rsidRDefault="00280F65" w:rsidP="00280F65">
            <w:pPr>
              <w:spacing w:before="80" w:after="60" w:line="240" w:lineRule="auto"/>
              <w:rPr>
                <w:rFonts w:ascii="VIC" w:eastAsia="Times New Roman" w:hAnsi="VIC" w:cs="Times New Roman"/>
                <w:b/>
                <w:color w:val="FFFFFF" w:themeColor="background1"/>
                <w:sz w:val="20"/>
                <w:szCs w:val="20"/>
              </w:rPr>
            </w:pPr>
            <w:r w:rsidRPr="00F03354">
              <w:rPr>
                <w:rFonts w:ascii="VIC" w:eastAsia="Times New Roman" w:hAnsi="VIC" w:cs="Times New Roman"/>
                <w:b/>
                <w:color w:val="FFFFFF" w:themeColor="background1"/>
                <w:sz w:val="20"/>
                <w:szCs w:val="20"/>
              </w:rPr>
              <w:t>Inpatient’s overall experience at Thomas Embling Hospital</w:t>
            </w:r>
          </w:p>
        </w:tc>
      </w:tr>
      <w:tr w:rsidR="00280F65" w:rsidRPr="00F03354" w14:paraId="74F0EBBF" w14:textId="77777777" w:rsidTr="007201E3">
        <w:trPr>
          <w:cantSplit/>
          <w:trHeight w:val="58"/>
        </w:trPr>
        <w:tc>
          <w:tcPr>
            <w:tcW w:w="2581" w:type="dxa"/>
          </w:tcPr>
          <w:p w14:paraId="06BB9A8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Description </w:t>
            </w:r>
          </w:p>
        </w:tc>
        <w:tc>
          <w:tcPr>
            <w:tcW w:w="6852" w:type="dxa"/>
            <w:gridSpan w:val="2"/>
          </w:tcPr>
          <w:p w14:paraId="662357E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lang w:eastAsia="en-AU"/>
              </w:rPr>
              <w:t>This indicator measures the results of the ‘excellent’, ‘very good’ and ‘good’ responses to the question ‘Overall, how would you rate your experience of care?’ in the annual Thomas Embling Hospital consumer survey.</w:t>
            </w:r>
          </w:p>
        </w:tc>
      </w:tr>
      <w:tr w:rsidR="00280F65" w:rsidRPr="00F03354" w14:paraId="0ABC3458" w14:textId="77777777" w:rsidTr="007201E3">
        <w:trPr>
          <w:cantSplit/>
          <w:trHeight w:val="58"/>
        </w:trPr>
        <w:tc>
          <w:tcPr>
            <w:tcW w:w="2581" w:type="dxa"/>
          </w:tcPr>
          <w:p w14:paraId="5990F79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6852" w:type="dxa"/>
            <w:gridSpan w:val="2"/>
          </w:tcPr>
          <w:p w14:paraId="297864B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health service level.</w:t>
            </w:r>
          </w:p>
        </w:tc>
      </w:tr>
      <w:tr w:rsidR="00280F65" w:rsidRPr="00F03354" w14:paraId="654BEB3C" w14:textId="77777777" w:rsidTr="007201E3">
        <w:trPr>
          <w:cantSplit/>
          <w:trHeight w:val="58"/>
        </w:trPr>
        <w:tc>
          <w:tcPr>
            <w:tcW w:w="2581" w:type="dxa"/>
          </w:tcPr>
          <w:p w14:paraId="7130DD7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6852" w:type="dxa"/>
            <w:gridSpan w:val="2"/>
          </w:tcPr>
          <w:p w14:paraId="7AAD4C1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Total number of survey respondents who answered </w:t>
            </w:r>
            <w:r w:rsidRPr="00F03354">
              <w:rPr>
                <w:rFonts w:ascii="VIC" w:eastAsia="Times New Roman" w:hAnsi="VIC" w:cs="Times New Roman"/>
                <w:sz w:val="20"/>
                <w:szCs w:val="20"/>
                <w:lang w:eastAsia="en-AU"/>
              </w:rPr>
              <w:t>‘excellent’, ‘very good’ and ‘good’ to the item.</w:t>
            </w:r>
          </w:p>
        </w:tc>
      </w:tr>
      <w:tr w:rsidR="00280F65" w:rsidRPr="00F03354" w14:paraId="0F2F91EE" w14:textId="77777777" w:rsidTr="007201E3">
        <w:trPr>
          <w:cantSplit/>
          <w:trHeight w:val="58"/>
        </w:trPr>
        <w:tc>
          <w:tcPr>
            <w:tcW w:w="2581" w:type="dxa"/>
          </w:tcPr>
          <w:p w14:paraId="2C8C4C8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6852" w:type="dxa"/>
            <w:gridSpan w:val="2"/>
          </w:tcPr>
          <w:p w14:paraId="1D60372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survey respondents.</w:t>
            </w:r>
          </w:p>
        </w:tc>
      </w:tr>
      <w:tr w:rsidR="00280F65" w:rsidRPr="00F03354" w14:paraId="2DB88E97" w14:textId="77777777" w:rsidTr="007201E3">
        <w:trPr>
          <w:cantSplit/>
          <w:trHeight w:val="58"/>
        </w:trPr>
        <w:tc>
          <w:tcPr>
            <w:tcW w:w="2581" w:type="dxa"/>
          </w:tcPr>
          <w:p w14:paraId="2EFE1FF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6852" w:type="dxa"/>
            <w:gridSpan w:val="2"/>
          </w:tcPr>
          <w:p w14:paraId="661E268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90%</w:t>
            </w:r>
          </w:p>
        </w:tc>
      </w:tr>
      <w:tr w:rsidR="00280F65" w:rsidRPr="00F03354" w14:paraId="33FC0516" w14:textId="77777777" w:rsidTr="007201E3">
        <w:trPr>
          <w:cantSplit/>
          <w:trHeight w:val="58"/>
        </w:trPr>
        <w:tc>
          <w:tcPr>
            <w:tcW w:w="2581" w:type="dxa"/>
            <w:vMerge w:val="restart"/>
          </w:tcPr>
          <w:p w14:paraId="1C42FB4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82" w:type="dxa"/>
          </w:tcPr>
          <w:p w14:paraId="50AE335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Equal to or above 90% </w:t>
            </w:r>
          </w:p>
        </w:tc>
        <w:tc>
          <w:tcPr>
            <w:tcW w:w="0" w:type="auto"/>
          </w:tcPr>
          <w:p w14:paraId="45F3C5E7"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5D144A13" w14:textId="77777777" w:rsidTr="007201E3">
        <w:trPr>
          <w:cantSplit/>
          <w:trHeight w:val="58"/>
        </w:trPr>
        <w:tc>
          <w:tcPr>
            <w:tcW w:w="2581" w:type="dxa"/>
            <w:vMerge/>
          </w:tcPr>
          <w:p w14:paraId="665BF27C" w14:textId="77777777" w:rsidR="00280F65" w:rsidRPr="00F03354" w:rsidRDefault="00280F65" w:rsidP="00280F65">
            <w:pPr>
              <w:spacing w:before="80" w:after="60" w:line="240" w:lineRule="auto"/>
              <w:rPr>
                <w:rFonts w:ascii="VIC" w:eastAsia="Times New Roman" w:hAnsi="VIC" w:cs="Times New Roman"/>
                <w:color w:val="FF0000"/>
                <w:sz w:val="20"/>
                <w:szCs w:val="20"/>
              </w:rPr>
            </w:pPr>
          </w:p>
        </w:tc>
        <w:tc>
          <w:tcPr>
            <w:tcW w:w="4382" w:type="dxa"/>
          </w:tcPr>
          <w:p w14:paraId="7072628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Below 90% </w:t>
            </w:r>
          </w:p>
        </w:tc>
        <w:tc>
          <w:tcPr>
            <w:tcW w:w="0" w:type="auto"/>
          </w:tcPr>
          <w:p w14:paraId="6F3B9D73"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6AE36454" w14:textId="77777777" w:rsidTr="007201E3">
        <w:trPr>
          <w:cantSplit/>
          <w:trHeight w:val="58"/>
        </w:trPr>
        <w:tc>
          <w:tcPr>
            <w:tcW w:w="2581" w:type="dxa"/>
          </w:tcPr>
          <w:p w14:paraId="6E6A9A2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6852" w:type="dxa"/>
            <w:gridSpan w:val="2"/>
          </w:tcPr>
          <w:p w14:paraId="0AA8056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against the previous survey results. </w:t>
            </w:r>
          </w:p>
        </w:tc>
      </w:tr>
      <w:tr w:rsidR="00280F65" w:rsidRPr="00F03354" w14:paraId="43707C71" w14:textId="77777777" w:rsidTr="007201E3">
        <w:trPr>
          <w:cantSplit/>
          <w:trHeight w:val="58"/>
        </w:trPr>
        <w:tc>
          <w:tcPr>
            <w:tcW w:w="2581" w:type="dxa"/>
          </w:tcPr>
          <w:p w14:paraId="308CE1A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6852" w:type="dxa"/>
            <w:gridSpan w:val="2"/>
          </w:tcPr>
          <w:p w14:paraId="27B9965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Results and participation will be reported annually in quarter 4.</w:t>
            </w:r>
          </w:p>
          <w:p w14:paraId="15C8625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Arial"/>
                <w:sz w:val="20"/>
                <w:szCs w:val="20"/>
                <w:lang w:eastAsia="en-AU"/>
              </w:rPr>
              <w:t>Data source: Forensicare quantitative survey results.</w:t>
            </w:r>
          </w:p>
        </w:tc>
      </w:tr>
    </w:tbl>
    <w:p w14:paraId="4D62CBAC" w14:textId="77777777" w:rsidR="00280F65" w:rsidRPr="00F03354" w:rsidRDefault="00280F65" w:rsidP="00280F65">
      <w:pPr>
        <w:spacing w:after="120" w:line="270" w:lineRule="atLeast"/>
        <w:rPr>
          <w:rFonts w:ascii="VIC" w:eastAsia="Times" w:hAnsi="VIC" w:cs="Times New Roman"/>
          <w:b/>
          <w:bCs/>
          <w:sz w:val="20"/>
          <w:szCs w:val="20"/>
        </w:rPr>
      </w:pPr>
    </w:p>
    <w:tbl>
      <w:tblPr>
        <w:tblW w:w="927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55"/>
        <w:gridCol w:w="4274"/>
        <w:gridCol w:w="2443"/>
      </w:tblGrid>
      <w:tr w:rsidR="00280F65" w:rsidRPr="00F03354" w14:paraId="21AEFB1D" w14:textId="77777777" w:rsidTr="007201E3">
        <w:trPr>
          <w:cantSplit/>
          <w:trHeight w:val="60"/>
          <w:tblHeader/>
        </w:trPr>
        <w:tc>
          <w:tcPr>
            <w:tcW w:w="2555" w:type="dxa"/>
            <w:shd w:val="clear" w:color="auto" w:fill="244C5A"/>
            <w:vAlign w:val="bottom"/>
          </w:tcPr>
          <w:p w14:paraId="622C7068" w14:textId="77777777" w:rsidR="00280F65" w:rsidRPr="00F03354" w:rsidRDefault="00280F65" w:rsidP="00280F65">
            <w:pPr>
              <w:spacing w:before="80" w:after="60" w:line="240" w:lineRule="auto"/>
              <w:rPr>
                <w:rFonts w:ascii="VIC" w:eastAsia="Times New Roman" w:hAnsi="VIC" w:cs="Times New Roman"/>
                <w:b/>
                <w:color w:val="FFFFFF" w:themeColor="background1"/>
                <w:sz w:val="20"/>
                <w:szCs w:val="20"/>
              </w:rPr>
            </w:pPr>
            <w:r w:rsidRPr="00F03354">
              <w:rPr>
                <w:rFonts w:ascii="VIC" w:eastAsia="Times New Roman" w:hAnsi="VIC" w:cs="Times New Roman"/>
                <w:b/>
                <w:color w:val="FFFFFF" w:themeColor="background1"/>
                <w:sz w:val="20"/>
                <w:szCs w:val="20"/>
              </w:rPr>
              <w:t>Indicator</w:t>
            </w:r>
          </w:p>
        </w:tc>
        <w:tc>
          <w:tcPr>
            <w:tcW w:w="6717" w:type="dxa"/>
            <w:gridSpan w:val="2"/>
            <w:shd w:val="clear" w:color="auto" w:fill="244C5A"/>
            <w:vAlign w:val="bottom"/>
          </w:tcPr>
          <w:p w14:paraId="5DE12756" w14:textId="77777777" w:rsidR="00280F65" w:rsidRPr="00F03354" w:rsidRDefault="00280F65" w:rsidP="00280F65">
            <w:pPr>
              <w:spacing w:before="80" w:after="60" w:line="240" w:lineRule="auto"/>
              <w:rPr>
                <w:rFonts w:ascii="VIC" w:eastAsia="Times New Roman" w:hAnsi="VIC" w:cs="Times New Roman"/>
                <w:b/>
                <w:color w:val="FFFFFF" w:themeColor="background1"/>
                <w:sz w:val="20"/>
                <w:szCs w:val="20"/>
              </w:rPr>
            </w:pPr>
            <w:r w:rsidRPr="00F03354">
              <w:rPr>
                <w:rFonts w:ascii="VIC" w:eastAsia="Times New Roman" w:hAnsi="VIC" w:cs="Times New Roman"/>
                <w:b/>
                <w:color w:val="FFFFFF" w:themeColor="background1"/>
                <w:sz w:val="20"/>
                <w:szCs w:val="20"/>
              </w:rPr>
              <w:t>Patient’s overall experience at community Forensicare mental health services</w:t>
            </w:r>
          </w:p>
        </w:tc>
      </w:tr>
      <w:tr w:rsidR="00280F65" w:rsidRPr="00F03354" w14:paraId="2EEEBF84" w14:textId="77777777" w:rsidTr="007201E3">
        <w:trPr>
          <w:cantSplit/>
          <w:trHeight w:val="60"/>
        </w:trPr>
        <w:tc>
          <w:tcPr>
            <w:tcW w:w="2555" w:type="dxa"/>
          </w:tcPr>
          <w:p w14:paraId="50E45E7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Description </w:t>
            </w:r>
          </w:p>
        </w:tc>
        <w:tc>
          <w:tcPr>
            <w:tcW w:w="6717" w:type="dxa"/>
            <w:gridSpan w:val="2"/>
          </w:tcPr>
          <w:p w14:paraId="6408569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lang w:eastAsia="en-AU"/>
              </w:rPr>
              <w:t xml:space="preserve">This indicator measures the results of the ‘excellent’, ‘very good’ and ‘good’ responses to the question ‘Overall, how would you rate your experience of care?’ in the annual </w:t>
            </w:r>
            <w:r w:rsidRPr="00F03354">
              <w:rPr>
                <w:rFonts w:ascii="VIC" w:eastAsia="Times New Roman" w:hAnsi="VIC" w:cs="Times New Roman"/>
                <w:sz w:val="20"/>
                <w:szCs w:val="20"/>
              </w:rPr>
              <w:t>Community Forensicare Mental Health Service</w:t>
            </w:r>
            <w:r w:rsidRPr="00F03354">
              <w:rPr>
                <w:rFonts w:ascii="VIC" w:eastAsia="Times New Roman" w:hAnsi="VIC" w:cs="Times New Roman"/>
                <w:sz w:val="20"/>
                <w:szCs w:val="20"/>
                <w:lang w:eastAsia="en-AU"/>
              </w:rPr>
              <w:t xml:space="preserve"> consumer survey.</w:t>
            </w:r>
          </w:p>
        </w:tc>
      </w:tr>
      <w:tr w:rsidR="00280F65" w:rsidRPr="00F03354" w14:paraId="77F54498" w14:textId="77777777" w:rsidTr="007201E3">
        <w:trPr>
          <w:cantSplit/>
          <w:trHeight w:val="60"/>
        </w:trPr>
        <w:tc>
          <w:tcPr>
            <w:tcW w:w="2555" w:type="dxa"/>
          </w:tcPr>
          <w:p w14:paraId="1835EA9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6717" w:type="dxa"/>
            <w:gridSpan w:val="2"/>
          </w:tcPr>
          <w:p w14:paraId="67749EA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health service level.</w:t>
            </w:r>
          </w:p>
          <w:p w14:paraId="7FF8698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will be compared to previous survey results.</w:t>
            </w:r>
          </w:p>
        </w:tc>
      </w:tr>
      <w:tr w:rsidR="00280F65" w:rsidRPr="00F03354" w14:paraId="44A66DA9" w14:textId="77777777" w:rsidTr="007201E3">
        <w:trPr>
          <w:cantSplit/>
          <w:trHeight w:val="60"/>
        </w:trPr>
        <w:tc>
          <w:tcPr>
            <w:tcW w:w="2555" w:type="dxa"/>
          </w:tcPr>
          <w:p w14:paraId="1755726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6717" w:type="dxa"/>
            <w:gridSpan w:val="2"/>
          </w:tcPr>
          <w:p w14:paraId="4413BF8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Total number of survey respondents who answered </w:t>
            </w:r>
            <w:r w:rsidRPr="00F03354">
              <w:rPr>
                <w:rFonts w:ascii="VIC" w:eastAsia="Times New Roman" w:hAnsi="VIC" w:cs="Times New Roman"/>
                <w:sz w:val="20"/>
                <w:szCs w:val="20"/>
                <w:lang w:eastAsia="en-AU"/>
              </w:rPr>
              <w:t>‘excellent’, ‘very good’ and ‘good’ to the item.</w:t>
            </w:r>
          </w:p>
        </w:tc>
      </w:tr>
      <w:tr w:rsidR="00280F65" w:rsidRPr="00F03354" w14:paraId="243C0296" w14:textId="77777777" w:rsidTr="007201E3">
        <w:trPr>
          <w:cantSplit/>
          <w:trHeight w:val="60"/>
        </w:trPr>
        <w:tc>
          <w:tcPr>
            <w:tcW w:w="2555" w:type="dxa"/>
          </w:tcPr>
          <w:p w14:paraId="3FC9D64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6717" w:type="dxa"/>
            <w:gridSpan w:val="2"/>
          </w:tcPr>
          <w:p w14:paraId="3D2DE1C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survey respondents.</w:t>
            </w:r>
          </w:p>
        </w:tc>
      </w:tr>
      <w:tr w:rsidR="00280F65" w:rsidRPr="00F03354" w14:paraId="17007888" w14:textId="77777777" w:rsidTr="007201E3">
        <w:trPr>
          <w:cantSplit/>
          <w:trHeight w:val="60"/>
        </w:trPr>
        <w:tc>
          <w:tcPr>
            <w:tcW w:w="2555" w:type="dxa"/>
          </w:tcPr>
          <w:p w14:paraId="2D3C062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6717" w:type="dxa"/>
            <w:gridSpan w:val="2"/>
          </w:tcPr>
          <w:p w14:paraId="72C552A5" w14:textId="77777777" w:rsidR="00280F65" w:rsidRPr="00F03354" w:rsidRDefault="00280F65" w:rsidP="00280F65">
            <w:pPr>
              <w:spacing w:before="80" w:after="60" w:line="240" w:lineRule="auto"/>
              <w:rPr>
                <w:rFonts w:ascii="VIC" w:eastAsia="Times New Roman" w:hAnsi="VIC" w:cs="Arial"/>
                <w:sz w:val="20"/>
                <w:szCs w:val="20"/>
              </w:rPr>
            </w:pPr>
            <w:r w:rsidRPr="00F03354">
              <w:rPr>
                <w:rFonts w:ascii="VIC" w:eastAsia="Times New Roman" w:hAnsi="VIC" w:cs="Times New Roman"/>
                <w:sz w:val="20"/>
                <w:szCs w:val="20"/>
              </w:rPr>
              <w:t>≥ 90%</w:t>
            </w:r>
          </w:p>
        </w:tc>
      </w:tr>
      <w:tr w:rsidR="00280F65" w:rsidRPr="00F03354" w14:paraId="28A8ADB6" w14:textId="77777777" w:rsidTr="007201E3">
        <w:trPr>
          <w:cantSplit/>
          <w:trHeight w:val="60"/>
        </w:trPr>
        <w:tc>
          <w:tcPr>
            <w:tcW w:w="2555" w:type="dxa"/>
            <w:vMerge w:val="restart"/>
          </w:tcPr>
          <w:p w14:paraId="081CC52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274" w:type="dxa"/>
          </w:tcPr>
          <w:p w14:paraId="52C481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Equal to or above 90% </w:t>
            </w:r>
          </w:p>
        </w:tc>
        <w:tc>
          <w:tcPr>
            <w:tcW w:w="0" w:type="auto"/>
          </w:tcPr>
          <w:p w14:paraId="57B728E5"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007AF51C" w14:textId="77777777" w:rsidTr="007201E3">
        <w:trPr>
          <w:cantSplit/>
          <w:trHeight w:val="60"/>
        </w:trPr>
        <w:tc>
          <w:tcPr>
            <w:tcW w:w="2555" w:type="dxa"/>
            <w:vMerge/>
          </w:tcPr>
          <w:p w14:paraId="6A1CF4C2" w14:textId="77777777" w:rsidR="00280F65" w:rsidRPr="00F03354" w:rsidRDefault="00280F65" w:rsidP="00280F65">
            <w:pPr>
              <w:spacing w:before="80" w:after="60" w:line="240" w:lineRule="auto"/>
              <w:rPr>
                <w:rFonts w:ascii="VIC" w:eastAsia="Times New Roman" w:hAnsi="VIC" w:cs="Times New Roman"/>
                <w:color w:val="FF0000"/>
                <w:sz w:val="20"/>
                <w:szCs w:val="20"/>
              </w:rPr>
            </w:pPr>
          </w:p>
        </w:tc>
        <w:tc>
          <w:tcPr>
            <w:tcW w:w="4274" w:type="dxa"/>
          </w:tcPr>
          <w:p w14:paraId="73E6A7E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Below 90% </w:t>
            </w:r>
          </w:p>
        </w:tc>
        <w:tc>
          <w:tcPr>
            <w:tcW w:w="0" w:type="auto"/>
          </w:tcPr>
          <w:p w14:paraId="72C4BC5B"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2B40251E" w14:textId="77777777" w:rsidTr="007201E3">
        <w:trPr>
          <w:cantSplit/>
          <w:trHeight w:val="60"/>
        </w:trPr>
        <w:tc>
          <w:tcPr>
            <w:tcW w:w="2555" w:type="dxa"/>
          </w:tcPr>
          <w:p w14:paraId="0819E50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6717" w:type="dxa"/>
            <w:gridSpan w:val="2"/>
          </w:tcPr>
          <w:p w14:paraId="647302D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assessed against the previous survey results.</w:t>
            </w:r>
          </w:p>
        </w:tc>
      </w:tr>
      <w:tr w:rsidR="00280F65" w:rsidRPr="00F03354" w14:paraId="454E364D" w14:textId="77777777" w:rsidTr="007201E3">
        <w:trPr>
          <w:cantSplit/>
          <w:trHeight w:val="58"/>
        </w:trPr>
        <w:tc>
          <w:tcPr>
            <w:tcW w:w="2555" w:type="dxa"/>
          </w:tcPr>
          <w:p w14:paraId="56DCC49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6717" w:type="dxa"/>
            <w:gridSpan w:val="2"/>
          </w:tcPr>
          <w:p w14:paraId="6E6DD24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Results and participation will be reported annually in quarter 4.</w:t>
            </w:r>
          </w:p>
          <w:p w14:paraId="0627F0D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Arial"/>
                <w:sz w:val="20"/>
                <w:szCs w:val="20"/>
                <w:lang w:eastAsia="en-AU"/>
              </w:rPr>
              <w:t>Data source: Forensicare quantitative survey results.</w:t>
            </w:r>
          </w:p>
        </w:tc>
      </w:tr>
    </w:tbl>
    <w:p w14:paraId="64860089" w14:textId="77777777" w:rsidR="00280F65" w:rsidRPr="00F03354" w:rsidRDefault="00280F65" w:rsidP="00280F65">
      <w:pPr>
        <w:keepNext/>
        <w:keepLines/>
        <w:spacing w:before="240" w:after="120" w:line="280" w:lineRule="atLeast"/>
        <w:outlineLvl w:val="3"/>
        <w:rPr>
          <w:rFonts w:ascii="VIC" w:eastAsia="MS Mincho" w:hAnsi="VIC" w:cs="Arial"/>
          <w:b/>
          <w:bCs/>
          <w:color w:val="244C5A"/>
          <w:sz w:val="20"/>
          <w:szCs w:val="20"/>
        </w:rPr>
      </w:pPr>
      <w:r w:rsidRPr="00F03354">
        <w:rPr>
          <w:rFonts w:ascii="VIC" w:eastAsia="MS Mincho" w:hAnsi="VIC" w:cs="Arial"/>
          <w:b/>
          <w:bCs/>
          <w:sz w:val="20"/>
          <w:szCs w:val="20"/>
        </w:rPr>
        <w:br w:type="page"/>
      </w:r>
      <w:bookmarkStart w:id="16" w:name="_Toc517959128"/>
      <w:bookmarkStart w:id="17" w:name="_Toc10123547"/>
      <w:r w:rsidRPr="00F03354">
        <w:rPr>
          <w:rFonts w:ascii="VIC" w:eastAsia="MS Mincho" w:hAnsi="VIC" w:cs="Arial"/>
          <w:b/>
          <w:bCs/>
          <w:color w:val="244C5A"/>
          <w:sz w:val="20"/>
          <w:szCs w:val="20"/>
        </w:rPr>
        <w:lastRenderedPageBreak/>
        <w:t>Healthcare-associated infections</w:t>
      </w:r>
      <w:bookmarkEnd w:id="16"/>
      <w:bookmarkEnd w:id="17"/>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7087"/>
      </w:tblGrid>
      <w:tr w:rsidR="00280F65" w:rsidRPr="00F03354" w14:paraId="04947138" w14:textId="77777777" w:rsidTr="62A232EF">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tcPr>
          <w:p w14:paraId="03CF7C7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087" w:type="dxa"/>
            <w:tcBorders>
              <w:top w:val="single" w:sz="4" w:space="0" w:color="201547"/>
              <w:left w:val="single" w:sz="4" w:space="0" w:color="201547"/>
              <w:bottom w:val="single" w:sz="4" w:space="0" w:color="201547"/>
              <w:right w:val="single" w:sz="4" w:space="0" w:color="201547"/>
            </w:tcBorders>
            <w:shd w:val="clear" w:color="auto" w:fill="244C5A"/>
          </w:tcPr>
          <w:p w14:paraId="49E5810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patients with surgical site infection</w:t>
            </w:r>
          </w:p>
        </w:tc>
      </w:tr>
      <w:tr w:rsidR="00280F65" w:rsidRPr="00F03354" w14:paraId="631172EE" w14:textId="77777777" w:rsidTr="62A232E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4DC82C3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087" w:type="dxa"/>
            <w:tcBorders>
              <w:top w:val="single" w:sz="4" w:space="0" w:color="201547"/>
              <w:left w:val="single" w:sz="4" w:space="0" w:color="201547"/>
              <w:bottom w:val="single" w:sz="4" w:space="0" w:color="201547"/>
              <w:right w:val="single" w:sz="4" w:space="0" w:color="201547"/>
            </w:tcBorders>
            <w:hideMark/>
          </w:tcPr>
          <w:p w14:paraId="1355F12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Surgical site infection surveillance focuses on reducing the incidence of healthcare-associated infection among nominated surgical procedures. </w:t>
            </w:r>
          </w:p>
        </w:tc>
      </w:tr>
      <w:tr w:rsidR="00280F65" w:rsidRPr="00F03354" w14:paraId="5446739E" w14:textId="77777777" w:rsidTr="62A232EF">
        <w:trPr>
          <w:cantSplit/>
          <w:trHeight w:val="3345"/>
        </w:trPr>
        <w:tc>
          <w:tcPr>
            <w:tcW w:w="2581" w:type="dxa"/>
            <w:tcBorders>
              <w:top w:val="single" w:sz="4" w:space="0" w:color="201547"/>
              <w:left w:val="single" w:sz="4" w:space="0" w:color="201547"/>
              <w:bottom w:val="single" w:sz="4" w:space="0" w:color="201547"/>
              <w:right w:val="single" w:sz="4" w:space="0" w:color="201547"/>
            </w:tcBorders>
            <w:hideMark/>
          </w:tcPr>
          <w:p w14:paraId="2F7307C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087" w:type="dxa"/>
            <w:tcBorders>
              <w:top w:val="single" w:sz="4" w:space="0" w:color="201547"/>
              <w:left w:val="single" w:sz="4" w:space="0" w:color="201547"/>
              <w:bottom w:val="single" w:sz="4" w:space="0" w:color="201547"/>
              <w:right w:val="single" w:sz="4" w:space="0" w:color="201547"/>
            </w:tcBorders>
            <w:hideMark/>
          </w:tcPr>
          <w:p w14:paraId="6AFE25A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refers to a set of specific types of procedures:</w:t>
            </w:r>
          </w:p>
          <w:p w14:paraId="32F82328" w14:textId="77777777" w:rsidR="00280F65" w:rsidRPr="00F03354" w:rsidRDefault="00280F65" w:rsidP="0089279C">
            <w:pPr>
              <w:pStyle w:val="ListParagraph"/>
              <w:numPr>
                <w:ilvl w:val="0"/>
                <w:numId w:val="30"/>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coronary artery bypass grafts</w:t>
            </w:r>
          </w:p>
          <w:p w14:paraId="7469901E" w14:textId="77777777" w:rsidR="00280F65" w:rsidRPr="00F03354" w:rsidRDefault="00280F65" w:rsidP="0089279C">
            <w:pPr>
              <w:pStyle w:val="ListParagraph"/>
              <w:numPr>
                <w:ilvl w:val="0"/>
                <w:numId w:val="30"/>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hip arthroplasty</w:t>
            </w:r>
          </w:p>
          <w:p w14:paraId="10CABFE5" w14:textId="77777777" w:rsidR="00280F65" w:rsidRPr="00F03354" w:rsidRDefault="00280F65" w:rsidP="0089279C">
            <w:pPr>
              <w:pStyle w:val="ListParagraph"/>
              <w:numPr>
                <w:ilvl w:val="0"/>
                <w:numId w:val="30"/>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knee arthroplasty</w:t>
            </w:r>
          </w:p>
          <w:p w14:paraId="4D30645F" w14:textId="77777777" w:rsidR="00280F65" w:rsidRPr="00F03354" w:rsidRDefault="00280F65" w:rsidP="0089279C">
            <w:pPr>
              <w:pStyle w:val="ListParagraph"/>
              <w:numPr>
                <w:ilvl w:val="0"/>
                <w:numId w:val="30"/>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caesarean section for nominated health services</w:t>
            </w:r>
          </w:p>
          <w:p w14:paraId="5487627B" w14:textId="77777777" w:rsidR="00280F65" w:rsidRPr="00F03354" w:rsidRDefault="00280F65" w:rsidP="0089279C">
            <w:pPr>
              <w:pStyle w:val="ListParagraph"/>
              <w:numPr>
                <w:ilvl w:val="0"/>
                <w:numId w:val="30"/>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colorectal surgery</w:t>
            </w:r>
          </w:p>
          <w:p w14:paraId="68D9FD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Relevant procedures expressed as a crude rate per 100 procedures.</w:t>
            </w:r>
          </w:p>
          <w:p w14:paraId="0DF01106" w14:textId="1FEE3F5D" w:rsidR="00280F65" w:rsidRPr="00F03354" w:rsidRDefault="00280F65" w:rsidP="00280F65">
            <w:pPr>
              <w:spacing w:after="0" w:line="270" w:lineRule="atLeast"/>
              <w:rPr>
                <w:rFonts w:ascii="VIC" w:eastAsia="Times" w:hAnsi="VIC" w:cs="Times New Roman"/>
                <w:sz w:val="20"/>
                <w:szCs w:val="20"/>
              </w:rPr>
            </w:pPr>
            <w:r w:rsidRPr="00F03354">
              <w:rPr>
                <w:rFonts w:ascii="VIC" w:eastAsia="Times" w:hAnsi="VIC" w:cs="Times New Roman"/>
                <w:sz w:val="20"/>
                <w:szCs w:val="20"/>
              </w:rPr>
              <w:t xml:space="preserve">For each procedure type, where a health service is found to have a statistically significantly higher infection rate than the state aggregate rate, they are deemed an outlier. Further information on the methodology for calculating outliers for Surgical Site Infections can obtained from at </w:t>
            </w:r>
            <w:hyperlink r:id="rId15" w:history="1">
              <w:r w:rsidRPr="00F03354">
                <w:rPr>
                  <w:rFonts w:ascii="VIC" w:eastAsia="Times" w:hAnsi="VIC" w:cs="Times New Roman"/>
                  <w:color w:val="3366FF"/>
                  <w:sz w:val="20"/>
                  <w:szCs w:val="20"/>
                  <w:u w:val="dotted"/>
                </w:rPr>
                <w:t>VICNISS</w:t>
              </w:r>
            </w:hyperlink>
            <w:r w:rsidRPr="00F03354">
              <w:rPr>
                <w:rFonts w:ascii="VIC" w:eastAsia="Times" w:hAnsi="VIC" w:cs="Times New Roman"/>
                <w:color w:val="3366FF"/>
                <w:sz w:val="20"/>
                <w:szCs w:val="20"/>
                <w:u w:val="dotted"/>
              </w:rPr>
              <w:t xml:space="preserve"> </w:t>
            </w:r>
            <w:r w:rsidRPr="00F03354">
              <w:rPr>
                <w:rFonts w:ascii="VIC" w:eastAsia="Times" w:hAnsi="VIC" w:cs="Times New Roman"/>
                <w:sz w:val="20"/>
                <w:szCs w:val="20"/>
              </w:rPr>
              <w:t>&lt;http://www.vicniss.org.au&gt;.</w:t>
            </w:r>
          </w:p>
          <w:p w14:paraId="4DC9BA11" w14:textId="77777777" w:rsidR="00280F65" w:rsidRPr="00F03354" w:rsidRDefault="00280F65" w:rsidP="00280F65">
            <w:pPr>
              <w:spacing w:before="120" w:after="60" w:line="240" w:lineRule="auto"/>
              <w:rPr>
                <w:rFonts w:ascii="VIC" w:eastAsia="Times New Roman" w:hAnsi="VIC" w:cs="Times New Roman"/>
                <w:b/>
                <w:sz w:val="20"/>
                <w:szCs w:val="20"/>
              </w:rPr>
            </w:pPr>
            <w:r w:rsidRPr="00F03354">
              <w:rPr>
                <w:rFonts w:ascii="VIC" w:eastAsia="Times New Roman" w:hAnsi="VIC" w:cs="Times New Roman"/>
                <w:b/>
                <w:sz w:val="20"/>
                <w:szCs w:val="20"/>
              </w:rPr>
              <w:t>Coronary artery bypass graft</w:t>
            </w:r>
          </w:p>
          <w:p w14:paraId="03465E9C" w14:textId="77777777" w:rsidR="00E003CE" w:rsidRPr="00F03354" w:rsidRDefault="00E003CE" w:rsidP="00E003CE">
            <w:pPr>
              <w:spacing w:before="33" w:after="77" w:line="270" w:lineRule="exact"/>
              <w:ind w:left="108" w:right="504"/>
              <w:textAlignment w:val="baseline"/>
              <w:rPr>
                <w:rFonts w:ascii="VIC" w:eastAsia="VIC" w:hAnsi="VIC"/>
                <w:color w:val="000000"/>
                <w:sz w:val="20"/>
              </w:rPr>
            </w:pPr>
            <w:r w:rsidRPr="00F03354">
              <w:rPr>
                <w:rFonts w:ascii="VIC" w:eastAsia="VIC" w:hAnsi="VIC"/>
                <w:color w:val="000000"/>
                <w:sz w:val="20"/>
              </w:rPr>
              <w:t>Campuses performing cardiac bypass surgery are required to conduct continuous surveillance of surgical site infections associated with the procedure and report them to VICNISS. The list of hospitals/campuses for which this measure is applicable to is based on previously reported data and can be found at Attachment A.</w:t>
            </w:r>
          </w:p>
          <w:p w14:paraId="020E1127" w14:textId="77777777" w:rsidR="00280F65" w:rsidRPr="00F03354" w:rsidRDefault="00280F65" w:rsidP="00280F65">
            <w:pPr>
              <w:spacing w:before="120" w:after="60" w:line="240" w:lineRule="auto"/>
              <w:rPr>
                <w:rFonts w:ascii="VIC" w:eastAsia="Times New Roman" w:hAnsi="VIC" w:cs="Times New Roman"/>
                <w:b/>
                <w:sz w:val="20"/>
                <w:szCs w:val="20"/>
              </w:rPr>
            </w:pPr>
            <w:r w:rsidRPr="00F03354">
              <w:rPr>
                <w:rFonts w:ascii="VIC" w:eastAsia="Times New Roman" w:hAnsi="VIC" w:cs="Times New Roman"/>
                <w:b/>
                <w:sz w:val="20"/>
                <w:szCs w:val="20"/>
              </w:rPr>
              <w:t>Hip and knee arthroplasty</w:t>
            </w:r>
          </w:p>
          <w:p w14:paraId="678CD243" w14:textId="2DBB29D2" w:rsidR="006E3D11" w:rsidRPr="00F03354" w:rsidRDefault="34BE4A87" w:rsidP="62A232EF">
            <w:pPr>
              <w:spacing w:after="23" w:line="270" w:lineRule="exact"/>
              <w:ind w:left="108" w:right="288"/>
              <w:textAlignment w:val="baseline"/>
              <w:rPr>
                <w:rFonts w:ascii="VIC" w:eastAsia="VIC" w:hAnsi="VIC"/>
                <w:color w:val="000000"/>
                <w:spacing w:val="-1"/>
                <w:sz w:val="20"/>
                <w:szCs w:val="20"/>
              </w:rPr>
            </w:pPr>
            <w:r w:rsidRPr="00F03354">
              <w:rPr>
                <w:rFonts w:ascii="VIC" w:eastAsia="VIC" w:hAnsi="VIC"/>
                <w:color w:val="000000" w:themeColor="text1"/>
                <w:sz w:val="20"/>
                <w:szCs w:val="20"/>
              </w:rPr>
              <w:t>Campuses performing hip and knee arthroplasty surgical procedures are required to conduct continuous surveillance of surgical site infections associated with these procedures and report them to VICNISS.. The list of hospitals/campuses for which this measure is applicable to is based on previously reported data and can be found at Attachment B (Hip) Attachment C (knee).</w:t>
            </w:r>
          </w:p>
          <w:p w14:paraId="606FBFDD" w14:textId="77777777" w:rsidR="00280F65" w:rsidRPr="00F03354" w:rsidRDefault="00280F65" w:rsidP="00280F65">
            <w:pPr>
              <w:spacing w:before="120" w:after="60" w:line="240" w:lineRule="auto"/>
              <w:rPr>
                <w:rFonts w:ascii="VIC" w:eastAsia="Times New Roman" w:hAnsi="VIC" w:cs="Times New Roman"/>
                <w:b/>
                <w:sz w:val="20"/>
                <w:szCs w:val="20"/>
              </w:rPr>
            </w:pPr>
            <w:r w:rsidRPr="00F03354">
              <w:rPr>
                <w:rFonts w:ascii="VIC" w:eastAsia="Times New Roman" w:hAnsi="VIC" w:cs="Times New Roman"/>
                <w:b/>
                <w:sz w:val="20"/>
                <w:szCs w:val="20"/>
              </w:rPr>
              <w:t>Caesarean section for nominated health services</w:t>
            </w:r>
          </w:p>
          <w:p w14:paraId="1EBFF302" w14:textId="27EC4E4B" w:rsidR="00E14013" w:rsidRPr="00F03354" w:rsidRDefault="1C5CCA5E" w:rsidP="62A232EF">
            <w:pPr>
              <w:spacing w:after="57" w:line="271" w:lineRule="exact"/>
              <w:ind w:left="108" w:right="144"/>
              <w:textAlignment w:val="baseline"/>
              <w:rPr>
                <w:rFonts w:ascii="VIC" w:eastAsia="VIC" w:hAnsi="VIC"/>
                <w:color w:val="000000"/>
                <w:sz w:val="20"/>
                <w:szCs w:val="20"/>
              </w:rPr>
            </w:pPr>
            <w:r w:rsidRPr="00F03354">
              <w:rPr>
                <w:rFonts w:ascii="VIC" w:eastAsia="VIC" w:hAnsi="VIC"/>
                <w:color w:val="000000" w:themeColor="text1"/>
                <w:sz w:val="20"/>
                <w:szCs w:val="20"/>
              </w:rPr>
              <w:t>Campuses providing a birthing service are required to conduct continuous surveillance of their c-section surgical site infections and report these to VICNISS.</w:t>
            </w:r>
          </w:p>
          <w:p w14:paraId="090C4D01" w14:textId="0040FD73"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list of hospitals</w:t>
            </w:r>
            <w:r w:rsidR="00943C86" w:rsidRPr="00F03354">
              <w:rPr>
                <w:rFonts w:ascii="VIC" w:eastAsia="Times New Roman" w:hAnsi="VIC" w:cs="Times New Roman"/>
                <w:sz w:val="20"/>
                <w:szCs w:val="20"/>
              </w:rPr>
              <w:t>/campuses</w:t>
            </w:r>
            <w:r w:rsidRPr="00F03354">
              <w:rPr>
                <w:rFonts w:ascii="VIC" w:eastAsia="Times New Roman" w:hAnsi="VIC" w:cs="Times New Roman"/>
                <w:sz w:val="20"/>
                <w:szCs w:val="20"/>
              </w:rPr>
              <w:t xml:space="preserve"> for which this measure is applicable to is based on previously reported data and can be found at Attachment </w:t>
            </w:r>
            <w:r w:rsidR="00341E3E" w:rsidRPr="00F03354">
              <w:rPr>
                <w:rFonts w:ascii="VIC" w:eastAsia="Times New Roman" w:hAnsi="VIC" w:cs="Times New Roman"/>
                <w:sz w:val="20"/>
                <w:szCs w:val="20"/>
              </w:rPr>
              <w:t>D</w:t>
            </w:r>
            <w:r w:rsidRPr="00F03354">
              <w:rPr>
                <w:rFonts w:ascii="VIC" w:eastAsia="Times New Roman" w:hAnsi="VIC" w:cs="Times New Roman"/>
                <w:sz w:val="20"/>
                <w:szCs w:val="20"/>
              </w:rPr>
              <w:t>.</w:t>
            </w:r>
          </w:p>
          <w:p w14:paraId="37F2D28A" w14:textId="77777777" w:rsidR="00280F65" w:rsidRPr="00F03354" w:rsidRDefault="00280F65" w:rsidP="00280F65">
            <w:pPr>
              <w:spacing w:before="120" w:after="60" w:line="240" w:lineRule="auto"/>
              <w:rPr>
                <w:rFonts w:ascii="VIC" w:eastAsia="Times New Roman" w:hAnsi="VIC" w:cs="Times New Roman"/>
                <w:b/>
                <w:sz w:val="20"/>
                <w:szCs w:val="20"/>
              </w:rPr>
            </w:pPr>
            <w:r w:rsidRPr="00F03354">
              <w:rPr>
                <w:rFonts w:ascii="VIC" w:eastAsia="Times New Roman" w:hAnsi="VIC" w:cs="Times New Roman"/>
                <w:b/>
                <w:sz w:val="20"/>
                <w:szCs w:val="20"/>
              </w:rPr>
              <w:t>Colorectal surgery</w:t>
            </w:r>
          </w:p>
          <w:p w14:paraId="0B26BDAD" w14:textId="68A25146" w:rsidR="002064DF" w:rsidRPr="00F03354" w:rsidRDefault="002064DF" w:rsidP="002064DF">
            <w:pPr>
              <w:spacing w:after="57" w:line="271" w:lineRule="exact"/>
              <w:ind w:left="108" w:right="396"/>
              <w:textAlignment w:val="baseline"/>
              <w:rPr>
                <w:rFonts w:ascii="VIC" w:eastAsia="VIC" w:hAnsi="VIC"/>
                <w:color w:val="000000"/>
                <w:sz w:val="20"/>
              </w:rPr>
            </w:pPr>
            <w:r w:rsidRPr="00F03354">
              <w:rPr>
                <w:rFonts w:ascii="VIC" w:eastAsia="VIC" w:hAnsi="VIC"/>
                <w:color w:val="000000"/>
                <w:sz w:val="20"/>
              </w:rPr>
              <w:t>Campuses that perform colorectal procedures are required to undertake surveillance for a continuous six</w:t>
            </w:r>
            <w:r w:rsidR="00916BD4" w:rsidRPr="00F03354">
              <w:rPr>
                <w:rFonts w:ascii="VIC" w:eastAsia="VIC" w:hAnsi="VIC"/>
                <w:color w:val="000000"/>
                <w:sz w:val="20"/>
              </w:rPr>
              <w:t>-</w:t>
            </w:r>
            <w:r w:rsidRPr="00F03354">
              <w:rPr>
                <w:rFonts w:ascii="VIC" w:eastAsia="VIC" w:hAnsi="VIC"/>
                <w:color w:val="000000"/>
                <w:sz w:val="20"/>
              </w:rPr>
              <w:t>month period during the period 1 July to 30 June.</w:t>
            </w:r>
          </w:p>
          <w:p w14:paraId="51742B1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List of relevant procedures is available from VICNISS.</w:t>
            </w:r>
          </w:p>
          <w:p w14:paraId="70A71110" w14:textId="788E8465"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list of hospitals</w:t>
            </w:r>
            <w:r w:rsidR="00535B71" w:rsidRPr="00F03354">
              <w:rPr>
                <w:rFonts w:ascii="VIC" w:eastAsia="Times New Roman" w:hAnsi="VIC" w:cs="Times New Roman"/>
                <w:sz w:val="20"/>
                <w:szCs w:val="20"/>
              </w:rPr>
              <w:t>/campuses</w:t>
            </w:r>
            <w:r w:rsidRPr="00F03354">
              <w:rPr>
                <w:rFonts w:ascii="VIC" w:eastAsia="Times New Roman" w:hAnsi="VIC" w:cs="Times New Roman"/>
                <w:sz w:val="20"/>
                <w:szCs w:val="20"/>
              </w:rPr>
              <w:t xml:space="preserve"> for which this measure is applicable to is available at Attachment </w:t>
            </w:r>
            <w:r w:rsidR="00341E3E" w:rsidRPr="00F03354">
              <w:rPr>
                <w:rFonts w:ascii="VIC" w:eastAsia="Times New Roman" w:hAnsi="VIC" w:cs="Times New Roman"/>
                <w:sz w:val="20"/>
                <w:szCs w:val="20"/>
              </w:rPr>
              <w:t>E</w:t>
            </w:r>
            <w:r w:rsidRPr="00F03354">
              <w:rPr>
                <w:rFonts w:ascii="VIC" w:eastAsia="Times New Roman" w:hAnsi="VIC" w:cs="Times New Roman"/>
                <w:sz w:val="20"/>
                <w:szCs w:val="20"/>
              </w:rPr>
              <w:t>.</w:t>
            </w:r>
          </w:p>
        </w:tc>
      </w:tr>
      <w:tr w:rsidR="00280F65" w:rsidRPr="00F03354" w14:paraId="77B566B7" w14:textId="77777777" w:rsidTr="62A232E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2DCE685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087" w:type="dxa"/>
            <w:tcBorders>
              <w:top w:val="single" w:sz="4" w:space="0" w:color="201547"/>
              <w:left w:val="single" w:sz="4" w:space="0" w:color="201547"/>
              <w:bottom w:val="single" w:sz="4" w:space="0" w:color="201547"/>
              <w:right w:val="single" w:sz="4" w:space="0" w:color="201547"/>
            </w:tcBorders>
            <w:hideMark/>
          </w:tcPr>
          <w:p w14:paraId="62849ED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Data reported is lagged. Data is analysed quarterly based on two quarters of data. Rates are calculated using the most recent six months of data in a rolling fashion.</w:t>
            </w:r>
          </w:p>
          <w:p w14:paraId="14CDF5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VICNISS collates and analyses data from health services and reports quarterly to participants and the department on aggregate, risk-adjusted, procedure-specific infection rates.</w:t>
            </w:r>
          </w:p>
          <w:p w14:paraId="3C58715B" w14:textId="3614E3BD"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submitted to VICNISS</w:t>
            </w:r>
            <w:r w:rsidR="00916BD4"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performance reported for the periods:</w:t>
            </w:r>
          </w:p>
          <w:p w14:paraId="28017DE9"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 xml:space="preserve">1 January to 30 June in quarter 1 </w:t>
            </w:r>
          </w:p>
          <w:p w14:paraId="5C4822EB"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September in quarter 2</w:t>
            </w:r>
          </w:p>
          <w:p w14:paraId="567071F4"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31 December in quarter 3</w:t>
            </w:r>
          </w:p>
          <w:p w14:paraId="32D07CA7"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March in quarter 4.</w:t>
            </w:r>
          </w:p>
          <w:p w14:paraId="034AD27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health service level.</w:t>
            </w:r>
          </w:p>
          <w:p w14:paraId="6877B5E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Where a health service has multiple campuses, an outlier at any campus will result in the health service not meeting the indicator.</w:t>
            </w:r>
          </w:p>
          <w:p w14:paraId="538A46F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If data is not submitted at a campus level in any month, the entire quarter target will be deemed as not met by the health service.</w:t>
            </w:r>
          </w:p>
          <w:p w14:paraId="7AD27A9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result is generated annually. Where a health service does not achieve the indicator in a reporting period the annual result is not achieved.</w:t>
            </w:r>
          </w:p>
        </w:tc>
      </w:tr>
      <w:tr w:rsidR="008E4082" w:rsidRPr="00F03354" w14:paraId="70CA9500" w14:textId="77777777" w:rsidTr="62A232EF">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4021D61B" w14:textId="2BAA4479" w:rsidR="008E4082" w:rsidRPr="00F03354" w:rsidRDefault="000611D1"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Reporting requirements</w:t>
            </w:r>
          </w:p>
        </w:tc>
        <w:tc>
          <w:tcPr>
            <w:tcW w:w="7087" w:type="dxa"/>
            <w:tcBorders>
              <w:top w:val="single" w:sz="4" w:space="0" w:color="201547"/>
              <w:left w:val="single" w:sz="4" w:space="0" w:color="201547"/>
              <w:bottom w:val="single" w:sz="4" w:space="0" w:color="201547"/>
              <w:right w:val="single" w:sz="4" w:space="0" w:color="201547"/>
            </w:tcBorders>
          </w:tcPr>
          <w:p w14:paraId="3489D484" w14:textId="77777777" w:rsidR="001730BC" w:rsidRPr="00F03354" w:rsidRDefault="001730BC" w:rsidP="001730BC">
            <w:pPr>
              <w:spacing w:after="96" w:line="273" w:lineRule="exact"/>
              <w:ind w:left="108" w:right="144"/>
              <w:jc w:val="both"/>
              <w:textAlignment w:val="baseline"/>
              <w:rPr>
                <w:rFonts w:ascii="VIC" w:eastAsia="VIC" w:hAnsi="VIC"/>
                <w:color w:val="000000"/>
                <w:sz w:val="20"/>
              </w:rPr>
            </w:pPr>
            <w:r w:rsidRPr="00F03354">
              <w:rPr>
                <w:rFonts w:ascii="VIC" w:eastAsia="VIC" w:hAnsi="VIC"/>
                <w:color w:val="000000"/>
                <w:sz w:val="20"/>
              </w:rPr>
              <w:t xml:space="preserve">It is acknowledged that Attachments A to E, that are based on reported activity levels prior to the COVID-19 pandemic period, have not been reviewed recently. </w:t>
            </w:r>
          </w:p>
          <w:p w14:paraId="26AA9E4D" w14:textId="77777777" w:rsidR="001730BC" w:rsidRPr="00F03354" w:rsidRDefault="001730BC" w:rsidP="001730BC">
            <w:pPr>
              <w:spacing w:after="96" w:line="273" w:lineRule="exact"/>
              <w:ind w:left="108" w:right="144"/>
              <w:jc w:val="both"/>
              <w:textAlignment w:val="baseline"/>
              <w:rPr>
                <w:rFonts w:ascii="VIC" w:eastAsia="VIC" w:hAnsi="VIC"/>
                <w:color w:val="000000"/>
                <w:sz w:val="20"/>
              </w:rPr>
            </w:pPr>
            <w:r w:rsidRPr="00F03354">
              <w:rPr>
                <w:rFonts w:ascii="VIC" w:eastAsia="VIC" w:hAnsi="VIC"/>
                <w:color w:val="000000"/>
                <w:sz w:val="20"/>
              </w:rPr>
              <w:t xml:space="preserve">Activity levels during 2022-23 will inform a review of the lists to be applicable for 2023-24. </w:t>
            </w:r>
          </w:p>
          <w:p w14:paraId="6D1F9CAD" w14:textId="7A87BB59" w:rsidR="008E4082" w:rsidRPr="00F03354" w:rsidRDefault="001730BC" w:rsidP="001730BC">
            <w:pPr>
              <w:spacing w:before="80" w:after="60" w:line="240" w:lineRule="auto"/>
              <w:rPr>
                <w:rFonts w:ascii="VIC" w:eastAsia="Times New Roman" w:hAnsi="VIC" w:cs="Times New Roman"/>
                <w:sz w:val="20"/>
                <w:szCs w:val="20"/>
              </w:rPr>
            </w:pPr>
            <w:r w:rsidRPr="00F03354">
              <w:rPr>
                <w:rFonts w:ascii="VIC" w:eastAsia="VIC" w:hAnsi="VIC"/>
                <w:color w:val="000000"/>
                <w:sz w:val="20"/>
              </w:rPr>
              <w:t>For 2022-23, the current lists remain current and applicable to the surgical site infection surveillance requirements of health services and hospitals.</w:t>
            </w:r>
          </w:p>
        </w:tc>
      </w:tr>
      <w:tr w:rsidR="00280F65" w:rsidRPr="00F03354" w14:paraId="17349AC4" w14:textId="77777777" w:rsidTr="62A232E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05326A8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087" w:type="dxa"/>
            <w:tcBorders>
              <w:top w:val="single" w:sz="4" w:space="0" w:color="201547"/>
              <w:left w:val="single" w:sz="4" w:space="0" w:color="201547"/>
              <w:bottom w:val="single" w:sz="4" w:space="0" w:color="201547"/>
              <w:right w:val="single" w:sz="4" w:space="0" w:color="201547"/>
            </w:tcBorders>
            <w:hideMark/>
          </w:tcPr>
          <w:p w14:paraId="7A2C794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against the previous reporting period. </w:t>
            </w:r>
          </w:p>
        </w:tc>
      </w:tr>
    </w:tbl>
    <w:p w14:paraId="58221743" w14:textId="77777777" w:rsidR="00280F65" w:rsidRPr="00F03354" w:rsidRDefault="00280F65" w:rsidP="00280F65">
      <w:pPr>
        <w:spacing w:after="120" w:line="270" w:lineRule="atLeast"/>
        <w:rPr>
          <w:rFonts w:ascii="VIC" w:eastAsia="Times" w:hAnsi="VIC" w:cs="Times New Roman"/>
          <w:sz w:val="20"/>
          <w:szCs w:val="20"/>
        </w:rPr>
      </w:pPr>
    </w:p>
    <w:tbl>
      <w:tblPr>
        <w:tblW w:w="9668"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087"/>
      </w:tblGrid>
      <w:tr w:rsidR="00280F65" w:rsidRPr="00F03354" w14:paraId="57D6F549" w14:textId="77777777" w:rsidTr="007C7407">
        <w:trPr>
          <w:cantSplit/>
          <w:trHeight w:val="60"/>
          <w:tblHeader/>
        </w:trPr>
        <w:tc>
          <w:tcPr>
            <w:tcW w:w="2581" w:type="dxa"/>
            <w:shd w:val="clear" w:color="auto" w:fill="244C5A"/>
          </w:tcPr>
          <w:p w14:paraId="2EE338D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087" w:type="dxa"/>
            <w:shd w:val="clear" w:color="auto" w:fill="244C5A"/>
          </w:tcPr>
          <w:p w14:paraId="5E07446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surgical site infection for all reported procedures</w:t>
            </w:r>
          </w:p>
        </w:tc>
      </w:tr>
      <w:tr w:rsidR="00280F65" w:rsidRPr="00F03354" w14:paraId="3D7303B2" w14:textId="77777777" w:rsidTr="007C7407">
        <w:trPr>
          <w:cantSplit/>
          <w:trHeight w:val="60"/>
        </w:trPr>
        <w:tc>
          <w:tcPr>
            <w:tcW w:w="2581" w:type="dxa"/>
            <w:hideMark/>
          </w:tcPr>
          <w:p w14:paraId="6C8CC64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087" w:type="dxa"/>
            <w:hideMark/>
          </w:tcPr>
          <w:p w14:paraId="6F9EE2E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patients with a surgical site infection for all reported procedures</w:t>
            </w:r>
          </w:p>
        </w:tc>
      </w:tr>
      <w:tr w:rsidR="00280F65" w:rsidRPr="00F03354" w14:paraId="0F490DD7" w14:textId="77777777" w:rsidTr="007C7407">
        <w:trPr>
          <w:cantSplit/>
          <w:trHeight w:val="60"/>
        </w:trPr>
        <w:tc>
          <w:tcPr>
            <w:tcW w:w="2581" w:type="dxa"/>
            <w:hideMark/>
          </w:tcPr>
          <w:p w14:paraId="0061866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087" w:type="dxa"/>
            <w:hideMark/>
          </w:tcPr>
          <w:p w14:paraId="386ED75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total number of all reported procedures </w:t>
            </w:r>
          </w:p>
        </w:tc>
      </w:tr>
      <w:tr w:rsidR="00280F65" w:rsidRPr="00F03354" w14:paraId="4FDA6D41" w14:textId="77777777" w:rsidTr="007C7407">
        <w:trPr>
          <w:cantSplit/>
          <w:trHeight w:val="60"/>
        </w:trPr>
        <w:tc>
          <w:tcPr>
            <w:tcW w:w="2581" w:type="dxa"/>
            <w:hideMark/>
          </w:tcPr>
          <w:p w14:paraId="00A4A70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087" w:type="dxa"/>
            <w:hideMark/>
          </w:tcPr>
          <w:p w14:paraId="47A99588"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No outliers</w:t>
            </w:r>
          </w:p>
        </w:tc>
      </w:tr>
      <w:tr w:rsidR="00280F65" w:rsidRPr="00F03354" w14:paraId="1551DEEB" w14:textId="77777777" w:rsidTr="007C7407">
        <w:trPr>
          <w:cantSplit/>
          <w:trHeight w:val="750"/>
        </w:trPr>
        <w:tc>
          <w:tcPr>
            <w:tcW w:w="2581" w:type="dxa"/>
            <w:hideMark/>
          </w:tcPr>
          <w:p w14:paraId="099E3CA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087" w:type="dxa"/>
            <w:hideMark/>
          </w:tcPr>
          <w:p w14:paraId="168A2EB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4E2FA82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00E1AA8D" w14:textId="77777777" w:rsidR="00280F65" w:rsidRPr="00F03354" w:rsidRDefault="00280F65" w:rsidP="00280F65">
      <w:pPr>
        <w:spacing w:before="80" w:after="6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F03354" w14:paraId="0DD918EE" w14:textId="77777777" w:rsidTr="00166C67">
        <w:trPr>
          <w:cantSplit/>
          <w:trHeight w:val="60"/>
          <w:tblHeader/>
        </w:trPr>
        <w:tc>
          <w:tcPr>
            <w:tcW w:w="2581" w:type="dxa"/>
            <w:shd w:val="clear" w:color="auto" w:fill="244C5A"/>
          </w:tcPr>
          <w:p w14:paraId="6C589A25" w14:textId="77777777" w:rsidR="00280F65" w:rsidRPr="00F03354" w:rsidRDefault="00280F65" w:rsidP="00166C67">
            <w:pPr>
              <w:keepNext/>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371" w:type="dxa"/>
            <w:shd w:val="clear" w:color="auto" w:fill="244C5A"/>
          </w:tcPr>
          <w:p w14:paraId="1E1E5CC1" w14:textId="77777777" w:rsidR="00280F65" w:rsidRPr="00F03354" w:rsidRDefault="00280F65" w:rsidP="00166C67">
            <w:pPr>
              <w:keepNext/>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surgical site infection post coronary artery bypass grafts</w:t>
            </w:r>
          </w:p>
        </w:tc>
      </w:tr>
      <w:tr w:rsidR="00280F65" w:rsidRPr="00F03354" w14:paraId="18FD31A5" w14:textId="77777777" w:rsidTr="00166C67">
        <w:trPr>
          <w:cantSplit/>
          <w:trHeight w:val="60"/>
        </w:trPr>
        <w:tc>
          <w:tcPr>
            <w:tcW w:w="2581" w:type="dxa"/>
          </w:tcPr>
          <w:p w14:paraId="5C9E1A82" w14:textId="77777777" w:rsidR="00280F65" w:rsidRPr="00F03354" w:rsidRDefault="00280F65" w:rsidP="00166C67">
            <w:pPr>
              <w:keepNext/>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tcPr>
          <w:p w14:paraId="386BC1F9" w14:textId="77777777" w:rsidR="00280F65" w:rsidRPr="00F03354" w:rsidRDefault="00280F65" w:rsidP="00166C67">
            <w:pPr>
              <w:keepNext/>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surgical site infection post coronary artery bypass grafts</w:t>
            </w:r>
          </w:p>
        </w:tc>
      </w:tr>
      <w:tr w:rsidR="00280F65" w:rsidRPr="00F03354" w14:paraId="4D50757C" w14:textId="77777777" w:rsidTr="00166C67">
        <w:trPr>
          <w:cantSplit/>
          <w:trHeight w:val="60"/>
        </w:trPr>
        <w:tc>
          <w:tcPr>
            <w:tcW w:w="2581" w:type="dxa"/>
          </w:tcPr>
          <w:p w14:paraId="446645A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371" w:type="dxa"/>
          </w:tcPr>
          <w:p w14:paraId="228B192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total number of coronary artery bypass graft procedures </w:t>
            </w:r>
          </w:p>
        </w:tc>
      </w:tr>
      <w:tr w:rsidR="00280F65" w:rsidRPr="00F03354" w14:paraId="0E8BD208" w14:textId="77777777" w:rsidTr="00166C67">
        <w:trPr>
          <w:cantSplit/>
          <w:trHeight w:val="60"/>
        </w:trPr>
        <w:tc>
          <w:tcPr>
            <w:tcW w:w="2581" w:type="dxa"/>
          </w:tcPr>
          <w:p w14:paraId="22B7F61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tcPr>
          <w:p w14:paraId="06693E6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 outliers</w:t>
            </w:r>
          </w:p>
        </w:tc>
      </w:tr>
      <w:tr w:rsidR="00280F65" w:rsidRPr="00F03354" w14:paraId="6F5B323B" w14:textId="77777777" w:rsidTr="00166C67">
        <w:trPr>
          <w:cantSplit/>
          <w:trHeight w:val="750"/>
        </w:trPr>
        <w:tc>
          <w:tcPr>
            <w:tcW w:w="2581" w:type="dxa"/>
          </w:tcPr>
          <w:p w14:paraId="250543D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371" w:type="dxa"/>
          </w:tcPr>
          <w:p w14:paraId="56094FA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3E416F6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18A2F8A6" w14:textId="6DF40D5A" w:rsidR="00280F65" w:rsidRPr="00F03354" w:rsidRDefault="00280F65" w:rsidP="00280F65">
      <w:pPr>
        <w:spacing w:after="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F03354" w14:paraId="0A7D6D59" w14:textId="77777777" w:rsidTr="007C7407">
        <w:trPr>
          <w:cantSplit/>
          <w:trHeight w:val="60"/>
          <w:tblHeader/>
        </w:trPr>
        <w:tc>
          <w:tcPr>
            <w:tcW w:w="2581" w:type="dxa"/>
            <w:shd w:val="clear" w:color="auto" w:fill="244C5A"/>
          </w:tcPr>
          <w:p w14:paraId="3F29AB7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371" w:type="dxa"/>
            <w:shd w:val="clear" w:color="auto" w:fill="244C5A"/>
          </w:tcPr>
          <w:p w14:paraId="3CA469D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surgical site infection post hip arthroplasty</w:t>
            </w:r>
          </w:p>
        </w:tc>
      </w:tr>
      <w:tr w:rsidR="00280F65" w:rsidRPr="00F03354" w14:paraId="596DD189" w14:textId="77777777" w:rsidTr="007C7407">
        <w:trPr>
          <w:cantSplit/>
          <w:trHeight w:val="60"/>
        </w:trPr>
        <w:tc>
          <w:tcPr>
            <w:tcW w:w="2581" w:type="dxa"/>
          </w:tcPr>
          <w:p w14:paraId="08D895B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tcPr>
          <w:p w14:paraId="77F3A78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surgical site infection post hip arthroplasty</w:t>
            </w:r>
          </w:p>
        </w:tc>
      </w:tr>
      <w:tr w:rsidR="00280F65" w:rsidRPr="00F03354" w14:paraId="3BD1C9CC" w14:textId="77777777" w:rsidTr="007C7407">
        <w:trPr>
          <w:cantSplit/>
          <w:trHeight w:val="60"/>
        </w:trPr>
        <w:tc>
          <w:tcPr>
            <w:tcW w:w="2581" w:type="dxa"/>
          </w:tcPr>
          <w:p w14:paraId="650C4E4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371" w:type="dxa"/>
          </w:tcPr>
          <w:p w14:paraId="242508D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hip arthroplasties</w:t>
            </w:r>
          </w:p>
        </w:tc>
      </w:tr>
      <w:tr w:rsidR="00280F65" w:rsidRPr="00F03354" w14:paraId="5BEA3FE0" w14:textId="77777777" w:rsidTr="007C7407">
        <w:trPr>
          <w:cantSplit/>
          <w:trHeight w:val="60"/>
        </w:trPr>
        <w:tc>
          <w:tcPr>
            <w:tcW w:w="2581" w:type="dxa"/>
          </w:tcPr>
          <w:p w14:paraId="7A3763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tcPr>
          <w:p w14:paraId="39FDE29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 outliers</w:t>
            </w:r>
          </w:p>
        </w:tc>
      </w:tr>
      <w:tr w:rsidR="00280F65" w:rsidRPr="00F03354" w14:paraId="5CB2FC50" w14:textId="77777777" w:rsidTr="007C7407">
        <w:trPr>
          <w:cantSplit/>
          <w:trHeight w:val="750"/>
        </w:trPr>
        <w:tc>
          <w:tcPr>
            <w:tcW w:w="2581" w:type="dxa"/>
          </w:tcPr>
          <w:p w14:paraId="44A154B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371" w:type="dxa"/>
          </w:tcPr>
          <w:p w14:paraId="7C3C7A6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37308D8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59867BB4" w14:textId="77777777" w:rsidR="00280F65" w:rsidRPr="00F03354" w:rsidRDefault="00280F65" w:rsidP="00280F65">
      <w:pPr>
        <w:spacing w:before="80" w:after="6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F03354" w14:paraId="2F22553B" w14:textId="77777777" w:rsidTr="007C7407">
        <w:trPr>
          <w:cantSplit/>
          <w:trHeight w:val="60"/>
          <w:tblHeader/>
        </w:trPr>
        <w:tc>
          <w:tcPr>
            <w:tcW w:w="2552" w:type="dxa"/>
            <w:shd w:val="clear" w:color="auto" w:fill="244C5A"/>
          </w:tcPr>
          <w:p w14:paraId="17447EC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shd w:val="clear" w:color="auto" w:fill="244C5A"/>
          </w:tcPr>
          <w:p w14:paraId="39C0A90E"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surgical site infection post knee arthroplasty</w:t>
            </w:r>
          </w:p>
        </w:tc>
      </w:tr>
      <w:tr w:rsidR="00280F65" w:rsidRPr="00F03354" w14:paraId="3425D3EE" w14:textId="77777777" w:rsidTr="007C7407">
        <w:trPr>
          <w:cantSplit/>
          <w:trHeight w:val="60"/>
        </w:trPr>
        <w:tc>
          <w:tcPr>
            <w:tcW w:w="2552" w:type="dxa"/>
          </w:tcPr>
          <w:p w14:paraId="532C756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tcPr>
          <w:p w14:paraId="6BA1AAE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surgical site infection post knee arthroplasty</w:t>
            </w:r>
          </w:p>
        </w:tc>
      </w:tr>
      <w:tr w:rsidR="00280F65" w:rsidRPr="00F03354" w14:paraId="68D428D4" w14:textId="77777777" w:rsidTr="007C7407">
        <w:trPr>
          <w:cantSplit/>
          <w:trHeight w:val="60"/>
        </w:trPr>
        <w:tc>
          <w:tcPr>
            <w:tcW w:w="2552" w:type="dxa"/>
          </w:tcPr>
          <w:p w14:paraId="2A4028E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400" w:type="dxa"/>
          </w:tcPr>
          <w:p w14:paraId="7A6DFE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knee arthroplasties</w:t>
            </w:r>
          </w:p>
        </w:tc>
      </w:tr>
      <w:tr w:rsidR="00280F65" w:rsidRPr="00F03354" w14:paraId="7764A42C" w14:textId="77777777" w:rsidTr="007C7407">
        <w:trPr>
          <w:cantSplit/>
          <w:trHeight w:val="60"/>
        </w:trPr>
        <w:tc>
          <w:tcPr>
            <w:tcW w:w="2552" w:type="dxa"/>
          </w:tcPr>
          <w:p w14:paraId="2E2F35B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tcPr>
          <w:p w14:paraId="642B979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 outliers</w:t>
            </w:r>
          </w:p>
        </w:tc>
      </w:tr>
      <w:tr w:rsidR="00280F65" w:rsidRPr="00F03354" w14:paraId="406315DE" w14:textId="77777777" w:rsidTr="007C7407">
        <w:trPr>
          <w:cantSplit/>
          <w:trHeight w:val="750"/>
        </w:trPr>
        <w:tc>
          <w:tcPr>
            <w:tcW w:w="2552" w:type="dxa"/>
          </w:tcPr>
          <w:p w14:paraId="6AFB1E0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400" w:type="dxa"/>
          </w:tcPr>
          <w:p w14:paraId="3EBBB7B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4283410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344ABB71" w14:textId="77777777" w:rsidR="00280F65" w:rsidRPr="00F03354" w:rsidRDefault="00280F65" w:rsidP="00280F65">
      <w:pPr>
        <w:spacing w:before="80" w:after="6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F03354" w14:paraId="3F2AB618" w14:textId="77777777" w:rsidTr="007C7407">
        <w:trPr>
          <w:cantSplit/>
          <w:trHeight w:val="60"/>
          <w:tblHeader/>
        </w:trPr>
        <w:tc>
          <w:tcPr>
            <w:tcW w:w="2552" w:type="dxa"/>
            <w:shd w:val="clear" w:color="auto" w:fill="244C5A"/>
          </w:tcPr>
          <w:p w14:paraId="3205B711"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shd w:val="clear" w:color="auto" w:fill="244C5A"/>
          </w:tcPr>
          <w:p w14:paraId="204CD8E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surgical site infection post caesarean section delivery</w:t>
            </w:r>
          </w:p>
        </w:tc>
      </w:tr>
      <w:tr w:rsidR="00280F65" w:rsidRPr="00F03354" w14:paraId="2445C31D" w14:textId="77777777" w:rsidTr="007C7407">
        <w:trPr>
          <w:cantSplit/>
          <w:trHeight w:val="60"/>
        </w:trPr>
        <w:tc>
          <w:tcPr>
            <w:tcW w:w="2552" w:type="dxa"/>
          </w:tcPr>
          <w:p w14:paraId="649880D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tcPr>
          <w:p w14:paraId="4992EAC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surgical site infection post caesarean section delivery</w:t>
            </w:r>
          </w:p>
        </w:tc>
      </w:tr>
      <w:tr w:rsidR="00280F65" w:rsidRPr="00F03354" w14:paraId="3511EB0A" w14:textId="77777777" w:rsidTr="007C7407">
        <w:trPr>
          <w:cantSplit/>
          <w:trHeight w:val="60"/>
        </w:trPr>
        <w:tc>
          <w:tcPr>
            <w:tcW w:w="2552" w:type="dxa"/>
          </w:tcPr>
          <w:p w14:paraId="235AFBD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400" w:type="dxa"/>
          </w:tcPr>
          <w:p w14:paraId="747B30F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caesarean section deliveries</w:t>
            </w:r>
          </w:p>
        </w:tc>
      </w:tr>
      <w:tr w:rsidR="00280F65" w:rsidRPr="00F03354" w14:paraId="0278D4D1" w14:textId="77777777" w:rsidTr="007C7407">
        <w:trPr>
          <w:cantSplit/>
          <w:trHeight w:val="60"/>
        </w:trPr>
        <w:tc>
          <w:tcPr>
            <w:tcW w:w="2552" w:type="dxa"/>
          </w:tcPr>
          <w:p w14:paraId="0B72B5C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tcPr>
          <w:p w14:paraId="4AB4504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 outliers</w:t>
            </w:r>
          </w:p>
        </w:tc>
      </w:tr>
      <w:tr w:rsidR="00280F65" w:rsidRPr="00F03354" w14:paraId="774DCECC" w14:textId="77777777" w:rsidTr="007C7407">
        <w:trPr>
          <w:cantSplit/>
          <w:trHeight w:val="750"/>
        </w:trPr>
        <w:tc>
          <w:tcPr>
            <w:tcW w:w="2552" w:type="dxa"/>
          </w:tcPr>
          <w:p w14:paraId="708916A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400" w:type="dxa"/>
          </w:tcPr>
          <w:p w14:paraId="56374F3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22E6476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7F035188" w14:textId="77777777" w:rsidR="00280F65" w:rsidRPr="00F03354" w:rsidRDefault="00280F65" w:rsidP="00280F65">
      <w:pPr>
        <w:spacing w:before="80" w:after="6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F03354" w14:paraId="3856D149" w14:textId="77777777" w:rsidTr="007C7407">
        <w:trPr>
          <w:cantSplit/>
          <w:trHeight w:val="60"/>
          <w:tblHeader/>
        </w:trPr>
        <w:tc>
          <w:tcPr>
            <w:tcW w:w="2552" w:type="dxa"/>
            <w:shd w:val="clear" w:color="auto" w:fill="244C5A"/>
          </w:tcPr>
          <w:p w14:paraId="3D5BBE2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shd w:val="clear" w:color="auto" w:fill="244C5A"/>
          </w:tcPr>
          <w:p w14:paraId="0399A4E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surgical site infection post colorectal surgery</w:t>
            </w:r>
          </w:p>
        </w:tc>
      </w:tr>
      <w:tr w:rsidR="00280F65" w:rsidRPr="00F03354" w14:paraId="6FDC2360" w14:textId="77777777" w:rsidTr="007C7407">
        <w:trPr>
          <w:cantSplit/>
          <w:trHeight w:val="60"/>
        </w:trPr>
        <w:tc>
          <w:tcPr>
            <w:tcW w:w="2552" w:type="dxa"/>
          </w:tcPr>
          <w:p w14:paraId="75A7A1E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tcPr>
          <w:p w14:paraId="3AFBFB1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Number of surgical site infection post colorectal surgery. </w:t>
            </w:r>
          </w:p>
        </w:tc>
      </w:tr>
      <w:tr w:rsidR="00280F65" w:rsidRPr="00F03354" w14:paraId="0E9745C1" w14:textId="77777777" w:rsidTr="007C7407">
        <w:trPr>
          <w:cantSplit/>
          <w:trHeight w:val="60"/>
        </w:trPr>
        <w:tc>
          <w:tcPr>
            <w:tcW w:w="2552" w:type="dxa"/>
          </w:tcPr>
          <w:p w14:paraId="6B46166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400" w:type="dxa"/>
          </w:tcPr>
          <w:p w14:paraId="7AD6696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colorectal surgeries.</w:t>
            </w:r>
          </w:p>
        </w:tc>
      </w:tr>
      <w:tr w:rsidR="00280F65" w:rsidRPr="00F03354" w14:paraId="194263F0" w14:textId="77777777" w:rsidTr="007C7407">
        <w:trPr>
          <w:cantSplit/>
          <w:trHeight w:val="60"/>
        </w:trPr>
        <w:tc>
          <w:tcPr>
            <w:tcW w:w="2552" w:type="dxa"/>
          </w:tcPr>
          <w:p w14:paraId="5C5BB7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Statewide target </w:t>
            </w:r>
          </w:p>
        </w:tc>
        <w:tc>
          <w:tcPr>
            <w:tcW w:w="7400" w:type="dxa"/>
          </w:tcPr>
          <w:p w14:paraId="45A6561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 outliers</w:t>
            </w:r>
          </w:p>
        </w:tc>
      </w:tr>
      <w:tr w:rsidR="00280F65" w:rsidRPr="00F03354" w14:paraId="6A7D05F8" w14:textId="77777777" w:rsidTr="007C7407">
        <w:trPr>
          <w:cantSplit/>
          <w:trHeight w:val="750"/>
        </w:trPr>
        <w:tc>
          <w:tcPr>
            <w:tcW w:w="2552" w:type="dxa"/>
          </w:tcPr>
          <w:p w14:paraId="2300BA0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400" w:type="dxa"/>
          </w:tcPr>
          <w:p w14:paraId="6DECFE6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37E86BD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595ADB27" w14:textId="77777777" w:rsidR="00280F65" w:rsidRPr="00F03354" w:rsidRDefault="00280F65" w:rsidP="00280F65">
      <w:pPr>
        <w:spacing w:after="120" w:line="270" w:lineRule="atLeast"/>
        <w:rPr>
          <w:rFonts w:ascii="VIC" w:eastAsia="Times" w:hAnsi="VIC" w:cs="Times New Roman"/>
          <w:b/>
          <w:bCs/>
          <w:sz w:val="20"/>
          <w:szCs w:val="20"/>
        </w:rPr>
      </w:pPr>
    </w:p>
    <w:p w14:paraId="137E2115" w14:textId="77777777" w:rsidR="00721921" w:rsidRPr="00F03354" w:rsidRDefault="00721921">
      <w:r w:rsidRPr="00F03354">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F03354" w14:paraId="52091D19" w14:textId="77777777" w:rsidTr="007C7407">
        <w:trPr>
          <w:cantSplit/>
          <w:trHeight w:val="60"/>
          <w:tblHeader/>
        </w:trPr>
        <w:tc>
          <w:tcPr>
            <w:tcW w:w="2581" w:type="dxa"/>
            <w:shd w:val="clear" w:color="auto" w:fill="244C5A"/>
            <w:vAlign w:val="bottom"/>
          </w:tcPr>
          <w:p w14:paraId="0D963BC4" w14:textId="61584C90"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371" w:type="dxa"/>
            <w:shd w:val="clear" w:color="auto" w:fill="244C5A"/>
            <w:vAlign w:val="bottom"/>
          </w:tcPr>
          <w:p w14:paraId="577F8473"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Intensive care unit central-line-associated bloodstream infection surveillance</w:t>
            </w:r>
          </w:p>
        </w:tc>
      </w:tr>
      <w:tr w:rsidR="00280F65" w:rsidRPr="00F03354" w14:paraId="4AAE76A1" w14:textId="77777777" w:rsidTr="007C7407">
        <w:trPr>
          <w:cantSplit/>
          <w:trHeight w:val="60"/>
        </w:trPr>
        <w:tc>
          <w:tcPr>
            <w:tcW w:w="2581" w:type="dxa"/>
            <w:hideMark/>
          </w:tcPr>
          <w:p w14:paraId="42AE227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hideMark/>
          </w:tcPr>
          <w:p w14:paraId="2D6C4B8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surveillance measure focuses on reducing the incidence of central-line-associated bloodstream infection (CLABSI) for patients in intensive care unit (ICU)</w:t>
            </w:r>
          </w:p>
          <w:p w14:paraId="2E99506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Neonatal intensive care units are excluded.</w:t>
            </w:r>
          </w:p>
        </w:tc>
      </w:tr>
      <w:tr w:rsidR="00280F65" w:rsidRPr="00F03354" w14:paraId="5E1E843A" w14:textId="77777777" w:rsidTr="007C7407">
        <w:trPr>
          <w:cantSplit/>
          <w:trHeight w:val="60"/>
        </w:trPr>
        <w:tc>
          <w:tcPr>
            <w:tcW w:w="2581" w:type="dxa"/>
            <w:hideMark/>
          </w:tcPr>
          <w:p w14:paraId="2209D7F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hideMark/>
          </w:tcPr>
          <w:p w14:paraId="6EAE80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Results are presented as rates calculated by the VICNISS on behalf of the department using the data collected from participating ICUs.</w:t>
            </w:r>
          </w:p>
          <w:p w14:paraId="379159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Rates = numerator/denominator × 1,000</w:t>
            </w:r>
          </w:p>
        </w:tc>
      </w:tr>
      <w:tr w:rsidR="00280F65" w:rsidRPr="00F03354" w14:paraId="6AC9A7AD" w14:textId="77777777" w:rsidTr="007C7407">
        <w:trPr>
          <w:cantSplit/>
          <w:trHeight w:val="60"/>
        </w:trPr>
        <w:tc>
          <w:tcPr>
            <w:tcW w:w="2581" w:type="dxa"/>
            <w:hideMark/>
          </w:tcPr>
          <w:p w14:paraId="53C3826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hideMark/>
          </w:tcPr>
          <w:p w14:paraId="0E6F9C3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CLABSIs</w:t>
            </w:r>
          </w:p>
        </w:tc>
      </w:tr>
      <w:tr w:rsidR="00280F65" w:rsidRPr="00F03354" w14:paraId="30B2B730" w14:textId="77777777" w:rsidTr="007C7407">
        <w:trPr>
          <w:cantSplit/>
          <w:trHeight w:val="60"/>
        </w:trPr>
        <w:tc>
          <w:tcPr>
            <w:tcW w:w="2581" w:type="dxa"/>
            <w:hideMark/>
          </w:tcPr>
          <w:p w14:paraId="553277A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371" w:type="dxa"/>
            <w:hideMark/>
          </w:tcPr>
          <w:p w14:paraId="0C26345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central line days</w:t>
            </w:r>
          </w:p>
        </w:tc>
      </w:tr>
      <w:tr w:rsidR="00280F65" w:rsidRPr="00F03354" w14:paraId="64C234D3" w14:textId="77777777" w:rsidTr="007C7407">
        <w:trPr>
          <w:cantSplit/>
          <w:trHeight w:val="60"/>
        </w:trPr>
        <w:tc>
          <w:tcPr>
            <w:tcW w:w="2581" w:type="dxa"/>
            <w:hideMark/>
          </w:tcPr>
          <w:p w14:paraId="532A6E2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hideMark/>
          </w:tcPr>
          <w:p w14:paraId="1DD08D1C" w14:textId="670A61AF" w:rsidR="00280F65" w:rsidRPr="00F03354" w:rsidRDefault="004065FE"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Zero</w:t>
            </w:r>
          </w:p>
        </w:tc>
      </w:tr>
      <w:tr w:rsidR="00280F65" w:rsidRPr="00F03354" w14:paraId="5EDD2371" w14:textId="77777777" w:rsidTr="007C7407">
        <w:trPr>
          <w:cantSplit/>
          <w:trHeight w:val="750"/>
        </w:trPr>
        <w:tc>
          <w:tcPr>
            <w:tcW w:w="2581" w:type="dxa"/>
            <w:hideMark/>
          </w:tcPr>
          <w:p w14:paraId="097171B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371" w:type="dxa"/>
            <w:hideMark/>
          </w:tcPr>
          <w:p w14:paraId="60239AD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50F840D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3871DC43" w14:textId="77777777" w:rsidTr="007C7407">
        <w:trPr>
          <w:cantSplit/>
          <w:trHeight w:val="750"/>
        </w:trPr>
        <w:tc>
          <w:tcPr>
            <w:tcW w:w="2581" w:type="dxa"/>
          </w:tcPr>
          <w:p w14:paraId="64A598F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tcPr>
          <w:p w14:paraId="3FEB142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against the previous reporting period. </w:t>
            </w:r>
          </w:p>
        </w:tc>
      </w:tr>
      <w:tr w:rsidR="00280F65" w:rsidRPr="00F03354" w14:paraId="437AF2DB" w14:textId="77777777" w:rsidTr="007C7407">
        <w:trPr>
          <w:cantSplit/>
          <w:trHeight w:val="60"/>
        </w:trPr>
        <w:tc>
          <w:tcPr>
            <w:tcW w:w="2581" w:type="dxa"/>
            <w:hideMark/>
          </w:tcPr>
          <w:p w14:paraId="031BCEF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hideMark/>
          </w:tcPr>
          <w:p w14:paraId="5CE0487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hospital level and is relevant to hospitals with an ICU.</w:t>
            </w:r>
          </w:p>
          <w:p w14:paraId="234858B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VICNISS collates and analyses data from health services and reports quarterly to participants and the department on aggregate, risk-adjusted infection rates.</w:t>
            </w:r>
          </w:p>
          <w:p w14:paraId="29815042" w14:textId="5A71A66C"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submitted to VICNISS</w:t>
            </w:r>
            <w:r w:rsidR="00222C11"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performance reported for the periods:</w:t>
            </w:r>
          </w:p>
          <w:p w14:paraId="60F0C8A5"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 xml:space="preserve">1 April to 30 June in quarter 1 </w:t>
            </w:r>
          </w:p>
          <w:p w14:paraId="104E4586"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2</w:t>
            </w:r>
          </w:p>
          <w:p w14:paraId="25CDE885"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3</w:t>
            </w:r>
          </w:p>
          <w:p w14:paraId="675DEAB0"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4.</w:t>
            </w:r>
          </w:p>
          <w:p w14:paraId="190160D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w:t>
            </w:r>
          </w:p>
          <w:p w14:paraId="64EDF2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reported is lagged by one quarter.</w:t>
            </w:r>
          </w:p>
          <w:p w14:paraId="178E270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Annual performance is based on full year lagged data.</w:t>
            </w:r>
          </w:p>
        </w:tc>
      </w:tr>
    </w:tbl>
    <w:p w14:paraId="5EC39CD0" w14:textId="77777777" w:rsidR="00280F65" w:rsidRPr="00F03354" w:rsidRDefault="00280F65" w:rsidP="00280F65">
      <w:pPr>
        <w:spacing w:after="120" w:line="270" w:lineRule="atLeast"/>
        <w:rPr>
          <w:rFonts w:ascii="VIC" w:eastAsia="Times" w:hAnsi="VIC" w:cs="Times New Roman"/>
          <w:b/>
          <w:bCs/>
          <w:sz w:val="20"/>
          <w:szCs w:val="20"/>
        </w:rPr>
      </w:pPr>
      <w:r w:rsidRPr="00F03354">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1"/>
        <w:gridCol w:w="3659"/>
        <w:gridCol w:w="3762"/>
      </w:tblGrid>
      <w:tr w:rsidR="00280F65" w:rsidRPr="00F03354" w14:paraId="2E4BDAAB" w14:textId="77777777" w:rsidTr="007C7407">
        <w:trPr>
          <w:cantSplit/>
          <w:trHeight w:val="60"/>
          <w:tblHeader/>
        </w:trPr>
        <w:tc>
          <w:tcPr>
            <w:tcW w:w="2531" w:type="dxa"/>
            <w:shd w:val="clear" w:color="auto" w:fill="244C5A"/>
            <w:vAlign w:val="bottom"/>
          </w:tcPr>
          <w:p w14:paraId="1163CEE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421" w:type="dxa"/>
            <w:gridSpan w:val="2"/>
            <w:shd w:val="clear" w:color="auto" w:fill="244C5A"/>
            <w:vAlign w:val="bottom"/>
          </w:tcPr>
          <w:p w14:paraId="3D061B23"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 xml:space="preserve">Rate of patients with </w:t>
            </w:r>
            <w:r w:rsidRPr="00F03354">
              <w:rPr>
                <w:rFonts w:ascii="VIC" w:eastAsia="Times New Roman" w:hAnsi="VIC" w:cs="Times New Roman"/>
                <w:bCs/>
                <w:i/>
                <w:color w:val="FFFFFF" w:themeColor="background1"/>
                <w:sz w:val="20"/>
                <w:szCs w:val="20"/>
              </w:rPr>
              <w:t>Staphylococcus aureus</w:t>
            </w:r>
            <w:r w:rsidRPr="00F03354">
              <w:rPr>
                <w:rFonts w:ascii="VIC" w:eastAsia="Times New Roman" w:hAnsi="VIC" w:cs="Times New Roman"/>
                <w:bCs/>
                <w:color w:val="FFFFFF" w:themeColor="background1"/>
                <w:sz w:val="20"/>
                <w:szCs w:val="20"/>
              </w:rPr>
              <w:t xml:space="preserve"> bacteraemia per occupied bed days</w:t>
            </w:r>
          </w:p>
        </w:tc>
      </w:tr>
      <w:tr w:rsidR="00280F65" w:rsidRPr="00F03354" w14:paraId="5553CE7F" w14:textId="77777777" w:rsidTr="007C7407">
        <w:trPr>
          <w:cantSplit/>
          <w:trHeight w:val="60"/>
        </w:trPr>
        <w:tc>
          <w:tcPr>
            <w:tcW w:w="2531" w:type="dxa"/>
            <w:hideMark/>
          </w:tcPr>
          <w:p w14:paraId="2F109A8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21" w:type="dxa"/>
            <w:gridSpan w:val="2"/>
            <w:hideMark/>
          </w:tcPr>
          <w:p w14:paraId="2B040C2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This surveillance measure aims to reduce the rate of health care associated </w:t>
            </w:r>
            <w:r w:rsidRPr="00F03354">
              <w:rPr>
                <w:rFonts w:ascii="VIC" w:eastAsia="Times New Roman" w:hAnsi="VIC" w:cs="Times New Roman"/>
                <w:i/>
                <w:sz w:val="20"/>
                <w:szCs w:val="20"/>
              </w:rPr>
              <w:t>Staphylococcus aureus</w:t>
            </w:r>
            <w:r w:rsidRPr="00F03354">
              <w:rPr>
                <w:rFonts w:ascii="VIC" w:eastAsia="Times New Roman" w:hAnsi="VIC" w:cs="Times New Roman"/>
                <w:sz w:val="20"/>
                <w:szCs w:val="20"/>
              </w:rPr>
              <w:t xml:space="preserve"> bacteraemia (SAB) for all patients admitted to a public hospital with a bacteraemia caused by either Methicillin-susceptible </w:t>
            </w:r>
            <w:r w:rsidRPr="00F03354">
              <w:rPr>
                <w:rFonts w:ascii="VIC" w:eastAsia="Times New Roman" w:hAnsi="VIC" w:cs="Times New Roman"/>
                <w:i/>
                <w:sz w:val="20"/>
                <w:szCs w:val="20"/>
              </w:rPr>
              <w:t>S. aureus</w:t>
            </w:r>
            <w:r w:rsidRPr="00F03354">
              <w:rPr>
                <w:rFonts w:ascii="VIC" w:eastAsia="Times New Roman" w:hAnsi="VIC" w:cs="Times New Roman"/>
                <w:sz w:val="20"/>
                <w:szCs w:val="20"/>
              </w:rPr>
              <w:t xml:space="preserve"> (MSSA) or Methicillin-resistant </w:t>
            </w:r>
            <w:r w:rsidRPr="00F03354">
              <w:rPr>
                <w:rFonts w:ascii="VIC" w:eastAsia="Times New Roman" w:hAnsi="VIC" w:cs="Times New Roman"/>
                <w:i/>
                <w:sz w:val="20"/>
                <w:szCs w:val="20"/>
              </w:rPr>
              <w:t>S. aureus</w:t>
            </w:r>
            <w:r w:rsidRPr="00F03354">
              <w:rPr>
                <w:rFonts w:ascii="VIC" w:eastAsia="Times New Roman" w:hAnsi="VIC" w:cs="Times New Roman"/>
                <w:sz w:val="20"/>
                <w:szCs w:val="20"/>
              </w:rPr>
              <w:t xml:space="preserve"> (MRSA).</w:t>
            </w:r>
          </w:p>
        </w:tc>
      </w:tr>
      <w:tr w:rsidR="00280F65" w:rsidRPr="00F03354" w14:paraId="6ADA00A2" w14:textId="77777777" w:rsidTr="007C7407">
        <w:trPr>
          <w:cantSplit/>
          <w:trHeight w:val="60"/>
        </w:trPr>
        <w:tc>
          <w:tcPr>
            <w:tcW w:w="2531" w:type="dxa"/>
            <w:hideMark/>
          </w:tcPr>
          <w:p w14:paraId="0B25C82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21" w:type="dxa"/>
            <w:gridSpan w:val="2"/>
            <w:hideMark/>
          </w:tcPr>
          <w:p w14:paraId="437CA78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 patient episode of bacteraemia is defined as a positive blood culture for </w:t>
            </w:r>
            <w:r w:rsidRPr="00F03354">
              <w:rPr>
                <w:rFonts w:ascii="VIC" w:eastAsia="Times New Roman" w:hAnsi="VIC" w:cs="Times New Roman"/>
                <w:i/>
                <w:sz w:val="20"/>
                <w:szCs w:val="20"/>
              </w:rPr>
              <w:t>S. aureus</w:t>
            </w:r>
            <w:r w:rsidRPr="00F03354">
              <w:rPr>
                <w:rFonts w:ascii="VIC" w:eastAsia="Times New Roman" w:hAnsi="VIC" w:cs="Times New Roman"/>
                <w:sz w:val="20"/>
                <w:szCs w:val="20"/>
              </w:rPr>
              <w:t>. For surveillance purposes, only the first isolate per patient is counted, unless at least 14 days has passed without a positive blood culture, after which an additional episode is recorded.</w:t>
            </w:r>
          </w:p>
          <w:p w14:paraId="2034EA8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SAB will be considered to be healthcare-associated either if:</w:t>
            </w:r>
          </w:p>
          <w:p w14:paraId="2916CF48" w14:textId="550A5221" w:rsidR="00280F65" w:rsidRPr="00F03354" w:rsidRDefault="00280F65" w:rsidP="00184FC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patient’s first SAB blood culture was collected more than 48 hours after hospital admission or less than 48 hours after discharge, or</w:t>
            </w:r>
          </w:p>
          <w:p w14:paraId="6B1ACF80" w14:textId="77777777"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patient’s first SAB blood culture was collected less than or equal to 48 hours after hospital admission and one or more of the defined clinical criteria was met for the patient episode of SAB.</w:t>
            </w:r>
          </w:p>
          <w:p w14:paraId="7E97533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Occupied bed days are defined as the total number of days for all patients who were admitted for an episode of care in the acute health facility, including psychiatric bed days.</w:t>
            </w:r>
          </w:p>
          <w:p w14:paraId="0E61412D" w14:textId="120183F1"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Further information on the SAB definition can be found at </w:t>
            </w:r>
            <w:hyperlink r:id="rId16" w:history="1">
              <w:r w:rsidRPr="00F03354">
                <w:rPr>
                  <w:rFonts w:ascii="VIC" w:eastAsia="Times New Roman" w:hAnsi="VIC" w:cs="Times New Roman"/>
                  <w:color w:val="3366FF"/>
                  <w:sz w:val="20"/>
                  <w:szCs w:val="20"/>
                  <w:u w:val="dotted"/>
                </w:rPr>
                <w:t>VICNISS</w:t>
              </w:r>
            </w:hyperlink>
            <w:r w:rsidRPr="00F03354">
              <w:rPr>
                <w:rFonts w:ascii="VIC" w:eastAsia="Times New Roman" w:hAnsi="VIC" w:cs="Times New Roman"/>
                <w:color w:val="3366FF"/>
                <w:sz w:val="20"/>
                <w:szCs w:val="20"/>
                <w:u w:val="dotted"/>
              </w:rPr>
              <w:t xml:space="preserve"> </w:t>
            </w:r>
            <w:r w:rsidRPr="00F03354">
              <w:rPr>
                <w:rFonts w:ascii="VIC" w:eastAsia="Times New Roman" w:hAnsi="VIC" w:cs="Times New Roman"/>
                <w:sz w:val="20"/>
                <w:szCs w:val="20"/>
              </w:rPr>
              <w:t>&lt;http://www.vicniss.org.au&gt;.</w:t>
            </w:r>
          </w:p>
          <w:p w14:paraId="440E121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the rate of infections per 10,000 occupied bed days. This indicator is expressed as a rate and rounded to one decimal place (0.05 is rounded down).</w:t>
            </w:r>
          </w:p>
        </w:tc>
      </w:tr>
      <w:tr w:rsidR="00280F65" w:rsidRPr="00F03354" w14:paraId="074D3212" w14:textId="77777777" w:rsidTr="007C7407">
        <w:trPr>
          <w:cantSplit/>
          <w:trHeight w:val="60"/>
        </w:trPr>
        <w:tc>
          <w:tcPr>
            <w:tcW w:w="2531" w:type="dxa"/>
            <w:hideMark/>
          </w:tcPr>
          <w:p w14:paraId="48572AB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21" w:type="dxa"/>
            <w:gridSpan w:val="2"/>
            <w:hideMark/>
          </w:tcPr>
          <w:p w14:paraId="530F26B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Healthcare-associated SAB patient episodes </w:t>
            </w:r>
          </w:p>
        </w:tc>
      </w:tr>
      <w:tr w:rsidR="00280F65" w:rsidRPr="00F03354" w14:paraId="677D11B3" w14:textId="77777777" w:rsidTr="007C7407">
        <w:trPr>
          <w:cantSplit/>
          <w:trHeight w:val="60"/>
        </w:trPr>
        <w:tc>
          <w:tcPr>
            <w:tcW w:w="2531" w:type="dxa"/>
            <w:hideMark/>
          </w:tcPr>
          <w:p w14:paraId="37868C1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421" w:type="dxa"/>
            <w:gridSpan w:val="2"/>
            <w:hideMark/>
          </w:tcPr>
          <w:p w14:paraId="3FBA41D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Number of occupied bed days for health services </w:t>
            </w:r>
          </w:p>
        </w:tc>
      </w:tr>
      <w:tr w:rsidR="00280F65" w:rsidRPr="00F03354" w14:paraId="48A4A193" w14:textId="77777777" w:rsidTr="007C7407">
        <w:trPr>
          <w:cantSplit/>
          <w:trHeight w:val="60"/>
        </w:trPr>
        <w:tc>
          <w:tcPr>
            <w:tcW w:w="2531" w:type="dxa"/>
            <w:hideMark/>
          </w:tcPr>
          <w:p w14:paraId="441CE12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21" w:type="dxa"/>
            <w:gridSpan w:val="2"/>
            <w:hideMark/>
          </w:tcPr>
          <w:p w14:paraId="22F5BEC7" w14:textId="7CA1C5C9"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 </w:t>
            </w:r>
            <w:r w:rsidR="00721921" w:rsidRPr="00F03354">
              <w:rPr>
                <w:rFonts w:ascii="VIC" w:eastAsia="Times New Roman" w:hAnsi="VIC" w:cs="Times New Roman"/>
                <w:sz w:val="20"/>
                <w:szCs w:val="20"/>
              </w:rPr>
              <w:t>0.7</w:t>
            </w:r>
            <w:r w:rsidRPr="00F03354">
              <w:rPr>
                <w:rFonts w:ascii="VIC" w:eastAsia="Times New Roman" w:hAnsi="VIC" w:cs="Times New Roman"/>
                <w:sz w:val="20"/>
                <w:szCs w:val="20"/>
              </w:rPr>
              <w:t xml:space="preserve"> </w:t>
            </w:r>
          </w:p>
        </w:tc>
      </w:tr>
      <w:tr w:rsidR="00280F65" w:rsidRPr="00F03354" w14:paraId="7EDB7DE7" w14:textId="77777777" w:rsidTr="007C7407">
        <w:trPr>
          <w:cantSplit/>
          <w:trHeight w:val="60"/>
        </w:trPr>
        <w:tc>
          <w:tcPr>
            <w:tcW w:w="2531" w:type="dxa"/>
            <w:vMerge w:val="restart"/>
            <w:hideMark/>
          </w:tcPr>
          <w:p w14:paraId="6ED7509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659" w:type="dxa"/>
            <w:hideMark/>
          </w:tcPr>
          <w:p w14:paraId="553C19BB" w14:textId="1F0DB17F"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Equal to or below </w:t>
            </w:r>
            <w:r w:rsidR="00721921" w:rsidRPr="00F03354">
              <w:rPr>
                <w:rFonts w:ascii="VIC" w:eastAsia="Times New Roman" w:hAnsi="VIC" w:cs="Times New Roman"/>
                <w:sz w:val="20"/>
                <w:szCs w:val="20"/>
              </w:rPr>
              <w:t>0.7</w:t>
            </w:r>
            <w:r w:rsidRPr="00F03354">
              <w:rPr>
                <w:rFonts w:ascii="VIC" w:eastAsia="Times New Roman" w:hAnsi="VIC" w:cs="Times New Roman"/>
                <w:sz w:val="20"/>
                <w:szCs w:val="20"/>
              </w:rPr>
              <w:t xml:space="preserve"> </w:t>
            </w:r>
          </w:p>
        </w:tc>
        <w:tc>
          <w:tcPr>
            <w:tcW w:w="3762" w:type="dxa"/>
            <w:hideMark/>
          </w:tcPr>
          <w:p w14:paraId="7DB40973"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0C6A24F0" w14:textId="77777777" w:rsidTr="007C7407">
        <w:trPr>
          <w:cantSplit/>
          <w:trHeight w:val="60"/>
        </w:trPr>
        <w:tc>
          <w:tcPr>
            <w:tcW w:w="2531" w:type="dxa"/>
            <w:vMerge/>
          </w:tcPr>
          <w:p w14:paraId="457A144F" w14:textId="77777777" w:rsidR="00280F65" w:rsidRPr="00F03354" w:rsidRDefault="00280F65" w:rsidP="00280F65">
            <w:pPr>
              <w:spacing w:before="80" w:after="60" w:line="240" w:lineRule="auto"/>
              <w:rPr>
                <w:rFonts w:ascii="VIC" w:eastAsia="Times New Roman" w:hAnsi="VIC" w:cs="Times New Roman"/>
                <w:sz w:val="20"/>
                <w:szCs w:val="20"/>
                <w:lang w:val="en-US"/>
              </w:rPr>
            </w:pPr>
          </w:p>
        </w:tc>
        <w:tc>
          <w:tcPr>
            <w:tcW w:w="3659" w:type="dxa"/>
            <w:hideMark/>
          </w:tcPr>
          <w:p w14:paraId="7769EB3E" w14:textId="01665BF1"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Greater than </w:t>
            </w:r>
            <w:r w:rsidR="00721921" w:rsidRPr="00F03354">
              <w:rPr>
                <w:rFonts w:ascii="VIC" w:eastAsia="Times New Roman" w:hAnsi="VIC" w:cs="Times New Roman"/>
                <w:sz w:val="20"/>
                <w:szCs w:val="20"/>
              </w:rPr>
              <w:t>0.7</w:t>
            </w:r>
            <w:r w:rsidRPr="00F03354">
              <w:rPr>
                <w:rFonts w:ascii="VIC" w:eastAsia="Times New Roman" w:hAnsi="VIC" w:cs="Times New Roman"/>
                <w:sz w:val="20"/>
                <w:szCs w:val="20"/>
              </w:rPr>
              <w:t xml:space="preserve"> </w:t>
            </w:r>
          </w:p>
        </w:tc>
        <w:tc>
          <w:tcPr>
            <w:tcW w:w="3762" w:type="dxa"/>
            <w:hideMark/>
          </w:tcPr>
          <w:p w14:paraId="3572B3D8"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6EE4E8C4" w14:textId="77777777" w:rsidTr="007C7407">
        <w:trPr>
          <w:cantSplit/>
          <w:trHeight w:val="60"/>
        </w:trPr>
        <w:tc>
          <w:tcPr>
            <w:tcW w:w="2531" w:type="dxa"/>
          </w:tcPr>
          <w:p w14:paraId="5F17B8E4"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Improvement</w:t>
            </w:r>
          </w:p>
        </w:tc>
        <w:tc>
          <w:tcPr>
            <w:tcW w:w="7421" w:type="dxa"/>
            <w:gridSpan w:val="2"/>
          </w:tcPr>
          <w:p w14:paraId="2C1CFB6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assessed against the previous quarter performance.</w:t>
            </w:r>
          </w:p>
        </w:tc>
      </w:tr>
      <w:tr w:rsidR="00280F65" w:rsidRPr="00F03354" w14:paraId="79A4DB2C" w14:textId="77777777" w:rsidTr="007C7407">
        <w:trPr>
          <w:cantSplit/>
          <w:trHeight w:val="375"/>
        </w:trPr>
        <w:tc>
          <w:tcPr>
            <w:tcW w:w="2531" w:type="dxa"/>
            <w:hideMark/>
          </w:tcPr>
          <w:p w14:paraId="5EC2A54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421" w:type="dxa"/>
            <w:gridSpan w:val="2"/>
            <w:hideMark/>
          </w:tcPr>
          <w:p w14:paraId="6C4C962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VICNISS collects and analyses data from health services and reports quarterly to participants and the department.</w:t>
            </w:r>
          </w:p>
          <w:p w14:paraId="5129107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Reporting periods are:</w:t>
            </w:r>
          </w:p>
          <w:p w14:paraId="2F6964FF"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 xml:space="preserve">1 April to 30 June reported in quarter 1 </w:t>
            </w:r>
          </w:p>
          <w:p w14:paraId="79545437"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2</w:t>
            </w:r>
          </w:p>
          <w:p w14:paraId="332FAA0F"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3</w:t>
            </w:r>
          </w:p>
          <w:p w14:paraId="469BC077"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4.</w:t>
            </w:r>
          </w:p>
          <w:p w14:paraId="603365D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health service level.</w:t>
            </w:r>
          </w:p>
          <w:p w14:paraId="2ED7471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Where a health service has multiple campuses, an aggregate for the health service result is produced.</w:t>
            </w:r>
          </w:p>
          <w:p w14:paraId="13D02B7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reported is lagged by one quarter.</w:t>
            </w:r>
          </w:p>
          <w:p w14:paraId="341FEE0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w:t>
            </w:r>
          </w:p>
          <w:p w14:paraId="47FAC00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result is generated annually based on full year lagged data.</w:t>
            </w:r>
          </w:p>
        </w:tc>
      </w:tr>
    </w:tbl>
    <w:p w14:paraId="77E6C27D" w14:textId="77777777" w:rsidR="00280F65" w:rsidRPr="00F03354" w:rsidRDefault="00280F65" w:rsidP="00280F65">
      <w:pPr>
        <w:spacing w:after="300" w:line="300" w:lineRule="atLeast"/>
        <w:rPr>
          <w:rFonts w:ascii="VIC" w:eastAsia="Times" w:hAnsi="VIC" w:cs="Times New Roman"/>
          <w:sz w:val="20"/>
          <w:szCs w:val="20"/>
        </w:rPr>
      </w:pPr>
    </w:p>
    <w:p w14:paraId="6AC0255A" w14:textId="77777777" w:rsidR="00280F65" w:rsidRPr="00F03354" w:rsidRDefault="00280F65" w:rsidP="00280F65">
      <w:pPr>
        <w:keepNext/>
        <w:keepLines/>
        <w:spacing w:before="240" w:after="120" w:line="280" w:lineRule="atLeast"/>
        <w:outlineLvl w:val="3"/>
        <w:rPr>
          <w:rFonts w:ascii="VIC" w:eastAsia="MS Mincho" w:hAnsi="VIC" w:cs="Arial"/>
          <w:b/>
          <w:bCs/>
          <w:color w:val="244C5A"/>
          <w:sz w:val="20"/>
          <w:szCs w:val="20"/>
        </w:rPr>
      </w:pPr>
      <w:r w:rsidRPr="00F03354">
        <w:rPr>
          <w:rFonts w:ascii="VIC" w:eastAsia="MS Mincho" w:hAnsi="VIC" w:cs="Arial"/>
          <w:b/>
          <w:bCs/>
          <w:color w:val="244C5A"/>
          <w:sz w:val="20"/>
          <w:szCs w:val="20"/>
        </w:rPr>
        <w:t>Adverse events</w:t>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3359"/>
        <w:gridCol w:w="4012"/>
      </w:tblGrid>
      <w:tr w:rsidR="00280F65" w:rsidRPr="00F03354" w14:paraId="3314C773" w14:textId="77777777" w:rsidTr="007C7407">
        <w:trPr>
          <w:cantSplit/>
          <w:trHeight w:val="60"/>
          <w:tblHeader/>
        </w:trPr>
        <w:tc>
          <w:tcPr>
            <w:tcW w:w="2581" w:type="dxa"/>
            <w:shd w:val="clear" w:color="auto" w:fill="244C5A"/>
          </w:tcPr>
          <w:p w14:paraId="6865D5E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371" w:type="dxa"/>
            <w:gridSpan w:val="2"/>
            <w:shd w:val="clear" w:color="auto" w:fill="244C5A"/>
          </w:tcPr>
          <w:p w14:paraId="25CC8B9D" w14:textId="379E44C1"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Sentinel events –reporting</w:t>
            </w:r>
          </w:p>
        </w:tc>
      </w:tr>
      <w:tr w:rsidR="00280F65" w:rsidRPr="00F03354" w14:paraId="240CDFBE" w14:textId="77777777" w:rsidTr="007C7407">
        <w:trPr>
          <w:cantSplit/>
          <w:trHeight w:val="60"/>
        </w:trPr>
        <w:tc>
          <w:tcPr>
            <w:tcW w:w="2581" w:type="dxa"/>
            <w:hideMark/>
          </w:tcPr>
          <w:p w14:paraId="3F34503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gridSpan w:val="2"/>
            <w:hideMark/>
          </w:tcPr>
          <w:p w14:paraId="54F5DB64" w14:textId="1CF73959"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Sentinel events are serious and unexpected adverse</w:t>
            </w:r>
            <w:r w:rsidR="00FE2B0E" w:rsidRPr="00F03354">
              <w:rPr>
                <w:rFonts w:ascii="VIC" w:eastAsia="Times New Roman" w:hAnsi="VIC" w:cs="Times New Roman"/>
                <w:sz w:val="20"/>
                <w:szCs w:val="20"/>
              </w:rPr>
              <w:t xml:space="preserve"> patient</w:t>
            </w:r>
            <w:r w:rsidR="00E96149" w:rsidRPr="00F03354">
              <w:rPr>
                <w:rFonts w:ascii="VIC" w:eastAsia="Times New Roman" w:hAnsi="VIC" w:cs="Times New Roman"/>
                <w:sz w:val="20"/>
                <w:szCs w:val="20"/>
              </w:rPr>
              <w:t xml:space="preserve"> </w:t>
            </w:r>
            <w:r w:rsidR="00843817" w:rsidRPr="00F03354">
              <w:rPr>
                <w:rFonts w:ascii="VIC" w:eastAsia="Times New Roman" w:hAnsi="VIC" w:cs="Times New Roman"/>
                <w:sz w:val="20"/>
                <w:szCs w:val="20"/>
              </w:rPr>
              <w:t>safety</w:t>
            </w:r>
            <w:r w:rsidRPr="00F03354">
              <w:rPr>
                <w:rFonts w:ascii="VIC" w:eastAsia="Times New Roman" w:hAnsi="VIC" w:cs="Times New Roman"/>
                <w:sz w:val="20"/>
                <w:szCs w:val="20"/>
              </w:rPr>
              <w:t xml:space="preserve"> events that often result in significant or permanent harm or death.</w:t>
            </w:r>
          </w:p>
          <w:p w14:paraId="76EE78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a trigger for discussion regarding quality, safety and improvement in health services, as well as compliance with mandatory reporting of sentinel events.</w:t>
            </w:r>
          </w:p>
          <w:p w14:paraId="359FF24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sentinel event program aims to improve health service system design and delivery through shared learning from a defined range of serious adverse events (sentinel events).</w:t>
            </w:r>
          </w:p>
          <w:p w14:paraId="541E83F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Increasing numbers of sentinel events are concerning particularly in the context of other safety and quality risks. Too low numbers may be a sign of an under-reporting culture. Of most importance is the timeliness of the response and effectiveness of the action taken to prevent re-occurrence.</w:t>
            </w:r>
          </w:p>
          <w:p w14:paraId="31B912A4" w14:textId="3D719F64"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SCV coordinates the sentinel event program for Victoria. </w:t>
            </w:r>
            <w:r w:rsidR="00F07D78" w:rsidRPr="00F03354">
              <w:rPr>
                <w:rFonts w:ascii="VIC" w:eastAsia="Times New Roman" w:hAnsi="VIC" w:cs="Times New Roman"/>
                <w:sz w:val="20"/>
                <w:szCs w:val="20"/>
              </w:rPr>
              <w:t>All public and private h</w:t>
            </w:r>
            <w:r w:rsidRPr="00F03354">
              <w:rPr>
                <w:rFonts w:ascii="VIC" w:eastAsia="Times New Roman" w:hAnsi="VIC" w:cs="Times New Roman"/>
                <w:sz w:val="20"/>
                <w:szCs w:val="20"/>
              </w:rPr>
              <w:t>ealth services are required to notify SCV within 3 business days of becoming aware of a sentinel and provide a report outlining a plan to prevent recurrence. A copy of the</w:t>
            </w:r>
            <w:r w:rsidR="00F07D78" w:rsidRPr="00F03354">
              <w:rPr>
                <w:rFonts w:ascii="VIC" w:eastAsia="Times New Roman" w:hAnsi="VIC" w:cs="Times New Roman"/>
                <w:sz w:val="20"/>
                <w:szCs w:val="20"/>
              </w:rPr>
              <w:t xml:space="preserve"> sentinel event</w:t>
            </w:r>
            <w:r w:rsidRPr="00F03354">
              <w:rPr>
                <w:rFonts w:ascii="VIC" w:eastAsia="Times New Roman" w:hAnsi="VIC" w:cs="Times New Roman"/>
                <w:sz w:val="20"/>
                <w:szCs w:val="20"/>
              </w:rPr>
              <w:t xml:space="preserve"> report must be submitted to SCV within 30 business days of the notification. </w:t>
            </w:r>
          </w:p>
        </w:tc>
      </w:tr>
      <w:tr w:rsidR="00280F65" w:rsidRPr="00F03354" w14:paraId="47FFABC9" w14:textId="77777777" w:rsidTr="007C7407">
        <w:trPr>
          <w:cantSplit/>
          <w:trHeight w:val="60"/>
        </w:trPr>
        <w:tc>
          <w:tcPr>
            <w:tcW w:w="2581" w:type="dxa"/>
            <w:hideMark/>
          </w:tcPr>
          <w:p w14:paraId="1CF03E6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Calculating performance</w:t>
            </w:r>
          </w:p>
        </w:tc>
        <w:tc>
          <w:tcPr>
            <w:tcW w:w="7371" w:type="dxa"/>
            <w:gridSpan w:val="2"/>
            <w:hideMark/>
          </w:tcPr>
          <w:p w14:paraId="47971970" w14:textId="54F7B609"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This measure captures numbers of </w:t>
            </w:r>
            <w:r w:rsidR="000E00F2" w:rsidRPr="00F03354">
              <w:rPr>
                <w:rFonts w:ascii="VIC" w:eastAsia="Times New Roman" w:hAnsi="VIC" w:cs="Times New Roman"/>
                <w:sz w:val="20"/>
                <w:szCs w:val="20"/>
              </w:rPr>
              <w:t xml:space="preserve">notifiable </w:t>
            </w:r>
            <w:r w:rsidRPr="00F03354">
              <w:rPr>
                <w:rFonts w:ascii="VIC" w:eastAsia="Times New Roman" w:hAnsi="VIC" w:cs="Times New Roman"/>
                <w:sz w:val="20"/>
                <w:szCs w:val="20"/>
              </w:rPr>
              <w:t>sentinel events for which a</w:t>
            </w:r>
            <w:r w:rsidR="00102CB0" w:rsidRPr="00F03354">
              <w:rPr>
                <w:rFonts w:ascii="VIC" w:eastAsia="Times New Roman" w:hAnsi="VIC" w:cs="Times New Roman"/>
                <w:sz w:val="20"/>
                <w:szCs w:val="20"/>
              </w:rPr>
              <w:t xml:space="preserve"> sentinel event report</w:t>
            </w:r>
            <w:r w:rsidRPr="00F03354">
              <w:rPr>
                <w:rFonts w:ascii="VIC" w:eastAsia="Times New Roman" w:hAnsi="VIC" w:cs="Times New Roman"/>
                <w:sz w:val="20"/>
                <w:szCs w:val="20"/>
              </w:rPr>
              <w:t xml:space="preserve"> is submitted within 30 business days* from notification of the event to SCV.</w:t>
            </w:r>
          </w:p>
          <w:p w14:paraId="0AB7A89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Reportable sentinel events must meet one of the following specific criteria:</w:t>
            </w:r>
          </w:p>
          <w:p w14:paraId="36A94504" w14:textId="77777777"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Surgery or other invasive procedure performed on the wrong site resulting in serious harm or death</w:t>
            </w:r>
          </w:p>
          <w:p w14:paraId="16C97622" w14:textId="77777777"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Surgery or other invasive procedure performed on the wrong patient resulting in serious harm or death</w:t>
            </w:r>
          </w:p>
          <w:p w14:paraId="49C5BB5C" w14:textId="77777777"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Wrong surgical or other invasive procedure performed on a patient resulting in serious harm or death</w:t>
            </w:r>
          </w:p>
          <w:p w14:paraId="41B19D6D" w14:textId="77777777"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Unintended retention of a foreign object in a patient after surgery or other invasive procedure resulting in serious harm or death</w:t>
            </w:r>
          </w:p>
          <w:p w14:paraId="55F132BE" w14:textId="77777777"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Haemolytic blood transfusion reaction resulting from ABO incompatibility resulting in serious harm or death</w:t>
            </w:r>
          </w:p>
          <w:p w14:paraId="21347C31" w14:textId="77777777"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Suspected suicide of a patient in an acute psychiatric unit or acute psychiatric ward</w:t>
            </w:r>
          </w:p>
          <w:p w14:paraId="758D1D1E" w14:textId="77777777"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Medication error resulting in serious harm or death</w:t>
            </w:r>
          </w:p>
          <w:p w14:paraId="41A30661" w14:textId="77777777"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Use of physical or mechanical restraint resulting in serious harm or death</w:t>
            </w:r>
          </w:p>
          <w:p w14:paraId="26388218" w14:textId="77777777"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Discharge or release of an infant or child to an unauthorised person</w:t>
            </w:r>
          </w:p>
          <w:p w14:paraId="60E397CD" w14:textId="6111FE04" w:rsidR="002C3ABC" w:rsidRPr="00F03354" w:rsidRDefault="002C3ABC" w:rsidP="00A145E3">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Use of an incorrectly positioned </w:t>
            </w:r>
            <w:r w:rsidR="00152E33" w:rsidRPr="00F03354">
              <w:rPr>
                <w:rFonts w:ascii="VIC" w:eastAsia="Times New Roman" w:hAnsi="VIC" w:cs="Times New Roman"/>
                <w:sz w:val="20"/>
                <w:szCs w:val="20"/>
              </w:rPr>
              <w:t>O</w:t>
            </w:r>
            <w:r w:rsidRPr="00F03354">
              <w:rPr>
                <w:rFonts w:ascii="VIC" w:eastAsia="Times New Roman" w:hAnsi="VIC" w:cs="Times New Roman"/>
                <w:sz w:val="20"/>
                <w:szCs w:val="20"/>
              </w:rPr>
              <w:t xml:space="preserve">ro- or </w:t>
            </w:r>
            <w:r w:rsidR="00152E33" w:rsidRPr="00F03354">
              <w:rPr>
                <w:rFonts w:ascii="VIC" w:eastAsia="Times New Roman" w:hAnsi="VIC" w:cs="Times New Roman"/>
                <w:sz w:val="20"/>
                <w:szCs w:val="20"/>
              </w:rPr>
              <w:t>N</w:t>
            </w:r>
            <w:r w:rsidRPr="00F03354">
              <w:rPr>
                <w:rFonts w:ascii="VIC" w:eastAsia="Times New Roman" w:hAnsi="VIC" w:cs="Times New Roman"/>
                <w:sz w:val="20"/>
                <w:szCs w:val="20"/>
              </w:rPr>
              <w:t>aso- gastric tube resulting in serious harm or death</w:t>
            </w:r>
          </w:p>
          <w:p w14:paraId="420F8FCA" w14:textId="48F31E36" w:rsidR="002C3ABC" w:rsidRPr="00F03354" w:rsidRDefault="002C3ABC" w:rsidP="00FA3AB8">
            <w:pPr>
              <w:pStyle w:val="ListParagraph"/>
              <w:numPr>
                <w:ilvl w:val="0"/>
                <w:numId w:val="4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other adverse patient safety events resulting in serious harm or death</w:t>
            </w:r>
            <w:r w:rsidR="008E162A" w:rsidRPr="00F03354">
              <w:rPr>
                <w:rFonts w:ascii="VIC" w:eastAsia="Times New Roman" w:hAnsi="VIC" w:cs="Times New Roman"/>
                <w:sz w:val="20"/>
                <w:szCs w:val="20"/>
              </w:rPr>
              <w:t>, including:</w:t>
            </w:r>
          </w:p>
          <w:p w14:paraId="33FE3804" w14:textId="77777777" w:rsidR="008E162A"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Clinical process or procedure</w:t>
            </w:r>
          </w:p>
          <w:p w14:paraId="3AB7CCF1" w14:textId="77777777" w:rsidR="008E162A"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Falls</w:t>
            </w:r>
          </w:p>
          <w:p w14:paraId="383E0B13" w14:textId="77777777" w:rsidR="008E162A"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Deteriorating patients</w:t>
            </w:r>
          </w:p>
          <w:p w14:paraId="3F3BA35B" w14:textId="77777777" w:rsidR="008E162A"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Self-harm (behaviour)</w:t>
            </w:r>
          </w:p>
          <w:p w14:paraId="6DF6B086" w14:textId="77777777" w:rsidR="008E162A"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Communication of clinical information</w:t>
            </w:r>
          </w:p>
          <w:p w14:paraId="2BDEF60C" w14:textId="77777777" w:rsidR="008E162A"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Medical device or equipment</w:t>
            </w:r>
          </w:p>
          <w:p w14:paraId="2391FD75" w14:textId="77777777" w:rsidR="008E162A"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Nutrition</w:t>
            </w:r>
          </w:p>
          <w:p w14:paraId="32B535D7" w14:textId="77777777" w:rsidR="008E162A"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Resource or organisational management</w:t>
            </w:r>
          </w:p>
          <w:p w14:paraId="6CDF45C1" w14:textId="77777777" w:rsidR="008E162A"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Healthcare associated infection</w:t>
            </w:r>
          </w:p>
          <w:p w14:paraId="69F7DB9A" w14:textId="4C83F659" w:rsidR="00FA3AB8" w:rsidRPr="00F03354" w:rsidRDefault="008E162A" w:rsidP="00A145E3">
            <w:pPr>
              <w:pStyle w:val="ListParagraph"/>
              <w:numPr>
                <w:ilvl w:val="0"/>
                <w:numId w:val="4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Patient accidents.</w:t>
            </w:r>
          </w:p>
          <w:p w14:paraId="215E84F4" w14:textId="5D2FE744"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Further details on the sentinel events program</w:t>
            </w:r>
            <w:r w:rsidR="000B0DB6" w:rsidRPr="00F03354">
              <w:rPr>
                <w:rFonts w:ascii="VIC" w:eastAsia="Times New Roman" w:hAnsi="VIC" w:cs="Times New Roman"/>
                <w:sz w:val="20"/>
                <w:szCs w:val="20"/>
              </w:rPr>
              <w:t>,</w:t>
            </w:r>
            <w:r w:rsidRPr="00F03354">
              <w:rPr>
                <w:rFonts w:ascii="VIC" w:eastAsia="Times New Roman" w:hAnsi="VIC" w:cs="Times New Roman"/>
                <w:sz w:val="20"/>
                <w:szCs w:val="20"/>
              </w:rPr>
              <w:t xml:space="preserve"> including reporting requirements is outlined &lt;</w:t>
            </w:r>
            <w:r w:rsidR="007154F5" w:rsidRPr="00F03354" w:rsidDel="007154F5">
              <w:rPr>
                <w:rFonts w:ascii="VIC" w:eastAsia="Times New Roman" w:hAnsi="VIC" w:cs="Times New Roman"/>
                <w:sz w:val="20"/>
                <w:szCs w:val="20"/>
              </w:rPr>
              <w:t xml:space="preserve"> </w:t>
            </w:r>
            <w:r w:rsidRPr="00F03354" w:rsidDel="007154F5">
              <w:rPr>
                <w:rFonts w:ascii="VIC" w:eastAsia="Times New Roman" w:hAnsi="VIC" w:cs="Times New Roman"/>
                <w:sz w:val="20"/>
                <w:szCs w:val="20"/>
              </w:rPr>
              <w:t>https://</w:t>
            </w:r>
            <w:r w:rsidR="00522713" w:rsidRPr="00F03354">
              <w:rPr>
                <w:rFonts w:ascii="VIC" w:eastAsia="Times New Roman" w:hAnsi="VIC" w:cs="Times New Roman"/>
                <w:sz w:val="20"/>
                <w:szCs w:val="20"/>
              </w:rPr>
              <w:t>www.safercare.vic.gov.au/notify-us/sentinel-events</w:t>
            </w:r>
            <w:r w:rsidRPr="00F03354">
              <w:rPr>
                <w:rFonts w:ascii="VIC" w:eastAsia="Times New Roman" w:hAnsi="VIC" w:cs="Times New Roman"/>
                <w:sz w:val="20"/>
                <w:szCs w:val="20"/>
              </w:rPr>
              <w:t>&gt;</w:t>
            </w:r>
          </w:p>
          <w:p w14:paraId="421F5B5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Under special circumstances an extension beyond the 30 business days may be provided by SCV. In these instances, this measure will be assessed against the new agreed submission date.</w:t>
            </w:r>
          </w:p>
        </w:tc>
      </w:tr>
      <w:tr w:rsidR="00280F65" w:rsidRPr="00F03354" w14:paraId="3970989E" w14:textId="77777777" w:rsidTr="007C7407">
        <w:trPr>
          <w:cantSplit/>
          <w:trHeight w:val="60"/>
        </w:trPr>
        <w:tc>
          <w:tcPr>
            <w:tcW w:w="2581" w:type="dxa"/>
            <w:hideMark/>
          </w:tcPr>
          <w:p w14:paraId="366E2B0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Statewide target </w:t>
            </w:r>
          </w:p>
        </w:tc>
        <w:tc>
          <w:tcPr>
            <w:tcW w:w="7371" w:type="dxa"/>
            <w:gridSpan w:val="2"/>
            <w:hideMark/>
          </w:tcPr>
          <w:p w14:paraId="3B76037D" w14:textId="11C7FC24"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w:t>
            </w:r>
            <w:r w:rsidRPr="00F03354" w:rsidDel="00272C95">
              <w:rPr>
                <w:rFonts w:ascii="VIC" w:eastAsia="Times New Roman" w:hAnsi="VIC" w:cs="Times New Roman"/>
                <w:sz w:val="20"/>
                <w:szCs w:val="20"/>
              </w:rPr>
              <w:t xml:space="preserve"> </w:t>
            </w:r>
            <w:r w:rsidR="00272C95" w:rsidRPr="00F03354">
              <w:rPr>
                <w:rFonts w:ascii="VIC" w:eastAsia="Times New Roman" w:hAnsi="VIC" w:cs="Times New Roman"/>
                <w:sz w:val="20"/>
                <w:szCs w:val="20"/>
              </w:rPr>
              <w:t xml:space="preserve">sentinel event </w:t>
            </w:r>
            <w:r w:rsidRPr="00F03354">
              <w:rPr>
                <w:rFonts w:ascii="VIC" w:eastAsia="Times New Roman" w:hAnsi="VIC" w:cs="Times New Roman"/>
                <w:sz w:val="20"/>
                <w:szCs w:val="20"/>
              </w:rPr>
              <w:t>reports submitted within a 30-business day timeframe</w:t>
            </w:r>
          </w:p>
        </w:tc>
      </w:tr>
      <w:tr w:rsidR="00280F65" w:rsidRPr="00F03354" w14:paraId="3A024446" w14:textId="77777777" w:rsidTr="007C7407">
        <w:trPr>
          <w:cantSplit/>
          <w:trHeight w:val="236"/>
        </w:trPr>
        <w:tc>
          <w:tcPr>
            <w:tcW w:w="2581" w:type="dxa"/>
            <w:vMerge w:val="restart"/>
            <w:hideMark/>
          </w:tcPr>
          <w:p w14:paraId="2F9BC6C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359" w:type="dxa"/>
            <w:hideMark/>
          </w:tcPr>
          <w:p w14:paraId="0626ABC6" w14:textId="40209BCA"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w:t>
            </w:r>
            <w:r w:rsidRPr="00F03354" w:rsidDel="00272C95">
              <w:rPr>
                <w:rFonts w:ascii="VIC" w:eastAsia="Times New Roman" w:hAnsi="VIC" w:cs="Times New Roman"/>
                <w:sz w:val="20"/>
                <w:szCs w:val="20"/>
              </w:rPr>
              <w:t xml:space="preserve"> </w:t>
            </w:r>
            <w:r w:rsidR="00272C95" w:rsidRPr="00F03354">
              <w:rPr>
                <w:rFonts w:ascii="VIC" w:eastAsia="Times New Roman" w:hAnsi="VIC" w:cs="Times New Roman"/>
                <w:sz w:val="20"/>
                <w:szCs w:val="20"/>
              </w:rPr>
              <w:t xml:space="preserve">sentinel event </w:t>
            </w:r>
            <w:r w:rsidRPr="00F03354">
              <w:rPr>
                <w:rFonts w:ascii="VIC" w:eastAsia="Times New Roman" w:hAnsi="VIC" w:cs="Times New Roman"/>
                <w:sz w:val="20"/>
                <w:szCs w:val="20"/>
              </w:rPr>
              <w:t xml:space="preserve">reports submitted within 30 business days* </w:t>
            </w:r>
          </w:p>
        </w:tc>
        <w:tc>
          <w:tcPr>
            <w:tcW w:w="4012" w:type="dxa"/>
          </w:tcPr>
          <w:p w14:paraId="149883B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5269E9A4" w14:textId="77777777" w:rsidTr="007C7407">
        <w:trPr>
          <w:cantSplit/>
          <w:trHeight w:val="750"/>
        </w:trPr>
        <w:tc>
          <w:tcPr>
            <w:tcW w:w="2581" w:type="dxa"/>
            <w:vMerge/>
            <w:vAlign w:val="center"/>
          </w:tcPr>
          <w:p w14:paraId="0401F2C5"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359" w:type="dxa"/>
          </w:tcPr>
          <w:p w14:paraId="59CB3207" w14:textId="3E055C64" w:rsidR="00280F65" w:rsidRPr="00F03354" w:rsidRDefault="00272C9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Sentinel event </w:t>
            </w:r>
            <w:r w:rsidR="00280F65" w:rsidRPr="00F03354">
              <w:rPr>
                <w:rFonts w:ascii="VIC" w:eastAsia="Times New Roman" w:hAnsi="VIC" w:cs="Times New Roman"/>
                <w:sz w:val="20"/>
                <w:szCs w:val="20"/>
              </w:rPr>
              <w:t xml:space="preserve">report not submitted within 30 business days* </w:t>
            </w:r>
          </w:p>
        </w:tc>
        <w:tc>
          <w:tcPr>
            <w:tcW w:w="4012" w:type="dxa"/>
          </w:tcPr>
          <w:p w14:paraId="634B14C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5885BF7A" w14:textId="77777777" w:rsidTr="007C7407">
        <w:trPr>
          <w:cantSplit/>
          <w:trHeight w:val="750"/>
        </w:trPr>
        <w:tc>
          <w:tcPr>
            <w:tcW w:w="2581" w:type="dxa"/>
            <w:vAlign w:val="center"/>
          </w:tcPr>
          <w:p w14:paraId="44352B5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Improvement</w:t>
            </w:r>
          </w:p>
        </w:tc>
        <w:tc>
          <w:tcPr>
            <w:tcW w:w="7371" w:type="dxa"/>
            <w:gridSpan w:val="2"/>
          </w:tcPr>
          <w:p w14:paraId="46CD99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against the previous quarter performance. </w:t>
            </w:r>
          </w:p>
        </w:tc>
      </w:tr>
      <w:tr w:rsidR="00280F65" w:rsidRPr="00F03354" w14:paraId="4EDDA493" w14:textId="77777777" w:rsidTr="007C7407">
        <w:trPr>
          <w:cantSplit/>
          <w:trHeight w:val="60"/>
        </w:trPr>
        <w:tc>
          <w:tcPr>
            <w:tcW w:w="2581" w:type="dxa"/>
            <w:hideMark/>
          </w:tcPr>
          <w:p w14:paraId="1E0F833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hideMark/>
          </w:tcPr>
          <w:p w14:paraId="54298AE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for this measure is reported at health service level.</w:t>
            </w:r>
          </w:p>
          <w:p w14:paraId="58C39DE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assessed and reported quarterly.</w:t>
            </w:r>
          </w:p>
          <w:p w14:paraId="638DB82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Annual results are also calculated.</w:t>
            </w:r>
          </w:p>
        </w:tc>
      </w:tr>
    </w:tbl>
    <w:p w14:paraId="27FF8C65" w14:textId="3387EFAC" w:rsidR="00280F65" w:rsidRPr="00F03354" w:rsidRDefault="00280F65" w:rsidP="00280F65">
      <w:pPr>
        <w:spacing w:after="300" w:line="300" w:lineRule="atLeast"/>
        <w:rPr>
          <w:rFonts w:ascii="VIC" w:eastAsia="Times" w:hAnsi="VIC" w:cs="Times New Roman"/>
          <w:sz w:val="20"/>
          <w:szCs w:val="20"/>
        </w:rPr>
      </w:pPr>
    </w:p>
    <w:p w14:paraId="11B9D53D" w14:textId="77777777" w:rsidR="00280F65" w:rsidRPr="00F03354" w:rsidRDefault="00280F65" w:rsidP="00280F65">
      <w:pPr>
        <w:keepNext/>
        <w:keepLines/>
        <w:spacing w:before="240" w:after="120" w:line="280" w:lineRule="atLeast"/>
        <w:outlineLvl w:val="3"/>
        <w:rPr>
          <w:rFonts w:ascii="VIC" w:eastAsia="MS Mincho" w:hAnsi="VIC" w:cs="Arial"/>
          <w:b/>
          <w:bCs/>
          <w:color w:val="244C5A"/>
          <w:sz w:val="20"/>
          <w:szCs w:val="20"/>
        </w:rPr>
      </w:pPr>
      <w:bookmarkStart w:id="18" w:name="_Toc517959131"/>
      <w:bookmarkStart w:id="19" w:name="_Toc10123549"/>
      <w:r w:rsidRPr="00F03354">
        <w:rPr>
          <w:rFonts w:ascii="VIC" w:eastAsia="MS Mincho" w:hAnsi="VIC" w:cs="Arial"/>
          <w:b/>
          <w:bCs/>
          <w:color w:val="244C5A"/>
          <w:sz w:val="20"/>
          <w:szCs w:val="20"/>
        </w:rPr>
        <w:t>Unplanned re-admission</w:t>
      </w:r>
      <w:bookmarkEnd w:id="18"/>
      <w:bookmarkEnd w:id="19"/>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F03354" w14:paraId="26F2ED56" w14:textId="77777777" w:rsidTr="007C7407">
        <w:trPr>
          <w:cantSplit/>
          <w:trHeight w:val="60"/>
          <w:tblHeader/>
        </w:trPr>
        <w:tc>
          <w:tcPr>
            <w:tcW w:w="2581" w:type="dxa"/>
            <w:shd w:val="clear" w:color="auto" w:fill="244C5A"/>
          </w:tcPr>
          <w:p w14:paraId="213630C5"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371" w:type="dxa"/>
            <w:shd w:val="clear" w:color="auto" w:fill="244C5A"/>
          </w:tcPr>
          <w:p w14:paraId="36F9C477"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unplanned readmissions to any hospital following a hip replacement procedure, per 100 periods of care</w:t>
            </w:r>
          </w:p>
        </w:tc>
      </w:tr>
      <w:tr w:rsidR="00280F65" w:rsidRPr="00F03354" w14:paraId="1DFEA6BC" w14:textId="77777777" w:rsidTr="007C7407">
        <w:trPr>
          <w:cantSplit/>
          <w:trHeight w:val="60"/>
        </w:trPr>
        <w:tc>
          <w:tcPr>
            <w:tcW w:w="2581" w:type="dxa"/>
          </w:tcPr>
          <w:p w14:paraId="5087C97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tcPr>
          <w:p w14:paraId="0449CB0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readmissions to any hospital within 60 days of patients’ separation from acute care, for hip replacement surgery.</w:t>
            </w:r>
          </w:p>
        </w:tc>
      </w:tr>
      <w:tr w:rsidR="00280F65" w:rsidRPr="00F03354" w14:paraId="1652E680" w14:textId="77777777" w:rsidTr="007C7407">
        <w:trPr>
          <w:cantSplit/>
          <w:trHeight w:val="60"/>
        </w:trPr>
        <w:tc>
          <w:tcPr>
            <w:tcW w:w="2581" w:type="dxa"/>
          </w:tcPr>
          <w:p w14:paraId="4D4F2F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tcPr>
          <w:p w14:paraId="71EF32D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007EAA2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hip replacement procedure.</w:t>
            </w:r>
          </w:p>
        </w:tc>
      </w:tr>
      <w:tr w:rsidR="00280F65" w:rsidRPr="00F03354" w14:paraId="0104A7AE" w14:textId="77777777" w:rsidTr="007C7407">
        <w:trPr>
          <w:cantSplit/>
          <w:trHeight w:val="60"/>
        </w:trPr>
        <w:tc>
          <w:tcPr>
            <w:tcW w:w="2581" w:type="dxa"/>
          </w:tcPr>
          <w:p w14:paraId="05617CC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tcPr>
          <w:p w14:paraId="07FD30E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numerator, the period of care is a readmission to any hospital following a period of care for hip replacement procedure and the principal diagnosis of the readmission having a principal diagnosis code listed in the numerator computation.</w:t>
            </w:r>
          </w:p>
          <w:p w14:paraId="1749019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unplanned readmissions to the any hospital following a hip replacement procedure.</w:t>
            </w:r>
          </w:p>
          <w:p w14:paraId="66CFCC5F"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Principal diagnosis code in ('A40', 'A41', 'A49', 'E87', 'F05', 'I21', 'I50', 'I74', 'I62', 'I63', 'J13', 'J15', 'J16', 'J17', 'J18', 'L89', 'M05', 'M06', 'R33', 'R26', 'R27', 'R28', 'R29', 'S73', 'T84', 'S72', 'Z47', 'Z48', 'S30', 'S31', 'S32', 'S33', 'S34', 'S35', 'S36', 'S37', 'S38', 'S39', 'S40', 'S41', 'S42', 'S43', 'S44', 'S45', 'S46', 'S47', 'S48', 'S49', 'S50', 'S51', 'S52', 'S70', 'S71', 'S72', 'S73', 'S74', 'S75', 'S76', 'S77', 'S78', 'S79', 'S80', 'S81', 'S82', 'S83', 'S84', 'S85', 'S86', 'S87', 'S88', 'S89',</w:t>
            </w:r>
          </w:p>
          <w:p w14:paraId="4CE04306"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 xml:space="preserve">'G577', 'G578', 'G579', 'I269', 'I800', 'I801', 'I802', 'I803', 'I978', 'K919', 'L039', 'L033', 'M968', 'M706', 'M707', 'M966', 'N390', 'R073', 'R074', 'T811', 'T813', 'T815', 'T816', 'T818', 'T887', 'T799', 'T810', 'T814', </w:t>
            </w:r>
          </w:p>
          <w:p w14:paraId="52780B8E"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'G5812', 'K9189', 'L0312', 'L0313', 'M2565', 'M2566', 'M2567', 'M2555', 'M2556', 'M2557', 'M2545', 'M2546', 'M2547', 'M0005', 'M0006', 'M0007', 'M7965', 'M7966', 'M7967', 'M7985', 'M7986', 'M8405', 'M8435', 'M8445', 'T8588', 'S7203', 'S7205', 'S7210', 'S7310', 'T8578')</w:t>
            </w:r>
          </w:p>
          <w:p w14:paraId="62602046"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And</w:t>
            </w:r>
          </w:p>
          <w:p w14:paraId="1CC3078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Care Type = '4-Acute'</w:t>
            </w:r>
          </w:p>
        </w:tc>
      </w:tr>
      <w:tr w:rsidR="00280F65" w:rsidRPr="00F03354" w14:paraId="2548A460" w14:textId="77777777" w:rsidTr="007C7407">
        <w:trPr>
          <w:cantSplit/>
          <w:trHeight w:val="60"/>
        </w:trPr>
        <w:tc>
          <w:tcPr>
            <w:tcW w:w="2581" w:type="dxa"/>
          </w:tcPr>
          <w:p w14:paraId="2AA1655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 xml:space="preserve">Denominator </w:t>
            </w:r>
          </w:p>
        </w:tc>
        <w:tc>
          <w:tcPr>
            <w:tcW w:w="7371" w:type="dxa"/>
          </w:tcPr>
          <w:p w14:paraId="0CB8F3F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includes acute periods of care for hip replacement procedure, defined as having a procedure code listed in the denominator computation but excluding periods of care in which the separation mode was death or left against medical advice. The patient must be 18 years of age or older.</w:t>
            </w:r>
          </w:p>
          <w:p w14:paraId="2E738B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periods of care for hip replacement procedure.</w:t>
            </w:r>
          </w:p>
          <w:p w14:paraId="21BF7EBB"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Procedure code in (49318-00, 49319-00, 90607-00, 90607-01)</w:t>
            </w:r>
          </w:p>
          <w:p w14:paraId="4A6D9DB8"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And Care Type = '4-Acute'</w:t>
            </w:r>
          </w:p>
          <w:p w14:paraId="6A486C80"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 xml:space="preserve">And Age is &gt;= 18 years </w:t>
            </w:r>
          </w:p>
          <w:p w14:paraId="77776C1F"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And Separation Mode NOT IN ('D-Death', 'Z-Left against medical advice')</w:t>
            </w:r>
          </w:p>
          <w:p w14:paraId="3B7BEA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Excludes:</w:t>
            </w:r>
          </w:p>
          <w:p w14:paraId="29983782" w14:textId="34B9C43C" w:rsidR="007C7407" w:rsidRPr="00F03354" w:rsidRDefault="00280F65" w:rsidP="0089279C">
            <w:pPr>
              <w:pStyle w:val="ListParagraph"/>
              <w:numPr>
                <w:ilvl w:val="0"/>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Patients whose principal reason for admission was revision arthroplasty of hip:</w:t>
            </w:r>
          </w:p>
          <w:p w14:paraId="17E7C4D7" w14:textId="77777777" w:rsidR="00280F65" w:rsidRPr="00F03354" w:rsidRDefault="00280F65" w:rsidP="0089279C">
            <w:pPr>
              <w:pStyle w:val="ListParagraph"/>
              <w:numPr>
                <w:ilvl w:val="1"/>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Hemiarthroplasty of femur (47522-00)</w:t>
            </w:r>
          </w:p>
          <w:p w14:paraId="31773D8E" w14:textId="77777777" w:rsidR="00280F65" w:rsidRPr="00F03354" w:rsidRDefault="00280F65" w:rsidP="0089279C">
            <w:pPr>
              <w:pStyle w:val="ListParagraph"/>
              <w:numPr>
                <w:ilvl w:val="1"/>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Excision arthroplasty of hip (49312-00)</w:t>
            </w:r>
          </w:p>
          <w:p w14:paraId="46813512" w14:textId="4F963F95" w:rsidR="00280F65" w:rsidRPr="00F03354" w:rsidRDefault="00280F65" w:rsidP="0089279C">
            <w:pPr>
              <w:pStyle w:val="ListParagraph"/>
              <w:numPr>
                <w:ilvl w:val="1"/>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Partial arthroplasty of hip (49315-00)</w:t>
            </w:r>
          </w:p>
          <w:p w14:paraId="52120A4C" w14:textId="77777777" w:rsidR="007C7407" w:rsidRPr="00F03354" w:rsidRDefault="007C7407" w:rsidP="007C7407">
            <w:pPr>
              <w:pStyle w:val="ListParagraph"/>
              <w:spacing w:before="80" w:after="60" w:line="240" w:lineRule="auto"/>
              <w:rPr>
                <w:rFonts w:ascii="VIC" w:eastAsia="Times New Roman" w:hAnsi="VIC" w:cs="Times New Roman"/>
                <w:sz w:val="20"/>
                <w:szCs w:val="20"/>
              </w:rPr>
            </w:pPr>
          </w:p>
          <w:p w14:paraId="65DDCE20" w14:textId="77777777" w:rsidR="00280F65" w:rsidRPr="00F03354" w:rsidRDefault="00280F65" w:rsidP="0089279C">
            <w:pPr>
              <w:pStyle w:val="ListParagraph"/>
              <w:numPr>
                <w:ilvl w:val="0"/>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Patients that underwent a hip replacement as a direct result of a fracture and classified by:</w:t>
            </w:r>
          </w:p>
          <w:p w14:paraId="0939929F" w14:textId="77777777" w:rsidR="00280F65" w:rsidRPr="00F03354" w:rsidRDefault="00280F65" w:rsidP="0089279C">
            <w:pPr>
              <w:pStyle w:val="ListParagraph"/>
              <w:numPr>
                <w:ilvl w:val="1"/>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Fracture of femur, lumbar spine and pelvis (S72, S32)</w:t>
            </w:r>
          </w:p>
          <w:p w14:paraId="00BA8DF2" w14:textId="77777777" w:rsidR="00280F65" w:rsidRPr="00F03354" w:rsidRDefault="00280F65" w:rsidP="0089279C">
            <w:pPr>
              <w:pStyle w:val="ListParagraph"/>
              <w:numPr>
                <w:ilvl w:val="1"/>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Pathological fracture (M805, M8445)</w:t>
            </w:r>
          </w:p>
          <w:p w14:paraId="0FE42887" w14:textId="77777777" w:rsidR="00280F65" w:rsidRPr="00F03354" w:rsidRDefault="00280F65" w:rsidP="0089279C">
            <w:pPr>
              <w:pStyle w:val="ListParagraph"/>
              <w:numPr>
                <w:ilvl w:val="1"/>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Stress fracture, malunion of fracture, non-union of fracture (M8435, M8405, M8415)</w:t>
            </w:r>
          </w:p>
          <w:p w14:paraId="3EF36B95" w14:textId="77777777" w:rsidR="00280F65" w:rsidRPr="00F03354" w:rsidRDefault="00280F65" w:rsidP="0089279C">
            <w:pPr>
              <w:pStyle w:val="ListParagraph"/>
              <w:numPr>
                <w:ilvl w:val="1"/>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Mechanical complications of prosthesis (T840 – T844)</w:t>
            </w:r>
          </w:p>
          <w:p w14:paraId="1B72FC60" w14:textId="77777777" w:rsidR="00280F65" w:rsidRPr="00F03354" w:rsidRDefault="00280F65" w:rsidP="0089279C">
            <w:pPr>
              <w:pStyle w:val="ListParagraph"/>
              <w:numPr>
                <w:ilvl w:val="1"/>
                <w:numId w:val="3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Admissions with principal diagnosis for malignant neoplasm (C414, C402, C419, C763, C765, C795, C800)</w:t>
            </w:r>
          </w:p>
        </w:tc>
      </w:tr>
      <w:tr w:rsidR="00280F65" w:rsidRPr="00F03354" w14:paraId="30A92CD5" w14:textId="77777777" w:rsidTr="007C7407">
        <w:trPr>
          <w:cantSplit/>
          <w:trHeight w:val="60"/>
        </w:trPr>
        <w:tc>
          <w:tcPr>
            <w:tcW w:w="2581" w:type="dxa"/>
          </w:tcPr>
          <w:p w14:paraId="6ED6C4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tcPr>
          <w:p w14:paraId="404BA296" w14:textId="6216B970"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6%</w:t>
            </w:r>
          </w:p>
        </w:tc>
      </w:tr>
      <w:tr w:rsidR="00280F65" w:rsidRPr="00F03354" w14:paraId="54A681B6" w14:textId="77777777" w:rsidTr="007C7407">
        <w:trPr>
          <w:cantSplit/>
          <w:trHeight w:val="750"/>
        </w:trPr>
        <w:tc>
          <w:tcPr>
            <w:tcW w:w="2581" w:type="dxa"/>
          </w:tcPr>
          <w:p w14:paraId="6529C72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7371" w:type="dxa"/>
          </w:tcPr>
          <w:p w14:paraId="0EC968C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6% - Achieved</w:t>
            </w:r>
          </w:p>
          <w:p w14:paraId="5FC6473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6% - Not achieved</w:t>
            </w:r>
          </w:p>
        </w:tc>
      </w:tr>
      <w:tr w:rsidR="00280F65" w:rsidRPr="00F03354" w14:paraId="7763B2EA" w14:textId="77777777" w:rsidTr="007C7407">
        <w:trPr>
          <w:cantSplit/>
          <w:trHeight w:val="750"/>
        </w:trPr>
        <w:tc>
          <w:tcPr>
            <w:tcW w:w="2581" w:type="dxa"/>
          </w:tcPr>
          <w:p w14:paraId="12CB0B9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tcPr>
          <w:p w14:paraId="12879B7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quarter performance and based on the annual rate.</w:t>
            </w:r>
          </w:p>
        </w:tc>
      </w:tr>
    </w:tbl>
    <w:p w14:paraId="46D3ABED" w14:textId="77777777" w:rsidR="00280F65" w:rsidRPr="00F03354" w:rsidRDefault="00280F65" w:rsidP="00280F65">
      <w:pPr>
        <w:spacing w:after="0" w:line="240" w:lineRule="auto"/>
        <w:rPr>
          <w:rFonts w:ascii="VIC" w:eastAsia="Times" w:hAnsi="VIC" w:cs="Times New Roman"/>
          <w:sz w:val="20"/>
          <w:szCs w:val="20"/>
        </w:rPr>
      </w:pPr>
      <w:r w:rsidRPr="00F03354">
        <w:rPr>
          <w:rFonts w:ascii="VIC" w:eastAsia="Times New Roman" w:hAnsi="VIC" w:cs="Times New Roman"/>
          <w:sz w:val="20"/>
          <w:szCs w:val="20"/>
        </w:rPr>
        <w:br w:type="page"/>
      </w:r>
    </w:p>
    <w:p w14:paraId="417772BF" w14:textId="77777777" w:rsidR="00280F65" w:rsidRPr="00F03354"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F03354" w14:paraId="706390B5" w14:textId="77777777" w:rsidTr="007C7407">
        <w:trPr>
          <w:cantSplit/>
          <w:trHeight w:val="60"/>
          <w:tblHeader/>
        </w:trPr>
        <w:tc>
          <w:tcPr>
            <w:tcW w:w="2581" w:type="dxa"/>
            <w:shd w:val="clear" w:color="auto" w:fill="244C5A"/>
          </w:tcPr>
          <w:p w14:paraId="1E79E673"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371" w:type="dxa"/>
            <w:shd w:val="clear" w:color="auto" w:fill="244C5A"/>
          </w:tcPr>
          <w:p w14:paraId="458A942E"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unplanned readmissions to any hospital following management of acute myocardial infarction, per 100 periods of care</w:t>
            </w:r>
          </w:p>
        </w:tc>
      </w:tr>
      <w:tr w:rsidR="00280F65" w:rsidRPr="00F03354" w14:paraId="6BAE068C" w14:textId="77777777" w:rsidTr="007C7407">
        <w:trPr>
          <w:cantSplit/>
          <w:trHeight w:val="60"/>
        </w:trPr>
        <w:tc>
          <w:tcPr>
            <w:tcW w:w="2581" w:type="dxa"/>
          </w:tcPr>
          <w:p w14:paraId="36B3747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tcPr>
          <w:p w14:paraId="1D8753F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readmissions to any hospital within 30 days of patients’ separation, for management of Acute Myocardial Infarction.</w:t>
            </w:r>
          </w:p>
        </w:tc>
      </w:tr>
      <w:tr w:rsidR="00280F65" w:rsidRPr="00F03354" w14:paraId="4422BD3C" w14:textId="77777777" w:rsidTr="007C7407">
        <w:trPr>
          <w:cantSplit/>
          <w:trHeight w:val="60"/>
        </w:trPr>
        <w:tc>
          <w:tcPr>
            <w:tcW w:w="2581" w:type="dxa"/>
          </w:tcPr>
          <w:p w14:paraId="0E3E097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tcPr>
          <w:p w14:paraId="7CFD132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13D3EC7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management of acute myocardial infarction.</w:t>
            </w:r>
          </w:p>
        </w:tc>
      </w:tr>
      <w:tr w:rsidR="00280F65" w:rsidRPr="00F03354" w14:paraId="0BD36649" w14:textId="77777777" w:rsidTr="007C7407">
        <w:trPr>
          <w:cantSplit/>
          <w:trHeight w:val="60"/>
        </w:trPr>
        <w:tc>
          <w:tcPr>
            <w:tcW w:w="2581" w:type="dxa"/>
          </w:tcPr>
          <w:p w14:paraId="03C28F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tcPr>
          <w:p w14:paraId="59FE45A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numerator, the period of care is a readmission to any hospital following a period of care for acute myocardial infarction and the principal diagnosis of the readmission having a principal diagnosis code listed in the numerator computation.</w:t>
            </w:r>
          </w:p>
          <w:p w14:paraId="0AC38C8A"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Number of unplanned readmissions to the any hospital following management of acute myocardial infarction.</w:t>
            </w:r>
          </w:p>
          <w:p w14:paraId="0AF32E54" w14:textId="77777777" w:rsidR="00280F65" w:rsidRPr="00F03354" w:rsidRDefault="00280F65" w:rsidP="0089279C">
            <w:pPr>
              <w:numPr>
                <w:ilvl w:val="0"/>
                <w:numId w:val="28"/>
              </w:numPr>
              <w:spacing w:after="0" w:line="270" w:lineRule="atLeast"/>
              <w:rPr>
                <w:rFonts w:ascii="VIC" w:eastAsia="Arial" w:hAnsi="VIC" w:cs="Arial"/>
                <w:sz w:val="20"/>
                <w:szCs w:val="20"/>
              </w:rPr>
            </w:pPr>
            <w:r w:rsidRPr="00F03354">
              <w:rPr>
                <w:rFonts w:ascii="VIC" w:eastAsia="Arial" w:hAnsi="VIC" w:cs="Arial"/>
                <w:sz w:val="20"/>
                <w:szCs w:val="20"/>
              </w:rPr>
              <w:t>Principal diagnosis code in (‘I21’, ‘122’, 'I50’, 'I95’, 'I63’, 'I31’, 'I26’, 'I61’, 'I46’, 'I64’, 'I74’)</w:t>
            </w:r>
          </w:p>
          <w:p w14:paraId="2E44F5BA" w14:textId="77777777" w:rsidR="00280F65" w:rsidRPr="00F03354" w:rsidRDefault="00280F65" w:rsidP="0089279C">
            <w:pPr>
              <w:numPr>
                <w:ilvl w:val="0"/>
                <w:numId w:val="28"/>
              </w:numPr>
              <w:spacing w:after="0" w:line="270" w:lineRule="atLeast"/>
              <w:rPr>
                <w:rFonts w:ascii="VIC" w:eastAsia="Arial" w:hAnsi="VIC" w:cs="Arial"/>
                <w:sz w:val="20"/>
                <w:szCs w:val="20"/>
              </w:rPr>
            </w:pPr>
            <w:r w:rsidRPr="00F03354">
              <w:rPr>
                <w:rFonts w:ascii="VIC" w:eastAsia="Arial" w:hAnsi="VIC" w:cs="Arial"/>
                <w:sz w:val="20"/>
                <w:szCs w:val="20"/>
              </w:rPr>
              <w:t>And Care Type = '4-Acute'</w:t>
            </w:r>
          </w:p>
          <w:p w14:paraId="2693B6AA" w14:textId="77777777" w:rsidR="00280F65" w:rsidRPr="00F03354" w:rsidRDefault="00280F65" w:rsidP="0089279C">
            <w:pPr>
              <w:numPr>
                <w:ilvl w:val="0"/>
                <w:numId w:val="28"/>
              </w:numPr>
              <w:spacing w:after="0" w:line="270" w:lineRule="atLeast"/>
              <w:rPr>
                <w:rFonts w:ascii="VIC" w:eastAsia="Arial" w:hAnsi="VIC" w:cs="Arial"/>
                <w:sz w:val="20"/>
                <w:szCs w:val="20"/>
              </w:rPr>
            </w:pPr>
            <w:r w:rsidRPr="00F03354">
              <w:rPr>
                <w:rFonts w:ascii="VIC" w:eastAsia="Arial" w:hAnsi="VIC" w:cs="Arial"/>
                <w:sz w:val="20"/>
                <w:szCs w:val="20"/>
              </w:rPr>
              <w:t xml:space="preserve">And Admission type is Emergency (Admission Type in ('O', 'C')) </w:t>
            </w:r>
          </w:p>
        </w:tc>
      </w:tr>
      <w:tr w:rsidR="00280F65" w:rsidRPr="00F03354" w14:paraId="1C20AE19" w14:textId="77777777" w:rsidTr="007C7407">
        <w:trPr>
          <w:cantSplit/>
          <w:trHeight w:val="60"/>
        </w:trPr>
        <w:tc>
          <w:tcPr>
            <w:tcW w:w="2581" w:type="dxa"/>
          </w:tcPr>
          <w:p w14:paraId="4807BF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371" w:type="dxa"/>
          </w:tcPr>
          <w:p w14:paraId="6C553D8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includes acute periods of care for acute myocardial infarction, defined as having a principal diagnosis code listed in the denominator computation but excluding periods of care in which the separation mode was death or left against medical advice. The length of stay of the period of care must be at least 1 day, and the patient must be 15 years of age or older.</w:t>
            </w:r>
          </w:p>
          <w:p w14:paraId="1D25ACF9"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Number of periods of care for acute myocardial infarction.</w:t>
            </w:r>
          </w:p>
          <w:p w14:paraId="496992F7" w14:textId="77777777" w:rsidR="00280F65" w:rsidRPr="00F03354" w:rsidRDefault="00280F65" w:rsidP="0089279C">
            <w:pPr>
              <w:numPr>
                <w:ilvl w:val="0"/>
                <w:numId w:val="27"/>
              </w:numPr>
              <w:spacing w:after="0" w:line="270" w:lineRule="atLeast"/>
              <w:rPr>
                <w:rFonts w:ascii="VIC" w:eastAsia="Arial" w:hAnsi="VIC" w:cs="Arial"/>
                <w:sz w:val="20"/>
                <w:szCs w:val="20"/>
              </w:rPr>
            </w:pPr>
            <w:r w:rsidRPr="00F03354">
              <w:rPr>
                <w:rFonts w:ascii="VIC" w:eastAsia="Arial" w:hAnsi="VIC" w:cs="Arial"/>
                <w:sz w:val="20"/>
                <w:szCs w:val="20"/>
              </w:rPr>
              <w:t>Principal diagnosis code in ('I21', 'I22')</w:t>
            </w:r>
          </w:p>
          <w:p w14:paraId="7237E4A5" w14:textId="77777777" w:rsidR="00280F65" w:rsidRPr="00F03354" w:rsidRDefault="00280F65" w:rsidP="0089279C">
            <w:pPr>
              <w:numPr>
                <w:ilvl w:val="0"/>
                <w:numId w:val="27"/>
              </w:numPr>
              <w:spacing w:after="0" w:line="270" w:lineRule="atLeast"/>
              <w:rPr>
                <w:rFonts w:ascii="VIC" w:eastAsia="Arial" w:hAnsi="VIC" w:cs="Arial"/>
                <w:sz w:val="20"/>
                <w:szCs w:val="20"/>
              </w:rPr>
            </w:pPr>
            <w:r w:rsidRPr="00F03354">
              <w:rPr>
                <w:rFonts w:ascii="VIC" w:eastAsia="Arial" w:hAnsi="VIC" w:cs="Arial"/>
                <w:sz w:val="20"/>
                <w:szCs w:val="20"/>
              </w:rPr>
              <w:t>And Care Type = '4-Acute'</w:t>
            </w:r>
          </w:p>
          <w:p w14:paraId="654B82C1" w14:textId="77777777" w:rsidR="00280F65" w:rsidRPr="00F03354" w:rsidRDefault="00280F65" w:rsidP="0089279C">
            <w:pPr>
              <w:numPr>
                <w:ilvl w:val="0"/>
                <w:numId w:val="27"/>
              </w:numPr>
              <w:spacing w:after="0" w:line="270" w:lineRule="atLeast"/>
              <w:rPr>
                <w:rFonts w:ascii="VIC" w:eastAsia="Arial" w:hAnsi="VIC" w:cs="Arial"/>
                <w:sz w:val="20"/>
                <w:szCs w:val="20"/>
              </w:rPr>
            </w:pPr>
            <w:r w:rsidRPr="00F03354">
              <w:rPr>
                <w:rFonts w:ascii="VIC" w:eastAsia="Arial" w:hAnsi="VIC" w:cs="Arial"/>
                <w:sz w:val="20"/>
                <w:szCs w:val="20"/>
              </w:rPr>
              <w:t>And Length of stay &gt;= 1 day</w:t>
            </w:r>
          </w:p>
          <w:p w14:paraId="1CE406D9" w14:textId="77777777" w:rsidR="00280F65" w:rsidRPr="00F03354" w:rsidRDefault="00280F65" w:rsidP="0089279C">
            <w:pPr>
              <w:numPr>
                <w:ilvl w:val="0"/>
                <w:numId w:val="27"/>
              </w:numPr>
              <w:spacing w:after="0" w:line="270" w:lineRule="atLeast"/>
              <w:rPr>
                <w:rFonts w:ascii="VIC" w:eastAsia="Arial" w:hAnsi="VIC" w:cs="Arial"/>
                <w:sz w:val="20"/>
                <w:szCs w:val="20"/>
              </w:rPr>
            </w:pPr>
            <w:r w:rsidRPr="00F03354">
              <w:rPr>
                <w:rFonts w:ascii="VIC" w:eastAsia="Arial" w:hAnsi="VIC" w:cs="Arial"/>
                <w:sz w:val="20"/>
                <w:szCs w:val="20"/>
              </w:rPr>
              <w:t xml:space="preserve">And Age is &gt;= 15 years </w:t>
            </w:r>
          </w:p>
          <w:p w14:paraId="72E77969" w14:textId="77777777" w:rsidR="00280F65" w:rsidRPr="00F03354" w:rsidRDefault="00280F65" w:rsidP="0089279C">
            <w:pPr>
              <w:numPr>
                <w:ilvl w:val="0"/>
                <w:numId w:val="27"/>
              </w:numPr>
              <w:spacing w:after="0" w:line="270" w:lineRule="atLeast"/>
              <w:rPr>
                <w:rFonts w:ascii="VIC" w:eastAsia="Arial" w:hAnsi="VIC" w:cs="Arial"/>
                <w:sz w:val="20"/>
                <w:szCs w:val="20"/>
              </w:rPr>
            </w:pPr>
            <w:r w:rsidRPr="00F03354">
              <w:rPr>
                <w:rFonts w:ascii="VIC" w:eastAsia="Arial" w:hAnsi="VIC" w:cs="Arial"/>
                <w:sz w:val="20"/>
                <w:szCs w:val="20"/>
              </w:rPr>
              <w:t>And Admission type is Emergency (Admission Type in ('O', 'C'))</w:t>
            </w:r>
          </w:p>
          <w:p w14:paraId="3529B565" w14:textId="77777777" w:rsidR="00280F65" w:rsidRPr="00F03354" w:rsidRDefault="00280F65" w:rsidP="0089279C">
            <w:pPr>
              <w:numPr>
                <w:ilvl w:val="0"/>
                <w:numId w:val="27"/>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And Separation Mode NOT IN ('D-Death', 'Z-Left against medical advice')</w:t>
            </w:r>
          </w:p>
        </w:tc>
      </w:tr>
      <w:tr w:rsidR="00280F65" w:rsidRPr="00F03354" w14:paraId="6692A57C" w14:textId="77777777" w:rsidTr="007C7407">
        <w:trPr>
          <w:cantSplit/>
          <w:trHeight w:val="60"/>
        </w:trPr>
        <w:tc>
          <w:tcPr>
            <w:tcW w:w="2581" w:type="dxa"/>
          </w:tcPr>
          <w:p w14:paraId="2CC3B6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tcPr>
          <w:p w14:paraId="6B458F2D" w14:textId="3FB1F7D0"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4%</w:t>
            </w:r>
          </w:p>
        </w:tc>
      </w:tr>
      <w:tr w:rsidR="00280F65" w:rsidRPr="00F03354" w14:paraId="6F182BCE" w14:textId="77777777" w:rsidTr="007C7407">
        <w:trPr>
          <w:cantSplit/>
          <w:trHeight w:val="750"/>
        </w:trPr>
        <w:tc>
          <w:tcPr>
            <w:tcW w:w="2581" w:type="dxa"/>
          </w:tcPr>
          <w:p w14:paraId="22E374D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7371" w:type="dxa"/>
          </w:tcPr>
          <w:p w14:paraId="0B0734E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4% - Achieved</w:t>
            </w:r>
          </w:p>
          <w:p w14:paraId="2E863E7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Greater than 4% - Not achieved </w:t>
            </w:r>
          </w:p>
        </w:tc>
      </w:tr>
      <w:tr w:rsidR="00280F65" w:rsidRPr="00F03354" w14:paraId="2593E089" w14:textId="77777777" w:rsidTr="007C7407">
        <w:trPr>
          <w:cantSplit/>
          <w:trHeight w:val="750"/>
        </w:trPr>
        <w:tc>
          <w:tcPr>
            <w:tcW w:w="2581" w:type="dxa"/>
          </w:tcPr>
          <w:p w14:paraId="0D557B5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tcPr>
          <w:p w14:paraId="23699C0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quarter performance and based on the annual rate.</w:t>
            </w:r>
          </w:p>
        </w:tc>
      </w:tr>
    </w:tbl>
    <w:p w14:paraId="3519A463" w14:textId="77777777" w:rsidR="00280F65" w:rsidRPr="00F03354" w:rsidRDefault="00280F65" w:rsidP="00280F65">
      <w:pPr>
        <w:spacing w:after="120" w:line="270" w:lineRule="atLeast"/>
        <w:rPr>
          <w:rFonts w:ascii="VIC" w:eastAsia="Times" w:hAnsi="VIC" w:cs="Times New Roman"/>
          <w:sz w:val="20"/>
          <w:szCs w:val="20"/>
        </w:rPr>
      </w:pPr>
    </w:p>
    <w:p w14:paraId="33C441C8" w14:textId="77777777" w:rsidR="00280F65" w:rsidRPr="00F03354" w:rsidRDefault="00280F65" w:rsidP="00280F65">
      <w:pPr>
        <w:spacing w:after="0" w:line="240" w:lineRule="auto"/>
        <w:rPr>
          <w:rFonts w:ascii="VIC" w:eastAsia="Times New Roman" w:hAnsi="VIC" w:cs="Times New Roman"/>
          <w:sz w:val="20"/>
          <w:szCs w:val="20"/>
        </w:rPr>
      </w:pPr>
      <w:r w:rsidRPr="00F03354">
        <w:rPr>
          <w:rFonts w:ascii="VIC" w:eastAsia="Times New Roman" w:hAnsi="VIC" w:cs="Times New Roman"/>
          <w:b/>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F03354" w14:paraId="5FB90926" w14:textId="77777777" w:rsidTr="007C7407">
        <w:trPr>
          <w:cantSplit/>
          <w:trHeight w:val="60"/>
          <w:tblHeader/>
        </w:trPr>
        <w:tc>
          <w:tcPr>
            <w:tcW w:w="2552" w:type="dxa"/>
            <w:shd w:val="clear" w:color="auto" w:fill="244C5A"/>
          </w:tcPr>
          <w:p w14:paraId="0B1C6B01"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400" w:type="dxa"/>
            <w:shd w:val="clear" w:color="auto" w:fill="244C5A"/>
          </w:tcPr>
          <w:p w14:paraId="5C41B491"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unplanned readmissions to any hospital following a knee replacement procedure, per 100 periods of care</w:t>
            </w:r>
          </w:p>
        </w:tc>
      </w:tr>
      <w:tr w:rsidR="00280F65" w:rsidRPr="00F03354" w14:paraId="17EAC332" w14:textId="77777777" w:rsidTr="007C7407">
        <w:trPr>
          <w:cantSplit/>
          <w:trHeight w:val="60"/>
        </w:trPr>
        <w:tc>
          <w:tcPr>
            <w:tcW w:w="2552" w:type="dxa"/>
          </w:tcPr>
          <w:p w14:paraId="58A0D4E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tcPr>
          <w:p w14:paraId="2D14F43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readmissions to any hospital within 60 days of patients’ separation from acute care for knee replacement surgery.</w:t>
            </w:r>
          </w:p>
        </w:tc>
      </w:tr>
      <w:tr w:rsidR="00280F65" w:rsidRPr="00F03354" w14:paraId="4665412A" w14:textId="77777777" w:rsidTr="007C7407">
        <w:trPr>
          <w:cantSplit/>
          <w:trHeight w:val="60"/>
        </w:trPr>
        <w:tc>
          <w:tcPr>
            <w:tcW w:w="2552" w:type="dxa"/>
          </w:tcPr>
          <w:p w14:paraId="244F126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tcPr>
          <w:p w14:paraId="0880FC7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57612F6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knee replacement procedure.</w:t>
            </w:r>
          </w:p>
        </w:tc>
      </w:tr>
      <w:tr w:rsidR="00280F65" w:rsidRPr="00F03354" w14:paraId="0BB794C6" w14:textId="77777777" w:rsidTr="007C7407">
        <w:trPr>
          <w:cantSplit/>
          <w:trHeight w:val="60"/>
        </w:trPr>
        <w:tc>
          <w:tcPr>
            <w:tcW w:w="2552" w:type="dxa"/>
          </w:tcPr>
          <w:p w14:paraId="3581B68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tcPr>
          <w:p w14:paraId="4C455EA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numerator, the period of care is a readmission to any hospital following a period of care for knee replacement procedure and the principal diagnosis of the readmission having a principal diagnosis code listed in the numerator computation.</w:t>
            </w:r>
          </w:p>
          <w:p w14:paraId="1C4DB458"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Number of unplanned readmissions to the any hospital following a knee replacement procedure.</w:t>
            </w:r>
          </w:p>
          <w:p w14:paraId="6C0C4EDC"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Principal diagnosis code in ('T84', 'M17', 'I26', 'R33', 'S89', 'I21', 'I50', 'N13', 'M23', 'I74’, 'M06', 'Z48', 'S76', 'E87', 'S72', 'S81', 'F05', 'A41', 'S80', 'S83', 'J18', 'S82', 'Z47', 'A49', 'J15', 'R26', 'R29', 'M05', 'S86', 'S70', 'S52', 'S33', 'S73', 'S43’, ‘I60’, ‘I61’, ‘I62’, 'I63', 'I64', ‘T810’, ‘T814’, ‘T813’, ‘T815’, ‘T818’, ‘N179’)</w:t>
            </w:r>
          </w:p>
          <w:p w14:paraId="2F3A4549"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And</w:t>
            </w:r>
          </w:p>
          <w:p w14:paraId="6980C2A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Care Type = '4-Acute'</w:t>
            </w:r>
          </w:p>
        </w:tc>
      </w:tr>
      <w:tr w:rsidR="00280F65" w:rsidRPr="00F03354" w14:paraId="6F875314" w14:textId="77777777" w:rsidTr="007C7407">
        <w:trPr>
          <w:cantSplit/>
          <w:trHeight w:val="60"/>
        </w:trPr>
        <w:tc>
          <w:tcPr>
            <w:tcW w:w="2552" w:type="dxa"/>
          </w:tcPr>
          <w:p w14:paraId="1CD3343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400" w:type="dxa"/>
          </w:tcPr>
          <w:p w14:paraId="6D86017B"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The denominator includes acute periods of care for knee replacement procedure, defined as having a procedure code listed in the denominator computation but excluding periods of care in which the separation mode was death or left against medical advice. The patient must be 18 years of age or older.</w:t>
            </w:r>
          </w:p>
          <w:p w14:paraId="48F3C90A"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Number of periods of care for knee replacement procedure.</w:t>
            </w:r>
          </w:p>
          <w:p w14:paraId="4B745A20"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Procedure code in (49518-00, 49519-00, 49521-02, 49521-00, 49521-01, 49521-03, 49524-00, 49524-01)</w:t>
            </w:r>
          </w:p>
          <w:p w14:paraId="49B26121"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And Care Type = '4-Acute'</w:t>
            </w:r>
          </w:p>
          <w:p w14:paraId="5B451138"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 xml:space="preserve">And Age is &gt;= 18 years </w:t>
            </w:r>
          </w:p>
          <w:p w14:paraId="03B27035"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 xml:space="preserve">And Separation Mode NOT IN ('D-Death', 'Z-Left against medical advice') </w:t>
            </w:r>
          </w:p>
        </w:tc>
      </w:tr>
      <w:tr w:rsidR="00280F65" w:rsidRPr="00F03354" w14:paraId="0F9616CB" w14:textId="77777777" w:rsidTr="007C7407">
        <w:trPr>
          <w:cantSplit/>
          <w:trHeight w:val="60"/>
        </w:trPr>
        <w:tc>
          <w:tcPr>
            <w:tcW w:w="2552" w:type="dxa"/>
          </w:tcPr>
          <w:p w14:paraId="358B1E7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tcPr>
          <w:p w14:paraId="351C091B" w14:textId="297CC8DF"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5.5%</w:t>
            </w:r>
          </w:p>
        </w:tc>
      </w:tr>
      <w:tr w:rsidR="00280F65" w:rsidRPr="00F03354" w14:paraId="2056F971" w14:textId="77777777" w:rsidTr="007C7407">
        <w:trPr>
          <w:cantSplit/>
          <w:trHeight w:val="750"/>
        </w:trPr>
        <w:tc>
          <w:tcPr>
            <w:tcW w:w="2552" w:type="dxa"/>
          </w:tcPr>
          <w:p w14:paraId="0BF536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7400" w:type="dxa"/>
          </w:tcPr>
          <w:p w14:paraId="592EFA2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5.5% - Achieved</w:t>
            </w:r>
          </w:p>
          <w:p w14:paraId="7A40BB1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5.5% - Not achieved</w:t>
            </w:r>
          </w:p>
        </w:tc>
      </w:tr>
      <w:tr w:rsidR="00280F65" w:rsidRPr="00F03354" w14:paraId="0ABDBA2F" w14:textId="77777777" w:rsidTr="007C7407">
        <w:trPr>
          <w:cantSplit/>
          <w:trHeight w:val="750"/>
        </w:trPr>
        <w:tc>
          <w:tcPr>
            <w:tcW w:w="2552" w:type="dxa"/>
          </w:tcPr>
          <w:p w14:paraId="43AC16A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tcPr>
          <w:p w14:paraId="3BECE94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quarter performance and based on the annual rate.</w:t>
            </w:r>
          </w:p>
        </w:tc>
      </w:tr>
    </w:tbl>
    <w:p w14:paraId="2B9C66CE" w14:textId="77777777" w:rsidR="00280F65" w:rsidRPr="00F03354" w:rsidRDefault="00280F65" w:rsidP="00280F65">
      <w:pPr>
        <w:spacing w:after="120" w:line="270" w:lineRule="atLeast"/>
        <w:rPr>
          <w:rFonts w:ascii="VIC" w:eastAsia="Times" w:hAnsi="VIC" w:cs="Times New Roman"/>
          <w:sz w:val="20"/>
          <w:szCs w:val="20"/>
        </w:rPr>
      </w:pPr>
    </w:p>
    <w:p w14:paraId="2A20BC7D" w14:textId="77777777" w:rsidR="00280F65" w:rsidRPr="00F03354" w:rsidRDefault="00280F65" w:rsidP="00280F65">
      <w:pPr>
        <w:spacing w:after="0" w:line="240" w:lineRule="auto"/>
        <w:rPr>
          <w:rFonts w:ascii="VIC" w:eastAsia="Times New Roman" w:hAnsi="VIC" w:cs="Times New Roman"/>
          <w:sz w:val="20"/>
          <w:szCs w:val="20"/>
        </w:rPr>
      </w:pPr>
      <w:r w:rsidRPr="00F03354">
        <w:rPr>
          <w:rFonts w:ascii="VIC" w:eastAsia="Times New Roman" w:hAnsi="VIC" w:cs="Times New Roman"/>
          <w:b/>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F03354" w14:paraId="6014A967" w14:textId="77777777" w:rsidTr="007C7407">
        <w:trPr>
          <w:cantSplit/>
          <w:trHeight w:val="60"/>
          <w:tblHeader/>
        </w:trPr>
        <w:tc>
          <w:tcPr>
            <w:tcW w:w="2552" w:type="dxa"/>
            <w:shd w:val="clear" w:color="auto" w:fill="244C5A"/>
          </w:tcPr>
          <w:p w14:paraId="44EBBE1C"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400" w:type="dxa"/>
            <w:shd w:val="clear" w:color="auto" w:fill="244C5A"/>
          </w:tcPr>
          <w:p w14:paraId="22E9029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unplanned readmissions to any hospital campus following management of heart failure, per 100 periods of care</w:t>
            </w:r>
          </w:p>
        </w:tc>
      </w:tr>
      <w:tr w:rsidR="00280F65" w:rsidRPr="00F03354" w14:paraId="1B4DEA23" w14:textId="77777777" w:rsidTr="007C7407">
        <w:trPr>
          <w:cantSplit/>
          <w:trHeight w:val="60"/>
        </w:trPr>
        <w:tc>
          <w:tcPr>
            <w:tcW w:w="2552" w:type="dxa"/>
          </w:tcPr>
          <w:p w14:paraId="13B3B2C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tcPr>
          <w:p w14:paraId="6FDD63E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readmissions to any hospital within 30 days of patients’ separation, for management of heart failure.</w:t>
            </w:r>
          </w:p>
        </w:tc>
      </w:tr>
      <w:tr w:rsidR="00280F65" w:rsidRPr="00F03354" w14:paraId="1268062A" w14:textId="77777777" w:rsidTr="007C7407">
        <w:trPr>
          <w:cantSplit/>
          <w:trHeight w:val="60"/>
        </w:trPr>
        <w:tc>
          <w:tcPr>
            <w:tcW w:w="2552" w:type="dxa"/>
          </w:tcPr>
          <w:p w14:paraId="171BFF2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tcPr>
          <w:p w14:paraId="28177A9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27C6D86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management of heart failure.</w:t>
            </w:r>
          </w:p>
        </w:tc>
      </w:tr>
      <w:tr w:rsidR="00280F65" w:rsidRPr="00F03354" w14:paraId="42920909" w14:textId="77777777" w:rsidTr="007C7407">
        <w:trPr>
          <w:cantSplit/>
          <w:trHeight w:val="60"/>
        </w:trPr>
        <w:tc>
          <w:tcPr>
            <w:tcW w:w="2552" w:type="dxa"/>
          </w:tcPr>
          <w:p w14:paraId="3BC135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tcPr>
          <w:p w14:paraId="7E312AB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numerator, the period of care is a readmission to any hospital following a period of care for heart failure and the principal diagnosis of the readmission having a principal diagnosis code listed in the numerator computation.</w:t>
            </w:r>
          </w:p>
          <w:p w14:paraId="3F404795"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Number of unplanned readmissions to the any hospital following management of heart failure.</w:t>
            </w:r>
          </w:p>
          <w:p w14:paraId="2006F347"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Principal diagnosis code in (‘I50’, 'J18’, 'I21’, 'I95’, 'I42’, 'R55’, 'J90’, 'J22’, 'J96’, 'E86’, 'J15’, 'R42’, 'I26')</w:t>
            </w:r>
          </w:p>
          <w:p w14:paraId="45AF9D98"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And Care Type = '4-Acute'</w:t>
            </w:r>
          </w:p>
          <w:p w14:paraId="7D3DAFE6"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 xml:space="preserve">And Admission type is Emergency (Admission Type in ('O', 'C')) </w:t>
            </w:r>
          </w:p>
        </w:tc>
      </w:tr>
      <w:tr w:rsidR="00280F65" w:rsidRPr="00F03354" w14:paraId="5AB89F00" w14:textId="77777777" w:rsidTr="007C7407">
        <w:trPr>
          <w:cantSplit/>
          <w:trHeight w:val="60"/>
        </w:trPr>
        <w:tc>
          <w:tcPr>
            <w:tcW w:w="2552" w:type="dxa"/>
          </w:tcPr>
          <w:p w14:paraId="7771691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400" w:type="dxa"/>
          </w:tcPr>
          <w:p w14:paraId="54DAB5B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includes acute periods of care for heart failure, defined as having a principal diagnosis code listed in the denominator computation but excluding periods of care in which the separation mode was death or left against medical advice. The length of stay of the period of care must be at least 1 day, and the patient must be 15 years of age or older.</w:t>
            </w:r>
          </w:p>
          <w:p w14:paraId="6579CCE0"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Number of periods of care for heart failure.</w:t>
            </w:r>
          </w:p>
          <w:p w14:paraId="0CB58B57"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Principal diagnosis code in (‘I50’, ‘I11’, ‘I13’)</w:t>
            </w:r>
          </w:p>
          <w:p w14:paraId="2BAF338A"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And Care Type = '4-Acute'</w:t>
            </w:r>
          </w:p>
          <w:p w14:paraId="7B59120A"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And Length of stay &gt;= 1 day</w:t>
            </w:r>
          </w:p>
          <w:p w14:paraId="231612D4"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 xml:space="preserve">And Age is &gt;= 15 years </w:t>
            </w:r>
          </w:p>
          <w:p w14:paraId="20DD18F9"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And Admission type is Emergency (Admission Type in ('O', 'C'))</w:t>
            </w:r>
          </w:p>
          <w:p w14:paraId="5D13C6A5" w14:textId="77777777" w:rsidR="00280F65" w:rsidRPr="00F03354" w:rsidRDefault="00280F65" w:rsidP="00280F65">
            <w:pPr>
              <w:spacing w:after="0" w:line="270" w:lineRule="atLeast"/>
              <w:rPr>
                <w:rFonts w:ascii="VIC" w:eastAsia="Arial" w:hAnsi="VIC" w:cs="Arial"/>
                <w:sz w:val="20"/>
                <w:szCs w:val="20"/>
              </w:rPr>
            </w:pPr>
            <w:r w:rsidRPr="00F03354">
              <w:rPr>
                <w:rFonts w:ascii="VIC" w:eastAsia="Arial" w:hAnsi="VIC" w:cs="Arial"/>
                <w:sz w:val="20"/>
                <w:szCs w:val="20"/>
              </w:rPr>
              <w:t xml:space="preserve">And Separation Mode NOT IN ('D-Death', 'Z-Left against medical advice') </w:t>
            </w:r>
          </w:p>
        </w:tc>
      </w:tr>
      <w:tr w:rsidR="00280F65" w:rsidRPr="00F03354" w14:paraId="1F4633AA" w14:textId="77777777" w:rsidTr="007C7407">
        <w:trPr>
          <w:cantSplit/>
          <w:trHeight w:val="60"/>
        </w:trPr>
        <w:tc>
          <w:tcPr>
            <w:tcW w:w="2552" w:type="dxa"/>
          </w:tcPr>
          <w:p w14:paraId="77B8B4E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tcPr>
          <w:p w14:paraId="04006C45" w14:textId="3332D27A"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11.3%</w:t>
            </w:r>
          </w:p>
        </w:tc>
      </w:tr>
      <w:tr w:rsidR="00280F65" w:rsidRPr="00F03354" w14:paraId="07A1D232" w14:textId="77777777" w:rsidTr="007C7407">
        <w:trPr>
          <w:cantSplit/>
          <w:trHeight w:val="750"/>
        </w:trPr>
        <w:tc>
          <w:tcPr>
            <w:tcW w:w="2552" w:type="dxa"/>
          </w:tcPr>
          <w:p w14:paraId="6338B4C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7400" w:type="dxa"/>
          </w:tcPr>
          <w:p w14:paraId="117B529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11.3% - Achieved</w:t>
            </w:r>
          </w:p>
          <w:p w14:paraId="431B413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11.3% - Not achieved</w:t>
            </w:r>
          </w:p>
        </w:tc>
      </w:tr>
      <w:tr w:rsidR="00280F65" w:rsidRPr="00F03354" w14:paraId="3F8AA330" w14:textId="77777777" w:rsidTr="007C7407">
        <w:trPr>
          <w:cantSplit/>
          <w:trHeight w:val="750"/>
        </w:trPr>
        <w:tc>
          <w:tcPr>
            <w:tcW w:w="2552" w:type="dxa"/>
          </w:tcPr>
          <w:p w14:paraId="66097B4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tcPr>
          <w:p w14:paraId="14CAB4E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quarter performance and based on the annual rate (outlier status).</w:t>
            </w:r>
          </w:p>
        </w:tc>
      </w:tr>
    </w:tbl>
    <w:p w14:paraId="44A334CA" w14:textId="77777777" w:rsidR="00280F65" w:rsidRPr="00F03354" w:rsidRDefault="00280F65" w:rsidP="00280F65">
      <w:pPr>
        <w:spacing w:after="120" w:line="270" w:lineRule="atLeast"/>
        <w:rPr>
          <w:rFonts w:ascii="VIC" w:eastAsia="Times" w:hAnsi="VIC" w:cs="Times New Roman"/>
          <w:sz w:val="20"/>
          <w:szCs w:val="20"/>
        </w:rPr>
      </w:pPr>
    </w:p>
    <w:p w14:paraId="442D06BE" w14:textId="77777777" w:rsidR="00280F65" w:rsidRPr="00F03354" w:rsidRDefault="00280F65" w:rsidP="00280F65">
      <w:pPr>
        <w:rPr>
          <w:rFonts w:ascii="VIC" w:eastAsia="Times New Roman" w:hAnsi="VIC" w:cs="Times New Roman"/>
          <w:sz w:val="20"/>
          <w:szCs w:val="20"/>
        </w:rPr>
      </w:pPr>
      <w:r w:rsidRPr="00F03354">
        <w:rPr>
          <w:rFonts w:ascii="VIC" w:eastAsia="Times New Roman"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F03354" w14:paraId="44908D3E" w14:textId="77777777" w:rsidTr="007C7407">
        <w:trPr>
          <w:cantSplit/>
          <w:trHeight w:val="60"/>
          <w:tblHeader/>
        </w:trPr>
        <w:tc>
          <w:tcPr>
            <w:tcW w:w="2552" w:type="dxa"/>
            <w:shd w:val="clear" w:color="auto" w:fill="244C5A"/>
          </w:tcPr>
          <w:p w14:paraId="0E688D4E"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400" w:type="dxa"/>
            <w:shd w:val="clear" w:color="auto" w:fill="244C5A"/>
          </w:tcPr>
          <w:p w14:paraId="5C019A7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Rate of unplanned readmissions to any hospital following a paediatric tonsillectomy and adenoidectomy surgery procedure, per 100 periods of care</w:t>
            </w:r>
          </w:p>
        </w:tc>
      </w:tr>
      <w:tr w:rsidR="00280F65" w:rsidRPr="00F03354" w14:paraId="1842F026" w14:textId="77777777" w:rsidTr="007C7407">
        <w:trPr>
          <w:cantSplit/>
          <w:trHeight w:val="60"/>
        </w:trPr>
        <w:tc>
          <w:tcPr>
            <w:tcW w:w="2552" w:type="dxa"/>
          </w:tcPr>
          <w:p w14:paraId="788769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tcPr>
          <w:p w14:paraId="7DEA15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readmissions to any hospital within 15 days of patients’ separation, following a paediatric tonsillectomy and adenoidectomy surgery procedure.</w:t>
            </w:r>
          </w:p>
        </w:tc>
      </w:tr>
      <w:tr w:rsidR="00280F65" w:rsidRPr="00F03354" w14:paraId="725B3713" w14:textId="77777777" w:rsidTr="007C7407">
        <w:trPr>
          <w:cantSplit/>
          <w:trHeight w:val="60"/>
        </w:trPr>
        <w:tc>
          <w:tcPr>
            <w:tcW w:w="2552" w:type="dxa"/>
          </w:tcPr>
          <w:p w14:paraId="5B03A76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tcPr>
          <w:p w14:paraId="363A5D8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Hospital-based outcome indicators for unplanned / unexpected readmissions are focused on improving safety and quality of patient care. High rates should be seen as a prompt to further investigation. Learnings may be applied from low rates.</w:t>
            </w:r>
          </w:p>
          <w:p w14:paraId="782303F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Unplanned and unexpected readmissions to any hospital where the principal diagnosis and readmission interval indicate that the readmission may be related to the care provided by the hospital during the patient’s period of care for the paediatric tonsillectomy and adenoidectomy procedure.</w:t>
            </w:r>
          </w:p>
        </w:tc>
      </w:tr>
      <w:tr w:rsidR="00280F65" w:rsidRPr="00F03354" w14:paraId="737997EA" w14:textId="77777777" w:rsidTr="007C7407">
        <w:trPr>
          <w:cantSplit/>
          <w:trHeight w:val="60"/>
        </w:trPr>
        <w:tc>
          <w:tcPr>
            <w:tcW w:w="2552" w:type="dxa"/>
          </w:tcPr>
          <w:p w14:paraId="305CBDE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tcPr>
          <w:p w14:paraId="70EF07D5" w14:textId="77777777" w:rsidR="00280F65" w:rsidRPr="00F03354" w:rsidRDefault="00280F65" w:rsidP="00280F65">
            <w:pPr>
              <w:spacing w:before="80" w:after="60" w:line="270" w:lineRule="atLeast"/>
              <w:rPr>
                <w:rFonts w:ascii="VIC" w:eastAsia="Times New Roman" w:hAnsi="VIC" w:cs="Times New Roman"/>
                <w:sz w:val="20"/>
                <w:szCs w:val="20"/>
              </w:rPr>
            </w:pPr>
            <w:r w:rsidRPr="00F03354">
              <w:rPr>
                <w:rFonts w:ascii="VIC" w:eastAsia="Times New Roman" w:hAnsi="VIC" w:cs="Times New Roman"/>
                <w:sz w:val="20"/>
                <w:szCs w:val="20"/>
              </w:rPr>
              <w:t>For the numerator, the period of care is a readmission to any hospital following a period of care for paediatric tonsillectomy and adenoidectomy procedure and the principal diagnosis of the readmission having a principal diagnosis code listed in the numerator computation.</w:t>
            </w:r>
          </w:p>
          <w:p w14:paraId="1D0C754F" w14:textId="77777777" w:rsidR="00280F65" w:rsidRPr="00F03354" w:rsidRDefault="00280F65" w:rsidP="00280F65">
            <w:pPr>
              <w:spacing w:before="80" w:after="60" w:line="270" w:lineRule="atLeast"/>
              <w:rPr>
                <w:rFonts w:ascii="VIC" w:eastAsia="Arial" w:hAnsi="VIC" w:cs="Arial"/>
                <w:sz w:val="20"/>
                <w:szCs w:val="20"/>
              </w:rPr>
            </w:pPr>
            <w:r w:rsidRPr="00F03354">
              <w:rPr>
                <w:rFonts w:ascii="VIC" w:eastAsia="Arial" w:hAnsi="VIC" w:cs="Arial"/>
                <w:sz w:val="20"/>
                <w:szCs w:val="20"/>
              </w:rPr>
              <w:t>Number of unplanned readmissions to the any hospital following a paediatric tonsillectomy and adenoidectomy procedure.</w:t>
            </w:r>
          </w:p>
          <w:p w14:paraId="01FD2627" w14:textId="77777777" w:rsidR="00280F65" w:rsidRPr="00F03354" w:rsidRDefault="00280F65" w:rsidP="00280F65">
            <w:pPr>
              <w:spacing w:before="80" w:after="60" w:line="270" w:lineRule="atLeast"/>
              <w:rPr>
                <w:rFonts w:ascii="VIC" w:eastAsia="Arial" w:hAnsi="VIC" w:cs="Arial"/>
                <w:sz w:val="20"/>
                <w:szCs w:val="20"/>
              </w:rPr>
            </w:pPr>
            <w:r w:rsidRPr="00F03354">
              <w:rPr>
                <w:rFonts w:ascii="VIC" w:eastAsia="Arial" w:hAnsi="VIC" w:cs="Arial"/>
                <w:sz w:val="20"/>
                <w:szCs w:val="20"/>
              </w:rPr>
              <w:t>Principal diagnosis code in (‘E16.2','E86','E89.8','E89.9','G47.0','G47.32','H65.3','H65.9','H66.0',</w:t>
            </w:r>
          </w:p>
          <w:p w14:paraId="67AD6076" w14:textId="77777777" w:rsidR="00280F65" w:rsidRPr="00F03354" w:rsidRDefault="00280F65" w:rsidP="00280F65">
            <w:pPr>
              <w:spacing w:before="80" w:after="60" w:line="270" w:lineRule="atLeast"/>
              <w:rPr>
                <w:rFonts w:ascii="VIC" w:eastAsia="Arial" w:hAnsi="VIC" w:cs="Arial"/>
                <w:sz w:val="20"/>
                <w:szCs w:val="20"/>
              </w:rPr>
            </w:pPr>
            <w:r w:rsidRPr="00F03354">
              <w:rPr>
                <w:rFonts w:ascii="VIC" w:eastAsia="Arial" w:hAnsi="VIC" w:cs="Arial"/>
                <w:sz w:val="20"/>
                <w:szCs w:val="20"/>
              </w:rPr>
              <w:t>'H66.9','I88.9','J01.9','J02.9','J03.x','J06.x','J18.x','J20.9','J21.9','J22',</w:t>
            </w:r>
          </w:p>
          <w:p w14:paraId="015A74DA" w14:textId="77777777" w:rsidR="00280F65" w:rsidRPr="00F03354" w:rsidRDefault="00280F65" w:rsidP="00280F65">
            <w:pPr>
              <w:spacing w:before="80" w:after="60" w:line="270" w:lineRule="atLeast"/>
              <w:rPr>
                <w:rFonts w:ascii="VIC" w:eastAsia="Arial" w:hAnsi="VIC" w:cs="Arial"/>
                <w:sz w:val="20"/>
                <w:szCs w:val="20"/>
              </w:rPr>
            </w:pPr>
            <w:r w:rsidRPr="00F03354">
              <w:rPr>
                <w:rFonts w:ascii="VIC" w:eastAsia="Arial" w:hAnsi="VIC" w:cs="Arial"/>
                <w:sz w:val="20"/>
                <w:szCs w:val="20"/>
              </w:rPr>
              <w:t>'J32.9','J35.x','J36','J39.1','J39.2','J69.0','J95.89','J95.9','K91.0',</w:t>
            </w:r>
          </w:p>
          <w:p w14:paraId="06417B7B" w14:textId="77777777" w:rsidR="00280F65" w:rsidRPr="00F03354" w:rsidRDefault="00280F65" w:rsidP="00280F65">
            <w:pPr>
              <w:spacing w:before="80" w:after="60" w:line="270" w:lineRule="atLeast"/>
              <w:rPr>
                <w:rFonts w:ascii="VIC" w:eastAsia="Arial" w:hAnsi="VIC" w:cs="Arial"/>
                <w:sz w:val="20"/>
                <w:szCs w:val="20"/>
              </w:rPr>
            </w:pPr>
            <w:r w:rsidRPr="00F03354">
              <w:rPr>
                <w:rFonts w:ascii="VIC" w:eastAsia="Arial" w:hAnsi="VIC" w:cs="Arial"/>
                <w:sz w:val="20"/>
                <w:szCs w:val="20"/>
              </w:rPr>
              <w:t>'K91.89','K91.9','K92.0','R04.0','R04.1','R04.2','R06.0','R06.1','R06.5',</w:t>
            </w:r>
          </w:p>
          <w:p w14:paraId="192ADE93" w14:textId="77777777" w:rsidR="00280F65" w:rsidRPr="00F03354" w:rsidRDefault="00280F65" w:rsidP="00280F65">
            <w:pPr>
              <w:spacing w:before="80" w:after="60" w:line="270" w:lineRule="atLeast"/>
              <w:rPr>
                <w:rFonts w:ascii="VIC" w:eastAsia="Arial" w:hAnsi="VIC" w:cs="Arial"/>
                <w:sz w:val="20"/>
                <w:szCs w:val="20"/>
              </w:rPr>
            </w:pPr>
            <w:r w:rsidRPr="00F03354">
              <w:rPr>
                <w:rFonts w:ascii="VIC" w:eastAsia="Arial" w:hAnsi="VIC" w:cs="Arial"/>
                <w:sz w:val="20"/>
                <w:szCs w:val="20"/>
              </w:rPr>
              <w:t>'R06.8','R07.0','R11','R13','R50.x','R52.9','R53','R56.x','R58','R63.0',</w:t>
            </w:r>
          </w:p>
          <w:p w14:paraId="1CA977EB" w14:textId="77777777" w:rsidR="00280F65" w:rsidRPr="00F03354" w:rsidRDefault="00280F65" w:rsidP="00280F65">
            <w:pPr>
              <w:spacing w:before="80" w:after="60" w:line="270" w:lineRule="atLeast"/>
              <w:rPr>
                <w:rFonts w:ascii="VIC" w:eastAsia="Arial" w:hAnsi="VIC" w:cs="Arial"/>
                <w:sz w:val="20"/>
                <w:szCs w:val="20"/>
              </w:rPr>
            </w:pPr>
            <w:r w:rsidRPr="00F03354">
              <w:rPr>
                <w:rFonts w:ascii="VIC" w:eastAsia="Arial" w:hAnsi="VIC" w:cs="Arial"/>
                <w:sz w:val="20"/>
                <w:szCs w:val="20"/>
              </w:rPr>
              <w:t>'R63.3','R63.8','T39.1','T40.2','T81','T88.8','T88.9','Z03.8','Z03.9','Z48.x')</w:t>
            </w:r>
          </w:p>
          <w:p w14:paraId="2C6A23A8" w14:textId="77777777" w:rsidR="00280F65" w:rsidRPr="00F03354" w:rsidRDefault="00280F65" w:rsidP="00280F65">
            <w:pPr>
              <w:spacing w:before="80" w:after="60" w:line="270" w:lineRule="atLeast"/>
              <w:rPr>
                <w:rFonts w:ascii="VIC" w:eastAsia="Arial" w:hAnsi="VIC" w:cs="Arial"/>
                <w:sz w:val="20"/>
                <w:szCs w:val="20"/>
              </w:rPr>
            </w:pPr>
            <w:r w:rsidRPr="00F03354">
              <w:rPr>
                <w:rFonts w:ascii="VIC" w:eastAsia="Arial" w:hAnsi="VIC" w:cs="Arial"/>
                <w:sz w:val="20"/>
                <w:szCs w:val="20"/>
              </w:rPr>
              <w:t>And</w:t>
            </w:r>
          </w:p>
          <w:p w14:paraId="7EE6B34D" w14:textId="77777777" w:rsidR="00280F65" w:rsidRPr="00F03354" w:rsidRDefault="00280F65" w:rsidP="00280F65">
            <w:pPr>
              <w:spacing w:before="80" w:after="60" w:line="270" w:lineRule="atLeast"/>
              <w:rPr>
                <w:rFonts w:ascii="VIC" w:eastAsia="Arial" w:hAnsi="VIC" w:cs="Arial"/>
                <w:sz w:val="20"/>
                <w:szCs w:val="20"/>
              </w:rPr>
            </w:pPr>
            <w:r w:rsidRPr="00F03354">
              <w:rPr>
                <w:rFonts w:ascii="VIC" w:eastAsia="Arial" w:hAnsi="VIC" w:cs="Arial"/>
                <w:sz w:val="20"/>
                <w:szCs w:val="20"/>
              </w:rPr>
              <w:t>Care Type = '4-Acute'</w:t>
            </w:r>
          </w:p>
        </w:tc>
      </w:tr>
      <w:tr w:rsidR="00280F65" w:rsidRPr="00F03354" w14:paraId="67AF3C86" w14:textId="77777777" w:rsidTr="007C7407">
        <w:trPr>
          <w:cantSplit/>
          <w:trHeight w:val="60"/>
        </w:trPr>
        <w:tc>
          <w:tcPr>
            <w:tcW w:w="2552" w:type="dxa"/>
          </w:tcPr>
          <w:p w14:paraId="1AC5F17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 xml:space="preserve">Denominator </w:t>
            </w:r>
          </w:p>
        </w:tc>
        <w:tc>
          <w:tcPr>
            <w:tcW w:w="7400" w:type="dxa"/>
          </w:tcPr>
          <w:p w14:paraId="36CCDC50" w14:textId="77777777" w:rsidR="00280F65" w:rsidRPr="00F03354" w:rsidRDefault="00280F65" w:rsidP="00280F65">
            <w:pPr>
              <w:spacing w:before="80" w:afterLines="60" w:after="144" w:line="270" w:lineRule="atLeast"/>
              <w:rPr>
                <w:rFonts w:ascii="VIC" w:eastAsia="Arial" w:hAnsi="VIC" w:cs="Arial"/>
                <w:sz w:val="20"/>
                <w:szCs w:val="20"/>
              </w:rPr>
            </w:pPr>
            <w:r w:rsidRPr="00F03354">
              <w:rPr>
                <w:rFonts w:ascii="VIC" w:eastAsia="Arial" w:hAnsi="VIC" w:cs="Arial"/>
                <w:sz w:val="20"/>
                <w:szCs w:val="20"/>
              </w:rPr>
              <w:t>The denominator includes acute periods of care for paediatric tonsillectomy and adenoidectomy procedure, defined as having a procedure code listed in the denominator computation but excluding periods of care in which the separation mode was death or left against medical advice. The length of stay of the period of care must be less than or equal to 30 days, and the patient must be between 0 and 14 years of age (inclusive).</w:t>
            </w:r>
          </w:p>
          <w:p w14:paraId="6C2CB57D" w14:textId="77777777" w:rsidR="00280F65" w:rsidRPr="00F03354" w:rsidRDefault="00280F65" w:rsidP="00280F65">
            <w:pPr>
              <w:spacing w:before="80" w:afterLines="60" w:after="144" w:line="270" w:lineRule="atLeast"/>
              <w:rPr>
                <w:rFonts w:ascii="VIC" w:eastAsia="Arial" w:hAnsi="VIC" w:cs="Arial"/>
                <w:sz w:val="20"/>
                <w:szCs w:val="20"/>
              </w:rPr>
            </w:pPr>
            <w:r w:rsidRPr="00F03354">
              <w:rPr>
                <w:rFonts w:ascii="VIC" w:eastAsia="Arial" w:hAnsi="VIC" w:cs="Arial"/>
                <w:sz w:val="20"/>
                <w:szCs w:val="20"/>
              </w:rPr>
              <w:t>Number of periods of care for paediatric tonsillectomy and adenoidectomy procedure.</w:t>
            </w:r>
          </w:p>
          <w:p w14:paraId="0A3B60BE" w14:textId="77777777" w:rsidR="00280F65" w:rsidRPr="00F03354" w:rsidRDefault="00280F65" w:rsidP="00280F65">
            <w:pPr>
              <w:spacing w:before="80" w:afterLines="60" w:after="144" w:line="270" w:lineRule="atLeast"/>
              <w:rPr>
                <w:rFonts w:ascii="VIC" w:eastAsia="Arial" w:hAnsi="VIC" w:cs="Arial"/>
                <w:sz w:val="20"/>
                <w:szCs w:val="20"/>
              </w:rPr>
            </w:pPr>
            <w:r w:rsidRPr="00F03354">
              <w:rPr>
                <w:rFonts w:ascii="VIC" w:eastAsia="Arial" w:hAnsi="VIC" w:cs="Arial"/>
                <w:sz w:val="20"/>
                <w:szCs w:val="20"/>
              </w:rPr>
              <w:t>Procedure code in (41789-00, 41801-00, 41789-01) (Any position)</w:t>
            </w:r>
          </w:p>
          <w:p w14:paraId="22FB14E5" w14:textId="77777777" w:rsidR="00280F65" w:rsidRPr="00F03354" w:rsidRDefault="00280F65" w:rsidP="00280F65">
            <w:pPr>
              <w:spacing w:before="80" w:afterLines="60" w:after="144" w:line="270" w:lineRule="atLeast"/>
              <w:rPr>
                <w:rFonts w:ascii="VIC" w:eastAsia="Arial" w:hAnsi="VIC" w:cs="Arial"/>
                <w:sz w:val="20"/>
                <w:szCs w:val="20"/>
              </w:rPr>
            </w:pPr>
            <w:r w:rsidRPr="00F03354">
              <w:rPr>
                <w:rFonts w:ascii="VIC" w:eastAsia="Arial" w:hAnsi="VIC" w:cs="Arial"/>
                <w:sz w:val="20"/>
                <w:szCs w:val="20"/>
              </w:rPr>
              <w:t>And Care Type = '4-Acute'</w:t>
            </w:r>
          </w:p>
          <w:p w14:paraId="155D4DB1" w14:textId="77777777" w:rsidR="00280F65" w:rsidRPr="00F03354" w:rsidRDefault="00280F65" w:rsidP="00280F65">
            <w:pPr>
              <w:spacing w:before="80" w:afterLines="60" w:after="144" w:line="270" w:lineRule="atLeast"/>
              <w:rPr>
                <w:rFonts w:ascii="VIC" w:eastAsia="Arial" w:hAnsi="VIC" w:cs="Arial"/>
                <w:sz w:val="20"/>
                <w:szCs w:val="20"/>
              </w:rPr>
            </w:pPr>
            <w:r w:rsidRPr="00F03354">
              <w:rPr>
                <w:rFonts w:ascii="VIC" w:eastAsia="Arial" w:hAnsi="VIC" w:cs="Arial"/>
                <w:sz w:val="20"/>
                <w:szCs w:val="20"/>
              </w:rPr>
              <w:t>And Length of stay &lt;= 30 days</w:t>
            </w:r>
          </w:p>
          <w:p w14:paraId="377A3121" w14:textId="77777777" w:rsidR="00280F65" w:rsidRPr="00F03354" w:rsidRDefault="00280F65" w:rsidP="00280F65">
            <w:pPr>
              <w:spacing w:before="80" w:afterLines="60" w:after="144" w:line="270" w:lineRule="atLeast"/>
              <w:rPr>
                <w:rFonts w:ascii="VIC" w:eastAsia="Arial" w:hAnsi="VIC" w:cs="Arial"/>
                <w:sz w:val="20"/>
                <w:szCs w:val="20"/>
              </w:rPr>
            </w:pPr>
            <w:r w:rsidRPr="00F03354">
              <w:rPr>
                <w:rFonts w:ascii="VIC" w:eastAsia="Arial" w:hAnsi="VIC" w:cs="Arial"/>
                <w:sz w:val="20"/>
                <w:szCs w:val="20"/>
              </w:rPr>
              <w:t xml:space="preserve">And Age is &lt;= 14 years </w:t>
            </w:r>
          </w:p>
          <w:p w14:paraId="65BB90CF" w14:textId="77777777" w:rsidR="00280F65" w:rsidRPr="00F03354" w:rsidRDefault="00280F65" w:rsidP="00280F65">
            <w:pPr>
              <w:spacing w:before="80" w:afterLines="60" w:after="144" w:line="270" w:lineRule="atLeast"/>
              <w:rPr>
                <w:rFonts w:ascii="VIC" w:eastAsia="Arial" w:hAnsi="VIC" w:cs="Arial"/>
                <w:sz w:val="20"/>
                <w:szCs w:val="20"/>
              </w:rPr>
            </w:pPr>
            <w:r w:rsidRPr="00F03354">
              <w:rPr>
                <w:rFonts w:ascii="VIC" w:eastAsia="Arial" w:hAnsi="VIC" w:cs="Arial"/>
                <w:sz w:val="20"/>
                <w:szCs w:val="20"/>
              </w:rPr>
              <w:t>And Separation Mode NOT IN ('D-Death', 'Z-Left against medical advice')</w:t>
            </w:r>
          </w:p>
        </w:tc>
      </w:tr>
      <w:tr w:rsidR="00280F65" w:rsidRPr="00F03354" w14:paraId="483F5B4B" w14:textId="77777777" w:rsidTr="007C7407">
        <w:trPr>
          <w:cantSplit/>
          <w:trHeight w:val="60"/>
        </w:trPr>
        <w:tc>
          <w:tcPr>
            <w:tcW w:w="2552" w:type="dxa"/>
          </w:tcPr>
          <w:p w14:paraId="48B1CD0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tcPr>
          <w:p w14:paraId="6813520B" w14:textId="3FC16664"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3.7%</w:t>
            </w:r>
          </w:p>
        </w:tc>
      </w:tr>
      <w:tr w:rsidR="00280F65" w:rsidRPr="00F03354" w14:paraId="50D8B575" w14:textId="77777777" w:rsidTr="007C7407">
        <w:trPr>
          <w:cantSplit/>
          <w:trHeight w:val="750"/>
        </w:trPr>
        <w:tc>
          <w:tcPr>
            <w:tcW w:w="2552" w:type="dxa"/>
          </w:tcPr>
          <w:p w14:paraId="419E2A4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7400" w:type="dxa"/>
          </w:tcPr>
          <w:p w14:paraId="6BC8E46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3.7% - Achieved</w:t>
            </w:r>
          </w:p>
          <w:p w14:paraId="14EFDC0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3.7% - Not achieved</w:t>
            </w:r>
          </w:p>
        </w:tc>
      </w:tr>
      <w:tr w:rsidR="00280F65" w:rsidRPr="00F03354" w14:paraId="547AF93F" w14:textId="77777777" w:rsidTr="007C7407">
        <w:trPr>
          <w:cantSplit/>
          <w:trHeight w:val="750"/>
        </w:trPr>
        <w:tc>
          <w:tcPr>
            <w:tcW w:w="2552" w:type="dxa"/>
          </w:tcPr>
          <w:p w14:paraId="24B63D3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tcPr>
          <w:p w14:paraId="7E566C0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quarter performance and based on the annual rate (outlier status).</w:t>
            </w:r>
          </w:p>
        </w:tc>
      </w:tr>
    </w:tbl>
    <w:p w14:paraId="0CB8C26D" w14:textId="77777777" w:rsidR="00280F65" w:rsidRPr="00F03354" w:rsidRDefault="00280F65" w:rsidP="00280F65">
      <w:pPr>
        <w:rPr>
          <w:rFonts w:ascii="VIC" w:eastAsia="Times New Roman" w:hAnsi="VIC" w:cs="Times New Roman"/>
          <w:sz w:val="20"/>
          <w:szCs w:val="20"/>
        </w:rPr>
      </w:pPr>
      <w:r w:rsidRPr="00F03354">
        <w:rPr>
          <w:rFonts w:ascii="VIC" w:eastAsia="Times New Roman" w:hAnsi="VIC" w:cs="Times New Roman"/>
          <w:sz w:val="20"/>
          <w:szCs w:val="20"/>
        </w:rPr>
        <w:br w:type="page"/>
      </w:r>
    </w:p>
    <w:p w14:paraId="27078F97" w14:textId="77777777" w:rsidR="00280F65" w:rsidRPr="00F03354" w:rsidRDefault="00280F65" w:rsidP="00280F65">
      <w:pPr>
        <w:spacing w:after="0" w:line="240" w:lineRule="auto"/>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F03354" w14:paraId="0B2AF4D6" w14:textId="77777777" w:rsidTr="007C7407">
        <w:trPr>
          <w:cantSplit/>
          <w:trHeight w:val="60"/>
          <w:tblHeader/>
        </w:trPr>
        <w:tc>
          <w:tcPr>
            <w:tcW w:w="2581" w:type="dxa"/>
            <w:shd w:val="clear" w:color="auto" w:fill="244C5A"/>
            <w:vAlign w:val="bottom"/>
          </w:tcPr>
          <w:p w14:paraId="681C4BFA"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371" w:type="dxa"/>
            <w:shd w:val="clear" w:color="auto" w:fill="244C5A"/>
            <w:vAlign w:val="bottom"/>
          </w:tcPr>
          <w:p w14:paraId="209B918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Unplanned and potentially preventable readmission of mother within 28 days of discharge from a birthing admission</w:t>
            </w:r>
          </w:p>
        </w:tc>
      </w:tr>
      <w:tr w:rsidR="00280F65" w:rsidRPr="00F03354" w14:paraId="42100059" w14:textId="77777777" w:rsidTr="007C7407">
        <w:trPr>
          <w:cantSplit/>
          <w:trHeight w:val="60"/>
        </w:trPr>
        <w:tc>
          <w:tcPr>
            <w:tcW w:w="2581" w:type="dxa"/>
          </w:tcPr>
          <w:p w14:paraId="09FF74D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tcPr>
          <w:p w14:paraId="2831E6F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rate of unplanned and potentially preventable readmissions of women within 28 days of discharge from hospital following a birthing admission.</w:t>
            </w:r>
          </w:p>
          <w:p w14:paraId="1D769EE6" w14:textId="07FD8E1D"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High quality and coordinated care </w:t>
            </w:r>
            <w:r w:rsidR="001C0FBA" w:rsidRPr="00F03354">
              <w:rPr>
                <w:rFonts w:ascii="VIC" w:eastAsia="Times New Roman" w:hAnsi="VIC" w:cs="Times New Roman"/>
                <w:sz w:val="20"/>
                <w:szCs w:val="20"/>
              </w:rPr>
              <w:t>mean</w:t>
            </w:r>
            <w:r w:rsidRPr="00F03354">
              <w:rPr>
                <w:rFonts w:ascii="VIC" w:eastAsia="Times New Roman" w:hAnsi="VIC" w:cs="Times New Roman"/>
                <w:sz w:val="20"/>
                <w:szCs w:val="20"/>
              </w:rPr>
              <w:t xml:space="preserve"> most women and babies do not return to hospital as an inpatient during the postnatal period. Unplanned and preventable hospital stays during this period reflect a deviation from the normal course of postnatal recovery.</w:t>
            </w:r>
          </w:p>
          <w:p w14:paraId="6ABA991F" w14:textId="2541A503"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Evidence suggests higher readmission rates are associated with inconsistent discharge procedures, poor postnatal care</w:t>
            </w:r>
            <w:r w:rsidR="001C0FBA"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limited support in the community.</w:t>
            </w:r>
          </w:p>
          <w:p w14:paraId="1391239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intersection of hospital-based maternity and newborn services and the community-based maternal and child health service system is a key point of transition within the first six weeks after the birth of a child.</w:t>
            </w:r>
          </w:p>
        </w:tc>
      </w:tr>
      <w:tr w:rsidR="00280F65" w:rsidRPr="00F03354" w14:paraId="3EFB4DB6" w14:textId="77777777" w:rsidTr="007C7407">
        <w:trPr>
          <w:cantSplit/>
          <w:trHeight w:val="60"/>
        </w:trPr>
        <w:tc>
          <w:tcPr>
            <w:tcW w:w="2581" w:type="dxa"/>
          </w:tcPr>
          <w:p w14:paraId="7AEA26A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tcPr>
          <w:p w14:paraId="03D9CA1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Readmissions that meet the criteria for inclusion are attributed to the health service that provided admitted postnatal care to the mother prior to discharge.</w:t>
            </w:r>
          </w:p>
          <w:p w14:paraId="552A536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Women transferred to another health service following a birth separation are excluded from the numerator total, as are women who are readmitted as part of a planned follow-up plan after their birth episode.</w:t>
            </w:r>
          </w:p>
          <w:p w14:paraId="53CDA294" w14:textId="62641996"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Women who present to an emergency department or urgent care centre but are not admitted are excluded from the numerator total.</w:t>
            </w:r>
          </w:p>
          <w:p w14:paraId="12E2E8A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Maternal deaths are excluded from the denominator.</w:t>
            </w:r>
          </w:p>
          <w:p w14:paraId="2603FCD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lagged by one quarter.</w:t>
            </w:r>
          </w:p>
          <w:p w14:paraId="0207004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Reporting thresholds &gt;=10 cases in the denominator.</w:t>
            </w:r>
          </w:p>
          <w:p w14:paraId="61A32EB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Results are assessed and reported quarterly and expressed as percentage.</w:t>
            </w:r>
          </w:p>
          <w:p w14:paraId="4C42EFE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Outlier status (above 99.7% CI) assessed against state-wide rates.</w:t>
            </w:r>
          </w:p>
        </w:tc>
      </w:tr>
      <w:tr w:rsidR="00280F65" w:rsidRPr="00F03354" w14:paraId="614D2CB4" w14:textId="77777777" w:rsidTr="007C7407">
        <w:trPr>
          <w:trHeight w:val="60"/>
        </w:trPr>
        <w:tc>
          <w:tcPr>
            <w:tcW w:w="2581" w:type="dxa"/>
          </w:tcPr>
          <w:p w14:paraId="49E1073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tcPr>
          <w:p w14:paraId="58DDFF5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women readmitted to any health service with a potentially preventable readmission diagnosis code within 28 days of a birthing admission.</w:t>
            </w:r>
          </w:p>
          <w:p w14:paraId="5798FE2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Women who are readmitted and have a primary diagnosis related to their pregnancy or birth are included in the numerator total. However, diagnosis codes that are associated with a complexity that cannot be prevented (or managed) through postnatal care or that are associated with a condition that manifests after discharge from hospital, without any indication of its presence prior to this time, are excluded.</w:t>
            </w:r>
          </w:p>
          <w:p w14:paraId="235AE05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Potentially preventable readmission primary diagnosis codes are limited to the following:</w:t>
            </w:r>
          </w:p>
          <w:p w14:paraId="705CDF43"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delayed and secondary postpartum haemorrhage (ICD10 Code O722)</w:t>
            </w:r>
          </w:p>
          <w:p w14:paraId="35EE0AFF"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infection of obstetric surgical wound (ICD10 Code O860)</w:t>
            </w:r>
          </w:p>
          <w:p w14:paraId="0828A3A5"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puerperal sepsis (ICD10 Code O85)</w:t>
            </w:r>
          </w:p>
          <w:p w14:paraId="1A1A9D9A" w14:textId="09A04681" w:rsidR="00280F65" w:rsidRPr="00F03354" w:rsidRDefault="00540E96"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w:t>
            </w:r>
            <w:r w:rsidR="00280F65" w:rsidRPr="00F03354">
              <w:rPr>
                <w:rFonts w:ascii="VIC" w:eastAsia="Times New Roman" w:hAnsi="VIC" w:cs="Times New Roman"/>
                <w:sz w:val="20"/>
                <w:szCs w:val="20"/>
              </w:rPr>
              <w:t>on</w:t>
            </w:r>
            <w:r w:rsidRPr="00F03354">
              <w:rPr>
                <w:rFonts w:ascii="VIC" w:eastAsia="Times New Roman" w:hAnsi="VIC" w:cs="Times New Roman"/>
                <w:sz w:val="20"/>
                <w:szCs w:val="20"/>
              </w:rPr>
              <w:t>-</w:t>
            </w:r>
            <w:r w:rsidR="00280F65" w:rsidRPr="00F03354">
              <w:rPr>
                <w:rFonts w:ascii="VIC" w:eastAsia="Times New Roman" w:hAnsi="VIC" w:cs="Times New Roman"/>
                <w:sz w:val="20"/>
                <w:szCs w:val="20"/>
              </w:rPr>
              <w:t>purulent mastitis without attachment difficulty (ICD10 Code O9120)</w:t>
            </w:r>
          </w:p>
          <w:p w14:paraId="0A1CDA51"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fitting and adjustment of urinary device (ICD10 Code Z466)</w:t>
            </w:r>
          </w:p>
          <w:p w14:paraId="0FEFFFD7"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spinal epidural headache during puerperium</w:t>
            </w:r>
            <w:r w:rsidRPr="00F03354" w:rsidDel="0085052E">
              <w:rPr>
                <w:rFonts w:ascii="VIC" w:eastAsia="Times New Roman" w:hAnsi="VIC" w:cs="Times New Roman"/>
                <w:sz w:val="20"/>
                <w:szCs w:val="20"/>
              </w:rPr>
              <w:t xml:space="preserve"> </w:t>
            </w:r>
            <w:r w:rsidRPr="00F03354">
              <w:rPr>
                <w:rFonts w:ascii="VIC" w:eastAsia="Times New Roman" w:hAnsi="VIC" w:cs="Times New Roman"/>
                <w:sz w:val="20"/>
                <w:szCs w:val="20"/>
              </w:rPr>
              <w:t>(ICD10 Code O894)</w:t>
            </w:r>
          </w:p>
          <w:p w14:paraId="0536873E"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disruption of perineal obstetric wound (ICD 10 Code O901)</w:t>
            </w:r>
          </w:p>
          <w:p w14:paraId="17EF087A"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pre-eclampsia unspecified (ICD10 Code O149)</w:t>
            </w:r>
          </w:p>
          <w:p w14:paraId="4824F794"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unspecified maternal hypertension (ICD10 Code O16)</w:t>
            </w:r>
          </w:p>
          <w:p w14:paraId="4D3AB8A4" w14:textId="2820B3D9"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An</w:t>
            </w:r>
            <w:r w:rsidR="00EF7754" w:rsidRPr="00F03354">
              <w:rPr>
                <w:rFonts w:ascii="VIC" w:eastAsia="Times New Roman" w:hAnsi="VIC" w:cs="Times New Roman"/>
                <w:sz w:val="20"/>
                <w:szCs w:val="20"/>
              </w:rPr>
              <w:t>a</w:t>
            </w:r>
            <w:r w:rsidRPr="00F03354">
              <w:rPr>
                <w:rFonts w:ascii="VIC" w:eastAsia="Times New Roman" w:hAnsi="VIC" w:cs="Times New Roman"/>
                <w:sz w:val="20"/>
                <w:szCs w:val="20"/>
              </w:rPr>
              <w:t>emia complicating birth and puerperium (ICD10 Code O9903)</w:t>
            </w:r>
          </w:p>
          <w:p w14:paraId="60CA372E"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retained portion placenta and membrane without haemorrhage</w:t>
            </w:r>
            <w:r w:rsidRPr="00F03354" w:rsidDel="0085052E">
              <w:rPr>
                <w:rFonts w:ascii="VIC" w:eastAsia="Times New Roman" w:hAnsi="VIC" w:cs="Times New Roman"/>
                <w:sz w:val="20"/>
                <w:szCs w:val="20"/>
              </w:rPr>
              <w:t xml:space="preserve"> </w:t>
            </w:r>
            <w:r w:rsidRPr="00F03354">
              <w:rPr>
                <w:rFonts w:ascii="VIC" w:eastAsia="Times New Roman" w:hAnsi="VIC" w:cs="Times New Roman"/>
                <w:sz w:val="20"/>
                <w:szCs w:val="20"/>
              </w:rPr>
              <w:t>(ICD10 Code O731)</w:t>
            </w:r>
          </w:p>
          <w:p w14:paraId="48B3C41D"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other immediate postpartum haemorrhage (ICD10 Code O721)</w:t>
            </w:r>
          </w:p>
          <w:p w14:paraId="337775A9"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haematoma of obstetric wound (ICD10 Code O902)</w:t>
            </w:r>
          </w:p>
          <w:p w14:paraId="08E9A82B"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urinary tract infection following delivery (ICD10 Code O862)</w:t>
            </w:r>
          </w:p>
          <w:p w14:paraId="06E52FF3"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disruption of caesarean section wound (ICD10 Code O900)</w:t>
            </w:r>
          </w:p>
          <w:p w14:paraId="216D24D7"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care and examination of lactating mother (ICD10 Code Z391)</w:t>
            </w:r>
          </w:p>
          <w:p w14:paraId="732B2258"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gestational hypertension (ICD10 Code O13)</w:t>
            </w:r>
          </w:p>
          <w:p w14:paraId="58D18CCB"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urinary tract infection site not specified (ICD10 Code N390)</w:t>
            </w:r>
          </w:p>
          <w:p w14:paraId="7A132747" w14:textId="567F439C" w:rsidR="00280F65" w:rsidRPr="00F03354" w:rsidRDefault="00EF7754"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w:t>
            </w:r>
            <w:r w:rsidR="00280F65" w:rsidRPr="00F03354">
              <w:rPr>
                <w:rFonts w:ascii="VIC" w:eastAsia="Times New Roman" w:hAnsi="VIC" w:cs="Times New Roman"/>
                <w:sz w:val="20"/>
                <w:szCs w:val="20"/>
              </w:rPr>
              <w:t>on</w:t>
            </w:r>
            <w:r w:rsidRPr="00F03354">
              <w:rPr>
                <w:rFonts w:ascii="VIC" w:eastAsia="Times New Roman" w:hAnsi="VIC" w:cs="Times New Roman"/>
                <w:sz w:val="20"/>
                <w:szCs w:val="20"/>
              </w:rPr>
              <w:t xml:space="preserve"> </w:t>
            </w:r>
            <w:r w:rsidR="00280F65" w:rsidRPr="00F03354">
              <w:rPr>
                <w:rFonts w:ascii="VIC" w:eastAsia="Times New Roman" w:hAnsi="VIC" w:cs="Times New Roman"/>
                <w:sz w:val="20"/>
                <w:szCs w:val="20"/>
              </w:rPr>
              <w:t>purulent mastitis with attachment difficulty (ICD10 Code O9121)</w:t>
            </w:r>
          </w:p>
          <w:p w14:paraId="4BD6BF56"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severe mental and behavioural disorder associated with puerperium</w:t>
            </w:r>
            <w:r w:rsidRPr="00F03354" w:rsidDel="005A5FBD">
              <w:rPr>
                <w:rFonts w:ascii="VIC" w:eastAsia="Times New Roman" w:hAnsi="VIC" w:cs="Times New Roman"/>
                <w:sz w:val="20"/>
                <w:szCs w:val="20"/>
              </w:rPr>
              <w:t xml:space="preserve"> </w:t>
            </w:r>
            <w:r w:rsidRPr="00F03354">
              <w:rPr>
                <w:rFonts w:ascii="VIC" w:eastAsia="Times New Roman" w:hAnsi="VIC" w:cs="Times New Roman"/>
                <w:sz w:val="20"/>
                <w:szCs w:val="20"/>
              </w:rPr>
              <w:t>not elsewhere classified (ICD10 Code F531)</w:t>
            </w:r>
          </w:p>
          <w:p w14:paraId="0877197E"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mild mental and behavioural disorder associated with puerperium</w:t>
            </w:r>
            <w:r w:rsidRPr="00F03354" w:rsidDel="005A5FBD">
              <w:rPr>
                <w:rFonts w:ascii="VIC" w:eastAsia="Times New Roman" w:hAnsi="VIC" w:cs="Times New Roman"/>
                <w:sz w:val="20"/>
                <w:szCs w:val="20"/>
              </w:rPr>
              <w:t xml:space="preserve"> </w:t>
            </w:r>
            <w:r w:rsidRPr="00F03354">
              <w:rPr>
                <w:rFonts w:ascii="VIC" w:eastAsia="Times New Roman" w:hAnsi="VIC" w:cs="Times New Roman"/>
                <w:sz w:val="20"/>
                <w:szCs w:val="20"/>
              </w:rPr>
              <w:t>not elsewhere classified (ICD10 Code F530)</w:t>
            </w:r>
          </w:p>
          <w:p w14:paraId="5C19A2AE"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other reaction to spinal and lumbar puncture (ICD10 Code G971)</w:t>
            </w:r>
          </w:p>
          <w:p w14:paraId="5E82D7FB"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fever unspecified (ICD10 Code R509)</w:t>
            </w:r>
          </w:p>
          <w:p w14:paraId="5CA4B22A"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retention of urine (ICD10 Code R33)</w:t>
            </w:r>
          </w:p>
          <w:p w14:paraId="3553EA5F"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eclampsia in the puerperium (ICD10 Code O152)</w:t>
            </w:r>
          </w:p>
          <w:p w14:paraId="6F5314AD" w14:textId="77777777" w:rsidR="00280F65" w:rsidRPr="00F03354" w:rsidRDefault="00280F65" w:rsidP="0089279C">
            <w:pPr>
              <w:pStyle w:val="ListParagraph"/>
              <w:numPr>
                <w:ilvl w:val="0"/>
                <w:numId w:val="3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third-stage haemorrhage (ICD10 Code O720)</w:t>
            </w:r>
          </w:p>
        </w:tc>
      </w:tr>
      <w:tr w:rsidR="00280F65" w:rsidRPr="00F03354" w14:paraId="43B496FC" w14:textId="77777777" w:rsidTr="007C7407">
        <w:trPr>
          <w:cantSplit/>
          <w:trHeight w:val="60"/>
        </w:trPr>
        <w:tc>
          <w:tcPr>
            <w:tcW w:w="2581" w:type="dxa"/>
          </w:tcPr>
          <w:p w14:paraId="68B8D8F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 xml:space="preserve">Denominator </w:t>
            </w:r>
          </w:p>
        </w:tc>
        <w:tc>
          <w:tcPr>
            <w:tcW w:w="7371" w:type="dxa"/>
          </w:tcPr>
          <w:p w14:paraId="16688B4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women provided admitted postnatal care prior to discharge.</w:t>
            </w:r>
          </w:p>
        </w:tc>
      </w:tr>
      <w:tr w:rsidR="00280F65" w:rsidRPr="00F03354" w14:paraId="21AB1C78" w14:textId="77777777" w:rsidTr="007C7407">
        <w:trPr>
          <w:cantSplit/>
          <w:trHeight w:val="60"/>
        </w:trPr>
        <w:tc>
          <w:tcPr>
            <w:tcW w:w="2581" w:type="dxa"/>
          </w:tcPr>
          <w:p w14:paraId="02111A1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tcPr>
          <w:p w14:paraId="652398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 outliers</w:t>
            </w:r>
          </w:p>
        </w:tc>
      </w:tr>
      <w:tr w:rsidR="00280F65" w:rsidRPr="00F03354" w14:paraId="2C51908A" w14:textId="77777777" w:rsidTr="007C7407">
        <w:trPr>
          <w:cantSplit/>
          <w:trHeight w:val="750"/>
        </w:trPr>
        <w:tc>
          <w:tcPr>
            <w:tcW w:w="2581" w:type="dxa"/>
          </w:tcPr>
          <w:p w14:paraId="3C6FE01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7371" w:type="dxa"/>
          </w:tcPr>
          <w:p w14:paraId="2AF4AA8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073F8EA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Not achieved </w:t>
            </w:r>
          </w:p>
        </w:tc>
      </w:tr>
      <w:tr w:rsidR="00280F65" w:rsidRPr="00F03354" w14:paraId="5386575A" w14:textId="77777777" w:rsidTr="007C7407">
        <w:trPr>
          <w:cantSplit/>
          <w:trHeight w:val="750"/>
        </w:trPr>
        <w:tc>
          <w:tcPr>
            <w:tcW w:w="2581" w:type="dxa"/>
          </w:tcPr>
          <w:p w14:paraId="5022C41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tcPr>
          <w:p w14:paraId="60CA7F66" w14:textId="353683DB"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and based on the </w:t>
            </w:r>
            <w:r w:rsidR="00195BFD" w:rsidRPr="00F03354">
              <w:rPr>
                <w:rFonts w:ascii="VIC" w:eastAsia="Times New Roman" w:hAnsi="VIC" w:cs="Times New Roman"/>
                <w:sz w:val="20"/>
                <w:szCs w:val="20"/>
              </w:rPr>
              <w:t>statewide</w:t>
            </w:r>
            <w:r w:rsidRPr="00F03354">
              <w:rPr>
                <w:rFonts w:ascii="VIC" w:eastAsia="Times New Roman" w:hAnsi="VIC" w:cs="Times New Roman"/>
                <w:sz w:val="20"/>
                <w:szCs w:val="20"/>
              </w:rPr>
              <w:t xml:space="preserve"> rate (outlier status).</w:t>
            </w:r>
          </w:p>
        </w:tc>
      </w:tr>
    </w:tbl>
    <w:p w14:paraId="63D1F5BA" w14:textId="77777777" w:rsidR="00280F65" w:rsidRPr="00F03354" w:rsidRDefault="00280F65" w:rsidP="00280F65">
      <w:pPr>
        <w:spacing w:after="120" w:line="270" w:lineRule="atLeast"/>
        <w:rPr>
          <w:rFonts w:ascii="VIC" w:eastAsia="Times" w:hAnsi="VIC" w:cs="Times New Roman"/>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7400"/>
      </w:tblGrid>
      <w:tr w:rsidR="00280F65" w:rsidRPr="00F03354" w14:paraId="069686A2" w14:textId="77777777" w:rsidTr="007C7407">
        <w:trPr>
          <w:cantSplit/>
          <w:trHeight w:val="60"/>
          <w:tblHeader/>
        </w:trPr>
        <w:tc>
          <w:tcPr>
            <w:tcW w:w="2552" w:type="dxa"/>
            <w:shd w:val="clear" w:color="auto" w:fill="244C5A"/>
            <w:vAlign w:val="bottom"/>
          </w:tcPr>
          <w:p w14:paraId="08CCDF3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shd w:val="clear" w:color="auto" w:fill="244C5A"/>
            <w:vAlign w:val="bottom"/>
          </w:tcPr>
          <w:p w14:paraId="369B8051"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Potentially preventable readmission of a neonate within 28 days of discharge from a birthing admission</w:t>
            </w:r>
          </w:p>
        </w:tc>
      </w:tr>
      <w:tr w:rsidR="00280F65" w:rsidRPr="00F03354" w14:paraId="3CD28843" w14:textId="77777777" w:rsidTr="007C7407">
        <w:trPr>
          <w:cantSplit/>
          <w:trHeight w:val="60"/>
        </w:trPr>
        <w:tc>
          <w:tcPr>
            <w:tcW w:w="2552" w:type="dxa"/>
          </w:tcPr>
          <w:p w14:paraId="57B7BB3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tcPr>
          <w:p w14:paraId="3E95CF9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rate of unplanned and potentially preventable readmissions of babies within 28 days of discharge from hospital following a birthing admission.</w:t>
            </w:r>
          </w:p>
          <w:p w14:paraId="1449F747" w14:textId="076D45C6"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High quality and coordinated care </w:t>
            </w:r>
            <w:r w:rsidR="00195BFD" w:rsidRPr="00F03354">
              <w:rPr>
                <w:rFonts w:ascii="VIC" w:eastAsia="Times New Roman" w:hAnsi="VIC" w:cs="Times New Roman"/>
                <w:sz w:val="20"/>
                <w:szCs w:val="20"/>
              </w:rPr>
              <w:t>mean</w:t>
            </w:r>
            <w:r w:rsidRPr="00F03354">
              <w:rPr>
                <w:rFonts w:ascii="VIC" w:eastAsia="Times New Roman" w:hAnsi="VIC" w:cs="Times New Roman"/>
                <w:sz w:val="20"/>
                <w:szCs w:val="20"/>
              </w:rPr>
              <w:t xml:space="preserve"> most women and babies do not return to hospital as an inpatient during the postnatal period. Unplanned and preventable hospital stays during this period reflect a deviation from the normal course of postnatal recovery.</w:t>
            </w:r>
          </w:p>
          <w:p w14:paraId="74A0185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Evidence suggests higher readmission rates are associated with inconsistent discharge procedures, poor postnatal care and limited support in the community.</w:t>
            </w:r>
          </w:p>
        </w:tc>
      </w:tr>
      <w:tr w:rsidR="00280F65" w:rsidRPr="00F03354" w14:paraId="2AA469AF" w14:textId="77777777" w:rsidTr="007C7407">
        <w:trPr>
          <w:cantSplit/>
          <w:trHeight w:val="60"/>
        </w:trPr>
        <w:tc>
          <w:tcPr>
            <w:tcW w:w="2552" w:type="dxa"/>
          </w:tcPr>
          <w:p w14:paraId="73C2574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Calculating performance</w:t>
            </w:r>
          </w:p>
        </w:tc>
        <w:tc>
          <w:tcPr>
            <w:tcW w:w="7400" w:type="dxa"/>
          </w:tcPr>
          <w:p w14:paraId="019ABF3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Calculated for the hospital that discharged the newborn episode.</w:t>
            </w:r>
          </w:p>
          <w:p w14:paraId="28A78AF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Includes admissions to any Victorian health service after birth, not just a readmission to the birthing hospital.</w:t>
            </w:r>
          </w:p>
          <w:p w14:paraId="3E8AC6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Reporting thresholds &gt;=10 cases in the denominator.</w:t>
            </w:r>
          </w:p>
          <w:p w14:paraId="6CE46425" w14:textId="061A6EE9"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Results are analysed, reported quarterly</w:t>
            </w:r>
            <w:r w:rsidR="00195BFD"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expressed as a percentage.</w:t>
            </w:r>
          </w:p>
          <w:p w14:paraId="10E2CE5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Outlier status (above 99.7% CI) assessed against state-wide rates.</w:t>
            </w:r>
          </w:p>
          <w:p w14:paraId="68128C7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lagged by two quarters.</w:t>
            </w:r>
          </w:p>
        </w:tc>
      </w:tr>
      <w:tr w:rsidR="00280F65" w:rsidRPr="00F03354" w14:paraId="212343FB" w14:textId="77777777" w:rsidTr="007C7407">
        <w:trPr>
          <w:cantSplit/>
          <w:trHeight w:val="60"/>
        </w:trPr>
        <w:tc>
          <w:tcPr>
            <w:tcW w:w="2552" w:type="dxa"/>
          </w:tcPr>
          <w:p w14:paraId="007722F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tcPr>
          <w:p w14:paraId="7585F12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babies readmitted to any health service with a potentially preventable readmission diagnosis code within 28 days of discharge.</w:t>
            </w:r>
          </w:p>
          <w:p w14:paraId="2E81CD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Babies transferred to another health service following a birth separation are excluded from the numerator total, as are babies who are readmitted as part of a planned follow-up after their birth episode.</w:t>
            </w:r>
          </w:p>
          <w:p w14:paraId="44B0974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Babies who present to an emergency department or urgent care centre but are not admitted are excluded from the numerator total.</w:t>
            </w:r>
          </w:p>
          <w:p w14:paraId="45A8F3A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Babies who are admitted and have a primary diagnosis related to their pregnancy or birth are included in the numerator total. However, diagnosis codes that are associated with a complexity that cannot be prevented (or managed) through postnatal care or that are associated with a condition(s) that manifests after discharge from hospital without any indication of its presence prior to this time, are excluded. </w:t>
            </w:r>
            <w:r w:rsidRPr="00F03354">
              <w:rPr>
                <w:rFonts w:ascii="VIC" w:eastAsia="Times New Roman" w:hAnsi="VIC" w:cs="Times New Roman"/>
                <w:sz w:val="20"/>
                <w:szCs w:val="20"/>
              </w:rPr>
              <w:br/>
              <w:t>Potentially preventable readmissions are limited to the cohort of primary diagnoses listed below.</w:t>
            </w:r>
          </w:p>
          <w:p w14:paraId="7D9864F2" w14:textId="77777777" w:rsidR="00280F65" w:rsidRPr="00F03354" w:rsidRDefault="00280F65" w:rsidP="00280F65">
            <w:pPr>
              <w:spacing w:before="120" w:after="60" w:line="240" w:lineRule="auto"/>
              <w:rPr>
                <w:rFonts w:ascii="VIC" w:eastAsia="Times New Roman" w:hAnsi="VIC" w:cs="Times New Roman"/>
                <w:b/>
                <w:sz w:val="20"/>
                <w:szCs w:val="20"/>
              </w:rPr>
            </w:pPr>
            <w:r w:rsidRPr="00F03354">
              <w:rPr>
                <w:rFonts w:ascii="VIC" w:eastAsia="Times New Roman" w:hAnsi="VIC" w:cs="Times New Roman"/>
                <w:b/>
                <w:sz w:val="20"/>
                <w:szCs w:val="20"/>
              </w:rPr>
              <w:t>Neonate readmission diagnosis codes:</w:t>
            </w:r>
          </w:p>
          <w:p w14:paraId="5A658DDA"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neonatal jaundice unspecified (ICD10 Code P599)</w:t>
            </w:r>
          </w:p>
          <w:p w14:paraId="04FFBA71"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abnormal weight loss (ICD10 Code R634)</w:t>
            </w:r>
          </w:p>
          <w:p w14:paraId="61A03726"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feeding problem of newborn unspecified (ICD10 Code P929)</w:t>
            </w:r>
          </w:p>
          <w:p w14:paraId="5A708C30"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other lack of normal physiological development (ICD10 Code R628)</w:t>
            </w:r>
          </w:p>
          <w:p w14:paraId="2ABEF00B"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bacterial sepsis of newborn unspecified (ICD10 Code P369)</w:t>
            </w:r>
          </w:p>
          <w:p w14:paraId="7A0BB155"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other feeding problems of newborn (ICD10 Code P928)</w:t>
            </w:r>
          </w:p>
          <w:p w14:paraId="2D9EF3D4"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neonatal jaundice with preterm delivery (ICD10 Code P590)</w:t>
            </w:r>
          </w:p>
          <w:p w14:paraId="45FCDFDC"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neonatal jaundice from other specified causes (ICD10 Code P598)</w:t>
            </w:r>
          </w:p>
          <w:p w14:paraId="1124DE94"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other preterm infant &gt;=32 but &lt;37 completed weeks (ICD10 Code P0732)</w:t>
            </w:r>
          </w:p>
          <w:p w14:paraId="4E7B9D92" w14:textId="0C055840"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ABO isoimmunisation of </w:t>
            </w:r>
            <w:r w:rsidR="00EF7754" w:rsidRPr="00F03354">
              <w:rPr>
                <w:rFonts w:ascii="VIC" w:eastAsia="Times New Roman" w:hAnsi="VIC" w:cs="Times New Roman"/>
                <w:sz w:val="20"/>
                <w:szCs w:val="20"/>
              </w:rPr>
              <w:t>foetus</w:t>
            </w:r>
            <w:r w:rsidRPr="00F03354">
              <w:rPr>
                <w:rFonts w:ascii="VIC" w:eastAsia="Times New Roman" w:hAnsi="VIC" w:cs="Times New Roman"/>
                <w:sz w:val="20"/>
                <w:szCs w:val="20"/>
              </w:rPr>
              <w:t xml:space="preserve"> and newborn (ICD10 Code P551)</w:t>
            </w:r>
          </w:p>
          <w:p w14:paraId="7758C0A7"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observation of newborn for suspected infectious condition (ICD10 Code Z0371)</w:t>
            </w:r>
          </w:p>
          <w:p w14:paraId="22E3C5F9"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apnoea of newborn, unspecified (ICD10 Code P2840)</w:t>
            </w:r>
          </w:p>
          <w:p w14:paraId="172EAC50"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cyanotic attacks of newborn (ICD10 Code P282)</w:t>
            </w:r>
          </w:p>
          <w:p w14:paraId="74953E25"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enteroviral meningitis (ICD10 Code A870)</w:t>
            </w:r>
          </w:p>
          <w:p w14:paraId="1C7DFD6A"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omphalitis newborn with or without mild haemorrhage</w:t>
            </w:r>
            <w:r w:rsidRPr="00F03354" w:rsidDel="00175E94">
              <w:rPr>
                <w:rFonts w:ascii="VIC" w:eastAsia="Times New Roman" w:hAnsi="VIC" w:cs="Times New Roman"/>
                <w:sz w:val="20"/>
                <w:szCs w:val="20"/>
              </w:rPr>
              <w:t xml:space="preserve"> </w:t>
            </w:r>
            <w:r w:rsidRPr="00F03354">
              <w:rPr>
                <w:rFonts w:ascii="VIC" w:eastAsia="Times New Roman" w:hAnsi="VIC" w:cs="Times New Roman"/>
                <w:sz w:val="20"/>
                <w:szCs w:val="20"/>
              </w:rPr>
              <w:t>(ICD10 Code P38)</w:t>
            </w:r>
          </w:p>
          <w:p w14:paraId="286F9B9C"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dehydration of newborn (ICD10 Code P741)</w:t>
            </w:r>
          </w:p>
          <w:p w14:paraId="5CB169D1"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hypothermia of newborn unspecified (ICD10 Code P809)</w:t>
            </w:r>
          </w:p>
          <w:p w14:paraId="1D354EF8" w14:textId="77777777" w:rsidR="00280F65" w:rsidRPr="00F03354" w:rsidRDefault="00280F65" w:rsidP="0089279C">
            <w:pPr>
              <w:pStyle w:val="ListParagraph"/>
              <w:numPr>
                <w:ilvl w:val="0"/>
                <w:numId w:val="33"/>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convulsions of newborn (ICD10 Code P90)</w:t>
            </w:r>
          </w:p>
        </w:tc>
      </w:tr>
      <w:tr w:rsidR="00280F65" w:rsidRPr="00F03354" w14:paraId="73893EAE" w14:textId="77777777" w:rsidTr="007C7407">
        <w:trPr>
          <w:cantSplit/>
          <w:trHeight w:val="60"/>
        </w:trPr>
        <w:tc>
          <w:tcPr>
            <w:tcW w:w="2552" w:type="dxa"/>
          </w:tcPr>
          <w:p w14:paraId="60F3BD6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 xml:space="preserve">Denominator </w:t>
            </w:r>
          </w:p>
        </w:tc>
        <w:tc>
          <w:tcPr>
            <w:tcW w:w="7400" w:type="dxa"/>
          </w:tcPr>
          <w:p w14:paraId="01B56A9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denominator includes the total number of babies discharged from a health service. Stillbirths and neonatal deaths prior to discharge are excluded.</w:t>
            </w:r>
          </w:p>
          <w:p w14:paraId="27C5E9D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Qualified and unqualified babies are included – irrespective of their accommodation type during the birth episode (if they spent time in a neonatal intensive care unit or special care nursery).</w:t>
            </w:r>
          </w:p>
          <w:p w14:paraId="6EA964B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Babies who are readmitted on the same day of discharge are also excluded. This is because it is not possible to determine whether these are genuine readmissions or a new separation following planned transfer of care.</w:t>
            </w:r>
          </w:p>
        </w:tc>
      </w:tr>
      <w:tr w:rsidR="00280F65" w:rsidRPr="00F03354" w14:paraId="6073072A" w14:textId="77777777" w:rsidTr="007C7407">
        <w:trPr>
          <w:cantSplit/>
          <w:trHeight w:val="60"/>
        </w:trPr>
        <w:tc>
          <w:tcPr>
            <w:tcW w:w="2552" w:type="dxa"/>
          </w:tcPr>
          <w:p w14:paraId="73368BA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Statewide target </w:t>
            </w:r>
          </w:p>
        </w:tc>
        <w:tc>
          <w:tcPr>
            <w:tcW w:w="7400" w:type="dxa"/>
          </w:tcPr>
          <w:p w14:paraId="0E97610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 outliers</w:t>
            </w:r>
          </w:p>
        </w:tc>
      </w:tr>
      <w:tr w:rsidR="00280F65" w:rsidRPr="00F03354" w14:paraId="4CFD2174" w14:textId="77777777" w:rsidTr="007C7407">
        <w:trPr>
          <w:cantSplit/>
          <w:trHeight w:val="750"/>
        </w:trPr>
        <w:tc>
          <w:tcPr>
            <w:tcW w:w="2552" w:type="dxa"/>
          </w:tcPr>
          <w:p w14:paraId="37E6AF2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7400" w:type="dxa"/>
          </w:tcPr>
          <w:p w14:paraId="27D9227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500AE4E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Not achieved </w:t>
            </w:r>
          </w:p>
        </w:tc>
      </w:tr>
      <w:tr w:rsidR="00280F65" w:rsidRPr="00F03354" w14:paraId="395DC8AE" w14:textId="77777777" w:rsidTr="007C7407">
        <w:trPr>
          <w:cantSplit/>
          <w:trHeight w:val="750"/>
        </w:trPr>
        <w:tc>
          <w:tcPr>
            <w:tcW w:w="2552" w:type="dxa"/>
          </w:tcPr>
          <w:p w14:paraId="25F9325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tcPr>
          <w:p w14:paraId="640BF25D" w14:textId="3F1D9A0A"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and based on the </w:t>
            </w:r>
            <w:r w:rsidR="00195BFD" w:rsidRPr="00F03354">
              <w:rPr>
                <w:rFonts w:ascii="VIC" w:eastAsia="Times New Roman" w:hAnsi="VIC" w:cs="Times New Roman"/>
                <w:sz w:val="20"/>
                <w:szCs w:val="20"/>
              </w:rPr>
              <w:t>statewide</w:t>
            </w:r>
            <w:r w:rsidRPr="00F03354">
              <w:rPr>
                <w:rFonts w:ascii="VIC" w:eastAsia="Times New Roman" w:hAnsi="VIC" w:cs="Times New Roman"/>
                <w:sz w:val="20"/>
                <w:szCs w:val="20"/>
              </w:rPr>
              <w:t xml:space="preserve"> rate (outlier status).</w:t>
            </w:r>
          </w:p>
        </w:tc>
      </w:tr>
    </w:tbl>
    <w:p w14:paraId="5DE88E74" w14:textId="77777777" w:rsidR="00280F65" w:rsidRPr="00F03354" w:rsidRDefault="00280F65" w:rsidP="00280F65">
      <w:pPr>
        <w:spacing w:after="120" w:line="270" w:lineRule="atLeast"/>
        <w:rPr>
          <w:rFonts w:ascii="VIC" w:eastAsia="Times" w:hAnsi="VIC" w:cs="Times New Roman"/>
          <w:sz w:val="20"/>
          <w:szCs w:val="20"/>
        </w:rPr>
      </w:pPr>
    </w:p>
    <w:p w14:paraId="3DADF0C7" w14:textId="77777777" w:rsidR="00280F65" w:rsidRPr="00F03354" w:rsidRDefault="00280F65" w:rsidP="00280F65">
      <w:pPr>
        <w:spacing w:after="0" w:line="240" w:lineRule="auto"/>
        <w:rPr>
          <w:rFonts w:ascii="VIC" w:eastAsia="Times" w:hAnsi="VIC" w:cs="Times New Roman"/>
          <w:sz w:val="20"/>
          <w:szCs w:val="20"/>
        </w:rPr>
      </w:pPr>
      <w:r w:rsidRPr="00F03354">
        <w:rPr>
          <w:rFonts w:ascii="VIC" w:eastAsia="Times New Roman" w:hAnsi="VIC" w:cs="Times New Roman"/>
          <w:sz w:val="20"/>
          <w:szCs w:val="20"/>
        </w:rPr>
        <w:br w:type="page"/>
      </w:r>
    </w:p>
    <w:p w14:paraId="54FAC6B4" w14:textId="77777777" w:rsidR="00280F65" w:rsidRPr="00F03354" w:rsidRDefault="00280F65" w:rsidP="00280F65">
      <w:pPr>
        <w:spacing w:after="120" w:line="270" w:lineRule="atLeast"/>
        <w:rPr>
          <w:rFonts w:ascii="VIC" w:eastAsia="Times" w:hAnsi="VIC" w:cs="Times New Roman"/>
          <w:sz w:val="20"/>
          <w:szCs w:val="20"/>
        </w:rPr>
      </w:pPr>
    </w:p>
    <w:p w14:paraId="33A5BB03"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20" w:name="_Toc517959132"/>
      <w:bookmarkStart w:id="21" w:name="_Toc10123550"/>
      <w:r w:rsidRPr="00F03354">
        <w:rPr>
          <w:rFonts w:ascii="VIC" w:eastAsia="MS Mincho" w:hAnsi="VIC" w:cs="Arial"/>
          <w:b/>
          <w:bCs/>
          <w:sz w:val="20"/>
          <w:szCs w:val="20"/>
        </w:rPr>
        <w:t>Mental health</w:t>
      </w:r>
      <w:bookmarkEnd w:id="20"/>
      <w:bookmarkEnd w:id="21"/>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3"/>
        <w:gridCol w:w="4013"/>
        <w:gridCol w:w="3689"/>
      </w:tblGrid>
      <w:tr w:rsidR="003E6F62" w:rsidRPr="00F03354" w14:paraId="7C3E707E" w14:textId="77777777" w:rsidTr="6BF3BDE6">
        <w:trPr>
          <w:cantSplit/>
          <w:trHeight w:val="60"/>
          <w:tblHeader/>
        </w:trPr>
        <w:tc>
          <w:tcPr>
            <w:tcW w:w="2533" w:type="dxa"/>
            <w:shd w:val="clear" w:color="auto" w:fill="244C5A"/>
            <w:vAlign w:val="bottom"/>
          </w:tcPr>
          <w:p w14:paraId="5EEC9565" w14:textId="46FDE8BA" w:rsidR="003E6F62" w:rsidRPr="00F03354" w:rsidRDefault="2660C889"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702" w:type="dxa"/>
            <w:gridSpan w:val="2"/>
            <w:shd w:val="clear" w:color="auto" w:fill="244C5A"/>
            <w:vAlign w:val="bottom"/>
          </w:tcPr>
          <w:p w14:paraId="352C36C8" w14:textId="77777777" w:rsidR="003E6F62" w:rsidRPr="00F03354" w:rsidRDefault="003E6F62"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Percentage of closed community cases re-referred within six months (adult)</w:t>
            </w:r>
          </w:p>
        </w:tc>
      </w:tr>
      <w:tr w:rsidR="003E6F62" w:rsidRPr="00F03354" w14:paraId="427E2A2A" w14:textId="77777777" w:rsidTr="6BF3BDE6">
        <w:trPr>
          <w:cantSplit/>
          <w:trHeight w:val="60"/>
        </w:trPr>
        <w:tc>
          <w:tcPr>
            <w:tcW w:w="2533" w:type="dxa"/>
            <w:hideMark/>
          </w:tcPr>
          <w:p w14:paraId="026E89D0"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702" w:type="dxa"/>
            <w:gridSpan w:val="2"/>
            <w:hideMark/>
          </w:tcPr>
          <w:p w14:paraId="65A9A3BD"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High levels of case re-referral within a short timeframe are widely regarded as reflecting deficiencies in client care and potentially points to inadequacies in the functioning of the overall system. </w:t>
            </w:r>
          </w:p>
          <w:p w14:paraId="37FB65D3"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community case re-referral rate is the community counterpart of 28-day inpatient readmission measure. Re-referral to mental health services following separation of case closure may indicate that treatment was either incomplete or ineffective.</w:t>
            </w:r>
          </w:p>
        </w:tc>
      </w:tr>
      <w:tr w:rsidR="003E6F62" w:rsidRPr="00F03354" w14:paraId="267332B4" w14:textId="77777777" w:rsidTr="6BF3BDE6">
        <w:trPr>
          <w:cantSplit/>
          <w:trHeight w:val="60"/>
        </w:trPr>
        <w:tc>
          <w:tcPr>
            <w:tcW w:w="2533" w:type="dxa"/>
            <w:hideMark/>
          </w:tcPr>
          <w:p w14:paraId="7D247747"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702" w:type="dxa"/>
            <w:gridSpan w:val="2"/>
            <w:hideMark/>
          </w:tcPr>
          <w:p w14:paraId="7B00DFD1"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are lagged by six months to allow all case re-referrals occurring in the six months prior to the end of the reporting period to be captured. For example, if the reporting period is from 1 July 2017 to 30 September 2017, then community cases closed in the six months prior to any date in this period are included.</w:t>
            </w:r>
          </w:p>
          <w:p w14:paraId="6B974D09"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w:t>
            </w:r>
          </w:p>
        </w:tc>
      </w:tr>
      <w:tr w:rsidR="003E6F62" w:rsidRPr="00F03354" w14:paraId="4C78F3E1" w14:textId="77777777" w:rsidTr="6BF3BDE6">
        <w:trPr>
          <w:cantSplit/>
          <w:trHeight w:val="60"/>
        </w:trPr>
        <w:tc>
          <w:tcPr>
            <w:tcW w:w="2533" w:type="dxa"/>
            <w:hideMark/>
          </w:tcPr>
          <w:p w14:paraId="2C6CF48A"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702" w:type="dxa"/>
            <w:gridSpan w:val="2"/>
            <w:hideMark/>
          </w:tcPr>
          <w:p w14:paraId="6AEE211B" w14:textId="77777777" w:rsidR="003E6F62" w:rsidRPr="00F03354" w:rsidRDefault="003E6F62"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adult mental health community case re-referrals within 6 months of case closure. Lagged by six months. Excludes cases that were opened on the same day or the day after the previous case closure, assuming they are data errors.</w:t>
            </w:r>
          </w:p>
        </w:tc>
      </w:tr>
      <w:tr w:rsidR="003E6F62" w:rsidRPr="00F03354" w14:paraId="4143D15F" w14:textId="77777777" w:rsidTr="6BF3BDE6">
        <w:trPr>
          <w:cantSplit/>
          <w:trHeight w:val="60"/>
        </w:trPr>
        <w:tc>
          <w:tcPr>
            <w:tcW w:w="2533" w:type="dxa"/>
            <w:hideMark/>
          </w:tcPr>
          <w:p w14:paraId="5730EE4E"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702" w:type="dxa"/>
            <w:gridSpan w:val="2"/>
            <w:hideMark/>
          </w:tcPr>
          <w:p w14:paraId="0B3311F0" w14:textId="77777777" w:rsidR="003E6F62" w:rsidRPr="00F03354" w:rsidRDefault="003E6F62"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adult mental health community cases that were closed in the reporting period. A community case is defined as a case with at least one community episode. Lagged by 6 months.</w:t>
            </w:r>
          </w:p>
        </w:tc>
      </w:tr>
      <w:tr w:rsidR="003E6F62" w:rsidRPr="00F03354" w14:paraId="4110F0E3" w14:textId="77777777" w:rsidTr="6BF3BDE6">
        <w:trPr>
          <w:cantSplit/>
          <w:trHeight w:val="60"/>
        </w:trPr>
        <w:tc>
          <w:tcPr>
            <w:tcW w:w="2533" w:type="dxa"/>
            <w:hideMark/>
          </w:tcPr>
          <w:p w14:paraId="61C3F14B"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702" w:type="dxa"/>
            <w:gridSpan w:val="2"/>
            <w:hideMark/>
          </w:tcPr>
          <w:p w14:paraId="350CA489"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&lt; 25% </w:t>
            </w:r>
          </w:p>
        </w:tc>
      </w:tr>
      <w:tr w:rsidR="003E6F62" w:rsidRPr="00F03354" w14:paraId="11E996D0" w14:textId="77777777" w:rsidTr="6BF3BDE6">
        <w:trPr>
          <w:cantSplit/>
          <w:trHeight w:val="60"/>
        </w:trPr>
        <w:tc>
          <w:tcPr>
            <w:tcW w:w="2533" w:type="dxa"/>
            <w:vMerge w:val="restart"/>
            <w:hideMark/>
          </w:tcPr>
          <w:p w14:paraId="41F61B7E"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013" w:type="dxa"/>
            <w:hideMark/>
          </w:tcPr>
          <w:p w14:paraId="19898140"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25%</w:t>
            </w:r>
          </w:p>
        </w:tc>
        <w:tc>
          <w:tcPr>
            <w:tcW w:w="3689" w:type="dxa"/>
            <w:hideMark/>
          </w:tcPr>
          <w:p w14:paraId="4B302ADF" w14:textId="77777777" w:rsidR="003E6F62" w:rsidRPr="00F03354" w:rsidRDefault="003E6F62"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3E6F62" w:rsidRPr="00F03354" w14:paraId="71504E58" w14:textId="77777777" w:rsidTr="6BF3BDE6">
        <w:trPr>
          <w:cantSplit/>
          <w:trHeight w:val="60"/>
        </w:trPr>
        <w:tc>
          <w:tcPr>
            <w:tcW w:w="2533" w:type="dxa"/>
            <w:vMerge/>
            <w:vAlign w:val="center"/>
            <w:hideMark/>
          </w:tcPr>
          <w:p w14:paraId="494B6F52" w14:textId="77777777" w:rsidR="003E6F62" w:rsidRPr="00F03354" w:rsidRDefault="003E6F62" w:rsidP="005F6246">
            <w:pPr>
              <w:spacing w:before="80" w:after="60" w:line="240" w:lineRule="auto"/>
              <w:rPr>
                <w:rFonts w:ascii="VIC" w:eastAsia="Times New Roman" w:hAnsi="VIC" w:cs="Times New Roman"/>
                <w:sz w:val="20"/>
                <w:szCs w:val="20"/>
              </w:rPr>
            </w:pPr>
          </w:p>
        </w:tc>
        <w:tc>
          <w:tcPr>
            <w:tcW w:w="4013" w:type="dxa"/>
            <w:hideMark/>
          </w:tcPr>
          <w:p w14:paraId="6DFA7ABF"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25%</w:t>
            </w:r>
          </w:p>
        </w:tc>
        <w:tc>
          <w:tcPr>
            <w:tcW w:w="3689" w:type="dxa"/>
            <w:hideMark/>
          </w:tcPr>
          <w:p w14:paraId="3D43E90C" w14:textId="77777777" w:rsidR="003E6F62" w:rsidRPr="00F03354" w:rsidRDefault="003E6F62"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3E6F62" w:rsidRPr="00F03354" w14:paraId="310CB41D" w14:textId="77777777" w:rsidTr="6BF3BDE6">
        <w:trPr>
          <w:cantSplit/>
          <w:trHeight w:val="587"/>
        </w:trPr>
        <w:tc>
          <w:tcPr>
            <w:tcW w:w="2533" w:type="dxa"/>
          </w:tcPr>
          <w:p w14:paraId="30DA6FC5"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702" w:type="dxa"/>
            <w:gridSpan w:val="2"/>
          </w:tcPr>
          <w:p w14:paraId="46FE9E53"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3E6F62" w:rsidRPr="00F03354" w14:paraId="7741E19A" w14:textId="77777777" w:rsidTr="6BF3BDE6">
        <w:trPr>
          <w:cantSplit/>
          <w:trHeight w:val="60"/>
        </w:trPr>
        <w:tc>
          <w:tcPr>
            <w:tcW w:w="2533" w:type="dxa"/>
            <w:hideMark/>
          </w:tcPr>
          <w:p w14:paraId="4F668DD5"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702" w:type="dxa"/>
            <w:gridSpan w:val="2"/>
            <w:hideMark/>
          </w:tcPr>
          <w:p w14:paraId="2C5C014B"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60AA56B6"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Cumulative values reported during each reporting period.</w:t>
            </w:r>
          </w:p>
          <w:p w14:paraId="01CD745D"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41F5CB02" w14:textId="77777777" w:rsidR="003E6F62" w:rsidRPr="00F03354" w:rsidRDefault="003E6F62"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0D79E08D" w14:textId="77777777" w:rsidR="003E6F62" w:rsidRPr="00F03354" w:rsidRDefault="003E6F62"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17A83D05" w14:textId="77777777" w:rsidR="003E6F62" w:rsidRPr="00F03354" w:rsidRDefault="003E6F62"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2C399A58" w14:textId="77777777" w:rsidR="003E6F62" w:rsidRPr="00F03354" w:rsidRDefault="003E6F62"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38E2FE48" w14:textId="77777777" w:rsidR="003E6F62" w:rsidRPr="00F03354" w:rsidRDefault="003E6F62"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5029587D" w14:textId="77777777" w:rsidR="009E3F3A" w:rsidRDefault="009E3F3A"/>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3"/>
        <w:gridCol w:w="4013"/>
        <w:gridCol w:w="3689"/>
      </w:tblGrid>
      <w:tr w:rsidR="009E3F3A" w:rsidRPr="009E3F3A" w14:paraId="64E5E351" w14:textId="77777777" w:rsidTr="6BF3BDE6">
        <w:trPr>
          <w:cantSplit/>
          <w:trHeight w:val="60"/>
        </w:trPr>
        <w:tc>
          <w:tcPr>
            <w:tcW w:w="2533" w:type="dxa"/>
            <w:tcBorders>
              <w:top w:val="single" w:sz="4" w:space="0" w:color="201547"/>
              <w:left w:val="single" w:sz="4" w:space="0" w:color="201547"/>
              <w:bottom w:val="single" w:sz="4" w:space="0" w:color="201547"/>
              <w:right w:val="single" w:sz="4" w:space="0" w:color="201547"/>
            </w:tcBorders>
            <w:shd w:val="clear" w:color="auto" w:fill="244C5A"/>
            <w:hideMark/>
          </w:tcPr>
          <w:p w14:paraId="6030840A" w14:textId="77777777" w:rsidR="00F03CAA" w:rsidRPr="009E3F3A" w:rsidRDefault="00F03CAA" w:rsidP="005F6246">
            <w:pPr>
              <w:spacing w:before="80" w:after="60" w:line="240" w:lineRule="auto"/>
              <w:rPr>
                <w:rFonts w:ascii="VIC" w:eastAsia="Times New Roman" w:hAnsi="VIC" w:cs="Times New Roman"/>
                <w:color w:val="FFFFFF" w:themeColor="background1"/>
                <w:sz w:val="20"/>
                <w:szCs w:val="20"/>
              </w:rPr>
            </w:pPr>
            <w:r w:rsidRPr="009E3F3A">
              <w:rPr>
                <w:rFonts w:ascii="VIC" w:eastAsia="Times New Roman" w:hAnsi="VIC" w:cs="Times New Roman"/>
                <w:color w:val="FFFFFF" w:themeColor="background1"/>
                <w:sz w:val="20"/>
                <w:szCs w:val="20"/>
              </w:rPr>
              <w:lastRenderedPageBreak/>
              <w:t>Indicator</w:t>
            </w:r>
          </w:p>
        </w:tc>
        <w:tc>
          <w:tcPr>
            <w:tcW w:w="7702" w:type="dxa"/>
            <w:gridSpan w:val="2"/>
            <w:tcBorders>
              <w:top w:val="single" w:sz="4" w:space="0" w:color="201547"/>
              <w:left w:val="single" w:sz="4" w:space="0" w:color="201547"/>
              <w:bottom w:val="single" w:sz="4" w:space="0" w:color="201547"/>
              <w:right w:val="single" w:sz="4" w:space="0" w:color="201547"/>
            </w:tcBorders>
            <w:shd w:val="clear" w:color="auto" w:fill="244C5A"/>
            <w:hideMark/>
          </w:tcPr>
          <w:p w14:paraId="404652DE" w14:textId="77777777" w:rsidR="00F03CAA" w:rsidRPr="009E3F3A" w:rsidRDefault="00F03CAA" w:rsidP="005F6246">
            <w:pPr>
              <w:spacing w:before="80" w:after="60" w:line="240" w:lineRule="auto"/>
              <w:rPr>
                <w:rFonts w:ascii="VIC" w:eastAsia="Times New Roman" w:hAnsi="VIC" w:cs="Times New Roman"/>
                <w:color w:val="FFFFFF" w:themeColor="background1"/>
                <w:sz w:val="20"/>
                <w:szCs w:val="20"/>
              </w:rPr>
            </w:pPr>
            <w:r w:rsidRPr="009E3F3A">
              <w:rPr>
                <w:rFonts w:ascii="VIC" w:eastAsia="Times New Roman" w:hAnsi="VIC" w:cs="Times New Roman"/>
                <w:color w:val="FFFFFF" w:themeColor="background1"/>
                <w:sz w:val="20"/>
                <w:szCs w:val="20"/>
              </w:rPr>
              <w:t>Percentage of closed community cases re-referred within six months (older persons)</w:t>
            </w:r>
          </w:p>
        </w:tc>
      </w:tr>
      <w:tr w:rsidR="00F03CAA" w:rsidRPr="00F03354" w14:paraId="3D575B5D" w14:textId="77777777" w:rsidTr="6BF3BDE6">
        <w:trPr>
          <w:cantSplit/>
          <w:trHeight w:val="60"/>
        </w:trPr>
        <w:tc>
          <w:tcPr>
            <w:tcW w:w="2533" w:type="dxa"/>
            <w:tcBorders>
              <w:top w:val="single" w:sz="4" w:space="0" w:color="201547"/>
              <w:left w:val="single" w:sz="4" w:space="0" w:color="201547"/>
              <w:bottom w:val="single" w:sz="4" w:space="0" w:color="201547"/>
              <w:right w:val="single" w:sz="4" w:space="0" w:color="201547"/>
            </w:tcBorders>
            <w:hideMark/>
          </w:tcPr>
          <w:p w14:paraId="624E7E01"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702" w:type="dxa"/>
            <w:gridSpan w:val="2"/>
            <w:tcBorders>
              <w:top w:val="single" w:sz="4" w:space="0" w:color="201547"/>
              <w:left w:val="single" w:sz="4" w:space="0" w:color="201547"/>
              <w:bottom w:val="single" w:sz="4" w:space="0" w:color="201547"/>
              <w:right w:val="single" w:sz="4" w:space="0" w:color="201547"/>
            </w:tcBorders>
            <w:hideMark/>
          </w:tcPr>
          <w:p w14:paraId="7844D58F"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High levels of case re-referral within a short timeframe are widely regarded as reflecting deficiencies in client care and potentially points to inadequacies in the functioning of the overall system. </w:t>
            </w:r>
          </w:p>
          <w:p w14:paraId="03C1D00E"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community case re-referral rate is the community counterpart of 28-day inpatient readmission measure. Re-referral to mental health services following separation of case closure may indicate that treatment was either incomplete or ineffective.</w:t>
            </w:r>
          </w:p>
        </w:tc>
      </w:tr>
      <w:tr w:rsidR="00F03CAA" w:rsidRPr="00F03354" w14:paraId="4AD75A5B" w14:textId="77777777" w:rsidTr="6BF3BDE6">
        <w:trPr>
          <w:cantSplit/>
          <w:trHeight w:val="60"/>
        </w:trPr>
        <w:tc>
          <w:tcPr>
            <w:tcW w:w="2533" w:type="dxa"/>
            <w:tcBorders>
              <w:top w:val="single" w:sz="4" w:space="0" w:color="201547"/>
              <w:left w:val="single" w:sz="4" w:space="0" w:color="201547"/>
              <w:bottom w:val="single" w:sz="4" w:space="0" w:color="201547"/>
              <w:right w:val="single" w:sz="4" w:space="0" w:color="201547"/>
            </w:tcBorders>
            <w:hideMark/>
          </w:tcPr>
          <w:p w14:paraId="5B58D40D"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702" w:type="dxa"/>
            <w:gridSpan w:val="2"/>
            <w:tcBorders>
              <w:top w:val="single" w:sz="4" w:space="0" w:color="201547"/>
              <w:left w:val="single" w:sz="4" w:space="0" w:color="201547"/>
              <w:bottom w:val="single" w:sz="4" w:space="0" w:color="201547"/>
              <w:right w:val="single" w:sz="4" w:space="0" w:color="201547"/>
            </w:tcBorders>
            <w:hideMark/>
          </w:tcPr>
          <w:p w14:paraId="79CBEBAF"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are lagged by six months to allow all case re-referrals occurring in the six months prior to the end of the reporting period to be captured. For example, if the reporting period is from 1 July 2017 to 30 September 2017, then community cases closed in the six months prior to any date in this period are included.</w:t>
            </w:r>
          </w:p>
          <w:p w14:paraId="1F1D872C"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w:t>
            </w:r>
          </w:p>
        </w:tc>
      </w:tr>
      <w:tr w:rsidR="00F03CAA" w:rsidRPr="00F03354" w14:paraId="7EB06672" w14:textId="77777777" w:rsidTr="6BF3BDE6">
        <w:trPr>
          <w:cantSplit/>
          <w:trHeight w:val="60"/>
        </w:trPr>
        <w:tc>
          <w:tcPr>
            <w:tcW w:w="2533" w:type="dxa"/>
            <w:tcBorders>
              <w:top w:val="single" w:sz="4" w:space="0" w:color="201547"/>
              <w:left w:val="single" w:sz="4" w:space="0" w:color="201547"/>
              <w:bottom w:val="single" w:sz="4" w:space="0" w:color="201547"/>
              <w:right w:val="single" w:sz="4" w:space="0" w:color="201547"/>
            </w:tcBorders>
            <w:hideMark/>
          </w:tcPr>
          <w:p w14:paraId="42B237D0"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702" w:type="dxa"/>
            <w:gridSpan w:val="2"/>
            <w:tcBorders>
              <w:top w:val="single" w:sz="4" w:space="0" w:color="201547"/>
              <w:left w:val="single" w:sz="4" w:space="0" w:color="201547"/>
              <w:bottom w:val="single" w:sz="4" w:space="0" w:color="201547"/>
              <w:right w:val="single" w:sz="4" w:space="0" w:color="201547"/>
            </w:tcBorders>
            <w:hideMark/>
          </w:tcPr>
          <w:p w14:paraId="4A140FD6"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aged mental health community case re-referrals within 6 months of case closure. Lagged by six months. Excludes cases that were opened on the same day or the day after the previous case closure, assuming they are data errors.</w:t>
            </w:r>
          </w:p>
        </w:tc>
      </w:tr>
      <w:tr w:rsidR="00F03CAA" w:rsidRPr="00F03354" w14:paraId="64A241AB" w14:textId="77777777" w:rsidTr="6BF3BDE6">
        <w:trPr>
          <w:cantSplit/>
          <w:trHeight w:val="60"/>
        </w:trPr>
        <w:tc>
          <w:tcPr>
            <w:tcW w:w="2533" w:type="dxa"/>
            <w:tcBorders>
              <w:top w:val="single" w:sz="4" w:space="0" w:color="201547"/>
              <w:left w:val="single" w:sz="4" w:space="0" w:color="201547"/>
              <w:bottom w:val="single" w:sz="4" w:space="0" w:color="201547"/>
              <w:right w:val="single" w:sz="4" w:space="0" w:color="201547"/>
            </w:tcBorders>
            <w:hideMark/>
          </w:tcPr>
          <w:p w14:paraId="50571E39"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702" w:type="dxa"/>
            <w:gridSpan w:val="2"/>
            <w:tcBorders>
              <w:top w:val="single" w:sz="4" w:space="0" w:color="201547"/>
              <w:left w:val="single" w:sz="4" w:space="0" w:color="201547"/>
              <w:bottom w:val="single" w:sz="4" w:space="0" w:color="201547"/>
              <w:right w:val="single" w:sz="4" w:space="0" w:color="201547"/>
            </w:tcBorders>
            <w:hideMark/>
          </w:tcPr>
          <w:p w14:paraId="392F3F75"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aged mental health community cases that were closed in the reporting period. A community case is defined as a case with at least one community episode. Lagged by 6 months.</w:t>
            </w:r>
          </w:p>
        </w:tc>
      </w:tr>
      <w:tr w:rsidR="00F03CAA" w:rsidRPr="00F03354" w14:paraId="3971FC62" w14:textId="77777777" w:rsidTr="6BF3BDE6">
        <w:trPr>
          <w:cantSplit/>
          <w:trHeight w:val="60"/>
        </w:trPr>
        <w:tc>
          <w:tcPr>
            <w:tcW w:w="2533" w:type="dxa"/>
            <w:tcBorders>
              <w:top w:val="single" w:sz="4" w:space="0" w:color="201547"/>
              <w:left w:val="single" w:sz="4" w:space="0" w:color="201547"/>
              <w:bottom w:val="single" w:sz="4" w:space="0" w:color="201547"/>
              <w:right w:val="single" w:sz="4" w:space="0" w:color="201547"/>
            </w:tcBorders>
            <w:hideMark/>
          </w:tcPr>
          <w:p w14:paraId="3FBE38FA"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702" w:type="dxa"/>
            <w:gridSpan w:val="2"/>
            <w:tcBorders>
              <w:top w:val="single" w:sz="4" w:space="0" w:color="201547"/>
              <w:left w:val="single" w:sz="4" w:space="0" w:color="201547"/>
              <w:bottom w:val="single" w:sz="4" w:space="0" w:color="201547"/>
              <w:right w:val="single" w:sz="4" w:space="0" w:color="201547"/>
            </w:tcBorders>
            <w:hideMark/>
          </w:tcPr>
          <w:p w14:paraId="7F9CB252"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&lt; 25% </w:t>
            </w:r>
          </w:p>
        </w:tc>
      </w:tr>
      <w:tr w:rsidR="00F03CAA" w:rsidRPr="00F03354" w14:paraId="17F23C99" w14:textId="77777777" w:rsidTr="6BF3BDE6">
        <w:trPr>
          <w:cantSplit/>
          <w:trHeight w:val="60"/>
        </w:trPr>
        <w:tc>
          <w:tcPr>
            <w:tcW w:w="2533" w:type="dxa"/>
            <w:vMerge w:val="restart"/>
            <w:hideMark/>
          </w:tcPr>
          <w:p w14:paraId="64EC1A89"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013" w:type="dxa"/>
            <w:hideMark/>
          </w:tcPr>
          <w:p w14:paraId="50C2D8EE"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25%</w:t>
            </w:r>
          </w:p>
        </w:tc>
        <w:tc>
          <w:tcPr>
            <w:tcW w:w="3689" w:type="dxa"/>
            <w:hideMark/>
          </w:tcPr>
          <w:p w14:paraId="5E08F029" w14:textId="77777777" w:rsidR="00F03CAA" w:rsidRPr="00F03354" w:rsidRDefault="00F03CAA"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F03CAA" w:rsidRPr="00F03354" w14:paraId="3D95BD72" w14:textId="77777777" w:rsidTr="6BF3BDE6">
        <w:trPr>
          <w:cantSplit/>
          <w:trHeight w:val="60"/>
        </w:trPr>
        <w:tc>
          <w:tcPr>
            <w:tcW w:w="2533" w:type="dxa"/>
            <w:vMerge/>
            <w:vAlign w:val="center"/>
            <w:hideMark/>
          </w:tcPr>
          <w:p w14:paraId="430B7C0B" w14:textId="77777777" w:rsidR="00F03CAA" w:rsidRPr="00F03354" w:rsidRDefault="00F03CAA" w:rsidP="005F6246">
            <w:pPr>
              <w:spacing w:before="80" w:after="60" w:line="240" w:lineRule="auto"/>
              <w:rPr>
                <w:rFonts w:ascii="VIC" w:eastAsia="Times New Roman" w:hAnsi="VIC" w:cs="Times New Roman"/>
                <w:sz w:val="20"/>
                <w:szCs w:val="20"/>
              </w:rPr>
            </w:pPr>
          </w:p>
        </w:tc>
        <w:tc>
          <w:tcPr>
            <w:tcW w:w="4013" w:type="dxa"/>
            <w:hideMark/>
          </w:tcPr>
          <w:p w14:paraId="2AA29042"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25%</w:t>
            </w:r>
          </w:p>
        </w:tc>
        <w:tc>
          <w:tcPr>
            <w:tcW w:w="3689" w:type="dxa"/>
            <w:hideMark/>
          </w:tcPr>
          <w:p w14:paraId="3984FAC9" w14:textId="77777777" w:rsidR="00F03CAA" w:rsidRPr="00F03354" w:rsidRDefault="00F03CAA"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F03CAA" w:rsidRPr="00F03354" w14:paraId="458DFD9A" w14:textId="77777777" w:rsidTr="6BF3BDE6">
        <w:trPr>
          <w:cantSplit/>
          <w:trHeight w:val="587"/>
        </w:trPr>
        <w:tc>
          <w:tcPr>
            <w:tcW w:w="2533" w:type="dxa"/>
          </w:tcPr>
          <w:p w14:paraId="3491A2BE"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702" w:type="dxa"/>
            <w:gridSpan w:val="2"/>
          </w:tcPr>
          <w:p w14:paraId="521D352E"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F03CAA" w:rsidRPr="00F03354" w14:paraId="0D29814B" w14:textId="77777777" w:rsidTr="6BF3BDE6">
        <w:trPr>
          <w:cantSplit/>
          <w:trHeight w:val="60"/>
        </w:trPr>
        <w:tc>
          <w:tcPr>
            <w:tcW w:w="2533" w:type="dxa"/>
            <w:hideMark/>
          </w:tcPr>
          <w:p w14:paraId="7346D941"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702" w:type="dxa"/>
            <w:gridSpan w:val="2"/>
            <w:hideMark/>
          </w:tcPr>
          <w:p w14:paraId="00098A6E"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09103C29"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Cumulative values reported during each reporting period.</w:t>
            </w:r>
          </w:p>
          <w:p w14:paraId="4EE0AC17"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1C36C285" w14:textId="77777777" w:rsidR="00F03CAA" w:rsidRPr="00F03354" w:rsidRDefault="00F03CAA"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7BD1399C" w14:textId="77777777" w:rsidR="00F03CAA" w:rsidRPr="00F03354" w:rsidRDefault="00F03CAA"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249C18F3" w14:textId="77777777" w:rsidR="00F03CAA" w:rsidRPr="00F03354" w:rsidRDefault="00F03CAA"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1375DEBF" w14:textId="77777777" w:rsidR="00F03CAA" w:rsidRPr="00F03354" w:rsidRDefault="00F03CAA"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2BEF0F44" w14:textId="77777777" w:rsidR="00F03CAA" w:rsidRPr="00F03354" w:rsidRDefault="00F03CA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4F089B87" w14:textId="77777777" w:rsidR="00411667" w:rsidRPr="00F03354" w:rsidRDefault="00411667"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3"/>
        <w:gridCol w:w="4013"/>
        <w:gridCol w:w="3547"/>
      </w:tblGrid>
      <w:tr w:rsidR="00FE717B" w:rsidRPr="00F03354" w14:paraId="6F19FDD5" w14:textId="77777777" w:rsidTr="005F6246">
        <w:trPr>
          <w:cantSplit/>
          <w:trHeight w:val="60"/>
          <w:tblHeader/>
        </w:trPr>
        <w:tc>
          <w:tcPr>
            <w:tcW w:w="2533" w:type="dxa"/>
            <w:shd w:val="clear" w:color="auto" w:fill="244C5A"/>
            <w:vAlign w:val="bottom"/>
          </w:tcPr>
          <w:p w14:paraId="59387719" w14:textId="77777777" w:rsidR="00FE717B" w:rsidRPr="00F03354" w:rsidRDefault="00FE717B"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560" w:type="dxa"/>
            <w:gridSpan w:val="2"/>
            <w:shd w:val="clear" w:color="auto" w:fill="244C5A"/>
            <w:vAlign w:val="bottom"/>
          </w:tcPr>
          <w:p w14:paraId="663DE228" w14:textId="77777777" w:rsidR="00FE717B" w:rsidRPr="00F03354" w:rsidRDefault="00FE717B"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Percentage of closed community cases re-referred within six months (CAMHS/CYMHS)</w:t>
            </w:r>
          </w:p>
        </w:tc>
      </w:tr>
      <w:tr w:rsidR="00FE717B" w:rsidRPr="00F03354" w14:paraId="0CCE889B" w14:textId="77777777" w:rsidTr="005F6246">
        <w:trPr>
          <w:cantSplit/>
          <w:trHeight w:val="60"/>
        </w:trPr>
        <w:tc>
          <w:tcPr>
            <w:tcW w:w="2533" w:type="dxa"/>
            <w:hideMark/>
          </w:tcPr>
          <w:p w14:paraId="532BC465"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60" w:type="dxa"/>
            <w:gridSpan w:val="2"/>
            <w:hideMark/>
          </w:tcPr>
          <w:p w14:paraId="511A45CF"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High levels of case re-referral within a short timeframe are widely regarded as reflecting deficiencies in client care and potentially points to inadequacies in the functioning of the overall system. </w:t>
            </w:r>
          </w:p>
          <w:p w14:paraId="77F4FE59"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community case re-referral rate is the community counterpart of 28-day inpatient readmission measure. Re-referral to mental health services following separation of case closure may indicate that treatment was either incomplete or ineffective.</w:t>
            </w:r>
          </w:p>
        </w:tc>
      </w:tr>
      <w:tr w:rsidR="00FE717B" w:rsidRPr="00F03354" w14:paraId="03C9C199" w14:textId="77777777" w:rsidTr="005F6246">
        <w:trPr>
          <w:cantSplit/>
          <w:trHeight w:val="60"/>
        </w:trPr>
        <w:tc>
          <w:tcPr>
            <w:tcW w:w="2533" w:type="dxa"/>
            <w:hideMark/>
          </w:tcPr>
          <w:p w14:paraId="6A5B67EA"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60" w:type="dxa"/>
            <w:gridSpan w:val="2"/>
            <w:hideMark/>
          </w:tcPr>
          <w:p w14:paraId="4FAE7265"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are lagged by six months to allow all case re-referrals occurring in the six months prior to the end of the reporting period to be captured. For example, if the reporting period is from 1 July 2017 to 30 September 2017, then community cases closed in the six months prior to any date in this period are included.</w:t>
            </w:r>
          </w:p>
          <w:p w14:paraId="7267663A"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w:t>
            </w:r>
          </w:p>
        </w:tc>
      </w:tr>
      <w:tr w:rsidR="00FE717B" w:rsidRPr="00F03354" w14:paraId="3809322F" w14:textId="77777777" w:rsidTr="005F6246">
        <w:trPr>
          <w:cantSplit/>
          <w:trHeight w:val="60"/>
        </w:trPr>
        <w:tc>
          <w:tcPr>
            <w:tcW w:w="2533" w:type="dxa"/>
            <w:hideMark/>
          </w:tcPr>
          <w:p w14:paraId="6E14CE3D"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60" w:type="dxa"/>
            <w:gridSpan w:val="2"/>
            <w:hideMark/>
          </w:tcPr>
          <w:p w14:paraId="2F38FB30" w14:textId="77777777" w:rsidR="00FE717B" w:rsidRPr="00F03354" w:rsidRDefault="00FE717B"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CAMHS/CYMHS community case re-referrals within 6 months of case closure. Lagged by six months. Excludes cases that were opened on the same day or the day after the previous case closure, assuming they are data errors.</w:t>
            </w:r>
          </w:p>
        </w:tc>
      </w:tr>
      <w:tr w:rsidR="00FE717B" w:rsidRPr="00F03354" w14:paraId="1C360117" w14:textId="77777777" w:rsidTr="005F6246">
        <w:trPr>
          <w:cantSplit/>
          <w:trHeight w:val="60"/>
        </w:trPr>
        <w:tc>
          <w:tcPr>
            <w:tcW w:w="2533" w:type="dxa"/>
            <w:hideMark/>
          </w:tcPr>
          <w:p w14:paraId="53D7156E"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60" w:type="dxa"/>
            <w:gridSpan w:val="2"/>
            <w:hideMark/>
          </w:tcPr>
          <w:p w14:paraId="7D5E0D6D" w14:textId="77777777" w:rsidR="00FE717B" w:rsidRPr="00F03354" w:rsidRDefault="00FE717B"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CAMHS/CYMHS community cases that were closed in the reporting period. A community case is defined as a case with at least one community episode. Lagged by 6 months.</w:t>
            </w:r>
          </w:p>
        </w:tc>
      </w:tr>
      <w:tr w:rsidR="00FE717B" w:rsidRPr="00F03354" w14:paraId="12355880" w14:textId="77777777" w:rsidTr="005F6246">
        <w:trPr>
          <w:cantSplit/>
          <w:trHeight w:val="60"/>
        </w:trPr>
        <w:tc>
          <w:tcPr>
            <w:tcW w:w="2533" w:type="dxa"/>
            <w:hideMark/>
          </w:tcPr>
          <w:p w14:paraId="5ED497CF"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0" w:type="dxa"/>
            <w:gridSpan w:val="2"/>
            <w:hideMark/>
          </w:tcPr>
          <w:p w14:paraId="1CD0D2D8"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&lt; 25% </w:t>
            </w:r>
          </w:p>
        </w:tc>
      </w:tr>
      <w:tr w:rsidR="00FE717B" w:rsidRPr="00F03354" w14:paraId="6C3C0A4B" w14:textId="77777777" w:rsidTr="005F6246">
        <w:trPr>
          <w:cantSplit/>
          <w:trHeight w:val="60"/>
        </w:trPr>
        <w:tc>
          <w:tcPr>
            <w:tcW w:w="2533" w:type="dxa"/>
            <w:vMerge w:val="restart"/>
            <w:hideMark/>
          </w:tcPr>
          <w:p w14:paraId="2390EA89"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013" w:type="dxa"/>
            <w:hideMark/>
          </w:tcPr>
          <w:p w14:paraId="098260EA"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25%</w:t>
            </w:r>
          </w:p>
        </w:tc>
        <w:tc>
          <w:tcPr>
            <w:tcW w:w="3547" w:type="dxa"/>
            <w:hideMark/>
          </w:tcPr>
          <w:p w14:paraId="69CCADFF" w14:textId="77777777" w:rsidR="00FE717B" w:rsidRPr="00F03354" w:rsidRDefault="00FE717B"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FE717B" w:rsidRPr="00F03354" w14:paraId="4B9E7CEB" w14:textId="77777777" w:rsidTr="005F6246">
        <w:trPr>
          <w:cantSplit/>
          <w:trHeight w:val="60"/>
        </w:trPr>
        <w:tc>
          <w:tcPr>
            <w:tcW w:w="2533" w:type="dxa"/>
            <w:vMerge/>
            <w:vAlign w:val="center"/>
            <w:hideMark/>
          </w:tcPr>
          <w:p w14:paraId="5663C659" w14:textId="77777777" w:rsidR="00FE717B" w:rsidRPr="00F03354" w:rsidRDefault="00FE717B" w:rsidP="005F6246">
            <w:pPr>
              <w:spacing w:before="80" w:after="60" w:line="240" w:lineRule="auto"/>
              <w:rPr>
                <w:rFonts w:ascii="VIC" w:eastAsia="Times New Roman" w:hAnsi="VIC" w:cs="Times New Roman"/>
                <w:sz w:val="20"/>
                <w:szCs w:val="20"/>
              </w:rPr>
            </w:pPr>
          </w:p>
        </w:tc>
        <w:tc>
          <w:tcPr>
            <w:tcW w:w="4013" w:type="dxa"/>
            <w:hideMark/>
          </w:tcPr>
          <w:p w14:paraId="4CBD1BC6"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25%</w:t>
            </w:r>
          </w:p>
        </w:tc>
        <w:tc>
          <w:tcPr>
            <w:tcW w:w="3547" w:type="dxa"/>
            <w:hideMark/>
          </w:tcPr>
          <w:p w14:paraId="0DDF53CC" w14:textId="77777777" w:rsidR="00FE717B" w:rsidRPr="00F03354" w:rsidRDefault="00FE717B"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FE717B" w:rsidRPr="00F03354" w14:paraId="6BB8D6BB" w14:textId="77777777" w:rsidTr="005F6246">
        <w:trPr>
          <w:cantSplit/>
          <w:trHeight w:val="587"/>
        </w:trPr>
        <w:tc>
          <w:tcPr>
            <w:tcW w:w="2533" w:type="dxa"/>
          </w:tcPr>
          <w:p w14:paraId="1A2B2BF9"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60" w:type="dxa"/>
            <w:gridSpan w:val="2"/>
          </w:tcPr>
          <w:p w14:paraId="0542B8D1"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FE717B" w:rsidRPr="00F03354" w14:paraId="1349D356" w14:textId="77777777" w:rsidTr="005F6246">
        <w:trPr>
          <w:cantSplit/>
          <w:trHeight w:val="60"/>
        </w:trPr>
        <w:tc>
          <w:tcPr>
            <w:tcW w:w="2533" w:type="dxa"/>
            <w:hideMark/>
          </w:tcPr>
          <w:p w14:paraId="2D12B59A"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60" w:type="dxa"/>
            <w:gridSpan w:val="2"/>
            <w:hideMark/>
          </w:tcPr>
          <w:p w14:paraId="41CD9D8D"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08220471"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Cumulative values reported during each reporting period.</w:t>
            </w:r>
          </w:p>
          <w:p w14:paraId="1C110AD7"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54D99EE4" w14:textId="77777777" w:rsidR="00FE717B" w:rsidRPr="00F03354" w:rsidRDefault="00FE717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3BB160ED" w14:textId="77777777" w:rsidR="00FE717B" w:rsidRPr="00F03354" w:rsidRDefault="00FE717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1EE0449C" w14:textId="77777777" w:rsidR="00FE717B" w:rsidRPr="00F03354" w:rsidRDefault="00FE717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1CB4C65A" w14:textId="77777777" w:rsidR="00FE717B" w:rsidRPr="00F03354" w:rsidRDefault="00FE717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5E2A2E94" w14:textId="77777777" w:rsidR="00FE717B" w:rsidRPr="00F03354" w:rsidRDefault="00FE717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77400865" w14:textId="77777777" w:rsidR="00474CC8" w:rsidRPr="00F03354" w:rsidRDefault="00474CC8"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9"/>
        <w:gridCol w:w="4125"/>
        <w:gridCol w:w="3429"/>
      </w:tblGrid>
      <w:tr w:rsidR="00B76C1B" w:rsidRPr="00F03354" w14:paraId="57F8C936" w14:textId="77777777" w:rsidTr="005F6246">
        <w:trPr>
          <w:cantSplit/>
          <w:trHeight w:val="60"/>
          <w:tblHeader/>
        </w:trPr>
        <w:tc>
          <w:tcPr>
            <w:tcW w:w="2539" w:type="dxa"/>
            <w:shd w:val="clear" w:color="auto" w:fill="244C5A"/>
            <w:vAlign w:val="bottom"/>
          </w:tcPr>
          <w:p w14:paraId="7FDFDAD0" w14:textId="77777777" w:rsidR="00B76C1B" w:rsidRPr="00F03354" w:rsidRDefault="00B76C1B"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554" w:type="dxa"/>
            <w:gridSpan w:val="2"/>
            <w:shd w:val="clear" w:color="auto" w:fill="244C5A"/>
            <w:vAlign w:val="bottom"/>
          </w:tcPr>
          <w:p w14:paraId="49DA54EC" w14:textId="77777777" w:rsidR="00B76C1B" w:rsidRPr="00F03354" w:rsidRDefault="00B76C1B"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Rate of seclusion episodes per 1,000 occupied bed days - Inpatient (CAMHS)</w:t>
            </w:r>
          </w:p>
        </w:tc>
      </w:tr>
      <w:tr w:rsidR="00B76C1B" w:rsidRPr="00F03354" w14:paraId="401993BD" w14:textId="77777777" w:rsidTr="005F6246">
        <w:trPr>
          <w:cantSplit/>
          <w:trHeight w:val="60"/>
        </w:trPr>
        <w:tc>
          <w:tcPr>
            <w:tcW w:w="2539" w:type="dxa"/>
            <w:hideMark/>
          </w:tcPr>
          <w:p w14:paraId="7E4BF089"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54" w:type="dxa"/>
            <w:gridSpan w:val="2"/>
            <w:hideMark/>
          </w:tcPr>
          <w:p w14:paraId="4257A265"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High levels of seclusion are widely regarded as inappropriate treatment and may point to inadequacies in the functioning of the overall systems and risks to the safety of consumers receiving mental health care.</w:t>
            </w:r>
          </w:p>
          <w:p w14:paraId="36FDC273"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Reducing restraint and seclusion is a national safety priority, and incorporating this indicator ensures appropriate monitoring of seclusion use in child and adolescent mental health inpatient units in Victoria.</w:t>
            </w:r>
          </w:p>
        </w:tc>
      </w:tr>
      <w:tr w:rsidR="00B76C1B" w:rsidRPr="00F03354" w14:paraId="16F5D47C" w14:textId="77777777" w:rsidTr="005F6246">
        <w:trPr>
          <w:cantSplit/>
          <w:trHeight w:val="60"/>
        </w:trPr>
        <w:tc>
          <w:tcPr>
            <w:tcW w:w="2539" w:type="dxa"/>
            <w:hideMark/>
          </w:tcPr>
          <w:p w14:paraId="30458AF5"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54" w:type="dxa"/>
            <w:gridSpan w:val="2"/>
          </w:tcPr>
          <w:p w14:paraId="76F0B5E9"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comprises CAMHS acute inpatient services provided by public mental health services and includes all CAMHS acute admissions.</w:t>
            </w:r>
          </w:p>
          <w:p w14:paraId="0B7FB4D7"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Occupied bed days are calculated where the admission event type is one of the following:</w:t>
            </w:r>
          </w:p>
          <w:p w14:paraId="3D49660F" w14:textId="77777777" w:rsidR="00B76C1B" w:rsidRPr="00F03354" w:rsidRDefault="00B76C1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SA (statistical admission)</w:t>
            </w:r>
          </w:p>
          <w:p w14:paraId="43DD3201" w14:textId="77777777" w:rsidR="00B76C1B" w:rsidRPr="00F03354" w:rsidRDefault="00B76C1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R (return from leave)</w:t>
            </w:r>
          </w:p>
          <w:p w14:paraId="17D42110" w14:textId="77777777" w:rsidR="00B76C1B" w:rsidRPr="00F03354" w:rsidRDefault="00B76C1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A (admission – formal)</w:t>
            </w:r>
          </w:p>
          <w:p w14:paraId="40052E57" w14:textId="77777777" w:rsidR="00B76C1B" w:rsidRPr="00F03354" w:rsidRDefault="00B76C1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T (ward transfer).</w:t>
            </w:r>
          </w:p>
          <w:p w14:paraId="21CF9D0B"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Leave events within an admission are excluded.</w:t>
            </w:r>
          </w:p>
          <w:p w14:paraId="34C875E1"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Admission events that do not have any temporal overlap with the reporting period are excluded. Only the minutes of the admission events that overlap with the reporting period are counted. The minutes for each CAMHS acute admission event are then summed and divided by 1,440 to give the total occupied bed days for the campus for the reporting period.</w:t>
            </w:r>
          </w:p>
          <w:p w14:paraId="095F0C23"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Any period of seclusion relating to a CAMHS acute admission ending in the reporting period is counted. The number of seclusions is divided by the number of occupied bed days. The quotient is then multiplied by 1,000.</w:t>
            </w:r>
          </w:p>
          <w:p w14:paraId="1E615490"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CAMHS clients are identified by program type.</w:t>
            </w:r>
          </w:p>
        </w:tc>
      </w:tr>
      <w:tr w:rsidR="00B76C1B" w:rsidRPr="00F03354" w14:paraId="13226B4A" w14:textId="77777777" w:rsidTr="005F6246">
        <w:trPr>
          <w:cantSplit/>
          <w:trHeight w:val="60"/>
        </w:trPr>
        <w:tc>
          <w:tcPr>
            <w:tcW w:w="2539" w:type="dxa"/>
            <w:hideMark/>
          </w:tcPr>
          <w:p w14:paraId="6FE5470D"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54" w:type="dxa"/>
            <w:gridSpan w:val="2"/>
            <w:hideMark/>
          </w:tcPr>
          <w:p w14:paraId="49E3ABCB"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seclusion episodes ended in child and adolescent mental health inpatient units.</w:t>
            </w:r>
          </w:p>
          <w:p w14:paraId="3E425E24" w14:textId="77777777" w:rsidR="00B76C1B" w:rsidRPr="00F03354" w:rsidRDefault="00B76C1B"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A seclusion episode not recorded against an admission where required (i.e., Service Location Code is '3', '12' or '13'), is recorded against the mental health inpatient unit where the consumer had an open admitted episode at the start of the seclusion episode</w:t>
            </w:r>
          </w:p>
        </w:tc>
      </w:tr>
      <w:tr w:rsidR="00B76C1B" w:rsidRPr="00F03354" w14:paraId="644AC1EB" w14:textId="77777777" w:rsidTr="005F6246">
        <w:trPr>
          <w:cantSplit/>
          <w:trHeight w:val="60"/>
        </w:trPr>
        <w:tc>
          <w:tcPr>
            <w:tcW w:w="2539" w:type="dxa"/>
            <w:hideMark/>
          </w:tcPr>
          <w:p w14:paraId="2A7AB20D"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54" w:type="dxa"/>
            <w:gridSpan w:val="2"/>
            <w:hideMark/>
          </w:tcPr>
          <w:p w14:paraId="400D7118"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occupied bed days in child and adolescent mental health inpatient units.  Excludes leave days, virtual wards, and units without a seclusion room (e.g., Forensicare Bass, Daintree &amp; Jardine Units, Mother baby Units, Eating Disorder Units etc.).</w:t>
            </w:r>
          </w:p>
          <w:p w14:paraId="5EB86D6C" w14:textId="77777777" w:rsidR="00B76C1B" w:rsidRPr="00F03354" w:rsidRDefault="00B76C1B"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The total length of stay for all admission events that were open during the period and have an Admission Event Type in 'SA','R','A','T' is summed and converted into days.</w:t>
            </w:r>
          </w:p>
        </w:tc>
      </w:tr>
      <w:tr w:rsidR="00B76C1B" w:rsidRPr="00F03354" w14:paraId="0D9B6426" w14:textId="77777777" w:rsidTr="005F6246">
        <w:trPr>
          <w:cantSplit/>
          <w:trHeight w:val="60"/>
        </w:trPr>
        <w:tc>
          <w:tcPr>
            <w:tcW w:w="2539" w:type="dxa"/>
            <w:hideMark/>
          </w:tcPr>
          <w:p w14:paraId="22FE2D9D"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54" w:type="dxa"/>
            <w:gridSpan w:val="2"/>
            <w:hideMark/>
          </w:tcPr>
          <w:p w14:paraId="0C28A054"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5 seclusions per 1,000 bed days (&lt; 5/1,000)</w:t>
            </w:r>
          </w:p>
        </w:tc>
      </w:tr>
      <w:tr w:rsidR="00B76C1B" w:rsidRPr="00F03354" w14:paraId="4D996A48" w14:textId="77777777" w:rsidTr="005F6246">
        <w:trPr>
          <w:cantSplit/>
          <w:trHeight w:val="60"/>
        </w:trPr>
        <w:tc>
          <w:tcPr>
            <w:tcW w:w="2539" w:type="dxa"/>
            <w:vMerge w:val="restart"/>
            <w:hideMark/>
          </w:tcPr>
          <w:p w14:paraId="1D5DD109"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125" w:type="dxa"/>
            <w:hideMark/>
          </w:tcPr>
          <w:p w14:paraId="332907D5"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&lt; 5/1,000</w:t>
            </w:r>
          </w:p>
        </w:tc>
        <w:tc>
          <w:tcPr>
            <w:tcW w:w="3429" w:type="dxa"/>
            <w:hideMark/>
          </w:tcPr>
          <w:p w14:paraId="481E4DBF" w14:textId="77777777" w:rsidR="00B76C1B" w:rsidRPr="00F03354" w:rsidRDefault="00B76C1B"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B76C1B" w:rsidRPr="00F03354" w14:paraId="4D36B8EF" w14:textId="77777777" w:rsidTr="005F6246">
        <w:trPr>
          <w:cantSplit/>
          <w:trHeight w:val="60"/>
        </w:trPr>
        <w:tc>
          <w:tcPr>
            <w:tcW w:w="2539" w:type="dxa"/>
            <w:vMerge/>
            <w:vAlign w:val="center"/>
            <w:hideMark/>
          </w:tcPr>
          <w:p w14:paraId="118F3A74" w14:textId="77777777" w:rsidR="00B76C1B" w:rsidRPr="00F03354" w:rsidRDefault="00B76C1B" w:rsidP="005F6246">
            <w:pPr>
              <w:spacing w:before="80" w:after="60" w:line="240" w:lineRule="auto"/>
              <w:rPr>
                <w:rFonts w:ascii="VIC" w:eastAsia="Times New Roman" w:hAnsi="VIC" w:cs="Times New Roman"/>
                <w:sz w:val="20"/>
                <w:szCs w:val="20"/>
              </w:rPr>
            </w:pPr>
          </w:p>
        </w:tc>
        <w:tc>
          <w:tcPr>
            <w:tcW w:w="4125" w:type="dxa"/>
            <w:hideMark/>
          </w:tcPr>
          <w:p w14:paraId="3EC23601"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&gt; 5/1,000</w:t>
            </w:r>
          </w:p>
        </w:tc>
        <w:tc>
          <w:tcPr>
            <w:tcW w:w="3429" w:type="dxa"/>
            <w:hideMark/>
          </w:tcPr>
          <w:p w14:paraId="3B9E913E" w14:textId="77777777" w:rsidR="00B76C1B" w:rsidRPr="00F03354" w:rsidRDefault="00B76C1B"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B76C1B" w:rsidRPr="00F03354" w14:paraId="6448D850" w14:textId="77777777" w:rsidTr="005F6246">
        <w:trPr>
          <w:cantSplit/>
          <w:trHeight w:val="587"/>
        </w:trPr>
        <w:tc>
          <w:tcPr>
            <w:tcW w:w="2539" w:type="dxa"/>
          </w:tcPr>
          <w:p w14:paraId="4761989E"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Improvement</w:t>
            </w:r>
          </w:p>
        </w:tc>
        <w:tc>
          <w:tcPr>
            <w:tcW w:w="7554" w:type="dxa"/>
            <w:gridSpan w:val="2"/>
          </w:tcPr>
          <w:p w14:paraId="0628BF8B"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B76C1B" w:rsidRPr="00F03354" w14:paraId="54E8E5D3" w14:textId="77777777" w:rsidTr="005F6246">
        <w:trPr>
          <w:cantSplit/>
          <w:trHeight w:val="60"/>
        </w:trPr>
        <w:tc>
          <w:tcPr>
            <w:tcW w:w="2539" w:type="dxa"/>
            <w:hideMark/>
          </w:tcPr>
          <w:p w14:paraId="599F6454"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54" w:type="dxa"/>
            <w:gridSpan w:val="2"/>
            <w:hideMark/>
          </w:tcPr>
          <w:p w14:paraId="52D8E09A"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for the periods:</w:t>
            </w:r>
          </w:p>
          <w:p w14:paraId="652D57F9" w14:textId="77777777" w:rsidR="00B76C1B" w:rsidRPr="00F03354" w:rsidRDefault="00B76C1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1794D81B" w14:textId="77777777" w:rsidR="00B76C1B" w:rsidRPr="00F03354" w:rsidRDefault="00B76C1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443345D2" w14:textId="77777777" w:rsidR="00B76C1B" w:rsidRPr="00F03354" w:rsidRDefault="00B76C1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7E0A6419" w14:textId="77777777" w:rsidR="00B76C1B" w:rsidRPr="00F03354" w:rsidRDefault="00B76C1B"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6FAF18FA"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 addition to quarterly monitoring, a performance result is generated annually based on the full year data.</w:t>
            </w:r>
          </w:p>
          <w:p w14:paraId="2B5E1F70" w14:textId="77777777" w:rsidR="00B76C1B" w:rsidRPr="00F03354" w:rsidRDefault="00B76C1B"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data source is CMI/ODS.</w:t>
            </w:r>
          </w:p>
        </w:tc>
      </w:tr>
    </w:tbl>
    <w:p w14:paraId="7CF8AF18" w14:textId="77777777" w:rsidR="00474CC8" w:rsidRPr="00F03354" w:rsidRDefault="00474CC8"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3"/>
        <w:gridCol w:w="4125"/>
        <w:gridCol w:w="3435"/>
      </w:tblGrid>
      <w:tr w:rsidR="00533258" w:rsidRPr="00F03354" w14:paraId="253361C0" w14:textId="77777777" w:rsidTr="005F6246">
        <w:trPr>
          <w:cantSplit/>
          <w:trHeight w:val="646"/>
          <w:tblHeader/>
        </w:trPr>
        <w:tc>
          <w:tcPr>
            <w:tcW w:w="2533" w:type="dxa"/>
            <w:shd w:val="clear" w:color="auto" w:fill="244C5A"/>
            <w:vAlign w:val="bottom"/>
          </w:tcPr>
          <w:p w14:paraId="2E32604D" w14:textId="77777777" w:rsidR="00533258" w:rsidRPr="00F03354" w:rsidRDefault="00533258"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560" w:type="dxa"/>
            <w:gridSpan w:val="2"/>
            <w:shd w:val="clear" w:color="auto" w:fill="244C5A"/>
            <w:vAlign w:val="bottom"/>
          </w:tcPr>
          <w:p w14:paraId="5DA5301B" w14:textId="77777777" w:rsidR="00533258" w:rsidRPr="00F03354" w:rsidRDefault="00533258"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Rate of seclusion episodes per 1,000 occupied bed days - Inpatient (adult)</w:t>
            </w:r>
          </w:p>
        </w:tc>
      </w:tr>
      <w:tr w:rsidR="00533258" w:rsidRPr="00F03354" w14:paraId="2E910B6B" w14:textId="77777777" w:rsidTr="005F6246">
        <w:trPr>
          <w:cantSplit/>
          <w:trHeight w:val="646"/>
        </w:trPr>
        <w:tc>
          <w:tcPr>
            <w:tcW w:w="2533" w:type="dxa"/>
            <w:hideMark/>
          </w:tcPr>
          <w:p w14:paraId="3F39CE21"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60" w:type="dxa"/>
            <w:gridSpan w:val="2"/>
            <w:hideMark/>
          </w:tcPr>
          <w:p w14:paraId="27A5977D"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High levels of seclusion are widely regarded as inappropriate treatment and may point to inadequacies in the functioning of the overall systems and risks to the safety of consumers receiving mental health care.</w:t>
            </w:r>
          </w:p>
          <w:p w14:paraId="16B1658A"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Reducing restraint and seclusion is a national safety priority, and incorporating this indicator ensures appropriate monitoring of seclusion use in adult mental health inpatient units in Victoria.</w:t>
            </w:r>
          </w:p>
        </w:tc>
      </w:tr>
      <w:tr w:rsidR="00533258" w:rsidRPr="00F03354" w14:paraId="319311E4" w14:textId="77777777" w:rsidTr="005F6246">
        <w:trPr>
          <w:cantSplit/>
          <w:trHeight w:val="60"/>
        </w:trPr>
        <w:tc>
          <w:tcPr>
            <w:tcW w:w="2533" w:type="dxa"/>
            <w:hideMark/>
          </w:tcPr>
          <w:p w14:paraId="0D6FC8C3"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60" w:type="dxa"/>
            <w:gridSpan w:val="2"/>
          </w:tcPr>
          <w:p w14:paraId="14759FDC"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comprises adult acute inpatient services provided by public mental health services and includes adult acute admissions as well as patients at ORYGEN Youth Health Melbourne Clinic campus. Occupied bed days are calculated where the admission event type is one of the following:</w:t>
            </w:r>
          </w:p>
          <w:p w14:paraId="7F82652E" w14:textId="77777777" w:rsidR="00533258" w:rsidRPr="00F03354" w:rsidRDefault="00533258"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SA (statistical admission)</w:t>
            </w:r>
          </w:p>
          <w:p w14:paraId="487080A2" w14:textId="77777777" w:rsidR="00533258" w:rsidRPr="00F03354" w:rsidRDefault="00533258"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R (return from leave)</w:t>
            </w:r>
          </w:p>
          <w:p w14:paraId="1F03A87C" w14:textId="77777777" w:rsidR="00533258" w:rsidRPr="00F03354" w:rsidRDefault="00533258"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A (admission – formal)</w:t>
            </w:r>
          </w:p>
          <w:p w14:paraId="6A636A85" w14:textId="77777777" w:rsidR="00533258" w:rsidRPr="00F03354" w:rsidRDefault="00533258"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T (ward transfer).</w:t>
            </w:r>
          </w:p>
          <w:p w14:paraId="02FA697B"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Leave events within an admission are excluded.</w:t>
            </w:r>
          </w:p>
          <w:p w14:paraId="5BAD3C25"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Admission events that do not have any temporal overlap with the reporting period are excluded. Only the minutes of the admission events that overlap with the reporting period are counted. The minutes for each adult acute admission event are then summed and divided by 1,440 to give the total occupied bed days for the campus for the reporting period.</w:t>
            </w:r>
          </w:p>
          <w:p w14:paraId="1FE93495"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Any period of seclusion relating to an adult acute admission ending in the reporting period is counted. The number of seclusions is divided by the number of occupied bed days. The quotient is then multiplied by 1,000.</w:t>
            </w:r>
          </w:p>
          <w:p w14:paraId="5092FA24"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compared to previous quarter performance.</w:t>
            </w:r>
          </w:p>
        </w:tc>
      </w:tr>
      <w:tr w:rsidR="00533258" w:rsidRPr="00F03354" w14:paraId="36445B18" w14:textId="77777777" w:rsidTr="005F6246">
        <w:trPr>
          <w:cantSplit/>
          <w:trHeight w:val="60"/>
        </w:trPr>
        <w:tc>
          <w:tcPr>
            <w:tcW w:w="2533" w:type="dxa"/>
            <w:hideMark/>
          </w:tcPr>
          <w:p w14:paraId="7222375C"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Numerator</w:t>
            </w:r>
          </w:p>
        </w:tc>
        <w:tc>
          <w:tcPr>
            <w:tcW w:w="7560" w:type="dxa"/>
            <w:gridSpan w:val="2"/>
            <w:hideMark/>
          </w:tcPr>
          <w:p w14:paraId="25B2B4F7"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seclusion episodes ended in adult mental health inpatient units.</w:t>
            </w:r>
          </w:p>
          <w:p w14:paraId="53D53AFA" w14:textId="77777777" w:rsidR="00533258" w:rsidRPr="00F03354" w:rsidRDefault="00533258"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A seclusion episode not recorded against an admission where required (i.e., Service Location Code is '3', '12' or '13'), is recorded against the mental health inpatient unit where the consumer had an open admitted episode at the start of the seclusion episode.</w:t>
            </w:r>
          </w:p>
        </w:tc>
      </w:tr>
      <w:tr w:rsidR="00533258" w:rsidRPr="00F03354" w14:paraId="5605E167" w14:textId="77777777" w:rsidTr="005F6246">
        <w:trPr>
          <w:cantSplit/>
          <w:trHeight w:val="60"/>
        </w:trPr>
        <w:tc>
          <w:tcPr>
            <w:tcW w:w="2533" w:type="dxa"/>
            <w:hideMark/>
          </w:tcPr>
          <w:p w14:paraId="77676C20"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60" w:type="dxa"/>
            <w:gridSpan w:val="2"/>
            <w:hideMark/>
          </w:tcPr>
          <w:p w14:paraId="55AC019B"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occupied bed days in adult mental health inpatient units.  Excludes leave days, virtual wards, and units without a seclusion room (e.g., Forensicare Bass, Daintree &amp; Jardine Units, Mother baby Units, Eating Disorder Units etc.).</w:t>
            </w:r>
          </w:p>
          <w:p w14:paraId="42C68C6C" w14:textId="77777777" w:rsidR="00533258" w:rsidRPr="00F03354" w:rsidRDefault="00533258"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The total length of stay for all admission events that were open during the period and have an Admission Event Type in 'SA','R','A','T' is summed and converted into days.</w:t>
            </w:r>
          </w:p>
        </w:tc>
      </w:tr>
      <w:tr w:rsidR="00533258" w:rsidRPr="00F03354" w14:paraId="304F3309" w14:textId="77777777" w:rsidTr="005F6246">
        <w:trPr>
          <w:cantSplit/>
          <w:trHeight w:val="60"/>
        </w:trPr>
        <w:tc>
          <w:tcPr>
            <w:tcW w:w="2533" w:type="dxa"/>
            <w:hideMark/>
          </w:tcPr>
          <w:p w14:paraId="3AA501E9"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0" w:type="dxa"/>
            <w:gridSpan w:val="2"/>
            <w:hideMark/>
          </w:tcPr>
          <w:p w14:paraId="67472B26"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8 seclusions per 1,000 bed days (&lt; 8/1,000)</w:t>
            </w:r>
          </w:p>
        </w:tc>
      </w:tr>
      <w:tr w:rsidR="00533258" w:rsidRPr="00F03354" w14:paraId="709CBBBB" w14:textId="77777777" w:rsidTr="005F6246">
        <w:trPr>
          <w:cantSplit/>
          <w:trHeight w:val="60"/>
        </w:trPr>
        <w:tc>
          <w:tcPr>
            <w:tcW w:w="2533" w:type="dxa"/>
            <w:vMerge w:val="restart"/>
            <w:hideMark/>
          </w:tcPr>
          <w:p w14:paraId="6965BF20"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125" w:type="dxa"/>
            <w:hideMark/>
          </w:tcPr>
          <w:p w14:paraId="7F622D2D"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8/1,000</w:t>
            </w:r>
          </w:p>
        </w:tc>
        <w:tc>
          <w:tcPr>
            <w:tcW w:w="3435" w:type="dxa"/>
            <w:hideMark/>
          </w:tcPr>
          <w:p w14:paraId="746C0F88" w14:textId="77777777" w:rsidR="00533258" w:rsidRPr="00F03354" w:rsidRDefault="00533258"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533258" w:rsidRPr="00F03354" w14:paraId="046411A6" w14:textId="77777777" w:rsidTr="005F6246">
        <w:trPr>
          <w:cantSplit/>
          <w:trHeight w:val="60"/>
        </w:trPr>
        <w:tc>
          <w:tcPr>
            <w:tcW w:w="2533" w:type="dxa"/>
            <w:vMerge/>
            <w:vAlign w:val="center"/>
            <w:hideMark/>
          </w:tcPr>
          <w:p w14:paraId="47DAE15B" w14:textId="77777777" w:rsidR="00533258" w:rsidRPr="00F03354" w:rsidRDefault="00533258" w:rsidP="005F6246">
            <w:pPr>
              <w:spacing w:before="80" w:after="60" w:line="240" w:lineRule="auto"/>
              <w:rPr>
                <w:rFonts w:ascii="VIC" w:eastAsia="Times New Roman" w:hAnsi="VIC" w:cs="Times New Roman"/>
                <w:sz w:val="20"/>
                <w:szCs w:val="20"/>
              </w:rPr>
            </w:pPr>
          </w:p>
        </w:tc>
        <w:tc>
          <w:tcPr>
            <w:tcW w:w="4125" w:type="dxa"/>
            <w:hideMark/>
          </w:tcPr>
          <w:p w14:paraId="3304339B"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&gt; 8/1,000</w:t>
            </w:r>
          </w:p>
        </w:tc>
        <w:tc>
          <w:tcPr>
            <w:tcW w:w="3435" w:type="dxa"/>
            <w:hideMark/>
          </w:tcPr>
          <w:p w14:paraId="433C8917" w14:textId="77777777" w:rsidR="00533258" w:rsidRPr="00F03354" w:rsidRDefault="00533258"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533258" w:rsidRPr="00F03354" w14:paraId="319082CB" w14:textId="77777777" w:rsidTr="005F6246">
        <w:trPr>
          <w:cantSplit/>
          <w:trHeight w:val="587"/>
        </w:trPr>
        <w:tc>
          <w:tcPr>
            <w:tcW w:w="2533" w:type="dxa"/>
          </w:tcPr>
          <w:p w14:paraId="0E05BC10"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60" w:type="dxa"/>
            <w:gridSpan w:val="2"/>
          </w:tcPr>
          <w:p w14:paraId="0D0C727B"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533258" w:rsidRPr="00F03354" w14:paraId="471A2895" w14:textId="77777777" w:rsidTr="005F6246">
        <w:trPr>
          <w:cantSplit/>
          <w:trHeight w:val="60"/>
        </w:trPr>
        <w:tc>
          <w:tcPr>
            <w:tcW w:w="2533" w:type="dxa"/>
            <w:hideMark/>
          </w:tcPr>
          <w:p w14:paraId="0FF682BC"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60" w:type="dxa"/>
            <w:gridSpan w:val="2"/>
            <w:hideMark/>
          </w:tcPr>
          <w:p w14:paraId="7F0229BB"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for the periods:</w:t>
            </w:r>
          </w:p>
          <w:p w14:paraId="1107D70F" w14:textId="77777777" w:rsidR="00533258" w:rsidRPr="00F03354" w:rsidRDefault="00533258"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74D2121E" w14:textId="77777777" w:rsidR="00533258" w:rsidRPr="00F03354" w:rsidRDefault="00533258"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3A0E0787" w14:textId="77777777" w:rsidR="00533258" w:rsidRPr="00F03354" w:rsidRDefault="00533258"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47439EFC" w14:textId="77777777" w:rsidR="00533258" w:rsidRPr="00F03354" w:rsidRDefault="00533258"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0836F454"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 addition to quarterly monitoring, a performance result is generated annually based on the full year data.</w:t>
            </w:r>
          </w:p>
          <w:p w14:paraId="3F47F8A2" w14:textId="77777777" w:rsidR="00533258" w:rsidRPr="00F03354" w:rsidRDefault="00533258"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5DB46063" w14:textId="77777777" w:rsidR="00B76C1B" w:rsidRPr="00F03354" w:rsidRDefault="00B76C1B" w:rsidP="00280F65">
      <w:pPr>
        <w:keepNext/>
        <w:keepLines/>
        <w:spacing w:before="240" w:after="120" w:line="280" w:lineRule="atLeast"/>
        <w:outlineLvl w:val="3"/>
        <w:rPr>
          <w:rFonts w:ascii="VIC" w:eastAsia="MS Mincho" w:hAnsi="VIC" w:cs="Arial"/>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9"/>
        <w:gridCol w:w="4090"/>
        <w:gridCol w:w="3576"/>
      </w:tblGrid>
      <w:tr w:rsidR="00354ED0" w:rsidRPr="00F03354" w14:paraId="4CDAB101" w14:textId="77777777" w:rsidTr="005F6246">
        <w:trPr>
          <w:cantSplit/>
          <w:trHeight w:val="60"/>
          <w:tblHeader/>
        </w:trPr>
        <w:tc>
          <w:tcPr>
            <w:tcW w:w="2569" w:type="dxa"/>
            <w:shd w:val="clear" w:color="auto" w:fill="244C5A"/>
            <w:vAlign w:val="bottom"/>
          </w:tcPr>
          <w:p w14:paraId="3AAABE30" w14:textId="77777777" w:rsidR="00354ED0" w:rsidRPr="00F03354" w:rsidRDefault="00354ED0"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666" w:type="dxa"/>
            <w:gridSpan w:val="2"/>
            <w:shd w:val="clear" w:color="auto" w:fill="244C5A"/>
            <w:vAlign w:val="bottom"/>
          </w:tcPr>
          <w:p w14:paraId="434F1B64" w14:textId="77777777" w:rsidR="00354ED0" w:rsidRPr="00F03354" w:rsidRDefault="00354ED0"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Rate of seclusion episodes per 1,000 occupied bed days - Inpatient (older persons)</w:t>
            </w:r>
          </w:p>
        </w:tc>
      </w:tr>
      <w:tr w:rsidR="00354ED0" w:rsidRPr="00F03354" w14:paraId="31713FFA" w14:textId="77777777" w:rsidTr="005F6246">
        <w:trPr>
          <w:cantSplit/>
          <w:trHeight w:val="60"/>
        </w:trPr>
        <w:tc>
          <w:tcPr>
            <w:tcW w:w="2569" w:type="dxa"/>
            <w:hideMark/>
          </w:tcPr>
          <w:p w14:paraId="7CC55FDB"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66" w:type="dxa"/>
            <w:gridSpan w:val="2"/>
            <w:hideMark/>
          </w:tcPr>
          <w:p w14:paraId="3AFB555C"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High levels of seclusion are widely regarded as inappropriate treatment and may point to inadequacies in the functioning of the overall systems and risks to the safety of consumers receiving mental health care.</w:t>
            </w:r>
          </w:p>
          <w:p w14:paraId="57068D8D"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Reducing restraint and seclusion is a national safety priority, and incorporating this indicator ensures appropriate monitoring of seclusion use in aged mental health inpatient units in Victoria.</w:t>
            </w:r>
          </w:p>
        </w:tc>
      </w:tr>
      <w:tr w:rsidR="00354ED0" w:rsidRPr="00F03354" w14:paraId="360C1FB0" w14:textId="77777777" w:rsidTr="005F6246">
        <w:trPr>
          <w:cantSplit/>
          <w:trHeight w:val="60"/>
        </w:trPr>
        <w:tc>
          <w:tcPr>
            <w:tcW w:w="2569" w:type="dxa"/>
            <w:hideMark/>
          </w:tcPr>
          <w:p w14:paraId="60B026EB"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Calculating performance</w:t>
            </w:r>
          </w:p>
        </w:tc>
        <w:tc>
          <w:tcPr>
            <w:tcW w:w="7666" w:type="dxa"/>
            <w:gridSpan w:val="2"/>
          </w:tcPr>
          <w:p w14:paraId="60D2020D"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comprises aged acute inpatient services provided by public mental health services and includes all aged acute admissions.</w:t>
            </w:r>
          </w:p>
          <w:p w14:paraId="73A59026"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Occupied bed days are calculated where the admission event type is one of the following:</w:t>
            </w:r>
          </w:p>
          <w:p w14:paraId="3198036F" w14:textId="77777777" w:rsidR="00354ED0" w:rsidRPr="00F03354" w:rsidRDefault="00354ED0"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SA (statistical admission)</w:t>
            </w:r>
          </w:p>
          <w:p w14:paraId="2FC87618" w14:textId="77777777" w:rsidR="00354ED0" w:rsidRPr="00F03354" w:rsidRDefault="00354ED0"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R (return from leave)</w:t>
            </w:r>
          </w:p>
          <w:p w14:paraId="3867361C" w14:textId="77777777" w:rsidR="00354ED0" w:rsidRPr="00F03354" w:rsidRDefault="00354ED0"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A (admission – formal)</w:t>
            </w:r>
          </w:p>
          <w:p w14:paraId="6A939D45" w14:textId="77777777" w:rsidR="00354ED0" w:rsidRPr="00F03354" w:rsidRDefault="00354ED0"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T (ward transfer).</w:t>
            </w:r>
          </w:p>
          <w:p w14:paraId="3C055CBF"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Leave events within an admission are excluded.</w:t>
            </w:r>
          </w:p>
          <w:p w14:paraId="34C3EED1"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Admission events that do not have any temporal overlap with the reporting period are excluded. Only the minutes of the admission events that overlap with the reporting period are counted. The minutes for each aged acute admission event are then summed and divided by 1,440 to give the total occupied bed days for the campus for the reporting period.</w:t>
            </w:r>
          </w:p>
          <w:p w14:paraId="5BADA330"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Any period of seclusion relating to an aged acute admission ending in the reporting period is counted. The number of seclusions is divided by the number of occupied bed days. The quotient is then multiplied by 1,000.</w:t>
            </w:r>
          </w:p>
          <w:p w14:paraId="2F5A4B6B"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Aged clients are identified by the type of admission.</w:t>
            </w:r>
          </w:p>
        </w:tc>
      </w:tr>
      <w:tr w:rsidR="00354ED0" w:rsidRPr="00F03354" w14:paraId="10955753" w14:textId="77777777" w:rsidTr="005F6246">
        <w:trPr>
          <w:cantSplit/>
          <w:trHeight w:val="60"/>
        </w:trPr>
        <w:tc>
          <w:tcPr>
            <w:tcW w:w="2569" w:type="dxa"/>
            <w:hideMark/>
          </w:tcPr>
          <w:p w14:paraId="0A287849"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66" w:type="dxa"/>
            <w:gridSpan w:val="2"/>
            <w:hideMark/>
          </w:tcPr>
          <w:p w14:paraId="4D9B37B9"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seclusion episodes ended in aged mental health inpatient units.</w:t>
            </w:r>
          </w:p>
          <w:p w14:paraId="56B59EAE" w14:textId="77777777" w:rsidR="00354ED0" w:rsidRPr="00F03354" w:rsidRDefault="00354ED0"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A seclusion episode not recorded against an admission where required (i.e., Service Location Code is '3', '12' or '13'), is recorded against the mental health inpatient unit where the consumer had an open admitted episode at the start of the seclusion episode.</w:t>
            </w:r>
          </w:p>
        </w:tc>
      </w:tr>
      <w:tr w:rsidR="00354ED0" w:rsidRPr="00F03354" w14:paraId="58974B58" w14:textId="77777777" w:rsidTr="005F6246">
        <w:trPr>
          <w:cantSplit/>
          <w:trHeight w:val="60"/>
        </w:trPr>
        <w:tc>
          <w:tcPr>
            <w:tcW w:w="2569" w:type="dxa"/>
            <w:hideMark/>
          </w:tcPr>
          <w:p w14:paraId="4C43C406"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66" w:type="dxa"/>
            <w:gridSpan w:val="2"/>
            <w:hideMark/>
          </w:tcPr>
          <w:p w14:paraId="5EC3EED9"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occupied bed days in aged mental health inpatient units.  Excludes leave days, virtual wards, and units without a seclusion room (e.g., Forensicare Bass, Daintree &amp; Jardine Units, Mother baby Units, Eating Disorder Units etc.).</w:t>
            </w:r>
          </w:p>
          <w:p w14:paraId="1DAEDE6A" w14:textId="77777777" w:rsidR="00354ED0" w:rsidRPr="00F03354" w:rsidRDefault="00354ED0"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The total length of stay for all admission events that were open during the period and have an Admission Event Type in 'SA','R','A','T' is summed and converted into days.</w:t>
            </w:r>
          </w:p>
        </w:tc>
      </w:tr>
      <w:tr w:rsidR="00354ED0" w:rsidRPr="00F03354" w14:paraId="1CCE8117" w14:textId="77777777" w:rsidTr="005F6246">
        <w:trPr>
          <w:cantSplit/>
          <w:trHeight w:val="60"/>
        </w:trPr>
        <w:tc>
          <w:tcPr>
            <w:tcW w:w="2569" w:type="dxa"/>
            <w:hideMark/>
          </w:tcPr>
          <w:p w14:paraId="3F3249B5"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66" w:type="dxa"/>
            <w:gridSpan w:val="2"/>
            <w:hideMark/>
          </w:tcPr>
          <w:p w14:paraId="07427D53"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5 seclusions per 1,000 bed days (&lt; 5/1,000)</w:t>
            </w:r>
          </w:p>
        </w:tc>
      </w:tr>
      <w:tr w:rsidR="00354ED0" w:rsidRPr="00F03354" w14:paraId="3F685650" w14:textId="77777777" w:rsidTr="005F6246">
        <w:trPr>
          <w:cantSplit/>
          <w:trHeight w:val="60"/>
        </w:trPr>
        <w:tc>
          <w:tcPr>
            <w:tcW w:w="2569" w:type="dxa"/>
            <w:vMerge w:val="restart"/>
            <w:hideMark/>
          </w:tcPr>
          <w:p w14:paraId="393B2214"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090" w:type="dxa"/>
            <w:hideMark/>
          </w:tcPr>
          <w:p w14:paraId="2C972120"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&lt; 5/1,000</w:t>
            </w:r>
          </w:p>
        </w:tc>
        <w:tc>
          <w:tcPr>
            <w:tcW w:w="3576" w:type="dxa"/>
            <w:hideMark/>
          </w:tcPr>
          <w:p w14:paraId="3CDE8385" w14:textId="77777777" w:rsidR="00354ED0" w:rsidRPr="00F03354" w:rsidRDefault="00354ED0"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354ED0" w:rsidRPr="00F03354" w14:paraId="0DAFD0D1" w14:textId="77777777" w:rsidTr="005F6246">
        <w:trPr>
          <w:cantSplit/>
          <w:trHeight w:val="60"/>
        </w:trPr>
        <w:tc>
          <w:tcPr>
            <w:tcW w:w="2569" w:type="dxa"/>
            <w:vMerge/>
            <w:vAlign w:val="center"/>
            <w:hideMark/>
          </w:tcPr>
          <w:p w14:paraId="20C42277" w14:textId="77777777" w:rsidR="00354ED0" w:rsidRPr="00F03354" w:rsidRDefault="00354ED0" w:rsidP="005F6246">
            <w:pPr>
              <w:spacing w:before="80" w:after="60" w:line="240" w:lineRule="auto"/>
              <w:rPr>
                <w:rFonts w:ascii="VIC" w:eastAsia="Times New Roman" w:hAnsi="VIC" w:cs="Times New Roman"/>
                <w:sz w:val="20"/>
                <w:szCs w:val="20"/>
              </w:rPr>
            </w:pPr>
          </w:p>
        </w:tc>
        <w:tc>
          <w:tcPr>
            <w:tcW w:w="4090" w:type="dxa"/>
            <w:hideMark/>
          </w:tcPr>
          <w:p w14:paraId="1F6AFC2F"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&gt; 5/1,000</w:t>
            </w:r>
          </w:p>
        </w:tc>
        <w:tc>
          <w:tcPr>
            <w:tcW w:w="3576" w:type="dxa"/>
            <w:hideMark/>
          </w:tcPr>
          <w:p w14:paraId="66595F74" w14:textId="77777777" w:rsidR="00354ED0" w:rsidRPr="00F03354" w:rsidRDefault="00354ED0"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354ED0" w:rsidRPr="00F03354" w14:paraId="25A39EC3" w14:textId="77777777" w:rsidTr="005F6246">
        <w:trPr>
          <w:cantSplit/>
          <w:trHeight w:val="587"/>
        </w:trPr>
        <w:tc>
          <w:tcPr>
            <w:tcW w:w="2569" w:type="dxa"/>
          </w:tcPr>
          <w:p w14:paraId="2CEA9614"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666" w:type="dxa"/>
            <w:gridSpan w:val="2"/>
          </w:tcPr>
          <w:p w14:paraId="3E8C40ED"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354ED0" w:rsidRPr="00F03354" w14:paraId="3B91D65F" w14:textId="77777777" w:rsidTr="005F6246">
        <w:trPr>
          <w:cantSplit/>
          <w:trHeight w:val="199"/>
        </w:trPr>
        <w:tc>
          <w:tcPr>
            <w:tcW w:w="2569" w:type="dxa"/>
            <w:hideMark/>
          </w:tcPr>
          <w:p w14:paraId="110E7071"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666" w:type="dxa"/>
            <w:gridSpan w:val="2"/>
            <w:hideMark/>
          </w:tcPr>
          <w:p w14:paraId="71FC4B1B"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for the periods:</w:t>
            </w:r>
          </w:p>
          <w:p w14:paraId="76DA4384" w14:textId="77777777" w:rsidR="00354ED0" w:rsidRPr="00F03354" w:rsidRDefault="00354ED0"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2E5D10C5" w14:textId="77777777" w:rsidR="00354ED0" w:rsidRPr="00F03354" w:rsidRDefault="00354ED0"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43592C1C" w14:textId="77777777" w:rsidR="00354ED0" w:rsidRPr="00F03354" w:rsidRDefault="00354ED0"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4EFE0025" w14:textId="77777777" w:rsidR="00354ED0" w:rsidRPr="00F03354" w:rsidRDefault="00354ED0"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01585A58"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 addition to quarterly monitoring, a performance result is generated annually based on the full year data.</w:t>
            </w:r>
          </w:p>
          <w:p w14:paraId="358E9FB6" w14:textId="77777777" w:rsidR="00354ED0" w:rsidRPr="00F03354" w:rsidRDefault="00354ED0"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2F16EDDE" w14:textId="77777777" w:rsidR="00533258" w:rsidRPr="00F03354" w:rsidRDefault="00533258"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3"/>
        <w:gridCol w:w="4037"/>
        <w:gridCol w:w="3523"/>
      </w:tblGrid>
      <w:tr w:rsidR="00CB2241" w:rsidRPr="00F03354" w14:paraId="0C3751FA" w14:textId="77777777" w:rsidTr="005F6246">
        <w:trPr>
          <w:cantSplit/>
          <w:tblHeader/>
        </w:trPr>
        <w:tc>
          <w:tcPr>
            <w:tcW w:w="2533" w:type="dxa"/>
            <w:shd w:val="clear" w:color="auto" w:fill="244C5A"/>
            <w:vAlign w:val="bottom"/>
          </w:tcPr>
          <w:p w14:paraId="45B1F994" w14:textId="77777777" w:rsidR="00CB2241" w:rsidRPr="00F03354" w:rsidRDefault="00CB2241"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560" w:type="dxa"/>
            <w:gridSpan w:val="2"/>
            <w:shd w:val="clear" w:color="auto" w:fill="244C5A"/>
            <w:vAlign w:val="bottom"/>
          </w:tcPr>
          <w:p w14:paraId="57C06D8B" w14:textId="77777777" w:rsidR="00CB2241" w:rsidRPr="00F03354" w:rsidRDefault="00CB2241"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Percentage of consumers followed up within 7 days of separation – Inpatient (CAMHS)</w:t>
            </w:r>
          </w:p>
        </w:tc>
      </w:tr>
      <w:tr w:rsidR="00CB2241" w:rsidRPr="00F03354" w14:paraId="40194469" w14:textId="77777777" w:rsidTr="005F6246">
        <w:trPr>
          <w:cantSplit/>
          <w:trHeight w:val="1117"/>
        </w:trPr>
        <w:tc>
          <w:tcPr>
            <w:tcW w:w="2533" w:type="dxa"/>
            <w:hideMark/>
          </w:tcPr>
          <w:p w14:paraId="4150AD8D"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60" w:type="dxa"/>
            <w:gridSpan w:val="2"/>
            <w:hideMark/>
          </w:tcPr>
          <w:p w14:paraId="4F1EC9DF"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responsive, post-discharge community support system is essential for consumers who have experienced a mental health admission to maintain clinical and functional stability, and to minimise the need for readmission.</w:t>
            </w:r>
          </w:p>
          <w:p w14:paraId="6B334D12"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Consumers discharged after a mental health admission with linkages to community services and supports are less likely to be at risk of readmission.</w:t>
            </w:r>
          </w:p>
          <w:p w14:paraId="2A209C4F"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Research indicates that mental health consumers have increased vulnerability immediately following discharge, including higher risk for suicide.</w:t>
            </w:r>
          </w:p>
        </w:tc>
      </w:tr>
      <w:tr w:rsidR="00CB2241" w:rsidRPr="00F03354" w14:paraId="71C15B40" w14:textId="77777777" w:rsidTr="005F6246">
        <w:trPr>
          <w:cantSplit/>
          <w:trHeight w:val="60"/>
        </w:trPr>
        <w:tc>
          <w:tcPr>
            <w:tcW w:w="2533" w:type="dxa"/>
            <w:hideMark/>
          </w:tcPr>
          <w:p w14:paraId="24625573"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60" w:type="dxa"/>
            <w:gridSpan w:val="2"/>
            <w:hideMark/>
          </w:tcPr>
          <w:p w14:paraId="6B74E66E"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Contacts can be of any duration, in any location for any type of recipient, carried out by the local mental health service or another mental health service.</w:t>
            </w:r>
          </w:p>
          <w:p w14:paraId="7EB8F900"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Where one or more contacts fall in the seven days after the separation date, the separation is considered to have received post-discharge community care.</w:t>
            </w:r>
          </w:p>
          <w:p w14:paraId="19357CB3"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Contacts on the day of separation and interstate consumers are excluded. </w:t>
            </w:r>
          </w:p>
          <w:p w14:paraId="33FD90B5"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Both the numerator and the denominator include consumers separated from a mental health service to a private residence or accommodation and exclude same day separations.</w:t>
            </w:r>
          </w:p>
          <w:p w14:paraId="21A533A4"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Separations are lagged by seven days to allow all post-discharge follow ups in the reporting period to be captured. For example, if the reporting period is from 1 July 2017 to 30 September 2017, then separations from 24 June 2017 to 24 September 2017 are included.</w:t>
            </w:r>
          </w:p>
          <w:p w14:paraId="59BAE3C8"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w:t>
            </w:r>
          </w:p>
        </w:tc>
      </w:tr>
      <w:tr w:rsidR="00CB2241" w:rsidRPr="00F03354" w14:paraId="25B50302" w14:textId="77777777" w:rsidTr="005F6246">
        <w:trPr>
          <w:cantSplit/>
          <w:trHeight w:val="60"/>
        </w:trPr>
        <w:tc>
          <w:tcPr>
            <w:tcW w:w="2533" w:type="dxa"/>
            <w:hideMark/>
          </w:tcPr>
          <w:p w14:paraId="21D6A029"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Numerator</w:t>
            </w:r>
          </w:p>
        </w:tc>
        <w:tc>
          <w:tcPr>
            <w:tcW w:w="7560" w:type="dxa"/>
            <w:gridSpan w:val="2"/>
            <w:hideMark/>
          </w:tcPr>
          <w:p w14:paraId="41CB0CC0" w14:textId="77777777" w:rsidR="00CB2241" w:rsidRPr="00F03354" w:rsidRDefault="00CB2241"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separations from a child and adolescent inpatient unit to private residence / accommodation where the consumer was contacted within 7 days of separation. Ended episodes are counted against the Mental Health Area (catchment campus) of the consumer. Excludes same day stays. Excludes interstate clients.</w:t>
            </w:r>
          </w:p>
        </w:tc>
      </w:tr>
      <w:tr w:rsidR="00CB2241" w:rsidRPr="00F03354" w14:paraId="2F3C21A0" w14:textId="77777777" w:rsidTr="005F6246">
        <w:trPr>
          <w:cantSplit/>
          <w:trHeight w:val="60"/>
        </w:trPr>
        <w:tc>
          <w:tcPr>
            <w:tcW w:w="2533" w:type="dxa"/>
            <w:hideMark/>
          </w:tcPr>
          <w:p w14:paraId="2C4134BA"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60" w:type="dxa"/>
            <w:gridSpan w:val="2"/>
            <w:hideMark/>
          </w:tcPr>
          <w:p w14:paraId="5C90849B" w14:textId="77777777" w:rsidR="00CB2241" w:rsidRPr="00F03354" w:rsidRDefault="00CB2241"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separations from a child and adolescent inpatient unit to private residence / accommodation. Ended episodes are counted against the Mental Health Area (catchment campus) of the consumer. Excludes same day stays. Excludes interstate clients.</w:t>
            </w:r>
          </w:p>
        </w:tc>
      </w:tr>
      <w:tr w:rsidR="00CB2241" w:rsidRPr="00F03354" w14:paraId="09639949" w14:textId="77777777" w:rsidTr="005F6246">
        <w:trPr>
          <w:cantSplit/>
          <w:trHeight w:val="60"/>
        </w:trPr>
        <w:tc>
          <w:tcPr>
            <w:tcW w:w="2533" w:type="dxa"/>
            <w:hideMark/>
          </w:tcPr>
          <w:p w14:paraId="30E2BF82"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0" w:type="dxa"/>
            <w:gridSpan w:val="2"/>
            <w:hideMark/>
          </w:tcPr>
          <w:p w14:paraId="05D9A38A"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 88% </w:t>
            </w:r>
          </w:p>
        </w:tc>
      </w:tr>
      <w:tr w:rsidR="00CB2241" w:rsidRPr="00F03354" w14:paraId="1A323C61" w14:textId="77777777" w:rsidTr="005F6246">
        <w:trPr>
          <w:cantSplit/>
          <w:trHeight w:val="60"/>
        </w:trPr>
        <w:tc>
          <w:tcPr>
            <w:tcW w:w="2533" w:type="dxa"/>
            <w:vMerge w:val="restart"/>
            <w:hideMark/>
          </w:tcPr>
          <w:p w14:paraId="4CFC492E"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037" w:type="dxa"/>
            <w:hideMark/>
          </w:tcPr>
          <w:p w14:paraId="05904461"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88%</w:t>
            </w:r>
          </w:p>
        </w:tc>
        <w:tc>
          <w:tcPr>
            <w:tcW w:w="3523" w:type="dxa"/>
            <w:hideMark/>
          </w:tcPr>
          <w:p w14:paraId="0A9BE87A" w14:textId="77777777" w:rsidR="00CB2241" w:rsidRPr="00F03354" w:rsidRDefault="00CB2241"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CB2241" w:rsidRPr="00F03354" w14:paraId="2BF172CA" w14:textId="77777777" w:rsidTr="005F6246">
        <w:trPr>
          <w:cantSplit/>
          <w:trHeight w:val="60"/>
        </w:trPr>
        <w:tc>
          <w:tcPr>
            <w:tcW w:w="2533" w:type="dxa"/>
            <w:vMerge/>
            <w:vAlign w:val="center"/>
            <w:hideMark/>
          </w:tcPr>
          <w:p w14:paraId="14432796" w14:textId="77777777" w:rsidR="00CB2241" w:rsidRPr="00F03354" w:rsidRDefault="00CB2241" w:rsidP="005F6246">
            <w:pPr>
              <w:spacing w:before="80" w:after="60" w:line="240" w:lineRule="auto"/>
              <w:rPr>
                <w:rFonts w:ascii="VIC" w:eastAsia="Times New Roman" w:hAnsi="VIC" w:cs="Times New Roman"/>
                <w:sz w:val="20"/>
                <w:szCs w:val="20"/>
              </w:rPr>
            </w:pPr>
          </w:p>
        </w:tc>
        <w:tc>
          <w:tcPr>
            <w:tcW w:w="4037" w:type="dxa"/>
            <w:hideMark/>
          </w:tcPr>
          <w:p w14:paraId="6F5270DE"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88%</w:t>
            </w:r>
          </w:p>
        </w:tc>
        <w:tc>
          <w:tcPr>
            <w:tcW w:w="3523" w:type="dxa"/>
            <w:hideMark/>
          </w:tcPr>
          <w:p w14:paraId="48C0EA83" w14:textId="77777777" w:rsidR="00CB2241" w:rsidRPr="00F03354" w:rsidRDefault="00CB2241"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CB2241" w:rsidRPr="00F03354" w14:paraId="113821F5" w14:textId="77777777" w:rsidTr="005F6246">
        <w:trPr>
          <w:cantSplit/>
          <w:trHeight w:val="587"/>
        </w:trPr>
        <w:tc>
          <w:tcPr>
            <w:tcW w:w="2533" w:type="dxa"/>
          </w:tcPr>
          <w:p w14:paraId="68CD88FF"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60" w:type="dxa"/>
            <w:gridSpan w:val="2"/>
          </w:tcPr>
          <w:p w14:paraId="300D81C5"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CB2241" w:rsidRPr="00F03354" w14:paraId="7602CE10" w14:textId="77777777" w:rsidTr="005F6246">
        <w:trPr>
          <w:cantSplit/>
          <w:trHeight w:val="60"/>
        </w:trPr>
        <w:tc>
          <w:tcPr>
            <w:tcW w:w="2533" w:type="dxa"/>
            <w:hideMark/>
          </w:tcPr>
          <w:p w14:paraId="317B811B"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60" w:type="dxa"/>
            <w:gridSpan w:val="2"/>
            <w:hideMark/>
          </w:tcPr>
          <w:p w14:paraId="6A14BF20"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38F5120E"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separation date is between the start of the reporting period (minus seven days) and the end of the reporting period (minus seven days). Separations are lagged by seven days to allow all post-discharge follow-up in the reporting period to be captured. For example, if the reporting period is from 1 July to 30 September, then separations from 24 June to 24 September are included.</w:t>
            </w:r>
          </w:p>
          <w:p w14:paraId="2CC27E5A"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Results are reported for the periods:</w:t>
            </w:r>
          </w:p>
          <w:p w14:paraId="3C75FF50" w14:textId="77777777" w:rsidR="00CB2241" w:rsidRPr="00F03354" w:rsidRDefault="00CB2241"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15D077E2" w14:textId="77777777" w:rsidR="00CB2241" w:rsidRPr="00F03354" w:rsidRDefault="00CB2241"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7993C814" w14:textId="77777777" w:rsidR="00CB2241" w:rsidRPr="00F03354" w:rsidRDefault="00CB2241"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356FA333" w14:textId="77777777" w:rsidR="00CB2241" w:rsidRPr="00F03354" w:rsidRDefault="00CB2241"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16D49FCA" w14:textId="77777777" w:rsidR="00CB2241" w:rsidRPr="00F03354" w:rsidRDefault="00CB2241"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CMI, which is the local client information system used by each public mental health service. It also uses the Operational Data Store (ODS), which manages a set of select data items from each CMI. The initialism used for this data source is CMI/ODS.</w:t>
            </w:r>
          </w:p>
        </w:tc>
      </w:tr>
    </w:tbl>
    <w:p w14:paraId="530848DB" w14:textId="77777777" w:rsidR="00B76C1B" w:rsidRPr="00F03354" w:rsidRDefault="00B76C1B"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70"/>
        <w:gridCol w:w="3970"/>
        <w:gridCol w:w="3553"/>
      </w:tblGrid>
      <w:tr w:rsidR="00961C2A" w:rsidRPr="00F03354" w14:paraId="0CBEAA34" w14:textId="77777777" w:rsidTr="005F6246">
        <w:trPr>
          <w:cantSplit/>
          <w:trHeight w:val="60"/>
          <w:tblHeader/>
        </w:trPr>
        <w:tc>
          <w:tcPr>
            <w:tcW w:w="2570" w:type="dxa"/>
            <w:shd w:val="clear" w:color="auto" w:fill="244C5A"/>
            <w:vAlign w:val="bottom"/>
          </w:tcPr>
          <w:p w14:paraId="24486461" w14:textId="77777777" w:rsidR="00961C2A" w:rsidRPr="00F03354" w:rsidRDefault="00961C2A"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523" w:type="dxa"/>
            <w:gridSpan w:val="2"/>
            <w:shd w:val="clear" w:color="auto" w:fill="244C5A"/>
            <w:vAlign w:val="bottom"/>
          </w:tcPr>
          <w:p w14:paraId="083FA58C" w14:textId="77777777" w:rsidR="00961C2A" w:rsidRPr="00F03354" w:rsidRDefault="00961C2A"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Percentage of consumers followed up within 7 days of separation – Inpatient (adult)</w:t>
            </w:r>
          </w:p>
        </w:tc>
      </w:tr>
      <w:tr w:rsidR="00961C2A" w:rsidRPr="00F03354" w14:paraId="4B38850E" w14:textId="77777777" w:rsidTr="005F6246">
        <w:trPr>
          <w:cantSplit/>
          <w:trHeight w:val="60"/>
        </w:trPr>
        <w:tc>
          <w:tcPr>
            <w:tcW w:w="2570" w:type="dxa"/>
            <w:hideMark/>
          </w:tcPr>
          <w:p w14:paraId="0994452A"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23" w:type="dxa"/>
            <w:gridSpan w:val="2"/>
            <w:hideMark/>
          </w:tcPr>
          <w:p w14:paraId="182E1F8C"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responsive, post-discharge community support system is essential for consumers who have experienced a mental health admission to maintain clinical and functional stability, and to minimise the need for readmission.</w:t>
            </w:r>
          </w:p>
          <w:p w14:paraId="3C7CF5AE"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Consumers discharged after a mental health admission with linkages to community services and supports are less likely to be at risk of readmission.</w:t>
            </w:r>
          </w:p>
          <w:p w14:paraId="20E9FA6A"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Research indicates that mental health consumers have increased vulnerability immediately following discharge, including higher risk for suicide.</w:t>
            </w:r>
          </w:p>
        </w:tc>
      </w:tr>
      <w:tr w:rsidR="00961C2A" w:rsidRPr="00F03354" w14:paraId="6BA91377" w14:textId="77777777" w:rsidTr="005F6246">
        <w:trPr>
          <w:cantSplit/>
          <w:trHeight w:val="60"/>
        </w:trPr>
        <w:tc>
          <w:tcPr>
            <w:tcW w:w="2570" w:type="dxa"/>
            <w:hideMark/>
          </w:tcPr>
          <w:p w14:paraId="52554E0A"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23" w:type="dxa"/>
            <w:gridSpan w:val="2"/>
            <w:hideMark/>
          </w:tcPr>
          <w:p w14:paraId="2D9FBB50"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Contacts can be of any duration, in any location for any type of recipient, carried out by the local mental health service or another mental health service.</w:t>
            </w:r>
          </w:p>
          <w:p w14:paraId="63E1B232"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Where one or more contacts fall in the seven days after the separation date, the separation is considered to have received post-discharge community care.</w:t>
            </w:r>
          </w:p>
          <w:p w14:paraId="647E029A"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Contacts on the day of separation are excluded. </w:t>
            </w:r>
          </w:p>
          <w:p w14:paraId="5136B100"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Both the numerator and the denominator include consumers separated from a mental health service to a private residence or accommodation and exclude same day separations.</w:t>
            </w:r>
          </w:p>
          <w:p w14:paraId="3A312BC9"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Separations are lagged by seven days to allow all post-discharge follow ups in the reporting period to be captured. For example, if the reporting period is from 1 July 2017 to 30 September 2017, then separations from 24 June 2017 to 24 September 2017 are included.</w:t>
            </w:r>
          </w:p>
          <w:p w14:paraId="0B698F3F"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rounded to the nearest whole number.</w:t>
            </w:r>
          </w:p>
        </w:tc>
      </w:tr>
      <w:tr w:rsidR="00961C2A" w:rsidRPr="00F03354" w14:paraId="7CE7CD9C" w14:textId="77777777" w:rsidTr="005F6246">
        <w:trPr>
          <w:cantSplit/>
          <w:trHeight w:val="60"/>
        </w:trPr>
        <w:tc>
          <w:tcPr>
            <w:tcW w:w="2570" w:type="dxa"/>
            <w:hideMark/>
          </w:tcPr>
          <w:p w14:paraId="505CA32E"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23" w:type="dxa"/>
            <w:gridSpan w:val="2"/>
            <w:hideMark/>
          </w:tcPr>
          <w:p w14:paraId="0CED0BBB" w14:textId="77777777" w:rsidR="00961C2A" w:rsidRPr="00F03354" w:rsidRDefault="00961C2A"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separations from an adult inpatient unit to private residence / accommodation where the consumer was contacted within 7 days post separation. Excludes same day stays. Lagged by 7 days.</w:t>
            </w:r>
          </w:p>
        </w:tc>
      </w:tr>
      <w:tr w:rsidR="00961C2A" w:rsidRPr="00F03354" w14:paraId="5EB066E7" w14:textId="77777777" w:rsidTr="005F6246">
        <w:trPr>
          <w:cantSplit/>
          <w:trHeight w:val="60"/>
        </w:trPr>
        <w:tc>
          <w:tcPr>
            <w:tcW w:w="2570" w:type="dxa"/>
            <w:hideMark/>
          </w:tcPr>
          <w:p w14:paraId="63C7E137"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23" w:type="dxa"/>
            <w:gridSpan w:val="2"/>
            <w:hideMark/>
          </w:tcPr>
          <w:p w14:paraId="0617EB74" w14:textId="77777777" w:rsidR="00961C2A" w:rsidRPr="00F03354" w:rsidRDefault="00961C2A"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separations from an adult inpatient unit to private residence / accommodation. Excludes same day stays. Lagged by 7 days.</w:t>
            </w:r>
          </w:p>
        </w:tc>
      </w:tr>
      <w:tr w:rsidR="00961C2A" w:rsidRPr="00F03354" w14:paraId="35679D95" w14:textId="77777777" w:rsidTr="005F6246">
        <w:trPr>
          <w:cantSplit/>
          <w:trHeight w:val="60"/>
        </w:trPr>
        <w:tc>
          <w:tcPr>
            <w:tcW w:w="2570" w:type="dxa"/>
            <w:hideMark/>
          </w:tcPr>
          <w:p w14:paraId="30689ABD"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23" w:type="dxa"/>
            <w:gridSpan w:val="2"/>
            <w:hideMark/>
          </w:tcPr>
          <w:p w14:paraId="380510F0"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 88% </w:t>
            </w:r>
          </w:p>
        </w:tc>
      </w:tr>
      <w:tr w:rsidR="00961C2A" w:rsidRPr="00F03354" w14:paraId="0731E371" w14:textId="77777777" w:rsidTr="005F6246">
        <w:trPr>
          <w:cantSplit/>
          <w:trHeight w:val="223"/>
        </w:trPr>
        <w:tc>
          <w:tcPr>
            <w:tcW w:w="2570" w:type="dxa"/>
            <w:vMerge w:val="restart"/>
            <w:hideMark/>
          </w:tcPr>
          <w:p w14:paraId="63152129"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970" w:type="dxa"/>
            <w:hideMark/>
          </w:tcPr>
          <w:p w14:paraId="3CA61F66"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88%</w:t>
            </w:r>
          </w:p>
        </w:tc>
        <w:tc>
          <w:tcPr>
            <w:tcW w:w="3553" w:type="dxa"/>
            <w:hideMark/>
          </w:tcPr>
          <w:p w14:paraId="4C0F6F69" w14:textId="77777777" w:rsidR="00961C2A" w:rsidRPr="00F03354" w:rsidRDefault="00961C2A"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961C2A" w:rsidRPr="00F03354" w14:paraId="67D2A720" w14:textId="77777777" w:rsidTr="005F6246">
        <w:trPr>
          <w:cantSplit/>
          <w:trHeight w:val="60"/>
        </w:trPr>
        <w:tc>
          <w:tcPr>
            <w:tcW w:w="2570" w:type="dxa"/>
            <w:vMerge/>
            <w:vAlign w:val="center"/>
            <w:hideMark/>
          </w:tcPr>
          <w:p w14:paraId="1FEF26CB" w14:textId="77777777" w:rsidR="00961C2A" w:rsidRPr="00F03354" w:rsidRDefault="00961C2A" w:rsidP="005F6246">
            <w:pPr>
              <w:spacing w:before="80" w:after="60" w:line="240" w:lineRule="auto"/>
              <w:rPr>
                <w:rFonts w:ascii="VIC" w:eastAsia="Times New Roman" w:hAnsi="VIC" w:cs="Times New Roman"/>
                <w:sz w:val="20"/>
                <w:szCs w:val="20"/>
              </w:rPr>
            </w:pPr>
          </w:p>
        </w:tc>
        <w:tc>
          <w:tcPr>
            <w:tcW w:w="3970" w:type="dxa"/>
          </w:tcPr>
          <w:p w14:paraId="34AFEAD3"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88%</w:t>
            </w:r>
          </w:p>
        </w:tc>
        <w:tc>
          <w:tcPr>
            <w:tcW w:w="3553" w:type="dxa"/>
          </w:tcPr>
          <w:p w14:paraId="5BD07984" w14:textId="77777777" w:rsidR="00961C2A" w:rsidRPr="00F03354" w:rsidRDefault="00961C2A"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961C2A" w:rsidRPr="00F03354" w14:paraId="7F6611C4" w14:textId="77777777" w:rsidTr="005F6246">
        <w:trPr>
          <w:cantSplit/>
          <w:trHeight w:val="587"/>
        </w:trPr>
        <w:tc>
          <w:tcPr>
            <w:tcW w:w="2570" w:type="dxa"/>
          </w:tcPr>
          <w:p w14:paraId="17625F3A"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23" w:type="dxa"/>
            <w:gridSpan w:val="2"/>
          </w:tcPr>
          <w:p w14:paraId="33EBFD6D"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961C2A" w:rsidRPr="00F03354" w14:paraId="10B89507" w14:textId="77777777" w:rsidTr="005F6246">
        <w:trPr>
          <w:cantSplit/>
          <w:trHeight w:val="60"/>
        </w:trPr>
        <w:tc>
          <w:tcPr>
            <w:tcW w:w="2570" w:type="dxa"/>
            <w:hideMark/>
          </w:tcPr>
          <w:p w14:paraId="09C47DDF"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523" w:type="dxa"/>
            <w:gridSpan w:val="2"/>
            <w:hideMark/>
          </w:tcPr>
          <w:p w14:paraId="521D9C9E"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550E339C"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separation date is between the start of the reporting period (minus seven days) and the end of the reporting period (minus seven days). Separations are lagged by seven days to allow all post-discharge follow-up in the reporting period to be captured. For example, if the reporting period is from 1 July to 30 September, then separations from 24 June to 24 September are included.</w:t>
            </w:r>
          </w:p>
          <w:p w14:paraId="1CDEDC30"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2CB1E239" w14:textId="77777777" w:rsidR="00961C2A" w:rsidRPr="00F03354" w:rsidRDefault="00961C2A"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3F4074CE" w14:textId="77777777" w:rsidR="00961C2A" w:rsidRPr="00F03354" w:rsidRDefault="00961C2A"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26CDE358" w14:textId="77777777" w:rsidR="00961C2A" w:rsidRPr="00F03354" w:rsidRDefault="00961C2A"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43977F02" w14:textId="77777777" w:rsidR="00961C2A" w:rsidRPr="00F03354" w:rsidRDefault="00961C2A"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25F059FA" w14:textId="77777777" w:rsidR="00961C2A" w:rsidRPr="00F03354" w:rsidRDefault="00961C2A"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549809DD" w14:textId="77777777" w:rsidR="00CB2241" w:rsidRPr="00F03354" w:rsidRDefault="00CB2241" w:rsidP="00280F65">
      <w:pPr>
        <w:keepNext/>
        <w:keepLines/>
        <w:spacing w:before="240" w:after="120" w:line="280" w:lineRule="atLeast"/>
        <w:outlineLvl w:val="3"/>
        <w:rPr>
          <w:rFonts w:ascii="VIC" w:eastAsia="MS Mincho" w:hAnsi="VIC" w:cs="Arial"/>
          <w:b/>
          <w:bCs/>
          <w:sz w:val="20"/>
          <w:szCs w:val="20"/>
        </w:rPr>
      </w:pPr>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33"/>
        <w:gridCol w:w="4013"/>
        <w:gridCol w:w="3547"/>
      </w:tblGrid>
      <w:tr w:rsidR="00876C99" w:rsidRPr="00F03354" w14:paraId="4E3C09AF" w14:textId="77777777" w:rsidTr="005F6246">
        <w:trPr>
          <w:cantSplit/>
          <w:trHeight w:val="60"/>
          <w:tblHeader/>
        </w:trPr>
        <w:tc>
          <w:tcPr>
            <w:tcW w:w="2533" w:type="dxa"/>
            <w:shd w:val="clear" w:color="auto" w:fill="244C5A"/>
            <w:vAlign w:val="bottom"/>
          </w:tcPr>
          <w:p w14:paraId="741A8B9B" w14:textId="77777777" w:rsidR="00876C99" w:rsidRPr="00F03354" w:rsidRDefault="00876C99"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560" w:type="dxa"/>
            <w:gridSpan w:val="2"/>
            <w:shd w:val="clear" w:color="auto" w:fill="244C5A"/>
            <w:vAlign w:val="bottom"/>
          </w:tcPr>
          <w:p w14:paraId="396AB8B0" w14:textId="77777777" w:rsidR="00876C99" w:rsidRPr="00F03354" w:rsidRDefault="00876C99"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Percentage of consumers followed up within 7 days of separation - Inpatient (older persons)</w:t>
            </w:r>
          </w:p>
        </w:tc>
      </w:tr>
      <w:tr w:rsidR="00876C99" w:rsidRPr="00F03354" w14:paraId="676ABE3A" w14:textId="77777777" w:rsidTr="005F6246">
        <w:trPr>
          <w:cantSplit/>
          <w:trHeight w:val="60"/>
        </w:trPr>
        <w:tc>
          <w:tcPr>
            <w:tcW w:w="2533" w:type="dxa"/>
            <w:hideMark/>
          </w:tcPr>
          <w:p w14:paraId="704C5EEE"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60" w:type="dxa"/>
            <w:gridSpan w:val="2"/>
            <w:hideMark/>
          </w:tcPr>
          <w:p w14:paraId="3CE2C0EE"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responsive, post-discharge community support system is essential for consumers who have experienced a mental health admission to maintain clinical and functional stability, and to minimise the need for readmission.</w:t>
            </w:r>
          </w:p>
          <w:p w14:paraId="621036A9"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Consumers discharged after a mental health admission with linkages to community services and supports are less likely to be at risk of readmission.</w:t>
            </w:r>
          </w:p>
          <w:p w14:paraId="230DE72F"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Research indicates that mental health consumers have increased vulnerability immediately following discharge, including higher risk for suicide.</w:t>
            </w:r>
          </w:p>
        </w:tc>
      </w:tr>
      <w:tr w:rsidR="00876C99" w:rsidRPr="00F03354" w14:paraId="405B1E4D" w14:textId="77777777" w:rsidTr="005F6246">
        <w:trPr>
          <w:cantSplit/>
          <w:trHeight w:val="60"/>
        </w:trPr>
        <w:tc>
          <w:tcPr>
            <w:tcW w:w="2533" w:type="dxa"/>
            <w:hideMark/>
          </w:tcPr>
          <w:p w14:paraId="0510B434"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Calculating performance</w:t>
            </w:r>
          </w:p>
        </w:tc>
        <w:tc>
          <w:tcPr>
            <w:tcW w:w="7560" w:type="dxa"/>
            <w:gridSpan w:val="2"/>
            <w:hideMark/>
          </w:tcPr>
          <w:p w14:paraId="6CDDEF67"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Contacts can be of any duration, in any location for any type of recipient, carried out by the local mental health service or another mental health service.</w:t>
            </w:r>
          </w:p>
          <w:p w14:paraId="19362B52"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Where one or more contacts fall in the seven days after the separation date, the separation is considered to have received post-discharge community care.</w:t>
            </w:r>
          </w:p>
          <w:p w14:paraId="4E28A7A7"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Contacts on the day of separation are excluded. </w:t>
            </w:r>
          </w:p>
          <w:p w14:paraId="08B49AB9"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Both the numerator and the denominator include consumers separated from a mental health service to a private residence or accommodation and exclude same day separations.</w:t>
            </w:r>
          </w:p>
          <w:p w14:paraId="13A051A6"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Separations are lagged by seven days to allow all post-discharge follow ups in the reporting period to be captured. For example, if the reporting period is from 1 July 2017 to 30 September 2017, then separations from 24 June 2017 to 24 September 2017 are included.</w:t>
            </w:r>
          </w:p>
          <w:p w14:paraId="086907C1"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w:t>
            </w:r>
          </w:p>
        </w:tc>
      </w:tr>
      <w:tr w:rsidR="00876C99" w:rsidRPr="00F03354" w14:paraId="62CCA74C" w14:textId="77777777" w:rsidTr="005F6246">
        <w:trPr>
          <w:cantSplit/>
          <w:trHeight w:val="60"/>
        </w:trPr>
        <w:tc>
          <w:tcPr>
            <w:tcW w:w="2533" w:type="dxa"/>
            <w:hideMark/>
          </w:tcPr>
          <w:p w14:paraId="02A649BE"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60" w:type="dxa"/>
            <w:gridSpan w:val="2"/>
            <w:hideMark/>
          </w:tcPr>
          <w:p w14:paraId="4067A25D" w14:textId="77777777" w:rsidR="00876C99" w:rsidRPr="00F03354" w:rsidRDefault="00876C99"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separations from an aged inpatient unit to private residence / accommodation where the consumer was contacted within 7 days post separation. Excludes same day stays. Lagged by 7 days.</w:t>
            </w:r>
          </w:p>
        </w:tc>
      </w:tr>
      <w:tr w:rsidR="00876C99" w:rsidRPr="00F03354" w14:paraId="60EDC418" w14:textId="77777777" w:rsidTr="005F6246">
        <w:trPr>
          <w:cantSplit/>
          <w:trHeight w:val="60"/>
        </w:trPr>
        <w:tc>
          <w:tcPr>
            <w:tcW w:w="2533" w:type="dxa"/>
            <w:hideMark/>
          </w:tcPr>
          <w:p w14:paraId="603AF376"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60" w:type="dxa"/>
            <w:gridSpan w:val="2"/>
            <w:hideMark/>
          </w:tcPr>
          <w:p w14:paraId="509AE270" w14:textId="77777777" w:rsidR="00876C99" w:rsidRPr="00F03354" w:rsidRDefault="00876C99" w:rsidP="005F6246">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separations from an aged inpatient unit to private residence / accommodation. Excludes same day stays. Lagged by 7 days.</w:t>
            </w:r>
          </w:p>
        </w:tc>
      </w:tr>
      <w:tr w:rsidR="00876C99" w:rsidRPr="00F03354" w14:paraId="7A7C06B7" w14:textId="77777777" w:rsidTr="005F6246">
        <w:trPr>
          <w:cantSplit/>
          <w:trHeight w:val="60"/>
        </w:trPr>
        <w:tc>
          <w:tcPr>
            <w:tcW w:w="2533" w:type="dxa"/>
            <w:hideMark/>
          </w:tcPr>
          <w:p w14:paraId="1C88ABA8"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0" w:type="dxa"/>
            <w:gridSpan w:val="2"/>
            <w:hideMark/>
          </w:tcPr>
          <w:p w14:paraId="422E04D4"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 88% </w:t>
            </w:r>
          </w:p>
        </w:tc>
      </w:tr>
      <w:tr w:rsidR="00876C99" w:rsidRPr="00F03354" w14:paraId="2A4D9DB8" w14:textId="77777777" w:rsidTr="005F6246">
        <w:trPr>
          <w:cantSplit/>
          <w:trHeight w:val="60"/>
        </w:trPr>
        <w:tc>
          <w:tcPr>
            <w:tcW w:w="2533" w:type="dxa"/>
            <w:vMerge w:val="restart"/>
            <w:hideMark/>
          </w:tcPr>
          <w:p w14:paraId="031A822F"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013" w:type="dxa"/>
            <w:hideMark/>
          </w:tcPr>
          <w:p w14:paraId="2B01078A"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88%</w:t>
            </w:r>
          </w:p>
        </w:tc>
        <w:tc>
          <w:tcPr>
            <w:tcW w:w="3547" w:type="dxa"/>
            <w:hideMark/>
          </w:tcPr>
          <w:p w14:paraId="618AF108" w14:textId="77777777" w:rsidR="00876C99" w:rsidRPr="00F03354" w:rsidRDefault="00876C99"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876C99" w:rsidRPr="00F03354" w14:paraId="413D02EE" w14:textId="77777777" w:rsidTr="005F6246">
        <w:trPr>
          <w:cantSplit/>
          <w:trHeight w:val="60"/>
        </w:trPr>
        <w:tc>
          <w:tcPr>
            <w:tcW w:w="2533" w:type="dxa"/>
            <w:vMerge/>
            <w:vAlign w:val="center"/>
            <w:hideMark/>
          </w:tcPr>
          <w:p w14:paraId="7EA85F33" w14:textId="77777777" w:rsidR="00876C99" w:rsidRPr="00F03354" w:rsidRDefault="00876C99" w:rsidP="005F6246">
            <w:pPr>
              <w:spacing w:before="80" w:after="60" w:line="240" w:lineRule="auto"/>
              <w:rPr>
                <w:rFonts w:ascii="VIC" w:eastAsia="Times New Roman" w:hAnsi="VIC" w:cs="Times New Roman"/>
                <w:sz w:val="20"/>
                <w:szCs w:val="20"/>
              </w:rPr>
            </w:pPr>
          </w:p>
        </w:tc>
        <w:tc>
          <w:tcPr>
            <w:tcW w:w="4013" w:type="dxa"/>
            <w:hideMark/>
          </w:tcPr>
          <w:p w14:paraId="1C59330C"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88%</w:t>
            </w:r>
          </w:p>
        </w:tc>
        <w:tc>
          <w:tcPr>
            <w:tcW w:w="3547" w:type="dxa"/>
            <w:hideMark/>
          </w:tcPr>
          <w:p w14:paraId="25080F3B" w14:textId="77777777" w:rsidR="00876C99" w:rsidRPr="00F03354" w:rsidRDefault="00876C99"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876C99" w:rsidRPr="00F03354" w14:paraId="52C036BC" w14:textId="77777777" w:rsidTr="005F6246">
        <w:trPr>
          <w:cantSplit/>
          <w:trHeight w:val="587"/>
        </w:trPr>
        <w:tc>
          <w:tcPr>
            <w:tcW w:w="2533" w:type="dxa"/>
          </w:tcPr>
          <w:p w14:paraId="5CA63CA6"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60" w:type="dxa"/>
            <w:gridSpan w:val="2"/>
          </w:tcPr>
          <w:p w14:paraId="7071A47D"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876C99" w:rsidRPr="00F03354" w14:paraId="2D332F0A" w14:textId="77777777" w:rsidTr="005F6246">
        <w:trPr>
          <w:cantSplit/>
          <w:trHeight w:val="60"/>
        </w:trPr>
        <w:tc>
          <w:tcPr>
            <w:tcW w:w="2533" w:type="dxa"/>
            <w:hideMark/>
          </w:tcPr>
          <w:p w14:paraId="3300B6B8"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560" w:type="dxa"/>
            <w:gridSpan w:val="2"/>
            <w:hideMark/>
          </w:tcPr>
          <w:p w14:paraId="3D6E8450"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53D6D83D"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separation date is between the start of the reporting period (minus seven days) and the end of the reporting period (minus seven days). Separations are lagged by seven days to allow all post-discharge follow-up in the reporting period to be captured. For example, if the reporting period is from 1 July to 30 September, then separations from 24 June to 24 September are included.</w:t>
            </w:r>
          </w:p>
          <w:p w14:paraId="74327A91"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4F9507C8" w14:textId="77777777" w:rsidR="00876C99" w:rsidRPr="00F03354" w:rsidRDefault="00876C99"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23586E48" w14:textId="77777777" w:rsidR="00876C99" w:rsidRPr="00F03354" w:rsidRDefault="00876C99"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128B85D8" w14:textId="77777777" w:rsidR="00876C99" w:rsidRPr="00F03354" w:rsidRDefault="00876C99"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0D9A601A" w14:textId="77777777" w:rsidR="00876C99" w:rsidRPr="00F03354" w:rsidRDefault="00876C99"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7665747F" w14:textId="77777777" w:rsidR="00876C99" w:rsidRPr="00F03354" w:rsidRDefault="00876C99"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1FC56E05" w14:textId="77777777" w:rsidR="00876C99" w:rsidRPr="00F03354" w:rsidRDefault="00876C99" w:rsidP="00280F65">
      <w:pPr>
        <w:keepNext/>
        <w:keepLines/>
        <w:spacing w:before="240" w:after="120" w:line="280" w:lineRule="atLeast"/>
        <w:outlineLvl w:val="3"/>
        <w:rPr>
          <w:rFonts w:ascii="VIC" w:eastAsia="MS Mincho" w:hAnsi="VIC" w:cs="Arial"/>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3852"/>
        <w:gridCol w:w="3539"/>
      </w:tblGrid>
      <w:tr w:rsidR="008B406F" w:rsidRPr="00F03354" w14:paraId="2ABAD228" w14:textId="77777777" w:rsidTr="005F6246">
        <w:trPr>
          <w:cantSplit/>
          <w:trHeight w:val="60"/>
          <w:tblHeader/>
        </w:trPr>
        <w:tc>
          <w:tcPr>
            <w:tcW w:w="2561" w:type="dxa"/>
            <w:shd w:val="clear" w:color="auto" w:fill="244C5A"/>
            <w:vAlign w:val="bottom"/>
          </w:tcPr>
          <w:p w14:paraId="5B942FDC" w14:textId="77777777" w:rsidR="008B406F" w:rsidRPr="00F03354" w:rsidRDefault="008B406F"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Indicator</w:t>
            </w:r>
          </w:p>
        </w:tc>
        <w:tc>
          <w:tcPr>
            <w:tcW w:w="7391" w:type="dxa"/>
            <w:gridSpan w:val="2"/>
            <w:shd w:val="clear" w:color="auto" w:fill="244C5A"/>
            <w:vAlign w:val="bottom"/>
          </w:tcPr>
          <w:p w14:paraId="5EFCFE76" w14:textId="77777777" w:rsidR="008B406F" w:rsidRPr="00F03354" w:rsidRDefault="008B406F" w:rsidP="005F6246">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Percentage of consumers re-admitted within 28 days of separation - Inpatient (CAMHS)</w:t>
            </w:r>
          </w:p>
        </w:tc>
      </w:tr>
      <w:tr w:rsidR="008B406F" w:rsidRPr="00F03354" w14:paraId="10361677" w14:textId="77777777" w:rsidTr="005F6246">
        <w:trPr>
          <w:cantSplit/>
          <w:trHeight w:val="60"/>
        </w:trPr>
        <w:tc>
          <w:tcPr>
            <w:tcW w:w="2561" w:type="dxa"/>
            <w:hideMark/>
          </w:tcPr>
          <w:p w14:paraId="5C1D017A"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91" w:type="dxa"/>
            <w:gridSpan w:val="2"/>
            <w:hideMark/>
          </w:tcPr>
          <w:p w14:paraId="5FCE80F5"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Child and adolescent specialist mental health services are aimed primarily at people with a serious mental illness or mental disorder who have associated significant levels of disturbance and psychosocial disability due to their illness or disorder. Readmission rates for child and adolescent mental health patients can reflect the quality of care, effectiveness of discharge planning and level of support provided to patients after discharge, as well as other factors.</w:t>
            </w:r>
          </w:p>
        </w:tc>
      </w:tr>
      <w:tr w:rsidR="008B406F" w:rsidRPr="00F03354" w14:paraId="148DC6F6" w14:textId="77777777" w:rsidTr="005F6246">
        <w:trPr>
          <w:cantSplit/>
          <w:trHeight w:val="60"/>
        </w:trPr>
        <w:tc>
          <w:tcPr>
            <w:tcW w:w="2561" w:type="dxa"/>
            <w:hideMark/>
          </w:tcPr>
          <w:p w14:paraId="06089672"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91" w:type="dxa"/>
            <w:gridSpan w:val="2"/>
            <w:hideMark/>
          </w:tcPr>
          <w:p w14:paraId="12804445"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includes child and adolescent mental health patients who are admitted overnight or longer in hospital.</w:t>
            </w:r>
          </w:p>
          <w:p w14:paraId="5DC7CF06"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Exclusions are overnight separations for electroconvulsive therapy, transfers to other acute hospitals or to residential aged care, and patients who leave against medical advice or abscond.</w:t>
            </w:r>
          </w:p>
          <w:p w14:paraId="555E0FB7"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w:t>
            </w:r>
          </w:p>
        </w:tc>
      </w:tr>
      <w:tr w:rsidR="008B406F" w:rsidRPr="00F03354" w14:paraId="6490EF1A" w14:textId="77777777" w:rsidTr="005F6246">
        <w:trPr>
          <w:cantSplit/>
          <w:trHeight w:val="60"/>
        </w:trPr>
        <w:tc>
          <w:tcPr>
            <w:tcW w:w="2561" w:type="dxa"/>
            <w:hideMark/>
          </w:tcPr>
          <w:p w14:paraId="1E1678ED"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91" w:type="dxa"/>
            <w:gridSpan w:val="2"/>
            <w:hideMark/>
          </w:tcPr>
          <w:p w14:paraId="5F29E05B"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readmissions (planned or unplanned) to any unit within 28 days of separation from a child and adolescent inpatient unit. Excludes a) same day admissions b) consumers that were originally separated because they were transferred to another inpatient unit or absconded c) overnight ECT admissions (where ECT occurred on the day of separation) d) re-admissions to the following specialty inpatient units: Mother/Baby, Eating Disorder, PICU and Neuropsychiatry. Lagged by one month.</w:t>
            </w:r>
          </w:p>
        </w:tc>
      </w:tr>
      <w:tr w:rsidR="008B406F" w:rsidRPr="00F03354" w14:paraId="74975D5D" w14:textId="77777777" w:rsidTr="005F6246">
        <w:trPr>
          <w:cantSplit/>
          <w:trHeight w:val="60"/>
        </w:trPr>
        <w:tc>
          <w:tcPr>
            <w:tcW w:w="2561" w:type="dxa"/>
            <w:hideMark/>
          </w:tcPr>
          <w:p w14:paraId="2731B5CD"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 xml:space="preserve">Denominator </w:t>
            </w:r>
          </w:p>
        </w:tc>
        <w:tc>
          <w:tcPr>
            <w:tcW w:w="7391" w:type="dxa"/>
            <w:gridSpan w:val="2"/>
            <w:hideMark/>
          </w:tcPr>
          <w:p w14:paraId="39184EE4"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separations from a child and adolescent inpatient unit, where the consumer was discharged home or to a residential service. Excludes a) same day admissions b) consumers that were discharged because they were transferred to another inpatient unit or absconded c) overnight ECT admissions (where ECT occurred on the day of separation). Lagged by one month.</w:t>
            </w:r>
          </w:p>
        </w:tc>
      </w:tr>
      <w:tr w:rsidR="008B406F" w:rsidRPr="00F03354" w14:paraId="11A9A00F" w14:textId="77777777" w:rsidTr="005F6246">
        <w:trPr>
          <w:cantSplit/>
          <w:trHeight w:val="60"/>
        </w:trPr>
        <w:tc>
          <w:tcPr>
            <w:tcW w:w="2561" w:type="dxa"/>
            <w:hideMark/>
          </w:tcPr>
          <w:p w14:paraId="6DE59F22"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91" w:type="dxa"/>
            <w:gridSpan w:val="2"/>
            <w:hideMark/>
          </w:tcPr>
          <w:p w14:paraId="1D16E05A"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&lt; 14%</w:t>
            </w:r>
          </w:p>
        </w:tc>
      </w:tr>
      <w:tr w:rsidR="008B406F" w:rsidRPr="00F03354" w14:paraId="7D7710D8" w14:textId="77777777" w:rsidTr="005F6246">
        <w:trPr>
          <w:cantSplit/>
          <w:trHeight w:val="60"/>
        </w:trPr>
        <w:tc>
          <w:tcPr>
            <w:tcW w:w="2561" w:type="dxa"/>
            <w:vMerge w:val="restart"/>
            <w:hideMark/>
          </w:tcPr>
          <w:p w14:paraId="336E1E3D"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852" w:type="dxa"/>
            <w:hideMark/>
          </w:tcPr>
          <w:p w14:paraId="228AEC3E"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14%</w:t>
            </w:r>
          </w:p>
        </w:tc>
        <w:tc>
          <w:tcPr>
            <w:tcW w:w="3539" w:type="dxa"/>
            <w:hideMark/>
          </w:tcPr>
          <w:p w14:paraId="4695D772" w14:textId="77777777" w:rsidR="008B406F" w:rsidRPr="00F03354" w:rsidRDefault="008B406F"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8B406F" w:rsidRPr="00F03354" w14:paraId="181AB105" w14:textId="77777777" w:rsidTr="005F6246">
        <w:trPr>
          <w:cantSplit/>
          <w:trHeight w:val="60"/>
        </w:trPr>
        <w:tc>
          <w:tcPr>
            <w:tcW w:w="2561" w:type="dxa"/>
            <w:vMerge/>
            <w:vAlign w:val="center"/>
            <w:hideMark/>
          </w:tcPr>
          <w:p w14:paraId="5BCE25E7" w14:textId="77777777" w:rsidR="008B406F" w:rsidRPr="00F03354" w:rsidRDefault="008B406F" w:rsidP="005F6246">
            <w:pPr>
              <w:spacing w:before="80" w:after="60" w:line="240" w:lineRule="auto"/>
              <w:rPr>
                <w:rFonts w:ascii="VIC" w:eastAsia="Times New Roman" w:hAnsi="VIC" w:cs="Times New Roman"/>
                <w:sz w:val="20"/>
                <w:szCs w:val="20"/>
              </w:rPr>
            </w:pPr>
          </w:p>
        </w:tc>
        <w:tc>
          <w:tcPr>
            <w:tcW w:w="3852" w:type="dxa"/>
            <w:hideMark/>
          </w:tcPr>
          <w:p w14:paraId="0E90FD71"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14%</w:t>
            </w:r>
          </w:p>
        </w:tc>
        <w:tc>
          <w:tcPr>
            <w:tcW w:w="3539" w:type="dxa"/>
            <w:hideMark/>
          </w:tcPr>
          <w:p w14:paraId="6B578874" w14:textId="77777777" w:rsidR="008B406F" w:rsidRPr="00F03354" w:rsidRDefault="008B406F"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8B406F" w:rsidRPr="00F03354" w14:paraId="36D474AD" w14:textId="77777777" w:rsidTr="005F6246">
        <w:trPr>
          <w:cantSplit/>
          <w:trHeight w:val="750"/>
        </w:trPr>
        <w:tc>
          <w:tcPr>
            <w:tcW w:w="2561" w:type="dxa"/>
          </w:tcPr>
          <w:p w14:paraId="5305CF6D"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91" w:type="dxa"/>
            <w:gridSpan w:val="2"/>
          </w:tcPr>
          <w:p w14:paraId="20F374CC"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8B406F" w:rsidRPr="00F03354" w14:paraId="0EBB7046" w14:textId="77777777" w:rsidTr="005F6246">
        <w:trPr>
          <w:cantSplit/>
          <w:trHeight w:val="60"/>
        </w:trPr>
        <w:tc>
          <w:tcPr>
            <w:tcW w:w="2561" w:type="dxa"/>
            <w:hideMark/>
          </w:tcPr>
          <w:p w14:paraId="0F8CDE07"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91" w:type="dxa"/>
            <w:gridSpan w:val="2"/>
            <w:hideMark/>
          </w:tcPr>
          <w:p w14:paraId="2A2E6978"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5190D98A"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28-day lag inherent in the indicator means that reporting is lagged by one month. For example, quarter 2 will report the mental health results for separations occurring in the period September to November </w:t>
            </w:r>
          </w:p>
          <w:p w14:paraId="3CF65EC5"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529E8B06" w14:textId="77777777" w:rsidR="008B406F" w:rsidRPr="00F03354" w:rsidRDefault="008B406F"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June to 31 August in quarter 1</w:t>
            </w:r>
          </w:p>
          <w:p w14:paraId="27484EC1" w14:textId="77777777" w:rsidR="008B406F" w:rsidRPr="00F03354" w:rsidRDefault="008B406F"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September to 30 November in quarter 2</w:t>
            </w:r>
          </w:p>
          <w:p w14:paraId="1C021955" w14:textId="77777777" w:rsidR="008B406F" w:rsidRPr="00F03354" w:rsidRDefault="008B406F"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December to 28 February in quarter 3</w:t>
            </w:r>
          </w:p>
          <w:p w14:paraId="179295D7" w14:textId="77777777" w:rsidR="008B406F" w:rsidRPr="00F03354" w:rsidRDefault="008B406F"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March to 31 May in quarter 4.</w:t>
            </w:r>
          </w:p>
          <w:p w14:paraId="6D8B2947" w14:textId="77777777" w:rsidR="008B406F" w:rsidRPr="00F03354" w:rsidRDefault="008B406F"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3AD6D66B" w14:textId="77777777" w:rsidR="003E6F62" w:rsidRPr="00F03354" w:rsidRDefault="003E6F62" w:rsidP="00280F65">
      <w:pPr>
        <w:keepNext/>
        <w:keepLines/>
        <w:spacing w:before="240" w:after="120" w:line="280" w:lineRule="atLeast"/>
        <w:outlineLvl w:val="3"/>
        <w:rPr>
          <w:rFonts w:ascii="VIC" w:eastAsia="MS Mincho" w:hAnsi="VIC" w:cs="Arial"/>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3852"/>
        <w:gridCol w:w="3539"/>
      </w:tblGrid>
      <w:tr w:rsidR="00280F65" w:rsidRPr="00F03354" w14:paraId="4D431912" w14:textId="77777777" w:rsidTr="007C7407">
        <w:trPr>
          <w:cantSplit/>
          <w:trHeight w:val="60"/>
          <w:tblHeader/>
        </w:trPr>
        <w:tc>
          <w:tcPr>
            <w:tcW w:w="2561" w:type="dxa"/>
            <w:shd w:val="clear" w:color="auto" w:fill="244C5A"/>
            <w:vAlign w:val="bottom"/>
          </w:tcPr>
          <w:p w14:paraId="780430D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391" w:type="dxa"/>
            <w:gridSpan w:val="2"/>
            <w:shd w:val="clear" w:color="auto" w:fill="244C5A"/>
            <w:vAlign w:val="bottom"/>
          </w:tcPr>
          <w:p w14:paraId="53D27E46" w14:textId="154315A0" w:rsidR="00280F65" w:rsidRPr="00F03354" w:rsidRDefault="00652B1A"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consumers re-admitted within 28 days of separation - Inpatient (adult)</w:t>
            </w:r>
          </w:p>
        </w:tc>
      </w:tr>
      <w:tr w:rsidR="00280F65" w:rsidRPr="00F03354" w14:paraId="6A882A97" w14:textId="77777777" w:rsidTr="007C7407">
        <w:trPr>
          <w:cantSplit/>
          <w:trHeight w:val="60"/>
        </w:trPr>
        <w:tc>
          <w:tcPr>
            <w:tcW w:w="2561" w:type="dxa"/>
            <w:hideMark/>
          </w:tcPr>
          <w:p w14:paraId="2225B8F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91" w:type="dxa"/>
            <w:gridSpan w:val="2"/>
            <w:hideMark/>
          </w:tcPr>
          <w:p w14:paraId="1C364F2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Adult specialist mental health services are aimed primarily at people with a serious mental illness or mental disorder who have associated significant levels of disturbance and psychosocial disability due to their illness or disorder. Readmission rates for adult mental health patients can reflect the quality of care, effectiveness of discharge planning and level of support provided to patients after discharge, as well as other factors.</w:t>
            </w:r>
          </w:p>
        </w:tc>
      </w:tr>
      <w:tr w:rsidR="00280F65" w:rsidRPr="00F03354" w14:paraId="599D2024" w14:textId="77777777" w:rsidTr="007C7407">
        <w:trPr>
          <w:cantSplit/>
          <w:trHeight w:val="60"/>
        </w:trPr>
        <w:tc>
          <w:tcPr>
            <w:tcW w:w="2561" w:type="dxa"/>
            <w:hideMark/>
          </w:tcPr>
          <w:p w14:paraId="04D6DA5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Calculating performance</w:t>
            </w:r>
          </w:p>
        </w:tc>
        <w:tc>
          <w:tcPr>
            <w:tcW w:w="7391" w:type="dxa"/>
            <w:gridSpan w:val="2"/>
            <w:hideMark/>
          </w:tcPr>
          <w:p w14:paraId="4184172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includes adult mental health patients who are admitted overnight or longer in hospital.</w:t>
            </w:r>
          </w:p>
          <w:p w14:paraId="0377EB5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Exclusions are overnight separations for electroconvulsive therapy, transfers to other acute hospitals or to residential aged care, and patients who leave against medical advice or abscond.</w:t>
            </w:r>
          </w:p>
          <w:p w14:paraId="2A8C0B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w:t>
            </w:r>
          </w:p>
        </w:tc>
      </w:tr>
      <w:tr w:rsidR="00280F65" w:rsidRPr="00F03354" w14:paraId="7B0813A1" w14:textId="77777777" w:rsidTr="007C7407">
        <w:trPr>
          <w:cantSplit/>
          <w:trHeight w:val="60"/>
        </w:trPr>
        <w:tc>
          <w:tcPr>
            <w:tcW w:w="2561" w:type="dxa"/>
            <w:hideMark/>
          </w:tcPr>
          <w:p w14:paraId="7BE6DCB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91" w:type="dxa"/>
            <w:gridSpan w:val="2"/>
            <w:hideMark/>
          </w:tcPr>
          <w:p w14:paraId="62AF52C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readmissions (planned or unplanned) to any unit within 28 days of separation from an adult inpatient unit. Excludes a) same day admissions b) consumers that were originally separated because they were transferred to another inpatient unit or absconded c) overnight ECT admissions (where ECT occurred on the day of separation) d) re-admissions to the following specialty inpatient units: Mother/Baby, Eating Disorder, PICU and Neuropsychiatry. Lagged by one month.</w:t>
            </w:r>
          </w:p>
        </w:tc>
      </w:tr>
      <w:tr w:rsidR="00280F65" w:rsidRPr="00F03354" w14:paraId="1C3DA48F" w14:textId="77777777" w:rsidTr="007C7407">
        <w:trPr>
          <w:cantSplit/>
          <w:trHeight w:val="60"/>
        </w:trPr>
        <w:tc>
          <w:tcPr>
            <w:tcW w:w="2561" w:type="dxa"/>
            <w:hideMark/>
          </w:tcPr>
          <w:p w14:paraId="7FE5F82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391" w:type="dxa"/>
            <w:gridSpan w:val="2"/>
            <w:hideMark/>
          </w:tcPr>
          <w:p w14:paraId="346EDDB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separations from an adult inpatient unit, where the consumer was discharged home or to a residential service. Excludes a) same day admissions b) consumers that were discharged because they were transferred to another inpatient unit or absconded c) overnight ECT admissions (where ECT occurred on the day of separation). Lagged by one month.</w:t>
            </w:r>
          </w:p>
        </w:tc>
      </w:tr>
      <w:tr w:rsidR="00280F65" w:rsidRPr="00F03354" w14:paraId="56E14670" w14:textId="77777777" w:rsidTr="007C7407">
        <w:trPr>
          <w:cantSplit/>
          <w:trHeight w:val="60"/>
        </w:trPr>
        <w:tc>
          <w:tcPr>
            <w:tcW w:w="2561" w:type="dxa"/>
            <w:hideMark/>
          </w:tcPr>
          <w:p w14:paraId="03DEAFF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91" w:type="dxa"/>
            <w:gridSpan w:val="2"/>
            <w:hideMark/>
          </w:tcPr>
          <w:p w14:paraId="111111B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14%</w:t>
            </w:r>
          </w:p>
        </w:tc>
      </w:tr>
      <w:tr w:rsidR="00280F65" w:rsidRPr="00F03354" w14:paraId="04B1849E" w14:textId="77777777" w:rsidTr="007C7407">
        <w:trPr>
          <w:cantSplit/>
          <w:trHeight w:val="60"/>
        </w:trPr>
        <w:tc>
          <w:tcPr>
            <w:tcW w:w="2561" w:type="dxa"/>
            <w:vMerge w:val="restart"/>
            <w:hideMark/>
          </w:tcPr>
          <w:p w14:paraId="1B580FE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852" w:type="dxa"/>
            <w:hideMark/>
          </w:tcPr>
          <w:p w14:paraId="1C67DDC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14%</w:t>
            </w:r>
          </w:p>
        </w:tc>
        <w:tc>
          <w:tcPr>
            <w:tcW w:w="3539" w:type="dxa"/>
            <w:hideMark/>
          </w:tcPr>
          <w:p w14:paraId="57B2E2BE"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4F45CA18" w14:textId="77777777" w:rsidTr="007C7407">
        <w:trPr>
          <w:cantSplit/>
          <w:trHeight w:val="60"/>
        </w:trPr>
        <w:tc>
          <w:tcPr>
            <w:tcW w:w="2561" w:type="dxa"/>
            <w:vMerge/>
            <w:vAlign w:val="center"/>
            <w:hideMark/>
          </w:tcPr>
          <w:p w14:paraId="293962F6"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52" w:type="dxa"/>
            <w:hideMark/>
          </w:tcPr>
          <w:p w14:paraId="19964EB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14%</w:t>
            </w:r>
          </w:p>
        </w:tc>
        <w:tc>
          <w:tcPr>
            <w:tcW w:w="3539" w:type="dxa"/>
            <w:hideMark/>
          </w:tcPr>
          <w:p w14:paraId="36575432"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42FF6F29" w14:textId="77777777" w:rsidTr="007C7407">
        <w:trPr>
          <w:cantSplit/>
          <w:trHeight w:val="750"/>
        </w:trPr>
        <w:tc>
          <w:tcPr>
            <w:tcW w:w="2561" w:type="dxa"/>
          </w:tcPr>
          <w:p w14:paraId="4366E2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91" w:type="dxa"/>
            <w:gridSpan w:val="2"/>
          </w:tcPr>
          <w:p w14:paraId="5D1D2AC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280F65" w:rsidRPr="00F03354" w14:paraId="34D4D14E" w14:textId="77777777" w:rsidTr="007C7407">
        <w:trPr>
          <w:cantSplit/>
          <w:trHeight w:val="60"/>
        </w:trPr>
        <w:tc>
          <w:tcPr>
            <w:tcW w:w="2561" w:type="dxa"/>
            <w:hideMark/>
          </w:tcPr>
          <w:p w14:paraId="5C58415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91" w:type="dxa"/>
            <w:gridSpan w:val="2"/>
            <w:hideMark/>
          </w:tcPr>
          <w:p w14:paraId="40CEE74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5C8BEF6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28-day lag inherent in the indicator means that reporting is lagged by one month. For example, quarter 2 will report the mental health results for separations occurring in the period September to November </w:t>
            </w:r>
          </w:p>
          <w:p w14:paraId="7F6D17D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17396F60"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June to 31 August in quarter 1</w:t>
            </w:r>
          </w:p>
          <w:p w14:paraId="1172738B"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September to 30 November in quarter 2</w:t>
            </w:r>
          </w:p>
          <w:p w14:paraId="6EC761C7"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December to 28 February in quarter 3</w:t>
            </w:r>
          </w:p>
          <w:p w14:paraId="71FEF7AA" w14:textId="6DAB50B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March to 31 May in quarter 4.</w:t>
            </w:r>
          </w:p>
          <w:p w14:paraId="5D70360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636E6A5C" w14:textId="77777777" w:rsidR="00280F65" w:rsidRPr="00F03354" w:rsidRDefault="00280F65" w:rsidP="00280F65">
      <w:pPr>
        <w:spacing w:after="120" w:line="270" w:lineRule="atLeast"/>
        <w:rPr>
          <w:rFonts w:ascii="VIC" w:eastAsia="Times" w:hAnsi="VIC" w:cs="Times New Roman"/>
          <w:sz w:val="20"/>
          <w:szCs w:val="20"/>
        </w:rPr>
      </w:pPr>
    </w:p>
    <w:p w14:paraId="6558848B" w14:textId="77777777" w:rsidR="00280F65" w:rsidRPr="00F03354"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3852"/>
        <w:gridCol w:w="3539"/>
      </w:tblGrid>
      <w:tr w:rsidR="001B395C" w:rsidRPr="00F03354" w14:paraId="39A6F979" w14:textId="77777777" w:rsidTr="005F6246">
        <w:trPr>
          <w:cantSplit/>
          <w:trHeight w:val="60"/>
          <w:tblHeader/>
        </w:trPr>
        <w:tc>
          <w:tcPr>
            <w:tcW w:w="2561" w:type="dxa"/>
            <w:shd w:val="clear" w:color="auto" w:fill="244C5A"/>
            <w:vAlign w:val="bottom"/>
          </w:tcPr>
          <w:p w14:paraId="01008B2D" w14:textId="77777777" w:rsidR="001B395C" w:rsidRPr="00F03354" w:rsidRDefault="001B395C" w:rsidP="005F6246">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391" w:type="dxa"/>
            <w:gridSpan w:val="2"/>
            <w:shd w:val="clear" w:color="auto" w:fill="244C5A"/>
            <w:vAlign w:val="bottom"/>
          </w:tcPr>
          <w:p w14:paraId="0CE7F4CC" w14:textId="77777777" w:rsidR="001B395C" w:rsidRPr="00F03354" w:rsidRDefault="001B395C" w:rsidP="005F6246">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consumers re-admitted within 28 days of separation - Inpatient (older persons)</w:t>
            </w:r>
          </w:p>
        </w:tc>
      </w:tr>
      <w:tr w:rsidR="001B395C" w:rsidRPr="00F03354" w14:paraId="45F874CC" w14:textId="77777777" w:rsidTr="005F6246">
        <w:trPr>
          <w:cantSplit/>
          <w:trHeight w:val="60"/>
        </w:trPr>
        <w:tc>
          <w:tcPr>
            <w:tcW w:w="2561" w:type="dxa"/>
            <w:hideMark/>
          </w:tcPr>
          <w:p w14:paraId="55BD613F"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91" w:type="dxa"/>
            <w:gridSpan w:val="2"/>
            <w:hideMark/>
          </w:tcPr>
          <w:p w14:paraId="5D489E94"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Aged mental health services are aimed primarily at people with a serious mental illness or mental disorder who have associated significant levels of disturbance and psychosocial disability due to their illness or disorder. Readmission rates for aged mental health patients can reflect the quality of care, effectiveness of discharge planning and level of support provided to patients after discharge, as well as other factors.</w:t>
            </w:r>
          </w:p>
        </w:tc>
      </w:tr>
      <w:tr w:rsidR="001B395C" w:rsidRPr="00F03354" w14:paraId="158A5886" w14:textId="77777777" w:rsidTr="005F6246">
        <w:trPr>
          <w:cantSplit/>
          <w:trHeight w:val="60"/>
        </w:trPr>
        <w:tc>
          <w:tcPr>
            <w:tcW w:w="2561" w:type="dxa"/>
            <w:hideMark/>
          </w:tcPr>
          <w:p w14:paraId="67A59890"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91" w:type="dxa"/>
            <w:gridSpan w:val="2"/>
            <w:hideMark/>
          </w:tcPr>
          <w:p w14:paraId="56DAC013"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includes aged mental health patients who are admitted overnight or longer in hospital.</w:t>
            </w:r>
          </w:p>
          <w:p w14:paraId="21078B18"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Exclusions are overnight separations for electroconvulsive therapy, transfers to other acute hospitals or to residential aged care, and patients who leave against medical advice or abscond.</w:t>
            </w:r>
          </w:p>
          <w:p w14:paraId="396FEAAA"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w:t>
            </w:r>
          </w:p>
        </w:tc>
      </w:tr>
      <w:tr w:rsidR="001B395C" w:rsidRPr="00F03354" w14:paraId="0E7BA780" w14:textId="77777777" w:rsidTr="005F6246">
        <w:trPr>
          <w:cantSplit/>
          <w:trHeight w:val="60"/>
        </w:trPr>
        <w:tc>
          <w:tcPr>
            <w:tcW w:w="2561" w:type="dxa"/>
            <w:hideMark/>
          </w:tcPr>
          <w:p w14:paraId="7772BB35"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91" w:type="dxa"/>
            <w:gridSpan w:val="2"/>
            <w:hideMark/>
          </w:tcPr>
          <w:p w14:paraId="0784D8BE"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readmissions (planned or unplanned) to any unit within 28 days of separation from an aged inpatient unit. Excludes a) same day admissions b) consumers that were originally separated because they were transferred to another inpatient unit or absconded c) overnight ECT admissions (where ECT occurred on the day of separation) d) re-admissions to the following specialty inpatient units: Mother/Baby, Eating Disorder, PICU and Neuropsychiatry. Lagged by one month.</w:t>
            </w:r>
          </w:p>
        </w:tc>
      </w:tr>
      <w:tr w:rsidR="001B395C" w:rsidRPr="00F03354" w14:paraId="5087FA36" w14:textId="77777777" w:rsidTr="005F6246">
        <w:trPr>
          <w:cantSplit/>
          <w:trHeight w:val="60"/>
        </w:trPr>
        <w:tc>
          <w:tcPr>
            <w:tcW w:w="2561" w:type="dxa"/>
            <w:hideMark/>
          </w:tcPr>
          <w:p w14:paraId="38D58F00"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391" w:type="dxa"/>
            <w:gridSpan w:val="2"/>
            <w:hideMark/>
          </w:tcPr>
          <w:p w14:paraId="73DBC0FF"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separations from an aged inpatient unit, where the consumer was discharged home or to a residential service. Excludes a) same day admissions b) consumers that were discharged because they were transferred to another inpatient unit or absconded c) overnight ECT admissions (where ECT occurred on the day of separation). Lagged by one month</w:t>
            </w:r>
          </w:p>
        </w:tc>
      </w:tr>
      <w:tr w:rsidR="001B395C" w:rsidRPr="00F03354" w14:paraId="3D4C1EED" w14:textId="77777777" w:rsidTr="005F6246">
        <w:trPr>
          <w:cantSplit/>
          <w:trHeight w:val="60"/>
        </w:trPr>
        <w:tc>
          <w:tcPr>
            <w:tcW w:w="2561" w:type="dxa"/>
            <w:hideMark/>
          </w:tcPr>
          <w:p w14:paraId="0B96C1F6"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91" w:type="dxa"/>
            <w:gridSpan w:val="2"/>
            <w:hideMark/>
          </w:tcPr>
          <w:p w14:paraId="319BB3C3"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&lt; 7%</w:t>
            </w:r>
          </w:p>
        </w:tc>
      </w:tr>
      <w:tr w:rsidR="001B395C" w:rsidRPr="00F03354" w14:paraId="76852B94" w14:textId="77777777" w:rsidTr="005F6246">
        <w:trPr>
          <w:cantSplit/>
          <w:trHeight w:val="60"/>
        </w:trPr>
        <w:tc>
          <w:tcPr>
            <w:tcW w:w="2561" w:type="dxa"/>
            <w:vMerge w:val="restart"/>
            <w:hideMark/>
          </w:tcPr>
          <w:p w14:paraId="2C4B30D5"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852" w:type="dxa"/>
            <w:hideMark/>
          </w:tcPr>
          <w:p w14:paraId="5B9D20D6"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7%</w:t>
            </w:r>
          </w:p>
        </w:tc>
        <w:tc>
          <w:tcPr>
            <w:tcW w:w="3539" w:type="dxa"/>
            <w:hideMark/>
          </w:tcPr>
          <w:p w14:paraId="36019A31" w14:textId="77777777" w:rsidR="001B395C" w:rsidRPr="00F03354" w:rsidRDefault="001B395C"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1B395C" w:rsidRPr="00F03354" w14:paraId="59797092" w14:textId="77777777" w:rsidTr="005F6246">
        <w:trPr>
          <w:cantSplit/>
          <w:trHeight w:val="60"/>
        </w:trPr>
        <w:tc>
          <w:tcPr>
            <w:tcW w:w="2561" w:type="dxa"/>
            <w:vMerge/>
            <w:vAlign w:val="center"/>
            <w:hideMark/>
          </w:tcPr>
          <w:p w14:paraId="6DE5CE8A" w14:textId="77777777" w:rsidR="001B395C" w:rsidRPr="00F03354" w:rsidRDefault="001B395C" w:rsidP="005F6246">
            <w:pPr>
              <w:spacing w:before="80" w:after="60" w:line="240" w:lineRule="auto"/>
              <w:rPr>
                <w:rFonts w:ascii="VIC" w:eastAsia="Times New Roman" w:hAnsi="VIC" w:cs="Times New Roman"/>
                <w:sz w:val="20"/>
                <w:szCs w:val="20"/>
              </w:rPr>
            </w:pPr>
          </w:p>
        </w:tc>
        <w:tc>
          <w:tcPr>
            <w:tcW w:w="3852" w:type="dxa"/>
            <w:hideMark/>
          </w:tcPr>
          <w:p w14:paraId="2431750D"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7%</w:t>
            </w:r>
          </w:p>
        </w:tc>
        <w:tc>
          <w:tcPr>
            <w:tcW w:w="3539" w:type="dxa"/>
            <w:hideMark/>
          </w:tcPr>
          <w:p w14:paraId="18644360" w14:textId="77777777" w:rsidR="001B395C" w:rsidRPr="00F03354" w:rsidRDefault="001B395C" w:rsidP="005F6246">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1B395C" w:rsidRPr="00F03354" w14:paraId="59FA2713" w14:textId="77777777" w:rsidTr="005F6246">
        <w:trPr>
          <w:cantSplit/>
          <w:trHeight w:val="750"/>
        </w:trPr>
        <w:tc>
          <w:tcPr>
            <w:tcW w:w="2561" w:type="dxa"/>
          </w:tcPr>
          <w:p w14:paraId="22E081CF"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91" w:type="dxa"/>
            <w:gridSpan w:val="2"/>
          </w:tcPr>
          <w:p w14:paraId="19E0A3D7"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1B395C" w:rsidRPr="00F03354" w14:paraId="399F723E" w14:textId="77777777" w:rsidTr="005F6246">
        <w:trPr>
          <w:cantSplit/>
          <w:trHeight w:val="60"/>
        </w:trPr>
        <w:tc>
          <w:tcPr>
            <w:tcW w:w="2561" w:type="dxa"/>
            <w:hideMark/>
          </w:tcPr>
          <w:p w14:paraId="6CB9F80A"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391" w:type="dxa"/>
            <w:gridSpan w:val="2"/>
            <w:hideMark/>
          </w:tcPr>
          <w:p w14:paraId="356D864E"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quarterly monitoring, a performance result is generated annually based on the full year data.</w:t>
            </w:r>
          </w:p>
          <w:p w14:paraId="45C61CC0"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28-day lag inherent in the indicator means that reporting is lagged by one month. For example, quarter 2 will report the mental health results for separations occurring in the period September to November </w:t>
            </w:r>
          </w:p>
          <w:p w14:paraId="5C49D75A"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17D77D3A" w14:textId="77777777" w:rsidR="001B395C" w:rsidRPr="00F03354" w:rsidRDefault="001B395C"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June to 31 August in quarter 1</w:t>
            </w:r>
          </w:p>
          <w:p w14:paraId="40EBD244" w14:textId="77777777" w:rsidR="001B395C" w:rsidRPr="00F03354" w:rsidRDefault="001B395C"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September to 30 November in quarter 2</w:t>
            </w:r>
          </w:p>
          <w:p w14:paraId="31EE5D63" w14:textId="77777777" w:rsidR="001B395C" w:rsidRPr="00F03354" w:rsidRDefault="001B395C"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December to 28 February in quarter 3</w:t>
            </w:r>
          </w:p>
          <w:p w14:paraId="20815AE9" w14:textId="77777777" w:rsidR="001B395C" w:rsidRPr="00F03354" w:rsidRDefault="001B395C" w:rsidP="005F6246">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March to 31 May in quarter 4.</w:t>
            </w:r>
          </w:p>
          <w:p w14:paraId="1D895C1C" w14:textId="77777777" w:rsidR="001B395C" w:rsidRPr="00F03354" w:rsidRDefault="001B395C" w:rsidP="005F6246">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1D8E8E94" w14:textId="77777777" w:rsidR="001B395C" w:rsidRPr="00F03354" w:rsidRDefault="001B395C" w:rsidP="00280F65">
      <w:pPr>
        <w:spacing w:after="120" w:line="270" w:lineRule="atLeast"/>
        <w:rPr>
          <w:rFonts w:ascii="VIC" w:eastAsia="Times" w:hAnsi="VIC" w:cs="Times New Roman"/>
          <w:sz w:val="20"/>
          <w:szCs w:val="20"/>
        </w:rPr>
      </w:pPr>
    </w:p>
    <w:p w14:paraId="0FE1BFDC" w14:textId="77777777" w:rsidR="00280F65" w:rsidRPr="00F03354" w:rsidRDefault="00280F65" w:rsidP="00280F65">
      <w:pPr>
        <w:spacing w:after="120" w:line="270" w:lineRule="atLeast"/>
        <w:rPr>
          <w:rFonts w:ascii="VIC" w:eastAsia="Times" w:hAnsi="VIC" w:cs="Times New Roman"/>
          <w:sz w:val="20"/>
          <w:szCs w:val="20"/>
        </w:rPr>
      </w:pPr>
    </w:p>
    <w:p w14:paraId="77EDACA8" w14:textId="77777777" w:rsidR="00280F65" w:rsidRPr="00F03354" w:rsidRDefault="00280F65" w:rsidP="00280F65">
      <w:pPr>
        <w:spacing w:after="120" w:line="270" w:lineRule="atLeast"/>
        <w:rPr>
          <w:rFonts w:ascii="VIC" w:eastAsia="Times" w:hAnsi="VIC" w:cs="Times New Roman"/>
          <w:sz w:val="20"/>
          <w:szCs w:val="20"/>
        </w:rPr>
      </w:pPr>
    </w:p>
    <w:p w14:paraId="184C68AE" w14:textId="5994DED8" w:rsidR="00280F65" w:rsidRPr="00F03354" w:rsidRDefault="00280F65" w:rsidP="00280F65">
      <w:pPr>
        <w:spacing w:after="120" w:line="270" w:lineRule="atLeast"/>
        <w:rPr>
          <w:rFonts w:ascii="VIC" w:eastAsia="Times" w:hAnsi="VIC" w:cs="Times New Roman"/>
          <w:sz w:val="20"/>
          <w:szCs w:val="20"/>
        </w:rPr>
      </w:pPr>
    </w:p>
    <w:p w14:paraId="46588EB0"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22" w:name="_Toc517959133"/>
      <w:bookmarkStart w:id="23" w:name="_Toc10123551"/>
      <w:r w:rsidRPr="00F03354">
        <w:rPr>
          <w:rFonts w:ascii="VIC" w:eastAsia="MS Mincho" w:hAnsi="VIC" w:cs="Arial"/>
          <w:b/>
          <w:bCs/>
          <w:sz w:val="20"/>
          <w:szCs w:val="20"/>
        </w:rPr>
        <w:lastRenderedPageBreak/>
        <w:t>Maternity and newborn</w:t>
      </w:r>
      <w:bookmarkEnd w:id="22"/>
      <w:bookmarkEnd w:id="23"/>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892"/>
        <w:gridCol w:w="3781"/>
      </w:tblGrid>
      <w:tr w:rsidR="00280F65" w:rsidRPr="00F03354" w14:paraId="4071850A" w14:textId="77777777" w:rsidTr="74819A9C">
        <w:trPr>
          <w:cantSplit/>
          <w:trHeight w:val="586"/>
          <w:tblHeader/>
        </w:trPr>
        <w:tc>
          <w:tcPr>
            <w:tcW w:w="2562"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4E66C79C"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73"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tcPr>
          <w:p w14:paraId="5804850F"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full-term singleton babies (without congenital anomalies) who are considered in poor condition shortly after birth (Apgar)</w:t>
            </w:r>
          </w:p>
        </w:tc>
      </w:tr>
      <w:tr w:rsidR="00280F65" w:rsidRPr="00F03354" w14:paraId="7899ECD3" w14:textId="77777777" w:rsidTr="74819A9C">
        <w:trPr>
          <w:cantSplit/>
          <w:trHeight w:val="2145"/>
        </w:trPr>
        <w:tc>
          <w:tcPr>
            <w:tcW w:w="2562" w:type="dxa"/>
            <w:tcBorders>
              <w:top w:val="single" w:sz="4" w:space="0" w:color="201547"/>
              <w:left w:val="single" w:sz="4" w:space="0" w:color="201547"/>
              <w:bottom w:val="single" w:sz="4" w:space="0" w:color="201547"/>
              <w:right w:val="single" w:sz="4" w:space="0" w:color="201547"/>
            </w:tcBorders>
            <w:hideMark/>
          </w:tcPr>
          <w:p w14:paraId="5E099C6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31C14DF1" w14:textId="77777777" w:rsidR="00280F65" w:rsidRPr="00F03354" w:rsidRDefault="00280F65" w:rsidP="00280F65">
            <w:pPr>
              <w:spacing w:before="80" w:after="60" w:line="240" w:lineRule="auto"/>
              <w:rPr>
                <w:rFonts w:ascii="VIC" w:eastAsia="Times New Roman" w:hAnsi="VIC" w:cs="Times New Roman"/>
                <w:bCs/>
                <w:sz w:val="20"/>
                <w:szCs w:val="20"/>
                <w:lang w:val="en-US"/>
              </w:rPr>
            </w:pPr>
            <w:r w:rsidRPr="00F03354">
              <w:rPr>
                <w:rFonts w:ascii="VIC" w:eastAsia="Times New Roman" w:hAnsi="VIC" w:cs="Times New Roman"/>
                <w:bCs/>
                <w:sz w:val="20"/>
                <w:szCs w:val="20"/>
                <w:lang w:val="en-US"/>
              </w:rPr>
              <w:t>This indicator measures the wellbeing of babies at birth. It is used as a proxy for the quality of intrapartum care and neonatal resuscitation, where necessary, following birth.</w:t>
            </w:r>
          </w:p>
          <w:p w14:paraId="5FD7F76E" w14:textId="0891B697" w:rsidR="00280F65" w:rsidRPr="00F03354" w:rsidRDefault="00280F65" w:rsidP="62A232EF">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Singleton infants who are more than 37 weeks’ gestation and without congenital anomalies are expected to be born in good condition, show healthy physiological adapt</w:t>
            </w:r>
            <w:r w:rsidR="00FF7044" w:rsidRPr="00F03354">
              <w:rPr>
                <w:rFonts w:ascii="VIC" w:eastAsia="Times New Roman" w:hAnsi="VIC" w:cs="Times New Roman"/>
                <w:sz w:val="20"/>
                <w:szCs w:val="20"/>
                <w:lang w:val="en-US"/>
              </w:rPr>
              <w:t>at</w:t>
            </w:r>
            <w:r w:rsidRPr="00F03354">
              <w:rPr>
                <w:rFonts w:ascii="VIC" w:eastAsia="Times New Roman" w:hAnsi="VIC" w:cs="Times New Roman"/>
                <w:sz w:val="20"/>
                <w:szCs w:val="20"/>
                <w:lang w:val="en-US"/>
              </w:rPr>
              <w:t>ion to birth and not require significant resuscitation measures.</w:t>
            </w:r>
          </w:p>
          <w:p w14:paraId="7B3C31D7" w14:textId="77777777" w:rsidR="00280F65" w:rsidRPr="00F03354" w:rsidRDefault="00280F65" w:rsidP="00280F65">
            <w:pPr>
              <w:spacing w:before="80" w:after="60" w:line="240" w:lineRule="auto"/>
              <w:rPr>
                <w:rFonts w:ascii="VIC" w:eastAsia="Times New Roman" w:hAnsi="VIC" w:cs="Times New Roman"/>
                <w:bCs/>
                <w:sz w:val="20"/>
                <w:szCs w:val="20"/>
                <w:lang w:val="en-US"/>
              </w:rPr>
            </w:pPr>
            <w:r w:rsidRPr="00F03354">
              <w:rPr>
                <w:rFonts w:ascii="VIC" w:eastAsia="Times New Roman" w:hAnsi="VIC" w:cs="Times New Roman"/>
                <w:bCs/>
                <w:sz w:val="20"/>
                <w:szCs w:val="20"/>
                <w:lang w:val="en-US"/>
              </w:rPr>
              <w:t>The Apgar score is an assessment of a newborn’s wellbeing at birth based on five physiological attributes at one and five minutes (and longer if applicable): colour (circulation), breathing, heart rate, muscle tone and reflexes.</w:t>
            </w:r>
          </w:p>
          <w:p w14:paraId="4F51011C" w14:textId="77777777" w:rsidR="00280F65" w:rsidRPr="00F03354" w:rsidRDefault="00280F65" w:rsidP="00280F65">
            <w:pPr>
              <w:spacing w:before="80" w:after="60" w:line="240" w:lineRule="auto"/>
              <w:rPr>
                <w:rFonts w:ascii="VIC" w:eastAsia="Times New Roman" w:hAnsi="VIC" w:cs="Times New Roman"/>
                <w:bCs/>
                <w:sz w:val="20"/>
                <w:szCs w:val="20"/>
                <w:lang w:val="en-US"/>
              </w:rPr>
            </w:pPr>
            <w:r w:rsidRPr="00F03354">
              <w:rPr>
                <w:rFonts w:ascii="VIC" w:eastAsia="Times New Roman" w:hAnsi="VIC" w:cs="Times New Roman"/>
                <w:bCs/>
                <w:sz w:val="20"/>
                <w:szCs w:val="20"/>
                <w:lang w:val="en-US"/>
              </w:rPr>
              <w:t>The Apgar score is a verified measure of adverse long-term outcomes and correlates highly with Victorian Managed Insurance Authority claims within the first year of life.</w:t>
            </w:r>
          </w:p>
          <w:p w14:paraId="71A480AF" w14:textId="77777777" w:rsidR="00280F65" w:rsidRPr="00F03354" w:rsidRDefault="00280F65" w:rsidP="00280F65">
            <w:pPr>
              <w:spacing w:before="80" w:after="60" w:line="240" w:lineRule="auto"/>
              <w:rPr>
                <w:rFonts w:ascii="VIC" w:eastAsia="Times New Roman" w:hAnsi="VIC" w:cs="Times New Roman"/>
                <w:bCs/>
                <w:sz w:val="20"/>
                <w:szCs w:val="20"/>
                <w:lang w:val="en-US"/>
              </w:rPr>
            </w:pPr>
            <w:r w:rsidRPr="00F03354">
              <w:rPr>
                <w:rFonts w:ascii="VIC" w:eastAsia="Times New Roman" w:hAnsi="VIC" w:cs="Times New Roman"/>
                <w:bCs/>
                <w:sz w:val="20"/>
                <w:szCs w:val="20"/>
                <w:lang w:val="en-US"/>
              </w:rPr>
              <w:t>An Apgar score &lt;7 at five minutes indicates an infant who requires significant or ongoing resuscitation measures or additional care that may be due to avoidable factors during labour and childbirth and/or the immediate resuscitation measures at birth. It may also indicate sub-optimal triaging and/or management of higher complexity pregnancies.</w:t>
            </w:r>
          </w:p>
          <w:p w14:paraId="4EE9C0E5" w14:textId="1BB3F60D"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cases of infants born with a low Apgar score (&lt; 7) at five minutes should undergo a clinical review to determine whether appropriate management and monitoring of the pregnancy was provided and whether the case was avoidable. The review can also highlight opportunities for improvement.</w:t>
            </w:r>
          </w:p>
        </w:tc>
      </w:tr>
      <w:tr w:rsidR="00280F65" w:rsidRPr="00F03354" w14:paraId="5792575D"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441F607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02C4EBAF" w14:textId="2E023327" w:rsidR="00280F65" w:rsidRPr="00F03354" w:rsidRDefault="51AD183A"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 all terminations of pregnancy, babies born at less than 37 weeks’ gestation,  babies born with congenital anomalies, multiple births, stillbirths</w:t>
            </w:r>
            <w:r w:rsidR="7FE5DF8E" w:rsidRPr="00F03354">
              <w:rPr>
                <w:rFonts w:ascii="VIC" w:eastAsia="Times New Roman" w:hAnsi="VIC" w:cs="Times New Roman"/>
                <w:sz w:val="20"/>
                <w:szCs w:val="20"/>
              </w:rPr>
              <w:t>,</w:t>
            </w:r>
            <w:r w:rsidRPr="00F03354">
              <w:rPr>
                <w:rFonts w:ascii="VIC" w:eastAsia="Times New Roman" w:hAnsi="VIC" w:cs="Times New Roman"/>
                <w:sz w:val="20"/>
                <w:szCs w:val="20"/>
              </w:rPr>
              <w:t xml:space="preserve"> babies born before arrival at hospital</w:t>
            </w:r>
            <w:r w:rsidR="22B4196F" w:rsidRPr="00F03354">
              <w:rPr>
                <w:rFonts w:ascii="VIC" w:eastAsia="Times New Roman" w:hAnsi="VIC" w:cs="Times New Roman"/>
                <w:sz w:val="20"/>
                <w:szCs w:val="20"/>
              </w:rPr>
              <w:t>, and babies with an unknown Apgar score at 5 minutes</w:t>
            </w:r>
          </w:p>
        </w:tc>
      </w:tr>
      <w:tr w:rsidR="00280F65" w:rsidRPr="00F03354" w14:paraId="179FA6C6"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242E6C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24136893" w14:textId="4DD08E8D" w:rsidR="00280F65" w:rsidRPr="00F03354" w:rsidRDefault="50CB26A0" w:rsidP="74819A9C">
            <w:pPr>
              <w:pStyle w:val="DHHSbody0"/>
              <w:rPr>
                <w:rFonts w:ascii="VIC" w:eastAsia="VIC" w:hAnsi="VIC" w:cs="VIC"/>
                <w:lang w:val="en-US"/>
              </w:rPr>
            </w:pPr>
            <w:r w:rsidRPr="00F03354">
              <w:rPr>
                <w:rFonts w:ascii="VIC" w:eastAsia="VIC" w:hAnsi="VIC" w:cs="VIC"/>
                <w:color w:val="000000" w:themeColor="text1"/>
              </w:rPr>
              <w:t>Number of singleton infants, with no congenital anomalies, who are born alive with an Apgar score of &lt; 7 at 5 minutes after birth.</w:t>
            </w:r>
          </w:p>
        </w:tc>
      </w:tr>
      <w:tr w:rsidR="00280F65" w:rsidRPr="00F03354" w14:paraId="01C7A320"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2CDA57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06518E2A" w14:textId="2295E29F" w:rsidR="00280F65" w:rsidRPr="00F03354" w:rsidRDefault="05ADD0EE" w:rsidP="74819A9C">
            <w:pPr>
              <w:pStyle w:val="DHHSbody0"/>
              <w:rPr>
                <w:rFonts w:ascii="VIC" w:eastAsia="VIC" w:hAnsi="VIC" w:cs="VIC"/>
                <w:lang w:val="en-US"/>
              </w:rPr>
            </w:pPr>
            <w:r w:rsidRPr="00F03354">
              <w:rPr>
                <w:rFonts w:ascii="VIC" w:eastAsia="VIC" w:hAnsi="VIC" w:cs="VIC"/>
                <w:color w:val="000000" w:themeColor="text1"/>
              </w:rPr>
              <w:t>Number of singleton infants born alive after 37 weeks gestation, with no congenital anomalies.</w:t>
            </w:r>
          </w:p>
        </w:tc>
      </w:tr>
      <w:tr w:rsidR="00280F65" w:rsidRPr="00F03354" w14:paraId="2B764135"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2C9A92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6D6A8B7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1.4%</w:t>
            </w:r>
          </w:p>
        </w:tc>
      </w:tr>
      <w:tr w:rsidR="00280F65" w:rsidRPr="00F03354" w14:paraId="522B6C5D" w14:textId="77777777" w:rsidTr="74819A9C">
        <w:trPr>
          <w:cantSplit/>
          <w:trHeight w:val="60"/>
        </w:trPr>
        <w:tc>
          <w:tcPr>
            <w:tcW w:w="2562" w:type="dxa"/>
            <w:vMerge w:val="restart"/>
            <w:tcBorders>
              <w:top w:val="single" w:sz="4" w:space="0" w:color="201547"/>
              <w:left w:val="single" w:sz="4" w:space="0" w:color="201547"/>
              <w:bottom w:val="single" w:sz="4" w:space="0" w:color="201547"/>
              <w:right w:val="single" w:sz="4" w:space="0" w:color="201547"/>
            </w:tcBorders>
            <w:hideMark/>
          </w:tcPr>
          <w:p w14:paraId="72B05F6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892" w:type="dxa"/>
            <w:tcBorders>
              <w:top w:val="single" w:sz="4" w:space="0" w:color="201547"/>
              <w:left w:val="single" w:sz="4" w:space="0" w:color="201547"/>
              <w:bottom w:val="single" w:sz="4" w:space="0" w:color="201547"/>
              <w:right w:val="single" w:sz="4" w:space="0" w:color="201547"/>
            </w:tcBorders>
            <w:hideMark/>
          </w:tcPr>
          <w:p w14:paraId="7348C16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Less than or equal to 1.4% </w:t>
            </w:r>
          </w:p>
        </w:tc>
        <w:tc>
          <w:tcPr>
            <w:tcW w:w="3781" w:type="dxa"/>
            <w:tcBorders>
              <w:top w:val="single" w:sz="4" w:space="0" w:color="201547"/>
              <w:left w:val="single" w:sz="4" w:space="0" w:color="201547"/>
              <w:bottom w:val="single" w:sz="4" w:space="0" w:color="201547"/>
              <w:right w:val="single" w:sz="4" w:space="0" w:color="201547"/>
            </w:tcBorders>
            <w:hideMark/>
          </w:tcPr>
          <w:p w14:paraId="4930048D"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2ADB217A" w14:textId="77777777" w:rsidTr="74819A9C">
        <w:trPr>
          <w:cantSplit/>
          <w:trHeight w:val="60"/>
        </w:trPr>
        <w:tc>
          <w:tcPr>
            <w:tcW w:w="2562" w:type="dxa"/>
            <w:vMerge/>
            <w:vAlign w:val="center"/>
            <w:hideMark/>
          </w:tcPr>
          <w:p w14:paraId="66E90F23"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92" w:type="dxa"/>
            <w:tcBorders>
              <w:top w:val="single" w:sz="4" w:space="0" w:color="201547"/>
              <w:left w:val="single" w:sz="4" w:space="0" w:color="201547"/>
              <w:bottom w:val="single" w:sz="4" w:space="0" w:color="201547"/>
              <w:right w:val="single" w:sz="4" w:space="0" w:color="201547"/>
            </w:tcBorders>
            <w:hideMark/>
          </w:tcPr>
          <w:p w14:paraId="15F6AC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1.4%</w:t>
            </w:r>
          </w:p>
        </w:tc>
        <w:tc>
          <w:tcPr>
            <w:tcW w:w="3781" w:type="dxa"/>
            <w:tcBorders>
              <w:top w:val="single" w:sz="4" w:space="0" w:color="201547"/>
              <w:left w:val="single" w:sz="4" w:space="0" w:color="201547"/>
              <w:bottom w:val="single" w:sz="4" w:space="0" w:color="201547"/>
              <w:right w:val="single" w:sz="4" w:space="0" w:color="201547"/>
            </w:tcBorders>
            <w:hideMark/>
          </w:tcPr>
          <w:p w14:paraId="333F9F9D"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0891E87E"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vAlign w:val="center"/>
          </w:tcPr>
          <w:p w14:paraId="33A01E3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673" w:type="dxa"/>
            <w:gridSpan w:val="2"/>
            <w:tcBorders>
              <w:top w:val="single" w:sz="4" w:space="0" w:color="201547"/>
              <w:left w:val="single" w:sz="4" w:space="0" w:color="201547"/>
              <w:bottom w:val="single" w:sz="4" w:space="0" w:color="201547"/>
              <w:right w:val="single" w:sz="4" w:space="0" w:color="201547"/>
            </w:tcBorders>
          </w:tcPr>
          <w:p w14:paraId="20B2DB40" w14:textId="427EED15"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lang w:val="en-US"/>
              </w:rPr>
              <w:t xml:space="preserve">Improvement is assessed against </w:t>
            </w:r>
            <w:r w:rsidR="00532726" w:rsidRPr="00F03354">
              <w:rPr>
                <w:rFonts w:ascii="VIC" w:eastAsia="Times New Roman" w:hAnsi="VIC" w:cs="Times New Roman"/>
                <w:sz w:val="20"/>
                <w:szCs w:val="20"/>
                <w:lang w:val="en-US"/>
              </w:rPr>
              <w:t xml:space="preserve">the </w:t>
            </w:r>
            <w:r w:rsidRPr="00F03354">
              <w:rPr>
                <w:rFonts w:ascii="VIC" w:eastAsia="Times New Roman" w:hAnsi="VIC" w:cs="Times New Roman"/>
                <w:sz w:val="20"/>
                <w:szCs w:val="20"/>
                <w:lang w:val="en-US"/>
              </w:rPr>
              <w:t>previous quarter</w:t>
            </w:r>
            <w:r w:rsidR="00532726" w:rsidRPr="00F03354">
              <w:rPr>
                <w:rFonts w:ascii="VIC" w:eastAsia="Times New Roman" w:hAnsi="VIC" w:cs="Times New Roman"/>
                <w:sz w:val="20"/>
                <w:szCs w:val="20"/>
                <w:lang w:val="en-US"/>
              </w:rPr>
              <w:t>’s</w:t>
            </w:r>
            <w:r w:rsidRPr="00F03354">
              <w:rPr>
                <w:rFonts w:ascii="VIC" w:eastAsia="Times New Roman" w:hAnsi="VIC" w:cs="Times New Roman"/>
                <w:sz w:val="20"/>
                <w:szCs w:val="20"/>
                <w:lang w:val="en-US"/>
              </w:rPr>
              <w:t xml:space="preserve"> performance.</w:t>
            </w:r>
          </w:p>
        </w:tc>
      </w:tr>
      <w:tr w:rsidR="00280F65" w:rsidRPr="00F03354" w14:paraId="7A2A6162"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090CCC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2E0C4E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for this indicator is derived from the Victorian Perinatal Data Collection (VPDC) and lagged by one quarter.</w:t>
            </w:r>
          </w:p>
          <w:p w14:paraId="2927842E" w14:textId="50F02DED"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lang w:val="en-US"/>
              </w:rPr>
              <w:t>Due to low numbers of births at some health services, this measure is calculated using a 12-month rolling average over the reporting period.</w:t>
            </w:r>
          </w:p>
          <w:p w14:paraId="6C06A13D"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Results are reported quarterly at campus level, using four quarters rolling data, with one quarter lag time. Results are not reported where minimum threshold of &gt;=10 case in denominator is not achieved.</w:t>
            </w:r>
          </w:p>
          <w:p w14:paraId="55649AC5"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Data is required to be submitted by health services monthly. All data reported to the VPDC is due within 30 days.</w:t>
            </w:r>
          </w:p>
          <w:p w14:paraId="0F9249EA"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Health services are required to submit VPDC data for the previous month by the end of the following month. (This may mean that a birth may take up to 60 days to be reported by a health service if it occurred at the start of the month).</w:t>
            </w:r>
          </w:p>
        </w:tc>
      </w:tr>
    </w:tbl>
    <w:p w14:paraId="46E6E277" w14:textId="77777777" w:rsidR="00280F65" w:rsidRPr="00F03354" w:rsidRDefault="00280F65" w:rsidP="00280F65">
      <w:pPr>
        <w:spacing w:after="120" w:line="270" w:lineRule="atLeast"/>
        <w:rPr>
          <w:rFonts w:ascii="VIC" w:eastAsia="Times" w:hAnsi="VIC" w:cs="Times New Roman"/>
          <w:b/>
          <w:bCs/>
          <w:sz w:val="20"/>
          <w:szCs w:val="20"/>
        </w:rPr>
      </w:pPr>
      <w:r w:rsidRPr="00F03354">
        <w:rPr>
          <w:rFonts w:ascii="VIC" w:eastAsia="Times" w:hAnsi="VIC" w:cs="Times New Roman"/>
          <w:sz w:val="20"/>
          <w:szCs w:val="20"/>
        </w:rPr>
        <w:br w:type="page"/>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929"/>
        <w:gridCol w:w="3744"/>
      </w:tblGrid>
      <w:tr w:rsidR="00280F65" w:rsidRPr="00F03354" w14:paraId="1E9DF989" w14:textId="77777777" w:rsidTr="74819A9C">
        <w:trPr>
          <w:cantSplit/>
          <w:tblHeader/>
        </w:trPr>
        <w:tc>
          <w:tcPr>
            <w:tcW w:w="2562"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228ABE6F"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673"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tcPr>
          <w:p w14:paraId="3FB85B93"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singleton babies with severe fetal growth restriction (FGR) delivered at 40 or more weeks gestation</w:t>
            </w:r>
          </w:p>
        </w:tc>
      </w:tr>
      <w:tr w:rsidR="00280F65" w:rsidRPr="00F03354" w14:paraId="029FC6F6" w14:textId="77777777" w:rsidTr="74819A9C">
        <w:trPr>
          <w:cantSplit/>
          <w:trHeight w:val="2145"/>
        </w:trPr>
        <w:tc>
          <w:tcPr>
            <w:tcW w:w="2562" w:type="dxa"/>
            <w:tcBorders>
              <w:top w:val="single" w:sz="4" w:space="0" w:color="201547"/>
              <w:left w:val="single" w:sz="4" w:space="0" w:color="201547"/>
              <w:bottom w:val="single" w:sz="4" w:space="0" w:color="201547"/>
              <w:right w:val="single" w:sz="4" w:space="0" w:color="201547"/>
            </w:tcBorders>
            <w:hideMark/>
          </w:tcPr>
          <w:p w14:paraId="2D7ABC2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60C04A8A" w14:textId="0FEFDD8A" w:rsidR="00280F65" w:rsidRPr="00F03354" w:rsidRDefault="00280F65" w:rsidP="74819A9C">
            <w:pPr>
              <w:spacing w:before="80" w:after="60" w:line="240" w:lineRule="auto"/>
              <w:rPr>
                <w:rFonts w:ascii="VIC" w:eastAsia="VIC" w:hAnsi="VIC" w:cs="VIC"/>
                <w:sz w:val="20"/>
                <w:szCs w:val="20"/>
                <w:lang w:val="en-US"/>
              </w:rPr>
            </w:pPr>
            <w:r w:rsidRPr="00F03354">
              <w:rPr>
                <w:rFonts w:ascii="VIC" w:eastAsia="Times New Roman" w:hAnsi="VIC" w:cs="Times New Roman"/>
                <w:sz w:val="20"/>
                <w:szCs w:val="20"/>
                <w:lang w:val="en-US"/>
              </w:rPr>
              <w:t xml:space="preserve">The purpose of this indicator is to identify the proportion of severely growth-restricted singleton babies who were not born by 40 weeks’ gestation. For this indicator, a baby is considered to be </w:t>
            </w:r>
            <w:r w:rsidRPr="00F03354">
              <w:rPr>
                <w:rFonts w:ascii="VIC" w:eastAsia="Times New Roman" w:hAnsi="VIC" w:cs="Times New Roman"/>
                <w:b/>
                <w:bCs/>
                <w:sz w:val="20"/>
                <w:szCs w:val="20"/>
                <w:lang w:val="en-US"/>
              </w:rPr>
              <w:t xml:space="preserve">severely </w:t>
            </w:r>
            <w:r w:rsidRPr="00F03354">
              <w:rPr>
                <w:rFonts w:ascii="VIC" w:eastAsia="Times New Roman" w:hAnsi="VIC" w:cs="Times New Roman"/>
                <w:sz w:val="20"/>
                <w:szCs w:val="20"/>
                <w:lang w:val="en-US"/>
              </w:rPr>
              <w:t xml:space="preserve">growth restricted when their </w:t>
            </w:r>
            <w:r w:rsidR="6A3AAD40" w:rsidRPr="00F03354">
              <w:rPr>
                <w:rFonts w:ascii="VIC" w:eastAsia="VIC" w:hAnsi="VIC" w:cs="VIC"/>
                <w:sz w:val="20"/>
                <w:szCs w:val="20"/>
              </w:rPr>
              <w:t>birthweight is below the third centile for gestation, sex and plurality.</w:t>
            </w:r>
          </w:p>
          <w:p w14:paraId="570435F4" w14:textId="64E6A99F" w:rsidR="00280F65" w:rsidRPr="00F03354" w:rsidRDefault="00280F65" w:rsidP="74819A9C">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Severe fetal growth restriction is associated with an increased risk of perinatal mortality and morbidity, admission to a special care nursery or neonatal intensive care unit, and long</w:t>
            </w:r>
            <w:r w:rsidR="00B224CD" w:rsidRPr="00F03354">
              <w:rPr>
                <w:rFonts w:ascii="VIC" w:eastAsia="Times New Roman" w:hAnsi="VIC" w:cs="Times New Roman"/>
                <w:sz w:val="20"/>
                <w:szCs w:val="20"/>
                <w:lang w:val="en-US"/>
              </w:rPr>
              <w:t>-</w:t>
            </w:r>
            <w:r w:rsidRPr="00F03354">
              <w:rPr>
                <w:rFonts w:ascii="VIC" w:eastAsia="Times New Roman" w:hAnsi="VIC" w:cs="Times New Roman"/>
                <w:sz w:val="20"/>
                <w:szCs w:val="20"/>
                <w:lang w:val="en-US"/>
              </w:rPr>
              <w:t>term health consequences. The risk of mortality for a severely growth-restricted baby increases as the pregnancy advances. FGR should therefore be identified early in pregnancy for appropriate medical management and delivery before 40 weeks’ gestation.</w:t>
            </w:r>
          </w:p>
          <w:p w14:paraId="5796B512" w14:textId="77777777" w:rsidR="00280F65" w:rsidRPr="00F03354" w:rsidRDefault="00280F65" w:rsidP="00280F65">
            <w:pPr>
              <w:spacing w:before="80" w:after="60" w:line="240" w:lineRule="auto"/>
              <w:rPr>
                <w:rFonts w:ascii="VIC" w:eastAsia="Times New Roman" w:hAnsi="VIC" w:cs="Times New Roman"/>
                <w:bCs/>
                <w:sz w:val="20"/>
                <w:szCs w:val="20"/>
                <w:lang w:val="en-US"/>
              </w:rPr>
            </w:pPr>
            <w:r w:rsidRPr="00F03354">
              <w:rPr>
                <w:rFonts w:ascii="VIC" w:eastAsia="Times New Roman" w:hAnsi="VIC" w:cs="Times New Roman"/>
                <w:bCs/>
                <w:sz w:val="20"/>
                <w:szCs w:val="20"/>
                <w:lang w:val="en-US"/>
              </w:rPr>
              <w:t>Severe fetal growth restriction closely correlates with adverse outcomes at one year of age and Victorian Managed Insurance Authority claims within one year of birth.</w:t>
            </w:r>
          </w:p>
          <w:p w14:paraId="4BAD4ECD" w14:textId="60D01FFF" w:rsidR="00280F65" w:rsidRPr="00F03354" w:rsidRDefault="00280F65" w:rsidP="74819A9C">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 xml:space="preserve">The </w:t>
            </w:r>
            <w:r w:rsidR="49EECF46" w:rsidRPr="00F03354">
              <w:rPr>
                <w:rFonts w:ascii="VIC" w:eastAsia="Times New Roman" w:hAnsi="VIC" w:cs="Times New Roman"/>
                <w:sz w:val="20"/>
                <w:szCs w:val="20"/>
                <w:lang w:val="en-US"/>
              </w:rPr>
              <w:t xml:space="preserve">percentage </w:t>
            </w:r>
            <w:r w:rsidRPr="00F03354">
              <w:rPr>
                <w:rFonts w:ascii="VIC" w:eastAsia="Times New Roman" w:hAnsi="VIC" w:cs="Times New Roman"/>
                <w:sz w:val="20"/>
                <w:szCs w:val="20"/>
                <w:lang w:val="en-US"/>
              </w:rPr>
              <w:t>of severe FGR in singleton babies who were not born by 40 weeks’ gestation has been chosen as the performance indicator for quality of antenatal care.</w:t>
            </w:r>
          </w:p>
          <w:p w14:paraId="52B4F174" w14:textId="00061E4B" w:rsidR="00280F65" w:rsidRPr="00F03354" w:rsidRDefault="00280F65" w:rsidP="00280F65">
            <w:pPr>
              <w:spacing w:before="80" w:after="60" w:line="240" w:lineRule="auto"/>
              <w:rPr>
                <w:rFonts w:ascii="VIC" w:eastAsia="Times New Roman" w:hAnsi="VIC" w:cs="Times New Roman"/>
                <w:bCs/>
                <w:sz w:val="20"/>
                <w:szCs w:val="20"/>
                <w:lang w:val="en-US"/>
              </w:rPr>
            </w:pPr>
            <w:r w:rsidRPr="00F03354">
              <w:rPr>
                <w:rFonts w:ascii="VIC" w:eastAsia="Times New Roman" w:hAnsi="VIC" w:cs="Times New Roman"/>
                <w:bCs/>
                <w:sz w:val="20"/>
                <w:szCs w:val="20"/>
                <w:lang w:val="en-US"/>
              </w:rPr>
              <w:t>FGR can be difficult to diagnose</w:t>
            </w:r>
            <w:r w:rsidR="00B224CD" w:rsidRPr="00F03354">
              <w:rPr>
                <w:rFonts w:ascii="VIC" w:eastAsia="Times New Roman" w:hAnsi="VIC" w:cs="Times New Roman"/>
                <w:bCs/>
                <w:sz w:val="20"/>
                <w:szCs w:val="20"/>
                <w:lang w:val="en-US"/>
              </w:rPr>
              <w:t>,</w:t>
            </w:r>
            <w:r w:rsidRPr="00F03354">
              <w:rPr>
                <w:rFonts w:ascii="VIC" w:eastAsia="Times New Roman" w:hAnsi="VIC" w:cs="Times New Roman"/>
                <w:bCs/>
                <w:sz w:val="20"/>
                <w:szCs w:val="20"/>
                <w:lang w:val="en-US"/>
              </w:rPr>
              <w:t xml:space="preserve"> and health services should monitor their rates at regular intervals and aim to review these cases to understand why they had not been detected or managed.</w:t>
            </w:r>
          </w:p>
        </w:tc>
      </w:tr>
      <w:tr w:rsidR="00280F65" w:rsidRPr="00F03354" w14:paraId="040021F4"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46A07A5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15827DE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Severe FGR is defined as birthweight less than the third centile for gestation, sex and plurality, whether liveborn or stillborn.</w:t>
            </w:r>
          </w:p>
          <w:p w14:paraId="4A24E208" w14:textId="428CAC3F" w:rsidR="00280F65" w:rsidRPr="00F03354" w:rsidRDefault="51AD183A" w:rsidP="19F8C847">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This indicator excludes all terminations of pregnancy, babies without severe FGR,</w:t>
            </w:r>
            <w:r w:rsidR="1251B4AA" w:rsidRPr="00F03354">
              <w:rPr>
                <w:rFonts w:ascii="VIC" w:eastAsia="Times New Roman" w:hAnsi="VIC" w:cs="Times New Roman"/>
                <w:sz w:val="20"/>
                <w:szCs w:val="20"/>
              </w:rPr>
              <w:t xml:space="preserve"> infants with birthweight of less than 150 grams,</w:t>
            </w:r>
            <w:r w:rsidRPr="00F03354">
              <w:rPr>
                <w:rFonts w:ascii="VIC" w:eastAsia="Times New Roman" w:hAnsi="VIC" w:cs="Times New Roman"/>
                <w:sz w:val="20"/>
                <w:szCs w:val="20"/>
              </w:rPr>
              <w:t xml:space="preserve"> multiple births and births at earlier gestations (less than 32 weeks).</w:t>
            </w:r>
          </w:p>
        </w:tc>
      </w:tr>
      <w:tr w:rsidR="00280F65" w:rsidRPr="00F03354" w14:paraId="18CC285B"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1423475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287482D7" w14:textId="17F0BC3E" w:rsidR="00280F65" w:rsidRPr="00F03354" w:rsidRDefault="6F98DF60" w:rsidP="74819A9C">
            <w:pPr>
              <w:spacing w:before="80" w:after="60" w:line="240" w:lineRule="auto"/>
              <w:rPr>
                <w:rFonts w:ascii="VIC" w:eastAsia="VIC" w:hAnsi="VIC" w:cs="VIC"/>
                <w:sz w:val="20"/>
                <w:szCs w:val="20"/>
                <w:lang w:val="en-US"/>
              </w:rPr>
            </w:pPr>
            <w:r w:rsidRPr="00F03354">
              <w:rPr>
                <w:rFonts w:ascii="VIC" w:eastAsia="VIC" w:hAnsi="VIC" w:cs="VIC"/>
                <w:color w:val="000000" w:themeColor="text1"/>
                <w:sz w:val="20"/>
                <w:szCs w:val="20"/>
              </w:rPr>
              <w:t>The number of babies with severe FGR, who are born at 40 or more weeks gestation</w:t>
            </w:r>
          </w:p>
        </w:tc>
      </w:tr>
      <w:tr w:rsidR="00280F65" w:rsidRPr="00F03354" w14:paraId="3F5CF72A"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B34F20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69355DD1" w14:textId="18E0C5C4" w:rsidR="00280F65" w:rsidRPr="00F03354" w:rsidRDefault="742667BE" w:rsidP="74819A9C">
            <w:pPr>
              <w:spacing w:before="80" w:after="60" w:line="240" w:lineRule="auto"/>
              <w:rPr>
                <w:rFonts w:ascii="VIC" w:eastAsia="VIC" w:hAnsi="VIC" w:cs="VIC"/>
                <w:sz w:val="20"/>
                <w:szCs w:val="20"/>
                <w:lang w:val="en-US"/>
              </w:rPr>
            </w:pPr>
            <w:r w:rsidRPr="00F03354">
              <w:rPr>
                <w:rFonts w:ascii="VIC" w:eastAsia="VIC" w:hAnsi="VIC" w:cs="VIC"/>
                <w:color w:val="000000" w:themeColor="text1"/>
                <w:sz w:val="20"/>
                <w:szCs w:val="20"/>
              </w:rPr>
              <w:t>The number of babies with severe FGR, who are born at 32 or more weeks gestation</w:t>
            </w:r>
          </w:p>
        </w:tc>
      </w:tr>
      <w:tr w:rsidR="00280F65" w:rsidRPr="00F03354" w14:paraId="094D29FF"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6C82D0B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718EAB4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28.6%</w:t>
            </w:r>
          </w:p>
        </w:tc>
      </w:tr>
      <w:tr w:rsidR="00280F65" w:rsidRPr="00F03354" w14:paraId="6DFB8298" w14:textId="77777777" w:rsidTr="74819A9C">
        <w:trPr>
          <w:cantSplit/>
          <w:trHeight w:val="60"/>
        </w:trPr>
        <w:tc>
          <w:tcPr>
            <w:tcW w:w="2562" w:type="dxa"/>
            <w:vMerge w:val="restart"/>
            <w:tcBorders>
              <w:top w:val="single" w:sz="4" w:space="0" w:color="201547"/>
              <w:left w:val="single" w:sz="4" w:space="0" w:color="201547"/>
              <w:bottom w:val="single" w:sz="4" w:space="0" w:color="201547"/>
              <w:right w:val="single" w:sz="4" w:space="0" w:color="201547"/>
            </w:tcBorders>
            <w:hideMark/>
          </w:tcPr>
          <w:p w14:paraId="7050CA7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929" w:type="dxa"/>
            <w:tcBorders>
              <w:top w:val="single" w:sz="4" w:space="0" w:color="201547"/>
              <w:left w:val="single" w:sz="4" w:space="0" w:color="201547"/>
              <w:bottom w:val="single" w:sz="4" w:space="0" w:color="201547"/>
              <w:right w:val="single" w:sz="4" w:space="0" w:color="201547"/>
            </w:tcBorders>
            <w:hideMark/>
          </w:tcPr>
          <w:p w14:paraId="6674253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Equal to or less than 28.6% </w:t>
            </w:r>
          </w:p>
        </w:tc>
        <w:tc>
          <w:tcPr>
            <w:tcW w:w="3744" w:type="dxa"/>
            <w:tcBorders>
              <w:top w:val="single" w:sz="4" w:space="0" w:color="201547"/>
              <w:left w:val="single" w:sz="4" w:space="0" w:color="201547"/>
              <w:bottom w:val="single" w:sz="4" w:space="0" w:color="201547"/>
              <w:right w:val="single" w:sz="4" w:space="0" w:color="201547"/>
            </w:tcBorders>
            <w:hideMark/>
          </w:tcPr>
          <w:p w14:paraId="10C4EE6D"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7475A671" w14:textId="77777777" w:rsidTr="74819A9C">
        <w:trPr>
          <w:cantSplit/>
          <w:trHeight w:val="60"/>
        </w:trPr>
        <w:tc>
          <w:tcPr>
            <w:tcW w:w="2562" w:type="dxa"/>
            <w:vMerge/>
            <w:vAlign w:val="center"/>
            <w:hideMark/>
          </w:tcPr>
          <w:p w14:paraId="64CDE77E"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929" w:type="dxa"/>
            <w:tcBorders>
              <w:top w:val="single" w:sz="4" w:space="0" w:color="201547"/>
              <w:left w:val="single" w:sz="4" w:space="0" w:color="201547"/>
              <w:bottom w:val="single" w:sz="4" w:space="0" w:color="201547"/>
              <w:right w:val="single" w:sz="4" w:space="0" w:color="201547"/>
            </w:tcBorders>
            <w:hideMark/>
          </w:tcPr>
          <w:p w14:paraId="4A36CAB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28.6%</w:t>
            </w:r>
          </w:p>
        </w:tc>
        <w:tc>
          <w:tcPr>
            <w:tcW w:w="3744" w:type="dxa"/>
            <w:tcBorders>
              <w:top w:val="single" w:sz="4" w:space="0" w:color="201547"/>
              <w:left w:val="single" w:sz="4" w:space="0" w:color="201547"/>
              <w:bottom w:val="single" w:sz="4" w:space="0" w:color="201547"/>
              <w:right w:val="single" w:sz="4" w:space="0" w:color="201547"/>
            </w:tcBorders>
            <w:hideMark/>
          </w:tcPr>
          <w:p w14:paraId="330C285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20953900"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tcPr>
          <w:p w14:paraId="607F266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673" w:type="dxa"/>
            <w:gridSpan w:val="2"/>
            <w:tcBorders>
              <w:top w:val="single" w:sz="4" w:space="0" w:color="201547"/>
              <w:left w:val="single" w:sz="4" w:space="0" w:color="201547"/>
              <w:bottom w:val="single" w:sz="4" w:space="0" w:color="201547"/>
              <w:right w:val="single" w:sz="4" w:space="0" w:color="201547"/>
            </w:tcBorders>
          </w:tcPr>
          <w:p w14:paraId="08F0FFE2" w14:textId="64C84005"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 xml:space="preserve">Improvement is assessed against </w:t>
            </w:r>
            <w:r w:rsidR="002B63A5" w:rsidRPr="00F03354">
              <w:rPr>
                <w:rFonts w:ascii="VIC" w:eastAsia="Times New Roman" w:hAnsi="VIC" w:cs="Times New Roman"/>
                <w:sz w:val="20"/>
                <w:szCs w:val="20"/>
                <w:lang w:val="en-US"/>
              </w:rPr>
              <w:t xml:space="preserve">the </w:t>
            </w:r>
            <w:r w:rsidRPr="00F03354">
              <w:rPr>
                <w:rFonts w:ascii="VIC" w:eastAsia="Times New Roman" w:hAnsi="VIC" w:cs="Times New Roman"/>
                <w:sz w:val="20"/>
                <w:szCs w:val="20"/>
                <w:lang w:val="en-US"/>
              </w:rPr>
              <w:t>previous quarter</w:t>
            </w:r>
            <w:r w:rsidR="002B63A5" w:rsidRPr="00F03354">
              <w:rPr>
                <w:rFonts w:ascii="VIC" w:eastAsia="Times New Roman" w:hAnsi="VIC" w:cs="Times New Roman"/>
                <w:sz w:val="20"/>
                <w:szCs w:val="20"/>
                <w:lang w:val="en-US"/>
              </w:rPr>
              <w:t>’s</w:t>
            </w:r>
            <w:r w:rsidRPr="00F03354">
              <w:rPr>
                <w:rFonts w:ascii="VIC" w:eastAsia="Times New Roman" w:hAnsi="VIC" w:cs="Times New Roman"/>
                <w:sz w:val="20"/>
                <w:szCs w:val="20"/>
                <w:lang w:val="en-US"/>
              </w:rPr>
              <w:t xml:space="preserve"> performance.</w:t>
            </w:r>
          </w:p>
        </w:tc>
      </w:tr>
      <w:tr w:rsidR="00280F65" w:rsidRPr="00F03354" w14:paraId="173500FE" w14:textId="77777777" w:rsidTr="74819A9C">
        <w:trPr>
          <w:cantSplit/>
          <w:trHeight w:val="60"/>
        </w:trPr>
        <w:tc>
          <w:tcPr>
            <w:tcW w:w="2562" w:type="dxa"/>
            <w:tcBorders>
              <w:top w:val="single" w:sz="4" w:space="0" w:color="201547"/>
              <w:left w:val="single" w:sz="4" w:space="0" w:color="201547"/>
              <w:bottom w:val="single" w:sz="4" w:space="0" w:color="201547"/>
              <w:right w:val="single" w:sz="4" w:space="0" w:color="201547"/>
            </w:tcBorders>
            <w:hideMark/>
          </w:tcPr>
          <w:p w14:paraId="17B87BC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673" w:type="dxa"/>
            <w:gridSpan w:val="2"/>
            <w:tcBorders>
              <w:top w:val="single" w:sz="4" w:space="0" w:color="201547"/>
              <w:left w:val="single" w:sz="4" w:space="0" w:color="201547"/>
              <w:bottom w:val="single" w:sz="4" w:space="0" w:color="201547"/>
              <w:right w:val="single" w:sz="4" w:space="0" w:color="201547"/>
            </w:tcBorders>
            <w:hideMark/>
          </w:tcPr>
          <w:p w14:paraId="1B7280A1"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Data for this indicator will be derived from the VPDC. Data is lagged by one quarter.</w:t>
            </w:r>
          </w:p>
          <w:p w14:paraId="12BD5E75"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This indicator is reported quarterly at campus level, with one quarter lag</w:t>
            </w:r>
          </w:p>
          <w:p w14:paraId="05DD6A4D"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 xml:space="preserve">Results are reported quarterly at campus level, using 12 months (four quarters) rolling data, with one quarter lag time. </w:t>
            </w:r>
          </w:p>
          <w:p w14:paraId="1A43BD81" w14:textId="05C4DB72"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Results are not reported where minimum threshold of &gt;=10 case in denominator is not achieved over the 12</w:t>
            </w:r>
            <w:r w:rsidR="00B224CD" w:rsidRPr="00F03354">
              <w:rPr>
                <w:rFonts w:ascii="VIC" w:eastAsia="Times New Roman" w:hAnsi="VIC" w:cs="Times New Roman"/>
                <w:sz w:val="20"/>
                <w:szCs w:val="20"/>
                <w:lang w:val="en-US"/>
              </w:rPr>
              <w:t>-</w:t>
            </w:r>
            <w:r w:rsidRPr="00F03354">
              <w:rPr>
                <w:rFonts w:ascii="VIC" w:eastAsia="Times New Roman" w:hAnsi="VIC" w:cs="Times New Roman"/>
                <w:sz w:val="20"/>
                <w:szCs w:val="20"/>
                <w:lang w:val="en-US"/>
              </w:rPr>
              <w:t>month period.</w:t>
            </w:r>
          </w:p>
          <w:p w14:paraId="33C9B3D0"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Data is required to be submitted by health services monthly.</w:t>
            </w:r>
          </w:p>
          <w:p w14:paraId="5C040402"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All data reported to the VPDC is due within 30 days.</w:t>
            </w:r>
          </w:p>
          <w:p w14:paraId="211AAB94"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lang w:val="en-US"/>
              </w:rPr>
              <w:t>Health services are required to submit VPDC data for the previous month by the end of the following month. (This may mean that a birth may take up to 60 days to be reported by a health service if it occurred at the start of the month).</w:t>
            </w:r>
          </w:p>
        </w:tc>
      </w:tr>
    </w:tbl>
    <w:p w14:paraId="6773DAE6" w14:textId="77777777" w:rsidR="00280F65" w:rsidRPr="00F03354" w:rsidRDefault="00280F65" w:rsidP="00280F65">
      <w:pPr>
        <w:spacing w:after="120" w:line="270" w:lineRule="atLeast"/>
        <w:rPr>
          <w:rFonts w:ascii="VIC" w:eastAsia="Times" w:hAnsi="VIC" w:cs="Times New Roman"/>
          <w:sz w:val="20"/>
          <w:szCs w:val="20"/>
        </w:rPr>
      </w:pPr>
    </w:p>
    <w:p w14:paraId="62A1A675"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24" w:name="_Toc517959135"/>
      <w:bookmarkStart w:id="25" w:name="_Toc10123552"/>
      <w:r w:rsidRPr="00F03354">
        <w:rPr>
          <w:rFonts w:ascii="VIC" w:eastAsia="MS Mincho" w:hAnsi="VIC" w:cs="Arial"/>
          <w:b/>
          <w:bCs/>
          <w:sz w:val="20"/>
          <w:szCs w:val="20"/>
        </w:rPr>
        <w:t>Continuing care</w:t>
      </w:r>
      <w:bookmarkEnd w:id="24"/>
      <w:bookmarkEnd w:id="25"/>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7674"/>
      </w:tblGrid>
      <w:tr w:rsidR="00280F65" w:rsidRPr="00F03354" w14:paraId="01BD538C" w14:textId="77777777" w:rsidTr="6BF3BDE6">
        <w:trPr>
          <w:cantSplit/>
          <w:trHeight w:val="60"/>
          <w:tblHeader/>
        </w:trPr>
        <w:tc>
          <w:tcPr>
            <w:tcW w:w="2561" w:type="dxa"/>
            <w:shd w:val="clear" w:color="auto" w:fill="244C5A"/>
            <w:vAlign w:val="bottom"/>
          </w:tcPr>
          <w:p w14:paraId="6E7BCED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74" w:type="dxa"/>
            <w:shd w:val="clear" w:color="auto" w:fill="244C5A"/>
            <w:vAlign w:val="bottom"/>
          </w:tcPr>
          <w:p w14:paraId="1EBADD02"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Average change in the functional independence measure (FIM) score per day of care for rehabilitation separations</w:t>
            </w:r>
          </w:p>
        </w:tc>
      </w:tr>
      <w:tr w:rsidR="00280F65" w:rsidRPr="00F03354" w14:paraId="688131F6" w14:textId="77777777" w:rsidTr="6BF3BDE6">
        <w:trPr>
          <w:cantSplit/>
          <w:trHeight w:val="2145"/>
        </w:trPr>
        <w:tc>
          <w:tcPr>
            <w:tcW w:w="2561" w:type="dxa"/>
            <w:hideMark/>
          </w:tcPr>
          <w:p w14:paraId="573ACFB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74" w:type="dxa"/>
          </w:tcPr>
          <w:p w14:paraId="147EB9C0" w14:textId="6BA74610" w:rsidR="3875B4E1" w:rsidRPr="00F03354" w:rsidRDefault="3875B4E1" w:rsidP="6BF3BDE6">
            <w:pPr>
              <w:spacing w:before="80" w:after="60" w:line="240" w:lineRule="auto"/>
              <w:rPr>
                <w:rFonts w:ascii="VIC" w:eastAsia="VIC" w:hAnsi="VIC" w:cs="VIC"/>
                <w:sz w:val="20"/>
                <w:szCs w:val="20"/>
              </w:rPr>
            </w:pPr>
            <w:r w:rsidRPr="00F03354">
              <w:rPr>
                <w:rFonts w:ascii="VIC" w:eastAsia="VIC" w:hAnsi="VIC" w:cs="VIC"/>
                <w:sz w:val="20"/>
                <w:szCs w:val="20"/>
              </w:rPr>
              <w:t xml:space="preserve">Also referred to as: </w:t>
            </w:r>
            <w:r w:rsidR="49317AF6" w:rsidRPr="00F03354">
              <w:rPr>
                <w:rFonts w:ascii="VIC" w:eastAsia="VIC" w:hAnsi="VIC" w:cs="VIC"/>
                <w:sz w:val="20"/>
                <w:szCs w:val="20"/>
              </w:rPr>
              <w:t>“</w:t>
            </w:r>
            <w:r w:rsidR="0C99E3F9" w:rsidRPr="00F03354">
              <w:rPr>
                <w:rFonts w:ascii="VIC" w:eastAsia="VIC" w:hAnsi="VIC" w:cs="VIC"/>
                <w:color w:val="444444"/>
                <w:sz w:val="20"/>
                <w:szCs w:val="20"/>
              </w:rPr>
              <w:t>Functional independence gain from an episode of rehabilitation admission to discharge relative to length of stay.</w:t>
            </w:r>
            <w:r w:rsidR="49317AF6" w:rsidRPr="00F03354">
              <w:rPr>
                <w:rFonts w:ascii="VIC" w:eastAsia="VIC" w:hAnsi="VIC" w:cs="VIC"/>
                <w:sz w:val="20"/>
                <w:szCs w:val="20"/>
              </w:rPr>
              <w:t>”</w:t>
            </w:r>
          </w:p>
          <w:p w14:paraId="063F7F9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FIM™ instrument is a basic indicator of patient disability. FIM™ is used to track the changes in the functional ability of a patient during an episode of hospital rehabilitation or Geriatric Evaluation and Management (GEM) care.</w:t>
            </w:r>
          </w:p>
          <w:p w14:paraId="4D0F9C9A" w14:textId="2442D5E6"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FIM™ is comprised of 18 items, grouped into 2 subscales - motor and cognition; each of which is assessed against a seven</w:t>
            </w:r>
            <w:r w:rsidR="00B224CD" w:rsidRPr="00F03354">
              <w:rPr>
                <w:rFonts w:ascii="VIC" w:eastAsia="Times New Roman" w:hAnsi="VIC" w:cs="Times New Roman"/>
                <w:sz w:val="20"/>
                <w:szCs w:val="20"/>
              </w:rPr>
              <w:t>-</w:t>
            </w:r>
            <w:r w:rsidRPr="00F03354">
              <w:rPr>
                <w:rFonts w:ascii="VIC" w:eastAsia="Times New Roman" w:hAnsi="VIC" w:cs="Times New Roman"/>
                <w:sz w:val="20"/>
                <w:szCs w:val="20"/>
              </w:rPr>
              <w:t xml:space="preserve">point ordinal scale, where the higher the score for an item, the more independently the patient </w:t>
            </w:r>
            <w:r w:rsidR="00B224CD" w:rsidRPr="00F03354">
              <w:rPr>
                <w:rFonts w:ascii="VIC" w:eastAsia="Times New Roman" w:hAnsi="VIC" w:cs="Times New Roman"/>
                <w:sz w:val="20"/>
                <w:szCs w:val="20"/>
              </w:rPr>
              <w:t>can</w:t>
            </w:r>
            <w:r w:rsidRPr="00F03354">
              <w:rPr>
                <w:rFonts w:ascii="VIC" w:eastAsia="Times New Roman" w:hAnsi="VIC" w:cs="Times New Roman"/>
                <w:sz w:val="20"/>
                <w:szCs w:val="20"/>
              </w:rPr>
              <w:t xml:space="preserve"> perform the tasks assessed by that item. Total scores range from 18 to 126.</w:t>
            </w:r>
          </w:p>
          <w:p w14:paraId="6AF78F5E" w14:textId="3314927A"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low FIM™ score is a good indicator of need for subacute bed</w:t>
            </w:r>
            <w:r w:rsidR="00B224CD" w:rsidRPr="00F03354">
              <w:rPr>
                <w:rFonts w:ascii="VIC" w:eastAsia="Times New Roman" w:hAnsi="VIC" w:cs="Times New Roman"/>
                <w:sz w:val="20"/>
                <w:szCs w:val="20"/>
              </w:rPr>
              <w:t>-</w:t>
            </w:r>
            <w:r w:rsidRPr="00F03354">
              <w:rPr>
                <w:rFonts w:ascii="VIC" w:eastAsia="Times New Roman" w:hAnsi="VIC" w:cs="Times New Roman"/>
                <w:sz w:val="20"/>
                <w:szCs w:val="20"/>
              </w:rPr>
              <w:t>based care due to reduced function.</w:t>
            </w:r>
          </w:p>
          <w:p w14:paraId="3643F7A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Equally, a higher FIM™ admission score may indicate that care through the Health Independence Program may be as effective in meeting the patient’s needs.</w:t>
            </w:r>
          </w:p>
        </w:tc>
      </w:tr>
      <w:tr w:rsidR="00280F65" w:rsidRPr="00F03354" w14:paraId="25183091" w14:textId="77777777" w:rsidTr="6BF3BDE6">
        <w:trPr>
          <w:cantSplit/>
          <w:trHeight w:val="60"/>
        </w:trPr>
        <w:tc>
          <w:tcPr>
            <w:tcW w:w="2561" w:type="dxa"/>
            <w:hideMark/>
          </w:tcPr>
          <w:p w14:paraId="3F66983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674" w:type="dxa"/>
            <w:hideMark/>
          </w:tcPr>
          <w:p w14:paraId="5DEA346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FIM™ efficiency is measured by the difference between FIM™ on discharge and FIM™ on admission divided by the number of days of the episode of care.</w:t>
            </w:r>
          </w:p>
          <w:p w14:paraId="7CE8EC4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all health services providing subacute care (rehabilitation and/or GEM). Excludes palliative care, non-acute care and paediatric rehabilitation.</w:t>
            </w:r>
          </w:p>
          <w:p w14:paraId="0EBDDEC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Performance is calculated separately as individual scores for GEM and rehabilitation. </w:t>
            </w:r>
          </w:p>
        </w:tc>
      </w:tr>
      <w:tr w:rsidR="00280F65" w:rsidRPr="00F03354" w14:paraId="144B0B6E" w14:textId="77777777" w:rsidTr="6BF3BDE6">
        <w:trPr>
          <w:cantSplit/>
          <w:trHeight w:val="60"/>
        </w:trPr>
        <w:tc>
          <w:tcPr>
            <w:tcW w:w="2561" w:type="dxa"/>
          </w:tcPr>
          <w:p w14:paraId="2C0BEDF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674" w:type="dxa"/>
          </w:tcPr>
          <w:p w14:paraId="60B4D48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compared to previous quarter performance.</w:t>
            </w:r>
          </w:p>
        </w:tc>
      </w:tr>
      <w:tr w:rsidR="00280F65" w:rsidRPr="00F03354" w14:paraId="6D48685E" w14:textId="77777777" w:rsidTr="6BF3BDE6">
        <w:trPr>
          <w:cantSplit/>
          <w:trHeight w:val="60"/>
        </w:trPr>
        <w:tc>
          <w:tcPr>
            <w:tcW w:w="2561" w:type="dxa"/>
            <w:hideMark/>
          </w:tcPr>
          <w:p w14:paraId="1E02252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674" w:type="dxa"/>
            <w:hideMark/>
          </w:tcPr>
          <w:p w14:paraId="5357E065" w14:textId="6F1007BE"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Arial"/>
                <w:sz w:val="20"/>
                <w:szCs w:val="20"/>
              </w:rPr>
              <w:t>Data extracted from VAED</w:t>
            </w:r>
            <w:r w:rsidR="006036BE" w:rsidRPr="00F03354">
              <w:rPr>
                <w:rFonts w:ascii="VIC" w:eastAsia="Times New Roman" w:hAnsi="VIC" w:cs="Arial"/>
                <w:sz w:val="20"/>
                <w:szCs w:val="20"/>
              </w:rPr>
              <w:t xml:space="preserve"> (Victorian Admitted Episodes Dataset) </w:t>
            </w:r>
            <w:r w:rsidRPr="00F03354">
              <w:rPr>
                <w:rFonts w:ascii="VIC" w:eastAsia="Times New Roman" w:hAnsi="VIC" w:cs="Arial"/>
                <w:sz w:val="20"/>
                <w:szCs w:val="20"/>
              </w:rPr>
              <w:t>and reported quarterly with a one quarter lag. Results are reported at health service level.</w:t>
            </w:r>
          </w:p>
        </w:tc>
      </w:tr>
    </w:tbl>
    <w:p w14:paraId="0DD8CAA6" w14:textId="77777777" w:rsidR="00280F65" w:rsidRPr="00F03354"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81"/>
        <w:gridCol w:w="3691"/>
        <w:gridCol w:w="3963"/>
      </w:tblGrid>
      <w:tr w:rsidR="00280F65" w:rsidRPr="00F03354" w14:paraId="21E77E08" w14:textId="77777777" w:rsidTr="0035264A">
        <w:trPr>
          <w:cantSplit/>
          <w:trHeight w:val="60"/>
          <w:tblHeader/>
        </w:trPr>
        <w:tc>
          <w:tcPr>
            <w:tcW w:w="2581" w:type="dxa"/>
            <w:shd w:val="clear" w:color="auto" w:fill="244C5A"/>
            <w:vAlign w:val="bottom"/>
          </w:tcPr>
          <w:p w14:paraId="50E2F661"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54" w:type="dxa"/>
            <w:gridSpan w:val="2"/>
            <w:shd w:val="clear" w:color="auto" w:fill="244C5A"/>
            <w:vAlign w:val="bottom"/>
          </w:tcPr>
          <w:p w14:paraId="2E12CA4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Rehabilitation</w:t>
            </w:r>
          </w:p>
        </w:tc>
      </w:tr>
      <w:tr w:rsidR="00280F65" w:rsidRPr="00F03354" w14:paraId="051A766B" w14:textId="77777777" w:rsidTr="0035264A">
        <w:trPr>
          <w:cantSplit/>
          <w:trHeight w:val="60"/>
        </w:trPr>
        <w:tc>
          <w:tcPr>
            <w:tcW w:w="2581" w:type="dxa"/>
            <w:hideMark/>
          </w:tcPr>
          <w:p w14:paraId="48DACA2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Numerator </w:t>
            </w:r>
          </w:p>
        </w:tc>
        <w:tc>
          <w:tcPr>
            <w:tcW w:w="7654" w:type="dxa"/>
            <w:gridSpan w:val="2"/>
            <w:hideMark/>
          </w:tcPr>
          <w:p w14:paraId="0C8929EF"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Sum of (Separation FIM Total Score minus Admission FIM Total Score) for all rehabilitation patients</w:t>
            </w:r>
          </w:p>
        </w:tc>
      </w:tr>
      <w:tr w:rsidR="00280F65" w:rsidRPr="00F03354" w14:paraId="39974597" w14:textId="77777777" w:rsidTr="0035264A">
        <w:trPr>
          <w:cantSplit/>
          <w:trHeight w:val="60"/>
        </w:trPr>
        <w:tc>
          <w:tcPr>
            <w:tcW w:w="2581" w:type="dxa"/>
            <w:hideMark/>
          </w:tcPr>
          <w:p w14:paraId="633D8A0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54" w:type="dxa"/>
            <w:gridSpan w:val="2"/>
            <w:hideMark/>
          </w:tcPr>
          <w:p w14:paraId="4AE47632"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Sum of length of stay for all rehabilitation patients, excluding leave days</w:t>
            </w:r>
          </w:p>
        </w:tc>
      </w:tr>
      <w:tr w:rsidR="00280F65" w:rsidRPr="00F03354" w14:paraId="55263BDE" w14:textId="77777777" w:rsidTr="0035264A">
        <w:trPr>
          <w:cantSplit/>
          <w:trHeight w:val="60"/>
        </w:trPr>
        <w:tc>
          <w:tcPr>
            <w:tcW w:w="2581" w:type="dxa"/>
            <w:hideMark/>
          </w:tcPr>
          <w:p w14:paraId="7B557B2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54" w:type="dxa"/>
            <w:gridSpan w:val="2"/>
            <w:hideMark/>
          </w:tcPr>
          <w:p w14:paraId="1961B9E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0.645</w:t>
            </w:r>
          </w:p>
        </w:tc>
      </w:tr>
      <w:tr w:rsidR="00280F65" w:rsidRPr="00F03354" w14:paraId="69DF4203" w14:textId="77777777" w:rsidTr="0035264A">
        <w:trPr>
          <w:cantSplit/>
          <w:trHeight w:val="60"/>
        </w:trPr>
        <w:tc>
          <w:tcPr>
            <w:tcW w:w="2581" w:type="dxa"/>
            <w:vMerge w:val="restart"/>
            <w:hideMark/>
          </w:tcPr>
          <w:p w14:paraId="36D3A92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691" w:type="dxa"/>
            <w:hideMark/>
          </w:tcPr>
          <w:p w14:paraId="710C765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above 0.645</w:t>
            </w:r>
          </w:p>
        </w:tc>
        <w:tc>
          <w:tcPr>
            <w:tcW w:w="3963" w:type="dxa"/>
            <w:hideMark/>
          </w:tcPr>
          <w:p w14:paraId="06258EAD"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244E4B06" w14:textId="77777777" w:rsidTr="0035264A">
        <w:trPr>
          <w:cantSplit/>
          <w:trHeight w:val="60"/>
        </w:trPr>
        <w:tc>
          <w:tcPr>
            <w:tcW w:w="2581" w:type="dxa"/>
            <w:vMerge/>
            <w:vAlign w:val="center"/>
            <w:hideMark/>
          </w:tcPr>
          <w:p w14:paraId="34F44BA6"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691" w:type="dxa"/>
            <w:hideMark/>
          </w:tcPr>
          <w:p w14:paraId="1B0701F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Below 0.645</w:t>
            </w:r>
          </w:p>
        </w:tc>
        <w:tc>
          <w:tcPr>
            <w:tcW w:w="3963" w:type="dxa"/>
            <w:hideMark/>
          </w:tcPr>
          <w:p w14:paraId="76E402DA"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335C56F0" w14:textId="77777777" w:rsidR="00A5079F" w:rsidRPr="00F03354" w:rsidRDefault="00A5079F" w:rsidP="00280F65">
      <w:pPr>
        <w:spacing w:after="120" w:line="270" w:lineRule="atLeast"/>
        <w:rPr>
          <w:rFonts w:ascii="VIC" w:eastAsia="Times" w:hAnsi="VIC" w:cs="Times New Roman"/>
          <w:sz w:val="20"/>
          <w:szCs w:val="20"/>
        </w:rPr>
      </w:pPr>
    </w:p>
    <w:p w14:paraId="62660161" w14:textId="4B4B89FF" w:rsidR="00A5079F" w:rsidRPr="00F03354" w:rsidRDefault="00A5079F" w:rsidP="00A5079F">
      <w:pPr>
        <w:keepNext/>
        <w:keepLines/>
        <w:spacing w:before="240" w:after="120" w:line="280" w:lineRule="atLeast"/>
        <w:outlineLvl w:val="3"/>
        <w:rPr>
          <w:rFonts w:ascii="VIC" w:eastAsia="MS Mincho" w:hAnsi="VIC" w:cs="Arial"/>
          <w:b/>
          <w:bCs/>
          <w:sz w:val="20"/>
          <w:szCs w:val="20"/>
        </w:rPr>
      </w:pPr>
      <w:r w:rsidRPr="00F03354">
        <w:rPr>
          <w:rFonts w:ascii="VIC" w:eastAsia="MS Mincho" w:hAnsi="VIC" w:cs="Arial"/>
          <w:b/>
          <w:bCs/>
          <w:sz w:val="20"/>
          <w:szCs w:val="20"/>
        </w:rPr>
        <w:t>Aboriginal Health – Cultural Safety</w:t>
      </w: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3827"/>
        <w:gridCol w:w="3827"/>
      </w:tblGrid>
      <w:tr w:rsidR="00A5079F" w:rsidRPr="00F03354" w14:paraId="67D60A43" w14:textId="77777777" w:rsidTr="00A5079F">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hideMark/>
          </w:tcPr>
          <w:p w14:paraId="599F6EC5" w14:textId="77777777" w:rsidR="00A5079F" w:rsidRPr="00F03354" w:rsidRDefault="00A5079F" w:rsidP="00A5079F">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54" w:type="dxa"/>
            <w:gridSpan w:val="2"/>
            <w:tcBorders>
              <w:top w:val="single" w:sz="4" w:space="0" w:color="201547"/>
              <w:left w:val="single" w:sz="4" w:space="0" w:color="201547"/>
              <w:bottom w:val="single" w:sz="4" w:space="0" w:color="201547"/>
              <w:right w:val="single" w:sz="4" w:space="0" w:color="201547"/>
            </w:tcBorders>
            <w:shd w:val="clear" w:color="auto" w:fill="244C5A"/>
            <w:hideMark/>
          </w:tcPr>
          <w:p w14:paraId="5469545B" w14:textId="77777777" w:rsidR="00A5079F" w:rsidRPr="00F03354" w:rsidRDefault="00A5079F" w:rsidP="00A5079F">
            <w:pPr>
              <w:spacing w:before="80" w:after="60" w:line="240" w:lineRule="auto"/>
              <w:rPr>
                <w:rFonts w:ascii="VIC" w:eastAsia="Times New Roman" w:hAnsi="VIC" w:cs="Times New Roman"/>
                <w:bCs/>
                <w:color w:val="FFFFFF" w:themeColor="background1"/>
                <w:sz w:val="20"/>
                <w:szCs w:val="20"/>
              </w:rPr>
            </w:pPr>
            <w:bookmarkStart w:id="26" w:name="_Toc29990422"/>
            <w:r w:rsidRPr="00F03354">
              <w:rPr>
                <w:rFonts w:ascii="VIC" w:eastAsia="Times New Roman" w:hAnsi="VIC" w:cs="Times New Roman"/>
                <w:bCs/>
                <w:color w:val="FFFFFF" w:themeColor="background1"/>
                <w:sz w:val="20"/>
                <w:szCs w:val="20"/>
              </w:rPr>
              <w:t>Percentage of Aboriginal emergency department presentations who did not wait to be seen</w:t>
            </w:r>
            <w:bookmarkEnd w:id="26"/>
          </w:p>
        </w:tc>
      </w:tr>
      <w:tr w:rsidR="00A5079F" w:rsidRPr="00F03354" w14:paraId="2FE41970"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19549910"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Description</w:t>
            </w:r>
          </w:p>
        </w:tc>
        <w:tc>
          <w:tcPr>
            <w:tcW w:w="7654" w:type="dxa"/>
            <w:gridSpan w:val="2"/>
            <w:tcBorders>
              <w:top w:val="single" w:sz="4" w:space="0" w:color="201547"/>
              <w:left w:val="single" w:sz="4" w:space="0" w:color="201547"/>
              <w:bottom w:val="single" w:sz="4" w:space="0" w:color="201547"/>
              <w:right w:val="single" w:sz="4" w:space="0" w:color="201547"/>
            </w:tcBorders>
          </w:tcPr>
          <w:p w14:paraId="5D80C3CB"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This measure reports the percentage of emergency department presentations with an Aboriginal and/or Torres Strait Islanders status and a departure status of ‘did not wait’.</w:t>
            </w:r>
          </w:p>
        </w:tc>
      </w:tr>
      <w:tr w:rsidR="00A5079F" w:rsidRPr="00F03354" w14:paraId="5BB599CD"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5CB0BD98"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Calculating performance</w:t>
            </w:r>
          </w:p>
        </w:tc>
        <w:tc>
          <w:tcPr>
            <w:tcW w:w="7654" w:type="dxa"/>
            <w:gridSpan w:val="2"/>
            <w:tcBorders>
              <w:top w:val="single" w:sz="4" w:space="0" w:color="201547"/>
              <w:left w:val="single" w:sz="4" w:space="0" w:color="201547"/>
              <w:bottom w:val="single" w:sz="4" w:space="0" w:color="201547"/>
              <w:right w:val="single" w:sz="4" w:space="0" w:color="201547"/>
            </w:tcBorders>
          </w:tcPr>
          <w:p w14:paraId="03665D3E"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This indicator is measured at the campus level and excludes patients with a departure status of ‘Dead on Arrival’</w:t>
            </w:r>
          </w:p>
          <w:p w14:paraId="0913D204" w14:textId="77777777" w:rsidR="00A5079F" w:rsidRPr="00F03354" w:rsidRDefault="00A5079F" w:rsidP="00A5079F">
            <w:pPr>
              <w:spacing w:after="120" w:line="270" w:lineRule="atLeast"/>
              <w:rPr>
                <w:rFonts w:ascii="VIC" w:eastAsia="Times" w:hAnsi="VIC" w:cs="Times New Roman"/>
                <w:sz w:val="20"/>
                <w:szCs w:val="20"/>
              </w:rPr>
            </w:pPr>
          </w:p>
          <w:p w14:paraId="586CA9A9"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This indicator is expressed as a percentage and rounded to one decimal point.</w:t>
            </w:r>
          </w:p>
        </w:tc>
      </w:tr>
      <w:tr w:rsidR="00A5079F" w:rsidRPr="00F03354" w14:paraId="727C19BF"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6488A1FC" w14:textId="2CB7A30D" w:rsidR="00A5079F" w:rsidRPr="00F03354" w:rsidRDefault="00A5079F" w:rsidP="00A5079F">
            <w:pPr>
              <w:spacing w:after="120" w:line="270" w:lineRule="atLeast"/>
              <w:rPr>
                <w:rFonts w:ascii="VIC" w:eastAsia="Times" w:hAnsi="VIC" w:cs="Times New Roman"/>
                <w:sz w:val="20"/>
                <w:szCs w:val="20"/>
              </w:rPr>
            </w:pPr>
            <w:r w:rsidRPr="00F03354">
              <w:rPr>
                <w:rFonts w:ascii="VIC" w:hAnsi="VIC"/>
                <w:sz w:val="20"/>
                <w:szCs w:val="20"/>
              </w:rPr>
              <w:t>Improvement</w:t>
            </w:r>
          </w:p>
        </w:tc>
        <w:tc>
          <w:tcPr>
            <w:tcW w:w="7654" w:type="dxa"/>
            <w:gridSpan w:val="2"/>
            <w:tcBorders>
              <w:top w:val="single" w:sz="4" w:space="0" w:color="201547"/>
              <w:left w:val="single" w:sz="4" w:space="0" w:color="201547"/>
              <w:bottom w:val="single" w:sz="4" w:space="0" w:color="201547"/>
              <w:right w:val="single" w:sz="4" w:space="0" w:color="201547"/>
            </w:tcBorders>
          </w:tcPr>
          <w:p w14:paraId="68BB3F66" w14:textId="1BF6ED4F" w:rsidR="00A5079F" w:rsidRPr="00F03354" w:rsidRDefault="00A5079F" w:rsidP="00A5079F">
            <w:pPr>
              <w:spacing w:after="120" w:line="270" w:lineRule="atLeast"/>
              <w:rPr>
                <w:rFonts w:ascii="VIC" w:eastAsia="Times" w:hAnsi="VIC" w:cs="Times New Roman"/>
                <w:sz w:val="20"/>
                <w:szCs w:val="20"/>
              </w:rPr>
            </w:pPr>
            <w:r w:rsidRPr="00F03354">
              <w:rPr>
                <w:rFonts w:ascii="VIC" w:hAnsi="VIC"/>
                <w:sz w:val="20"/>
                <w:szCs w:val="20"/>
              </w:rPr>
              <w:t>Improvement is compared to previous quarter performance.</w:t>
            </w:r>
          </w:p>
        </w:tc>
      </w:tr>
      <w:tr w:rsidR="00A5079F" w:rsidRPr="00F03354" w14:paraId="4CF8CC1A"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60DA2C68"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Numerator</w:t>
            </w:r>
          </w:p>
          <w:p w14:paraId="1F879B41" w14:textId="77777777" w:rsidR="00A5079F" w:rsidRPr="00F03354" w:rsidRDefault="00A5079F" w:rsidP="00A5079F">
            <w:pPr>
              <w:spacing w:after="120" w:line="270" w:lineRule="atLeast"/>
              <w:rPr>
                <w:rFonts w:ascii="VIC" w:eastAsia="Times" w:hAnsi="VIC" w:cs="Times New Roman"/>
                <w:sz w:val="20"/>
                <w:szCs w:val="20"/>
              </w:rPr>
            </w:pPr>
          </w:p>
        </w:tc>
        <w:tc>
          <w:tcPr>
            <w:tcW w:w="7654" w:type="dxa"/>
            <w:gridSpan w:val="2"/>
            <w:tcBorders>
              <w:top w:val="single" w:sz="4" w:space="0" w:color="201547"/>
              <w:left w:val="single" w:sz="4" w:space="0" w:color="201547"/>
              <w:bottom w:val="single" w:sz="4" w:space="0" w:color="201547"/>
              <w:right w:val="single" w:sz="4" w:space="0" w:color="201547"/>
            </w:tcBorders>
          </w:tcPr>
          <w:p w14:paraId="305BCDF4"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Number of Aboriginal and/or Torres Strait Islanders emergency department presentations with a departure mode of ‘did not wait’ (Departure Status Code = 11).</w:t>
            </w:r>
          </w:p>
        </w:tc>
      </w:tr>
      <w:tr w:rsidR="00A5079F" w:rsidRPr="00F03354" w14:paraId="7113C0F4"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7FBADFB4"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 xml:space="preserve">Denominator </w:t>
            </w:r>
          </w:p>
          <w:p w14:paraId="062105D1" w14:textId="77777777" w:rsidR="00A5079F" w:rsidRPr="00F03354" w:rsidRDefault="00A5079F" w:rsidP="00A5079F">
            <w:pPr>
              <w:spacing w:after="120" w:line="270" w:lineRule="atLeast"/>
              <w:rPr>
                <w:rFonts w:ascii="VIC" w:eastAsia="Times" w:hAnsi="VIC" w:cs="Times New Roman"/>
                <w:sz w:val="20"/>
                <w:szCs w:val="20"/>
              </w:rPr>
            </w:pPr>
          </w:p>
        </w:tc>
        <w:tc>
          <w:tcPr>
            <w:tcW w:w="7654" w:type="dxa"/>
            <w:gridSpan w:val="2"/>
            <w:tcBorders>
              <w:top w:val="single" w:sz="4" w:space="0" w:color="201547"/>
              <w:left w:val="single" w:sz="4" w:space="0" w:color="201547"/>
              <w:bottom w:val="single" w:sz="4" w:space="0" w:color="201547"/>
              <w:right w:val="single" w:sz="4" w:space="0" w:color="201547"/>
            </w:tcBorders>
          </w:tcPr>
          <w:p w14:paraId="3BE8E7DC"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Number of Aboriginal and/or Torres Strait Islanders emergency department presentations excluding Dead on Arrival (Departure Status Code = 8)</w:t>
            </w:r>
          </w:p>
        </w:tc>
      </w:tr>
      <w:tr w:rsidR="00A5079F" w:rsidRPr="00F03354" w14:paraId="73FFCF7D"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1DDE4F46"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Frequency of reporting and data collection</w:t>
            </w:r>
          </w:p>
        </w:tc>
        <w:tc>
          <w:tcPr>
            <w:tcW w:w="7654" w:type="dxa"/>
            <w:gridSpan w:val="2"/>
            <w:tcBorders>
              <w:top w:val="single" w:sz="4" w:space="0" w:color="201547"/>
              <w:left w:val="single" w:sz="4" w:space="0" w:color="201547"/>
              <w:bottom w:val="single" w:sz="4" w:space="0" w:color="201547"/>
              <w:right w:val="single" w:sz="4" w:space="0" w:color="201547"/>
            </w:tcBorders>
          </w:tcPr>
          <w:p w14:paraId="7493E301"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Reported quarterly.</w:t>
            </w:r>
          </w:p>
          <w:p w14:paraId="68788E81" w14:textId="1C9A97E9"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Data is submitted by health services via VEMD</w:t>
            </w:r>
            <w:r w:rsidR="00BA073D" w:rsidRPr="00F03354">
              <w:rPr>
                <w:rFonts w:ascii="VIC" w:eastAsia="Times" w:hAnsi="VIC" w:cs="Times New Roman"/>
                <w:sz w:val="20"/>
                <w:szCs w:val="20"/>
              </w:rPr>
              <w:t xml:space="preserve"> (Victorian Emergency Minimum Dataset)</w:t>
            </w:r>
            <w:r w:rsidRPr="00F03354">
              <w:rPr>
                <w:rFonts w:ascii="VIC" w:eastAsia="Times" w:hAnsi="VIC" w:cs="Times New Roman"/>
                <w:sz w:val="20"/>
                <w:szCs w:val="20"/>
              </w:rPr>
              <w:t xml:space="preserve">. Refer to </w:t>
            </w:r>
            <w:r w:rsidRPr="00F03354">
              <w:rPr>
                <w:rFonts w:ascii="VIC" w:eastAsia="Times" w:hAnsi="VIC" w:cs="Times New Roman"/>
                <w:i/>
                <w:sz w:val="20"/>
                <w:szCs w:val="20"/>
              </w:rPr>
              <w:t xml:space="preserve">Department of Health policy and funding guidelines </w:t>
            </w:r>
            <w:r w:rsidRPr="00F03354">
              <w:rPr>
                <w:rFonts w:ascii="VIC" w:eastAsia="Times" w:hAnsi="VIC" w:cs="Times New Roman"/>
                <w:sz w:val="20"/>
                <w:szCs w:val="20"/>
              </w:rPr>
              <w:t>for further information on data submission timelines.</w:t>
            </w:r>
          </w:p>
        </w:tc>
      </w:tr>
      <w:tr w:rsidR="00A5079F" w:rsidRPr="00F03354" w14:paraId="35948BFF" w14:textId="77777777" w:rsidTr="00181818">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76B2CAC6" w14:textId="59267BED"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Statewide target</w:t>
            </w:r>
          </w:p>
        </w:tc>
        <w:tc>
          <w:tcPr>
            <w:tcW w:w="7654" w:type="dxa"/>
            <w:gridSpan w:val="2"/>
            <w:tcBorders>
              <w:top w:val="single" w:sz="4" w:space="0" w:color="201547"/>
              <w:left w:val="single" w:sz="4" w:space="0" w:color="201547"/>
              <w:bottom w:val="single" w:sz="4" w:space="0" w:color="201547"/>
              <w:right w:val="single" w:sz="4" w:space="0" w:color="201547"/>
            </w:tcBorders>
            <w:shd w:val="clear" w:color="auto" w:fill="auto"/>
          </w:tcPr>
          <w:p w14:paraId="441A073D" w14:textId="2E065CCC" w:rsidR="00A5079F" w:rsidRPr="00F03354" w:rsidRDefault="00A5079F" w:rsidP="00A5079F">
            <w:pPr>
              <w:spacing w:after="120" w:line="270" w:lineRule="atLeast"/>
              <w:rPr>
                <w:rFonts w:ascii="VIC" w:eastAsia="Times" w:hAnsi="VIC" w:cs="Times New Roman"/>
                <w:sz w:val="20"/>
                <w:szCs w:val="20"/>
              </w:rPr>
            </w:pPr>
            <w:r w:rsidRPr="00F03354">
              <w:rPr>
                <w:rFonts w:ascii="VIC" w:hAnsi="VIC" w:cs="Calibri"/>
                <w:color w:val="000000"/>
                <w:sz w:val="20"/>
                <w:szCs w:val="20"/>
                <w:shd w:val="clear" w:color="auto" w:fill="FFFFFF"/>
              </w:rPr>
              <w:t>Annual reduction of 25 per cent in gap between Aboriginal and non-Aboriginal people rates of DNW based on 2021/22 annual rates.</w:t>
            </w:r>
          </w:p>
        </w:tc>
      </w:tr>
      <w:tr w:rsidR="00A5079F" w:rsidRPr="00F03354" w14:paraId="0C4B6FF0" w14:textId="77777777" w:rsidTr="0088177F">
        <w:trPr>
          <w:cantSplit/>
          <w:trHeight w:val="243"/>
        </w:trPr>
        <w:tc>
          <w:tcPr>
            <w:tcW w:w="2581" w:type="dxa"/>
            <w:vMerge w:val="restart"/>
            <w:tcBorders>
              <w:top w:val="single" w:sz="4" w:space="0" w:color="201547"/>
              <w:left w:val="single" w:sz="4" w:space="0" w:color="201547"/>
              <w:right w:val="single" w:sz="4" w:space="0" w:color="201547"/>
            </w:tcBorders>
          </w:tcPr>
          <w:p w14:paraId="490858CB" w14:textId="0FF19029"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Achievement</w:t>
            </w:r>
          </w:p>
        </w:tc>
        <w:tc>
          <w:tcPr>
            <w:tcW w:w="3827" w:type="dxa"/>
            <w:tcBorders>
              <w:top w:val="single" w:sz="4" w:space="0" w:color="201547"/>
              <w:left w:val="single" w:sz="4" w:space="0" w:color="201547"/>
              <w:bottom w:val="single" w:sz="4" w:space="0" w:color="201547"/>
              <w:right w:val="single" w:sz="4" w:space="0" w:color="201547"/>
            </w:tcBorders>
          </w:tcPr>
          <w:p w14:paraId="15BB49A1" w14:textId="2F84EC3A"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Equal to or above 25% reduction</w:t>
            </w:r>
          </w:p>
        </w:tc>
        <w:tc>
          <w:tcPr>
            <w:tcW w:w="3827" w:type="dxa"/>
            <w:tcBorders>
              <w:top w:val="single" w:sz="4" w:space="0" w:color="201547"/>
              <w:left w:val="single" w:sz="4" w:space="0" w:color="201547"/>
              <w:bottom w:val="single" w:sz="4" w:space="0" w:color="201547"/>
              <w:right w:val="single" w:sz="4" w:space="0" w:color="201547"/>
            </w:tcBorders>
          </w:tcPr>
          <w:p w14:paraId="60432E13" w14:textId="1A844838"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Achieved</w:t>
            </w:r>
          </w:p>
        </w:tc>
      </w:tr>
      <w:tr w:rsidR="00A5079F" w:rsidRPr="00F03354" w14:paraId="1CABB21B" w14:textId="77777777" w:rsidTr="0088177F">
        <w:trPr>
          <w:cantSplit/>
          <w:trHeight w:val="243"/>
        </w:trPr>
        <w:tc>
          <w:tcPr>
            <w:tcW w:w="2581" w:type="dxa"/>
            <w:vMerge/>
            <w:tcBorders>
              <w:left w:val="single" w:sz="4" w:space="0" w:color="201547"/>
              <w:bottom w:val="single" w:sz="4" w:space="0" w:color="201547"/>
              <w:right w:val="single" w:sz="4" w:space="0" w:color="201547"/>
            </w:tcBorders>
          </w:tcPr>
          <w:p w14:paraId="2AD773EB" w14:textId="77777777" w:rsidR="00A5079F" w:rsidRPr="00F03354" w:rsidRDefault="00A5079F" w:rsidP="00A5079F">
            <w:pPr>
              <w:spacing w:after="120" w:line="270" w:lineRule="atLeast"/>
              <w:rPr>
                <w:rFonts w:ascii="VIC" w:eastAsia="Times" w:hAnsi="VIC" w:cs="Times New Roman"/>
                <w:sz w:val="20"/>
                <w:szCs w:val="20"/>
              </w:rPr>
            </w:pPr>
          </w:p>
        </w:tc>
        <w:tc>
          <w:tcPr>
            <w:tcW w:w="3827" w:type="dxa"/>
            <w:tcBorders>
              <w:top w:val="single" w:sz="4" w:space="0" w:color="201547"/>
              <w:left w:val="single" w:sz="4" w:space="0" w:color="201547"/>
              <w:bottom w:val="single" w:sz="4" w:space="0" w:color="201547"/>
              <w:right w:val="single" w:sz="4" w:space="0" w:color="201547"/>
            </w:tcBorders>
          </w:tcPr>
          <w:p w14:paraId="7F64D447" w14:textId="313FEA44"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 xml:space="preserve">Below 25% </w:t>
            </w:r>
          </w:p>
        </w:tc>
        <w:tc>
          <w:tcPr>
            <w:tcW w:w="3827" w:type="dxa"/>
            <w:tcBorders>
              <w:top w:val="single" w:sz="4" w:space="0" w:color="201547"/>
              <w:left w:val="single" w:sz="4" w:space="0" w:color="201547"/>
              <w:bottom w:val="single" w:sz="4" w:space="0" w:color="201547"/>
              <w:right w:val="single" w:sz="4" w:space="0" w:color="201547"/>
            </w:tcBorders>
          </w:tcPr>
          <w:p w14:paraId="2686CE79" w14:textId="2AD271DB"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Not achieved</w:t>
            </w:r>
          </w:p>
        </w:tc>
      </w:tr>
    </w:tbl>
    <w:p w14:paraId="2BF9D600" w14:textId="77777777" w:rsidR="00A5079F" w:rsidRPr="00F03354" w:rsidRDefault="00A5079F" w:rsidP="00280F65">
      <w:pPr>
        <w:spacing w:after="120" w:line="270" w:lineRule="atLeast"/>
        <w:rPr>
          <w:rFonts w:ascii="VIC" w:eastAsia="Times" w:hAnsi="VIC" w:cs="Times New Roman"/>
          <w:sz w:val="20"/>
          <w:szCs w:val="20"/>
        </w:rPr>
      </w:pPr>
    </w:p>
    <w:p w14:paraId="4B8D4736" w14:textId="4BC6F855" w:rsidR="00A5079F" w:rsidRPr="00F03354" w:rsidRDefault="00A5079F"/>
    <w:tbl>
      <w:tblPr>
        <w:tblW w:w="9300"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3827"/>
        <w:gridCol w:w="2886"/>
        <w:gridCol w:w="6"/>
      </w:tblGrid>
      <w:tr w:rsidR="00A5079F" w:rsidRPr="00F03354" w14:paraId="0FCCA414" w14:textId="77777777" w:rsidTr="00A5079F">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hideMark/>
          </w:tcPr>
          <w:p w14:paraId="09A94509" w14:textId="79FBCA50" w:rsidR="00A5079F" w:rsidRPr="00F03354" w:rsidRDefault="00A5079F" w:rsidP="00A5079F">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6719" w:type="dxa"/>
            <w:gridSpan w:val="3"/>
            <w:tcBorders>
              <w:top w:val="single" w:sz="4" w:space="0" w:color="201547"/>
              <w:left w:val="single" w:sz="4" w:space="0" w:color="201547"/>
              <w:bottom w:val="single" w:sz="4" w:space="0" w:color="201547"/>
              <w:right w:val="single" w:sz="4" w:space="0" w:color="201547"/>
            </w:tcBorders>
            <w:shd w:val="clear" w:color="auto" w:fill="244C5A"/>
            <w:hideMark/>
          </w:tcPr>
          <w:p w14:paraId="3DCA2A7C" w14:textId="77777777" w:rsidR="00A5079F" w:rsidRPr="00F03354" w:rsidRDefault="00A5079F" w:rsidP="00A5079F">
            <w:pPr>
              <w:spacing w:before="80" w:after="60" w:line="240" w:lineRule="auto"/>
              <w:rPr>
                <w:rFonts w:ascii="VIC" w:eastAsia="Times New Roman" w:hAnsi="VIC" w:cs="Times New Roman"/>
                <w:bCs/>
                <w:color w:val="FFFFFF" w:themeColor="background1"/>
                <w:sz w:val="20"/>
                <w:szCs w:val="20"/>
              </w:rPr>
            </w:pPr>
            <w:bookmarkStart w:id="27" w:name="_Toc29990423"/>
            <w:r w:rsidRPr="00F03354">
              <w:rPr>
                <w:rFonts w:ascii="VIC" w:eastAsia="Times New Roman" w:hAnsi="VIC" w:cs="Times New Roman"/>
                <w:bCs/>
                <w:color w:val="FFFFFF" w:themeColor="background1"/>
                <w:sz w:val="20"/>
                <w:szCs w:val="20"/>
              </w:rPr>
              <w:t>Percentage of Aboriginal admitted patients who left against medical advice</w:t>
            </w:r>
            <w:bookmarkEnd w:id="27"/>
          </w:p>
        </w:tc>
      </w:tr>
      <w:tr w:rsidR="00A5079F" w:rsidRPr="00F03354" w14:paraId="4A7D755C"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38BF3C41"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Description</w:t>
            </w:r>
          </w:p>
        </w:tc>
        <w:tc>
          <w:tcPr>
            <w:tcW w:w="6719" w:type="dxa"/>
            <w:gridSpan w:val="3"/>
            <w:tcBorders>
              <w:top w:val="single" w:sz="4" w:space="0" w:color="201547"/>
              <w:left w:val="single" w:sz="4" w:space="0" w:color="201547"/>
              <w:bottom w:val="single" w:sz="4" w:space="0" w:color="201547"/>
              <w:right w:val="single" w:sz="4" w:space="0" w:color="201547"/>
            </w:tcBorders>
          </w:tcPr>
          <w:p w14:paraId="1B774ACE"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This measure reports the percentage of admitted patients with an Aboriginal and/or Torres Strait Islanders status and a separation mode of ‘left against medical advice’.</w:t>
            </w:r>
          </w:p>
        </w:tc>
      </w:tr>
      <w:tr w:rsidR="00A5079F" w:rsidRPr="00F03354" w14:paraId="0FB7855C"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4A0C30EC"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Calculating performance</w:t>
            </w:r>
          </w:p>
          <w:p w14:paraId="50BDBA28" w14:textId="77777777" w:rsidR="00A5079F" w:rsidRPr="00F03354" w:rsidRDefault="00A5079F" w:rsidP="00A5079F">
            <w:pPr>
              <w:spacing w:after="120" w:line="270" w:lineRule="atLeast"/>
              <w:rPr>
                <w:rFonts w:ascii="VIC" w:eastAsia="Times" w:hAnsi="VIC" w:cs="Times New Roman"/>
                <w:sz w:val="20"/>
                <w:szCs w:val="20"/>
              </w:rPr>
            </w:pPr>
          </w:p>
          <w:p w14:paraId="199B6401" w14:textId="77777777" w:rsidR="00A5079F" w:rsidRPr="00F03354" w:rsidRDefault="00A5079F" w:rsidP="00A5079F">
            <w:pPr>
              <w:spacing w:after="120" w:line="270" w:lineRule="atLeast"/>
              <w:rPr>
                <w:rFonts w:ascii="VIC" w:eastAsia="Times" w:hAnsi="VIC" w:cs="Times New Roman"/>
                <w:sz w:val="20"/>
                <w:szCs w:val="20"/>
              </w:rPr>
            </w:pPr>
          </w:p>
          <w:p w14:paraId="79583B2C" w14:textId="77777777" w:rsidR="00A5079F" w:rsidRPr="00F03354" w:rsidRDefault="00A5079F" w:rsidP="00A5079F">
            <w:pPr>
              <w:spacing w:after="120" w:line="270" w:lineRule="atLeast"/>
              <w:rPr>
                <w:rFonts w:ascii="VIC" w:eastAsia="Times" w:hAnsi="VIC" w:cs="Times New Roman"/>
                <w:sz w:val="20"/>
                <w:szCs w:val="20"/>
              </w:rPr>
            </w:pPr>
          </w:p>
          <w:p w14:paraId="48E30BC2" w14:textId="77777777" w:rsidR="00A5079F" w:rsidRPr="00F03354" w:rsidRDefault="00A5079F" w:rsidP="00A5079F">
            <w:pPr>
              <w:spacing w:after="120" w:line="270" w:lineRule="atLeast"/>
              <w:rPr>
                <w:rFonts w:ascii="VIC" w:eastAsia="Times" w:hAnsi="VIC" w:cs="Times New Roman"/>
                <w:sz w:val="20"/>
                <w:szCs w:val="20"/>
              </w:rPr>
            </w:pPr>
          </w:p>
        </w:tc>
        <w:tc>
          <w:tcPr>
            <w:tcW w:w="6719" w:type="dxa"/>
            <w:gridSpan w:val="3"/>
            <w:tcBorders>
              <w:top w:val="single" w:sz="4" w:space="0" w:color="201547"/>
              <w:left w:val="single" w:sz="4" w:space="0" w:color="201547"/>
              <w:bottom w:val="single" w:sz="4" w:space="0" w:color="201547"/>
              <w:right w:val="single" w:sz="4" w:space="0" w:color="201547"/>
            </w:tcBorders>
          </w:tcPr>
          <w:p w14:paraId="4946E638"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This indicator is measured at the health service level and excludes patients with a separation mode of ‘Statistical’.</w:t>
            </w:r>
          </w:p>
          <w:p w14:paraId="3FFADCE4" w14:textId="77777777" w:rsidR="00A5079F" w:rsidRPr="00F03354" w:rsidRDefault="00A5079F" w:rsidP="00A5079F">
            <w:pPr>
              <w:spacing w:after="120" w:line="270" w:lineRule="atLeast"/>
              <w:rPr>
                <w:rFonts w:ascii="VIC" w:eastAsia="Times" w:hAnsi="VIC" w:cs="Times New Roman"/>
                <w:sz w:val="20"/>
                <w:szCs w:val="20"/>
              </w:rPr>
            </w:pPr>
          </w:p>
          <w:p w14:paraId="15F8FBE9"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This indicator includes only Care Type = 4</w:t>
            </w:r>
          </w:p>
          <w:p w14:paraId="0BE4CE66" w14:textId="77777777" w:rsidR="00A5079F" w:rsidRPr="00F03354" w:rsidRDefault="00A5079F" w:rsidP="00A5079F">
            <w:pPr>
              <w:spacing w:after="120" w:line="270" w:lineRule="atLeast"/>
              <w:rPr>
                <w:rFonts w:ascii="VIC" w:eastAsia="Times" w:hAnsi="VIC" w:cs="Times New Roman"/>
                <w:sz w:val="20"/>
                <w:szCs w:val="20"/>
              </w:rPr>
            </w:pPr>
          </w:p>
          <w:p w14:paraId="63CECDBC"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This indicator is expressed as a percentage and rounded to one decimal point.</w:t>
            </w:r>
          </w:p>
        </w:tc>
      </w:tr>
      <w:tr w:rsidR="00A5079F" w:rsidRPr="00F03354" w14:paraId="133D793F"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0E83C8A8"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Numerator</w:t>
            </w:r>
          </w:p>
          <w:p w14:paraId="2D5002FA" w14:textId="77777777" w:rsidR="00A5079F" w:rsidRPr="00F03354" w:rsidRDefault="00A5079F" w:rsidP="00A5079F">
            <w:pPr>
              <w:spacing w:after="120" w:line="270" w:lineRule="atLeast"/>
              <w:rPr>
                <w:rFonts w:ascii="VIC" w:eastAsia="Times" w:hAnsi="VIC" w:cs="Times New Roman"/>
                <w:sz w:val="20"/>
                <w:szCs w:val="20"/>
              </w:rPr>
            </w:pPr>
          </w:p>
        </w:tc>
        <w:tc>
          <w:tcPr>
            <w:tcW w:w="6719" w:type="dxa"/>
            <w:gridSpan w:val="3"/>
            <w:tcBorders>
              <w:top w:val="single" w:sz="4" w:space="0" w:color="201547"/>
              <w:left w:val="single" w:sz="4" w:space="0" w:color="201547"/>
              <w:bottom w:val="single" w:sz="4" w:space="0" w:color="201547"/>
              <w:right w:val="single" w:sz="4" w:space="0" w:color="201547"/>
            </w:tcBorders>
          </w:tcPr>
          <w:p w14:paraId="718EED96"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Number of Aboriginal and/or Torres Strait Islanders admitted patients with a separation mode of ‘left against medical advice’ (Separation Mode Code = Z).</w:t>
            </w:r>
          </w:p>
        </w:tc>
      </w:tr>
      <w:tr w:rsidR="00A5079F" w:rsidRPr="00F03354" w14:paraId="0180A3FF"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38613323"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Denominator</w:t>
            </w:r>
          </w:p>
          <w:p w14:paraId="7E16282A" w14:textId="77777777" w:rsidR="00A5079F" w:rsidRPr="00F03354" w:rsidRDefault="00A5079F" w:rsidP="00A5079F">
            <w:pPr>
              <w:spacing w:after="120" w:line="270" w:lineRule="atLeast"/>
              <w:rPr>
                <w:rFonts w:ascii="VIC" w:eastAsia="Times" w:hAnsi="VIC" w:cs="Times New Roman"/>
                <w:sz w:val="20"/>
                <w:szCs w:val="20"/>
              </w:rPr>
            </w:pPr>
          </w:p>
        </w:tc>
        <w:tc>
          <w:tcPr>
            <w:tcW w:w="6719" w:type="dxa"/>
            <w:gridSpan w:val="3"/>
            <w:tcBorders>
              <w:top w:val="single" w:sz="4" w:space="0" w:color="201547"/>
              <w:left w:val="single" w:sz="4" w:space="0" w:color="201547"/>
              <w:bottom w:val="single" w:sz="4" w:space="0" w:color="201547"/>
              <w:right w:val="single" w:sz="4" w:space="0" w:color="201547"/>
            </w:tcBorders>
          </w:tcPr>
          <w:p w14:paraId="330FD58F"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Number of Aboriginal and/or Torres Strait Islanders admitted patients excluding Statistical separation (Separation Mode Code = S)</w:t>
            </w:r>
          </w:p>
        </w:tc>
      </w:tr>
      <w:tr w:rsidR="00A5079F" w:rsidRPr="00F03354" w14:paraId="66095635" w14:textId="77777777" w:rsidTr="00A5079F">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3F202755"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Frequency of reporting and data collection</w:t>
            </w:r>
          </w:p>
        </w:tc>
        <w:tc>
          <w:tcPr>
            <w:tcW w:w="6719" w:type="dxa"/>
            <w:gridSpan w:val="3"/>
            <w:tcBorders>
              <w:top w:val="single" w:sz="4" w:space="0" w:color="201547"/>
              <w:left w:val="single" w:sz="4" w:space="0" w:color="201547"/>
              <w:bottom w:val="single" w:sz="4" w:space="0" w:color="201547"/>
              <w:right w:val="single" w:sz="4" w:space="0" w:color="201547"/>
            </w:tcBorders>
          </w:tcPr>
          <w:p w14:paraId="4F91BC79" w14:textId="77777777"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 xml:space="preserve">Reported quarterly (lagged by a quarter). </w:t>
            </w:r>
          </w:p>
          <w:p w14:paraId="24F85609" w14:textId="08A82318" w:rsidR="00A5079F" w:rsidRPr="00F03354" w:rsidRDefault="00A5079F" w:rsidP="00A5079F">
            <w:pPr>
              <w:spacing w:after="120" w:line="270" w:lineRule="atLeast"/>
              <w:rPr>
                <w:rFonts w:ascii="VIC" w:eastAsia="Times" w:hAnsi="VIC" w:cs="Times New Roman"/>
                <w:sz w:val="20"/>
                <w:szCs w:val="20"/>
              </w:rPr>
            </w:pPr>
            <w:r w:rsidRPr="00F03354">
              <w:rPr>
                <w:rFonts w:ascii="VIC" w:eastAsia="Times" w:hAnsi="VIC" w:cs="Times New Roman"/>
                <w:sz w:val="20"/>
                <w:szCs w:val="20"/>
              </w:rPr>
              <w:t>Data is submitted by health services via VAED</w:t>
            </w:r>
            <w:r w:rsidR="00C64CD7" w:rsidRPr="00F03354">
              <w:rPr>
                <w:rFonts w:ascii="VIC" w:eastAsia="Times" w:hAnsi="VIC" w:cs="Times New Roman"/>
                <w:sz w:val="20"/>
                <w:szCs w:val="20"/>
              </w:rPr>
              <w:t xml:space="preserve"> </w:t>
            </w:r>
            <w:r w:rsidR="00C64CD7" w:rsidRPr="00F03354">
              <w:rPr>
                <w:rFonts w:ascii="VIC" w:eastAsia="Times New Roman" w:hAnsi="VIC" w:cs="Arial"/>
                <w:sz w:val="20"/>
                <w:szCs w:val="20"/>
              </w:rPr>
              <w:t>(Victorian Admitted Episodes Dataset)</w:t>
            </w:r>
            <w:r w:rsidRPr="00F03354">
              <w:rPr>
                <w:rFonts w:ascii="VIC" w:eastAsia="Times" w:hAnsi="VIC" w:cs="Times New Roman"/>
                <w:sz w:val="20"/>
                <w:szCs w:val="20"/>
              </w:rPr>
              <w:t xml:space="preserve">. Refer to </w:t>
            </w:r>
            <w:r w:rsidRPr="00F03354">
              <w:rPr>
                <w:rFonts w:ascii="VIC" w:eastAsia="Times" w:hAnsi="VIC" w:cs="Times New Roman"/>
                <w:i/>
                <w:sz w:val="20"/>
                <w:szCs w:val="20"/>
              </w:rPr>
              <w:t xml:space="preserve">Department of Health policy and funding guidelines </w:t>
            </w:r>
            <w:r w:rsidRPr="00F03354">
              <w:rPr>
                <w:rFonts w:ascii="VIC" w:eastAsia="Times" w:hAnsi="VIC" w:cs="Times New Roman"/>
                <w:sz w:val="20"/>
                <w:szCs w:val="20"/>
              </w:rPr>
              <w:t>for further information on data submission timelines.</w:t>
            </w:r>
          </w:p>
        </w:tc>
      </w:tr>
      <w:tr w:rsidR="00A5079F" w:rsidRPr="00F03354" w14:paraId="4C48C61B" w14:textId="77777777" w:rsidTr="00A5079F">
        <w:trPr>
          <w:gridAfter w:val="1"/>
          <w:wAfter w:w="6" w:type="dxa"/>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05D9FDE7" w14:textId="77777777" w:rsidR="00A5079F" w:rsidRPr="00F03354" w:rsidRDefault="00A5079F" w:rsidP="0088177F">
            <w:pPr>
              <w:spacing w:after="120" w:line="270" w:lineRule="atLeast"/>
              <w:rPr>
                <w:rFonts w:ascii="VIC" w:eastAsia="Times" w:hAnsi="VIC" w:cs="Times New Roman"/>
                <w:sz w:val="20"/>
                <w:szCs w:val="20"/>
              </w:rPr>
            </w:pPr>
            <w:r w:rsidRPr="00F03354">
              <w:rPr>
                <w:rFonts w:ascii="VIC" w:eastAsia="Times" w:hAnsi="VIC" w:cs="Times New Roman"/>
                <w:sz w:val="20"/>
                <w:szCs w:val="20"/>
              </w:rPr>
              <w:t>Statewide target</w:t>
            </w:r>
          </w:p>
        </w:tc>
        <w:tc>
          <w:tcPr>
            <w:tcW w:w="6713" w:type="dxa"/>
            <w:gridSpan w:val="2"/>
            <w:tcBorders>
              <w:top w:val="single" w:sz="4" w:space="0" w:color="201547"/>
              <w:left w:val="single" w:sz="4" w:space="0" w:color="201547"/>
              <w:bottom w:val="single" w:sz="4" w:space="0" w:color="201547"/>
              <w:right w:val="single" w:sz="4" w:space="0" w:color="201547"/>
            </w:tcBorders>
          </w:tcPr>
          <w:p w14:paraId="16EE3A8C" w14:textId="77777777" w:rsidR="00A5079F" w:rsidRPr="00F03354" w:rsidRDefault="00A5079F" w:rsidP="0088177F">
            <w:pPr>
              <w:spacing w:after="120" w:line="270" w:lineRule="atLeast"/>
              <w:rPr>
                <w:rFonts w:ascii="VIC" w:eastAsia="Times" w:hAnsi="VIC" w:cs="Times New Roman"/>
                <w:sz w:val="20"/>
                <w:szCs w:val="20"/>
              </w:rPr>
            </w:pPr>
            <w:r w:rsidRPr="00F03354">
              <w:rPr>
                <w:rFonts w:ascii="VIC" w:hAnsi="VIC" w:cs="Calibri"/>
                <w:color w:val="000000"/>
                <w:sz w:val="20"/>
                <w:szCs w:val="20"/>
                <w:shd w:val="clear" w:color="auto" w:fill="FFFFFF"/>
              </w:rPr>
              <w:t>Annual reduction of 25 per cent in gap between Aboriginal and non-Aboriginal people rates of DNW based on 2021/22 annual rates.</w:t>
            </w:r>
          </w:p>
        </w:tc>
      </w:tr>
      <w:tr w:rsidR="00A5079F" w:rsidRPr="00F03354" w14:paraId="713CB652" w14:textId="77777777" w:rsidTr="00A5079F">
        <w:trPr>
          <w:gridAfter w:val="1"/>
          <w:wAfter w:w="6" w:type="dxa"/>
          <w:cantSplit/>
          <w:trHeight w:val="243"/>
        </w:trPr>
        <w:tc>
          <w:tcPr>
            <w:tcW w:w="2581" w:type="dxa"/>
            <w:vMerge w:val="restart"/>
            <w:tcBorders>
              <w:top w:val="single" w:sz="4" w:space="0" w:color="201547"/>
              <w:left w:val="single" w:sz="4" w:space="0" w:color="201547"/>
              <w:right w:val="single" w:sz="4" w:space="0" w:color="201547"/>
            </w:tcBorders>
          </w:tcPr>
          <w:p w14:paraId="1EE4CAF5" w14:textId="77777777" w:rsidR="00A5079F" w:rsidRPr="00F03354" w:rsidRDefault="00A5079F" w:rsidP="0088177F">
            <w:pPr>
              <w:spacing w:after="120" w:line="270" w:lineRule="atLeast"/>
              <w:rPr>
                <w:rFonts w:ascii="VIC" w:eastAsia="Times" w:hAnsi="VIC" w:cs="Times New Roman"/>
                <w:sz w:val="20"/>
                <w:szCs w:val="20"/>
              </w:rPr>
            </w:pPr>
            <w:r w:rsidRPr="00F03354">
              <w:rPr>
                <w:rFonts w:ascii="VIC" w:eastAsia="Times" w:hAnsi="VIC" w:cs="Times New Roman"/>
                <w:sz w:val="20"/>
                <w:szCs w:val="20"/>
              </w:rPr>
              <w:t>Achievement</w:t>
            </w:r>
          </w:p>
        </w:tc>
        <w:tc>
          <w:tcPr>
            <w:tcW w:w="3827" w:type="dxa"/>
            <w:tcBorders>
              <w:top w:val="single" w:sz="4" w:space="0" w:color="201547"/>
              <w:left w:val="single" w:sz="4" w:space="0" w:color="201547"/>
              <w:bottom w:val="single" w:sz="4" w:space="0" w:color="201547"/>
              <w:right w:val="single" w:sz="4" w:space="0" w:color="201547"/>
            </w:tcBorders>
          </w:tcPr>
          <w:p w14:paraId="4A4AE7FA" w14:textId="77777777" w:rsidR="00A5079F" w:rsidRPr="00F03354" w:rsidRDefault="00A5079F" w:rsidP="0088177F">
            <w:pPr>
              <w:spacing w:after="120" w:line="270" w:lineRule="atLeast"/>
              <w:rPr>
                <w:rFonts w:ascii="VIC" w:eastAsia="Times" w:hAnsi="VIC" w:cs="Times New Roman"/>
                <w:sz w:val="20"/>
                <w:szCs w:val="20"/>
              </w:rPr>
            </w:pPr>
            <w:r w:rsidRPr="00F03354">
              <w:rPr>
                <w:rFonts w:ascii="VIC" w:eastAsia="Times" w:hAnsi="VIC" w:cs="Times New Roman"/>
                <w:sz w:val="20"/>
                <w:szCs w:val="20"/>
              </w:rPr>
              <w:t>Equal to or above 25% reduction</w:t>
            </w:r>
          </w:p>
        </w:tc>
        <w:tc>
          <w:tcPr>
            <w:tcW w:w="2886" w:type="dxa"/>
            <w:tcBorders>
              <w:top w:val="single" w:sz="4" w:space="0" w:color="201547"/>
              <w:left w:val="single" w:sz="4" w:space="0" w:color="201547"/>
              <w:bottom w:val="single" w:sz="4" w:space="0" w:color="201547"/>
              <w:right w:val="single" w:sz="4" w:space="0" w:color="201547"/>
            </w:tcBorders>
          </w:tcPr>
          <w:p w14:paraId="36B24CE5" w14:textId="77777777" w:rsidR="00A5079F" w:rsidRPr="00F03354" w:rsidRDefault="00A5079F" w:rsidP="0088177F">
            <w:pPr>
              <w:spacing w:after="120" w:line="270" w:lineRule="atLeast"/>
              <w:rPr>
                <w:rFonts w:ascii="VIC" w:eastAsia="Times" w:hAnsi="VIC" w:cs="Times New Roman"/>
                <w:sz w:val="20"/>
                <w:szCs w:val="20"/>
              </w:rPr>
            </w:pPr>
            <w:r w:rsidRPr="00F03354">
              <w:rPr>
                <w:rFonts w:ascii="VIC" w:eastAsia="Times" w:hAnsi="VIC" w:cs="Times New Roman"/>
                <w:sz w:val="20"/>
                <w:szCs w:val="20"/>
              </w:rPr>
              <w:t>Achieved</w:t>
            </w:r>
          </w:p>
        </w:tc>
      </w:tr>
      <w:tr w:rsidR="00A5079F" w:rsidRPr="00F03354" w14:paraId="5431D2D5" w14:textId="77777777" w:rsidTr="00A5079F">
        <w:trPr>
          <w:gridAfter w:val="1"/>
          <w:wAfter w:w="6" w:type="dxa"/>
          <w:cantSplit/>
          <w:trHeight w:val="243"/>
        </w:trPr>
        <w:tc>
          <w:tcPr>
            <w:tcW w:w="2581" w:type="dxa"/>
            <w:vMerge/>
            <w:tcBorders>
              <w:left w:val="single" w:sz="4" w:space="0" w:color="201547"/>
              <w:bottom w:val="single" w:sz="4" w:space="0" w:color="201547"/>
              <w:right w:val="single" w:sz="4" w:space="0" w:color="201547"/>
            </w:tcBorders>
          </w:tcPr>
          <w:p w14:paraId="412B4C6B" w14:textId="77777777" w:rsidR="00A5079F" w:rsidRPr="00F03354" w:rsidRDefault="00A5079F" w:rsidP="0088177F">
            <w:pPr>
              <w:spacing w:after="120" w:line="270" w:lineRule="atLeast"/>
              <w:rPr>
                <w:rFonts w:ascii="VIC" w:eastAsia="Times" w:hAnsi="VIC" w:cs="Times New Roman"/>
                <w:sz w:val="20"/>
                <w:szCs w:val="20"/>
              </w:rPr>
            </w:pPr>
          </w:p>
        </w:tc>
        <w:tc>
          <w:tcPr>
            <w:tcW w:w="3827" w:type="dxa"/>
            <w:tcBorders>
              <w:top w:val="single" w:sz="4" w:space="0" w:color="201547"/>
              <w:left w:val="single" w:sz="4" w:space="0" w:color="201547"/>
              <w:bottom w:val="single" w:sz="4" w:space="0" w:color="201547"/>
              <w:right w:val="single" w:sz="4" w:space="0" w:color="201547"/>
            </w:tcBorders>
          </w:tcPr>
          <w:p w14:paraId="351F7C9D" w14:textId="77777777" w:rsidR="00A5079F" w:rsidRPr="00F03354" w:rsidRDefault="00A5079F" w:rsidP="0088177F">
            <w:pPr>
              <w:spacing w:after="120" w:line="270" w:lineRule="atLeast"/>
              <w:rPr>
                <w:rFonts w:ascii="VIC" w:eastAsia="Times" w:hAnsi="VIC" w:cs="Times New Roman"/>
                <w:sz w:val="20"/>
                <w:szCs w:val="20"/>
              </w:rPr>
            </w:pPr>
            <w:r w:rsidRPr="00F03354">
              <w:rPr>
                <w:rFonts w:ascii="VIC" w:eastAsia="Times" w:hAnsi="VIC" w:cs="Times New Roman"/>
                <w:sz w:val="20"/>
                <w:szCs w:val="20"/>
              </w:rPr>
              <w:t xml:space="preserve">Below 25% </w:t>
            </w:r>
          </w:p>
        </w:tc>
        <w:tc>
          <w:tcPr>
            <w:tcW w:w="2886" w:type="dxa"/>
            <w:tcBorders>
              <w:top w:val="single" w:sz="4" w:space="0" w:color="201547"/>
              <w:left w:val="single" w:sz="4" w:space="0" w:color="201547"/>
              <w:bottom w:val="single" w:sz="4" w:space="0" w:color="201547"/>
              <w:right w:val="single" w:sz="4" w:space="0" w:color="201547"/>
            </w:tcBorders>
          </w:tcPr>
          <w:p w14:paraId="13FC616A" w14:textId="77777777" w:rsidR="00A5079F" w:rsidRPr="00F03354" w:rsidRDefault="00A5079F" w:rsidP="0088177F">
            <w:pPr>
              <w:spacing w:after="120" w:line="270" w:lineRule="atLeast"/>
              <w:rPr>
                <w:rFonts w:ascii="VIC" w:eastAsia="Times" w:hAnsi="VIC" w:cs="Times New Roman"/>
                <w:sz w:val="20"/>
                <w:szCs w:val="20"/>
              </w:rPr>
            </w:pPr>
            <w:r w:rsidRPr="00F03354">
              <w:rPr>
                <w:rFonts w:ascii="VIC" w:eastAsia="Times" w:hAnsi="VIC" w:cs="Times New Roman"/>
                <w:sz w:val="20"/>
                <w:szCs w:val="20"/>
              </w:rPr>
              <w:t>Not achieved</w:t>
            </w:r>
          </w:p>
        </w:tc>
      </w:tr>
    </w:tbl>
    <w:p w14:paraId="56EFB543" w14:textId="77777777" w:rsidR="00A5079F" w:rsidRPr="00F03354" w:rsidRDefault="00A5079F" w:rsidP="00280F65">
      <w:pPr>
        <w:spacing w:after="120" w:line="270" w:lineRule="atLeast"/>
        <w:rPr>
          <w:rFonts w:ascii="VIC" w:eastAsia="Times" w:hAnsi="VIC" w:cs="Times New Roman"/>
          <w:sz w:val="20"/>
          <w:szCs w:val="20"/>
        </w:rPr>
      </w:pPr>
    </w:p>
    <w:p w14:paraId="3C89BE51" w14:textId="7E4FD01C"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br w:type="page"/>
      </w:r>
    </w:p>
    <w:p w14:paraId="0B57091D"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28" w:name="_Toc517959136"/>
      <w:bookmarkStart w:id="29" w:name="_Toc10123553"/>
      <w:r w:rsidRPr="00F03354">
        <w:rPr>
          <w:rFonts w:ascii="VIC" w:eastAsia="MS Mincho" w:hAnsi="VIC" w:cs="Arial"/>
          <w:b/>
          <w:bCs/>
          <w:sz w:val="20"/>
          <w:szCs w:val="20"/>
        </w:rPr>
        <w:lastRenderedPageBreak/>
        <w:t>Ambulance services</w:t>
      </w:r>
      <w:bookmarkEnd w:id="28"/>
      <w:bookmarkEnd w:id="29"/>
    </w:p>
    <w:tbl>
      <w:tblPr>
        <w:tblStyle w:val="TableGrid4"/>
        <w:tblW w:w="10235" w:type="dxa"/>
        <w:tblLook w:val="04A0" w:firstRow="1" w:lastRow="0" w:firstColumn="1" w:lastColumn="0" w:noHBand="0" w:noVBand="1"/>
      </w:tblPr>
      <w:tblGrid>
        <w:gridCol w:w="2561"/>
        <w:gridCol w:w="7674"/>
      </w:tblGrid>
      <w:tr w:rsidR="00280F65" w:rsidRPr="00F03354" w14:paraId="6BB9DBBE" w14:textId="77777777" w:rsidTr="46FF7D65">
        <w:tc>
          <w:tcPr>
            <w:tcW w:w="2561" w:type="dxa"/>
            <w:shd w:val="clear" w:color="auto" w:fill="244C5A"/>
          </w:tcPr>
          <w:p w14:paraId="25054F4A" w14:textId="77777777" w:rsidR="00280F65" w:rsidRPr="00F03354" w:rsidRDefault="00280F65" w:rsidP="00280F65">
            <w:pPr>
              <w:spacing w:after="120" w:line="270" w:lineRule="atLeast"/>
              <w:rPr>
                <w:rFonts w:ascii="VIC" w:eastAsia="Times" w:hAnsi="VIC"/>
                <w:color w:val="FFFFFF" w:themeColor="background1"/>
              </w:rPr>
            </w:pPr>
            <w:r w:rsidRPr="00F03354">
              <w:rPr>
                <w:rFonts w:ascii="VIC" w:eastAsia="Times" w:hAnsi="VIC"/>
                <w:color w:val="FFFFFF" w:themeColor="background1"/>
              </w:rPr>
              <w:t>Element</w:t>
            </w:r>
          </w:p>
        </w:tc>
        <w:tc>
          <w:tcPr>
            <w:tcW w:w="7674" w:type="dxa"/>
            <w:shd w:val="clear" w:color="auto" w:fill="244C5A"/>
          </w:tcPr>
          <w:p w14:paraId="57BF94BC" w14:textId="77777777" w:rsidR="00280F65" w:rsidRPr="00F03354" w:rsidRDefault="00280F65" w:rsidP="00280F65">
            <w:pPr>
              <w:spacing w:after="120" w:line="270" w:lineRule="atLeast"/>
              <w:rPr>
                <w:rFonts w:ascii="VIC" w:eastAsia="Times" w:hAnsi="VIC"/>
                <w:color w:val="FFFFFF" w:themeColor="background1"/>
              </w:rPr>
            </w:pPr>
            <w:r w:rsidRPr="00F03354">
              <w:rPr>
                <w:rFonts w:ascii="VIC" w:eastAsia="Times" w:hAnsi="VIC"/>
                <w:color w:val="FFFFFF" w:themeColor="background1"/>
              </w:rPr>
              <w:t>Details</w:t>
            </w:r>
          </w:p>
        </w:tc>
      </w:tr>
      <w:tr w:rsidR="00280F65" w:rsidRPr="00F03354" w14:paraId="5CA305CE" w14:textId="77777777" w:rsidTr="46FF7D65">
        <w:tc>
          <w:tcPr>
            <w:tcW w:w="2561" w:type="dxa"/>
          </w:tcPr>
          <w:p w14:paraId="542FF3FF" w14:textId="77777777" w:rsidR="00280F65" w:rsidRPr="00F03354" w:rsidRDefault="00280F65" w:rsidP="00280F65">
            <w:pPr>
              <w:spacing w:after="120" w:line="270" w:lineRule="atLeast"/>
              <w:rPr>
                <w:rFonts w:ascii="VIC" w:eastAsia="Times" w:hAnsi="VIC"/>
              </w:rPr>
            </w:pPr>
            <w:r w:rsidRPr="00F03354">
              <w:rPr>
                <w:rFonts w:ascii="VIC" w:eastAsia="Times" w:hAnsi="VIC"/>
              </w:rPr>
              <w:t>Description</w:t>
            </w:r>
          </w:p>
        </w:tc>
        <w:tc>
          <w:tcPr>
            <w:tcW w:w="7674" w:type="dxa"/>
          </w:tcPr>
          <w:p w14:paraId="4EB04DBC" w14:textId="49F7F9C0" w:rsidR="00280F65" w:rsidRPr="00F03354" w:rsidRDefault="00AE4FE8" w:rsidP="00280F65">
            <w:pPr>
              <w:spacing w:after="120" w:line="270" w:lineRule="atLeast"/>
              <w:rPr>
                <w:rFonts w:ascii="VIC" w:eastAsia="Times" w:hAnsi="VIC"/>
              </w:rPr>
            </w:pPr>
            <w:r w:rsidRPr="00F03354">
              <w:rPr>
                <w:rFonts w:ascii="VIC" w:eastAsia="Times" w:hAnsi="VIC"/>
              </w:rPr>
              <w:t>The VHES Ambulance Emergency questionnaire seeks to discover the experience of people who were treated and transported by an emergency ambulance, treated at the scene by an ambulance service however, not transported, or received advice over the phone from a referral service after calling Triple Zero (000), as well as those who receive a non-emergency transport service</w:t>
            </w:r>
            <w:r w:rsidR="00B224CD" w:rsidRPr="00F03354">
              <w:rPr>
                <w:rFonts w:ascii="VIC" w:eastAsia="Times" w:hAnsi="VIC"/>
              </w:rPr>
              <w:t>.</w:t>
            </w:r>
          </w:p>
        </w:tc>
      </w:tr>
      <w:tr w:rsidR="00E103BF" w:rsidRPr="00F03354" w14:paraId="123FB52D" w14:textId="77777777" w:rsidTr="46FF7D65">
        <w:tc>
          <w:tcPr>
            <w:tcW w:w="2561" w:type="dxa"/>
          </w:tcPr>
          <w:p w14:paraId="752287E0" w14:textId="7607C6CF" w:rsidR="00E103BF" w:rsidRPr="00F03354" w:rsidRDefault="00E103BF" w:rsidP="00E103BF">
            <w:pPr>
              <w:spacing w:after="120" w:line="270" w:lineRule="atLeast"/>
              <w:rPr>
                <w:rFonts w:ascii="VIC" w:eastAsia="Times" w:hAnsi="VIC"/>
              </w:rPr>
            </w:pPr>
            <w:r w:rsidRPr="00F03354">
              <w:rPr>
                <w:rFonts w:ascii="VIC" w:eastAsia="Times" w:hAnsi="VIC"/>
              </w:rPr>
              <w:t>Calculating performance</w:t>
            </w:r>
          </w:p>
        </w:tc>
        <w:tc>
          <w:tcPr>
            <w:tcW w:w="7674" w:type="dxa"/>
          </w:tcPr>
          <w:p w14:paraId="3FDED93B" w14:textId="77777777" w:rsidR="00E103BF" w:rsidRPr="00F03354" w:rsidRDefault="00E103BF" w:rsidP="00E103BF">
            <w:pPr>
              <w:spacing w:after="120" w:line="270" w:lineRule="atLeast"/>
              <w:rPr>
                <w:rFonts w:ascii="VIC" w:eastAsia="Times" w:hAnsi="VIC"/>
              </w:rPr>
            </w:pPr>
            <w:r w:rsidRPr="00F03354">
              <w:rPr>
                <w:rFonts w:ascii="VIC" w:eastAsia="Times" w:hAnsi="VIC"/>
              </w:rPr>
              <w:t xml:space="preserve">Indicators are measured at the organisation level and mandatory participation is based on Ambulance Victoria providing timely patient data to the contractor to enable surveying. </w:t>
            </w:r>
          </w:p>
          <w:p w14:paraId="634070FE" w14:textId="0388826C" w:rsidR="00E103BF" w:rsidRPr="00F03354" w:rsidRDefault="00E103BF" w:rsidP="00E103BF">
            <w:pPr>
              <w:spacing w:after="120" w:line="270" w:lineRule="atLeast"/>
              <w:rPr>
                <w:rFonts w:ascii="VIC" w:eastAsia="Times" w:hAnsi="VIC"/>
              </w:rPr>
            </w:pPr>
            <w:r w:rsidRPr="00F03354">
              <w:rPr>
                <w:rFonts w:ascii="VIC" w:eastAsia="Times" w:hAnsi="VIC"/>
              </w:rPr>
              <w:t xml:space="preserve">There is no minimum sample size for any VHES categories. The sample size will be stratified by region so the survey sample is representative of patient population, </w:t>
            </w:r>
            <w:r w:rsidR="0018142B" w:rsidRPr="00F03354">
              <w:rPr>
                <w:rFonts w:ascii="VIC" w:eastAsia="Times" w:hAnsi="VIC"/>
              </w:rPr>
              <w:t>if</w:t>
            </w:r>
            <w:r w:rsidRPr="00F03354">
              <w:rPr>
                <w:rFonts w:ascii="VIC" w:eastAsia="Times" w:hAnsi="VIC"/>
              </w:rPr>
              <w:t xml:space="preserve"> necessary, smaller regions will be oversampled to ensure each region receives the minimum number of survey complete</w:t>
            </w:r>
            <w:r w:rsidR="00A430E5" w:rsidRPr="00F03354">
              <w:rPr>
                <w:rFonts w:ascii="VIC" w:eastAsia="Times" w:hAnsi="VIC"/>
              </w:rPr>
              <w:t>d</w:t>
            </w:r>
            <w:r w:rsidRPr="00F03354">
              <w:rPr>
                <w:rFonts w:ascii="VIC" w:eastAsia="Times" w:hAnsi="VIC"/>
              </w:rPr>
              <w:t xml:space="preserve"> to receive a report in the VHES results portal (n=10).</w:t>
            </w:r>
          </w:p>
          <w:p w14:paraId="1CBC2EE4" w14:textId="77777777" w:rsidR="00E103BF" w:rsidRPr="00F03354" w:rsidRDefault="00E103BF" w:rsidP="00E103BF">
            <w:pPr>
              <w:spacing w:after="120" w:line="270" w:lineRule="atLeast"/>
              <w:rPr>
                <w:rFonts w:ascii="VIC" w:eastAsia="Times" w:hAnsi="VIC"/>
              </w:rPr>
            </w:pPr>
            <w:r w:rsidRPr="00F03354">
              <w:rPr>
                <w:rFonts w:ascii="VIC" w:eastAsia="Times" w:hAnsi="VIC"/>
              </w:rPr>
              <w:t xml:space="preserve">Exclude where there is a ‘nil’ or ‘don’t know’ response. </w:t>
            </w:r>
          </w:p>
          <w:p w14:paraId="7A5F9161" w14:textId="77777777" w:rsidR="00E103BF" w:rsidRPr="00F03354" w:rsidRDefault="00E103BF" w:rsidP="00E103BF">
            <w:pPr>
              <w:spacing w:after="120" w:line="270" w:lineRule="atLeast"/>
              <w:rPr>
                <w:rFonts w:ascii="VIC" w:eastAsia="Times" w:hAnsi="VIC"/>
              </w:rPr>
            </w:pPr>
            <w:r w:rsidRPr="00F03354">
              <w:rPr>
                <w:rFonts w:ascii="VIC" w:eastAsia="Times" w:hAnsi="VIC"/>
              </w:rPr>
              <w:t xml:space="preserve">Where data is not submitted in time, the measure is deemed not met. </w:t>
            </w:r>
          </w:p>
          <w:p w14:paraId="6908D0D0" w14:textId="3F592B0D" w:rsidR="00E103BF" w:rsidRPr="00F03354" w:rsidRDefault="00E103BF" w:rsidP="00E103BF">
            <w:pPr>
              <w:spacing w:after="120" w:line="270" w:lineRule="atLeast"/>
              <w:rPr>
                <w:rFonts w:ascii="VIC" w:eastAsia="Times" w:hAnsi="VIC"/>
              </w:rPr>
            </w:pPr>
            <w:r w:rsidRPr="00F03354">
              <w:rPr>
                <w:rFonts w:ascii="VIC" w:eastAsia="Times" w:hAnsi="VIC"/>
              </w:rPr>
              <w:t xml:space="preserve">The ‘experience score’ is calculated by the survey contractor, from the respective survey, based on the positive response(s) to the identified questions from the VHES suite of information. </w:t>
            </w:r>
          </w:p>
        </w:tc>
      </w:tr>
      <w:tr w:rsidR="00E103BF" w:rsidRPr="00F03354" w14:paraId="1E1E6D3F" w14:textId="77777777" w:rsidTr="46FF7D65">
        <w:tc>
          <w:tcPr>
            <w:tcW w:w="2561" w:type="dxa"/>
          </w:tcPr>
          <w:p w14:paraId="31162B42" w14:textId="77777777" w:rsidR="00E103BF" w:rsidRPr="00F03354" w:rsidRDefault="00E103BF" w:rsidP="00E103BF">
            <w:pPr>
              <w:spacing w:after="120" w:line="270" w:lineRule="atLeast"/>
              <w:rPr>
                <w:rFonts w:ascii="VIC" w:eastAsia="Times" w:hAnsi="VIC"/>
              </w:rPr>
            </w:pPr>
            <w:r w:rsidRPr="00F03354">
              <w:rPr>
                <w:rFonts w:ascii="VIC" w:eastAsia="Times" w:hAnsi="VIC"/>
              </w:rPr>
              <w:t>Frequency of reporting and data collection</w:t>
            </w:r>
          </w:p>
        </w:tc>
        <w:tc>
          <w:tcPr>
            <w:tcW w:w="7674" w:type="dxa"/>
          </w:tcPr>
          <w:p w14:paraId="7AA940C0" w14:textId="59A8E0E8" w:rsidR="748D8088" w:rsidRPr="00F03354" w:rsidRDefault="748D8088" w:rsidP="74819A9C">
            <w:pPr>
              <w:rPr>
                <w:rFonts w:ascii="VIC" w:eastAsia="VIC" w:hAnsi="VIC" w:cs="VIC"/>
                <w:color w:val="201F1E"/>
              </w:rPr>
            </w:pPr>
            <w:r w:rsidRPr="00F03354">
              <w:rPr>
                <w:rFonts w:ascii="VIC" w:eastAsia="VIC" w:hAnsi="VIC" w:cs="VIC"/>
                <w:color w:val="201F1E"/>
              </w:rPr>
              <w:t>Ambulance Victoria is required to submit to the contractor the details of eligible patients who interacted with Ambulance Victoria, during the two data collection periods, as follows:</w:t>
            </w:r>
          </w:p>
          <w:p w14:paraId="79763D98" w14:textId="1444E856" w:rsidR="748D8088" w:rsidRPr="00F03354" w:rsidRDefault="748D8088" w:rsidP="74819A9C">
            <w:pPr>
              <w:pStyle w:val="ListParagraph"/>
              <w:numPr>
                <w:ilvl w:val="0"/>
                <w:numId w:val="43"/>
              </w:numPr>
              <w:rPr>
                <w:rFonts w:ascii="VIC" w:eastAsia="VIC" w:hAnsi="VIC" w:cs="VIC"/>
                <w:color w:val="201F1E"/>
              </w:rPr>
            </w:pPr>
            <w:r w:rsidRPr="00F03354">
              <w:rPr>
                <w:rFonts w:ascii="VIC" w:eastAsia="VIC" w:hAnsi="VIC" w:cs="VIC"/>
                <w:color w:val="201F1E"/>
              </w:rPr>
              <w:t>For eligible patients who interacted with Ambulance Victoria in February and March, data to be submitted by 16th of April and 16th May, respectively.</w:t>
            </w:r>
          </w:p>
          <w:p w14:paraId="463B010D" w14:textId="63373981" w:rsidR="748D8088" w:rsidRPr="00F03354" w:rsidRDefault="748D8088" w:rsidP="74819A9C">
            <w:pPr>
              <w:pStyle w:val="ListParagraph"/>
              <w:numPr>
                <w:ilvl w:val="0"/>
                <w:numId w:val="43"/>
              </w:numPr>
              <w:rPr>
                <w:rFonts w:ascii="VIC" w:eastAsia="VIC" w:hAnsi="VIC" w:cs="VIC"/>
                <w:color w:val="201F1E"/>
              </w:rPr>
            </w:pPr>
            <w:r w:rsidRPr="00F03354">
              <w:rPr>
                <w:rFonts w:ascii="VIC" w:eastAsia="VIC" w:hAnsi="VIC" w:cs="VIC"/>
                <w:color w:val="201F1E"/>
              </w:rPr>
              <w:t>For eligible patients who interacted with Ambulance Victoria in July and August, data to be submitted by 16th of September and 16th October, respectively.</w:t>
            </w:r>
          </w:p>
          <w:p w14:paraId="0B6B1AE7" w14:textId="399E0D46" w:rsidR="74819A9C" w:rsidRPr="00F03354" w:rsidRDefault="74819A9C" w:rsidP="74819A9C">
            <w:pPr>
              <w:rPr>
                <w:rFonts w:ascii="Calibri" w:eastAsia="Calibri" w:hAnsi="Calibri" w:cs="Calibri"/>
                <w:color w:val="201F1E"/>
                <w:sz w:val="22"/>
                <w:szCs w:val="22"/>
              </w:rPr>
            </w:pPr>
          </w:p>
          <w:p w14:paraId="4C6D7496" w14:textId="5625AFE9" w:rsidR="00E103BF" w:rsidRPr="00F03354" w:rsidRDefault="56CE8A95" w:rsidP="00D629C7">
            <w:pPr>
              <w:spacing w:after="120" w:line="270" w:lineRule="atLeast"/>
              <w:rPr>
                <w:rFonts w:ascii="VIC" w:eastAsia="Times" w:hAnsi="VIC"/>
              </w:rPr>
            </w:pPr>
            <w:r w:rsidRPr="00F03354">
              <w:rPr>
                <w:rFonts w:ascii="VIC" w:eastAsia="Times" w:hAnsi="VIC"/>
              </w:rPr>
              <w:t>Results from individual collections</w:t>
            </w:r>
            <w:r w:rsidR="00D629C7" w:rsidRPr="00F03354">
              <w:rPr>
                <w:rFonts w:ascii="VIC" w:eastAsia="Times" w:hAnsi="VIC"/>
              </w:rPr>
              <w:t xml:space="preserve"> </w:t>
            </w:r>
            <w:r w:rsidR="62A8DA67" w:rsidRPr="00F03354">
              <w:rPr>
                <w:rFonts w:ascii="VIC" w:eastAsia="Times" w:hAnsi="VIC"/>
              </w:rPr>
              <w:t>are</w:t>
            </w:r>
            <w:r w:rsidR="00D629C7" w:rsidRPr="00F03354">
              <w:rPr>
                <w:rFonts w:ascii="VIC" w:eastAsia="Times" w:hAnsi="VIC"/>
              </w:rPr>
              <w:t xml:space="preserve"> reported </w:t>
            </w:r>
            <w:r w:rsidR="7E51770A" w:rsidRPr="00F03354">
              <w:rPr>
                <w:rFonts w:ascii="VIC" w:eastAsia="Times" w:hAnsi="VIC"/>
              </w:rPr>
              <w:t>in Q2 and Q4</w:t>
            </w:r>
            <w:r w:rsidR="777C17FC" w:rsidRPr="00F03354">
              <w:rPr>
                <w:rFonts w:ascii="VIC" w:eastAsia="Times" w:hAnsi="VIC"/>
              </w:rPr>
              <w:t xml:space="preserve"> respectively</w:t>
            </w:r>
            <w:r w:rsidR="7E51770A" w:rsidRPr="00F03354">
              <w:rPr>
                <w:rFonts w:ascii="VIC" w:eastAsia="Times" w:hAnsi="VIC"/>
              </w:rPr>
              <w:t>, and a combined result is reported Annually.</w:t>
            </w:r>
          </w:p>
        </w:tc>
      </w:tr>
      <w:tr w:rsidR="00E103BF" w:rsidRPr="00F03354" w14:paraId="7CB89F3F" w14:textId="77777777" w:rsidTr="46FF7D65">
        <w:tc>
          <w:tcPr>
            <w:tcW w:w="2561" w:type="dxa"/>
          </w:tcPr>
          <w:p w14:paraId="1051B9B2" w14:textId="77777777" w:rsidR="00E103BF" w:rsidRPr="00F03354" w:rsidRDefault="00E103BF" w:rsidP="00E103BF">
            <w:pPr>
              <w:spacing w:after="120" w:line="270" w:lineRule="atLeast"/>
              <w:rPr>
                <w:rFonts w:ascii="VIC" w:eastAsia="Times" w:hAnsi="VIC"/>
              </w:rPr>
            </w:pPr>
            <w:r w:rsidRPr="00F03354">
              <w:rPr>
                <w:rFonts w:ascii="VIC" w:eastAsia="Times" w:hAnsi="VIC"/>
              </w:rPr>
              <w:t>Improvement</w:t>
            </w:r>
          </w:p>
        </w:tc>
        <w:tc>
          <w:tcPr>
            <w:tcW w:w="7674" w:type="dxa"/>
          </w:tcPr>
          <w:p w14:paraId="2A4D90CC" w14:textId="77777777" w:rsidR="00E103BF" w:rsidRPr="00F03354" w:rsidRDefault="00E103BF" w:rsidP="00E103BF">
            <w:pPr>
              <w:spacing w:after="120" w:line="270" w:lineRule="atLeast"/>
              <w:rPr>
                <w:rFonts w:ascii="VIC" w:eastAsia="Times" w:hAnsi="VIC"/>
              </w:rPr>
            </w:pPr>
            <w:r w:rsidRPr="00F03354">
              <w:rPr>
                <w:rFonts w:ascii="VIC" w:eastAsia="Times" w:hAnsi="VIC"/>
              </w:rPr>
              <w:t>For the purpose of the performance risk assessment improvement is assessed against the previous performance</w:t>
            </w:r>
          </w:p>
        </w:tc>
      </w:tr>
    </w:tbl>
    <w:p w14:paraId="51C23C7B" w14:textId="77777777" w:rsidR="00280F65" w:rsidRPr="00F03354" w:rsidRDefault="00280F65" w:rsidP="00280F65">
      <w:pPr>
        <w:spacing w:after="120" w:line="270" w:lineRule="atLeast"/>
        <w:rPr>
          <w:rFonts w:ascii="VIC" w:eastAsia="Times" w:hAnsi="VIC" w:cs="Times New Roman"/>
          <w:b/>
          <w:bCs/>
          <w:sz w:val="20"/>
          <w:szCs w:val="20"/>
        </w:rPr>
      </w:pPr>
    </w:p>
    <w:tbl>
      <w:tblPr>
        <w:tblStyle w:val="TableGrid4"/>
        <w:tblW w:w="10235" w:type="dxa"/>
        <w:tblLook w:val="04A0" w:firstRow="1" w:lastRow="0" w:firstColumn="1" w:lastColumn="0" w:noHBand="0" w:noVBand="1"/>
      </w:tblPr>
      <w:tblGrid>
        <w:gridCol w:w="2581"/>
        <w:gridCol w:w="5103"/>
        <w:gridCol w:w="2551"/>
      </w:tblGrid>
      <w:tr w:rsidR="00280F65" w:rsidRPr="00F03354" w14:paraId="0A48B8A7" w14:textId="77777777" w:rsidTr="0035264A">
        <w:tc>
          <w:tcPr>
            <w:tcW w:w="2581" w:type="dxa"/>
            <w:shd w:val="clear" w:color="auto" w:fill="244C5A"/>
          </w:tcPr>
          <w:p w14:paraId="2397199F" w14:textId="77777777" w:rsidR="00280F65" w:rsidRPr="00F03354" w:rsidRDefault="00280F65" w:rsidP="00280F65">
            <w:pPr>
              <w:spacing w:after="120" w:line="270" w:lineRule="atLeast"/>
              <w:rPr>
                <w:rFonts w:ascii="VIC" w:eastAsia="Times" w:hAnsi="VIC"/>
                <w:b/>
                <w:bCs/>
                <w:color w:val="FFFFFF" w:themeColor="background1"/>
              </w:rPr>
            </w:pPr>
            <w:r w:rsidRPr="00F03354">
              <w:rPr>
                <w:rFonts w:ascii="VIC" w:eastAsia="Times" w:hAnsi="VIC"/>
                <w:color w:val="FFFFFF" w:themeColor="background1"/>
              </w:rPr>
              <w:t>Indicator</w:t>
            </w:r>
          </w:p>
        </w:tc>
        <w:tc>
          <w:tcPr>
            <w:tcW w:w="7654" w:type="dxa"/>
            <w:gridSpan w:val="2"/>
            <w:shd w:val="clear" w:color="auto" w:fill="244C5A"/>
          </w:tcPr>
          <w:p w14:paraId="76BEA18E" w14:textId="77777777" w:rsidR="00280F65" w:rsidRPr="00F03354" w:rsidRDefault="00280F65" w:rsidP="00280F65">
            <w:pPr>
              <w:spacing w:after="120" w:line="270" w:lineRule="atLeast"/>
              <w:rPr>
                <w:rFonts w:ascii="VIC" w:eastAsia="Times" w:hAnsi="VIC"/>
                <w:b/>
                <w:bCs/>
                <w:color w:val="FFFFFF" w:themeColor="background1"/>
              </w:rPr>
            </w:pPr>
            <w:r w:rsidRPr="00F03354">
              <w:rPr>
                <w:rFonts w:ascii="VIC" w:eastAsia="Times" w:hAnsi="VIC"/>
                <w:color w:val="FFFFFF" w:themeColor="background1"/>
              </w:rPr>
              <w:t>Percentage of respondents who rated care and treatment received from paramedics as good or very good</w:t>
            </w:r>
          </w:p>
        </w:tc>
      </w:tr>
      <w:tr w:rsidR="00280F65" w:rsidRPr="00F03354" w14:paraId="65D08C96" w14:textId="77777777" w:rsidTr="0035264A">
        <w:tc>
          <w:tcPr>
            <w:tcW w:w="2581" w:type="dxa"/>
          </w:tcPr>
          <w:p w14:paraId="22E0A015" w14:textId="77777777" w:rsidR="00280F65" w:rsidRPr="00F03354" w:rsidRDefault="00280F65" w:rsidP="00280F65">
            <w:pPr>
              <w:spacing w:after="120" w:line="270" w:lineRule="atLeast"/>
              <w:rPr>
                <w:rFonts w:ascii="VIC" w:eastAsia="Times" w:hAnsi="VIC"/>
                <w:b/>
                <w:bCs/>
              </w:rPr>
            </w:pPr>
            <w:r w:rsidRPr="00F03354">
              <w:rPr>
                <w:rFonts w:ascii="VIC" w:eastAsia="Times" w:hAnsi="VIC"/>
              </w:rPr>
              <w:t>Description</w:t>
            </w:r>
          </w:p>
        </w:tc>
        <w:tc>
          <w:tcPr>
            <w:tcW w:w="7654" w:type="dxa"/>
            <w:gridSpan w:val="2"/>
          </w:tcPr>
          <w:p w14:paraId="1E6A0F10" w14:textId="04D31761" w:rsidR="00280F65" w:rsidRPr="00F03354" w:rsidRDefault="00F537B7" w:rsidP="00280F65">
            <w:pPr>
              <w:spacing w:after="120" w:line="270" w:lineRule="atLeast"/>
              <w:rPr>
                <w:rFonts w:ascii="VIC" w:eastAsia="Times" w:hAnsi="VIC"/>
              </w:rPr>
            </w:pPr>
            <w:r w:rsidRPr="00F03354">
              <w:rPr>
                <w:rFonts w:ascii="VIC" w:eastAsia="Times" w:hAnsi="VIC"/>
              </w:rPr>
              <w:t>This indicator measures the results of the ‘very good’ and ‘good’ response to the ambulance VHES survey question relating to ‘overall experience’</w:t>
            </w:r>
          </w:p>
        </w:tc>
      </w:tr>
      <w:tr w:rsidR="00280F65" w:rsidRPr="00F03354" w14:paraId="670909DB" w14:textId="77777777" w:rsidTr="0035264A">
        <w:tc>
          <w:tcPr>
            <w:tcW w:w="2581" w:type="dxa"/>
          </w:tcPr>
          <w:p w14:paraId="0CAE440A" w14:textId="77777777" w:rsidR="00280F65" w:rsidRPr="00F03354" w:rsidRDefault="00280F65" w:rsidP="00280F65">
            <w:pPr>
              <w:spacing w:after="120" w:line="270" w:lineRule="atLeast"/>
              <w:rPr>
                <w:rFonts w:ascii="VIC" w:eastAsia="Times" w:hAnsi="VIC"/>
              </w:rPr>
            </w:pPr>
            <w:r w:rsidRPr="00F03354">
              <w:rPr>
                <w:rFonts w:ascii="VIC" w:eastAsia="Times" w:hAnsi="VIC"/>
              </w:rPr>
              <w:t>Numerator</w:t>
            </w:r>
          </w:p>
        </w:tc>
        <w:tc>
          <w:tcPr>
            <w:tcW w:w="7654" w:type="dxa"/>
            <w:gridSpan w:val="2"/>
          </w:tcPr>
          <w:p w14:paraId="1474FC8B" w14:textId="177A32F7" w:rsidR="00280F65" w:rsidRPr="00F03354" w:rsidRDefault="00A16E65" w:rsidP="00280F65">
            <w:pPr>
              <w:spacing w:after="120" w:line="270" w:lineRule="atLeast"/>
              <w:rPr>
                <w:rFonts w:ascii="VIC" w:eastAsia="Times" w:hAnsi="VIC"/>
              </w:rPr>
            </w:pPr>
            <w:r w:rsidRPr="00F03354">
              <w:rPr>
                <w:rFonts w:ascii="VIC" w:eastAsia="Times" w:hAnsi="VIC"/>
              </w:rPr>
              <w:t>Weighted sum of ‘very good’ and ‘good’ responses to the question: ‘Overall, how would you rate the care and treatment you received from paramedics?’.</w:t>
            </w:r>
          </w:p>
        </w:tc>
      </w:tr>
      <w:tr w:rsidR="00137005" w:rsidRPr="00F03354" w14:paraId="55F1DC17" w14:textId="77777777" w:rsidTr="0035264A">
        <w:tc>
          <w:tcPr>
            <w:tcW w:w="2581" w:type="dxa"/>
          </w:tcPr>
          <w:p w14:paraId="60CBFA96" w14:textId="77777777" w:rsidR="00137005" w:rsidRPr="00F03354" w:rsidRDefault="00137005" w:rsidP="00137005">
            <w:pPr>
              <w:spacing w:after="120" w:line="270" w:lineRule="atLeast"/>
              <w:rPr>
                <w:rFonts w:ascii="VIC" w:eastAsia="Times" w:hAnsi="VIC"/>
              </w:rPr>
            </w:pPr>
            <w:r w:rsidRPr="00F03354">
              <w:rPr>
                <w:rFonts w:ascii="VIC" w:eastAsia="Times" w:hAnsi="VIC"/>
              </w:rPr>
              <w:t>Denominator</w:t>
            </w:r>
          </w:p>
        </w:tc>
        <w:tc>
          <w:tcPr>
            <w:tcW w:w="7654" w:type="dxa"/>
            <w:gridSpan w:val="2"/>
          </w:tcPr>
          <w:p w14:paraId="0C593924" w14:textId="53BBC24F" w:rsidR="00137005" w:rsidRPr="00F03354" w:rsidRDefault="00137005" w:rsidP="00137005">
            <w:pPr>
              <w:spacing w:after="120" w:line="270" w:lineRule="atLeast"/>
              <w:rPr>
                <w:rFonts w:ascii="VIC" w:eastAsia="Times" w:hAnsi="VIC"/>
              </w:rPr>
            </w:pPr>
            <w:r w:rsidRPr="00F03354">
              <w:rPr>
                <w:rFonts w:ascii="VIC" w:eastAsia="Times" w:hAnsi="VIC"/>
              </w:rPr>
              <w:t xml:space="preserve">Weighted sum of valid responses to the question: ‘Overall, how would you rate the care and treatment you received from paramedics?’. </w:t>
            </w:r>
          </w:p>
        </w:tc>
      </w:tr>
      <w:tr w:rsidR="00280F65" w:rsidRPr="00F03354" w14:paraId="005BF6B7" w14:textId="77777777" w:rsidTr="0035264A">
        <w:tc>
          <w:tcPr>
            <w:tcW w:w="2581" w:type="dxa"/>
          </w:tcPr>
          <w:p w14:paraId="3A95392B" w14:textId="77777777" w:rsidR="00280F65" w:rsidRPr="00F03354" w:rsidRDefault="00280F65" w:rsidP="00280F65">
            <w:pPr>
              <w:spacing w:after="120" w:line="270" w:lineRule="atLeast"/>
              <w:rPr>
                <w:rFonts w:ascii="VIC" w:eastAsia="Times" w:hAnsi="VIC"/>
                <w:b/>
                <w:bCs/>
              </w:rPr>
            </w:pPr>
            <w:r w:rsidRPr="00F03354">
              <w:rPr>
                <w:rFonts w:ascii="VIC" w:eastAsia="Times" w:hAnsi="VIC"/>
              </w:rPr>
              <w:t>Statewide target</w:t>
            </w:r>
          </w:p>
        </w:tc>
        <w:tc>
          <w:tcPr>
            <w:tcW w:w="7654" w:type="dxa"/>
            <w:gridSpan w:val="2"/>
          </w:tcPr>
          <w:p w14:paraId="09BF0629" w14:textId="77777777" w:rsidR="00280F65" w:rsidRPr="00F03354" w:rsidRDefault="00280F65" w:rsidP="00280F65">
            <w:pPr>
              <w:spacing w:after="120" w:line="270" w:lineRule="atLeast"/>
              <w:rPr>
                <w:rFonts w:ascii="VIC" w:eastAsia="Times" w:hAnsi="VIC"/>
                <w:b/>
                <w:bCs/>
              </w:rPr>
            </w:pPr>
            <w:r w:rsidRPr="00F03354">
              <w:rPr>
                <w:rFonts w:ascii="VIC" w:eastAsia="Times" w:hAnsi="VIC"/>
              </w:rPr>
              <w:t>Score equal to or above 95%</w:t>
            </w:r>
          </w:p>
        </w:tc>
      </w:tr>
      <w:tr w:rsidR="00280F65" w:rsidRPr="00F03354" w14:paraId="6E3DCE4E" w14:textId="77777777" w:rsidTr="0035264A">
        <w:trPr>
          <w:trHeight w:val="195"/>
        </w:trPr>
        <w:tc>
          <w:tcPr>
            <w:tcW w:w="2581" w:type="dxa"/>
            <w:vMerge w:val="restart"/>
          </w:tcPr>
          <w:p w14:paraId="63147736" w14:textId="77777777" w:rsidR="00280F65" w:rsidRPr="00F03354" w:rsidRDefault="00280F65" w:rsidP="00280F65">
            <w:pPr>
              <w:spacing w:after="120" w:line="270" w:lineRule="atLeast"/>
              <w:rPr>
                <w:rFonts w:ascii="VIC" w:eastAsia="Times" w:hAnsi="VIC"/>
                <w:b/>
                <w:bCs/>
              </w:rPr>
            </w:pPr>
            <w:r w:rsidRPr="00F03354">
              <w:rPr>
                <w:rFonts w:ascii="VIC" w:eastAsia="Times" w:hAnsi="VIC"/>
              </w:rPr>
              <w:lastRenderedPageBreak/>
              <w:t>Achievement</w:t>
            </w:r>
          </w:p>
        </w:tc>
        <w:tc>
          <w:tcPr>
            <w:tcW w:w="5103" w:type="dxa"/>
          </w:tcPr>
          <w:p w14:paraId="232E3D52" w14:textId="77777777" w:rsidR="00280F65" w:rsidRPr="00F03354" w:rsidRDefault="00280F65" w:rsidP="00280F65">
            <w:pPr>
              <w:spacing w:after="120" w:line="270" w:lineRule="atLeast"/>
              <w:rPr>
                <w:rFonts w:ascii="VIC" w:eastAsia="Times" w:hAnsi="VIC"/>
                <w:b/>
                <w:bCs/>
              </w:rPr>
            </w:pPr>
            <w:r w:rsidRPr="00F03354">
              <w:rPr>
                <w:rFonts w:ascii="VIC" w:eastAsia="Times" w:hAnsi="VIC"/>
              </w:rPr>
              <w:t xml:space="preserve">Overall experience score equal to or above 95% </w:t>
            </w:r>
          </w:p>
        </w:tc>
        <w:tc>
          <w:tcPr>
            <w:tcW w:w="2551" w:type="dxa"/>
          </w:tcPr>
          <w:p w14:paraId="3FF32777" w14:textId="77777777" w:rsidR="00280F65" w:rsidRPr="00F03354" w:rsidRDefault="00280F65" w:rsidP="00280F65">
            <w:pPr>
              <w:spacing w:after="120" w:line="270" w:lineRule="atLeast"/>
              <w:rPr>
                <w:rFonts w:ascii="VIC" w:eastAsia="Times" w:hAnsi="VIC"/>
                <w:b/>
                <w:bCs/>
              </w:rPr>
            </w:pPr>
            <w:r w:rsidRPr="00F03354">
              <w:rPr>
                <w:rFonts w:ascii="VIC" w:eastAsia="Times" w:hAnsi="VIC"/>
              </w:rPr>
              <w:t>Achieved</w:t>
            </w:r>
          </w:p>
        </w:tc>
      </w:tr>
      <w:tr w:rsidR="00280F65" w:rsidRPr="00F03354" w14:paraId="5C72EA5A" w14:textId="77777777" w:rsidTr="0035264A">
        <w:trPr>
          <w:trHeight w:val="195"/>
        </w:trPr>
        <w:tc>
          <w:tcPr>
            <w:tcW w:w="2581" w:type="dxa"/>
            <w:vMerge/>
          </w:tcPr>
          <w:p w14:paraId="54206A84" w14:textId="77777777" w:rsidR="00280F65" w:rsidRPr="00F03354" w:rsidRDefault="00280F65" w:rsidP="00280F65">
            <w:pPr>
              <w:spacing w:after="120" w:line="270" w:lineRule="atLeast"/>
              <w:rPr>
                <w:rFonts w:ascii="VIC" w:eastAsia="Times" w:hAnsi="VIC"/>
              </w:rPr>
            </w:pPr>
          </w:p>
        </w:tc>
        <w:tc>
          <w:tcPr>
            <w:tcW w:w="5103" w:type="dxa"/>
          </w:tcPr>
          <w:p w14:paraId="7AA31E3F" w14:textId="77777777" w:rsidR="00280F65" w:rsidRPr="00F03354" w:rsidRDefault="00280F65" w:rsidP="00280F65">
            <w:pPr>
              <w:spacing w:after="120" w:line="270" w:lineRule="atLeast"/>
              <w:rPr>
                <w:rFonts w:ascii="VIC" w:eastAsia="Times" w:hAnsi="VIC"/>
                <w:b/>
                <w:bCs/>
              </w:rPr>
            </w:pPr>
            <w:r w:rsidRPr="00F03354">
              <w:rPr>
                <w:rFonts w:ascii="VIC" w:eastAsia="Times" w:hAnsi="VIC"/>
              </w:rPr>
              <w:t xml:space="preserve">Overall experience score below 95% </w:t>
            </w:r>
          </w:p>
        </w:tc>
        <w:tc>
          <w:tcPr>
            <w:tcW w:w="2551" w:type="dxa"/>
          </w:tcPr>
          <w:p w14:paraId="5ECC3DFD" w14:textId="77777777" w:rsidR="00280F65" w:rsidRPr="00F03354" w:rsidRDefault="00280F65" w:rsidP="00280F65">
            <w:pPr>
              <w:spacing w:after="120" w:line="270" w:lineRule="atLeast"/>
              <w:rPr>
                <w:rFonts w:ascii="VIC" w:eastAsia="Times" w:hAnsi="VIC"/>
                <w:b/>
                <w:bCs/>
              </w:rPr>
            </w:pPr>
            <w:r w:rsidRPr="00F03354">
              <w:rPr>
                <w:rFonts w:ascii="VIC" w:eastAsia="Times" w:hAnsi="VIC"/>
              </w:rPr>
              <w:t>Not achieved</w:t>
            </w:r>
          </w:p>
        </w:tc>
      </w:tr>
    </w:tbl>
    <w:p w14:paraId="3F955790" w14:textId="77777777" w:rsidR="00280F65" w:rsidRPr="00F03354" w:rsidRDefault="00280F65" w:rsidP="00280F65">
      <w:pPr>
        <w:spacing w:after="120" w:line="270" w:lineRule="atLeast"/>
        <w:rPr>
          <w:rFonts w:ascii="VIC" w:eastAsia="Times" w:hAnsi="VIC" w:cs="Times New Roman"/>
          <w:b/>
          <w:bCs/>
          <w:sz w:val="20"/>
          <w:szCs w:val="20"/>
        </w:rPr>
      </w:pPr>
    </w:p>
    <w:p w14:paraId="5F4CF31F" w14:textId="77777777" w:rsidR="00280F65" w:rsidRPr="00F03354" w:rsidRDefault="00280F65" w:rsidP="00280F65">
      <w:pPr>
        <w:spacing w:after="120" w:line="270" w:lineRule="atLeast"/>
        <w:rPr>
          <w:rFonts w:ascii="VIC" w:eastAsia="Times" w:hAnsi="VIC" w:cs="Times New Roman"/>
          <w:b/>
          <w:bCs/>
          <w:sz w:val="20"/>
          <w:szCs w:val="20"/>
        </w:rPr>
      </w:pPr>
    </w:p>
    <w:p w14:paraId="2617D4DD" w14:textId="6D246FC7" w:rsidR="00280F65" w:rsidRPr="00F03354" w:rsidRDefault="00280F65" w:rsidP="00280F65">
      <w:pPr>
        <w:spacing w:after="120" w:line="270" w:lineRule="atLeast"/>
        <w:rPr>
          <w:rFonts w:ascii="VIC" w:eastAsia="Times" w:hAnsi="VIC" w:cs="Times New Roman"/>
          <w:b/>
          <w:bCs/>
          <w:sz w:val="20"/>
          <w:szCs w:val="20"/>
        </w:rPr>
      </w:pPr>
    </w:p>
    <w:p w14:paraId="29E11EAE" w14:textId="77777777" w:rsidR="0035264A" w:rsidRPr="00F03354" w:rsidRDefault="0035264A" w:rsidP="00280F65">
      <w:pPr>
        <w:spacing w:after="120" w:line="270" w:lineRule="atLeast"/>
        <w:rPr>
          <w:rFonts w:ascii="VIC" w:eastAsia="Times" w:hAnsi="VIC" w:cs="Times New Roman"/>
          <w:b/>
          <w:bCs/>
          <w:sz w:val="20"/>
          <w:szCs w:val="20"/>
        </w:rPr>
      </w:pPr>
    </w:p>
    <w:tbl>
      <w:tblPr>
        <w:tblStyle w:val="TableGrid4"/>
        <w:tblW w:w="10235" w:type="dxa"/>
        <w:tblLook w:val="04A0" w:firstRow="1" w:lastRow="0" w:firstColumn="1" w:lastColumn="0" w:noHBand="0" w:noVBand="1"/>
      </w:tblPr>
      <w:tblGrid>
        <w:gridCol w:w="2581"/>
        <w:gridCol w:w="5103"/>
        <w:gridCol w:w="2551"/>
      </w:tblGrid>
      <w:tr w:rsidR="00280F65" w:rsidRPr="00F03354" w14:paraId="30902234" w14:textId="77777777" w:rsidTr="0035264A">
        <w:tc>
          <w:tcPr>
            <w:tcW w:w="2581" w:type="dxa"/>
            <w:shd w:val="clear" w:color="auto" w:fill="244C5A"/>
          </w:tcPr>
          <w:p w14:paraId="7B4DEBA3" w14:textId="77777777" w:rsidR="00280F65" w:rsidRPr="00F03354" w:rsidRDefault="00280F65" w:rsidP="00280F65">
            <w:pPr>
              <w:spacing w:after="120" w:line="270" w:lineRule="atLeast"/>
              <w:rPr>
                <w:rFonts w:ascii="VIC" w:eastAsia="Times" w:hAnsi="VIC"/>
                <w:b/>
                <w:bCs/>
                <w:color w:val="FFFFFF" w:themeColor="background1"/>
              </w:rPr>
            </w:pPr>
            <w:r w:rsidRPr="00F03354">
              <w:rPr>
                <w:rFonts w:ascii="VIC" w:eastAsia="Times" w:hAnsi="VIC"/>
                <w:color w:val="FFFFFF" w:themeColor="background1"/>
              </w:rPr>
              <w:t>Indicator</w:t>
            </w:r>
          </w:p>
        </w:tc>
        <w:tc>
          <w:tcPr>
            <w:tcW w:w="7654" w:type="dxa"/>
            <w:gridSpan w:val="2"/>
            <w:shd w:val="clear" w:color="auto" w:fill="244C5A"/>
          </w:tcPr>
          <w:p w14:paraId="7755C5BF" w14:textId="77777777" w:rsidR="00280F65" w:rsidRPr="00F03354" w:rsidRDefault="00280F65" w:rsidP="00280F65">
            <w:pPr>
              <w:spacing w:after="120" w:line="270" w:lineRule="atLeast"/>
              <w:rPr>
                <w:rFonts w:ascii="VIC" w:eastAsia="Times" w:hAnsi="VIC"/>
                <w:b/>
                <w:bCs/>
                <w:color w:val="FFFFFF" w:themeColor="background1"/>
              </w:rPr>
            </w:pPr>
            <w:r w:rsidRPr="00F03354">
              <w:rPr>
                <w:rFonts w:ascii="VIC" w:eastAsia="Times" w:hAnsi="VIC"/>
                <w:color w:val="FFFFFF" w:themeColor="background1"/>
              </w:rPr>
              <w:t>Percentage of respondents who rated care, treatment, advice and/or transport received from the ambulance service as good or very good</w:t>
            </w:r>
          </w:p>
        </w:tc>
      </w:tr>
      <w:tr w:rsidR="00280F65" w:rsidRPr="00F03354" w14:paraId="04736983" w14:textId="77777777" w:rsidTr="0035264A">
        <w:tc>
          <w:tcPr>
            <w:tcW w:w="2581" w:type="dxa"/>
          </w:tcPr>
          <w:p w14:paraId="247CFB6F" w14:textId="77777777" w:rsidR="00280F65" w:rsidRPr="00F03354" w:rsidRDefault="00280F65" w:rsidP="00280F65">
            <w:pPr>
              <w:spacing w:after="120" w:line="270" w:lineRule="atLeast"/>
              <w:rPr>
                <w:rFonts w:ascii="VIC" w:eastAsia="Times" w:hAnsi="VIC"/>
                <w:b/>
                <w:bCs/>
              </w:rPr>
            </w:pPr>
            <w:r w:rsidRPr="00F03354">
              <w:rPr>
                <w:rFonts w:ascii="VIC" w:eastAsia="Times" w:hAnsi="VIC"/>
              </w:rPr>
              <w:t>Description</w:t>
            </w:r>
          </w:p>
        </w:tc>
        <w:tc>
          <w:tcPr>
            <w:tcW w:w="7654" w:type="dxa"/>
            <w:gridSpan w:val="2"/>
          </w:tcPr>
          <w:p w14:paraId="69C6A34B" w14:textId="13EA59A3" w:rsidR="00280F65" w:rsidRPr="00F03354" w:rsidRDefault="008561DF" w:rsidP="00280F65">
            <w:pPr>
              <w:spacing w:after="120" w:line="270" w:lineRule="atLeast"/>
              <w:rPr>
                <w:rFonts w:ascii="VIC" w:eastAsia="Times" w:hAnsi="VIC"/>
              </w:rPr>
            </w:pPr>
            <w:r w:rsidRPr="00F03354">
              <w:rPr>
                <w:rFonts w:ascii="VIC" w:eastAsia="Times" w:hAnsi="VIC"/>
              </w:rPr>
              <w:t>This indicator measures the results of the ‘very good’ and ‘good’ response to the ambulance VHES survey question relating to ‘overall experience’</w:t>
            </w:r>
          </w:p>
        </w:tc>
      </w:tr>
      <w:tr w:rsidR="00500722" w:rsidRPr="00F03354" w14:paraId="1CAB9C3F" w14:textId="77777777" w:rsidTr="0035264A">
        <w:tc>
          <w:tcPr>
            <w:tcW w:w="2581" w:type="dxa"/>
          </w:tcPr>
          <w:p w14:paraId="5AA38454" w14:textId="77777777" w:rsidR="00500722" w:rsidRPr="00F03354" w:rsidRDefault="00500722" w:rsidP="00500722">
            <w:pPr>
              <w:spacing w:after="120" w:line="270" w:lineRule="atLeast"/>
              <w:rPr>
                <w:rFonts w:ascii="VIC" w:eastAsia="Times" w:hAnsi="VIC"/>
              </w:rPr>
            </w:pPr>
            <w:r w:rsidRPr="00F03354">
              <w:rPr>
                <w:rFonts w:ascii="VIC" w:eastAsia="Times" w:hAnsi="VIC"/>
              </w:rPr>
              <w:t>Numerator</w:t>
            </w:r>
          </w:p>
        </w:tc>
        <w:tc>
          <w:tcPr>
            <w:tcW w:w="7654" w:type="dxa"/>
            <w:gridSpan w:val="2"/>
          </w:tcPr>
          <w:p w14:paraId="4E187E21" w14:textId="651A3972" w:rsidR="00500722" w:rsidRPr="00F03354" w:rsidRDefault="00500722" w:rsidP="00500722">
            <w:pPr>
              <w:spacing w:after="120" w:line="270" w:lineRule="atLeast"/>
              <w:rPr>
                <w:rFonts w:ascii="VIC" w:eastAsia="Times" w:hAnsi="VIC"/>
              </w:rPr>
            </w:pPr>
            <w:r w:rsidRPr="00F03354">
              <w:rPr>
                <w:rFonts w:ascii="VIC" w:eastAsia="Times" w:hAnsi="VIC"/>
              </w:rPr>
              <w:t xml:space="preserve">Weighted sum of ‘very good’ and ‘good’ responses to the question: ‘Overall how would you rate the care, treatment, advice and/or transport you received from the ambulance service?’. </w:t>
            </w:r>
          </w:p>
        </w:tc>
      </w:tr>
      <w:tr w:rsidR="00EB0469" w:rsidRPr="00F03354" w14:paraId="5BA040ED" w14:textId="77777777" w:rsidTr="0035264A">
        <w:tc>
          <w:tcPr>
            <w:tcW w:w="2581" w:type="dxa"/>
          </w:tcPr>
          <w:p w14:paraId="7E95D1B5" w14:textId="77777777" w:rsidR="00EB0469" w:rsidRPr="00F03354" w:rsidRDefault="00EB0469" w:rsidP="00EB0469">
            <w:pPr>
              <w:spacing w:after="120" w:line="270" w:lineRule="atLeast"/>
              <w:rPr>
                <w:rFonts w:ascii="VIC" w:eastAsia="Times" w:hAnsi="VIC"/>
              </w:rPr>
            </w:pPr>
            <w:r w:rsidRPr="00F03354">
              <w:rPr>
                <w:rFonts w:ascii="VIC" w:eastAsia="Times" w:hAnsi="VIC"/>
              </w:rPr>
              <w:t>Denominator</w:t>
            </w:r>
          </w:p>
        </w:tc>
        <w:tc>
          <w:tcPr>
            <w:tcW w:w="7654" w:type="dxa"/>
            <w:gridSpan w:val="2"/>
          </w:tcPr>
          <w:p w14:paraId="549B0F21" w14:textId="3E8E9FEF" w:rsidR="00EB0469" w:rsidRPr="00F03354" w:rsidRDefault="00EB0469" w:rsidP="00EB0469">
            <w:pPr>
              <w:spacing w:after="120" w:line="270" w:lineRule="atLeast"/>
              <w:rPr>
                <w:rFonts w:ascii="VIC" w:eastAsia="Times" w:hAnsi="VIC"/>
              </w:rPr>
            </w:pPr>
            <w:r w:rsidRPr="00F03354">
              <w:rPr>
                <w:rFonts w:ascii="VIC" w:eastAsia="Times" w:hAnsi="VIC"/>
              </w:rPr>
              <w:t>Weighted sum of valid responses to the question: ‘Overall how would you rate the care, treatment, advice and/or transport you received from the ambulance service?’.</w:t>
            </w:r>
          </w:p>
        </w:tc>
      </w:tr>
      <w:tr w:rsidR="00500722" w:rsidRPr="00F03354" w14:paraId="6678DB6B" w14:textId="77777777" w:rsidTr="0035264A">
        <w:tc>
          <w:tcPr>
            <w:tcW w:w="2581" w:type="dxa"/>
          </w:tcPr>
          <w:p w14:paraId="2DE79911" w14:textId="77777777" w:rsidR="00500722" w:rsidRPr="00F03354" w:rsidRDefault="00500722" w:rsidP="00500722">
            <w:pPr>
              <w:spacing w:after="120" w:line="270" w:lineRule="atLeast"/>
              <w:rPr>
                <w:rFonts w:ascii="VIC" w:eastAsia="Times" w:hAnsi="VIC"/>
                <w:b/>
                <w:bCs/>
              </w:rPr>
            </w:pPr>
            <w:r w:rsidRPr="00F03354">
              <w:rPr>
                <w:rFonts w:ascii="VIC" w:eastAsia="Times" w:hAnsi="VIC"/>
              </w:rPr>
              <w:t>Statewide target</w:t>
            </w:r>
          </w:p>
        </w:tc>
        <w:tc>
          <w:tcPr>
            <w:tcW w:w="7654" w:type="dxa"/>
            <w:gridSpan w:val="2"/>
          </w:tcPr>
          <w:p w14:paraId="28E7FA44" w14:textId="77777777" w:rsidR="00500722" w:rsidRPr="00F03354" w:rsidRDefault="00500722" w:rsidP="00500722">
            <w:pPr>
              <w:spacing w:after="120" w:line="270" w:lineRule="atLeast"/>
              <w:rPr>
                <w:rFonts w:ascii="VIC" w:eastAsia="Times" w:hAnsi="VIC"/>
                <w:b/>
                <w:bCs/>
              </w:rPr>
            </w:pPr>
            <w:r w:rsidRPr="00F03354">
              <w:rPr>
                <w:rFonts w:ascii="VIC" w:eastAsia="Times" w:hAnsi="VIC"/>
              </w:rPr>
              <w:t>Score equal to or above 95%</w:t>
            </w:r>
          </w:p>
        </w:tc>
      </w:tr>
      <w:tr w:rsidR="00500722" w:rsidRPr="00F03354" w14:paraId="652FAAA4" w14:textId="77777777" w:rsidTr="0035264A">
        <w:trPr>
          <w:trHeight w:val="195"/>
        </w:trPr>
        <w:tc>
          <w:tcPr>
            <w:tcW w:w="2581" w:type="dxa"/>
            <w:vMerge w:val="restart"/>
          </w:tcPr>
          <w:p w14:paraId="4586741C" w14:textId="77777777" w:rsidR="00500722" w:rsidRPr="00F03354" w:rsidRDefault="00500722" w:rsidP="00500722">
            <w:pPr>
              <w:spacing w:after="120" w:line="270" w:lineRule="atLeast"/>
              <w:rPr>
                <w:rFonts w:ascii="VIC" w:eastAsia="Times" w:hAnsi="VIC"/>
                <w:b/>
                <w:bCs/>
              </w:rPr>
            </w:pPr>
            <w:r w:rsidRPr="00F03354">
              <w:rPr>
                <w:rFonts w:ascii="VIC" w:eastAsia="Times" w:hAnsi="VIC"/>
              </w:rPr>
              <w:t>Achievement</w:t>
            </w:r>
          </w:p>
        </w:tc>
        <w:tc>
          <w:tcPr>
            <w:tcW w:w="5103" w:type="dxa"/>
          </w:tcPr>
          <w:p w14:paraId="522120A6" w14:textId="77777777" w:rsidR="00500722" w:rsidRPr="00F03354" w:rsidRDefault="00500722" w:rsidP="00500722">
            <w:pPr>
              <w:spacing w:after="120" w:line="270" w:lineRule="atLeast"/>
              <w:rPr>
                <w:rFonts w:ascii="VIC" w:eastAsia="Times" w:hAnsi="VIC"/>
                <w:b/>
                <w:bCs/>
              </w:rPr>
            </w:pPr>
            <w:r w:rsidRPr="00F03354">
              <w:rPr>
                <w:rFonts w:ascii="VIC" w:eastAsia="Times" w:hAnsi="VIC"/>
              </w:rPr>
              <w:t xml:space="preserve">Overall experience score equal to or above 95% </w:t>
            </w:r>
          </w:p>
        </w:tc>
        <w:tc>
          <w:tcPr>
            <w:tcW w:w="2551" w:type="dxa"/>
          </w:tcPr>
          <w:p w14:paraId="5BEE6F46" w14:textId="77777777" w:rsidR="00500722" w:rsidRPr="00F03354" w:rsidRDefault="00500722" w:rsidP="00500722">
            <w:pPr>
              <w:spacing w:after="120" w:line="270" w:lineRule="atLeast"/>
              <w:rPr>
                <w:rFonts w:ascii="VIC" w:eastAsia="Times" w:hAnsi="VIC"/>
                <w:b/>
                <w:bCs/>
              </w:rPr>
            </w:pPr>
            <w:r w:rsidRPr="00F03354">
              <w:rPr>
                <w:rFonts w:ascii="VIC" w:eastAsia="Times" w:hAnsi="VIC"/>
              </w:rPr>
              <w:t>Achieved</w:t>
            </w:r>
          </w:p>
        </w:tc>
      </w:tr>
      <w:tr w:rsidR="00500722" w:rsidRPr="00F03354" w14:paraId="6E0A089E" w14:textId="77777777" w:rsidTr="0035264A">
        <w:trPr>
          <w:trHeight w:val="195"/>
        </w:trPr>
        <w:tc>
          <w:tcPr>
            <w:tcW w:w="2581" w:type="dxa"/>
            <w:vMerge/>
          </w:tcPr>
          <w:p w14:paraId="70B24A17" w14:textId="77777777" w:rsidR="00500722" w:rsidRPr="00F03354" w:rsidRDefault="00500722" w:rsidP="00500722">
            <w:pPr>
              <w:spacing w:after="120" w:line="270" w:lineRule="atLeast"/>
              <w:rPr>
                <w:rFonts w:ascii="VIC" w:eastAsia="Times" w:hAnsi="VIC"/>
              </w:rPr>
            </w:pPr>
          </w:p>
        </w:tc>
        <w:tc>
          <w:tcPr>
            <w:tcW w:w="5103" w:type="dxa"/>
          </w:tcPr>
          <w:p w14:paraId="02D13F82" w14:textId="77777777" w:rsidR="00500722" w:rsidRPr="00F03354" w:rsidRDefault="00500722" w:rsidP="00500722">
            <w:pPr>
              <w:spacing w:after="120" w:line="270" w:lineRule="atLeast"/>
              <w:rPr>
                <w:rFonts w:ascii="VIC" w:eastAsia="Times" w:hAnsi="VIC"/>
                <w:b/>
                <w:bCs/>
              </w:rPr>
            </w:pPr>
            <w:r w:rsidRPr="00F03354">
              <w:rPr>
                <w:rFonts w:ascii="VIC" w:eastAsia="Times" w:hAnsi="VIC"/>
              </w:rPr>
              <w:t xml:space="preserve">Overall experience score below 95% </w:t>
            </w:r>
          </w:p>
        </w:tc>
        <w:tc>
          <w:tcPr>
            <w:tcW w:w="2551" w:type="dxa"/>
          </w:tcPr>
          <w:p w14:paraId="307E081D" w14:textId="77777777" w:rsidR="00500722" w:rsidRPr="00F03354" w:rsidRDefault="00500722" w:rsidP="00500722">
            <w:pPr>
              <w:spacing w:after="120" w:line="270" w:lineRule="atLeast"/>
              <w:rPr>
                <w:rFonts w:ascii="VIC" w:eastAsia="Times" w:hAnsi="VIC"/>
                <w:b/>
                <w:bCs/>
              </w:rPr>
            </w:pPr>
            <w:r w:rsidRPr="00F03354">
              <w:rPr>
                <w:rFonts w:ascii="VIC" w:eastAsia="Times" w:hAnsi="VIC"/>
              </w:rPr>
              <w:t>Not achieved</w:t>
            </w:r>
          </w:p>
        </w:tc>
      </w:tr>
    </w:tbl>
    <w:p w14:paraId="11F97C34" w14:textId="77777777" w:rsidR="00280F65" w:rsidRPr="00F03354"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0"/>
        <w:gridCol w:w="4005"/>
        <w:gridCol w:w="3670"/>
      </w:tblGrid>
      <w:tr w:rsidR="00280F65" w:rsidRPr="00F03354" w14:paraId="54CD42DF" w14:textId="77777777" w:rsidTr="0035264A">
        <w:trPr>
          <w:cantSplit/>
          <w:trHeight w:val="60"/>
          <w:tblHeader/>
        </w:trPr>
        <w:tc>
          <w:tcPr>
            <w:tcW w:w="2560" w:type="dxa"/>
            <w:shd w:val="clear" w:color="auto" w:fill="244C5A"/>
            <w:vAlign w:val="bottom"/>
          </w:tcPr>
          <w:p w14:paraId="2B1E927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75" w:type="dxa"/>
            <w:gridSpan w:val="2"/>
            <w:shd w:val="clear" w:color="auto" w:fill="244C5A"/>
            <w:vAlign w:val="bottom"/>
          </w:tcPr>
          <w:p w14:paraId="4EE57BDA"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patients experiencing severe cardiac or traumatic pain whose level of pain was reduced significantly</w:t>
            </w:r>
          </w:p>
        </w:tc>
      </w:tr>
      <w:tr w:rsidR="00280F65" w:rsidRPr="00F03354" w14:paraId="37C17CD0" w14:textId="77777777" w:rsidTr="0035264A">
        <w:trPr>
          <w:cantSplit/>
          <w:trHeight w:val="60"/>
        </w:trPr>
        <w:tc>
          <w:tcPr>
            <w:tcW w:w="2560" w:type="dxa"/>
            <w:hideMark/>
          </w:tcPr>
          <w:p w14:paraId="618B355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75" w:type="dxa"/>
            <w:gridSpan w:val="2"/>
            <w:hideMark/>
          </w:tcPr>
          <w:p w14:paraId="3489F34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Adequate relief of pain is one of a series of key measures of the clinical effectiveness of interventions by paramedics. The indicator of the proportion of patients experiencing severe cardiac or traumatic pain, whose level of pain is significantly reduced, focuses the attention of the organisation on the effectiveness of clinical interventions in two common areas of service provision – cardiac care and trauma care.</w:t>
            </w:r>
          </w:p>
          <w:p w14:paraId="2B474FE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Assessment of pain severity and the extent of relief that paramedics can provide is central to the provision of appropriate care.</w:t>
            </w:r>
          </w:p>
          <w:p w14:paraId="69D1FC1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patients of all ages experiencing traumatic pain and patients who are 15 years old or older with cardiac pain.</w:t>
            </w:r>
          </w:p>
        </w:tc>
      </w:tr>
      <w:tr w:rsidR="00280F65" w:rsidRPr="00F03354" w14:paraId="405FD88C" w14:textId="77777777" w:rsidTr="0035264A">
        <w:trPr>
          <w:cantSplit/>
          <w:trHeight w:val="60"/>
        </w:trPr>
        <w:tc>
          <w:tcPr>
            <w:tcW w:w="2560" w:type="dxa"/>
            <w:hideMark/>
          </w:tcPr>
          <w:p w14:paraId="14DE0BB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675" w:type="dxa"/>
            <w:gridSpan w:val="2"/>
            <w:hideMark/>
          </w:tcPr>
          <w:p w14:paraId="2573F7E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difference between the initial pain score and the final pain score according to Ambulance Victoria (clinical practice guidelines. Patients experiencing severe pain are defined as those having an initial pain score of 8 or more, with pain measured out of 10.</w:t>
            </w:r>
          </w:p>
          <w:p w14:paraId="6CFAD20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patient is deemed to have had a significant reduction in pain if the difference between their initial and final pain score is 2 or more.</w:t>
            </w:r>
          </w:p>
          <w:p w14:paraId="6D593B3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 patients with a Glasgow Coma Score &lt; 9; intubated patients; patients unable to rate pain; patients who have &lt; 2 recorded pain scores and patients who refuse analgesia.</w:t>
            </w:r>
          </w:p>
          <w:p w14:paraId="134104B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to one decimal place.</w:t>
            </w:r>
          </w:p>
        </w:tc>
      </w:tr>
      <w:tr w:rsidR="00280F65" w:rsidRPr="00F03354" w14:paraId="39E9B5C5" w14:textId="77777777" w:rsidTr="0035264A">
        <w:trPr>
          <w:cantSplit/>
          <w:trHeight w:val="60"/>
        </w:trPr>
        <w:tc>
          <w:tcPr>
            <w:tcW w:w="2560" w:type="dxa"/>
            <w:hideMark/>
          </w:tcPr>
          <w:p w14:paraId="38033F7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Numerator</w:t>
            </w:r>
          </w:p>
        </w:tc>
        <w:tc>
          <w:tcPr>
            <w:tcW w:w="7675" w:type="dxa"/>
            <w:gridSpan w:val="2"/>
            <w:hideMark/>
          </w:tcPr>
          <w:p w14:paraId="6FA5779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adult cardiac, adult trauma and paediatric trauma patients with an initial pain score assessed as 8 or more experiencing a reduction in score of 2 or more</w:t>
            </w:r>
          </w:p>
        </w:tc>
      </w:tr>
      <w:tr w:rsidR="00280F65" w:rsidRPr="00F03354" w14:paraId="2AB32848" w14:textId="77777777" w:rsidTr="0035264A">
        <w:trPr>
          <w:cantSplit/>
          <w:trHeight w:val="60"/>
        </w:trPr>
        <w:tc>
          <w:tcPr>
            <w:tcW w:w="2560" w:type="dxa"/>
            <w:hideMark/>
          </w:tcPr>
          <w:p w14:paraId="55EF1F3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675" w:type="dxa"/>
            <w:gridSpan w:val="2"/>
            <w:hideMark/>
          </w:tcPr>
          <w:p w14:paraId="518D098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adult cardiac, adult trauma and paediatric trauma patients with an initial pain score assessed as 8 or more</w:t>
            </w:r>
          </w:p>
        </w:tc>
      </w:tr>
      <w:tr w:rsidR="00280F65" w:rsidRPr="00F03354" w14:paraId="6FD526C8" w14:textId="77777777" w:rsidTr="0035264A">
        <w:trPr>
          <w:cantSplit/>
          <w:trHeight w:val="60"/>
        </w:trPr>
        <w:tc>
          <w:tcPr>
            <w:tcW w:w="2560" w:type="dxa"/>
            <w:hideMark/>
          </w:tcPr>
          <w:p w14:paraId="361D1A6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75" w:type="dxa"/>
            <w:gridSpan w:val="2"/>
            <w:hideMark/>
          </w:tcPr>
          <w:p w14:paraId="158A25B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90%</w:t>
            </w:r>
          </w:p>
        </w:tc>
      </w:tr>
      <w:tr w:rsidR="00280F65" w:rsidRPr="00F03354" w14:paraId="2A2089BE" w14:textId="77777777" w:rsidTr="0035264A">
        <w:trPr>
          <w:cantSplit/>
          <w:trHeight w:val="60"/>
        </w:trPr>
        <w:tc>
          <w:tcPr>
            <w:tcW w:w="2560" w:type="dxa"/>
            <w:vMerge w:val="restart"/>
            <w:hideMark/>
          </w:tcPr>
          <w:p w14:paraId="5F3DAFE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005" w:type="dxa"/>
            <w:hideMark/>
          </w:tcPr>
          <w:p w14:paraId="5C931F3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90%</w:t>
            </w:r>
          </w:p>
        </w:tc>
        <w:tc>
          <w:tcPr>
            <w:tcW w:w="3670" w:type="dxa"/>
            <w:hideMark/>
          </w:tcPr>
          <w:p w14:paraId="132268F0"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26B76F24" w14:textId="77777777" w:rsidTr="0035264A">
        <w:trPr>
          <w:cantSplit/>
          <w:trHeight w:val="60"/>
        </w:trPr>
        <w:tc>
          <w:tcPr>
            <w:tcW w:w="2560" w:type="dxa"/>
            <w:vMerge/>
            <w:vAlign w:val="center"/>
            <w:hideMark/>
          </w:tcPr>
          <w:p w14:paraId="3D510D99"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005" w:type="dxa"/>
            <w:hideMark/>
          </w:tcPr>
          <w:p w14:paraId="69837CA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90%</w:t>
            </w:r>
          </w:p>
        </w:tc>
        <w:tc>
          <w:tcPr>
            <w:tcW w:w="3670" w:type="dxa"/>
            <w:hideMark/>
          </w:tcPr>
          <w:p w14:paraId="7452C75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1E1E818F" w14:textId="77777777" w:rsidTr="0035264A">
        <w:trPr>
          <w:cantSplit/>
          <w:trHeight w:val="60"/>
        </w:trPr>
        <w:tc>
          <w:tcPr>
            <w:tcW w:w="2560" w:type="dxa"/>
          </w:tcPr>
          <w:p w14:paraId="662F73A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675" w:type="dxa"/>
            <w:gridSpan w:val="2"/>
          </w:tcPr>
          <w:p w14:paraId="45746A4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compared to previous quarter performance.</w:t>
            </w:r>
          </w:p>
        </w:tc>
      </w:tr>
      <w:tr w:rsidR="00280F65" w:rsidRPr="00F03354" w14:paraId="235EF9F2" w14:textId="77777777" w:rsidTr="0035264A">
        <w:trPr>
          <w:cantSplit/>
          <w:trHeight w:val="60"/>
        </w:trPr>
        <w:tc>
          <w:tcPr>
            <w:tcW w:w="2560" w:type="dxa"/>
            <w:hideMark/>
          </w:tcPr>
          <w:p w14:paraId="135D1B4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675" w:type="dxa"/>
            <w:gridSpan w:val="2"/>
            <w:hideMark/>
          </w:tcPr>
          <w:p w14:paraId="75EC1B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quarterly.</w:t>
            </w:r>
          </w:p>
          <w:p w14:paraId="7DE7095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submitted to the department quarterly from Ambulance Victoria.</w:t>
            </w:r>
          </w:p>
        </w:tc>
      </w:tr>
    </w:tbl>
    <w:p w14:paraId="0DA78592" w14:textId="77777777" w:rsidR="00280F65" w:rsidRPr="00F03354"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59"/>
        <w:gridCol w:w="4174"/>
        <w:gridCol w:w="3402"/>
      </w:tblGrid>
      <w:tr w:rsidR="00280F65" w:rsidRPr="00F03354" w14:paraId="41B5BDC2" w14:textId="77777777" w:rsidTr="0035264A">
        <w:trPr>
          <w:cantSplit/>
          <w:trHeight w:val="60"/>
          <w:tblHeader/>
        </w:trPr>
        <w:tc>
          <w:tcPr>
            <w:tcW w:w="2659" w:type="dxa"/>
            <w:shd w:val="clear" w:color="auto" w:fill="244C5A"/>
            <w:vAlign w:val="bottom"/>
          </w:tcPr>
          <w:p w14:paraId="6EBBDE8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76" w:type="dxa"/>
            <w:gridSpan w:val="2"/>
            <w:shd w:val="clear" w:color="auto" w:fill="244C5A"/>
            <w:vAlign w:val="bottom"/>
          </w:tcPr>
          <w:p w14:paraId="385576A7"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acute adult stroke patients transported to definitive care within 60 minutes</w:t>
            </w:r>
          </w:p>
        </w:tc>
      </w:tr>
      <w:tr w:rsidR="00280F65" w:rsidRPr="00F03354" w14:paraId="432B780E" w14:textId="77777777" w:rsidTr="0035264A">
        <w:trPr>
          <w:cantSplit/>
          <w:trHeight w:val="60"/>
        </w:trPr>
        <w:tc>
          <w:tcPr>
            <w:tcW w:w="2659" w:type="dxa"/>
            <w:hideMark/>
          </w:tcPr>
          <w:p w14:paraId="743D943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76" w:type="dxa"/>
            <w:gridSpan w:val="2"/>
            <w:hideMark/>
          </w:tcPr>
          <w:p w14:paraId="796AF80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early recognition of stroke symptoms and the timing and the destination to which patients are transported are critical to ensuring optimal outcomes for stroke patients.</w:t>
            </w:r>
          </w:p>
          <w:p w14:paraId="17BA623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a measure of ambulance response to adult patients (15 years or older) suspected of having a stroke within the last six hours who are transported within 60 minutes to a health service with the capability to deliver intravenous thrombolysis.</w:t>
            </w:r>
          </w:p>
          <w:p w14:paraId="64559B16" w14:textId="5F2F6E05"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 list of health services providing thrombolysis for stroke patients can be found at </w:t>
            </w:r>
            <w:hyperlink r:id="rId17" w:history="1">
              <w:r w:rsidRPr="00F03354">
                <w:rPr>
                  <w:rFonts w:ascii="VIC" w:eastAsia="Times New Roman" w:hAnsi="VIC" w:cs="Times New Roman"/>
                  <w:color w:val="3366FF"/>
                  <w:sz w:val="20"/>
                  <w:szCs w:val="20"/>
                  <w:u w:val="dotted"/>
                </w:rPr>
                <w:t>HealthVic statewide frameworks for acute stroke services</w:t>
              </w:r>
            </w:hyperlink>
            <w:r w:rsidRPr="00F03354">
              <w:rPr>
                <w:rFonts w:ascii="VIC" w:eastAsia="Times New Roman" w:hAnsi="VIC" w:cs="Times New Roman"/>
                <w:sz w:val="20"/>
                <w:szCs w:val="20"/>
              </w:rPr>
              <w:t xml:space="preserve"> </w:t>
            </w:r>
            <w:r w:rsidRPr="00F03354">
              <w:rPr>
                <w:rFonts w:ascii="VIC" w:eastAsia="Times New Roman" w:hAnsi="VIC" w:cs="Times New Roman"/>
                <w:color w:val="000000" w:themeColor="text1"/>
                <w:sz w:val="20"/>
                <w:szCs w:val="20"/>
              </w:rPr>
              <w:t>&lt;</w:t>
            </w:r>
            <w:r w:rsidRPr="00F03354">
              <w:rPr>
                <w:rFonts w:ascii="VIC" w:eastAsia="Times New Roman" w:hAnsi="VIC" w:cs="Times New Roman"/>
                <w:sz w:val="20"/>
                <w:szCs w:val="20"/>
              </w:rPr>
              <w:t>https://www2.health.vic.gov.au/hospitals-and-health-services/quality-safety-service/clinical-networks/clinical-network-stroke/stroke-statewide-frameworks</w:t>
            </w:r>
            <w:r w:rsidRPr="00F03354">
              <w:rPr>
                <w:rFonts w:ascii="VIC" w:eastAsia="Times New Roman" w:hAnsi="VIC" w:cs="Times New Roman"/>
                <w:color w:val="000000" w:themeColor="text1"/>
                <w:sz w:val="20"/>
                <w:szCs w:val="20"/>
              </w:rPr>
              <w:t>&gt;</w:t>
            </w:r>
          </w:p>
        </w:tc>
      </w:tr>
      <w:tr w:rsidR="00280F65" w:rsidRPr="00F03354" w14:paraId="0CF49077" w14:textId="77777777" w:rsidTr="0035264A">
        <w:trPr>
          <w:cantSplit/>
          <w:trHeight w:val="60"/>
        </w:trPr>
        <w:tc>
          <w:tcPr>
            <w:tcW w:w="2659" w:type="dxa"/>
            <w:hideMark/>
          </w:tcPr>
          <w:p w14:paraId="75A97B7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76" w:type="dxa"/>
            <w:gridSpan w:val="2"/>
            <w:hideMark/>
          </w:tcPr>
          <w:p w14:paraId="01F3526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 inter-hospital transfers, patients with an estimated stroke onset of greater than six hours, patients with significant pre-existing disability or dependent on others for daily living.</w:t>
            </w:r>
          </w:p>
          <w:p w14:paraId="6EAD64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to one decimal place.</w:t>
            </w:r>
          </w:p>
        </w:tc>
      </w:tr>
      <w:tr w:rsidR="00280F65" w:rsidRPr="00F03354" w14:paraId="1567EFE6" w14:textId="77777777" w:rsidTr="0035264A">
        <w:trPr>
          <w:cantSplit/>
          <w:trHeight w:val="60"/>
        </w:trPr>
        <w:tc>
          <w:tcPr>
            <w:tcW w:w="2659" w:type="dxa"/>
            <w:hideMark/>
          </w:tcPr>
          <w:p w14:paraId="1D56DE4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76" w:type="dxa"/>
            <w:gridSpan w:val="2"/>
            <w:hideMark/>
          </w:tcPr>
          <w:p w14:paraId="28991FD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adult patients suspected of having a stroke and meeting the above criteria who were transported within 60 minutes to a health service with the capability to deliver intravenous thrombolysis.</w:t>
            </w:r>
          </w:p>
        </w:tc>
      </w:tr>
      <w:tr w:rsidR="00280F65" w:rsidRPr="00F03354" w14:paraId="7B7CD7A5" w14:textId="77777777" w:rsidTr="0035264A">
        <w:trPr>
          <w:cantSplit/>
          <w:trHeight w:val="60"/>
        </w:trPr>
        <w:tc>
          <w:tcPr>
            <w:tcW w:w="2659" w:type="dxa"/>
            <w:hideMark/>
          </w:tcPr>
          <w:p w14:paraId="4F6B0E2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76" w:type="dxa"/>
            <w:gridSpan w:val="2"/>
            <w:hideMark/>
          </w:tcPr>
          <w:p w14:paraId="590A4EC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adult patients suspected of having a stroke and meeting the above criteria</w:t>
            </w:r>
          </w:p>
        </w:tc>
      </w:tr>
      <w:tr w:rsidR="00280F65" w:rsidRPr="00F03354" w14:paraId="754C133D" w14:textId="77777777" w:rsidTr="0035264A">
        <w:trPr>
          <w:cantSplit/>
          <w:trHeight w:val="60"/>
        </w:trPr>
        <w:tc>
          <w:tcPr>
            <w:tcW w:w="2659" w:type="dxa"/>
            <w:hideMark/>
          </w:tcPr>
          <w:p w14:paraId="7F69CD5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76" w:type="dxa"/>
            <w:gridSpan w:val="2"/>
            <w:hideMark/>
          </w:tcPr>
          <w:p w14:paraId="18F7CBA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90%</w:t>
            </w:r>
          </w:p>
        </w:tc>
      </w:tr>
      <w:tr w:rsidR="00280F65" w:rsidRPr="00F03354" w14:paraId="7DB5DDDA" w14:textId="77777777" w:rsidTr="0035264A">
        <w:trPr>
          <w:cantSplit/>
          <w:trHeight w:val="60"/>
        </w:trPr>
        <w:tc>
          <w:tcPr>
            <w:tcW w:w="2659" w:type="dxa"/>
            <w:vMerge w:val="restart"/>
            <w:hideMark/>
          </w:tcPr>
          <w:p w14:paraId="028B020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174" w:type="dxa"/>
            <w:hideMark/>
          </w:tcPr>
          <w:p w14:paraId="29D870C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90%</w:t>
            </w:r>
          </w:p>
        </w:tc>
        <w:tc>
          <w:tcPr>
            <w:tcW w:w="3402" w:type="dxa"/>
            <w:hideMark/>
          </w:tcPr>
          <w:p w14:paraId="6F6B2D4D"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3C049021" w14:textId="77777777" w:rsidTr="0035264A">
        <w:trPr>
          <w:cantSplit/>
          <w:trHeight w:val="60"/>
        </w:trPr>
        <w:tc>
          <w:tcPr>
            <w:tcW w:w="2659" w:type="dxa"/>
            <w:vMerge/>
            <w:vAlign w:val="center"/>
            <w:hideMark/>
          </w:tcPr>
          <w:p w14:paraId="450CF034"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174" w:type="dxa"/>
            <w:hideMark/>
          </w:tcPr>
          <w:p w14:paraId="1C67C60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90%</w:t>
            </w:r>
          </w:p>
        </w:tc>
        <w:tc>
          <w:tcPr>
            <w:tcW w:w="3402" w:type="dxa"/>
            <w:hideMark/>
          </w:tcPr>
          <w:p w14:paraId="542574F4"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0D840077" w14:textId="77777777" w:rsidTr="0035264A">
        <w:trPr>
          <w:cantSplit/>
          <w:trHeight w:val="60"/>
        </w:trPr>
        <w:tc>
          <w:tcPr>
            <w:tcW w:w="2659" w:type="dxa"/>
          </w:tcPr>
          <w:p w14:paraId="161A138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76" w:type="dxa"/>
            <w:gridSpan w:val="2"/>
          </w:tcPr>
          <w:p w14:paraId="016B540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compared to previous quarter performance.</w:t>
            </w:r>
          </w:p>
        </w:tc>
      </w:tr>
      <w:tr w:rsidR="00280F65" w:rsidRPr="00F03354" w14:paraId="31592D06" w14:textId="77777777" w:rsidTr="0035264A">
        <w:trPr>
          <w:cantSplit/>
          <w:trHeight w:val="60"/>
        </w:trPr>
        <w:tc>
          <w:tcPr>
            <w:tcW w:w="2659" w:type="dxa"/>
            <w:hideMark/>
          </w:tcPr>
          <w:p w14:paraId="1C12A03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576" w:type="dxa"/>
            <w:gridSpan w:val="2"/>
            <w:hideMark/>
          </w:tcPr>
          <w:p w14:paraId="1199FC5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quarterly.</w:t>
            </w:r>
          </w:p>
          <w:p w14:paraId="5B71A1C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submitted to the department quarterly from Ambulance Victoria.</w:t>
            </w:r>
          </w:p>
        </w:tc>
      </w:tr>
    </w:tbl>
    <w:p w14:paraId="4520FE6B" w14:textId="77777777" w:rsidR="00280F65" w:rsidRPr="00F03354" w:rsidRDefault="00280F65" w:rsidP="00280F65">
      <w:pPr>
        <w:spacing w:after="120" w:line="270" w:lineRule="atLeast"/>
        <w:rPr>
          <w:rFonts w:ascii="VIC" w:eastAsia="Times" w:hAnsi="VIC" w:cs="Times New Roman"/>
          <w:b/>
          <w:bCs/>
          <w:sz w:val="20"/>
          <w:szCs w:val="20"/>
          <w:lang w:val="en-GB"/>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700"/>
        <w:gridCol w:w="3896"/>
        <w:gridCol w:w="3639"/>
      </w:tblGrid>
      <w:tr w:rsidR="00280F65" w:rsidRPr="00F03354" w14:paraId="53AA68B7" w14:textId="77777777" w:rsidTr="0035264A">
        <w:trPr>
          <w:cantSplit/>
          <w:trHeight w:val="60"/>
          <w:tblHeader/>
        </w:trPr>
        <w:tc>
          <w:tcPr>
            <w:tcW w:w="2700" w:type="dxa"/>
            <w:shd w:val="clear" w:color="auto" w:fill="244C5A"/>
            <w:vAlign w:val="bottom"/>
          </w:tcPr>
          <w:p w14:paraId="1DCD3467"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35" w:type="dxa"/>
            <w:gridSpan w:val="2"/>
            <w:shd w:val="clear" w:color="auto" w:fill="244C5A"/>
            <w:vAlign w:val="bottom"/>
          </w:tcPr>
          <w:p w14:paraId="64600B9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major trauma patients that meet destination compliance</w:t>
            </w:r>
          </w:p>
        </w:tc>
      </w:tr>
      <w:tr w:rsidR="00280F65" w:rsidRPr="00F03354" w14:paraId="59E20E57" w14:textId="77777777" w:rsidTr="0035264A">
        <w:trPr>
          <w:cantSplit/>
          <w:trHeight w:val="60"/>
        </w:trPr>
        <w:tc>
          <w:tcPr>
            <w:tcW w:w="2700" w:type="dxa"/>
            <w:hideMark/>
          </w:tcPr>
          <w:p w14:paraId="4B8016C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35" w:type="dxa"/>
            <w:gridSpan w:val="2"/>
            <w:hideMark/>
          </w:tcPr>
          <w:p w14:paraId="0BF702DA" w14:textId="307A2578"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Mortality and morbidity can be reduced by effective field triage, treatment</w:t>
            </w:r>
            <w:r w:rsidR="0018142B"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transport of severely injured patients to specialised trauma hospitals.</w:t>
            </w:r>
          </w:p>
          <w:p w14:paraId="1E3512E7" w14:textId="58FC38A5"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a measure of ambulance response to patients defined as major trauma who are transported to a major trauma service or to the highest</w:t>
            </w:r>
            <w:r w:rsidR="0018142B" w:rsidRPr="00F03354">
              <w:rPr>
                <w:rFonts w:ascii="VIC" w:eastAsia="Times New Roman" w:hAnsi="VIC" w:cs="Times New Roman"/>
                <w:sz w:val="20"/>
                <w:szCs w:val="20"/>
              </w:rPr>
              <w:t>-</w:t>
            </w:r>
            <w:r w:rsidRPr="00F03354">
              <w:rPr>
                <w:rFonts w:ascii="VIC" w:eastAsia="Times New Roman" w:hAnsi="VIC" w:cs="Times New Roman"/>
                <w:sz w:val="20"/>
                <w:szCs w:val="20"/>
              </w:rPr>
              <w:t>level designated trauma service within 45 minutes of the ambulance departing the scene.</w:t>
            </w:r>
          </w:p>
          <w:p w14:paraId="7522FA1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Major trauma patients are defined by the Victorian State Trauma Registry, and this process relies on hospital diagnostic procedures, and in hospital treatment data which causes a lag of one quarter for all data.</w:t>
            </w:r>
          </w:p>
        </w:tc>
      </w:tr>
      <w:tr w:rsidR="00280F65" w:rsidRPr="00F03354" w14:paraId="1F2C6527" w14:textId="77777777" w:rsidTr="0035264A">
        <w:trPr>
          <w:cantSplit/>
          <w:trHeight w:val="60"/>
        </w:trPr>
        <w:tc>
          <w:tcPr>
            <w:tcW w:w="2700" w:type="dxa"/>
            <w:hideMark/>
          </w:tcPr>
          <w:p w14:paraId="504CF75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35" w:type="dxa"/>
            <w:gridSpan w:val="2"/>
            <w:hideMark/>
          </w:tcPr>
          <w:p w14:paraId="33B9DFB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 inter-hospital transports and patients not meeting the Ambulance Victoria Trauma Triage Guidelines.</w:t>
            </w:r>
          </w:p>
          <w:p w14:paraId="7CC7FC7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to one decimal place.</w:t>
            </w:r>
          </w:p>
        </w:tc>
      </w:tr>
      <w:tr w:rsidR="00280F65" w:rsidRPr="00F03354" w14:paraId="07F9000F" w14:textId="77777777" w:rsidTr="0035264A">
        <w:trPr>
          <w:cantSplit/>
          <w:trHeight w:val="60"/>
        </w:trPr>
        <w:tc>
          <w:tcPr>
            <w:tcW w:w="2700" w:type="dxa"/>
            <w:hideMark/>
          </w:tcPr>
          <w:p w14:paraId="0531447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35" w:type="dxa"/>
            <w:gridSpan w:val="2"/>
            <w:hideMark/>
          </w:tcPr>
          <w:p w14:paraId="4E1B4A2A" w14:textId="5F15F9CA"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major trauma patients transported to a major trauma service or to the highest</w:t>
            </w:r>
            <w:r w:rsidR="0018142B" w:rsidRPr="00F03354">
              <w:rPr>
                <w:rFonts w:ascii="VIC" w:eastAsia="Times New Roman" w:hAnsi="VIC" w:cs="Times New Roman"/>
                <w:sz w:val="20"/>
                <w:szCs w:val="20"/>
              </w:rPr>
              <w:t>-</w:t>
            </w:r>
            <w:r w:rsidRPr="00F03354">
              <w:rPr>
                <w:rFonts w:ascii="VIC" w:eastAsia="Times New Roman" w:hAnsi="VIC" w:cs="Times New Roman"/>
                <w:sz w:val="20"/>
                <w:szCs w:val="20"/>
              </w:rPr>
              <w:t>level designated trauma service within 45 minutes travel time (from scene)</w:t>
            </w:r>
          </w:p>
        </w:tc>
      </w:tr>
      <w:tr w:rsidR="00280F65" w:rsidRPr="00F03354" w14:paraId="5B2B741A" w14:textId="77777777" w:rsidTr="0035264A">
        <w:trPr>
          <w:cantSplit/>
          <w:trHeight w:val="60"/>
        </w:trPr>
        <w:tc>
          <w:tcPr>
            <w:tcW w:w="2700" w:type="dxa"/>
            <w:hideMark/>
          </w:tcPr>
          <w:p w14:paraId="7683E7E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35" w:type="dxa"/>
            <w:gridSpan w:val="2"/>
            <w:hideMark/>
          </w:tcPr>
          <w:p w14:paraId="3D64B2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patients defined as major trauma</w:t>
            </w:r>
          </w:p>
        </w:tc>
      </w:tr>
      <w:tr w:rsidR="00280F65" w:rsidRPr="00F03354" w14:paraId="3693CB5F" w14:textId="77777777" w:rsidTr="0035264A">
        <w:trPr>
          <w:cantSplit/>
          <w:trHeight w:val="60"/>
        </w:trPr>
        <w:tc>
          <w:tcPr>
            <w:tcW w:w="2700" w:type="dxa"/>
            <w:hideMark/>
          </w:tcPr>
          <w:p w14:paraId="2D11F44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35" w:type="dxa"/>
            <w:gridSpan w:val="2"/>
            <w:hideMark/>
          </w:tcPr>
          <w:p w14:paraId="24D5BBD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85%</w:t>
            </w:r>
          </w:p>
        </w:tc>
      </w:tr>
      <w:tr w:rsidR="00280F65" w:rsidRPr="00F03354" w14:paraId="7F90ED6F" w14:textId="77777777" w:rsidTr="0035264A">
        <w:trPr>
          <w:cantSplit/>
          <w:trHeight w:val="60"/>
        </w:trPr>
        <w:tc>
          <w:tcPr>
            <w:tcW w:w="2700" w:type="dxa"/>
            <w:vMerge w:val="restart"/>
            <w:hideMark/>
          </w:tcPr>
          <w:p w14:paraId="5EEDD20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896" w:type="dxa"/>
            <w:hideMark/>
          </w:tcPr>
          <w:p w14:paraId="64A0350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85%</w:t>
            </w:r>
          </w:p>
        </w:tc>
        <w:tc>
          <w:tcPr>
            <w:tcW w:w="3639" w:type="dxa"/>
            <w:hideMark/>
          </w:tcPr>
          <w:p w14:paraId="71204F59"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26E104EF" w14:textId="77777777" w:rsidTr="0035264A">
        <w:trPr>
          <w:cantSplit/>
          <w:trHeight w:val="60"/>
        </w:trPr>
        <w:tc>
          <w:tcPr>
            <w:tcW w:w="2700" w:type="dxa"/>
            <w:vMerge/>
            <w:vAlign w:val="center"/>
            <w:hideMark/>
          </w:tcPr>
          <w:p w14:paraId="75F1AEF0"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96" w:type="dxa"/>
            <w:hideMark/>
          </w:tcPr>
          <w:p w14:paraId="53D1118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85%</w:t>
            </w:r>
          </w:p>
        </w:tc>
        <w:tc>
          <w:tcPr>
            <w:tcW w:w="3639" w:type="dxa"/>
            <w:hideMark/>
          </w:tcPr>
          <w:p w14:paraId="1699D730"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235808C2" w14:textId="77777777" w:rsidTr="0035264A">
        <w:trPr>
          <w:cantSplit/>
          <w:trHeight w:val="60"/>
        </w:trPr>
        <w:tc>
          <w:tcPr>
            <w:tcW w:w="2700" w:type="dxa"/>
          </w:tcPr>
          <w:p w14:paraId="21871D0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35" w:type="dxa"/>
            <w:gridSpan w:val="2"/>
          </w:tcPr>
          <w:p w14:paraId="5770F44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compared to previous quarter performance.</w:t>
            </w:r>
          </w:p>
        </w:tc>
      </w:tr>
      <w:tr w:rsidR="00280F65" w:rsidRPr="00F03354" w14:paraId="6B95C356" w14:textId="77777777" w:rsidTr="0035264A">
        <w:trPr>
          <w:cantSplit/>
          <w:trHeight w:val="60"/>
        </w:trPr>
        <w:tc>
          <w:tcPr>
            <w:tcW w:w="2700" w:type="dxa"/>
            <w:hideMark/>
          </w:tcPr>
          <w:p w14:paraId="0354C07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35" w:type="dxa"/>
            <w:gridSpan w:val="2"/>
            <w:hideMark/>
          </w:tcPr>
          <w:p w14:paraId="65683B5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quarterly.</w:t>
            </w:r>
          </w:p>
          <w:p w14:paraId="6ABA707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reported is lagged by one quarter.</w:t>
            </w:r>
          </w:p>
          <w:p w14:paraId="0D78BA7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submitted to the department quarterly from Ambulance Victoria.</w:t>
            </w:r>
          </w:p>
        </w:tc>
      </w:tr>
    </w:tbl>
    <w:p w14:paraId="6B73BA38" w14:textId="77777777" w:rsidR="00280F65" w:rsidRPr="00F03354"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3"/>
        <w:gridCol w:w="3815"/>
        <w:gridCol w:w="3747"/>
      </w:tblGrid>
      <w:tr w:rsidR="00280F65" w:rsidRPr="00F03354" w14:paraId="532CDF17" w14:textId="77777777" w:rsidTr="0035264A">
        <w:trPr>
          <w:cantSplit/>
          <w:trHeight w:val="60"/>
          <w:tblHeader/>
        </w:trPr>
        <w:tc>
          <w:tcPr>
            <w:tcW w:w="2673" w:type="dxa"/>
            <w:shd w:val="clear" w:color="auto" w:fill="244C5A"/>
          </w:tcPr>
          <w:p w14:paraId="51BBD97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562" w:type="dxa"/>
            <w:gridSpan w:val="2"/>
            <w:shd w:val="clear" w:color="auto" w:fill="244C5A"/>
          </w:tcPr>
          <w:p w14:paraId="2E92DCC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adult cardiac arrest patients surviving to hospital</w:t>
            </w:r>
          </w:p>
        </w:tc>
      </w:tr>
      <w:tr w:rsidR="00280F65" w:rsidRPr="00F03354" w14:paraId="763C1593" w14:textId="77777777" w:rsidTr="0035264A">
        <w:trPr>
          <w:cantSplit/>
          <w:trHeight w:val="60"/>
        </w:trPr>
        <w:tc>
          <w:tcPr>
            <w:tcW w:w="2673" w:type="dxa"/>
            <w:hideMark/>
          </w:tcPr>
          <w:p w14:paraId="7B77478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62" w:type="dxa"/>
            <w:gridSpan w:val="2"/>
            <w:hideMark/>
          </w:tcPr>
          <w:p w14:paraId="2A00D007" w14:textId="691CB124"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Cardiac arrest survival is strongly impacted by Emergency Medical Services (EMS) response times, clinical interventions</w:t>
            </w:r>
            <w:r w:rsidR="0018142B"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treatments.</w:t>
            </w:r>
          </w:p>
          <w:p w14:paraId="7C39744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cardiac arrest survival to hospital rate describes the percentage of adult patients in out-of-hospital cardiac arrest, that initially present in a shockable rhythm where any chest compressions and/or defibrillation was undertaken by ambulance/EMS (fire brigade first responders, community emergency response teams or ambulance) or where defibrillation was performed by a public access defibrillator (PAD) and who have a return to spontaneous circulation (palpable pulse) on arrival at hospital.</w:t>
            </w:r>
          </w:p>
          <w:p w14:paraId="432EE2E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collected and reported according to the internationally recognised Utstein template and definitions. The Victorian Ambulance Cardiac Arrest Registry captures data on all out-of-hospital cardiac arrest patients attended by EMS in Victoria.</w:t>
            </w:r>
          </w:p>
          <w:p w14:paraId="78C3450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adult patients (15 years or older) who are in ventricular fibrillation or pulseless ventricular tachycardia (VF/VT) on EMS arrival for whom resuscitation is commenced (minimum is cardiopulmonary resuscitation) by EMS.</w:t>
            </w:r>
          </w:p>
        </w:tc>
      </w:tr>
      <w:tr w:rsidR="00280F65" w:rsidRPr="00F03354" w14:paraId="5AF7AEDB" w14:textId="77777777" w:rsidTr="0035264A">
        <w:trPr>
          <w:cantSplit/>
          <w:trHeight w:val="60"/>
        </w:trPr>
        <w:tc>
          <w:tcPr>
            <w:tcW w:w="2673" w:type="dxa"/>
            <w:hideMark/>
          </w:tcPr>
          <w:p w14:paraId="7A14A84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62" w:type="dxa"/>
            <w:gridSpan w:val="2"/>
            <w:hideMark/>
          </w:tcPr>
          <w:p w14:paraId="0589949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adult patients who are in VF/VT on EMS arrival for whom resuscitation is commenced by EMS or patients defibrillated by PAD.</w:t>
            </w:r>
          </w:p>
          <w:p w14:paraId="0A1595F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Excludes cardiac arrests witnessed by EMS and patients where vital signs at hospital are unknown.</w:t>
            </w:r>
          </w:p>
          <w:p w14:paraId="7926A7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to one decimal place.</w:t>
            </w:r>
          </w:p>
        </w:tc>
      </w:tr>
      <w:tr w:rsidR="00280F65" w:rsidRPr="00F03354" w14:paraId="63AC9061" w14:textId="77777777" w:rsidTr="0035264A">
        <w:trPr>
          <w:cantSplit/>
          <w:trHeight w:val="60"/>
        </w:trPr>
        <w:tc>
          <w:tcPr>
            <w:tcW w:w="2673" w:type="dxa"/>
            <w:hideMark/>
          </w:tcPr>
          <w:p w14:paraId="6AFBFC8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62" w:type="dxa"/>
            <w:gridSpan w:val="2"/>
            <w:hideMark/>
          </w:tcPr>
          <w:p w14:paraId="601368E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number of adult VF/VT cardiac arrest patients with a palpable pulse on arrival at hospital </w:t>
            </w:r>
          </w:p>
        </w:tc>
      </w:tr>
      <w:tr w:rsidR="00280F65" w:rsidRPr="00F03354" w14:paraId="5C0124A4" w14:textId="77777777" w:rsidTr="0035264A">
        <w:trPr>
          <w:cantSplit/>
          <w:trHeight w:val="60"/>
        </w:trPr>
        <w:tc>
          <w:tcPr>
            <w:tcW w:w="2673" w:type="dxa"/>
            <w:hideMark/>
          </w:tcPr>
          <w:p w14:paraId="6E2BBBF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62" w:type="dxa"/>
            <w:gridSpan w:val="2"/>
            <w:hideMark/>
          </w:tcPr>
          <w:p w14:paraId="1ED7E88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total number of adult VF/VT cardiac arrest patients meeting the criteria </w:t>
            </w:r>
          </w:p>
        </w:tc>
      </w:tr>
      <w:tr w:rsidR="00280F65" w:rsidRPr="00F03354" w14:paraId="69C0D896" w14:textId="77777777" w:rsidTr="0035264A">
        <w:trPr>
          <w:cantSplit/>
          <w:trHeight w:val="60"/>
        </w:trPr>
        <w:tc>
          <w:tcPr>
            <w:tcW w:w="2673" w:type="dxa"/>
            <w:hideMark/>
          </w:tcPr>
          <w:p w14:paraId="32E782F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2" w:type="dxa"/>
            <w:gridSpan w:val="2"/>
            <w:hideMark/>
          </w:tcPr>
          <w:p w14:paraId="769914D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50%</w:t>
            </w:r>
          </w:p>
        </w:tc>
      </w:tr>
      <w:tr w:rsidR="00280F65" w:rsidRPr="00F03354" w14:paraId="5D78FF58" w14:textId="77777777" w:rsidTr="0035264A">
        <w:trPr>
          <w:cantSplit/>
          <w:trHeight w:val="60"/>
        </w:trPr>
        <w:tc>
          <w:tcPr>
            <w:tcW w:w="2673" w:type="dxa"/>
            <w:vMerge w:val="restart"/>
            <w:hideMark/>
          </w:tcPr>
          <w:p w14:paraId="2641EF1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815" w:type="dxa"/>
            <w:hideMark/>
          </w:tcPr>
          <w:p w14:paraId="4A7E6E8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50%</w:t>
            </w:r>
          </w:p>
        </w:tc>
        <w:tc>
          <w:tcPr>
            <w:tcW w:w="3747" w:type="dxa"/>
            <w:hideMark/>
          </w:tcPr>
          <w:p w14:paraId="6F63A9E1"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1F4D97B3" w14:textId="77777777" w:rsidTr="0035264A">
        <w:trPr>
          <w:cantSplit/>
          <w:trHeight w:val="60"/>
        </w:trPr>
        <w:tc>
          <w:tcPr>
            <w:tcW w:w="2673" w:type="dxa"/>
            <w:vMerge/>
            <w:vAlign w:val="center"/>
            <w:hideMark/>
          </w:tcPr>
          <w:p w14:paraId="05E8AE4F"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15" w:type="dxa"/>
            <w:hideMark/>
          </w:tcPr>
          <w:p w14:paraId="4A73D04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50%</w:t>
            </w:r>
          </w:p>
        </w:tc>
        <w:tc>
          <w:tcPr>
            <w:tcW w:w="3747" w:type="dxa"/>
            <w:hideMark/>
          </w:tcPr>
          <w:p w14:paraId="580A5437"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251E1BB4" w14:textId="77777777" w:rsidTr="0035264A">
        <w:trPr>
          <w:cantSplit/>
          <w:trHeight w:val="60"/>
        </w:trPr>
        <w:tc>
          <w:tcPr>
            <w:tcW w:w="2673" w:type="dxa"/>
          </w:tcPr>
          <w:p w14:paraId="7EC1801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62" w:type="dxa"/>
            <w:gridSpan w:val="2"/>
          </w:tcPr>
          <w:p w14:paraId="605B2EC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compared to previous quarter performance.</w:t>
            </w:r>
          </w:p>
        </w:tc>
      </w:tr>
      <w:tr w:rsidR="00280F65" w:rsidRPr="00F03354" w14:paraId="56474B99" w14:textId="77777777" w:rsidTr="0035264A">
        <w:trPr>
          <w:cantSplit/>
          <w:trHeight w:val="60"/>
        </w:trPr>
        <w:tc>
          <w:tcPr>
            <w:tcW w:w="2673" w:type="dxa"/>
            <w:hideMark/>
          </w:tcPr>
          <w:p w14:paraId="0F197D9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62" w:type="dxa"/>
            <w:gridSpan w:val="2"/>
            <w:hideMark/>
          </w:tcPr>
          <w:p w14:paraId="5FF3E25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quarterly using 12-months rolling percentages due to small sample sizes.</w:t>
            </w:r>
          </w:p>
          <w:p w14:paraId="2A3F37A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submitted to the department quarterly from Ambulance Victoria.</w:t>
            </w:r>
          </w:p>
        </w:tc>
      </w:tr>
    </w:tbl>
    <w:p w14:paraId="082C1A6E" w14:textId="77777777" w:rsidR="00280F65" w:rsidRPr="00F03354"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700"/>
        <w:gridCol w:w="3863"/>
        <w:gridCol w:w="3672"/>
      </w:tblGrid>
      <w:tr w:rsidR="00280F65" w:rsidRPr="00F03354" w14:paraId="2FA961D9" w14:textId="77777777" w:rsidTr="0035264A">
        <w:trPr>
          <w:cantSplit/>
          <w:trHeight w:val="60"/>
          <w:tblHeader/>
        </w:trPr>
        <w:tc>
          <w:tcPr>
            <w:tcW w:w="2700" w:type="dxa"/>
            <w:shd w:val="clear" w:color="auto" w:fill="244C5A"/>
            <w:vAlign w:val="bottom"/>
          </w:tcPr>
          <w:p w14:paraId="1EFEAC61"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535" w:type="dxa"/>
            <w:gridSpan w:val="2"/>
            <w:shd w:val="clear" w:color="auto" w:fill="244C5A"/>
            <w:vAlign w:val="bottom"/>
          </w:tcPr>
          <w:p w14:paraId="2B27C47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adult cardiac arrest patients surviving to hospital discharge</w:t>
            </w:r>
          </w:p>
        </w:tc>
      </w:tr>
      <w:tr w:rsidR="00280F65" w:rsidRPr="00F03354" w14:paraId="6F959A5E" w14:textId="77777777" w:rsidTr="0035264A">
        <w:trPr>
          <w:cantSplit/>
          <w:trHeight w:val="60"/>
        </w:trPr>
        <w:tc>
          <w:tcPr>
            <w:tcW w:w="2700" w:type="dxa"/>
            <w:hideMark/>
          </w:tcPr>
          <w:p w14:paraId="101BA06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35" w:type="dxa"/>
            <w:gridSpan w:val="2"/>
            <w:hideMark/>
          </w:tcPr>
          <w:p w14:paraId="0EE4FF03" w14:textId="0CC4AE76"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Cardiac arrest survival is strongly impacted by Emergency Medical Services (EMS) response times, clinical interventions</w:t>
            </w:r>
            <w:r w:rsidR="0018142B"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treatments.</w:t>
            </w:r>
          </w:p>
          <w:p w14:paraId="0217D20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collected and reported according to the internationally recognised Utstein template. The Victorian Ambulance Cardiac Arrest Registry captures data on all out-of-hospital cardiac arrest patients attended by EMS in Victoria.</w:t>
            </w:r>
          </w:p>
          <w:p w14:paraId="66E162B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adult patients (15 years or older) who were in ventricular fibrillation or pulseless ventricular tachycardia (VF/VT) on EMS arrival for whom resuscitation was commenced by EMS or who were defibrillated via public access defibrillator (PAD).</w:t>
            </w:r>
          </w:p>
        </w:tc>
      </w:tr>
      <w:tr w:rsidR="00280F65" w:rsidRPr="00F03354" w14:paraId="736ACFA2" w14:textId="77777777" w:rsidTr="0035264A">
        <w:trPr>
          <w:cantSplit/>
          <w:trHeight w:val="60"/>
        </w:trPr>
        <w:tc>
          <w:tcPr>
            <w:tcW w:w="2700" w:type="dxa"/>
            <w:hideMark/>
          </w:tcPr>
          <w:p w14:paraId="594FF15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35" w:type="dxa"/>
            <w:gridSpan w:val="2"/>
            <w:hideMark/>
          </w:tcPr>
          <w:p w14:paraId="6AEABE1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adult patients who were in VF/VT on EMS arrival for whom resuscitation was commenced by EMS or patients defibrillated by PAD.</w:t>
            </w:r>
          </w:p>
          <w:p w14:paraId="4A8A911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Excludes cardiac arrests witnessed by EMS and patients where discharge status is unknown.</w:t>
            </w:r>
          </w:p>
          <w:p w14:paraId="40ED874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to one decimal place.</w:t>
            </w:r>
          </w:p>
        </w:tc>
      </w:tr>
      <w:tr w:rsidR="00280F65" w:rsidRPr="00F03354" w14:paraId="008CD202" w14:textId="77777777" w:rsidTr="0035264A">
        <w:trPr>
          <w:cantSplit/>
          <w:trHeight w:val="60"/>
        </w:trPr>
        <w:tc>
          <w:tcPr>
            <w:tcW w:w="2700" w:type="dxa"/>
            <w:hideMark/>
          </w:tcPr>
          <w:p w14:paraId="63AC5FD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35" w:type="dxa"/>
            <w:gridSpan w:val="2"/>
            <w:hideMark/>
          </w:tcPr>
          <w:p w14:paraId="66E52A1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adult VF/VT cardiac arrest patients discharged alive from hospital</w:t>
            </w:r>
          </w:p>
        </w:tc>
      </w:tr>
      <w:tr w:rsidR="00280F65" w:rsidRPr="00F03354" w14:paraId="5C00A595" w14:textId="77777777" w:rsidTr="0035264A">
        <w:trPr>
          <w:cantSplit/>
          <w:trHeight w:val="60"/>
        </w:trPr>
        <w:tc>
          <w:tcPr>
            <w:tcW w:w="2700" w:type="dxa"/>
            <w:hideMark/>
          </w:tcPr>
          <w:p w14:paraId="356150C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35" w:type="dxa"/>
            <w:gridSpan w:val="2"/>
            <w:hideMark/>
          </w:tcPr>
          <w:p w14:paraId="7165732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adult VF/VT cardiac arrest patients meeting the criteria</w:t>
            </w:r>
          </w:p>
        </w:tc>
      </w:tr>
      <w:tr w:rsidR="00280F65" w:rsidRPr="00F03354" w14:paraId="21168CE0" w14:textId="77777777" w:rsidTr="0035264A">
        <w:trPr>
          <w:cantSplit/>
          <w:trHeight w:val="60"/>
        </w:trPr>
        <w:tc>
          <w:tcPr>
            <w:tcW w:w="2700" w:type="dxa"/>
            <w:hideMark/>
          </w:tcPr>
          <w:p w14:paraId="1FDD1C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35" w:type="dxa"/>
            <w:gridSpan w:val="2"/>
            <w:hideMark/>
          </w:tcPr>
          <w:p w14:paraId="00A3A5A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25% </w:t>
            </w:r>
          </w:p>
        </w:tc>
      </w:tr>
      <w:tr w:rsidR="00280F65" w:rsidRPr="00F03354" w14:paraId="5B3AD7ED" w14:textId="77777777" w:rsidTr="0035264A">
        <w:trPr>
          <w:cantSplit/>
          <w:trHeight w:val="60"/>
        </w:trPr>
        <w:tc>
          <w:tcPr>
            <w:tcW w:w="2700" w:type="dxa"/>
            <w:vMerge w:val="restart"/>
            <w:hideMark/>
          </w:tcPr>
          <w:p w14:paraId="7927305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863" w:type="dxa"/>
            <w:hideMark/>
          </w:tcPr>
          <w:p w14:paraId="6F772D9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25%</w:t>
            </w:r>
          </w:p>
        </w:tc>
        <w:tc>
          <w:tcPr>
            <w:tcW w:w="3672" w:type="dxa"/>
            <w:hideMark/>
          </w:tcPr>
          <w:p w14:paraId="4A1D25AA"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26244BAE" w14:textId="77777777" w:rsidTr="0035264A">
        <w:trPr>
          <w:cantSplit/>
          <w:trHeight w:val="60"/>
        </w:trPr>
        <w:tc>
          <w:tcPr>
            <w:tcW w:w="2700" w:type="dxa"/>
            <w:vMerge/>
            <w:vAlign w:val="center"/>
            <w:hideMark/>
          </w:tcPr>
          <w:p w14:paraId="7B7A91E2"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63" w:type="dxa"/>
            <w:hideMark/>
          </w:tcPr>
          <w:p w14:paraId="283B95C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25%</w:t>
            </w:r>
          </w:p>
        </w:tc>
        <w:tc>
          <w:tcPr>
            <w:tcW w:w="3672" w:type="dxa"/>
            <w:hideMark/>
          </w:tcPr>
          <w:p w14:paraId="10EE6EFB"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725AA27C" w14:textId="77777777" w:rsidTr="0035264A">
        <w:trPr>
          <w:cantSplit/>
          <w:trHeight w:val="60"/>
        </w:trPr>
        <w:tc>
          <w:tcPr>
            <w:tcW w:w="2700" w:type="dxa"/>
          </w:tcPr>
          <w:p w14:paraId="59782A6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35" w:type="dxa"/>
            <w:gridSpan w:val="2"/>
          </w:tcPr>
          <w:p w14:paraId="71FF833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compared to previous quarter performance.</w:t>
            </w:r>
          </w:p>
        </w:tc>
      </w:tr>
      <w:tr w:rsidR="00280F65" w:rsidRPr="00F03354" w14:paraId="28E51C36" w14:textId="77777777" w:rsidTr="0035264A">
        <w:trPr>
          <w:cantSplit/>
          <w:trHeight w:val="60"/>
        </w:trPr>
        <w:tc>
          <w:tcPr>
            <w:tcW w:w="2700" w:type="dxa"/>
            <w:hideMark/>
          </w:tcPr>
          <w:p w14:paraId="1A185B7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35" w:type="dxa"/>
            <w:gridSpan w:val="2"/>
            <w:hideMark/>
          </w:tcPr>
          <w:p w14:paraId="3379DE2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quarterly using 12-month rolling percentages.</w:t>
            </w:r>
          </w:p>
          <w:p w14:paraId="654BD2D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submitted to the department quarterly from Ambulance Victoria.</w:t>
            </w:r>
          </w:p>
        </w:tc>
      </w:tr>
    </w:tbl>
    <w:p w14:paraId="787818BC" w14:textId="77777777" w:rsidR="00280F65" w:rsidRPr="00F03354" w:rsidRDefault="00280F65" w:rsidP="00280F65">
      <w:pPr>
        <w:keepNext/>
        <w:keepLines/>
        <w:spacing w:before="240" w:after="90" w:line="320" w:lineRule="atLeast"/>
        <w:outlineLvl w:val="2"/>
        <w:rPr>
          <w:rFonts w:ascii="VIC" w:eastAsia="MS Gothic" w:hAnsi="VIC" w:cs="Arial"/>
          <w:b/>
          <w:bCs/>
          <w:color w:val="201547"/>
          <w:sz w:val="20"/>
          <w:szCs w:val="20"/>
        </w:rPr>
      </w:pPr>
      <w:bookmarkStart w:id="30" w:name="_Toc453325224"/>
      <w:bookmarkStart w:id="31" w:name="_Toc456342108"/>
      <w:bookmarkStart w:id="32" w:name="_Toc516827359"/>
      <w:bookmarkStart w:id="33" w:name="_Toc517959137"/>
      <w:bookmarkStart w:id="34" w:name="_Toc10123554"/>
      <w:bookmarkStart w:id="35" w:name="_Toc453325225"/>
      <w:bookmarkStart w:id="36" w:name="_Toc456342109"/>
    </w:p>
    <w:p w14:paraId="3259CB53" w14:textId="77777777" w:rsidR="00280F65" w:rsidRPr="00F03354" w:rsidRDefault="00280F65" w:rsidP="00280F65">
      <w:pPr>
        <w:rPr>
          <w:rFonts w:ascii="VIC" w:eastAsia="MS Gothic" w:hAnsi="VIC" w:cs="Arial"/>
          <w:b/>
          <w:bCs/>
          <w:color w:val="201547"/>
          <w:sz w:val="20"/>
          <w:szCs w:val="20"/>
        </w:rPr>
      </w:pPr>
      <w:r w:rsidRPr="00F03354">
        <w:rPr>
          <w:rFonts w:ascii="VIC" w:eastAsia="Times New Roman" w:hAnsi="VIC" w:cs="Times New Roman"/>
          <w:sz w:val="20"/>
          <w:szCs w:val="20"/>
        </w:rPr>
        <w:br w:type="page"/>
      </w:r>
    </w:p>
    <w:p w14:paraId="39D9FFB3" w14:textId="40D9BDC3" w:rsidR="00280F65" w:rsidRPr="00F03354" w:rsidRDefault="00280F65" w:rsidP="00280F65">
      <w:pPr>
        <w:keepNext/>
        <w:keepLines/>
        <w:spacing w:before="240" w:after="90" w:line="320" w:lineRule="atLeast"/>
        <w:outlineLvl w:val="2"/>
        <w:rPr>
          <w:rFonts w:ascii="VIC" w:eastAsia="MS Gothic" w:hAnsi="VIC" w:cs="Arial"/>
          <w:b/>
          <w:bCs/>
          <w:color w:val="244C5A"/>
          <w:sz w:val="20"/>
          <w:szCs w:val="20"/>
        </w:rPr>
      </w:pPr>
      <w:r w:rsidRPr="00F03354">
        <w:rPr>
          <w:rFonts w:ascii="VIC" w:eastAsia="MS Gothic" w:hAnsi="VIC" w:cs="Arial"/>
          <w:b/>
          <w:bCs/>
          <w:color w:val="244C5A"/>
          <w:sz w:val="20"/>
          <w:szCs w:val="20"/>
        </w:rPr>
        <w:lastRenderedPageBreak/>
        <w:t>Strong governance, leadership</w:t>
      </w:r>
      <w:bookmarkEnd w:id="30"/>
      <w:bookmarkEnd w:id="31"/>
      <w:r w:rsidR="00043F90" w:rsidRPr="00F03354">
        <w:rPr>
          <w:rFonts w:ascii="VIC" w:eastAsia="MS Gothic" w:hAnsi="VIC" w:cs="Arial"/>
          <w:b/>
          <w:bCs/>
          <w:color w:val="244C5A"/>
          <w:sz w:val="20"/>
          <w:szCs w:val="20"/>
        </w:rPr>
        <w:t>,</w:t>
      </w:r>
      <w:r w:rsidRPr="00F03354">
        <w:rPr>
          <w:rFonts w:ascii="VIC" w:eastAsia="MS Gothic" w:hAnsi="VIC" w:cs="Arial"/>
          <w:b/>
          <w:bCs/>
          <w:color w:val="244C5A"/>
          <w:sz w:val="20"/>
          <w:szCs w:val="20"/>
        </w:rPr>
        <w:t xml:space="preserve"> and culture</w:t>
      </w:r>
      <w:bookmarkEnd w:id="32"/>
      <w:bookmarkEnd w:id="33"/>
      <w:bookmarkEnd w:id="34"/>
    </w:p>
    <w:p w14:paraId="7B3359FA" w14:textId="77777777" w:rsidR="00280F65" w:rsidRPr="00F03354" w:rsidRDefault="00280F65" w:rsidP="00280F65">
      <w:pPr>
        <w:keepNext/>
        <w:keepLines/>
        <w:spacing w:before="240" w:after="120" w:line="280" w:lineRule="atLeast"/>
        <w:outlineLvl w:val="3"/>
        <w:rPr>
          <w:rFonts w:ascii="VIC" w:eastAsia="MS Mincho" w:hAnsi="VIC" w:cs="Arial"/>
          <w:b/>
          <w:bCs/>
          <w:color w:val="244C5A"/>
          <w:sz w:val="20"/>
          <w:szCs w:val="20"/>
        </w:rPr>
      </w:pPr>
      <w:bookmarkStart w:id="37" w:name="_Toc517959138"/>
      <w:bookmarkStart w:id="38" w:name="_Toc10123555"/>
      <w:r w:rsidRPr="00F03354">
        <w:rPr>
          <w:rFonts w:ascii="VIC" w:eastAsia="MS Mincho" w:hAnsi="VIC" w:cs="Arial"/>
          <w:b/>
          <w:bCs/>
          <w:color w:val="244C5A"/>
          <w:sz w:val="20"/>
          <w:szCs w:val="20"/>
        </w:rPr>
        <w:t>Organisational culture</w:t>
      </w:r>
      <w:bookmarkEnd w:id="37"/>
      <w:bookmarkEnd w:id="38"/>
      <w:r w:rsidRPr="00F03354">
        <w:rPr>
          <w:rFonts w:ascii="VIC" w:eastAsia="MS Mincho" w:hAnsi="VIC" w:cs="Arial"/>
          <w:b/>
          <w:bCs/>
          <w:color w:val="244C5A"/>
          <w:sz w:val="20"/>
          <w:szCs w:val="20"/>
        </w:rPr>
        <w:t xml:space="preserve"> </w:t>
      </w: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694"/>
        <w:gridCol w:w="7541"/>
      </w:tblGrid>
      <w:tr w:rsidR="00280F65" w:rsidRPr="00F03354" w14:paraId="3CEEB15A" w14:textId="77777777" w:rsidTr="0035264A">
        <w:trPr>
          <w:cantSplit/>
          <w:trHeight w:val="60"/>
        </w:trPr>
        <w:tc>
          <w:tcPr>
            <w:tcW w:w="2694" w:type="dxa"/>
            <w:hideMark/>
          </w:tcPr>
          <w:p w14:paraId="7C0FD7D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41" w:type="dxa"/>
            <w:hideMark/>
          </w:tcPr>
          <w:p w14:paraId="06D8FF7F" w14:textId="7065AC6C"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Organisational culture can significantly influence patient safety through its impact on effective communication, collaboration</w:t>
            </w:r>
            <w:r w:rsidR="0018142B"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engagement across the health service. Poor safety cultures have been identified internationally as recurring features of serious failings in care.</w:t>
            </w:r>
          </w:p>
          <w:p w14:paraId="4DCE664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Organisational culture surveys (such as the People Matter survey) offer an independent mechanism of assessing staff’s anonymous perception of safety within the organisation.</w:t>
            </w:r>
          </w:p>
          <w:p w14:paraId="0235B18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Victorian public healthcare organisations must participate in the People Matter survey annually.</w:t>
            </w:r>
          </w:p>
          <w:p w14:paraId="60E7EFF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While staff participation in the survey is voluntary, low participation rates can generate misleading results or signal staff engagement concerns. </w:t>
            </w:r>
          </w:p>
        </w:tc>
      </w:tr>
      <w:tr w:rsidR="00280F65" w:rsidRPr="00F03354" w14:paraId="0C2952A4" w14:textId="77777777" w:rsidTr="0035264A">
        <w:trPr>
          <w:cantSplit/>
          <w:trHeight w:val="60"/>
        </w:trPr>
        <w:tc>
          <w:tcPr>
            <w:tcW w:w="2694" w:type="dxa"/>
            <w:hideMark/>
          </w:tcPr>
          <w:p w14:paraId="2C169E8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41" w:type="dxa"/>
            <w:hideMark/>
          </w:tcPr>
          <w:p w14:paraId="7ACBF91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survey includes eight questions that specifically assess health service staff perspectives about the safety culture of the organisation.</w:t>
            </w:r>
          </w:p>
          <w:p w14:paraId="7E2061C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overall response measure, performance is based on a composite score of the eight safety culture agreement questions and expressed as the percentage of staff responses that either ‘agree’ or ‘strongly agree’ with each question.</w:t>
            </w:r>
          </w:p>
          <w:p w14:paraId="3B5377D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against each of the eight individual safety questions is also measured by assessing the percentage of staff responses that either ‘agree’ or ‘strongly agree’ with each question.</w:t>
            </w:r>
          </w:p>
        </w:tc>
      </w:tr>
      <w:tr w:rsidR="00280F65" w:rsidRPr="00F03354" w14:paraId="15369BBD" w14:textId="77777777" w:rsidTr="0035264A">
        <w:trPr>
          <w:cantSplit/>
          <w:trHeight w:val="60"/>
        </w:trPr>
        <w:tc>
          <w:tcPr>
            <w:tcW w:w="2694" w:type="dxa"/>
          </w:tcPr>
          <w:p w14:paraId="285427C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41" w:type="dxa"/>
          </w:tcPr>
          <w:p w14:paraId="3F8610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for any of the People Matter survey related measures is assessed against the previous year result.</w:t>
            </w:r>
          </w:p>
        </w:tc>
      </w:tr>
      <w:tr w:rsidR="00280F65" w:rsidRPr="00F03354" w14:paraId="6BCDAB4C" w14:textId="77777777" w:rsidTr="0035264A">
        <w:trPr>
          <w:cantSplit/>
          <w:trHeight w:val="60"/>
        </w:trPr>
        <w:tc>
          <w:tcPr>
            <w:tcW w:w="2694" w:type="dxa"/>
            <w:hideMark/>
          </w:tcPr>
          <w:p w14:paraId="6B016E4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41" w:type="dxa"/>
            <w:hideMark/>
          </w:tcPr>
          <w:p w14:paraId="30F1C5E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annually.</w:t>
            </w:r>
          </w:p>
          <w:p w14:paraId="464337C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These indicators measure performance at the health service level.</w:t>
            </w:r>
          </w:p>
          <w:p w14:paraId="1BBF412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measure is the Victorian Public Sector Commission.</w:t>
            </w:r>
          </w:p>
          <w:p w14:paraId="1333650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Health services receive a report on their results and are also benchmarked against other like healthcare organisations.</w:t>
            </w:r>
          </w:p>
          <w:p w14:paraId="35B7EB6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submitted to the department by 31 August and reported in quarter 1.</w:t>
            </w:r>
          </w:p>
        </w:tc>
      </w:tr>
    </w:tbl>
    <w:p w14:paraId="4C317241" w14:textId="77777777" w:rsidR="00280F65" w:rsidRPr="00F03354" w:rsidRDefault="00280F65" w:rsidP="00280F65">
      <w:pPr>
        <w:spacing w:after="120" w:line="270" w:lineRule="atLeast"/>
        <w:rPr>
          <w:rFonts w:ascii="VIC" w:eastAsia="Times" w:hAnsi="VIC" w:cs="Times New Roman"/>
          <w:b/>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2"/>
        <w:gridCol w:w="3934"/>
        <w:gridCol w:w="3629"/>
      </w:tblGrid>
      <w:tr w:rsidR="00280F65" w:rsidRPr="00F03354" w14:paraId="1672E0A3" w14:textId="77777777" w:rsidTr="0035264A">
        <w:trPr>
          <w:cantSplit/>
          <w:trHeight w:val="60"/>
          <w:tblHeader/>
        </w:trPr>
        <w:tc>
          <w:tcPr>
            <w:tcW w:w="2672" w:type="dxa"/>
            <w:shd w:val="clear" w:color="auto" w:fill="244C5A"/>
            <w:vAlign w:val="bottom"/>
          </w:tcPr>
          <w:p w14:paraId="1FF8F3F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63" w:type="dxa"/>
            <w:gridSpan w:val="2"/>
            <w:shd w:val="clear" w:color="auto" w:fill="244C5A"/>
            <w:vAlign w:val="bottom"/>
          </w:tcPr>
          <w:p w14:paraId="2CB4281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staff with an overall positive response to safety culture question in People Matter survey</w:t>
            </w:r>
          </w:p>
        </w:tc>
      </w:tr>
      <w:tr w:rsidR="00280F65" w:rsidRPr="00F03354" w14:paraId="5CE4723C" w14:textId="77777777" w:rsidTr="0035264A">
        <w:trPr>
          <w:cantSplit/>
          <w:trHeight w:val="60"/>
        </w:trPr>
        <w:tc>
          <w:tcPr>
            <w:tcW w:w="2672" w:type="dxa"/>
            <w:hideMark/>
          </w:tcPr>
          <w:p w14:paraId="50207E5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Numerator </w:t>
            </w:r>
          </w:p>
        </w:tc>
        <w:tc>
          <w:tcPr>
            <w:tcW w:w="7563" w:type="dxa"/>
            <w:gridSpan w:val="2"/>
            <w:hideMark/>
          </w:tcPr>
          <w:p w14:paraId="099CBBF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‘agree’ or ‘strongly agree’ responses to each of the eight safety culture questions in the health service’s People Matter survey</w:t>
            </w:r>
          </w:p>
        </w:tc>
      </w:tr>
      <w:tr w:rsidR="00280F65" w:rsidRPr="00F03354" w14:paraId="0EE0FAC6" w14:textId="77777777" w:rsidTr="0035264A">
        <w:trPr>
          <w:cantSplit/>
          <w:trHeight w:val="60"/>
        </w:trPr>
        <w:tc>
          <w:tcPr>
            <w:tcW w:w="2672" w:type="dxa"/>
            <w:hideMark/>
          </w:tcPr>
          <w:p w14:paraId="42FF50C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63" w:type="dxa"/>
            <w:gridSpan w:val="2"/>
            <w:hideMark/>
          </w:tcPr>
          <w:p w14:paraId="57CA81C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‘agree’, ‘strongly agree’, ‘disagree’ or ‘strongly disagree’, ‘don’t know’, ‘neither agree nor disagree’ responses to each of the eight safety culture questions in the health service’s People Matter survey</w:t>
            </w:r>
          </w:p>
        </w:tc>
      </w:tr>
      <w:tr w:rsidR="00280F65" w:rsidRPr="00F03354" w14:paraId="785A3801" w14:textId="77777777" w:rsidTr="0035264A">
        <w:trPr>
          <w:cantSplit/>
          <w:trHeight w:val="60"/>
        </w:trPr>
        <w:tc>
          <w:tcPr>
            <w:tcW w:w="2672" w:type="dxa"/>
            <w:hideMark/>
          </w:tcPr>
          <w:p w14:paraId="680124B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3" w:type="dxa"/>
            <w:gridSpan w:val="2"/>
            <w:hideMark/>
          </w:tcPr>
          <w:p w14:paraId="0EEB6A50"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62%</w:t>
            </w:r>
          </w:p>
        </w:tc>
      </w:tr>
      <w:tr w:rsidR="00280F65" w:rsidRPr="00F03354" w14:paraId="04B0EB31" w14:textId="77777777" w:rsidTr="0035264A">
        <w:trPr>
          <w:cantSplit/>
          <w:trHeight w:val="60"/>
        </w:trPr>
        <w:tc>
          <w:tcPr>
            <w:tcW w:w="2672" w:type="dxa"/>
            <w:vMerge w:val="restart"/>
            <w:hideMark/>
          </w:tcPr>
          <w:p w14:paraId="3823805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3934" w:type="dxa"/>
            <w:hideMark/>
          </w:tcPr>
          <w:p w14:paraId="45004F5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62%</w:t>
            </w:r>
          </w:p>
        </w:tc>
        <w:tc>
          <w:tcPr>
            <w:tcW w:w="3629" w:type="dxa"/>
            <w:hideMark/>
          </w:tcPr>
          <w:p w14:paraId="37EFC6F8"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6EF5449B" w14:textId="77777777" w:rsidTr="0035264A">
        <w:trPr>
          <w:cantSplit/>
          <w:trHeight w:val="60"/>
        </w:trPr>
        <w:tc>
          <w:tcPr>
            <w:tcW w:w="2672" w:type="dxa"/>
            <w:vMerge/>
            <w:vAlign w:val="center"/>
            <w:hideMark/>
          </w:tcPr>
          <w:p w14:paraId="123B7B23"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934" w:type="dxa"/>
            <w:hideMark/>
          </w:tcPr>
          <w:p w14:paraId="0EEFBA5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Less than 62% </w:t>
            </w:r>
          </w:p>
        </w:tc>
        <w:tc>
          <w:tcPr>
            <w:tcW w:w="3629" w:type="dxa"/>
            <w:hideMark/>
          </w:tcPr>
          <w:p w14:paraId="1DCD7B06"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5255EDB0" w14:textId="77777777" w:rsidR="00280F65" w:rsidRPr="00F03354"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700"/>
        <w:gridCol w:w="3850"/>
        <w:gridCol w:w="3685"/>
      </w:tblGrid>
      <w:tr w:rsidR="00280F65" w:rsidRPr="00F03354" w14:paraId="29E2C9EE" w14:textId="77777777" w:rsidTr="0035264A">
        <w:trPr>
          <w:cantSplit/>
          <w:trHeight w:val="60"/>
          <w:tblHeader/>
        </w:trPr>
        <w:tc>
          <w:tcPr>
            <w:tcW w:w="2700" w:type="dxa"/>
            <w:shd w:val="clear" w:color="auto" w:fill="244C5A"/>
            <w:vAlign w:val="bottom"/>
          </w:tcPr>
          <w:p w14:paraId="458C4AAF"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35" w:type="dxa"/>
            <w:gridSpan w:val="2"/>
            <w:shd w:val="clear" w:color="auto" w:fill="244C5A"/>
            <w:vAlign w:val="bottom"/>
          </w:tcPr>
          <w:p w14:paraId="3219FBEF"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 am encouraged by my colleagues to report any patient safety concerns I may have</w:t>
            </w:r>
          </w:p>
        </w:tc>
      </w:tr>
      <w:tr w:rsidR="00280F65" w:rsidRPr="00F03354" w14:paraId="0C2C816B" w14:textId="77777777" w:rsidTr="0035264A">
        <w:trPr>
          <w:cantSplit/>
          <w:trHeight w:val="60"/>
        </w:trPr>
        <w:tc>
          <w:tcPr>
            <w:tcW w:w="2700" w:type="dxa"/>
          </w:tcPr>
          <w:p w14:paraId="7C697B9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35" w:type="dxa"/>
            <w:gridSpan w:val="2"/>
          </w:tcPr>
          <w:p w14:paraId="75B7184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‘agree’ or ‘strongly agree’ responses to the People Matter survey question: I am encouraged by my colleagues to report any patient safety concerns I may have</w:t>
            </w:r>
          </w:p>
        </w:tc>
      </w:tr>
      <w:tr w:rsidR="00280F65" w:rsidRPr="00F03354" w14:paraId="1BB38382" w14:textId="77777777" w:rsidTr="0035264A">
        <w:trPr>
          <w:cantSplit/>
          <w:trHeight w:val="60"/>
        </w:trPr>
        <w:tc>
          <w:tcPr>
            <w:tcW w:w="2700" w:type="dxa"/>
          </w:tcPr>
          <w:p w14:paraId="226D9C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35" w:type="dxa"/>
            <w:gridSpan w:val="2"/>
          </w:tcPr>
          <w:p w14:paraId="622AB6C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F03354" w14:paraId="201AD3E9" w14:textId="77777777" w:rsidTr="0035264A">
        <w:trPr>
          <w:cantSplit/>
          <w:trHeight w:val="60"/>
        </w:trPr>
        <w:tc>
          <w:tcPr>
            <w:tcW w:w="2700" w:type="dxa"/>
          </w:tcPr>
          <w:p w14:paraId="50C8CC1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35" w:type="dxa"/>
            <w:gridSpan w:val="2"/>
          </w:tcPr>
          <w:p w14:paraId="4249B11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62%</w:t>
            </w:r>
          </w:p>
        </w:tc>
      </w:tr>
      <w:tr w:rsidR="00280F65" w:rsidRPr="00F03354" w14:paraId="34786407" w14:textId="77777777" w:rsidTr="0035264A">
        <w:trPr>
          <w:cantSplit/>
          <w:trHeight w:val="60"/>
        </w:trPr>
        <w:tc>
          <w:tcPr>
            <w:tcW w:w="2700" w:type="dxa"/>
            <w:vMerge w:val="restart"/>
          </w:tcPr>
          <w:p w14:paraId="4040595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850" w:type="dxa"/>
          </w:tcPr>
          <w:p w14:paraId="7FB0A50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62%</w:t>
            </w:r>
          </w:p>
        </w:tc>
        <w:tc>
          <w:tcPr>
            <w:tcW w:w="3685" w:type="dxa"/>
          </w:tcPr>
          <w:p w14:paraId="36B763B2"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2C33A28F" w14:textId="77777777" w:rsidTr="0035264A">
        <w:trPr>
          <w:cantSplit/>
          <w:trHeight w:val="60"/>
        </w:trPr>
        <w:tc>
          <w:tcPr>
            <w:tcW w:w="2700" w:type="dxa"/>
            <w:vMerge/>
          </w:tcPr>
          <w:p w14:paraId="09A23B82"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50" w:type="dxa"/>
          </w:tcPr>
          <w:p w14:paraId="2FD1B15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62%</w:t>
            </w:r>
          </w:p>
        </w:tc>
        <w:tc>
          <w:tcPr>
            <w:tcW w:w="3685" w:type="dxa"/>
          </w:tcPr>
          <w:p w14:paraId="1A8CF22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53F0053D" w14:textId="77777777" w:rsidR="00280F65" w:rsidRPr="00F03354"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99"/>
        <w:gridCol w:w="3865"/>
        <w:gridCol w:w="3671"/>
      </w:tblGrid>
      <w:tr w:rsidR="00280F65" w:rsidRPr="00F03354" w14:paraId="7D2E574A" w14:textId="77777777" w:rsidTr="0035264A">
        <w:trPr>
          <w:cantSplit/>
          <w:trHeight w:val="60"/>
          <w:tblHeader/>
        </w:trPr>
        <w:tc>
          <w:tcPr>
            <w:tcW w:w="2699" w:type="dxa"/>
            <w:shd w:val="clear" w:color="auto" w:fill="244C5A"/>
            <w:vAlign w:val="bottom"/>
          </w:tcPr>
          <w:p w14:paraId="3A05E55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36" w:type="dxa"/>
            <w:gridSpan w:val="2"/>
            <w:shd w:val="clear" w:color="auto" w:fill="244C5A"/>
            <w:vAlign w:val="bottom"/>
          </w:tcPr>
          <w:p w14:paraId="0F3B9E23"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Patient care errors are handled appropriately in my work area</w:t>
            </w:r>
          </w:p>
        </w:tc>
      </w:tr>
      <w:tr w:rsidR="00280F65" w:rsidRPr="00F03354" w14:paraId="51D039F1" w14:textId="77777777" w:rsidTr="0035264A">
        <w:trPr>
          <w:cantSplit/>
          <w:trHeight w:val="60"/>
        </w:trPr>
        <w:tc>
          <w:tcPr>
            <w:tcW w:w="2699" w:type="dxa"/>
          </w:tcPr>
          <w:p w14:paraId="75D7A30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36" w:type="dxa"/>
            <w:gridSpan w:val="2"/>
          </w:tcPr>
          <w:p w14:paraId="6C9601C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‘agree’ or ‘strongly agree’ responses to the People Matter survey question: Patient care errors are handled appropriately in my work area</w:t>
            </w:r>
          </w:p>
        </w:tc>
      </w:tr>
      <w:tr w:rsidR="00280F65" w:rsidRPr="00F03354" w14:paraId="2451DC03" w14:textId="77777777" w:rsidTr="0035264A">
        <w:trPr>
          <w:cantSplit/>
          <w:trHeight w:val="60"/>
        </w:trPr>
        <w:tc>
          <w:tcPr>
            <w:tcW w:w="2699" w:type="dxa"/>
          </w:tcPr>
          <w:p w14:paraId="3C4BA10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36" w:type="dxa"/>
            <w:gridSpan w:val="2"/>
          </w:tcPr>
          <w:p w14:paraId="3C6C5DA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F03354" w14:paraId="554443E1" w14:textId="77777777" w:rsidTr="0035264A">
        <w:trPr>
          <w:cantSplit/>
          <w:trHeight w:val="60"/>
        </w:trPr>
        <w:tc>
          <w:tcPr>
            <w:tcW w:w="2699" w:type="dxa"/>
          </w:tcPr>
          <w:p w14:paraId="73721AB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36" w:type="dxa"/>
            <w:gridSpan w:val="2"/>
          </w:tcPr>
          <w:p w14:paraId="7B78683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62%</w:t>
            </w:r>
          </w:p>
        </w:tc>
      </w:tr>
      <w:tr w:rsidR="00280F65" w:rsidRPr="00F03354" w14:paraId="4424A0D0" w14:textId="77777777" w:rsidTr="0035264A">
        <w:trPr>
          <w:cantSplit/>
          <w:trHeight w:val="60"/>
        </w:trPr>
        <w:tc>
          <w:tcPr>
            <w:tcW w:w="2699" w:type="dxa"/>
            <w:vMerge w:val="restart"/>
          </w:tcPr>
          <w:p w14:paraId="36ECE67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865" w:type="dxa"/>
          </w:tcPr>
          <w:p w14:paraId="3952CB0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62%</w:t>
            </w:r>
          </w:p>
        </w:tc>
        <w:tc>
          <w:tcPr>
            <w:tcW w:w="3671" w:type="dxa"/>
          </w:tcPr>
          <w:p w14:paraId="3844D824"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Achieved</w:t>
            </w:r>
          </w:p>
        </w:tc>
      </w:tr>
      <w:tr w:rsidR="00280F65" w:rsidRPr="00F03354" w14:paraId="3F6E03C6" w14:textId="77777777" w:rsidTr="0035264A">
        <w:trPr>
          <w:cantSplit/>
          <w:trHeight w:val="146"/>
        </w:trPr>
        <w:tc>
          <w:tcPr>
            <w:tcW w:w="2699" w:type="dxa"/>
            <w:vMerge/>
          </w:tcPr>
          <w:p w14:paraId="4C3A2D32"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65" w:type="dxa"/>
          </w:tcPr>
          <w:p w14:paraId="6EE4A4A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62%</w:t>
            </w:r>
          </w:p>
        </w:tc>
        <w:tc>
          <w:tcPr>
            <w:tcW w:w="3671" w:type="dxa"/>
          </w:tcPr>
          <w:p w14:paraId="548CFA5F"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bl>
    <w:p w14:paraId="7A93A708" w14:textId="77777777" w:rsidR="00280F65" w:rsidRPr="00F03354"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99"/>
        <w:gridCol w:w="3864"/>
        <w:gridCol w:w="3672"/>
      </w:tblGrid>
      <w:tr w:rsidR="00280F65" w:rsidRPr="00F03354" w14:paraId="43C1FF19" w14:textId="77777777" w:rsidTr="0035264A">
        <w:trPr>
          <w:cantSplit/>
          <w:trHeight w:val="60"/>
          <w:tblHeader/>
        </w:trPr>
        <w:tc>
          <w:tcPr>
            <w:tcW w:w="2699" w:type="dxa"/>
            <w:shd w:val="clear" w:color="auto" w:fill="244C5A"/>
            <w:vAlign w:val="bottom"/>
          </w:tcPr>
          <w:p w14:paraId="0D7BD18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36" w:type="dxa"/>
            <w:gridSpan w:val="2"/>
            <w:shd w:val="clear" w:color="auto" w:fill="244C5A"/>
            <w:vAlign w:val="bottom"/>
          </w:tcPr>
          <w:p w14:paraId="6221BFA5"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My suggestions about patient safety would be acted upon if I expressed them to my manager</w:t>
            </w:r>
          </w:p>
        </w:tc>
      </w:tr>
      <w:tr w:rsidR="00280F65" w:rsidRPr="00F03354" w14:paraId="66B21403" w14:textId="77777777" w:rsidTr="0035264A">
        <w:trPr>
          <w:cantSplit/>
          <w:trHeight w:val="60"/>
        </w:trPr>
        <w:tc>
          <w:tcPr>
            <w:tcW w:w="2699" w:type="dxa"/>
          </w:tcPr>
          <w:p w14:paraId="046439F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36" w:type="dxa"/>
            <w:gridSpan w:val="2"/>
          </w:tcPr>
          <w:p w14:paraId="1410E1C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‘agree’ or ‘strongly agree’ responses to the People Matter survey question: My suggestions about patient safety would be acted upon if I expressed them to my manager</w:t>
            </w:r>
          </w:p>
        </w:tc>
      </w:tr>
      <w:tr w:rsidR="00280F65" w:rsidRPr="00F03354" w14:paraId="562DF2EC" w14:textId="77777777" w:rsidTr="0035264A">
        <w:trPr>
          <w:cantSplit/>
          <w:trHeight w:val="60"/>
        </w:trPr>
        <w:tc>
          <w:tcPr>
            <w:tcW w:w="2699" w:type="dxa"/>
          </w:tcPr>
          <w:p w14:paraId="58B6A1F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36" w:type="dxa"/>
            <w:gridSpan w:val="2"/>
          </w:tcPr>
          <w:p w14:paraId="716F4EC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F03354" w14:paraId="33403D1B" w14:textId="77777777" w:rsidTr="0035264A">
        <w:trPr>
          <w:cantSplit/>
          <w:trHeight w:val="60"/>
        </w:trPr>
        <w:tc>
          <w:tcPr>
            <w:tcW w:w="2699" w:type="dxa"/>
          </w:tcPr>
          <w:p w14:paraId="3BCD1E4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36" w:type="dxa"/>
            <w:gridSpan w:val="2"/>
          </w:tcPr>
          <w:p w14:paraId="470F5BC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62%</w:t>
            </w:r>
          </w:p>
        </w:tc>
      </w:tr>
      <w:tr w:rsidR="00280F65" w:rsidRPr="00F03354" w14:paraId="1BF0B8CF" w14:textId="77777777" w:rsidTr="0035264A">
        <w:trPr>
          <w:cantSplit/>
          <w:trHeight w:val="60"/>
        </w:trPr>
        <w:tc>
          <w:tcPr>
            <w:tcW w:w="2699" w:type="dxa"/>
            <w:vMerge w:val="restart"/>
          </w:tcPr>
          <w:p w14:paraId="4274F28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864" w:type="dxa"/>
          </w:tcPr>
          <w:p w14:paraId="1B89D8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62%</w:t>
            </w:r>
          </w:p>
        </w:tc>
        <w:tc>
          <w:tcPr>
            <w:tcW w:w="3672" w:type="dxa"/>
          </w:tcPr>
          <w:p w14:paraId="12427E37"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Achieved</w:t>
            </w:r>
          </w:p>
        </w:tc>
      </w:tr>
      <w:tr w:rsidR="00280F65" w:rsidRPr="00F03354" w14:paraId="621C2CBA" w14:textId="77777777" w:rsidTr="0035264A">
        <w:trPr>
          <w:cantSplit/>
          <w:trHeight w:val="60"/>
        </w:trPr>
        <w:tc>
          <w:tcPr>
            <w:tcW w:w="2699" w:type="dxa"/>
            <w:vMerge/>
          </w:tcPr>
          <w:p w14:paraId="7CEE92D8"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64" w:type="dxa"/>
          </w:tcPr>
          <w:p w14:paraId="67846AC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62%</w:t>
            </w:r>
          </w:p>
        </w:tc>
        <w:tc>
          <w:tcPr>
            <w:tcW w:w="3672" w:type="dxa"/>
          </w:tcPr>
          <w:p w14:paraId="5E00DC9C"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bl>
    <w:p w14:paraId="6DECD686" w14:textId="77777777" w:rsidR="00280F65" w:rsidRPr="00F03354" w:rsidRDefault="00280F65" w:rsidP="00280F65">
      <w:pPr>
        <w:spacing w:after="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3"/>
        <w:gridCol w:w="3932"/>
        <w:gridCol w:w="3630"/>
      </w:tblGrid>
      <w:tr w:rsidR="00280F65" w:rsidRPr="00F03354" w14:paraId="0CD44847" w14:textId="77777777" w:rsidTr="0035264A">
        <w:trPr>
          <w:cantSplit/>
          <w:trHeight w:val="60"/>
          <w:tblHeader/>
        </w:trPr>
        <w:tc>
          <w:tcPr>
            <w:tcW w:w="2673" w:type="dxa"/>
            <w:shd w:val="clear" w:color="auto" w:fill="244C5A"/>
            <w:vAlign w:val="bottom"/>
          </w:tcPr>
          <w:p w14:paraId="31EED5A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562" w:type="dxa"/>
            <w:gridSpan w:val="2"/>
            <w:shd w:val="clear" w:color="auto" w:fill="244C5A"/>
            <w:vAlign w:val="bottom"/>
          </w:tcPr>
          <w:p w14:paraId="328754F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Management is driving us to be a safety-centred organisation</w:t>
            </w:r>
          </w:p>
        </w:tc>
      </w:tr>
      <w:tr w:rsidR="00280F65" w:rsidRPr="00F03354" w14:paraId="28B6D3C5" w14:textId="77777777" w:rsidTr="0035264A">
        <w:trPr>
          <w:cantSplit/>
          <w:trHeight w:val="60"/>
        </w:trPr>
        <w:tc>
          <w:tcPr>
            <w:tcW w:w="2673" w:type="dxa"/>
          </w:tcPr>
          <w:p w14:paraId="46E5818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62" w:type="dxa"/>
            <w:gridSpan w:val="2"/>
          </w:tcPr>
          <w:p w14:paraId="6DA687D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Percentage of staff with a positive response to the safety culture question: Management is driving us to be a safety-centred organisation</w:t>
            </w:r>
          </w:p>
        </w:tc>
      </w:tr>
      <w:tr w:rsidR="00280F65" w:rsidRPr="00F03354" w14:paraId="7971B4F7" w14:textId="77777777" w:rsidTr="0035264A">
        <w:trPr>
          <w:cantSplit/>
          <w:trHeight w:val="60"/>
        </w:trPr>
        <w:tc>
          <w:tcPr>
            <w:tcW w:w="2673" w:type="dxa"/>
          </w:tcPr>
          <w:p w14:paraId="08E7061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62" w:type="dxa"/>
            <w:gridSpan w:val="2"/>
          </w:tcPr>
          <w:p w14:paraId="21E215F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F03354" w14:paraId="650837A8" w14:textId="77777777" w:rsidTr="0035264A">
        <w:trPr>
          <w:cantSplit/>
          <w:trHeight w:val="60"/>
        </w:trPr>
        <w:tc>
          <w:tcPr>
            <w:tcW w:w="2673" w:type="dxa"/>
          </w:tcPr>
          <w:p w14:paraId="1A385AD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2" w:type="dxa"/>
            <w:gridSpan w:val="2"/>
          </w:tcPr>
          <w:p w14:paraId="7F01042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62%</w:t>
            </w:r>
          </w:p>
        </w:tc>
      </w:tr>
      <w:tr w:rsidR="00280F65" w:rsidRPr="00F03354" w14:paraId="665BA3F5" w14:textId="77777777" w:rsidTr="0035264A">
        <w:trPr>
          <w:cantSplit/>
          <w:trHeight w:val="60"/>
        </w:trPr>
        <w:tc>
          <w:tcPr>
            <w:tcW w:w="2673" w:type="dxa"/>
            <w:vMerge w:val="restart"/>
          </w:tcPr>
          <w:p w14:paraId="074C27F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932" w:type="dxa"/>
          </w:tcPr>
          <w:p w14:paraId="0FA4D7F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62%</w:t>
            </w:r>
          </w:p>
        </w:tc>
        <w:tc>
          <w:tcPr>
            <w:tcW w:w="3630" w:type="dxa"/>
          </w:tcPr>
          <w:p w14:paraId="41FEC86C"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015B4AB7" w14:textId="77777777" w:rsidTr="0035264A">
        <w:trPr>
          <w:cantSplit/>
          <w:trHeight w:val="60"/>
        </w:trPr>
        <w:tc>
          <w:tcPr>
            <w:tcW w:w="2673" w:type="dxa"/>
            <w:vMerge/>
          </w:tcPr>
          <w:p w14:paraId="64ADEE34"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932" w:type="dxa"/>
          </w:tcPr>
          <w:p w14:paraId="7F9838E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62%</w:t>
            </w:r>
          </w:p>
        </w:tc>
        <w:tc>
          <w:tcPr>
            <w:tcW w:w="3630" w:type="dxa"/>
          </w:tcPr>
          <w:p w14:paraId="0DCCB57E"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bl>
    <w:p w14:paraId="264DFAD7" w14:textId="77777777" w:rsidR="00280F65" w:rsidRPr="00F03354"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2"/>
        <w:gridCol w:w="3867"/>
        <w:gridCol w:w="3696"/>
      </w:tblGrid>
      <w:tr w:rsidR="00280F65" w:rsidRPr="00F03354" w14:paraId="68912645" w14:textId="77777777" w:rsidTr="0035264A">
        <w:trPr>
          <w:cantSplit/>
          <w:trHeight w:val="60"/>
          <w:tblHeader/>
        </w:trPr>
        <w:tc>
          <w:tcPr>
            <w:tcW w:w="2672" w:type="dxa"/>
            <w:shd w:val="clear" w:color="auto" w:fill="244C5A"/>
            <w:vAlign w:val="bottom"/>
          </w:tcPr>
          <w:p w14:paraId="189CD1F7"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63" w:type="dxa"/>
            <w:gridSpan w:val="2"/>
            <w:shd w:val="clear" w:color="auto" w:fill="244C5A"/>
            <w:vAlign w:val="bottom"/>
          </w:tcPr>
          <w:p w14:paraId="532FB72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The culture in my work area makes it easy to learn from the errors of others</w:t>
            </w:r>
          </w:p>
        </w:tc>
      </w:tr>
      <w:tr w:rsidR="00280F65" w:rsidRPr="00F03354" w14:paraId="0F325296" w14:textId="77777777" w:rsidTr="0035264A">
        <w:trPr>
          <w:cantSplit/>
          <w:trHeight w:val="60"/>
        </w:trPr>
        <w:tc>
          <w:tcPr>
            <w:tcW w:w="2672" w:type="dxa"/>
          </w:tcPr>
          <w:p w14:paraId="23760CE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63" w:type="dxa"/>
            <w:gridSpan w:val="2"/>
          </w:tcPr>
          <w:p w14:paraId="02DA63C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‘agree’ or ‘strongly agree’ responses to the People Matter survey question: The culture in my work area makes it easy to learn from the errors of others</w:t>
            </w:r>
          </w:p>
        </w:tc>
      </w:tr>
      <w:tr w:rsidR="00280F65" w:rsidRPr="00F03354" w14:paraId="68A0A996" w14:textId="77777777" w:rsidTr="0035264A">
        <w:trPr>
          <w:cantSplit/>
          <w:trHeight w:val="60"/>
        </w:trPr>
        <w:tc>
          <w:tcPr>
            <w:tcW w:w="2672" w:type="dxa"/>
          </w:tcPr>
          <w:p w14:paraId="18970C0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63" w:type="dxa"/>
            <w:gridSpan w:val="2"/>
          </w:tcPr>
          <w:p w14:paraId="75B62B1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F03354" w14:paraId="3FB9F6F5" w14:textId="77777777" w:rsidTr="0035264A">
        <w:trPr>
          <w:cantSplit/>
          <w:trHeight w:val="60"/>
        </w:trPr>
        <w:tc>
          <w:tcPr>
            <w:tcW w:w="2672" w:type="dxa"/>
          </w:tcPr>
          <w:p w14:paraId="7696C63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3" w:type="dxa"/>
            <w:gridSpan w:val="2"/>
          </w:tcPr>
          <w:p w14:paraId="113F2D4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62%</w:t>
            </w:r>
          </w:p>
        </w:tc>
      </w:tr>
      <w:tr w:rsidR="00280F65" w:rsidRPr="00F03354" w14:paraId="7B7BFAD9" w14:textId="77777777" w:rsidTr="0035264A">
        <w:trPr>
          <w:cantSplit/>
          <w:trHeight w:val="60"/>
        </w:trPr>
        <w:tc>
          <w:tcPr>
            <w:tcW w:w="2672" w:type="dxa"/>
            <w:vMerge w:val="restart"/>
          </w:tcPr>
          <w:p w14:paraId="5C43E4E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867" w:type="dxa"/>
          </w:tcPr>
          <w:p w14:paraId="33B0575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62%</w:t>
            </w:r>
          </w:p>
        </w:tc>
        <w:tc>
          <w:tcPr>
            <w:tcW w:w="3696" w:type="dxa"/>
          </w:tcPr>
          <w:p w14:paraId="0F138903"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Achieved</w:t>
            </w:r>
          </w:p>
        </w:tc>
      </w:tr>
      <w:tr w:rsidR="00280F65" w:rsidRPr="00F03354" w14:paraId="439F6A22" w14:textId="77777777" w:rsidTr="0035264A">
        <w:trPr>
          <w:cantSplit/>
          <w:trHeight w:val="60"/>
        </w:trPr>
        <w:tc>
          <w:tcPr>
            <w:tcW w:w="2672" w:type="dxa"/>
            <w:vMerge/>
          </w:tcPr>
          <w:p w14:paraId="5E5350F7"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67" w:type="dxa"/>
          </w:tcPr>
          <w:p w14:paraId="3D55F09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62%</w:t>
            </w:r>
          </w:p>
        </w:tc>
        <w:tc>
          <w:tcPr>
            <w:tcW w:w="3696" w:type="dxa"/>
          </w:tcPr>
          <w:p w14:paraId="24FAC68A"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bl>
    <w:p w14:paraId="55B77790" w14:textId="77777777" w:rsidR="00280F65" w:rsidRPr="00F03354"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2"/>
        <w:gridCol w:w="3885"/>
        <w:gridCol w:w="3678"/>
      </w:tblGrid>
      <w:tr w:rsidR="00280F65" w:rsidRPr="00F03354" w14:paraId="7A55E1D4" w14:textId="77777777" w:rsidTr="0035264A">
        <w:trPr>
          <w:cantSplit/>
          <w:trHeight w:val="60"/>
          <w:tblHeader/>
        </w:trPr>
        <w:tc>
          <w:tcPr>
            <w:tcW w:w="2672" w:type="dxa"/>
            <w:shd w:val="clear" w:color="auto" w:fill="244C5A"/>
            <w:vAlign w:val="bottom"/>
          </w:tcPr>
          <w:p w14:paraId="7A72A7A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63" w:type="dxa"/>
            <w:gridSpan w:val="2"/>
            <w:shd w:val="clear" w:color="auto" w:fill="244C5A"/>
            <w:vAlign w:val="bottom"/>
          </w:tcPr>
          <w:p w14:paraId="1B96916E"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This health service does a good job of training new and existing staff</w:t>
            </w:r>
          </w:p>
        </w:tc>
      </w:tr>
      <w:tr w:rsidR="00280F65" w:rsidRPr="00F03354" w14:paraId="2BDE5821" w14:textId="77777777" w:rsidTr="0035264A">
        <w:trPr>
          <w:cantSplit/>
          <w:trHeight w:val="60"/>
        </w:trPr>
        <w:tc>
          <w:tcPr>
            <w:tcW w:w="2672" w:type="dxa"/>
          </w:tcPr>
          <w:p w14:paraId="4BC57D0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63" w:type="dxa"/>
            <w:gridSpan w:val="2"/>
          </w:tcPr>
          <w:p w14:paraId="725B191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Percentage of staff with a positive response to the safety culture question: This health service does a good job of training new and existing staff</w:t>
            </w:r>
          </w:p>
        </w:tc>
      </w:tr>
      <w:tr w:rsidR="00280F65" w:rsidRPr="00F03354" w14:paraId="2F251CD3" w14:textId="77777777" w:rsidTr="0035264A">
        <w:trPr>
          <w:cantSplit/>
          <w:trHeight w:val="60"/>
        </w:trPr>
        <w:tc>
          <w:tcPr>
            <w:tcW w:w="2672" w:type="dxa"/>
          </w:tcPr>
          <w:p w14:paraId="0BE7BCA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63" w:type="dxa"/>
            <w:gridSpan w:val="2"/>
          </w:tcPr>
          <w:p w14:paraId="543C7A1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F03354" w14:paraId="5E7AD940" w14:textId="77777777" w:rsidTr="0035264A">
        <w:trPr>
          <w:cantSplit/>
          <w:trHeight w:val="60"/>
        </w:trPr>
        <w:tc>
          <w:tcPr>
            <w:tcW w:w="2672" w:type="dxa"/>
          </w:tcPr>
          <w:p w14:paraId="3DCF9B4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3" w:type="dxa"/>
            <w:gridSpan w:val="2"/>
          </w:tcPr>
          <w:p w14:paraId="6084B75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62%</w:t>
            </w:r>
          </w:p>
        </w:tc>
      </w:tr>
      <w:tr w:rsidR="00280F65" w:rsidRPr="00F03354" w14:paraId="253E258E" w14:textId="77777777" w:rsidTr="0035264A">
        <w:trPr>
          <w:cantSplit/>
          <w:trHeight w:val="60"/>
        </w:trPr>
        <w:tc>
          <w:tcPr>
            <w:tcW w:w="2672" w:type="dxa"/>
            <w:vMerge w:val="restart"/>
          </w:tcPr>
          <w:p w14:paraId="29ED591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885" w:type="dxa"/>
          </w:tcPr>
          <w:p w14:paraId="1180D12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62%</w:t>
            </w:r>
          </w:p>
        </w:tc>
        <w:tc>
          <w:tcPr>
            <w:tcW w:w="3678" w:type="dxa"/>
          </w:tcPr>
          <w:p w14:paraId="15E5A02A" w14:textId="77777777" w:rsidR="00280F65" w:rsidRPr="00F03354" w:rsidRDefault="00280F65" w:rsidP="00280F65">
            <w:pPr>
              <w:spacing w:before="80" w:after="60" w:line="240" w:lineRule="auto"/>
              <w:jc w:val="center"/>
              <w:rPr>
                <w:rFonts w:ascii="VIC" w:eastAsia="Times New Roman" w:hAnsi="VIC" w:cs="Times New Roman"/>
                <w:bCs/>
                <w:i/>
                <w:iCs/>
                <w:sz w:val="20"/>
                <w:szCs w:val="20"/>
              </w:rPr>
            </w:pPr>
            <w:r w:rsidRPr="00F03354">
              <w:rPr>
                <w:rFonts w:ascii="VIC" w:eastAsia="Times New Roman" w:hAnsi="VIC" w:cs="Times New Roman"/>
                <w:sz w:val="20"/>
                <w:szCs w:val="20"/>
              </w:rPr>
              <w:t>Achieved</w:t>
            </w:r>
          </w:p>
        </w:tc>
      </w:tr>
      <w:tr w:rsidR="00280F65" w:rsidRPr="00F03354" w14:paraId="371598C3" w14:textId="77777777" w:rsidTr="0035264A">
        <w:trPr>
          <w:cantSplit/>
          <w:trHeight w:val="60"/>
        </w:trPr>
        <w:tc>
          <w:tcPr>
            <w:tcW w:w="2672" w:type="dxa"/>
            <w:vMerge/>
          </w:tcPr>
          <w:p w14:paraId="5C337833"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85" w:type="dxa"/>
          </w:tcPr>
          <w:p w14:paraId="3D971E8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62%</w:t>
            </w:r>
          </w:p>
        </w:tc>
        <w:tc>
          <w:tcPr>
            <w:tcW w:w="3678" w:type="dxa"/>
          </w:tcPr>
          <w:p w14:paraId="697B37B9" w14:textId="77777777" w:rsidR="00280F65" w:rsidRPr="00F03354" w:rsidRDefault="00280F65" w:rsidP="00280F65">
            <w:pPr>
              <w:spacing w:before="80" w:after="60" w:line="240" w:lineRule="auto"/>
              <w:jc w:val="center"/>
              <w:rPr>
                <w:rFonts w:ascii="VIC" w:eastAsia="Times New Roman" w:hAnsi="VIC" w:cs="Times New Roman"/>
                <w:bCs/>
                <w:i/>
                <w:iCs/>
                <w:sz w:val="20"/>
                <w:szCs w:val="20"/>
              </w:rPr>
            </w:pPr>
            <w:r w:rsidRPr="00F03354">
              <w:rPr>
                <w:rFonts w:ascii="VIC" w:eastAsia="Times New Roman" w:hAnsi="VIC" w:cs="Times New Roman"/>
                <w:sz w:val="20"/>
                <w:szCs w:val="20"/>
              </w:rPr>
              <w:t>Not achieved</w:t>
            </w:r>
          </w:p>
        </w:tc>
      </w:tr>
    </w:tbl>
    <w:p w14:paraId="52924189" w14:textId="77777777" w:rsidR="00280F65" w:rsidRPr="00F03354"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672"/>
        <w:gridCol w:w="3774"/>
        <w:gridCol w:w="3789"/>
      </w:tblGrid>
      <w:tr w:rsidR="00280F65" w:rsidRPr="00F03354" w14:paraId="606C6842" w14:textId="77777777" w:rsidTr="0035264A">
        <w:trPr>
          <w:cantSplit/>
          <w:trHeight w:val="60"/>
          <w:tblHeader/>
        </w:trPr>
        <w:tc>
          <w:tcPr>
            <w:tcW w:w="2672" w:type="dxa"/>
            <w:shd w:val="clear" w:color="auto" w:fill="244C5A"/>
            <w:vAlign w:val="bottom"/>
          </w:tcPr>
          <w:p w14:paraId="4FE916A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63" w:type="dxa"/>
            <w:gridSpan w:val="2"/>
            <w:shd w:val="clear" w:color="auto" w:fill="244C5A"/>
            <w:vAlign w:val="bottom"/>
          </w:tcPr>
          <w:p w14:paraId="3C172ED5"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Trainees in my discipline are adequately supervised</w:t>
            </w:r>
          </w:p>
        </w:tc>
      </w:tr>
      <w:tr w:rsidR="00280F65" w:rsidRPr="00F03354" w14:paraId="654C2064" w14:textId="77777777" w:rsidTr="0035264A">
        <w:trPr>
          <w:cantSplit/>
          <w:trHeight w:val="60"/>
        </w:trPr>
        <w:tc>
          <w:tcPr>
            <w:tcW w:w="2672" w:type="dxa"/>
          </w:tcPr>
          <w:p w14:paraId="39E8A5B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63" w:type="dxa"/>
            <w:gridSpan w:val="2"/>
          </w:tcPr>
          <w:p w14:paraId="2D2AFD8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Percentage of staff with a positive response to the safety culture question: Trainees in my discipline are adequately supervised</w:t>
            </w:r>
          </w:p>
        </w:tc>
      </w:tr>
      <w:tr w:rsidR="00280F65" w:rsidRPr="00F03354" w14:paraId="3B1EA9A3" w14:textId="77777777" w:rsidTr="0035264A">
        <w:trPr>
          <w:cantSplit/>
          <w:trHeight w:val="60"/>
        </w:trPr>
        <w:tc>
          <w:tcPr>
            <w:tcW w:w="2672" w:type="dxa"/>
          </w:tcPr>
          <w:p w14:paraId="3483971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563" w:type="dxa"/>
            <w:gridSpan w:val="2"/>
          </w:tcPr>
          <w:p w14:paraId="3747088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F03354" w14:paraId="696EAABD" w14:textId="77777777" w:rsidTr="0035264A">
        <w:trPr>
          <w:cantSplit/>
          <w:trHeight w:val="60"/>
        </w:trPr>
        <w:tc>
          <w:tcPr>
            <w:tcW w:w="2672" w:type="dxa"/>
          </w:tcPr>
          <w:p w14:paraId="225EAB7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63" w:type="dxa"/>
            <w:gridSpan w:val="2"/>
          </w:tcPr>
          <w:p w14:paraId="24E467C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62%</w:t>
            </w:r>
          </w:p>
        </w:tc>
      </w:tr>
      <w:tr w:rsidR="00280F65" w:rsidRPr="00F03354" w14:paraId="257D3461" w14:textId="77777777" w:rsidTr="0035264A">
        <w:trPr>
          <w:cantSplit/>
          <w:trHeight w:val="60"/>
        </w:trPr>
        <w:tc>
          <w:tcPr>
            <w:tcW w:w="2672" w:type="dxa"/>
            <w:vMerge w:val="restart"/>
          </w:tcPr>
          <w:p w14:paraId="559906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 xml:space="preserve">Achievement </w:t>
            </w:r>
          </w:p>
        </w:tc>
        <w:tc>
          <w:tcPr>
            <w:tcW w:w="3774" w:type="dxa"/>
          </w:tcPr>
          <w:p w14:paraId="6A91AD2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62%</w:t>
            </w:r>
          </w:p>
        </w:tc>
        <w:tc>
          <w:tcPr>
            <w:tcW w:w="3789" w:type="dxa"/>
          </w:tcPr>
          <w:p w14:paraId="71AD6EB6"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Achieved</w:t>
            </w:r>
          </w:p>
        </w:tc>
      </w:tr>
      <w:tr w:rsidR="00280F65" w:rsidRPr="00F03354" w14:paraId="46CAAEBB" w14:textId="77777777" w:rsidTr="0035264A">
        <w:trPr>
          <w:cantSplit/>
          <w:trHeight w:val="60"/>
        </w:trPr>
        <w:tc>
          <w:tcPr>
            <w:tcW w:w="2672" w:type="dxa"/>
            <w:vMerge/>
          </w:tcPr>
          <w:p w14:paraId="4F4F353E"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774" w:type="dxa"/>
          </w:tcPr>
          <w:p w14:paraId="2CBA7AB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62%</w:t>
            </w:r>
          </w:p>
        </w:tc>
        <w:tc>
          <w:tcPr>
            <w:tcW w:w="3789" w:type="dxa"/>
          </w:tcPr>
          <w:p w14:paraId="0902AD9A"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bl>
    <w:p w14:paraId="689E2834"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1"/>
        <w:gridCol w:w="3885"/>
        <w:gridCol w:w="3789"/>
      </w:tblGrid>
      <w:tr w:rsidR="00280F65" w:rsidRPr="00F03354" w14:paraId="47CD6A59" w14:textId="77777777" w:rsidTr="0035264A">
        <w:trPr>
          <w:cantSplit/>
          <w:trHeight w:val="60"/>
          <w:tblHeader/>
        </w:trPr>
        <w:tc>
          <w:tcPr>
            <w:tcW w:w="2561" w:type="dxa"/>
            <w:shd w:val="clear" w:color="auto" w:fill="244C5A"/>
            <w:vAlign w:val="bottom"/>
          </w:tcPr>
          <w:p w14:paraId="16793ECA"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74" w:type="dxa"/>
            <w:gridSpan w:val="2"/>
            <w:shd w:val="clear" w:color="auto" w:fill="244C5A"/>
            <w:vAlign w:val="bottom"/>
          </w:tcPr>
          <w:p w14:paraId="446A947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 would recommend a friend or relative to be treated as a patient here</w:t>
            </w:r>
          </w:p>
        </w:tc>
      </w:tr>
      <w:tr w:rsidR="00280F65" w:rsidRPr="00F03354" w14:paraId="32C2AE94" w14:textId="77777777" w:rsidTr="0035264A">
        <w:trPr>
          <w:cantSplit/>
          <w:trHeight w:val="60"/>
        </w:trPr>
        <w:tc>
          <w:tcPr>
            <w:tcW w:w="2561" w:type="dxa"/>
          </w:tcPr>
          <w:p w14:paraId="2E75B41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74" w:type="dxa"/>
            <w:gridSpan w:val="2"/>
          </w:tcPr>
          <w:p w14:paraId="748BD04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Percentage of staff with a positive response to the safety culture question: I would recommend a friend or relative to be treated as a patient here</w:t>
            </w:r>
          </w:p>
        </w:tc>
      </w:tr>
      <w:tr w:rsidR="00280F65" w:rsidRPr="00F03354" w14:paraId="5DBB6D58" w14:textId="77777777" w:rsidTr="0035264A">
        <w:trPr>
          <w:cantSplit/>
          <w:trHeight w:val="60"/>
        </w:trPr>
        <w:tc>
          <w:tcPr>
            <w:tcW w:w="2561" w:type="dxa"/>
          </w:tcPr>
          <w:p w14:paraId="71B03BC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74" w:type="dxa"/>
            <w:gridSpan w:val="2"/>
          </w:tcPr>
          <w:p w14:paraId="10F3381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‘agree’, ‘strongly agree’, ‘disagree’ or ‘strongly disagree’, ‘don’t know’, ‘neither agree nor disagree’ responses to the assessed question.</w:t>
            </w:r>
          </w:p>
        </w:tc>
      </w:tr>
      <w:tr w:rsidR="00280F65" w:rsidRPr="00F03354" w14:paraId="021F2C3B" w14:textId="77777777" w:rsidTr="0035264A">
        <w:trPr>
          <w:cantSplit/>
          <w:trHeight w:val="60"/>
        </w:trPr>
        <w:tc>
          <w:tcPr>
            <w:tcW w:w="2561" w:type="dxa"/>
          </w:tcPr>
          <w:p w14:paraId="7A5EC28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74" w:type="dxa"/>
            <w:gridSpan w:val="2"/>
          </w:tcPr>
          <w:p w14:paraId="20589A2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62%</w:t>
            </w:r>
          </w:p>
        </w:tc>
      </w:tr>
      <w:tr w:rsidR="00280F65" w:rsidRPr="00F03354" w14:paraId="7640B5F4" w14:textId="77777777" w:rsidTr="0035264A">
        <w:trPr>
          <w:cantSplit/>
          <w:trHeight w:val="60"/>
        </w:trPr>
        <w:tc>
          <w:tcPr>
            <w:tcW w:w="2561" w:type="dxa"/>
            <w:vMerge w:val="restart"/>
          </w:tcPr>
          <w:p w14:paraId="00F0874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885" w:type="dxa"/>
          </w:tcPr>
          <w:p w14:paraId="2682C9A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80%</w:t>
            </w:r>
          </w:p>
        </w:tc>
        <w:tc>
          <w:tcPr>
            <w:tcW w:w="3789" w:type="dxa"/>
          </w:tcPr>
          <w:p w14:paraId="027FA745"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Achieved</w:t>
            </w:r>
          </w:p>
        </w:tc>
      </w:tr>
      <w:tr w:rsidR="00280F65" w:rsidRPr="00F03354" w14:paraId="3B62AE21" w14:textId="77777777" w:rsidTr="0035264A">
        <w:trPr>
          <w:cantSplit/>
          <w:trHeight w:val="60"/>
        </w:trPr>
        <w:tc>
          <w:tcPr>
            <w:tcW w:w="2561" w:type="dxa"/>
            <w:vMerge/>
          </w:tcPr>
          <w:p w14:paraId="2B913676"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885" w:type="dxa"/>
          </w:tcPr>
          <w:p w14:paraId="7CE3138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62%</w:t>
            </w:r>
          </w:p>
        </w:tc>
        <w:tc>
          <w:tcPr>
            <w:tcW w:w="3789" w:type="dxa"/>
          </w:tcPr>
          <w:p w14:paraId="2E70E089"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bl>
    <w:p w14:paraId="53BEF0F8" w14:textId="77777777" w:rsidR="00280F65" w:rsidRPr="00F03354"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110"/>
        <w:gridCol w:w="3544"/>
      </w:tblGrid>
      <w:tr w:rsidR="00280F65" w:rsidRPr="00F03354" w14:paraId="3DFF671E" w14:textId="77777777" w:rsidTr="0035264A">
        <w:trPr>
          <w:cantSplit/>
          <w:trHeight w:val="60"/>
          <w:tblHeader/>
        </w:trPr>
        <w:tc>
          <w:tcPr>
            <w:tcW w:w="2581" w:type="dxa"/>
            <w:shd w:val="clear" w:color="auto" w:fill="244C5A"/>
            <w:vAlign w:val="bottom"/>
          </w:tcPr>
          <w:p w14:paraId="5F2F30C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54" w:type="dxa"/>
            <w:gridSpan w:val="2"/>
            <w:shd w:val="clear" w:color="auto" w:fill="244C5A"/>
            <w:vAlign w:val="bottom"/>
          </w:tcPr>
          <w:p w14:paraId="306F6EEE"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staff who responded to the People Matter Survey</w:t>
            </w:r>
          </w:p>
        </w:tc>
      </w:tr>
      <w:tr w:rsidR="00280F65" w:rsidRPr="00F03354" w14:paraId="40DD9332" w14:textId="77777777" w:rsidTr="0035264A">
        <w:trPr>
          <w:cantSplit/>
          <w:trHeight w:val="60"/>
        </w:trPr>
        <w:tc>
          <w:tcPr>
            <w:tcW w:w="2581" w:type="dxa"/>
          </w:tcPr>
          <w:p w14:paraId="0A23CEC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54" w:type="dxa"/>
            <w:gridSpan w:val="2"/>
          </w:tcPr>
          <w:p w14:paraId="1ABF885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staff who responded to the People Matter Survey</w:t>
            </w:r>
          </w:p>
        </w:tc>
      </w:tr>
      <w:tr w:rsidR="00280F65" w:rsidRPr="00F03354" w14:paraId="1E65623A" w14:textId="77777777" w:rsidTr="0035264A">
        <w:trPr>
          <w:cantSplit/>
          <w:trHeight w:val="60"/>
        </w:trPr>
        <w:tc>
          <w:tcPr>
            <w:tcW w:w="2581" w:type="dxa"/>
          </w:tcPr>
          <w:p w14:paraId="0F64C41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54" w:type="dxa"/>
            <w:gridSpan w:val="2"/>
          </w:tcPr>
          <w:p w14:paraId="27C3D23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staff who could have participated in the survey</w:t>
            </w:r>
          </w:p>
        </w:tc>
      </w:tr>
      <w:tr w:rsidR="00280F65" w:rsidRPr="00F03354" w14:paraId="68BD4A91" w14:textId="77777777" w:rsidTr="0035264A">
        <w:trPr>
          <w:cantSplit/>
          <w:trHeight w:val="60"/>
        </w:trPr>
        <w:tc>
          <w:tcPr>
            <w:tcW w:w="2581" w:type="dxa"/>
          </w:tcPr>
          <w:p w14:paraId="32760C6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54" w:type="dxa"/>
            <w:gridSpan w:val="2"/>
          </w:tcPr>
          <w:p w14:paraId="75C6DA9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30%</w:t>
            </w:r>
          </w:p>
        </w:tc>
      </w:tr>
      <w:tr w:rsidR="00280F65" w:rsidRPr="00F03354" w14:paraId="3F7E20E6" w14:textId="77777777" w:rsidTr="0035264A">
        <w:trPr>
          <w:cantSplit/>
          <w:trHeight w:val="60"/>
        </w:trPr>
        <w:tc>
          <w:tcPr>
            <w:tcW w:w="2581" w:type="dxa"/>
            <w:vMerge w:val="restart"/>
          </w:tcPr>
          <w:p w14:paraId="40E289F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4110" w:type="dxa"/>
          </w:tcPr>
          <w:p w14:paraId="4DD4D60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30%</w:t>
            </w:r>
          </w:p>
        </w:tc>
        <w:tc>
          <w:tcPr>
            <w:tcW w:w="3544" w:type="dxa"/>
          </w:tcPr>
          <w:p w14:paraId="79229A15"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Achieved</w:t>
            </w:r>
          </w:p>
        </w:tc>
      </w:tr>
      <w:tr w:rsidR="00280F65" w:rsidRPr="00F03354" w14:paraId="3102423E" w14:textId="77777777" w:rsidTr="0035264A">
        <w:trPr>
          <w:cantSplit/>
          <w:trHeight w:val="60"/>
        </w:trPr>
        <w:tc>
          <w:tcPr>
            <w:tcW w:w="2581" w:type="dxa"/>
            <w:vMerge/>
          </w:tcPr>
          <w:p w14:paraId="64C0E867"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110" w:type="dxa"/>
          </w:tcPr>
          <w:p w14:paraId="57A090E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30%</w:t>
            </w:r>
          </w:p>
        </w:tc>
        <w:tc>
          <w:tcPr>
            <w:tcW w:w="3544" w:type="dxa"/>
          </w:tcPr>
          <w:p w14:paraId="45E3034C"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bl>
    <w:p w14:paraId="3EB410E0" w14:textId="77777777" w:rsidR="00280F65" w:rsidRPr="00F03354"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2"/>
        <w:gridCol w:w="3912"/>
        <w:gridCol w:w="3761"/>
      </w:tblGrid>
      <w:tr w:rsidR="00280F65" w:rsidRPr="00F03354" w14:paraId="586916EB" w14:textId="77777777" w:rsidTr="0035264A">
        <w:trPr>
          <w:cantSplit/>
          <w:trHeight w:val="60"/>
          <w:tblHeader/>
        </w:trPr>
        <w:tc>
          <w:tcPr>
            <w:tcW w:w="2562" w:type="dxa"/>
            <w:shd w:val="clear" w:color="auto" w:fill="244C5A"/>
            <w:vAlign w:val="bottom"/>
          </w:tcPr>
          <w:p w14:paraId="1CF83EB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73" w:type="dxa"/>
            <w:gridSpan w:val="2"/>
            <w:shd w:val="clear" w:color="auto" w:fill="244C5A"/>
            <w:vAlign w:val="bottom"/>
          </w:tcPr>
          <w:p w14:paraId="7A8B9892"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staff who personally experienced bullying at work in last 12mths / People Matter survey responses</w:t>
            </w:r>
          </w:p>
        </w:tc>
      </w:tr>
      <w:tr w:rsidR="00280F65" w:rsidRPr="00F03354" w14:paraId="504B9A83" w14:textId="77777777" w:rsidTr="0035264A">
        <w:trPr>
          <w:cantSplit/>
          <w:trHeight w:val="60"/>
        </w:trPr>
        <w:tc>
          <w:tcPr>
            <w:tcW w:w="2562" w:type="dxa"/>
            <w:hideMark/>
          </w:tcPr>
          <w:p w14:paraId="52A1153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73" w:type="dxa"/>
            <w:gridSpan w:val="2"/>
            <w:hideMark/>
          </w:tcPr>
          <w:p w14:paraId="08B751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Relates to the People Matter survey question: Have you personally experienced bullying at work in the last 12months’?</w:t>
            </w:r>
          </w:p>
          <w:p w14:paraId="7BCF738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measure aims to identify bullying risks within the organisation.</w:t>
            </w:r>
          </w:p>
          <w:p w14:paraId="608FC7E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target is not applied as no staff should be experiencing bullying.</w:t>
            </w:r>
          </w:p>
          <w:p w14:paraId="06F3C14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risk flag should trigger further attention to potential bullying concerns within the organisation. </w:t>
            </w:r>
          </w:p>
        </w:tc>
      </w:tr>
      <w:tr w:rsidR="00280F65" w:rsidRPr="00F03354" w14:paraId="3AF8B536" w14:textId="77777777" w:rsidTr="0035264A">
        <w:trPr>
          <w:cantSplit/>
          <w:trHeight w:val="60"/>
        </w:trPr>
        <w:tc>
          <w:tcPr>
            <w:tcW w:w="2562" w:type="dxa"/>
          </w:tcPr>
          <w:p w14:paraId="7F7370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73" w:type="dxa"/>
            <w:gridSpan w:val="2"/>
          </w:tcPr>
          <w:p w14:paraId="0ABE20B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responses ‘yes but not currently experiencing it’ and ‘Yes and currently experiencing it’ are counted for the numerator</w:t>
            </w:r>
          </w:p>
        </w:tc>
      </w:tr>
      <w:tr w:rsidR="00280F65" w:rsidRPr="00F03354" w14:paraId="70B9119C" w14:textId="77777777" w:rsidTr="0035264A">
        <w:trPr>
          <w:cantSplit/>
          <w:trHeight w:val="60"/>
        </w:trPr>
        <w:tc>
          <w:tcPr>
            <w:tcW w:w="2562" w:type="dxa"/>
          </w:tcPr>
          <w:p w14:paraId="724CB81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73" w:type="dxa"/>
            <w:gridSpan w:val="2"/>
          </w:tcPr>
          <w:p w14:paraId="043E9A7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responses to the People Matter survey are included in denominator</w:t>
            </w:r>
          </w:p>
        </w:tc>
      </w:tr>
      <w:tr w:rsidR="00280F65" w:rsidRPr="00F03354" w14:paraId="3B330182" w14:textId="77777777" w:rsidTr="0035264A">
        <w:trPr>
          <w:cantSplit/>
          <w:trHeight w:val="60"/>
        </w:trPr>
        <w:tc>
          <w:tcPr>
            <w:tcW w:w="2562" w:type="dxa"/>
          </w:tcPr>
          <w:p w14:paraId="06E57EF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Risk Flag</w:t>
            </w:r>
          </w:p>
        </w:tc>
        <w:tc>
          <w:tcPr>
            <w:tcW w:w="7673" w:type="dxa"/>
            <w:gridSpan w:val="2"/>
          </w:tcPr>
          <w:p w14:paraId="2D4495C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17% </w:t>
            </w:r>
          </w:p>
        </w:tc>
      </w:tr>
      <w:tr w:rsidR="00280F65" w:rsidRPr="00F03354" w14:paraId="63C28462" w14:textId="77777777" w:rsidTr="0035264A">
        <w:trPr>
          <w:cantSplit/>
          <w:trHeight w:val="60"/>
        </w:trPr>
        <w:tc>
          <w:tcPr>
            <w:tcW w:w="2562" w:type="dxa"/>
            <w:vMerge w:val="restart"/>
          </w:tcPr>
          <w:p w14:paraId="2ECDA8A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912" w:type="dxa"/>
          </w:tcPr>
          <w:p w14:paraId="22CAD82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17%</w:t>
            </w:r>
          </w:p>
        </w:tc>
        <w:tc>
          <w:tcPr>
            <w:tcW w:w="3761" w:type="dxa"/>
          </w:tcPr>
          <w:p w14:paraId="5AD2CAFF"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Achieved</w:t>
            </w:r>
          </w:p>
        </w:tc>
      </w:tr>
      <w:tr w:rsidR="00280F65" w:rsidRPr="00F03354" w14:paraId="7A8BEB90" w14:textId="77777777" w:rsidTr="0035264A">
        <w:trPr>
          <w:cantSplit/>
          <w:trHeight w:val="60"/>
        </w:trPr>
        <w:tc>
          <w:tcPr>
            <w:tcW w:w="2562" w:type="dxa"/>
            <w:vMerge/>
          </w:tcPr>
          <w:p w14:paraId="385D8516"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912" w:type="dxa"/>
          </w:tcPr>
          <w:p w14:paraId="76C75C8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over 17%</w:t>
            </w:r>
          </w:p>
        </w:tc>
        <w:tc>
          <w:tcPr>
            <w:tcW w:w="3761" w:type="dxa"/>
          </w:tcPr>
          <w:p w14:paraId="5935A871"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bl>
    <w:p w14:paraId="64D8DE75" w14:textId="77777777" w:rsidR="00280F65" w:rsidRPr="00F03354" w:rsidRDefault="00280F65" w:rsidP="00280F65">
      <w:pPr>
        <w:spacing w:after="0" w:line="240" w:lineRule="auto"/>
        <w:rPr>
          <w:rFonts w:ascii="VIC" w:eastAsia="Times" w:hAnsi="VIC" w:cs="Times New Roman"/>
          <w:b/>
          <w:bCs/>
          <w:sz w:val="20"/>
          <w:szCs w:val="20"/>
        </w:rPr>
      </w:pPr>
      <w:r w:rsidRPr="00F03354">
        <w:rPr>
          <w:rFonts w:ascii="VIC" w:eastAsia="Times New Roman" w:hAnsi="VIC" w:cs="Times New Roman"/>
          <w:b/>
          <w:bCs/>
          <w:sz w:val="20"/>
          <w:szCs w:val="20"/>
        </w:rPr>
        <w:br w:type="page"/>
      </w: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654"/>
      </w:tblGrid>
      <w:tr w:rsidR="00280F65" w:rsidRPr="00F03354" w14:paraId="703DE821" w14:textId="77777777" w:rsidTr="0035264A">
        <w:trPr>
          <w:cantSplit/>
          <w:trHeight w:val="60"/>
          <w:tblHeader/>
        </w:trPr>
        <w:tc>
          <w:tcPr>
            <w:tcW w:w="2581" w:type="dxa"/>
            <w:shd w:val="clear" w:color="auto" w:fill="244C5A"/>
            <w:vAlign w:val="bottom"/>
          </w:tcPr>
          <w:p w14:paraId="6EDB251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654" w:type="dxa"/>
            <w:shd w:val="clear" w:color="auto" w:fill="244C5A"/>
            <w:vAlign w:val="bottom"/>
          </w:tcPr>
          <w:p w14:paraId="682BB7FA"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Learner’s experience</w:t>
            </w:r>
          </w:p>
        </w:tc>
      </w:tr>
      <w:tr w:rsidR="00280F65" w:rsidRPr="00F03354" w14:paraId="7C160AB1" w14:textId="77777777" w:rsidTr="0035264A">
        <w:trPr>
          <w:cantSplit/>
          <w:trHeight w:val="60"/>
        </w:trPr>
        <w:tc>
          <w:tcPr>
            <w:tcW w:w="2581" w:type="dxa"/>
            <w:hideMark/>
          </w:tcPr>
          <w:p w14:paraId="11FF32E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54" w:type="dxa"/>
            <w:hideMark/>
          </w:tcPr>
          <w:p w14:paraId="0651682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Learner perceptions about their feeling of safety and wellbeing as identified through the Best Practice Clinical Learning Environment (BPCLE) Framework. </w:t>
            </w:r>
          </w:p>
        </w:tc>
      </w:tr>
      <w:tr w:rsidR="00280F65" w:rsidRPr="00F03354" w14:paraId="3F543AAA" w14:textId="77777777" w:rsidTr="0035264A">
        <w:trPr>
          <w:cantSplit/>
          <w:trHeight w:val="60"/>
        </w:trPr>
        <w:tc>
          <w:tcPr>
            <w:tcW w:w="2581" w:type="dxa"/>
          </w:tcPr>
          <w:p w14:paraId="74A516A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654" w:type="dxa"/>
          </w:tcPr>
          <w:p w14:paraId="7C638D6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BPCLE Framework is a guide for health and human services organisations, in partnership with education providers, to coordinate and deliver high-quality training for learners.</w:t>
            </w:r>
          </w:p>
          <w:p w14:paraId="12340521" w14:textId="399C9BDF"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lang w:val="en"/>
              </w:rPr>
              <w:t xml:space="preserve">The BPCLE Framework and supplementary resources are available from </w:t>
            </w:r>
            <w:hyperlink r:id="rId18" w:history="1">
              <w:r w:rsidRPr="00F03354">
                <w:rPr>
                  <w:rFonts w:ascii="VIC" w:eastAsia="Times New Roman" w:hAnsi="VIC" w:cs="Times New Roman"/>
                  <w:color w:val="3366FF"/>
                  <w:sz w:val="20"/>
                  <w:szCs w:val="20"/>
                  <w:u w:val="dotted"/>
                  <w:lang w:val="en"/>
                </w:rPr>
                <w:t>HealthVic Best Practice Clinical Learning Environment (BPCLE)</w:t>
              </w:r>
            </w:hyperlink>
            <w:r w:rsidRPr="00F03354">
              <w:rPr>
                <w:rFonts w:ascii="VIC" w:eastAsia="Times New Roman" w:hAnsi="VIC" w:cs="Times New Roman"/>
                <w:sz w:val="20"/>
                <w:szCs w:val="20"/>
                <w:lang w:val="en"/>
              </w:rPr>
              <w:t xml:space="preserve"> &lt;https://www2.health.vic.gov.au/health-workforce/education-and-training/building-a-quality-health-workforce/bpcle-framework&gt;</w:t>
            </w:r>
          </w:p>
          <w:p w14:paraId="70B587B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Results obtained through BPCLE Framework can provide additional context to potential safety culture or bullying concerns within the organisation.</w:t>
            </w:r>
          </w:p>
          <w:p w14:paraId="7F23A72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Victorian Health Services Performance Monitoring Framework prescribes no specific performance targets for BPCLE Framework related measures. Health service performance will however be assessed against key risk flags associated with the three components of the BPCLE Framework (Indicator 23): </w:t>
            </w:r>
          </w:p>
          <w:p w14:paraId="15D08E2A"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learner perceptions of their safety</w:t>
            </w:r>
          </w:p>
          <w:p w14:paraId="7CEA92A2"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learner perceptions of their own wellbeing</w:t>
            </w:r>
          </w:p>
          <w:p w14:paraId="4E084597"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learner experience/awareness of bullying.</w:t>
            </w:r>
          </w:p>
          <w:p w14:paraId="2E628BB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Each of these components will be assessed as individual measures to ascertain if there are potential safety and wellbeing vulnerabilities pertaining to students and other learners employed by health services.</w:t>
            </w:r>
          </w:p>
          <w:p w14:paraId="1595FD5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Each of these measures apply to four learner levels:</w:t>
            </w:r>
          </w:p>
          <w:p w14:paraId="3624A5A2" w14:textId="77777777"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professional entry (formerly ‘undergraduate’) – defined as learners enrolled in a higher education course of study leading to initial registration for, or qualification to, practice as a health professional.</w:t>
            </w:r>
          </w:p>
          <w:p w14:paraId="36F30614" w14:textId="77777777" w:rsidR="00280F65" w:rsidRPr="00F03354" w:rsidRDefault="00280F65" w:rsidP="0018142B">
            <w:pPr>
              <w:spacing w:before="80" w:after="60" w:line="240" w:lineRule="auto"/>
              <w:ind w:left="-46" w:hanging="8"/>
              <w:rPr>
                <w:rFonts w:ascii="VIC" w:eastAsia="Times New Roman" w:hAnsi="VIC" w:cs="Times New Roman"/>
                <w:sz w:val="20"/>
                <w:szCs w:val="20"/>
              </w:rPr>
            </w:pPr>
            <w:r w:rsidRPr="00F03354">
              <w:rPr>
                <w:rFonts w:ascii="VIC" w:eastAsia="Times New Roman" w:hAnsi="VIC" w:cs="Times New Roman"/>
                <w:sz w:val="20"/>
                <w:szCs w:val="20"/>
              </w:rPr>
              <w:t>early graduate – An individual who has completed their entry-level professional qualification within the last one or two years. For example, this will encompass:</w:t>
            </w:r>
          </w:p>
          <w:p w14:paraId="243CF905" w14:textId="77777777" w:rsidR="00280F65" w:rsidRPr="00F03354" w:rsidRDefault="00280F65" w:rsidP="002A5293">
            <w:pPr>
              <w:numPr>
                <w:ilvl w:val="1"/>
                <w:numId w:val="0"/>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junior doctors employed in pre-vocational positions for postgraduate years 1 and 2 (PGY1 and PGY2) (also referred to as Hospital Medical Officers).</w:t>
            </w:r>
          </w:p>
          <w:p w14:paraId="522A00CB" w14:textId="77777777" w:rsidR="00280F65" w:rsidRPr="00F03354" w:rsidRDefault="00280F65" w:rsidP="002A5293">
            <w:pPr>
              <w:numPr>
                <w:ilvl w:val="1"/>
                <w:numId w:val="0"/>
              </w:numPr>
              <w:tabs>
                <w:tab w:val="num" w:pos="227"/>
              </w:tabs>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registered Nurses and Midwives in Graduate Nurse (or Midwifery) Programs (GNP/GMP).</w:t>
            </w:r>
          </w:p>
          <w:p w14:paraId="306D4CA1" w14:textId="079496FC" w:rsidR="00280F65" w:rsidRPr="00F03354" w:rsidRDefault="00280F65" w:rsidP="002A5293">
            <w:pPr>
              <w:numPr>
                <w:ilvl w:val="1"/>
                <w:numId w:val="0"/>
              </w:numPr>
              <w:tabs>
                <w:tab w:val="num" w:pos="227"/>
              </w:tabs>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enrolled Nurses (formerly ‘Division 2’) in their first</w:t>
            </w:r>
            <w:r w:rsidR="00DA24E5" w:rsidRPr="00F03354">
              <w:rPr>
                <w:rFonts w:ascii="VIC" w:eastAsia="Times New Roman" w:hAnsi="VIC" w:cs="Times New Roman"/>
                <w:sz w:val="20"/>
                <w:szCs w:val="20"/>
              </w:rPr>
              <w:t>-</w:t>
            </w:r>
            <w:r w:rsidRPr="00F03354">
              <w:rPr>
                <w:rFonts w:ascii="VIC" w:eastAsia="Times New Roman" w:hAnsi="VIC" w:cs="Times New Roman"/>
                <w:sz w:val="20"/>
                <w:szCs w:val="20"/>
              </w:rPr>
              <w:t>year post-qualification.</w:t>
            </w:r>
          </w:p>
          <w:p w14:paraId="6C219101" w14:textId="077F6138"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allied health professionals in their first two years post-qualification (generally employed at Grade 1 level). Where internship programs exist (e.g</w:t>
            </w:r>
            <w:r w:rsidR="00DA24E5" w:rsidRPr="00F03354">
              <w:rPr>
                <w:rFonts w:ascii="VIC" w:eastAsia="Times New Roman" w:hAnsi="VIC" w:cs="Times New Roman"/>
                <w:sz w:val="20"/>
                <w:szCs w:val="20"/>
              </w:rPr>
              <w:t>.,</w:t>
            </w:r>
            <w:r w:rsidRPr="00F03354">
              <w:rPr>
                <w:rFonts w:ascii="VIC" w:eastAsia="Times New Roman" w:hAnsi="VIC" w:cs="Times New Roman"/>
                <w:sz w:val="20"/>
                <w:szCs w:val="20"/>
              </w:rPr>
              <w:t xml:space="preserve"> Pharmacy), this would include the internship year and the first</w:t>
            </w:r>
            <w:r w:rsidR="00DA24E5" w:rsidRPr="00F03354">
              <w:rPr>
                <w:rFonts w:ascii="VIC" w:eastAsia="Times New Roman" w:hAnsi="VIC" w:cs="Times New Roman"/>
                <w:sz w:val="20"/>
                <w:szCs w:val="20"/>
              </w:rPr>
              <w:t>-</w:t>
            </w:r>
            <w:r w:rsidRPr="00F03354">
              <w:rPr>
                <w:rFonts w:ascii="VIC" w:eastAsia="Times New Roman" w:hAnsi="VIC" w:cs="Times New Roman"/>
                <w:sz w:val="20"/>
                <w:szCs w:val="20"/>
              </w:rPr>
              <w:t>year post-internship.</w:t>
            </w:r>
          </w:p>
          <w:p w14:paraId="5EC4CF5E" w14:textId="3CC149CE"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vocational/postgraduate – defined as learners enrolled in formal programs of study, usually undertaken to enable specialty practice. Examples include registrars in specialist medical training programs; nurses and allied health professionals enrolled in Graduate Certificate, Graduate Diploma or </w:t>
            </w:r>
            <w:r w:rsidR="00DA24E5" w:rsidRPr="00F03354">
              <w:rPr>
                <w:rFonts w:ascii="VIC" w:eastAsia="Times New Roman" w:hAnsi="VIC" w:cs="Times New Roman"/>
                <w:sz w:val="20"/>
                <w:szCs w:val="20"/>
              </w:rPr>
              <w:t>Master’s</w:t>
            </w:r>
            <w:r w:rsidRPr="00F03354">
              <w:rPr>
                <w:rFonts w:ascii="VIC" w:eastAsia="Times New Roman" w:hAnsi="VIC" w:cs="Times New Roman"/>
                <w:sz w:val="20"/>
                <w:szCs w:val="20"/>
              </w:rPr>
              <w:t xml:space="preserve"> courses.</w:t>
            </w:r>
          </w:p>
        </w:tc>
      </w:tr>
      <w:tr w:rsidR="00280F65" w:rsidRPr="00F03354" w14:paraId="12E1929E" w14:textId="77777777" w:rsidTr="0035264A">
        <w:trPr>
          <w:cantSplit/>
          <w:trHeight w:val="60"/>
        </w:trPr>
        <w:tc>
          <w:tcPr>
            <w:tcW w:w="2581" w:type="dxa"/>
          </w:tcPr>
          <w:p w14:paraId="1D5B6CB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654" w:type="dxa"/>
          </w:tcPr>
          <w:p w14:paraId="576683F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calculated annually compared to previous year’s survey results.</w:t>
            </w:r>
          </w:p>
        </w:tc>
      </w:tr>
      <w:tr w:rsidR="00280F65" w:rsidRPr="00F03354" w14:paraId="2D82529A" w14:textId="77777777" w:rsidTr="0035264A">
        <w:trPr>
          <w:cantSplit/>
          <w:trHeight w:val="60"/>
        </w:trPr>
        <w:tc>
          <w:tcPr>
            <w:tcW w:w="2581" w:type="dxa"/>
          </w:tcPr>
          <w:p w14:paraId="72C282D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654" w:type="dxa"/>
          </w:tcPr>
          <w:p w14:paraId="2B22BBA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assessed throughout the calendar year and reported annually at health service level.</w:t>
            </w:r>
          </w:p>
          <w:p w14:paraId="6E8633E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 as per the BPCLE Framework reporting requirements associated with the Training and Development Grant. </w:t>
            </w:r>
          </w:p>
        </w:tc>
      </w:tr>
    </w:tbl>
    <w:p w14:paraId="7BA7B994" w14:textId="77777777" w:rsidR="00280F65" w:rsidRPr="00F03354" w:rsidRDefault="00280F65" w:rsidP="00280F65">
      <w:pPr>
        <w:spacing w:after="120" w:line="270" w:lineRule="atLeast"/>
        <w:rPr>
          <w:rFonts w:ascii="VIC" w:eastAsia="Times"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2"/>
        <w:gridCol w:w="3442"/>
        <w:gridCol w:w="4231"/>
      </w:tblGrid>
      <w:tr w:rsidR="00280F65" w:rsidRPr="00F03354" w14:paraId="7DE11F35" w14:textId="77777777" w:rsidTr="0035264A">
        <w:trPr>
          <w:cantSplit/>
          <w:trHeight w:val="60"/>
          <w:tblHeader/>
        </w:trPr>
        <w:tc>
          <w:tcPr>
            <w:tcW w:w="2562" w:type="dxa"/>
            <w:shd w:val="clear" w:color="auto" w:fill="244C5A"/>
            <w:vAlign w:val="bottom"/>
          </w:tcPr>
          <w:p w14:paraId="6C87689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73" w:type="dxa"/>
            <w:gridSpan w:val="2"/>
            <w:shd w:val="clear" w:color="auto" w:fill="244C5A"/>
            <w:vAlign w:val="bottom"/>
          </w:tcPr>
          <w:p w14:paraId="21C42C3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 xml:space="preserve">Percentage of learners feeling safe at the organisation </w:t>
            </w:r>
          </w:p>
        </w:tc>
      </w:tr>
      <w:tr w:rsidR="00280F65" w:rsidRPr="00F03354" w14:paraId="467A0D43" w14:textId="77777777" w:rsidTr="0035264A">
        <w:trPr>
          <w:cantSplit/>
          <w:trHeight w:val="60"/>
        </w:trPr>
        <w:tc>
          <w:tcPr>
            <w:tcW w:w="2562" w:type="dxa"/>
          </w:tcPr>
          <w:p w14:paraId="40771D4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73" w:type="dxa"/>
            <w:gridSpan w:val="2"/>
          </w:tcPr>
          <w:p w14:paraId="34AC064A" w14:textId="5E3940F8"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learners that rated their feeling of safety favourably (i.e</w:t>
            </w:r>
            <w:r w:rsidR="00DA24E5" w:rsidRPr="00F03354">
              <w:rPr>
                <w:rFonts w:ascii="VIC" w:eastAsia="Times New Roman" w:hAnsi="VIC" w:cs="Times New Roman"/>
                <w:sz w:val="20"/>
                <w:szCs w:val="20"/>
              </w:rPr>
              <w:t>.,</w:t>
            </w:r>
            <w:r w:rsidRPr="00F03354">
              <w:rPr>
                <w:rFonts w:ascii="VIC" w:eastAsia="Times New Roman" w:hAnsi="VIC" w:cs="Times New Roman"/>
                <w:sz w:val="20"/>
                <w:szCs w:val="20"/>
              </w:rPr>
              <w:t xml:space="preserve"> agree or strongly agree on the 5-point Likert scale of: strongly disagree – disagree – neither agree nor disagree – agree – strongly agree) to the statement: I feel safe at this organisation</w:t>
            </w:r>
          </w:p>
        </w:tc>
      </w:tr>
      <w:tr w:rsidR="00280F65" w:rsidRPr="00F03354" w14:paraId="1C965DF9" w14:textId="77777777" w:rsidTr="0035264A">
        <w:trPr>
          <w:cantSplit/>
          <w:trHeight w:val="60"/>
        </w:trPr>
        <w:tc>
          <w:tcPr>
            <w:tcW w:w="2562" w:type="dxa"/>
          </w:tcPr>
          <w:p w14:paraId="535BAF0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73" w:type="dxa"/>
            <w:gridSpan w:val="2"/>
          </w:tcPr>
          <w:p w14:paraId="7F55E09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total number of learners that responded to the statement </w:t>
            </w:r>
          </w:p>
        </w:tc>
      </w:tr>
      <w:tr w:rsidR="00280F65" w:rsidRPr="00F03354" w14:paraId="1136DE38" w14:textId="77777777" w:rsidTr="0035264A">
        <w:trPr>
          <w:cantSplit/>
          <w:trHeight w:val="60"/>
        </w:trPr>
        <w:tc>
          <w:tcPr>
            <w:tcW w:w="2562" w:type="dxa"/>
          </w:tcPr>
          <w:p w14:paraId="4F9FCD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Risk Flag</w:t>
            </w:r>
          </w:p>
        </w:tc>
        <w:tc>
          <w:tcPr>
            <w:tcW w:w="7673" w:type="dxa"/>
            <w:gridSpan w:val="2"/>
          </w:tcPr>
          <w:p w14:paraId="40A83C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80%</w:t>
            </w:r>
          </w:p>
        </w:tc>
      </w:tr>
      <w:tr w:rsidR="00280F65" w:rsidRPr="00F03354" w14:paraId="7A1448E6" w14:textId="77777777" w:rsidTr="0035264A">
        <w:trPr>
          <w:cantSplit/>
          <w:trHeight w:val="60"/>
        </w:trPr>
        <w:tc>
          <w:tcPr>
            <w:tcW w:w="2562" w:type="dxa"/>
            <w:vMerge w:val="restart"/>
          </w:tcPr>
          <w:p w14:paraId="00F7B6B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442" w:type="dxa"/>
          </w:tcPr>
          <w:p w14:paraId="3A28DF3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Over 80%</w:t>
            </w:r>
          </w:p>
        </w:tc>
        <w:tc>
          <w:tcPr>
            <w:tcW w:w="4231" w:type="dxa"/>
          </w:tcPr>
          <w:p w14:paraId="4D095525"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766F6327" w14:textId="77777777" w:rsidTr="0035264A">
        <w:trPr>
          <w:cantSplit/>
          <w:trHeight w:val="60"/>
        </w:trPr>
        <w:tc>
          <w:tcPr>
            <w:tcW w:w="2562" w:type="dxa"/>
            <w:vMerge/>
          </w:tcPr>
          <w:p w14:paraId="773DA54C"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442" w:type="dxa"/>
          </w:tcPr>
          <w:p w14:paraId="12FB5DA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under 80%</w:t>
            </w:r>
          </w:p>
        </w:tc>
        <w:tc>
          <w:tcPr>
            <w:tcW w:w="4231" w:type="dxa"/>
          </w:tcPr>
          <w:p w14:paraId="5044B20C"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2A3BC57B" w14:textId="77777777" w:rsidR="00280F65" w:rsidRPr="00F03354"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2"/>
        <w:gridCol w:w="3464"/>
        <w:gridCol w:w="4209"/>
      </w:tblGrid>
      <w:tr w:rsidR="00280F65" w:rsidRPr="00F03354" w14:paraId="7D948F94" w14:textId="77777777" w:rsidTr="0035264A">
        <w:trPr>
          <w:cantSplit/>
          <w:trHeight w:val="60"/>
          <w:tblHeader/>
        </w:trPr>
        <w:tc>
          <w:tcPr>
            <w:tcW w:w="2562" w:type="dxa"/>
            <w:shd w:val="clear" w:color="auto" w:fill="244C5A"/>
            <w:vAlign w:val="bottom"/>
          </w:tcPr>
          <w:p w14:paraId="5213D25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73" w:type="dxa"/>
            <w:gridSpan w:val="2"/>
            <w:shd w:val="clear" w:color="auto" w:fill="244C5A"/>
            <w:vAlign w:val="bottom"/>
          </w:tcPr>
          <w:p w14:paraId="5D78C7C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learners having a sense of wellbeing at the organisation</w:t>
            </w:r>
          </w:p>
        </w:tc>
      </w:tr>
      <w:tr w:rsidR="00280F65" w:rsidRPr="00F03354" w14:paraId="2635A70B" w14:textId="77777777" w:rsidTr="0035264A">
        <w:trPr>
          <w:cantSplit/>
          <w:trHeight w:val="60"/>
        </w:trPr>
        <w:tc>
          <w:tcPr>
            <w:tcW w:w="2562" w:type="dxa"/>
          </w:tcPr>
          <w:p w14:paraId="475517C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73" w:type="dxa"/>
            <w:gridSpan w:val="2"/>
          </w:tcPr>
          <w:p w14:paraId="267D0BAD" w14:textId="557E61D4"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learners that rate their sense of personal wellbeing favourably (i.e</w:t>
            </w:r>
            <w:r w:rsidR="00DA24E5" w:rsidRPr="00F03354">
              <w:rPr>
                <w:rFonts w:ascii="VIC" w:eastAsia="Times New Roman" w:hAnsi="VIC" w:cs="Times New Roman"/>
                <w:sz w:val="20"/>
                <w:szCs w:val="20"/>
              </w:rPr>
              <w:t>.,</w:t>
            </w:r>
            <w:r w:rsidRPr="00F03354">
              <w:rPr>
                <w:rFonts w:ascii="VIC" w:eastAsia="Times New Roman" w:hAnsi="VIC" w:cs="Times New Roman"/>
                <w:sz w:val="20"/>
                <w:szCs w:val="20"/>
              </w:rPr>
              <w:t xml:space="preserve"> agree or strongly agree on a 5-point Likert scale of strongly disagree – disagree – neither agree nor disagree – agree – strongly agree) to the statement: I had an overall sense of wellbeing while in this organisation</w:t>
            </w:r>
          </w:p>
        </w:tc>
      </w:tr>
      <w:tr w:rsidR="00280F65" w:rsidRPr="00F03354" w14:paraId="02CF751C" w14:textId="77777777" w:rsidTr="0035264A">
        <w:trPr>
          <w:cantSplit/>
          <w:trHeight w:val="60"/>
        </w:trPr>
        <w:tc>
          <w:tcPr>
            <w:tcW w:w="2562" w:type="dxa"/>
          </w:tcPr>
          <w:p w14:paraId="7356178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73" w:type="dxa"/>
            <w:gridSpan w:val="2"/>
          </w:tcPr>
          <w:p w14:paraId="48D086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learners that responded to the statement</w:t>
            </w:r>
          </w:p>
        </w:tc>
      </w:tr>
      <w:tr w:rsidR="00280F65" w:rsidRPr="00F03354" w14:paraId="67FB6E43" w14:textId="77777777" w:rsidTr="0035264A">
        <w:trPr>
          <w:cantSplit/>
          <w:trHeight w:val="60"/>
        </w:trPr>
        <w:tc>
          <w:tcPr>
            <w:tcW w:w="2562" w:type="dxa"/>
          </w:tcPr>
          <w:p w14:paraId="6BCC6D7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Risk Flag</w:t>
            </w:r>
          </w:p>
        </w:tc>
        <w:tc>
          <w:tcPr>
            <w:tcW w:w="7673" w:type="dxa"/>
            <w:gridSpan w:val="2"/>
          </w:tcPr>
          <w:p w14:paraId="1C90543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80% </w:t>
            </w:r>
          </w:p>
        </w:tc>
      </w:tr>
      <w:tr w:rsidR="00280F65" w:rsidRPr="00F03354" w14:paraId="15B082CC" w14:textId="77777777" w:rsidTr="0035264A">
        <w:trPr>
          <w:cantSplit/>
          <w:trHeight w:val="60"/>
        </w:trPr>
        <w:tc>
          <w:tcPr>
            <w:tcW w:w="2562" w:type="dxa"/>
            <w:vMerge w:val="restart"/>
          </w:tcPr>
          <w:p w14:paraId="33C1E79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464" w:type="dxa"/>
          </w:tcPr>
          <w:p w14:paraId="30DE713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Over 80%</w:t>
            </w:r>
          </w:p>
        </w:tc>
        <w:tc>
          <w:tcPr>
            <w:tcW w:w="4209" w:type="dxa"/>
          </w:tcPr>
          <w:p w14:paraId="60AADB6B"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5C212E6A" w14:textId="77777777" w:rsidTr="0035264A">
        <w:trPr>
          <w:cantSplit/>
          <w:trHeight w:val="60"/>
        </w:trPr>
        <w:tc>
          <w:tcPr>
            <w:tcW w:w="2562" w:type="dxa"/>
            <w:vMerge/>
          </w:tcPr>
          <w:p w14:paraId="2F96874E"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464" w:type="dxa"/>
          </w:tcPr>
          <w:p w14:paraId="3CD181D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under 80%</w:t>
            </w:r>
          </w:p>
        </w:tc>
        <w:tc>
          <w:tcPr>
            <w:tcW w:w="4209" w:type="dxa"/>
          </w:tcPr>
          <w:p w14:paraId="4C6F1263"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7FFE7929" w14:textId="77777777" w:rsidR="00280F65" w:rsidRPr="00F03354" w:rsidRDefault="00280F65" w:rsidP="00280F65">
      <w:pPr>
        <w:spacing w:before="80" w:after="6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562"/>
        <w:gridCol w:w="3944"/>
        <w:gridCol w:w="3729"/>
      </w:tblGrid>
      <w:tr w:rsidR="00280F65" w:rsidRPr="00F03354" w14:paraId="36F961A9" w14:textId="77777777" w:rsidTr="0035264A">
        <w:trPr>
          <w:cantSplit/>
          <w:trHeight w:val="60"/>
          <w:tblHeader/>
        </w:trPr>
        <w:tc>
          <w:tcPr>
            <w:tcW w:w="2562" w:type="dxa"/>
            <w:shd w:val="clear" w:color="auto" w:fill="244C5A"/>
            <w:vAlign w:val="bottom"/>
          </w:tcPr>
          <w:p w14:paraId="607B263C"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73" w:type="dxa"/>
            <w:gridSpan w:val="2"/>
            <w:shd w:val="clear" w:color="auto" w:fill="244C5A"/>
            <w:vAlign w:val="bottom"/>
          </w:tcPr>
          <w:p w14:paraId="6F76ADE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learners who reported experiencing or witnessing bullying at the organisation</w:t>
            </w:r>
          </w:p>
        </w:tc>
      </w:tr>
      <w:tr w:rsidR="00280F65" w:rsidRPr="00F03354" w14:paraId="4391C09E" w14:textId="77777777" w:rsidTr="0035264A">
        <w:trPr>
          <w:cantSplit/>
          <w:trHeight w:val="60"/>
        </w:trPr>
        <w:tc>
          <w:tcPr>
            <w:tcW w:w="2562" w:type="dxa"/>
          </w:tcPr>
          <w:p w14:paraId="182470D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73" w:type="dxa"/>
            <w:gridSpan w:val="2"/>
          </w:tcPr>
          <w:p w14:paraId="4909461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number of learners that indicate a ‘yes’ answer to the statement: </w:t>
            </w:r>
          </w:p>
          <w:p w14:paraId="03D2A85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 personally experienced bullying or witnessed bullying of others in this organisation. </w:t>
            </w:r>
          </w:p>
        </w:tc>
      </w:tr>
      <w:tr w:rsidR="00280F65" w:rsidRPr="00F03354" w14:paraId="6E0035B2" w14:textId="77777777" w:rsidTr="0035264A">
        <w:trPr>
          <w:cantSplit/>
          <w:trHeight w:val="60"/>
        </w:trPr>
        <w:tc>
          <w:tcPr>
            <w:tcW w:w="2562" w:type="dxa"/>
          </w:tcPr>
          <w:p w14:paraId="4997362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Denominator </w:t>
            </w:r>
          </w:p>
        </w:tc>
        <w:tc>
          <w:tcPr>
            <w:tcW w:w="7673" w:type="dxa"/>
            <w:gridSpan w:val="2"/>
          </w:tcPr>
          <w:p w14:paraId="49055E5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learners that responded to the statement</w:t>
            </w:r>
          </w:p>
        </w:tc>
      </w:tr>
      <w:tr w:rsidR="00280F65" w:rsidRPr="00F03354" w14:paraId="041C1DD0" w14:textId="77777777" w:rsidTr="0035264A">
        <w:trPr>
          <w:cantSplit/>
          <w:trHeight w:val="60"/>
        </w:trPr>
        <w:tc>
          <w:tcPr>
            <w:tcW w:w="2562" w:type="dxa"/>
          </w:tcPr>
          <w:p w14:paraId="1918D99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Risk Flag</w:t>
            </w:r>
          </w:p>
        </w:tc>
        <w:tc>
          <w:tcPr>
            <w:tcW w:w="7673" w:type="dxa"/>
            <w:gridSpan w:val="2"/>
          </w:tcPr>
          <w:p w14:paraId="695F325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20% </w:t>
            </w:r>
          </w:p>
        </w:tc>
      </w:tr>
      <w:tr w:rsidR="00280F65" w:rsidRPr="00F03354" w14:paraId="11E53912" w14:textId="77777777" w:rsidTr="0035264A">
        <w:trPr>
          <w:cantSplit/>
          <w:trHeight w:val="60"/>
        </w:trPr>
        <w:tc>
          <w:tcPr>
            <w:tcW w:w="2562" w:type="dxa"/>
            <w:vMerge w:val="restart"/>
          </w:tcPr>
          <w:p w14:paraId="45B069F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3944" w:type="dxa"/>
          </w:tcPr>
          <w:p w14:paraId="1BDED5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Under 20%</w:t>
            </w:r>
          </w:p>
        </w:tc>
        <w:tc>
          <w:tcPr>
            <w:tcW w:w="3729" w:type="dxa"/>
          </w:tcPr>
          <w:p w14:paraId="4EC25FE2"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401B5C3A" w14:textId="77777777" w:rsidTr="0035264A">
        <w:trPr>
          <w:cantSplit/>
          <w:trHeight w:val="60"/>
        </w:trPr>
        <w:tc>
          <w:tcPr>
            <w:tcW w:w="2562" w:type="dxa"/>
            <w:vMerge/>
          </w:tcPr>
          <w:p w14:paraId="21CB2475" w14:textId="77777777" w:rsidR="00280F65" w:rsidRPr="00F03354" w:rsidRDefault="00280F65" w:rsidP="00280F65">
            <w:pPr>
              <w:spacing w:before="80" w:after="60" w:line="240" w:lineRule="auto"/>
              <w:rPr>
                <w:rFonts w:ascii="VIC" w:eastAsia="Times New Roman" w:hAnsi="VIC" w:cs="Times New Roman"/>
                <w:sz w:val="20"/>
                <w:szCs w:val="20"/>
              </w:rPr>
            </w:pPr>
          </w:p>
        </w:tc>
        <w:tc>
          <w:tcPr>
            <w:tcW w:w="3944" w:type="dxa"/>
          </w:tcPr>
          <w:p w14:paraId="094269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over 20%</w:t>
            </w:r>
          </w:p>
        </w:tc>
        <w:tc>
          <w:tcPr>
            <w:tcW w:w="3729" w:type="dxa"/>
          </w:tcPr>
          <w:p w14:paraId="53E2D53D"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bl>
    <w:p w14:paraId="74ADF974" w14:textId="77777777" w:rsidR="00280F65" w:rsidRPr="00F03354" w:rsidRDefault="00280F65" w:rsidP="00280F65">
      <w:pPr>
        <w:keepNext/>
        <w:keepLines/>
        <w:spacing w:before="240" w:after="90" w:line="320" w:lineRule="atLeast"/>
        <w:outlineLvl w:val="2"/>
        <w:rPr>
          <w:rFonts w:ascii="VIC" w:eastAsia="MS Gothic" w:hAnsi="VIC" w:cs="Arial"/>
          <w:b/>
          <w:bCs/>
          <w:color w:val="201547"/>
          <w:sz w:val="20"/>
          <w:szCs w:val="20"/>
        </w:rPr>
      </w:pPr>
      <w:bookmarkStart w:id="39" w:name="_Toc516827360"/>
      <w:bookmarkStart w:id="40" w:name="_Toc517959139"/>
      <w:bookmarkStart w:id="41" w:name="_Toc10123556"/>
      <w:r w:rsidRPr="00F03354">
        <w:rPr>
          <w:rFonts w:ascii="VIC" w:eastAsia="MS Gothic" w:hAnsi="VIC" w:cs="Arial"/>
          <w:b/>
          <w:bCs/>
          <w:color w:val="201547"/>
          <w:sz w:val="20"/>
          <w:szCs w:val="20"/>
        </w:rPr>
        <w:lastRenderedPageBreak/>
        <w:t>Timely access to care</w:t>
      </w:r>
      <w:bookmarkEnd w:id="39"/>
      <w:bookmarkEnd w:id="40"/>
      <w:bookmarkEnd w:id="41"/>
    </w:p>
    <w:p w14:paraId="5147D5EB"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42" w:name="_Toc517959140"/>
      <w:bookmarkStart w:id="43" w:name="_Toc10123557"/>
      <w:r w:rsidRPr="00F03354">
        <w:rPr>
          <w:rFonts w:ascii="VIC" w:eastAsia="MS Mincho" w:hAnsi="VIC" w:cs="Arial"/>
          <w:b/>
          <w:bCs/>
          <w:sz w:val="20"/>
          <w:szCs w:val="20"/>
        </w:rPr>
        <w:t>Emergency care</w:t>
      </w:r>
      <w:bookmarkEnd w:id="42"/>
      <w:bookmarkEnd w:id="43"/>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394"/>
        <w:gridCol w:w="3289"/>
      </w:tblGrid>
      <w:tr w:rsidR="00280F65" w:rsidRPr="00F03354" w14:paraId="6BAF3C77" w14:textId="77777777" w:rsidTr="6BF3BDE6">
        <w:trPr>
          <w:cantSplit/>
          <w:trHeight w:val="60"/>
          <w:tblHeader/>
        </w:trPr>
        <w:tc>
          <w:tcPr>
            <w:tcW w:w="2552" w:type="dxa"/>
            <w:shd w:val="clear" w:color="auto" w:fill="244C5A"/>
            <w:vAlign w:val="bottom"/>
          </w:tcPr>
          <w:p w14:paraId="4BE67F1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83" w:type="dxa"/>
            <w:gridSpan w:val="2"/>
            <w:shd w:val="clear" w:color="auto" w:fill="244C5A"/>
            <w:vAlign w:val="bottom"/>
          </w:tcPr>
          <w:p w14:paraId="64A6BD0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patients transferred from ambulance to an emergency department (ED) within 40 minutes</w:t>
            </w:r>
          </w:p>
        </w:tc>
      </w:tr>
      <w:tr w:rsidR="00280F65" w:rsidRPr="00F03354" w14:paraId="621F2A15" w14:textId="77777777" w:rsidTr="6BF3BDE6">
        <w:trPr>
          <w:cantSplit/>
          <w:trHeight w:val="60"/>
        </w:trPr>
        <w:tc>
          <w:tcPr>
            <w:tcW w:w="2552" w:type="dxa"/>
          </w:tcPr>
          <w:p w14:paraId="3CAF898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83" w:type="dxa"/>
            <w:gridSpan w:val="2"/>
          </w:tcPr>
          <w:p w14:paraId="353BFA41" w14:textId="57DE9E3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Timely reception of ambulance patients in E</w:t>
            </w:r>
            <w:r w:rsidR="00CA396B" w:rsidRPr="00F03354">
              <w:rPr>
                <w:rFonts w:ascii="VIC" w:eastAsia="Times New Roman" w:hAnsi="VIC" w:cs="Times New Roman"/>
                <w:sz w:val="20"/>
                <w:szCs w:val="20"/>
              </w:rPr>
              <w:t>D</w:t>
            </w:r>
            <w:r w:rsidRPr="00F03354">
              <w:rPr>
                <w:rFonts w:ascii="VIC" w:eastAsia="Times New Roman" w:hAnsi="VIC" w:cs="Times New Roman"/>
                <w:sz w:val="20"/>
                <w:szCs w:val="20"/>
              </w:rPr>
              <w:t>s</w:t>
            </w:r>
            <w:r w:rsidR="00CA396B" w:rsidRPr="00F03354">
              <w:rPr>
                <w:rFonts w:ascii="VIC" w:eastAsia="Times New Roman" w:hAnsi="VIC" w:cs="Times New Roman"/>
                <w:sz w:val="20"/>
                <w:szCs w:val="20"/>
              </w:rPr>
              <w:t xml:space="preserve"> (emergency departments)</w:t>
            </w:r>
            <w:r w:rsidRPr="00F03354">
              <w:rPr>
                <w:rFonts w:ascii="VIC" w:eastAsia="Times New Roman" w:hAnsi="VIC" w:cs="Times New Roman"/>
                <w:sz w:val="20"/>
                <w:szCs w:val="20"/>
              </w:rPr>
              <w:t xml:space="preserve"> is essential to delivering responsive and safe emergency care, and good performance impacts positively on patient outcomes, patient flow in the ED and ambulance response times.</w:t>
            </w:r>
          </w:p>
          <w:p w14:paraId="58FC4CE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monitors the percentage of patients who were transferred from paramedic care to hospital emergency care within 40 minutes of ambulance arrival.</w:t>
            </w:r>
          </w:p>
        </w:tc>
      </w:tr>
      <w:tr w:rsidR="00280F65" w:rsidRPr="00F03354" w14:paraId="34A3F44E" w14:textId="77777777" w:rsidTr="6BF3BDE6">
        <w:trPr>
          <w:cantSplit/>
          <w:trHeight w:val="60"/>
        </w:trPr>
        <w:tc>
          <w:tcPr>
            <w:tcW w:w="2552" w:type="dxa"/>
            <w:hideMark/>
          </w:tcPr>
          <w:p w14:paraId="609E649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683" w:type="dxa"/>
            <w:gridSpan w:val="2"/>
            <w:hideMark/>
          </w:tcPr>
          <w:p w14:paraId="37868D9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Ambulance patient transfer time is the total time from ambulance arrival at the hospital (‘at destination time’) to the physical transfer of the patient and handover of care to hospital staff (‘ambulance handover complete’).</w:t>
            </w:r>
          </w:p>
          <w:p w14:paraId="3FF38AD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captures the percentage of cases where ambulance patient transfer time is less than or equal to 40 minutes.</w:t>
            </w:r>
            <w:r w:rsidRPr="00F03354">
              <w:rPr>
                <w:rFonts w:ascii="VIC" w:eastAsia="Times New Roman" w:hAnsi="VIC" w:cs="Times New Roman"/>
                <w:sz w:val="20"/>
                <w:szCs w:val="20"/>
              </w:rPr>
              <w:br/>
              <w:t>The following Arrival Transport Mode (VEMD) codes are applied:</w:t>
            </w:r>
          </w:p>
          <w:p w14:paraId="7D21320A" w14:textId="77777777" w:rsidR="00280F65" w:rsidRPr="00F03354" w:rsidRDefault="00280F65" w:rsidP="0089279C">
            <w:pPr>
              <w:numPr>
                <w:ilvl w:val="0"/>
                <w:numId w:val="2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‘01’ Air Ambulance – excludes helicopter</w:t>
            </w:r>
          </w:p>
          <w:p w14:paraId="7D8999B9" w14:textId="77777777" w:rsidR="00280F65" w:rsidRPr="00F03354" w:rsidRDefault="00280F65" w:rsidP="0089279C">
            <w:pPr>
              <w:numPr>
                <w:ilvl w:val="0"/>
                <w:numId w:val="2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‘02’ Helicopter</w:t>
            </w:r>
          </w:p>
          <w:p w14:paraId="22DB4439" w14:textId="77777777" w:rsidR="00280F65" w:rsidRPr="00F03354" w:rsidRDefault="00280F65" w:rsidP="0089279C">
            <w:pPr>
              <w:numPr>
                <w:ilvl w:val="0"/>
                <w:numId w:val="2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‘03’ Road Ambulance Service</w:t>
            </w:r>
          </w:p>
          <w:p w14:paraId="50D4F57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br/>
              <w:t>The Separation/Departure Date (not Arrival Date) is used for calculating the emergency department indicators.</w:t>
            </w:r>
          </w:p>
          <w:p w14:paraId="14DA410F" w14:textId="77777777" w:rsidR="00280F65" w:rsidRPr="00F03354" w:rsidRDefault="00280F65" w:rsidP="00280F65">
            <w:pPr>
              <w:spacing w:before="80" w:after="60" w:line="240" w:lineRule="auto"/>
              <w:rPr>
                <w:rFonts w:ascii="VIC" w:eastAsia="Times New Roman" w:hAnsi="VIC" w:cs="Times New Roman"/>
                <w:sz w:val="20"/>
                <w:szCs w:val="20"/>
              </w:rPr>
            </w:pPr>
          </w:p>
          <w:p w14:paraId="13FE99F8" w14:textId="77777777" w:rsidR="00280F65" w:rsidRPr="00F03354" w:rsidRDefault="084D64FE"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Exclusion: </w:t>
            </w:r>
            <w:r w:rsidR="00280F65" w:rsidRPr="00F03354">
              <w:rPr>
                <w:rFonts w:ascii="VIC" w:eastAsia="Times New Roman" w:hAnsi="VIC" w:cs="Times New Roman"/>
                <w:sz w:val="20"/>
                <w:szCs w:val="20"/>
              </w:rPr>
              <w:br/>
            </w:r>
            <w:r w:rsidRPr="00F03354">
              <w:rPr>
                <w:rFonts w:ascii="VIC" w:eastAsia="Times New Roman" w:hAnsi="VIC" w:cs="Times New Roman"/>
                <w:sz w:val="20"/>
                <w:szCs w:val="20"/>
              </w:rPr>
              <w:t>- Type of Visit code 19 (COVID-19 assessment clinic)</w:t>
            </w:r>
            <w:r w:rsidR="00280F65" w:rsidRPr="00F03354">
              <w:rPr>
                <w:rFonts w:ascii="VIC" w:eastAsia="Times New Roman" w:hAnsi="VIC" w:cs="Times New Roman"/>
                <w:sz w:val="20"/>
                <w:szCs w:val="20"/>
                <w:vertAlign w:val="superscript"/>
              </w:rPr>
              <w:footnoteReference w:id="13"/>
            </w:r>
            <w:r w:rsidRPr="00F03354">
              <w:rPr>
                <w:rFonts w:ascii="VIC" w:eastAsia="Times New Roman" w:hAnsi="VIC" w:cs="Times New Roman"/>
                <w:sz w:val="20"/>
                <w:szCs w:val="20"/>
              </w:rPr>
              <w:t xml:space="preserve"> does not form part of the non-admitted patient emergency department care national minimum dataset and is to be excluded.</w:t>
            </w:r>
            <w:r w:rsidR="00280F65" w:rsidRPr="00F03354">
              <w:rPr>
                <w:rFonts w:ascii="VIC" w:eastAsia="Times New Roman" w:hAnsi="VIC" w:cs="Times New Roman"/>
                <w:sz w:val="20"/>
                <w:szCs w:val="20"/>
              </w:rPr>
              <w:br/>
            </w:r>
          </w:p>
          <w:p w14:paraId="2965777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 (0.5 is rounded up).</w:t>
            </w:r>
          </w:p>
        </w:tc>
      </w:tr>
      <w:tr w:rsidR="00280F65" w:rsidRPr="00F03354" w14:paraId="375644E1" w14:textId="77777777" w:rsidTr="6BF3BDE6">
        <w:trPr>
          <w:cantSplit/>
          <w:trHeight w:val="60"/>
        </w:trPr>
        <w:tc>
          <w:tcPr>
            <w:tcW w:w="2552" w:type="dxa"/>
            <w:hideMark/>
          </w:tcPr>
          <w:p w14:paraId="10E02E6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83" w:type="dxa"/>
            <w:gridSpan w:val="2"/>
            <w:hideMark/>
          </w:tcPr>
          <w:p w14:paraId="0360E5A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Patients arriving by emergency ambulance who are transferred within 40 minutes to the ED</w:t>
            </w:r>
          </w:p>
        </w:tc>
      </w:tr>
      <w:tr w:rsidR="00280F65" w:rsidRPr="00F03354" w14:paraId="47988962" w14:textId="77777777" w:rsidTr="6BF3BDE6">
        <w:trPr>
          <w:cantSplit/>
          <w:trHeight w:val="60"/>
        </w:trPr>
        <w:tc>
          <w:tcPr>
            <w:tcW w:w="2552" w:type="dxa"/>
            <w:hideMark/>
          </w:tcPr>
          <w:p w14:paraId="039D3B1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683" w:type="dxa"/>
            <w:gridSpan w:val="2"/>
            <w:hideMark/>
          </w:tcPr>
          <w:p w14:paraId="41F0A28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patients arriving by emergency ambulance who are transferred to the ED</w:t>
            </w:r>
          </w:p>
        </w:tc>
      </w:tr>
      <w:tr w:rsidR="00280F65" w:rsidRPr="00F03354" w14:paraId="7BB9781E" w14:textId="77777777" w:rsidTr="6BF3BDE6">
        <w:trPr>
          <w:cantSplit/>
          <w:trHeight w:val="60"/>
        </w:trPr>
        <w:tc>
          <w:tcPr>
            <w:tcW w:w="2552" w:type="dxa"/>
            <w:hideMark/>
          </w:tcPr>
          <w:p w14:paraId="41DB5B1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83" w:type="dxa"/>
            <w:gridSpan w:val="2"/>
            <w:hideMark/>
          </w:tcPr>
          <w:p w14:paraId="1742E0DF"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90%</w:t>
            </w:r>
          </w:p>
        </w:tc>
      </w:tr>
      <w:tr w:rsidR="00280F65" w:rsidRPr="00F03354" w14:paraId="45A7C546" w14:textId="77777777" w:rsidTr="6BF3BDE6">
        <w:trPr>
          <w:cantSplit/>
          <w:trHeight w:val="60"/>
        </w:trPr>
        <w:tc>
          <w:tcPr>
            <w:tcW w:w="2552" w:type="dxa"/>
            <w:vMerge w:val="restart"/>
            <w:hideMark/>
          </w:tcPr>
          <w:p w14:paraId="1541FE1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94" w:type="dxa"/>
            <w:hideMark/>
          </w:tcPr>
          <w:p w14:paraId="1FBCFD6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90%</w:t>
            </w:r>
          </w:p>
        </w:tc>
        <w:tc>
          <w:tcPr>
            <w:tcW w:w="3289" w:type="dxa"/>
            <w:hideMark/>
          </w:tcPr>
          <w:p w14:paraId="30519AAE"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411E3C60" w14:textId="77777777" w:rsidTr="6BF3BDE6">
        <w:trPr>
          <w:cantSplit/>
          <w:trHeight w:val="60"/>
        </w:trPr>
        <w:tc>
          <w:tcPr>
            <w:tcW w:w="2552" w:type="dxa"/>
            <w:vMerge/>
            <w:vAlign w:val="center"/>
            <w:hideMark/>
          </w:tcPr>
          <w:p w14:paraId="5047F3E2"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394" w:type="dxa"/>
            <w:hideMark/>
          </w:tcPr>
          <w:p w14:paraId="7363FCB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90%</w:t>
            </w:r>
          </w:p>
        </w:tc>
        <w:tc>
          <w:tcPr>
            <w:tcW w:w="3289" w:type="dxa"/>
            <w:hideMark/>
          </w:tcPr>
          <w:p w14:paraId="5DE1F91A"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1CFA1EED" w14:textId="77777777" w:rsidTr="6BF3BDE6">
        <w:trPr>
          <w:cantSplit/>
          <w:trHeight w:val="60"/>
        </w:trPr>
        <w:tc>
          <w:tcPr>
            <w:tcW w:w="2552" w:type="dxa"/>
          </w:tcPr>
          <w:p w14:paraId="3FFF183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683" w:type="dxa"/>
            <w:gridSpan w:val="2"/>
          </w:tcPr>
          <w:p w14:paraId="38512B6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calculated based on same time last year performance.</w:t>
            </w:r>
          </w:p>
        </w:tc>
      </w:tr>
      <w:tr w:rsidR="00280F65" w:rsidRPr="00F03354" w14:paraId="29BC105F" w14:textId="77777777" w:rsidTr="6BF3BDE6">
        <w:trPr>
          <w:cantSplit/>
          <w:trHeight w:val="60"/>
        </w:trPr>
        <w:tc>
          <w:tcPr>
            <w:tcW w:w="2552" w:type="dxa"/>
            <w:hideMark/>
          </w:tcPr>
          <w:p w14:paraId="42813926"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lastRenderedPageBreak/>
              <w:t>Frequency of reporting and data collection</w:t>
            </w:r>
          </w:p>
        </w:tc>
        <w:tc>
          <w:tcPr>
            <w:tcW w:w="7683" w:type="dxa"/>
            <w:gridSpan w:val="2"/>
            <w:hideMark/>
          </w:tcPr>
          <w:p w14:paraId="727A327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campus level.</w:t>
            </w:r>
          </w:p>
          <w:p w14:paraId="54EF840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 Quarterly and annual results are also generated.</w:t>
            </w:r>
          </w:p>
          <w:p w14:paraId="03A9F22B" w14:textId="682F60E6"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This indicator is calculated using data submitted by health services via the Victorian Emergency Minimum Dataset (VEMD). Refer to the </w:t>
            </w:r>
            <w:r w:rsidRPr="00F03354">
              <w:rPr>
                <w:rFonts w:ascii="VIC" w:eastAsia="Times New Roman" w:hAnsi="VIC" w:cs="Times New Roman"/>
                <w:i/>
                <w:sz w:val="20"/>
                <w:szCs w:val="20"/>
              </w:rPr>
              <w:t xml:space="preserve">Department of Health and Human Services policy and funding guidelines </w:t>
            </w:r>
            <w:r w:rsidRPr="00F03354">
              <w:rPr>
                <w:rFonts w:ascii="VIC" w:eastAsia="Times New Roman" w:hAnsi="VIC" w:cs="Times New Roman"/>
                <w:sz w:val="20"/>
                <w:szCs w:val="20"/>
              </w:rPr>
              <w:t>for further information on VEMD data submission timelines.</w:t>
            </w:r>
          </w:p>
        </w:tc>
      </w:tr>
    </w:tbl>
    <w:p w14:paraId="2ECCE18F" w14:textId="77777777" w:rsidR="00280F65" w:rsidRPr="00F03354"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536"/>
        <w:gridCol w:w="3118"/>
      </w:tblGrid>
      <w:tr w:rsidR="00280F65" w:rsidRPr="00F03354" w14:paraId="153DFE62" w14:textId="77777777" w:rsidTr="6BF3BDE6">
        <w:trPr>
          <w:cantSplit/>
          <w:trHeight w:val="60"/>
        </w:trPr>
        <w:tc>
          <w:tcPr>
            <w:tcW w:w="2581" w:type="dxa"/>
            <w:shd w:val="clear" w:color="auto" w:fill="244C5A"/>
          </w:tcPr>
          <w:p w14:paraId="04F5E4A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654" w:type="dxa"/>
            <w:gridSpan w:val="2"/>
            <w:shd w:val="clear" w:color="auto" w:fill="244C5A"/>
          </w:tcPr>
          <w:p w14:paraId="6851628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triage category 1 emergency patients seen immediately</w:t>
            </w:r>
          </w:p>
        </w:tc>
      </w:tr>
      <w:tr w:rsidR="00280F65" w:rsidRPr="00F03354" w14:paraId="2356FFD6" w14:textId="77777777" w:rsidTr="6BF3BDE6">
        <w:trPr>
          <w:cantSplit/>
          <w:trHeight w:val="60"/>
        </w:trPr>
        <w:tc>
          <w:tcPr>
            <w:tcW w:w="2581" w:type="dxa"/>
            <w:hideMark/>
          </w:tcPr>
          <w:p w14:paraId="0654BC9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54" w:type="dxa"/>
            <w:gridSpan w:val="2"/>
            <w:hideMark/>
          </w:tcPr>
          <w:p w14:paraId="7BD2944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Triage category 1 patients have a condition that is clinically assessed as immediately life threatening and requires immediate intervention. The clinical benchmark is 100 per cent due to the high clinical needs of patients.</w:t>
            </w:r>
          </w:p>
          <w:p w14:paraId="58909D2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aim of this indicator is to ensure the treatment of patients occurs within appropriate clinical benchmark times.</w:t>
            </w:r>
          </w:p>
          <w:p w14:paraId="3EE99DC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patients attending EDs are triaged or assessed for urgency. The Australasian College of Emergency Medicine has identified five triage categories and defines the desirable time by when treatment should commence for patients in each category.</w:t>
            </w:r>
          </w:p>
        </w:tc>
      </w:tr>
      <w:tr w:rsidR="00280F65" w:rsidRPr="00F03354" w14:paraId="5C7CE8CB" w14:textId="77777777" w:rsidTr="6BF3BDE6">
        <w:trPr>
          <w:cantSplit/>
          <w:trHeight w:val="60"/>
        </w:trPr>
        <w:tc>
          <w:tcPr>
            <w:tcW w:w="2581" w:type="dxa"/>
            <w:hideMark/>
          </w:tcPr>
          <w:p w14:paraId="5BA18A1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Calculating performance</w:t>
            </w:r>
          </w:p>
        </w:tc>
        <w:tc>
          <w:tcPr>
            <w:tcW w:w="7654" w:type="dxa"/>
            <w:gridSpan w:val="2"/>
            <w:hideMark/>
          </w:tcPr>
          <w:p w14:paraId="5F3B438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patient is categorised as having been seen immediately if the time to treatment, as defined in the VEMD manual, is less than or equal to one minute.</w:t>
            </w:r>
          </w:p>
          <w:p w14:paraId="7F9BAF6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Time to treatment equals b – a, where:</w:t>
            </w:r>
          </w:p>
          <w:p w14:paraId="12A5A059" w14:textId="77777777" w:rsidR="00280F65" w:rsidRPr="00F03354" w:rsidRDefault="00280F65" w:rsidP="0089279C">
            <w:pPr>
              <w:pStyle w:val="ListParagraph"/>
              <w:numPr>
                <w:ilvl w:val="0"/>
                <w:numId w:val="3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is arrival date and time</w:t>
            </w:r>
          </w:p>
          <w:p w14:paraId="77052F33" w14:textId="77777777" w:rsidR="00280F65" w:rsidRPr="00F03354" w:rsidRDefault="00280F65" w:rsidP="0089279C">
            <w:pPr>
              <w:pStyle w:val="ListParagraph"/>
              <w:numPr>
                <w:ilvl w:val="0"/>
                <w:numId w:val="3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 is the date and time of the initiation of patient management (either by a doctor, a mental health practitioner or a nurse, whichever is earliest).</w:t>
            </w:r>
          </w:p>
          <w:p w14:paraId="1CF0B290" w14:textId="77777777" w:rsidR="00280F65" w:rsidRPr="00F03354" w:rsidRDefault="00280F65" w:rsidP="0089279C">
            <w:pPr>
              <w:pStyle w:val="ListParagraph"/>
              <w:numPr>
                <w:ilvl w:val="0"/>
                <w:numId w:val="3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 presentations with a departure status code of:</w:t>
            </w:r>
          </w:p>
          <w:p w14:paraId="58FEFBAD" w14:textId="77777777" w:rsidR="00280F65" w:rsidRPr="00F03354" w:rsidRDefault="00280F65" w:rsidP="0089279C">
            <w:pPr>
              <w:pStyle w:val="ListParagraph"/>
              <w:numPr>
                <w:ilvl w:val="0"/>
                <w:numId w:val="3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T1 = Left at own risk without consultation</w:t>
            </w:r>
          </w:p>
          <w:p w14:paraId="490A12FC" w14:textId="77777777" w:rsidR="00280F65" w:rsidRPr="00F03354" w:rsidRDefault="00280F65" w:rsidP="0089279C">
            <w:pPr>
              <w:pStyle w:val="ListParagraph"/>
              <w:numPr>
                <w:ilvl w:val="0"/>
                <w:numId w:val="3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10 = left after advice regarding treatment options</w:t>
            </w:r>
          </w:p>
          <w:p w14:paraId="2287200C" w14:textId="77777777" w:rsidR="00280F65" w:rsidRPr="00F03354" w:rsidRDefault="00280F65" w:rsidP="0089279C">
            <w:pPr>
              <w:pStyle w:val="ListParagraph"/>
              <w:numPr>
                <w:ilvl w:val="0"/>
                <w:numId w:val="3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11 = left at own risk without treatment</w:t>
            </w:r>
          </w:p>
          <w:p w14:paraId="34E51F50" w14:textId="77777777" w:rsidR="00280F65" w:rsidRPr="00F03354" w:rsidRDefault="00280F65" w:rsidP="0089279C">
            <w:pPr>
              <w:pStyle w:val="ListParagraph"/>
              <w:numPr>
                <w:ilvl w:val="0"/>
                <w:numId w:val="34"/>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30 = referred to collocated clinic.</w:t>
            </w:r>
          </w:p>
          <w:p w14:paraId="54EF0751" w14:textId="77777777" w:rsidR="00280F65" w:rsidRPr="00F03354" w:rsidRDefault="00280F65" w:rsidP="00280F65">
            <w:pPr>
              <w:spacing w:before="80" w:after="60" w:line="240" w:lineRule="auto"/>
              <w:ind w:left="227"/>
              <w:rPr>
                <w:rFonts w:ascii="VIC" w:eastAsia="Times New Roman" w:hAnsi="VIC" w:cs="Times New Roman"/>
                <w:sz w:val="20"/>
                <w:szCs w:val="20"/>
              </w:rPr>
            </w:pPr>
          </w:p>
          <w:p w14:paraId="70F8A4A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Separation/Departure Date (not Arrival Date) is used for calculating the emergency department indicators.</w:t>
            </w:r>
            <w:r w:rsidRPr="00F03354">
              <w:rPr>
                <w:rFonts w:ascii="VIC" w:eastAsia="Times New Roman" w:hAnsi="VIC" w:cs="Times New Roman"/>
                <w:sz w:val="20"/>
                <w:szCs w:val="20"/>
              </w:rPr>
              <w:br/>
            </w:r>
          </w:p>
          <w:p w14:paraId="0DD1D95D" w14:textId="77777777" w:rsidR="00280F65" w:rsidRPr="00F03354" w:rsidRDefault="084D64FE"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Exclusion: </w:t>
            </w:r>
            <w:r w:rsidR="00280F65" w:rsidRPr="00F03354">
              <w:rPr>
                <w:rFonts w:ascii="VIC" w:eastAsia="Times New Roman" w:hAnsi="VIC" w:cs="Times New Roman"/>
                <w:sz w:val="20"/>
                <w:szCs w:val="20"/>
              </w:rPr>
              <w:br/>
            </w:r>
            <w:r w:rsidRPr="00F03354">
              <w:rPr>
                <w:rFonts w:ascii="VIC" w:eastAsia="Times New Roman" w:hAnsi="VIC" w:cs="Times New Roman"/>
                <w:sz w:val="20"/>
                <w:szCs w:val="20"/>
              </w:rPr>
              <w:t>- Type of Visit code 19 (COVID-19 assessment clinic)</w:t>
            </w:r>
            <w:r w:rsidR="00280F65" w:rsidRPr="00F03354">
              <w:rPr>
                <w:rFonts w:ascii="VIC" w:eastAsia="Times New Roman" w:hAnsi="VIC" w:cs="Times New Roman"/>
                <w:sz w:val="20"/>
                <w:szCs w:val="20"/>
                <w:vertAlign w:val="superscript"/>
              </w:rPr>
              <w:footnoteReference w:id="14"/>
            </w:r>
            <w:r w:rsidRPr="00F03354">
              <w:rPr>
                <w:rFonts w:ascii="VIC" w:eastAsia="Times New Roman" w:hAnsi="VIC" w:cs="Times New Roman"/>
                <w:sz w:val="20"/>
                <w:szCs w:val="20"/>
              </w:rPr>
              <w:t xml:space="preserve"> does not form part of the non-admitted patient emergency department care national minimum dataset and is to be excluded.</w:t>
            </w:r>
            <w:r w:rsidR="00280F65" w:rsidRPr="00F03354">
              <w:rPr>
                <w:rFonts w:ascii="VIC" w:eastAsia="Times New Roman" w:hAnsi="VIC" w:cs="Times New Roman"/>
                <w:sz w:val="20"/>
                <w:szCs w:val="20"/>
              </w:rPr>
              <w:br/>
            </w:r>
          </w:p>
          <w:p w14:paraId="468C82E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 (0.5 is rounded up).</w:t>
            </w:r>
          </w:p>
          <w:p w14:paraId="1786A1A6" w14:textId="77777777" w:rsidR="00280F65" w:rsidRPr="00F03354" w:rsidRDefault="00280F65" w:rsidP="00280F65">
            <w:pPr>
              <w:spacing w:before="80" w:after="60" w:line="240" w:lineRule="auto"/>
              <w:rPr>
                <w:rFonts w:ascii="VIC" w:eastAsia="Times New Roman" w:hAnsi="VIC" w:cs="Times New Roman"/>
                <w:sz w:val="20"/>
                <w:szCs w:val="20"/>
              </w:rPr>
            </w:pPr>
          </w:p>
          <w:p w14:paraId="22F42CF5" w14:textId="77777777" w:rsidR="00280F65" w:rsidRPr="00F03354" w:rsidRDefault="00280F65" w:rsidP="00280F65">
            <w:pPr>
              <w:spacing w:before="80" w:after="60" w:line="240" w:lineRule="auto"/>
              <w:rPr>
                <w:rFonts w:ascii="VIC" w:eastAsia="Times New Roman" w:hAnsi="VIC" w:cs="Times New Roman"/>
                <w:b/>
                <w:sz w:val="20"/>
                <w:szCs w:val="20"/>
              </w:rPr>
            </w:pPr>
            <w:r w:rsidRPr="00F03354">
              <w:rPr>
                <w:rFonts w:ascii="VIC" w:eastAsia="Times New Roman" w:hAnsi="VIC" w:cs="Times New Roman"/>
                <w:b/>
                <w:sz w:val="20"/>
                <w:szCs w:val="20"/>
              </w:rPr>
              <w:t>Performance breach notification</w:t>
            </w:r>
          </w:p>
          <w:p w14:paraId="0C6D69B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If a category 1 ED patient was not seen immediately and the event has been verified and confirmed as accurate, the patient will be regarded as a breach for the purposes of performance, and a departmental notification procedure must be initiated by the health service.</w:t>
            </w:r>
          </w:p>
        </w:tc>
      </w:tr>
      <w:tr w:rsidR="00280F65" w:rsidRPr="00F03354" w14:paraId="7BC4A2FB" w14:textId="77777777" w:rsidTr="6BF3BDE6">
        <w:trPr>
          <w:cantSplit/>
          <w:trHeight w:val="60"/>
        </w:trPr>
        <w:tc>
          <w:tcPr>
            <w:tcW w:w="2581" w:type="dxa"/>
            <w:hideMark/>
          </w:tcPr>
          <w:p w14:paraId="3EFB9BB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54" w:type="dxa"/>
            <w:gridSpan w:val="2"/>
            <w:hideMark/>
          </w:tcPr>
          <w:p w14:paraId="5592CCB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triage category 1 emergency patients seen immediately</w:t>
            </w:r>
          </w:p>
        </w:tc>
      </w:tr>
      <w:tr w:rsidR="00280F65" w:rsidRPr="00F03354" w14:paraId="2DAE7610" w14:textId="77777777" w:rsidTr="6BF3BDE6">
        <w:trPr>
          <w:cantSplit/>
          <w:trHeight w:val="60"/>
        </w:trPr>
        <w:tc>
          <w:tcPr>
            <w:tcW w:w="2581" w:type="dxa"/>
            <w:hideMark/>
          </w:tcPr>
          <w:p w14:paraId="41AD65D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654" w:type="dxa"/>
            <w:gridSpan w:val="2"/>
            <w:hideMark/>
          </w:tcPr>
          <w:p w14:paraId="342940F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triage category 1 emergency patients</w:t>
            </w:r>
          </w:p>
        </w:tc>
      </w:tr>
      <w:tr w:rsidR="00280F65" w:rsidRPr="00F03354" w14:paraId="3011DEEC" w14:textId="77777777" w:rsidTr="6BF3BDE6">
        <w:trPr>
          <w:cantSplit/>
          <w:trHeight w:val="60"/>
        </w:trPr>
        <w:tc>
          <w:tcPr>
            <w:tcW w:w="2581" w:type="dxa"/>
            <w:hideMark/>
          </w:tcPr>
          <w:p w14:paraId="18F402F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54" w:type="dxa"/>
            <w:gridSpan w:val="2"/>
            <w:hideMark/>
          </w:tcPr>
          <w:p w14:paraId="64230F61"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100%</w:t>
            </w:r>
          </w:p>
        </w:tc>
      </w:tr>
      <w:tr w:rsidR="00280F65" w:rsidRPr="00F03354" w14:paraId="46A96691" w14:textId="77777777" w:rsidTr="6BF3BDE6">
        <w:trPr>
          <w:cantSplit/>
          <w:trHeight w:val="60"/>
        </w:trPr>
        <w:tc>
          <w:tcPr>
            <w:tcW w:w="2581" w:type="dxa"/>
            <w:vMerge w:val="restart"/>
            <w:hideMark/>
          </w:tcPr>
          <w:p w14:paraId="38A1BFA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536" w:type="dxa"/>
            <w:hideMark/>
          </w:tcPr>
          <w:p w14:paraId="304335A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100%</w:t>
            </w:r>
          </w:p>
        </w:tc>
        <w:tc>
          <w:tcPr>
            <w:tcW w:w="3118" w:type="dxa"/>
            <w:hideMark/>
          </w:tcPr>
          <w:p w14:paraId="1D6F01EB"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49AC1304" w14:textId="77777777" w:rsidTr="6BF3BDE6">
        <w:trPr>
          <w:cantSplit/>
          <w:trHeight w:val="60"/>
        </w:trPr>
        <w:tc>
          <w:tcPr>
            <w:tcW w:w="2581" w:type="dxa"/>
            <w:vMerge/>
            <w:vAlign w:val="center"/>
            <w:hideMark/>
          </w:tcPr>
          <w:p w14:paraId="6BD0AC7A"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536" w:type="dxa"/>
            <w:hideMark/>
          </w:tcPr>
          <w:p w14:paraId="3F75C26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100%</w:t>
            </w:r>
          </w:p>
        </w:tc>
        <w:tc>
          <w:tcPr>
            <w:tcW w:w="3118" w:type="dxa"/>
            <w:hideMark/>
          </w:tcPr>
          <w:p w14:paraId="23B09E0D"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50AF612C" w14:textId="77777777" w:rsidTr="6BF3BDE6">
        <w:trPr>
          <w:cantSplit/>
          <w:trHeight w:val="60"/>
        </w:trPr>
        <w:tc>
          <w:tcPr>
            <w:tcW w:w="2581" w:type="dxa"/>
            <w:hideMark/>
          </w:tcPr>
          <w:p w14:paraId="6962666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654" w:type="dxa"/>
            <w:gridSpan w:val="2"/>
            <w:hideMark/>
          </w:tcPr>
          <w:p w14:paraId="7F006BF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4E3AD30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Quarterly and annual results are also generated.</w:t>
            </w:r>
          </w:p>
          <w:p w14:paraId="41BF57FD" w14:textId="6BCE9A0C"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the VEMD. Refer to the </w:t>
            </w:r>
            <w:r w:rsidRPr="00F03354">
              <w:rPr>
                <w:rFonts w:ascii="VIC" w:eastAsia="Times New Roman" w:hAnsi="VIC" w:cs="Times New Roman"/>
                <w:i/>
                <w:sz w:val="20"/>
                <w:szCs w:val="20"/>
              </w:rPr>
              <w:t>Department of Health and Human Services policy and funding guidelines for</w:t>
            </w:r>
            <w:r w:rsidRPr="00F03354">
              <w:rPr>
                <w:rFonts w:ascii="VIC" w:eastAsia="Times New Roman" w:hAnsi="VIC" w:cs="Times New Roman"/>
                <w:sz w:val="20"/>
                <w:szCs w:val="20"/>
              </w:rPr>
              <w:t xml:space="preserve"> further information on VEMD data submission timelines.</w:t>
            </w:r>
          </w:p>
          <w:p w14:paraId="649F5C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campus level.</w:t>
            </w:r>
          </w:p>
        </w:tc>
      </w:tr>
    </w:tbl>
    <w:p w14:paraId="732FB2CB" w14:textId="77777777" w:rsidR="00280F65" w:rsidRPr="00F03354" w:rsidRDefault="00280F65" w:rsidP="00280F65">
      <w:pPr>
        <w:spacing w:after="120" w:line="270" w:lineRule="atLeast"/>
        <w:rPr>
          <w:rFonts w:ascii="VIC" w:eastAsia="Times" w:hAnsi="VIC" w:cs="Times New Roman"/>
          <w:b/>
          <w:bCs/>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394"/>
        <w:gridCol w:w="3289"/>
      </w:tblGrid>
      <w:tr w:rsidR="00280F65" w:rsidRPr="00F03354" w14:paraId="0168F858" w14:textId="77777777" w:rsidTr="6BF3BDE6">
        <w:trPr>
          <w:cantSplit/>
          <w:trHeight w:val="60"/>
          <w:tblHeader/>
        </w:trPr>
        <w:tc>
          <w:tcPr>
            <w:tcW w:w="2552" w:type="dxa"/>
            <w:shd w:val="clear" w:color="auto" w:fill="244C5A"/>
            <w:vAlign w:val="bottom"/>
          </w:tcPr>
          <w:p w14:paraId="07EAFF7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683" w:type="dxa"/>
            <w:gridSpan w:val="2"/>
            <w:shd w:val="clear" w:color="auto" w:fill="244C5A"/>
            <w:vAlign w:val="bottom"/>
          </w:tcPr>
          <w:p w14:paraId="5D5783D2"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triage category 1 to 5 emergency patients seen within clinically recommended</w:t>
            </w:r>
            <w:r w:rsidRPr="00F03354">
              <w:rPr>
                <w:rFonts w:ascii="Cambria" w:eastAsia="Times New Roman" w:hAnsi="Cambria" w:cs="Cambria"/>
                <w:bCs/>
                <w:color w:val="FFFFFF" w:themeColor="background1"/>
                <w:sz w:val="20"/>
                <w:szCs w:val="20"/>
              </w:rPr>
              <w:t> </w:t>
            </w:r>
            <w:r w:rsidRPr="00F03354">
              <w:rPr>
                <w:rFonts w:ascii="VIC" w:eastAsia="Times New Roman" w:hAnsi="VIC" w:cs="Times New Roman"/>
                <w:bCs/>
                <w:color w:val="FFFFFF" w:themeColor="background1"/>
                <w:sz w:val="20"/>
                <w:szCs w:val="20"/>
              </w:rPr>
              <w:t>time</w:t>
            </w:r>
          </w:p>
        </w:tc>
      </w:tr>
      <w:tr w:rsidR="00280F65" w:rsidRPr="00F03354" w14:paraId="0CAAEDCF" w14:textId="77777777" w:rsidTr="6BF3BDE6">
        <w:trPr>
          <w:cantSplit/>
          <w:trHeight w:val="60"/>
        </w:trPr>
        <w:tc>
          <w:tcPr>
            <w:tcW w:w="2552" w:type="dxa"/>
            <w:hideMark/>
          </w:tcPr>
          <w:p w14:paraId="330BEE6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83" w:type="dxa"/>
            <w:gridSpan w:val="2"/>
            <w:hideMark/>
          </w:tcPr>
          <w:p w14:paraId="6BC5EC9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patients attending EDs are triaged or assessed for urgency. The Australasian College of Emergency Medicine has identified five triage categories and defines the desirable time by when treatment should commence for patients in each category.</w:t>
            </w:r>
          </w:p>
          <w:p w14:paraId="231235E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aim of this indicator is to ensure the treatment of patients occurs within appropriate clinical benchmark times.</w:t>
            </w:r>
          </w:p>
        </w:tc>
      </w:tr>
      <w:tr w:rsidR="00280F65" w:rsidRPr="00F03354" w14:paraId="7369A242" w14:textId="77777777" w:rsidTr="6BF3BDE6">
        <w:trPr>
          <w:cantSplit/>
          <w:trHeight w:val="60"/>
        </w:trPr>
        <w:tc>
          <w:tcPr>
            <w:tcW w:w="2552" w:type="dxa"/>
            <w:hideMark/>
          </w:tcPr>
          <w:p w14:paraId="1471E09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683" w:type="dxa"/>
            <w:gridSpan w:val="2"/>
            <w:hideMark/>
          </w:tcPr>
          <w:p w14:paraId="6FC1B1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patient is categorised as having been seen within clinically appropriate time where the time to treatment is as defined in the VEMD manual.</w:t>
            </w:r>
          </w:p>
          <w:p w14:paraId="74CE36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Time to treatment equals b – a, where:</w:t>
            </w:r>
          </w:p>
          <w:p w14:paraId="261ED455" w14:textId="77777777" w:rsidR="00280F65" w:rsidRPr="00F03354" w:rsidRDefault="00280F65" w:rsidP="0089279C">
            <w:pPr>
              <w:pStyle w:val="ListParagraph"/>
              <w:numPr>
                <w:ilvl w:val="0"/>
                <w:numId w:val="3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is arrival date and time</w:t>
            </w:r>
          </w:p>
          <w:p w14:paraId="07C48272" w14:textId="77777777" w:rsidR="00280F65" w:rsidRPr="00F03354" w:rsidRDefault="00280F65" w:rsidP="0089279C">
            <w:pPr>
              <w:pStyle w:val="ListParagraph"/>
              <w:numPr>
                <w:ilvl w:val="0"/>
                <w:numId w:val="3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 is the date and time of the initiation of patient management (either by a doctor, a mental health practitioner or a nurse, whichever is earliest).</w:t>
            </w:r>
          </w:p>
          <w:p w14:paraId="18CD006B" w14:textId="77777777" w:rsidR="00280F65" w:rsidRPr="00F03354" w:rsidRDefault="00280F65" w:rsidP="0089279C">
            <w:pPr>
              <w:pStyle w:val="ListParagraph"/>
              <w:numPr>
                <w:ilvl w:val="0"/>
                <w:numId w:val="3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 those presentations with a departure status code of:</w:t>
            </w:r>
          </w:p>
          <w:p w14:paraId="0B95DAC5" w14:textId="77777777" w:rsidR="00280F65" w:rsidRPr="00F03354" w:rsidRDefault="00280F65" w:rsidP="0089279C">
            <w:pPr>
              <w:pStyle w:val="ListParagraph"/>
              <w:numPr>
                <w:ilvl w:val="0"/>
                <w:numId w:val="3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T1 = Left at own risk without consultation</w:t>
            </w:r>
          </w:p>
          <w:p w14:paraId="0EF67F80" w14:textId="77777777" w:rsidR="00280F65" w:rsidRPr="00F03354" w:rsidRDefault="00280F65" w:rsidP="0089279C">
            <w:pPr>
              <w:pStyle w:val="ListParagraph"/>
              <w:numPr>
                <w:ilvl w:val="0"/>
                <w:numId w:val="3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10 = left after advice regarding treatment options</w:t>
            </w:r>
          </w:p>
          <w:p w14:paraId="2186135D" w14:textId="77777777" w:rsidR="00280F65" w:rsidRPr="00F03354" w:rsidRDefault="00280F65" w:rsidP="0089279C">
            <w:pPr>
              <w:pStyle w:val="ListParagraph"/>
              <w:numPr>
                <w:ilvl w:val="0"/>
                <w:numId w:val="3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11 = left at own risk without treatment</w:t>
            </w:r>
          </w:p>
          <w:p w14:paraId="2FA1A3AA" w14:textId="77777777" w:rsidR="00280F65" w:rsidRPr="00F03354" w:rsidRDefault="00280F65" w:rsidP="0089279C">
            <w:pPr>
              <w:pStyle w:val="ListParagraph"/>
              <w:numPr>
                <w:ilvl w:val="0"/>
                <w:numId w:val="3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30 = referred to collocated clinic.</w:t>
            </w:r>
          </w:p>
          <w:p w14:paraId="6710722B" w14:textId="77777777" w:rsidR="00280F65" w:rsidRPr="00F03354" w:rsidRDefault="00280F65" w:rsidP="00280F65">
            <w:pPr>
              <w:spacing w:before="80" w:after="60" w:line="240" w:lineRule="auto"/>
              <w:rPr>
                <w:rFonts w:ascii="VIC" w:eastAsia="Times New Roman" w:hAnsi="VIC" w:cs="Times New Roman"/>
                <w:sz w:val="20"/>
                <w:szCs w:val="20"/>
              </w:rPr>
            </w:pPr>
          </w:p>
          <w:p w14:paraId="7CF8CB6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Separation/Departure Date (not Arrival Date) is used for calculating the emergency department indicators.</w:t>
            </w:r>
            <w:r w:rsidRPr="00F03354">
              <w:rPr>
                <w:rFonts w:ascii="VIC" w:eastAsia="Times New Roman" w:hAnsi="VIC" w:cs="Times New Roman"/>
                <w:sz w:val="20"/>
                <w:szCs w:val="20"/>
              </w:rPr>
              <w:br/>
            </w:r>
          </w:p>
          <w:p w14:paraId="6FA07BA5" w14:textId="77777777" w:rsidR="00280F65" w:rsidRPr="00F03354" w:rsidRDefault="084D64FE"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 xml:space="preserve">Exclusion: </w:t>
            </w:r>
            <w:r w:rsidR="00280F65" w:rsidRPr="00F03354">
              <w:rPr>
                <w:rFonts w:ascii="VIC" w:eastAsia="Times New Roman" w:hAnsi="VIC" w:cs="Times New Roman"/>
                <w:sz w:val="20"/>
                <w:szCs w:val="20"/>
              </w:rPr>
              <w:br/>
            </w:r>
            <w:r w:rsidRPr="00F03354">
              <w:rPr>
                <w:rFonts w:ascii="VIC" w:eastAsia="Times New Roman" w:hAnsi="VIC" w:cs="Times New Roman"/>
                <w:sz w:val="20"/>
                <w:szCs w:val="20"/>
              </w:rPr>
              <w:t>- Type of Visit code 19 (COVID-19 assessment clinic)</w:t>
            </w:r>
            <w:r w:rsidR="00280F65" w:rsidRPr="00F03354">
              <w:rPr>
                <w:rFonts w:ascii="VIC" w:eastAsia="Times New Roman" w:hAnsi="VIC" w:cs="Times New Roman"/>
                <w:sz w:val="20"/>
                <w:szCs w:val="20"/>
                <w:vertAlign w:val="superscript"/>
              </w:rPr>
              <w:footnoteReference w:id="15"/>
            </w:r>
            <w:r w:rsidRPr="00F03354">
              <w:rPr>
                <w:rFonts w:ascii="VIC" w:eastAsia="Times New Roman" w:hAnsi="VIC" w:cs="Times New Roman"/>
                <w:sz w:val="20"/>
                <w:szCs w:val="20"/>
              </w:rPr>
              <w:t xml:space="preserve"> does not form part of the non-admitted patient emergency department care national minimum dataset and is to be excluded.</w:t>
            </w:r>
          </w:p>
          <w:p w14:paraId="7AB4568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 (0.5 is rounded up).</w:t>
            </w:r>
          </w:p>
        </w:tc>
      </w:tr>
      <w:tr w:rsidR="00280F65" w:rsidRPr="00F03354" w14:paraId="18D0FF5C" w14:textId="77777777" w:rsidTr="6BF3BDE6">
        <w:trPr>
          <w:cantSplit/>
          <w:trHeight w:val="60"/>
        </w:trPr>
        <w:tc>
          <w:tcPr>
            <w:tcW w:w="2552" w:type="dxa"/>
            <w:hideMark/>
          </w:tcPr>
          <w:p w14:paraId="3682B6F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83" w:type="dxa"/>
            <w:gridSpan w:val="2"/>
            <w:hideMark/>
          </w:tcPr>
          <w:p w14:paraId="4FB2C8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triage category 1 to 5 emergency patients seen within desirable times</w:t>
            </w:r>
          </w:p>
        </w:tc>
      </w:tr>
      <w:tr w:rsidR="00280F65" w:rsidRPr="00F03354" w14:paraId="299B8DF1" w14:textId="77777777" w:rsidTr="6BF3BDE6">
        <w:trPr>
          <w:cantSplit/>
          <w:trHeight w:val="60"/>
        </w:trPr>
        <w:tc>
          <w:tcPr>
            <w:tcW w:w="2552" w:type="dxa"/>
            <w:hideMark/>
          </w:tcPr>
          <w:p w14:paraId="24E138E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683" w:type="dxa"/>
            <w:gridSpan w:val="2"/>
            <w:hideMark/>
          </w:tcPr>
          <w:p w14:paraId="6F51A107"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triage category 1 to 5 emergency patients</w:t>
            </w:r>
          </w:p>
        </w:tc>
      </w:tr>
      <w:tr w:rsidR="00280F65" w:rsidRPr="00F03354" w14:paraId="4D391993" w14:textId="77777777" w:rsidTr="6BF3BDE6">
        <w:trPr>
          <w:cantSplit/>
          <w:trHeight w:val="60"/>
        </w:trPr>
        <w:tc>
          <w:tcPr>
            <w:tcW w:w="2552" w:type="dxa"/>
            <w:hideMark/>
          </w:tcPr>
          <w:p w14:paraId="4FA12EE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683" w:type="dxa"/>
            <w:gridSpan w:val="2"/>
            <w:hideMark/>
          </w:tcPr>
          <w:p w14:paraId="7590C095"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80%</w:t>
            </w:r>
          </w:p>
        </w:tc>
      </w:tr>
      <w:tr w:rsidR="00280F65" w:rsidRPr="00F03354" w14:paraId="23834F20" w14:textId="77777777" w:rsidTr="6BF3BDE6">
        <w:trPr>
          <w:cantSplit/>
          <w:trHeight w:val="246"/>
        </w:trPr>
        <w:tc>
          <w:tcPr>
            <w:tcW w:w="2552" w:type="dxa"/>
            <w:vMerge w:val="restart"/>
            <w:hideMark/>
          </w:tcPr>
          <w:p w14:paraId="229709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94" w:type="dxa"/>
            <w:hideMark/>
          </w:tcPr>
          <w:p w14:paraId="175718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80%</w:t>
            </w:r>
          </w:p>
        </w:tc>
        <w:tc>
          <w:tcPr>
            <w:tcW w:w="3289" w:type="dxa"/>
            <w:hideMark/>
          </w:tcPr>
          <w:p w14:paraId="03606159"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791BC8A6" w14:textId="77777777" w:rsidTr="6BF3BDE6">
        <w:trPr>
          <w:cantSplit/>
          <w:trHeight w:val="60"/>
        </w:trPr>
        <w:tc>
          <w:tcPr>
            <w:tcW w:w="2552" w:type="dxa"/>
            <w:vMerge/>
            <w:vAlign w:val="center"/>
            <w:hideMark/>
          </w:tcPr>
          <w:p w14:paraId="7F7F5683"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394" w:type="dxa"/>
            <w:hideMark/>
          </w:tcPr>
          <w:p w14:paraId="5326E24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80%</w:t>
            </w:r>
          </w:p>
        </w:tc>
        <w:tc>
          <w:tcPr>
            <w:tcW w:w="3289" w:type="dxa"/>
            <w:hideMark/>
          </w:tcPr>
          <w:p w14:paraId="15C31C27"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60DDB7B8" w14:textId="77777777" w:rsidTr="6BF3BDE6">
        <w:trPr>
          <w:cantSplit/>
          <w:trHeight w:val="60"/>
        </w:trPr>
        <w:tc>
          <w:tcPr>
            <w:tcW w:w="2552" w:type="dxa"/>
          </w:tcPr>
          <w:p w14:paraId="39ED894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683" w:type="dxa"/>
            <w:gridSpan w:val="2"/>
          </w:tcPr>
          <w:p w14:paraId="68B773A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calculated based on same time last year performance.</w:t>
            </w:r>
          </w:p>
        </w:tc>
      </w:tr>
      <w:tr w:rsidR="00280F65" w:rsidRPr="00F03354" w14:paraId="397DF529" w14:textId="77777777" w:rsidTr="6BF3BDE6">
        <w:trPr>
          <w:cantSplit/>
          <w:trHeight w:val="60"/>
        </w:trPr>
        <w:tc>
          <w:tcPr>
            <w:tcW w:w="2552" w:type="dxa"/>
            <w:hideMark/>
          </w:tcPr>
          <w:p w14:paraId="34DE020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683" w:type="dxa"/>
            <w:gridSpan w:val="2"/>
            <w:hideMark/>
          </w:tcPr>
          <w:p w14:paraId="4401C8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137E41C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Quarterly and annual results are also generated.</w:t>
            </w:r>
          </w:p>
          <w:p w14:paraId="6DAEC164" w14:textId="1F54CC3F"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expected to be submitted by health services via the VEMD. Refer to the </w:t>
            </w:r>
            <w:r w:rsidRPr="00F03354">
              <w:rPr>
                <w:rFonts w:ascii="VIC" w:eastAsia="Times New Roman" w:hAnsi="VIC" w:cs="Times New Roman"/>
                <w:i/>
                <w:sz w:val="20"/>
                <w:szCs w:val="20"/>
              </w:rPr>
              <w:t xml:space="preserve">Department of Health policy and funding guidelines </w:t>
            </w:r>
            <w:r w:rsidRPr="00F03354">
              <w:rPr>
                <w:rFonts w:ascii="VIC" w:eastAsia="Times New Roman" w:hAnsi="VIC" w:cs="Times New Roman"/>
                <w:sz w:val="20"/>
                <w:szCs w:val="20"/>
              </w:rPr>
              <w:t>for further information on VEMD data submission timelines.</w:t>
            </w:r>
          </w:p>
          <w:p w14:paraId="643DFF74"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 xml:space="preserve">This indicator is measured at the campus level. </w:t>
            </w:r>
          </w:p>
        </w:tc>
      </w:tr>
    </w:tbl>
    <w:p w14:paraId="3032EE94" w14:textId="77777777" w:rsidR="00280F65" w:rsidRPr="00F03354" w:rsidRDefault="00280F65" w:rsidP="00280F65">
      <w:pPr>
        <w:spacing w:after="0" w:line="240" w:lineRule="auto"/>
        <w:rPr>
          <w:rFonts w:ascii="VIC" w:eastAsia="Times New Roman" w:hAnsi="VIC" w:cs="Times New Roman"/>
          <w:sz w:val="20"/>
          <w:szCs w:val="20"/>
        </w:rPr>
      </w:pPr>
    </w:p>
    <w:tbl>
      <w:tblPr>
        <w:tblW w:w="10235"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394"/>
        <w:gridCol w:w="3260"/>
      </w:tblGrid>
      <w:tr w:rsidR="00280F65" w:rsidRPr="00F03354" w14:paraId="067B13B0" w14:textId="77777777" w:rsidTr="6BF3BDE6">
        <w:trPr>
          <w:cantSplit/>
          <w:trHeight w:val="60"/>
          <w:tblHeader/>
        </w:trPr>
        <w:tc>
          <w:tcPr>
            <w:tcW w:w="2581" w:type="dxa"/>
            <w:shd w:val="clear" w:color="auto" w:fill="244C5A"/>
            <w:vAlign w:val="bottom"/>
          </w:tcPr>
          <w:p w14:paraId="28F46A8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br w:type="page"/>
              <w:t>Indicator</w:t>
            </w:r>
          </w:p>
        </w:tc>
        <w:tc>
          <w:tcPr>
            <w:tcW w:w="7654" w:type="dxa"/>
            <w:gridSpan w:val="2"/>
            <w:shd w:val="clear" w:color="auto" w:fill="244C5A"/>
            <w:vAlign w:val="bottom"/>
          </w:tcPr>
          <w:p w14:paraId="43A75BD7"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emergency patients with a length of stay in the ED of less than four hours</w:t>
            </w:r>
          </w:p>
        </w:tc>
      </w:tr>
      <w:tr w:rsidR="00280F65" w:rsidRPr="00F03354" w14:paraId="60047C6F" w14:textId="77777777" w:rsidTr="6BF3BDE6">
        <w:trPr>
          <w:cantSplit/>
          <w:trHeight w:val="60"/>
        </w:trPr>
        <w:tc>
          <w:tcPr>
            <w:tcW w:w="2581" w:type="dxa"/>
            <w:hideMark/>
          </w:tcPr>
          <w:p w14:paraId="3AAEEC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654" w:type="dxa"/>
            <w:gridSpan w:val="2"/>
            <w:hideMark/>
          </w:tcPr>
          <w:p w14:paraId="63B2DE3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effectiveness of hospital processes and patient flow. The measure aims to encourage more timely management of ED patients who are admitted to the hospital, referred to another hospital or discharged within four hours.</w:t>
            </w:r>
          </w:p>
        </w:tc>
      </w:tr>
      <w:tr w:rsidR="00280F65" w:rsidRPr="00F03354" w14:paraId="7FBBF32B" w14:textId="77777777" w:rsidTr="6BF3BDE6">
        <w:trPr>
          <w:cantSplit/>
          <w:trHeight w:val="60"/>
        </w:trPr>
        <w:tc>
          <w:tcPr>
            <w:tcW w:w="2581" w:type="dxa"/>
            <w:hideMark/>
          </w:tcPr>
          <w:p w14:paraId="2726A9F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654" w:type="dxa"/>
            <w:gridSpan w:val="2"/>
            <w:hideMark/>
          </w:tcPr>
          <w:p w14:paraId="1152EA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campus level and excludes those presentations with a departure status code of:</w:t>
            </w:r>
          </w:p>
          <w:p w14:paraId="34FF048A"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30 – patients referred to a collocated clinic.</w:t>
            </w:r>
          </w:p>
          <w:p w14:paraId="365DFFDE"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p>
          <w:p w14:paraId="4F2DCA6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Separation/Departure Date (not Arrival Date) is used for calculating the emergency department indicators.</w:t>
            </w:r>
            <w:r w:rsidRPr="00F03354">
              <w:rPr>
                <w:rFonts w:ascii="VIC" w:eastAsia="Times New Roman" w:hAnsi="VIC" w:cs="Times New Roman"/>
                <w:sz w:val="20"/>
                <w:szCs w:val="20"/>
              </w:rPr>
              <w:br/>
            </w:r>
          </w:p>
          <w:p w14:paraId="2ABABAB2" w14:textId="77777777" w:rsidR="00280F65" w:rsidRPr="00F03354" w:rsidRDefault="084D64FE"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 xml:space="preserve">Exclusion: </w:t>
            </w:r>
            <w:r w:rsidR="00280F65" w:rsidRPr="00F03354">
              <w:rPr>
                <w:rFonts w:ascii="VIC" w:eastAsia="Times New Roman" w:hAnsi="VIC" w:cs="Times New Roman"/>
                <w:sz w:val="20"/>
                <w:szCs w:val="20"/>
              </w:rPr>
              <w:br/>
            </w:r>
            <w:r w:rsidRPr="00F03354">
              <w:rPr>
                <w:rFonts w:ascii="VIC" w:eastAsia="Times New Roman" w:hAnsi="VIC" w:cs="Times New Roman"/>
                <w:sz w:val="20"/>
                <w:szCs w:val="20"/>
              </w:rPr>
              <w:t>- Type of Visit code 19 (COVID-19 assessment clinic)</w:t>
            </w:r>
            <w:r w:rsidR="00280F65" w:rsidRPr="00F03354">
              <w:rPr>
                <w:rFonts w:ascii="VIC" w:eastAsia="Times New Roman" w:hAnsi="VIC" w:cs="Times New Roman"/>
                <w:sz w:val="20"/>
                <w:szCs w:val="20"/>
                <w:vertAlign w:val="superscript"/>
              </w:rPr>
              <w:footnoteReference w:id="16"/>
            </w:r>
            <w:r w:rsidRPr="00F03354">
              <w:rPr>
                <w:rFonts w:ascii="VIC" w:eastAsia="Times New Roman" w:hAnsi="VIC" w:cs="Times New Roman"/>
                <w:sz w:val="20"/>
                <w:szCs w:val="20"/>
              </w:rPr>
              <w:t xml:space="preserve"> does not form part of the non-admitted patient emergency department care national minimum dataset and is to be excluded.</w:t>
            </w:r>
            <w:r w:rsidR="00280F65" w:rsidRPr="00F03354">
              <w:rPr>
                <w:rFonts w:ascii="VIC" w:eastAsia="Times New Roman" w:hAnsi="VIC" w:cs="Times New Roman"/>
                <w:sz w:val="20"/>
                <w:szCs w:val="20"/>
              </w:rPr>
              <w:br/>
            </w:r>
          </w:p>
          <w:p w14:paraId="5898FA0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the nearest whole number (0.5 is rounded up).</w:t>
            </w:r>
          </w:p>
        </w:tc>
      </w:tr>
      <w:tr w:rsidR="00280F65" w:rsidRPr="00F03354" w14:paraId="6D1C8F92" w14:textId="77777777" w:rsidTr="6BF3BDE6">
        <w:trPr>
          <w:cantSplit/>
          <w:trHeight w:val="60"/>
        </w:trPr>
        <w:tc>
          <w:tcPr>
            <w:tcW w:w="2581" w:type="dxa"/>
            <w:hideMark/>
          </w:tcPr>
          <w:p w14:paraId="686CADA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654" w:type="dxa"/>
            <w:gridSpan w:val="2"/>
            <w:hideMark/>
          </w:tcPr>
          <w:p w14:paraId="2C4EFBB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patients with an ED length of stay of less than or equal to four hours (240 minutes).</w:t>
            </w:r>
          </w:p>
        </w:tc>
      </w:tr>
      <w:tr w:rsidR="00280F65" w:rsidRPr="00F03354" w14:paraId="7DE7A1F7" w14:textId="77777777" w:rsidTr="6BF3BDE6">
        <w:trPr>
          <w:cantSplit/>
          <w:trHeight w:val="60"/>
        </w:trPr>
        <w:tc>
          <w:tcPr>
            <w:tcW w:w="2581" w:type="dxa"/>
            <w:hideMark/>
          </w:tcPr>
          <w:p w14:paraId="7BBCD54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654" w:type="dxa"/>
            <w:gridSpan w:val="2"/>
            <w:hideMark/>
          </w:tcPr>
          <w:p w14:paraId="164F5E76"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number of patients presenting to the ED</w:t>
            </w:r>
          </w:p>
        </w:tc>
      </w:tr>
      <w:tr w:rsidR="00280F65" w:rsidRPr="00F03354" w14:paraId="16B2CAAB" w14:textId="77777777" w:rsidTr="6BF3BDE6">
        <w:trPr>
          <w:cantSplit/>
          <w:trHeight w:val="60"/>
        </w:trPr>
        <w:tc>
          <w:tcPr>
            <w:tcW w:w="2581" w:type="dxa"/>
            <w:hideMark/>
          </w:tcPr>
          <w:p w14:paraId="3A3D7D6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Statewide target </w:t>
            </w:r>
          </w:p>
        </w:tc>
        <w:tc>
          <w:tcPr>
            <w:tcW w:w="7654" w:type="dxa"/>
            <w:gridSpan w:val="2"/>
            <w:hideMark/>
          </w:tcPr>
          <w:p w14:paraId="64010893"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81%</w:t>
            </w:r>
          </w:p>
        </w:tc>
      </w:tr>
      <w:tr w:rsidR="00280F65" w:rsidRPr="00F03354" w14:paraId="2BF28854" w14:textId="77777777" w:rsidTr="6BF3BDE6">
        <w:trPr>
          <w:cantSplit/>
          <w:trHeight w:val="60"/>
        </w:trPr>
        <w:tc>
          <w:tcPr>
            <w:tcW w:w="2581" w:type="dxa"/>
            <w:vMerge w:val="restart"/>
            <w:hideMark/>
          </w:tcPr>
          <w:p w14:paraId="6415BEB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94" w:type="dxa"/>
            <w:hideMark/>
          </w:tcPr>
          <w:p w14:paraId="314330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81%</w:t>
            </w:r>
          </w:p>
        </w:tc>
        <w:tc>
          <w:tcPr>
            <w:tcW w:w="3260" w:type="dxa"/>
            <w:hideMark/>
          </w:tcPr>
          <w:p w14:paraId="79A78DA9"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5C5352FB" w14:textId="77777777" w:rsidTr="6BF3BDE6">
        <w:trPr>
          <w:cantSplit/>
          <w:trHeight w:val="60"/>
        </w:trPr>
        <w:tc>
          <w:tcPr>
            <w:tcW w:w="2581" w:type="dxa"/>
            <w:vMerge/>
            <w:vAlign w:val="center"/>
            <w:hideMark/>
          </w:tcPr>
          <w:p w14:paraId="1264C2C7"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394" w:type="dxa"/>
            <w:hideMark/>
          </w:tcPr>
          <w:p w14:paraId="3E9111F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81%</w:t>
            </w:r>
          </w:p>
        </w:tc>
        <w:tc>
          <w:tcPr>
            <w:tcW w:w="3260" w:type="dxa"/>
            <w:hideMark/>
          </w:tcPr>
          <w:p w14:paraId="5E6B7AC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5B64ECA6" w14:textId="77777777" w:rsidTr="6BF3BDE6">
        <w:trPr>
          <w:cantSplit/>
          <w:trHeight w:val="405"/>
        </w:trPr>
        <w:tc>
          <w:tcPr>
            <w:tcW w:w="2581" w:type="dxa"/>
          </w:tcPr>
          <w:p w14:paraId="03A343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654" w:type="dxa"/>
            <w:gridSpan w:val="2"/>
          </w:tcPr>
          <w:p w14:paraId="2969D03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calculated based on same time last year performance.</w:t>
            </w:r>
          </w:p>
        </w:tc>
      </w:tr>
      <w:tr w:rsidR="00280F65" w:rsidRPr="00F03354" w14:paraId="0E99AE22" w14:textId="77777777" w:rsidTr="6BF3BDE6">
        <w:trPr>
          <w:cantSplit/>
          <w:trHeight w:val="1621"/>
        </w:trPr>
        <w:tc>
          <w:tcPr>
            <w:tcW w:w="2581" w:type="dxa"/>
            <w:hideMark/>
          </w:tcPr>
          <w:p w14:paraId="49D7780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654" w:type="dxa"/>
            <w:gridSpan w:val="2"/>
            <w:hideMark/>
          </w:tcPr>
          <w:p w14:paraId="6A2417E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05B4F83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Quarterly and annual results are also generated.</w:t>
            </w:r>
          </w:p>
          <w:p w14:paraId="0AA24765" w14:textId="18C45AF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the VEMD. Refer to the </w:t>
            </w:r>
            <w:r w:rsidRPr="00F03354">
              <w:rPr>
                <w:rFonts w:ascii="VIC" w:eastAsia="Times New Roman" w:hAnsi="VIC" w:cs="Times New Roman"/>
                <w:i/>
                <w:sz w:val="20"/>
                <w:szCs w:val="20"/>
              </w:rPr>
              <w:t xml:space="preserve">Department of Health and Human Services policy and funding </w:t>
            </w:r>
            <w:r w:rsidR="00343182" w:rsidRPr="00F03354">
              <w:rPr>
                <w:rFonts w:ascii="VIC" w:eastAsia="Times New Roman" w:hAnsi="VIC" w:cs="Times New Roman"/>
                <w:i/>
                <w:sz w:val="20"/>
                <w:szCs w:val="20"/>
              </w:rPr>
              <w:t>guidelines for</w:t>
            </w:r>
            <w:r w:rsidRPr="00F03354">
              <w:rPr>
                <w:rFonts w:ascii="VIC" w:eastAsia="Times New Roman" w:hAnsi="VIC" w:cs="Times New Roman"/>
                <w:sz w:val="20"/>
                <w:szCs w:val="20"/>
              </w:rPr>
              <w:t xml:space="preserve"> further information on VEMD data submission timelines.</w:t>
            </w:r>
          </w:p>
        </w:tc>
      </w:tr>
    </w:tbl>
    <w:p w14:paraId="38BA09EC" w14:textId="5E4278E4" w:rsidR="00280F65" w:rsidRPr="00F03354" w:rsidRDefault="00280F65" w:rsidP="00280F65">
      <w:pPr>
        <w:spacing w:after="120" w:line="270" w:lineRule="atLeast"/>
        <w:rPr>
          <w:rFonts w:ascii="VIC" w:eastAsia="Times" w:hAnsi="VIC" w:cs="Times New Roman"/>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678"/>
        <w:gridCol w:w="2722"/>
      </w:tblGrid>
      <w:tr w:rsidR="00280F65" w:rsidRPr="00F03354" w14:paraId="192ABAA4" w14:textId="77777777" w:rsidTr="6BF3BDE6">
        <w:trPr>
          <w:cantSplit/>
          <w:trHeight w:val="60"/>
          <w:tblHeader/>
        </w:trPr>
        <w:tc>
          <w:tcPr>
            <w:tcW w:w="2552" w:type="dxa"/>
            <w:shd w:val="clear" w:color="auto" w:fill="244C5A"/>
            <w:vAlign w:val="bottom"/>
          </w:tcPr>
          <w:p w14:paraId="541B65B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gridSpan w:val="2"/>
            <w:shd w:val="clear" w:color="auto" w:fill="244C5A"/>
            <w:vAlign w:val="bottom"/>
          </w:tcPr>
          <w:p w14:paraId="3A1A2C85"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Number of patients with a length of stay in the ED greater than 24 hours</w:t>
            </w:r>
          </w:p>
        </w:tc>
      </w:tr>
      <w:tr w:rsidR="00280F65" w:rsidRPr="00F03354" w14:paraId="275E86A2" w14:textId="77777777" w:rsidTr="6BF3BDE6">
        <w:trPr>
          <w:cantSplit/>
          <w:trHeight w:val="60"/>
        </w:trPr>
        <w:tc>
          <w:tcPr>
            <w:tcW w:w="2552" w:type="dxa"/>
            <w:hideMark/>
          </w:tcPr>
          <w:p w14:paraId="1746F4A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hideMark/>
          </w:tcPr>
          <w:p w14:paraId="1823902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timely transfer of emergency patients to an inpatient bed or discharge from the ED. It reflects the effectiveness of hospital patient flow processes and discharge planning.</w:t>
            </w:r>
          </w:p>
        </w:tc>
      </w:tr>
      <w:tr w:rsidR="00280F65" w:rsidRPr="00F03354" w14:paraId="2A95016F" w14:textId="77777777" w:rsidTr="6BF3BDE6">
        <w:trPr>
          <w:cantSplit/>
          <w:trHeight w:val="60"/>
        </w:trPr>
        <w:tc>
          <w:tcPr>
            <w:tcW w:w="2552" w:type="dxa"/>
            <w:hideMark/>
          </w:tcPr>
          <w:p w14:paraId="705FB37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gridSpan w:val="2"/>
            <w:hideMark/>
          </w:tcPr>
          <w:p w14:paraId="2275BCEC" w14:textId="6FF8A515"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campus level and excludes patients whose status is dead on arrival (i.e</w:t>
            </w:r>
            <w:r w:rsidR="00DA24E5" w:rsidRPr="00F03354">
              <w:rPr>
                <w:rFonts w:ascii="VIC" w:eastAsia="Times New Roman" w:hAnsi="VIC" w:cs="Times New Roman"/>
                <w:sz w:val="20"/>
                <w:szCs w:val="20"/>
              </w:rPr>
              <w:t>.,</w:t>
            </w:r>
            <w:r w:rsidRPr="00F03354">
              <w:rPr>
                <w:rFonts w:ascii="VIC" w:eastAsia="Times New Roman" w:hAnsi="VIC" w:cs="Times New Roman"/>
                <w:sz w:val="20"/>
                <w:szCs w:val="20"/>
              </w:rPr>
              <w:t xml:space="preserve"> Triage Category 6).</w:t>
            </w:r>
          </w:p>
          <w:p w14:paraId="19DD5C9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clarity, only Triage Categories 1-5 are counted.</w:t>
            </w:r>
          </w:p>
          <w:p w14:paraId="5C36B352" w14:textId="77777777" w:rsidR="00280F65" w:rsidRPr="00F03354" w:rsidRDefault="00280F65" w:rsidP="00280F65">
            <w:pPr>
              <w:spacing w:before="80" w:after="60" w:line="240" w:lineRule="auto"/>
              <w:rPr>
                <w:rFonts w:ascii="VIC" w:eastAsia="Times New Roman" w:hAnsi="VIC" w:cs="Times New Roman"/>
                <w:sz w:val="20"/>
                <w:szCs w:val="20"/>
              </w:rPr>
            </w:pPr>
          </w:p>
          <w:p w14:paraId="398A4B26" w14:textId="77777777" w:rsidR="00280F65" w:rsidRPr="00F03354" w:rsidRDefault="00280F65" w:rsidP="00280F65">
            <w:pPr>
              <w:spacing w:before="80" w:after="60" w:line="240" w:lineRule="auto"/>
              <w:rPr>
                <w:rFonts w:ascii="VIC" w:eastAsia="Times New Roman" w:hAnsi="VIC" w:cs="Times New Roman"/>
                <w:sz w:val="20"/>
                <w:szCs w:val="20"/>
              </w:rPr>
            </w:pPr>
            <w:bookmarkStart w:id="44" w:name="_Hlk50123300"/>
            <w:r w:rsidRPr="00F03354">
              <w:rPr>
                <w:rFonts w:ascii="VIC" w:eastAsia="Times New Roman" w:hAnsi="VIC" w:cs="Times New Roman"/>
                <w:sz w:val="20"/>
                <w:szCs w:val="20"/>
              </w:rPr>
              <w:t>The Separation/Departure Date (not Arrival Date) is used for calculating the emergency department indicators.</w:t>
            </w:r>
            <w:r w:rsidRPr="00F03354">
              <w:rPr>
                <w:rFonts w:ascii="VIC" w:eastAsia="Times New Roman" w:hAnsi="VIC" w:cs="Times New Roman"/>
                <w:sz w:val="20"/>
                <w:szCs w:val="20"/>
              </w:rPr>
              <w:br/>
            </w:r>
          </w:p>
          <w:p w14:paraId="0971BC09" w14:textId="77777777" w:rsidR="00280F65" w:rsidRPr="00F03354" w:rsidRDefault="084D64FE"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Exclusion: </w:t>
            </w:r>
            <w:r w:rsidR="00280F65" w:rsidRPr="00F03354">
              <w:rPr>
                <w:rFonts w:ascii="VIC" w:eastAsia="Times New Roman" w:hAnsi="VIC" w:cs="Times New Roman"/>
                <w:sz w:val="20"/>
                <w:szCs w:val="20"/>
              </w:rPr>
              <w:br/>
            </w:r>
            <w:r w:rsidRPr="00F03354">
              <w:rPr>
                <w:rFonts w:ascii="VIC" w:eastAsia="Times New Roman" w:hAnsi="VIC" w:cs="Times New Roman"/>
                <w:sz w:val="20"/>
                <w:szCs w:val="20"/>
              </w:rPr>
              <w:t>- Type of Visit code 19 (COVID-19 assessment clinic)</w:t>
            </w:r>
            <w:r w:rsidR="00280F65" w:rsidRPr="00F03354">
              <w:rPr>
                <w:rFonts w:ascii="VIC" w:eastAsia="Times New Roman" w:hAnsi="VIC" w:cs="Times New Roman"/>
                <w:sz w:val="20"/>
                <w:szCs w:val="20"/>
                <w:vertAlign w:val="superscript"/>
              </w:rPr>
              <w:footnoteReference w:id="17"/>
            </w:r>
            <w:r w:rsidRPr="00F03354">
              <w:rPr>
                <w:rFonts w:ascii="VIC" w:eastAsia="Times New Roman" w:hAnsi="VIC" w:cs="Times New Roman"/>
                <w:sz w:val="20"/>
                <w:szCs w:val="20"/>
              </w:rPr>
              <w:t xml:space="preserve"> does not form part of the non-admitted patient emergency department care national minimum dataset and is to be excluded.</w:t>
            </w:r>
            <w:r w:rsidR="00280F65" w:rsidRPr="00F03354">
              <w:rPr>
                <w:rFonts w:ascii="VIC" w:eastAsia="Times New Roman" w:hAnsi="VIC" w:cs="Times New Roman"/>
                <w:sz w:val="20"/>
                <w:szCs w:val="20"/>
              </w:rPr>
              <w:br/>
            </w:r>
          </w:p>
          <w:bookmarkEnd w:id="44"/>
          <w:p w14:paraId="6B4766D4" w14:textId="77777777" w:rsidR="00280F65" w:rsidRPr="00F03354" w:rsidRDefault="00280F65" w:rsidP="00280F65">
            <w:pPr>
              <w:spacing w:before="120" w:after="60" w:line="240" w:lineRule="auto"/>
              <w:rPr>
                <w:rFonts w:ascii="VIC" w:eastAsia="Times New Roman" w:hAnsi="VIC" w:cs="Times New Roman"/>
                <w:b/>
                <w:sz w:val="20"/>
                <w:szCs w:val="20"/>
              </w:rPr>
            </w:pPr>
            <w:r w:rsidRPr="00F03354">
              <w:rPr>
                <w:rFonts w:ascii="VIC" w:eastAsia="Times New Roman" w:hAnsi="VIC" w:cs="Times New Roman"/>
                <w:b/>
                <w:sz w:val="20"/>
                <w:szCs w:val="20"/>
              </w:rPr>
              <w:t>Performance breach notification</w:t>
            </w:r>
          </w:p>
          <w:p w14:paraId="2D40D0B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If a patient has exceeded 24hrs length of stay in ED and the event verified as accurate, the patient will be regarded as a breach for the purposes of performance and a departmental notification procedure must be initiated by the health service.</w:t>
            </w:r>
          </w:p>
        </w:tc>
      </w:tr>
      <w:tr w:rsidR="00280F65" w:rsidRPr="00F03354" w14:paraId="161924A6" w14:textId="77777777" w:rsidTr="6BF3BDE6">
        <w:trPr>
          <w:cantSplit/>
          <w:trHeight w:val="60"/>
        </w:trPr>
        <w:tc>
          <w:tcPr>
            <w:tcW w:w="2552" w:type="dxa"/>
            <w:hideMark/>
          </w:tcPr>
          <w:p w14:paraId="3164D53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hideMark/>
          </w:tcPr>
          <w:p w14:paraId="045398C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patients with an emergency department length of stay of greater than 24 hours (1,440 minutes), regardless of departure status code</w:t>
            </w:r>
          </w:p>
        </w:tc>
      </w:tr>
      <w:tr w:rsidR="00280F65" w:rsidRPr="00F03354" w14:paraId="6E93FED8" w14:textId="77777777" w:rsidTr="6BF3BDE6">
        <w:trPr>
          <w:cantSplit/>
          <w:trHeight w:val="60"/>
        </w:trPr>
        <w:tc>
          <w:tcPr>
            <w:tcW w:w="2552" w:type="dxa"/>
            <w:hideMark/>
          </w:tcPr>
          <w:p w14:paraId="5D9FAEA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hideMark/>
          </w:tcPr>
          <w:p w14:paraId="51FCE96E"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0</w:t>
            </w:r>
          </w:p>
        </w:tc>
      </w:tr>
      <w:tr w:rsidR="00280F65" w:rsidRPr="00F03354" w14:paraId="4F19F8FC" w14:textId="77777777" w:rsidTr="6BF3BDE6">
        <w:trPr>
          <w:cantSplit/>
          <w:trHeight w:val="60"/>
        </w:trPr>
        <w:tc>
          <w:tcPr>
            <w:tcW w:w="2552" w:type="dxa"/>
            <w:vMerge w:val="restart"/>
            <w:hideMark/>
          </w:tcPr>
          <w:p w14:paraId="3EA4952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678" w:type="dxa"/>
            <w:hideMark/>
          </w:tcPr>
          <w:p w14:paraId="4AFB26E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0</w:t>
            </w:r>
          </w:p>
        </w:tc>
        <w:tc>
          <w:tcPr>
            <w:tcW w:w="2722" w:type="dxa"/>
            <w:hideMark/>
          </w:tcPr>
          <w:p w14:paraId="2011348E"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7C95F06E" w14:textId="77777777" w:rsidTr="6BF3BDE6">
        <w:trPr>
          <w:cantSplit/>
          <w:trHeight w:val="60"/>
        </w:trPr>
        <w:tc>
          <w:tcPr>
            <w:tcW w:w="2552" w:type="dxa"/>
            <w:vMerge/>
            <w:vAlign w:val="center"/>
            <w:hideMark/>
          </w:tcPr>
          <w:p w14:paraId="3271CDBD"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678" w:type="dxa"/>
            <w:hideMark/>
          </w:tcPr>
          <w:p w14:paraId="52EE9E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0</w:t>
            </w:r>
          </w:p>
        </w:tc>
        <w:tc>
          <w:tcPr>
            <w:tcW w:w="2722" w:type="dxa"/>
            <w:hideMark/>
          </w:tcPr>
          <w:p w14:paraId="27477D12"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5E15211C" w14:textId="77777777" w:rsidTr="6BF3BDE6">
        <w:trPr>
          <w:cantSplit/>
          <w:trHeight w:val="60"/>
        </w:trPr>
        <w:tc>
          <w:tcPr>
            <w:tcW w:w="2552" w:type="dxa"/>
          </w:tcPr>
          <w:p w14:paraId="1F35A47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gridSpan w:val="2"/>
          </w:tcPr>
          <w:p w14:paraId="67F286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calculated based on same time last year performance.</w:t>
            </w:r>
          </w:p>
        </w:tc>
      </w:tr>
      <w:tr w:rsidR="00280F65" w:rsidRPr="00F03354" w14:paraId="1529AFC6" w14:textId="77777777" w:rsidTr="6BF3BDE6">
        <w:trPr>
          <w:cantSplit/>
          <w:trHeight w:val="60"/>
        </w:trPr>
        <w:tc>
          <w:tcPr>
            <w:tcW w:w="2552" w:type="dxa"/>
            <w:hideMark/>
          </w:tcPr>
          <w:p w14:paraId="6BA4238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400" w:type="dxa"/>
            <w:gridSpan w:val="2"/>
            <w:hideMark/>
          </w:tcPr>
          <w:p w14:paraId="12F41BF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39E2448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Quarterly and annual results are also generated.</w:t>
            </w:r>
          </w:p>
          <w:p w14:paraId="386BA87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the VEMD. Refer to the </w:t>
            </w:r>
            <w:r w:rsidRPr="00F03354">
              <w:rPr>
                <w:rFonts w:ascii="VIC" w:eastAsia="Times New Roman" w:hAnsi="VIC" w:cs="Times New Roman"/>
                <w:i/>
                <w:sz w:val="20"/>
                <w:szCs w:val="20"/>
              </w:rPr>
              <w:t>Department of Health and Human Services policy and funding guidelines for</w:t>
            </w:r>
            <w:r w:rsidRPr="00F03354">
              <w:rPr>
                <w:rFonts w:ascii="VIC" w:eastAsia="Times New Roman" w:hAnsi="VIC" w:cs="Times New Roman"/>
                <w:sz w:val="20"/>
                <w:szCs w:val="20"/>
              </w:rPr>
              <w:t xml:space="preserve"> further information on VEMD data submission timelines.</w:t>
            </w:r>
          </w:p>
        </w:tc>
      </w:tr>
    </w:tbl>
    <w:p w14:paraId="7B4905A9" w14:textId="77777777" w:rsidR="00280F65" w:rsidRPr="00F03354" w:rsidRDefault="00280F65" w:rsidP="00280F65">
      <w:pPr>
        <w:spacing w:after="120" w:line="270" w:lineRule="atLeast"/>
        <w:rPr>
          <w:rFonts w:ascii="VIC" w:eastAsia="Times" w:hAnsi="VIC" w:cs="Times New Roman"/>
          <w:sz w:val="20"/>
          <w:szCs w:val="20"/>
        </w:rPr>
      </w:pPr>
    </w:p>
    <w:p w14:paraId="3B6B1038" w14:textId="77777777" w:rsidR="00280F65" w:rsidRPr="00F03354"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678"/>
        <w:gridCol w:w="2722"/>
      </w:tblGrid>
      <w:tr w:rsidR="00280F65" w:rsidRPr="00F03354" w14:paraId="7728AD53" w14:textId="77777777" w:rsidTr="00343182">
        <w:trPr>
          <w:cantSplit/>
          <w:trHeight w:val="60"/>
          <w:tblHeader/>
        </w:trPr>
        <w:tc>
          <w:tcPr>
            <w:tcW w:w="2552" w:type="dxa"/>
            <w:shd w:val="clear" w:color="auto" w:fill="244C5A"/>
            <w:vAlign w:val="bottom"/>
          </w:tcPr>
          <w:p w14:paraId="1559F682"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400" w:type="dxa"/>
            <w:gridSpan w:val="2"/>
            <w:shd w:val="clear" w:color="auto" w:fill="244C5A"/>
            <w:vAlign w:val="bottom"/>
          </w:tcPr>
          <w:p w14:paraId="37529B9D" w14:textId="1C187E3E"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w:t>
            </w:r>
            <w:r w:rsidR="00904D98" w:rsidRPr="00F03354">
              <w:rPr>
                <w:rFonts w:ascii="VIC" w:eastAsia="Times New Roman" w:hAnsi="VIC" w:cs="Times New Roman"/>
                <w:bCs/>
                <w:color w:val="FFFFFF" w:themeColor="background1"/>
                <w:sz w:val="20"/>
                <w:szCs w:val="20"/>
              </w:rPr>
              <w:t>urgent</w:t>
            </w:r>
            <w:r w:rsidRPr="00F03354">
              <w:rPr>
                <w:rFonts w:ascii="VIC" w:eastAsia="Times New Roman" w:hAnsi="VIC" w:cs="Times New Roman"/>
                <w:bCs/>
                <w:color w:val="FFFFFF" w:themeColor="background1"/>
                <w:sz w:val="20"/>
                <w:szCs w:val="20"/>
              </w:rPr>
              <w:t>’ (category ‘C’) mental health triage episodes with a face-to-face contact received within 8 hours</w:t>
            </w:r>
          </w:p>
        </w:tc>
      </w:tr>
      <w:tr w:rsidR="00280F65" w:rsidRPr="00F03354" w14:paraId="51F549E6" w14:textId="77777777" w:rsidTr="00343182">
        <w:trPr>
          <w:cantSplit/>
          <w:trHeight w:val="60"/>
        </w:trPr>
        <w:tc>
          <w:tcPr>
            <w:tcW w:w="2552" w:type="dxa"/>
            <w:hideMark/>
          </w:tcPr>
          <w:p w14:paraId="6E8E3A7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tcPr>
          <w:p w14:paraId="6164F37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Mental health services provide a clear and consistent point of entry 24 hours a day, seven days a week, linking consumers and carers to appropriately qualified and experienced mental health professionals, or the right care and supports where an MHS response is not required.</w:t>
            </w:r>
          </w:p>
          <w:p w14:paraId="78DD042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Monitoring access and response times is an important measure for how clinical models are being developed and implemented in the mental health triage system, to improve triage outcomes and identify areas for service and/or system improvement.</w:t>
            </w:r>
          </w:p>
        </w:tc>
      </w:tr>
      <w:tr w:rsidR="00280F65" w:rsidRPr="00F03354" w14:paraId="0A8EBE7D" w14:textId="77777777" w:rsidTr="00343182">
        <w:trPr>
          <w:cantSplit/>
          <w:trHeight w:val="60"/>
        </w:trPr>
        <w:tc>
          <w:tcPr>
            <w:tcW w:w="2552" w:type="dxa"/>
            <w:hideMark/>
          </w:tcPr>
          <w:p w14:paraId="4A20CE9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gridSpan w:val="2"/>
          </w:tcPr>
          <w:p w14:paraId="67A2BFD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Percentage of 'urgent' (category 'C') triage episodes where a direct response was provided by the area mental health service within eight hours.</w:t>
            </w:r>
          </w:p>
          <w:p w14:paraId="69A56E8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are lagged by two months to allow for data collection and submission into the Triage Minimum Dataset. If the reporting period is from 1 July 2017 to 30 September 2017, then triage episodes dated two months prior to any date within this reporting period will be counted.</w:t>
            </w:r>
          </w:p>
        </w:tc>
      </w:tr>
      <w:tr w:rsidR="00280F65" w:rsidRPr="00F03354" w14:paraId="7544F80B" w14:textId="77777777" w:rsidTr="00343182">
        <w:trPr>
          <w:cantSplit/>
          <w:trHeight w:val="60"/>
        </w:trPr>
        <w:tc>
          <w:tcPr>
            <w:tcW w:w="2552" w:type="dxa"/>
            <w:hideMark/>
          </w:tcPr>
          <w:p w14:paraId="212E7B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tcPr>
          <w:p w14:paraId="0F4F6E3E" w14:textId="2338893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Total triage </w:t>
            </w:r>
            <w:r w:rsidR="00350632" w:rsidRPr="00F03354">
              <w:rPr>
                <w:rFonts w:ascii="VIC" w:eastAsia="Times New Roman" w:hAnsi="VIC" w:cs="Times New Roman"/>
                <w:sz w:val="20"/>
                <w:szCs w:val="20"/>
              </w:rPr>
              <w:t xml:space="preserve">events </w:t>
            </w:r>
            <w:r w:rsidRPr="00F03354">
              <w:rPr>
                <w:rFonts w:ascii="VIC" w:eastAsia="Times New Roman" w:hAnsi="VIC" w:cs="Times New Roman"/>
                <w:sz w:val="20"/>
                <w:szCs w:val="20"/>
              </w:rPr>
              <w:t>requiring an urgent response (Triage Scale C), where the response was direct and within requirements (within 8 hours). Lagged by two months.</w:t>
            </w:r>
          </w:p>
        </w:tc>
      </w:tr>
      <w:tr w:rsidR="00280F65" w:rsidRPr="00F03354" w14:paraId="4D3EEAA0" w14:textId="77777777" w:rsidTr="00343182">
        <w:trPr>
          <w:cantSplit/>
          <w:trHeight w:val="60"/>
        </w:trPr>
        <w:tc>
          <w:tcPr>
            <w:tcW w:w="2552" w:type="dxa"/>
          </w:tcPr>
          <w:p w14:paraId="71ECAEA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gridSpan w:val="2"/>
          </w:tcPr>
          <w:p w14:paraId="1FF676F9" w14:textId="2E5DDABF"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Total triage </w:t>
            </w:r>
            <w:r w:rsidR="00350632" w:rsidRPr="00F03354">
              <w:rPr>
                <w:rFonts w:ascii="VIC" w:eastAsia="Times New Roman" w:hAnsi="VIC" w:cs="Times New Roman"/>
                <w:sz w:val="20"/>
                <w:szCs w:val="20"/>
              </w:rPr>
              <w:t xml:space="preserve">events </w:t>
            </w:r>
            <w:r w:rsidRPr="00F03354">
              <w:rPr>
                <w:rFonts w:ascii="VIC" w:eastAsia="Times New Roman" w:hAnsi="VIC" w:cs="Times New Roman"/>
                <w:sz w:val="20"/>
                <w:szCs w:val="20"/>
              </w:rPr>
              <w:t>requiring an urgent response (Triage Scale C), where the timeframe is known. Lagged by two months.</w:t>
            </w:r>
          </w:p>
        </w:tc>
      </w:tr>
      <w:tr w:rsidR="00280F65" w:rsidRPr="00F03354" w14:paraId="637BB4CA" w14:textId="77777777" w:rsidTr="00343182">
        <w:trPr>
          <w:cantSplit/>
          <w:trHeight w:val="60"/>
        </w:trPr>
        <w:tc>
          <w:tcPr>
            <w:tcW w:w="2552" w:type="dxa"/>
            <w:hideMark/>
          </w:tcPr>
          <w:p w14:paraId="01BBD08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hideMark/>
          </w:tcPr>
          <w:p w14:paraId="1D3A5FD8"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80%</w:t>
            </w:r>
          </w:p>
        </w:tc>
      </w:tr>
      <w:tr w:rsidR="00280F65" w:rsidRPr="00F03354" w14:paraId="4DF00057" w14:textId="77777777" w:rsidTr="00343182">
        <w:trPr>
          <w:cantSplit/>
          <w:trHeight w:val="60"/>
        </w:trPr>
        <w:tc>
          <w:tcPr>
            <w:tcW w:w="2552" w:type="dxa"/>
            <w:vMerge w:val="restart"/>
            <w:hideMark/>
          </w:tcPr>
          <w:p w14:paraId="1BD399A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678" w:type="dxa"/>
            <w:hideMark/>
          </w:tcPr>
          <w:p w14:paraId="1FB96CB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80%</w:t>
            </w:r>
          </w:p>
        </w:tc>
        <w:tc>
          <w:tcPr>
            <w:tcW w:w="2722" w:type="dxa"/>
            <w:hideMark/>
          </w:tcPr>
          <w:p w14:paraId="278C56F0"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50978017" w14:textId="77777777" w:rsidTr="00343182">
        <w:trPr>
          <w:cantSplit/>
          <w:trHeight w:val="60"/>
        </w:trPr>
        <w:tc>
          <w:tcPr>
            <w:tcW w:w="2552" w:type="dxa"/>
            <w:vMerge/>
            <w:vAlign w:val="center"/>
            <w:hideMark/>
          </w:tcPr>
          <w:p w14:paraId="0B49EA91"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678" w:type="dxa"/>
            <w:hideMark/>
          </w:tcPr>
          <w:p w14:paraId="2DB871C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80%</w:t>
            </w:r>
          </w:p>
        </w:tc>
        <w:tc>
          <w:tcPr>
            <w:tcW w:w="2722" w:type="dxa"/>
            <w:hideMark/>
          </w:tcPr>
          <w:p w14:paraId="17F296F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7DC42D0C" w14:textId="77777777" w:rsidTr="00343182">
        <w:trPr>
          <w:cantSplit/>
          <w:trHeight w:val="60"/>
        </w:trPr>
        <w:tc>
          <w:tcPr>
            <w:tcW w:w="2552" w:type="dxa"/>
          </w:tcPr>
          <w:p w14:paraId="5F19C8D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gridSpan w:val="2"/>
          </w:tcPr>
          <w:p w14:paraId="7B3A11A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calculated based on same time last year performance.</w:t>
            </w:r>
          </w:p>
        </w:tc>
      </w:tr>
      <w:tr w:rsidR="00280F65" w:rsidRPr="00F03354" w14:paraId="099C462D" w14:textId="77777777" w:rsidTr="00343182">
        <w:trPr>
          <w:cantSplit/>
          <w:trHeight w:val="60"/>
        </w:trPr>
        <w:tc>
          <w:tcPr>
            <w:tcW w:w="2552" w:type="dxa"/>
            <w:hideMark/>
          </w:tcPr>
          <w:p w14:paraId="6A012F7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400" w:type="dxa"/>
            <w:gridSpan w:val="2"/>
            <w:hideMark/>
          </w:tcPr>
          <w:p w14:paraId="4A8645FD" w14:textId="72AFC9D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Performance is monitored and assessed </w:t>
            </w:r>
            <w:r w:rsidR="00582C7A" w:rsidRPr="00F03354">
              <w:rPr>
                <w:rFonts w:ascii="VIC" w:eastAsia="Times New Roman" w:hAnsi="VIC" w:cs="Times New Roman"/>
                <w:sz w:val="20"/>
                <w:szCs w:val="20"/>
              </w:rPr>
              <w:t xml:space="preserve">quarterly and </w:t>
            </w:r>
            <w:r w:rsidR="003D7AEB" w:rsidRPr="00F03354">
              <w:rPr>
                <w:rFonts w:ascii="VIC" w:eastAsia="Times New Roman" w:hAnsi="VIC" w:cs="Times New Roman"/>
                <w:sz w:val="20"/>
                <w:szCs w:val="20"/>
              </w:rPr>
              <w:t>annually</w:t>
            </w:r>
            <w:r w:rsidRPr="00F03354">
              <w:rPr>
                <w:rFonts w:ascii="VIC" w:eastAsia="Times New Roman" w:hAnsi="VIC" w:cs="Times New Roman"/>
                <w:sz w:val="20"/>
                <w:szCs w:val="20"/>
              </w:rPr>
              <w:t>.</w:t>
            </w:r>
          </w:p>
          <w:p w14:paraId="1C37D46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Quarterly and annual results are also generated.</w:t>
            </w:r>
          </w:p>
          <w:p w14:paraId="24DB3C12" w14:textId="3F188ED9"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the Mental Health Triage Minimum Dataset. Refer to the </w:t>
            </w:r>
            <w:r w:rsidRPr="00F03354">
              <w:rPr>
                <w:rFonts w:ascii="VIC" w:eastAsia="Times New Roman" w:hAnsi="VIC" w:cs="Times New Roman"/>
                <w:i/>
                <w:sz w:val="20"/>
                <w:szCs w:val="20"/>
              </w:rPr>
              <w:t>Department of Health policy and funding guidelines for</w:t>
            </w:r>
            <w:r w:rsidRPr="00F03354">
              <w:rPr>
                <w:rFonts w:ascii="VIC" w:eastAsia="Times New Roman" w:hAnsi="VIC" w:cs="Times New Roman"/>
                <w:sz w:val="20"/>
                <w:szCs w:val="20"/>
              </w:rPr>
              <w:t xml:space="preserve"> further information on </w:t>
            </w:r>
            <w:r w:rsidR="00FE5667" w:rsidRPr="00F03354">
              <w:rPr>
                <w:rFonts w:ascii="VIC" w:eastAsia="Times New Roman" w:hAnsi="VIC" w:cs="Times New Roman"/>
                <w:sz w:val="20"/>
                <w:szCs w:val="20"/>
              </w:rPr>
              <w:t>Mental Health</w:t>
            </w:r>
            <w:r w:rsidR="00397707" w:rsidRPr="00F03354">
              <w:rPr>
                <w:rFonts w:ascii="VIC" w:eastAsia="Times New Roman" w:hAnsi="VIC" w:cs="Times New Roman"/>
                <w:sz w:val="20"/>
                <w:szCs w:val="20"/>
              </w:rPr>
              <w:t xml:space="preserve"> Triage</w:t>
            </w:r>
            <w:r w:rsidRPr="00F03354">
              <w:rPr>
                <w:rFonts w:ascii="VIC" w:eastAsia="Times New Roman" w:hAnsi="VIC" w:cs="Times New Roman"/>
                <w:sz w:val="20"/>
                <w:szCs w:val="20"/>
              </w:rPr>
              <w:t xml:space="preserve"> data submission timelines.</w:t>
            </w:r>
          </w:p>
        </w:tc>
      </w:tr>
    </w:tbl>
    <w:p w14:paraId="4B3CD256" w14:textId="77777777" w:rsidR="00280F65" w:rsidRPr="00F03354"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678"/>
        <w:gridCol w:w="2722"/>
      </w:tblGrid>
      <w:tr w:rsidR="00280F65" w:rsidRPr="00F03354" w14:paraId="6A7B0E4C" w14:textId="77777777" w:rsidTr="00343182">
        <w:trPr>
          <w:cantSplit/>
          <w:trHeight w:val="60"/>
          <w:tblHeader/>
        </w:trPr>
        <w:tc>
          <w:tcPr>
            <w:tcW w:w="2552" w:type="dxa"/>
            <w:shd w:val="clear" w:color="auto" w:fill="244C5A"/>
            <w:vAlign w:val="bottom"/>
          </w:tcPr>
          <w:p w14:paraId="775E0A9A"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gridSpan w:val="2"/>
            <w:shd w:val="clear" w:color="auto" w:fill="244C5A"/>
            <w:vAlign w:val="bottom"/>
          </w:tcPr>
          <w:p w14:paraId="6DC99C3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mental health-related emergency department presentations with a length of stay of less than four hours</w:t>
            </w:r>
          </w:p>
        </w:tc>
      </w:tr>
      <w:tr w:rsidR="00280F65" w:rsidRPr="00F03354" w14:paraId="4E3AF224" w14:textId="77777777" w:rsidTr="00343182">
        <w:trPr>
          <w:cantSplit/>
          <w:trHeight w:val="60"/>
        </w:trPr>
        <w:tc>
          <w:tcPr>
            <w:tcW w:w="2552" w:type="dxa"/>
            <w:hideMark/>
          </w:tcPr>
          <w:p w14:paraId="0DE0607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tcPr>
          <w:p w14:paraId="73E25D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effectiveness of emergency department processes and patient flow. The measure aims to encourage more timely management of people presenting to emergency department for mental health-related reasons who are admitted to the hospital, referred to another hospital or departed within 4 hours.</w:t>
            </w:r>
          </w:p>
        </w:tc>
      </w:tr>
      <w:tr w:rsidR="00280F65" w:rsidRPr="00F03354" w14:paraId="77BC7366" w14:textId="77777777" w:rsidTr="00343182">
        <w:trPr>
          <w:cantSplit/>
          <w:trHeight w:val="60"/>
        </w:trPr>
        <w:tc>
          <w:tcPr>
            <w:tcW w:w="2552" w:type="dxa"/>
            <w:hideMark/>
          </w:tcPr>
          <w:p w14:paraId="4668383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Calculating performance</w:t>
            </w:r>
          </w:p>
        </w:tc>
        <w:tc>
          <w:tcPr>
            <w:tcW w:w="7400" w:type="dxa"/>
            <w:gridSpan w:val="2"/>
          </w:tcPr>
          <w:p w14:paraId="2740F6AA" w14:textId="77777777" w:rsidR="00280F65" w:rsidRPr="00F03354" w:rsidRDefault="00280F65" w:rsidP="00280F65">
            <w:pPr>
              <w:spacing w:after="120" w:line="276" w:lineRule="auto"/>
              <w:rPr>
                <w:rFonts w:ascii="VIC" w:eastAsia="Arial" w:hAnsi="VIC" w:cs="Arial"/>
                <w:sz w:val="20"/>
                <w:szCs w:val="20"/>
              </w:rPr>
            </w:pPr>
            <w:r w:rsidRPr="00F03354">
              <w:rPr>
                <w:rFonts w:ascii="VIC" w:eastAsia="Arial" w:hAnsi="VIC" w:cs="Arial"/>
                <w:sz w:val="20"/>
                <w:szCs w:val="20"/>
              </w:rPr>
              <w:t>Percentage of mental health–related presentations to Victorian emergency departments with a length of stay of less than four hours. Reported by departure date. Excludes COVID-19 assessment clinics and triage category ‘6’ (dead on arrival).</w:t>
            </w:r>
          </w:p>
          <w:p w14:paraId="02438E16" w14:textId="77777777" w:rsidR="00280F65" w:rsidRPr="00F03354" w:rsidRDefault="00280F65" w:rsidP="00280F65">
            <w:pPr>
              <w:spacing w:after="120" w:line="276" w:lineRule="auto"/>
              <w:rPr>
                <w:rFonts w:ascii="VIC" w:eastAsia="Arial" w:hAnsi="VIC" w:cs="Arial"/>
                <w:sz w:val="20"/>
                <w:szCs w:val="20"/>
              </w:rPr>
            </w:pPr>
            <w:r w:rsidRPr="00F03354">
              <w:rPr>
                <w:rFonts w:ascii="VIC" w:eastAsia="Arial" w:hAnsi="VIC" w:cs="Arial"/>
                <w:sz w:val="20"/>
                <w:szCs w:val="20"/>
              </w:rPr>
              <w:t>Mental health-related emergency department presentations include service events flagged with any one of the following:</w:t>
            </w:r>
          </w:p>
          <w:p w14:paraId="74AE898D" w14:textId="77777777" w:rsidR="00280F65" w:rsidRPr="00F03354" w:rsidRDefault="00280F65" w:rsidP="0089279C">
            <w:pPr>
              <w:numPr>
                <w:ilvl w:val="0"/>
                <w:numId w:val="26"/>
              </w:numPr>
              <w:autoSpaceDE w:val="0"/>
              <w:autoSpaceDN w:val="0"/>
              <w:adjustRightInd w:val="0"/>
              <w:spacing w:after="120" w:line="240" w:lineRule="auto"/>
              <w:rPr>
                <w:rFonts w:ascii="VIC" w:eastAsia="Calibri" w:hAnsi="VIC" w:cs="Arial"/>
                <w:bCs/>
                <w:sz w:val="20"/>
                <w:szCs w:val="20"/>
              </w:rPr>
            </w:pPr>
            <w:r w:rsidRPr="00F03354">
              <w:rPr>
                <w:rFonts w:ascii="VIC" w:eastAsia="Calibri" w:hAnsi="VIC" w:cs="Arial"/>
                <w:bCs/>
                <w:sz w:val="20"/>
                <w:szCs w:val="20"/>
              </w:rPr>
              <w:t>A ‘referred by’ code of:</w:t>
            </w:r>
          </w:p>
          <w:p w14:paraId="66DFE2D4"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16: Mental health telephone assessment/advisory line</w:t>
            </w:r>
          </w:p>
          <w:p w14:paraId="360DD27B"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18: Other mental health staff</w:t>
            </w:r>
          </w:p>
          <w:p w14:paraId="4B508F00" w14:textId="77777777" w:rsidR="00280F65" w:rsidRPr="00F03354" w:rsidRDefault="00280F65" w:rsidP="0089279C">
            <w:pPr>
              <w:numPr>
                <w:ilvl w:val="1"/>
                <w:numId w:val="26"/>
              </w:numPr>
              <w:autoSpaceDE w:val="0"/>
              <w:autoSpaceDN w:val="0"/>
              <w:adjustRightInd w:val="0"/>
              <w:spacing w:after="120" w:line="240" w:lineRule="auto"/>
              <w:rPr>
                <w:rFonts w:ascii="VIC" w:eastAsia="Calibri" w:hAnsi="VIC" w:cs="Arial"/>
                <w:bCs/>
                <w:sz w:val="20"/>
                <w:szCs w:val="20"/>
              </w:rPr>
            </w:pPr>
            <w:r w:rsidRPr="00F03354">
              <w:rPr>
                <w:rFonts w:ascii="VIC" w:eastAsia="Calibri" w:hAnsi="VIC" w:cs="Arial"/>
                <w:bCs/>
                <w:sz w:val="20"/>
                <w:szCs w:val="20"/>
              </w:rPr>
              <w:t xml:space="preserve">21: Apprehended under the </w:t>
            </w:r>
            <w:r w:rsidRPr="00F03354">
              <w:rPr>
                <w:rFonts w:ascii="VIC" w:eastAsia="Calibri" w:hAnsi="VIC" w:cs="Arial"/>
                <w:bCs/>
                <w:i/>
                <w:iCs/>
                <w:sz w:val="20"/>
                <w:szCs w:val="20"/>
              </w:rPr>
              <w:t>Mental Health Act 2014</w:t>
            </w:r>
            <w:r w:rsidRPr="00F03354">
              <w:rPr>
                <w:rFonts w:ascii="VIC" w:eastAsia="Calibri" w:hAnsi="VIC" w:cs="Arial"/>
                <w:bCs/>
                <w:sz w:val="20"/>
                <w:szCs w:val="20"/>
              </w:rPr>
              <w:t xml:space="preserve"> – Police/Protective Service Officer</w:t>
            </w:r>
          </w:p>
          <w:p w14:paraId="6C8AD66D" w14:textId="77777777" w:rsidR="00280F65" w:rsidRPr="00F03354" w:rsidRDefault="00280F65" w:rsidP="0089279C">
            <w:pPr>
              <w:numPr>
                <w:ilvl w:val="0"/>
                <w:numId w:val="26"/>
              </w:numPr>
              <w:autoSpaceDE w:val="0"/>
              <w:autoSpaceDN w:val="0"/>
              <w:adjustRightInd w:val="0"/>
              <w:spacing w:after="120" w:line="240" w:lineRule="auto"/>
              <w:rPr>
                <w:rFonts w:ascii="VIC" w:eastAsia="Calibri" w:hAnsi="VIC" w:cs="Arial"/>
                <w:bCs/>
                <w:sz w:val="20"/>
                <w:szCs w:val="20"/>
              </w:rPr>
            </w:pPr>
            <w:r w:rsidRPr="00F03354">
              <w:rPr>
                <w:rFonts w:ascii="VIC" w:eastAsia="Calibri" w:hAnsi="VIC" w:cs="Arial"/>
                <w:bCs/>
                <w:sz w:val="20"/>
                <w:szCs w:val="20"/>
              </w:rPr>
              <w:t>A ‘human intent’ code of:</w:t>
            </w:r>
          </w:p>
          <w:p w14:paraId="2551153A"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2: Intentional self-harm</w:t>
            </w:r>
          </w:p>
          <w:p w14:paraId="32A80ED7"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18: Intentional self-harm – non-suicidal self-injury</w:t>
            </w:r>
          </w:p>
          <w:p w14:paraId="744E0D7E"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19: Intentional self-harm – suicide attempt</w:t>
            </w:r>
          </w:p>
          <w:p w14:paraId="71688E3C" w14:textId="77777777" w:rsidR="00280F65" w:rsidRPr="00F03354" w:rsidRDefault="00280F65" w:rsidP="0089279C">
            <w:pPr>
              <w:numPr>
                <w:ilvl w:val="1"/>
                <w:numId w:val="26"/>
              </w:numPr>
              <w:autoSpaceDE w:val="0"/>
              <w:autoSpaceDN w:val="0"/>
              <w:adjustRightInd w:val="0"/>
              <w:spacing w:after="120" w:line="240" w:lineRule="auto"/>
              <w:rPr>
                <w:rFonts w:ascii="VIC" w:eastAsia="Calibri" w:hAnsi="VIC" w:cs="Arial"/>
                <w:bCs/>
                <w:sz w:val="20"/>
                <w:szCs w:val="20"/>
              </w:rPr>
            </w:pPr>
            <w:r w:rsidRPr="00F03354">
              <w:rPr>
                <w:rFonts w:ascii="VIC" w:eastAsia="Calibri" w:hAnsi="VIC" w:cs="Arial"/>
                <w:bCs/>
                <w:sz w:val="20"/>
                <w:szCs w:val="20"/>
              </w:rPr>
              <w:t>20: Intentional self-harm – suicidal intent cannot be determined</w:t>
            </w:r>
          </w:p>
          <w:p w14:paraId="5325908D" w14:textId="77777777" w:rsidR="00280F65" w:rsidRPr="00F03354" w:rsidRDefault="00280F65" w:rsidP="0089279C">
            <w:pPr>
              <w:numPr>
                <w:ilvl w:val="0"/>
                <w:numId w:val="26"/>
              </w:numPr>
              <w:autoSpaceDE w:val="0"/>
              <w:autoSpaceDN w:val="0"/>
              <w:adjustRightInd w:val="0"/>
              <w:spacing w:after="120" w:line="240" w:lineRule="auto"/>
              <w:rPr>
                <w:rFonts w:ascii="VIC" w:eastAsia="Calibri" w:hAnsi="VIC" w:cs="Arial"/>
                <w:bCs/>
                <w:sz w:val="20"/>
                <w:szCs w:val="20"/>
              </w:rPr>
            </w:pPr>
            <w:r w:rsidRPr="00F03354">
              <w:rPr>
                <w:rFonts w:ascii="VIC" w:eastAsia="Calibri" w:hAnsi="VIC" w:cs="Arial"/>
                <w:bCs/>
                <w:sz w:val="20"/>
                <w:szCs w:val="20"/>
              </w:rPr>
              <w:t>A primary or other diagnosis of:</w:t>
            </w:r>
          </w:p>
          <w:p w14:paraId="63275BB2"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F01-F99: Mental and behavioural disorders</w:t>
            </w:r>
          </w:p>
          <w:p w14:paraId="77F599C5"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Z004: General psychiatric examination, not elsewhere classified</w:t>
            </w:r>
          </w:p>
          <w:p w14:paraId="2419202A"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Z046: General psychiatric examination, requested by authority</w:t>
            </w:r>
          </w:p>
          <w:p w14:paraId="72F3C000"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Z915: Personal history of self-harm</w:t>
            </w:r>
          </w:p>
          <w:p w14:paraId="0C19AA8D" w14:textId="77777777" w:rsidR="00280F65" w:rsidRPr="00F03354" w:rsidRDefault="00280F65" w:rsidP="0089279C">
            <w:pPr>
              <w:numPr>
                <w:ilvl w:val="1"/>
                <w:numId w:val="26"/>
              </w:numPr>
              <w:autoSpaceDE w:val="0"/>
              <w:autoSpaceDN w:val="0"/>
              <w:adjustRightInd w:val="0"/>
              <w:spacing w:after="120" w:line="240" w:lineRule="auto"/>
              <w:rPr>
                <w:rFonts w:ascii="VIC" w:eastAsia="Calibri" w:hAnsi="VIC" w:cs="Arial"/>
                <w:bCs/>
                <w:sz w:val="20"/>
                <w:szCs w:val="20"/>
              </w:rPr>
            </w:pPr>
            <w:r w:rsidRPr="00F03354">
              <w:rPr>
                <w:rFonts w:ascii="VIC" w:eastAsia="Calibri" w:hAnsi="VIC" w:cs="Arial"/>
                <w:bCs/>
                <w:sz w:val="20"/>
                <w:szCs w:val="20"/>
              </w:rPr>
              <w:t>R4581: Suicidal ideation</w:t>
            </w:r>
          </w:p>
          <w:p w14:paraId="4FB0A216" w14:textId="77777777" w:rsidR="00280F65" w:rsidRPr="00F03354" w:rsidRDefault="00280F65" w:rsidP="0089279C">
            <w:pPr>
              <w:numPr>
                <w:ilvl w:val="0"/>
                <w:numId w:val="26"/>
              </w:numPr>
              <w:autoSpaceDE w:val="0"/>
              <w:autoSpaceDN w:val="0"/>
              <w:adjustRightInd w:val="0"/>
              <w:spacing w:after="120" w:line="240" w:lineRule="auto"/>
              <w:rPr>
                <w:rFonts w:ascii="VIC" w:eastAsia="Calibri" w:hAnsi="VIC" w:cs="Arial"/>
                <w:bCs/>
                <w:sz w:val="20"/>
                <w:szCs w:val="20"/>
              </w:rPr>
            </w:pPr>
            <w:r w:rsidRPr="00F03354">
              <w:rPr>
                <w:rFonts w:ascii="VIC" w:eastAsia="Calibri" w:hAnsi="VIC" w:cs="Arial"/>
                <w:bCs/>
                <w:sz w:val="20"/>
                <w:szCs w:val="20"/>
              </w:rPr>
              <w:t xml:space="preserve">The ‘seen by mental health practitioner’ date/time field is not null </w:t>
            </w:r>
          </w:p>
          <w:p w14:paraId="46470F0B" w14:textId="77777777" w:rsidR="00280F65" w:rsidRPr="00F03354" w:rsidRDefault="00280F65" w:rsidP="0089279C">
            <w:pPr>
              <w:numPr>
                <w:ilvl w:val="0"/>
                <w:numId w:val="26"/>
              </w:numPr>
              <w:autoSpaceDE w:val="0"/>
              <w:autoSpaceDN w:val="0"/>
              <w:adjustRightInd w:val="0"/>
              <w:spacing w:after="120" w:line="240" w:lineRule="auto"/>
              <w:rPr>
                <w:rFonts w:ascii="VIC" w:eastAsia="Calibri" w:hAnsi="VIC" w:cs="Arial"/>
                <w:bCs/>
                <w:sz w:val="20"/>
                <w:szCs w:val="20"/>
              </w:rPr>
            </w:pPr>
            <w:r w:rsidRPr="00F03354">
              <w:rPr>
                <w:rFonts w:ascii="VIC" w:eastAsia="Calibri" w:hAnsi="VIC" w:cs="Arial"/>
                <w:bCs/>
                <w:sz w:val="20"/>
                <w:szCs w:val="20"/>
              </w:rPr>
              <w:t>A ‘departure status’ code of:</w:t>
            </w:r>
          </w:p>
          <w:p w14:paraId="2F18E5CD"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17: Mental health bed at another hospital campus</w:t>
            </w:r>
          </w:p>
          <w:p w14:paraId="6934A3EA"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23: Mental health residential facility</w:t>
            </w:r>
          </w:p>
          <w:p w14:paraId="23813BED"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25: Mental health observation / assessment unit</w:t>
            </w:r>
          </w:p>
          <w:p w14:paraId="2FE4A680" w14:textId="77777777" w:rsidR="00280F65" w:rsidRPr="00F03354" w:rsidRDefault="00280F65" w:rsidP="0089279C">
            <w:pPr>
              <w:numPr>
                <w:ilvl w:val="1"/>
                <w:numId w:val="26"/>
              </w:numPr>
              <w:autoSpaceDE w:val="0"/>
              <w:autoSpaceDN w:val="0"/>
              <w:adjustRightInd w:val="0"/>
              <w:spacing w:after="0" w:line="240" w:lineRule="auto"/>
              <w:ind w:left="568" w:hanging="284"/>
              <w:rPr>
                <w:rFonts w:ascii="VIC" w:eastAsia="Calibri" w:hAnsi="VIC" w:cs="Arial"/>
                <w:bCs/>
                <w:sz w:val="20"/>
                <w:szCs w:val="20"/>
              </w:rPr>
            </w:pPr>
            <w:r w:rsidRPr="00F03354">
              <w:rPr>
                <w:rFonts w:ascii="VIC" w:eastAsia="Calibri" w:hAnsi="VIC" w:cs="Arial"/>
                <w:bCs/>
                <w:sz w:val="20"/>
                <w:szCs w:val="20"/>
              </w:rPr>
              <w:t>26: Other mental health bed – this campus</w:t>
            </w:r>
          </w:p>
          <w:p w14:paraId="71D4473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Arial"/>
                <w:bCs/>
                <w:sz w:val="20"/>
                <w:szCs w:val="20"/>
              </w:rPr>
              <w:t>31: Mental health and AoD hub short stay unit</w:t>
            </w:r>
          </w:p>
        </w:tc>
      </w:tr>
      <w:tr w:rsidR="00280F65" w:rsidRPr="00F03354" w14:paraId="60E4BC0F" w14:textId="77777777" w:rsidTr="00343182">
        <w:trPr>
          <w:cantSplit/>
          <w:trHeight w:val="60"/>
        </w:trPr>
        <w:tc>
          <w:tcPr>
            <w:tcW w:w="2552" w:type="dxa"/>
            <w:hideMark/>
          </w:tcPr>
          <w:p w14:paraId="13A4044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tcPr>
          <w:p w14:paraId="16449A6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mental health-related emergency department presentations where arrival to departure was less than four hours.</w:t>
            </w:r>
          </w:p>
        </w:tc>
      </w:tr>
      <w:tr w:rsidR="00280F65" w:rsidRPr="00F03354" w14:paraId="1DC28072" w14:textId="77777777" w:rsidTr="00343182">
        <w:trPr>
          <w:cantSplit/>
          <w:trHeight w:val="60"/>
        </w:trPr>
        <w:tc>
          <w:tcPr>
            <w:tcW w:w="2552" w:type="dxa"/>
          </w:tcPr>
          <w:p w14:paraId="420F665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gridSpan w:val="2"/>
          </w:tcPr>
          <w:p w14:paraId="63D5D7B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mental health-related emergency department presentations.</w:t>
            </w:r>
          </w:p>
        </w:tc>
      </w:tr>
      <w:tr w:rsidR="00280F65" w:rsidRPr="00F03354" w14:paraId="6BE2BB33" w14:textId="77777777" w:rsidTr="00343182">
        <w:trPr>
          <w:cantSplit/>
          <w:trHeight w:val="60"/>
        </w:trPr>
        <w:tc>
          <w:tcPr>
            <w:tcW w:w="2552" w:type="dxa"/>
            <w:hideMark/>
          </w:tcPr>
          <w:p w14:paraId="49C668E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hideMark/>
          </w:tcPr>
          <w:p w14:paraId="5BB28D47"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81%</w:t>
            </w:r>
          </w:p>
        </w:tc>
      </w:tr>
      <w:tr w:rsidR="00280F65" w:rsidRPr="00F03354" w14:paraId="43C3323A" w14:textId="77777777" w:rsidTr="00343182">
        <w:trPr>
          <w:cantSplit/>
          <w:trHeight w:val="60"/>
        </w:trPr>
        <w:tc>
          <w:tcPr>
            <w:tcW w:w="2552" w:type="dxa"/>
            <w:vMerge w:val="restart"/>
            <w:hideMark/>
          </w:tcPr>
          <w:p w14:paraId="74348EA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678" w:type="dxa"/>
            <w:hideMark/>
          </w:tcPr>
          <w:p w14:paraId="1F50C7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81%</w:t>
            </w:r>
          </w:p>
        </w:tc>
        <w:tc>
          <w:tcPr>
            <w:tcW w:w="2722" w:type="dxa"/>
            <w:hideMark/>
          </w:tcPr>
          <w:p w14:paraId="79015913"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4640B571" w14:textId="77777777" w:rsidTr="00343182">
        <w:trPr>
          <w:cantSplit/>
          <w:trHeight w:val="60"/>
        </w:trPr>
        <w:tc>
          <w:tcPr>
            <w:tcW w:w="2552" w:type="dxa"/>
            <w:vMerge/>
            <w:vAlign w:val="center"/>
            <w:hideMark/>
          </w:tcPr>
          <w:p w14:paraId="326AAC85"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678" w:type="dxa"/>
            <w:hideMark/>
          </w:tcPr>
          <w:p w14:paraId="41692EC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81%</w:t>
            </w:r>
          </w:p>
        </w:tc>
        <w:tc>
          <w:tcPr>
            <w:tcW w:w="2722" w:type="dxa"/>
            <w:hideMark/>
          </w:tcPr>
          <w:p w14:paraId="7B35490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1B34F1B4" w14:textId="77777777" w:rsidTr="00343182">
        <w:trPr>
          <w:cantSplit/>
          <w:trHeight w:val="60"/>
        </w:trPr>
        <w:tc>
          <w:tcPr>
            <w:tcW w:w="2552" w:type="dxa"/>
          </w:tcPr>
          <w:p w14:paraId="3B7D869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gridSpan w:val="2"/>
          </w:tcPr>
          <w:p w14:paraId="59A1473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calculated based on same time last year performance.</w:t>
            </w:r>
          </w:p>
        </w:tc>
      </w:tr>
      <w:tr w:rsidR="00280F65" w:rsidRPr="00F03354" w14:paraId="0818207F" w14:textId="77777777" w:rsidTr="00343182">
        <w:trPr>
          <w:cantSplit/>
          <w:trHeight w:val="60"/>
        </w:trPr>
        <w:tc>
          <w:tcPr>
            <w:tcW w:w="2552" w:type="dxa"/>
            <w:hideMark/>
          </w:tcPr>
          <w:p w14:paraId="5929442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400" w:type="dxa"/>
            <w:gridSpan w:val="2"/>
            <w:hideMark/>
          </w:tcPr>
          <w:p w14:paraId="1F2799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4D3C8D3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Quarterly and annual results are also generated.</w:t>
            </w:r>
          </w:p>
          <w:p w14:paraId="2701B8B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the Mental Health Triage Minimum Dataset. Refer to the </w:t>
            </w:r>
            <w:r w:rsidRPr="00F03354">
              <w:rPr>
                <w:rFonts w:ascii="VIC" w:eastAsia="Times New Roman" w:hAnsi="VIC" w:cs="Times New Roman"/>
                <w:i/>
                <w:sz w:val="20"/>
                <w:szCs w:val="20"/>
              </w:rPr>
              <w:t>Department of Health Services policy and funding guidelines for</w:t>
            </w:r>
            <w:r w:rsidRPr="00F03354">
              <w:rPr>
                <w:rFonts w:ascii="VIC" w:eastAsia="Times New Roman" w:hAnsi="VIC" w:cs="Times New Roman"/>
                <w:sz w:val="20"/>
                <w:szCs w:val="20"/>
              </w:rPr>
              <w:t xml:space="preserve"> further information on VEMD data submission timelines.</w:t>
            </w:r>
          </w:p>
        </w:tc>
      </w:tr>
    </w:tbl>
    <w:p w14:paraId="20A35DB6" w14:textId="77777777"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br w:type="page"/>
      </w:r>
    </w:p>
    <w:p w14:paraId="364EE416"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45" w:name="_Toc517959141"/>
      <w:bookmarkStart w:id="46" w:name="_Toc10123558"/>
      <w:r w:rsidRPr="00F03354">
        <w:rPr>
          <w:rFonts w:ascii="VIC" w:eastAsia="MS Mincho" w:hAnsi="VIC" w:cs="Arial"/>
          <w:b/>
          <w:bCs/>
          <w:sz w:val="20"/>
          <w:szCs w:val="20"/>
        </w:rPr>
        <w:lastRenderedPageBreak/>
        <w:t>Elective surgery</w:t>
      </w:r>
      <w:bookmarkEnd w:id="45"/>
      <w:bookmarkEnd w:id="46"/>
    </w:p>
    <w:p w14:paraId="0B90F916" w14:textId="48147C9F"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t xml:space="preserve">Elective surgery performance indicators aim to encourage improved performance in managing healthcare for elective surgery patients. Elective surgery services should be provided in accordance with the </w:t>
      </w:r>
      <w:r w:rsidRPr="00F03354">
        <w:rPr>
          <w:rFonts w:ascii="VIC" w:eastAsia="Times" w:hAnsi="VIC" w:cs="Times New Roman"/>
          <w:i/>
          <w:sz w:val="20"/>
          <w:szCs w:val="20"/>
        </w:rPr>
        <w:t>Elective surgery access policy</w:t>
      </w:r>
      <w:r w:rsidRPr="00F03354">
        <w:rPr>
          <w:rFonts w:ascii="VIC" w:eastAsia="Times" w:hAnsi="VIC" w:cs="Times New Roman"/>
          <w:sz w:val="20"/>
          <w:szCs w:val="20"/>
        </w:rPr>
        <w:t xml:space="preserve"> (2015). </w:t>
      </w:r>
      <w:hyperlink r:id="rId19" w:history="1">
        <w:r w:rsidRPr="00F03354">
          <w:rPr>
            <w:rFonts w:ascii="VIC" w:eastAsia="Times" w:hAnsi="VIC" w:cs="Times New Roman"/>
            <w:color w:val="3366FF"/>
            <w:sz w:val="20"/>
            <w:szCs w:val="20"/>
            <w:u w:val="dotted"/>
          </w:rPr>
          <w:t>HealthVic Surgical services</w:t>
        </w:r>
      </w:hyperlink>
      <w:r w:rsidRPr="00F03354">
        <w:rPr>
          <w:rFonts w:ascii="VIC" w:eastAsia="Times" w:hAnsi="VIC" w:cs="Times New Roman"/>
          <w:sz w:val="20"/>
          <w:szCs w:val="20"/>
        </w:rPr>
        <w:t xml:space="preserve"> </w:t>
      </w:r>
      <w:r w:rsidRPr="00F03354">
        <w:rPr>
          <w:rFonts w:ascii="VIC" w:eastAsia="Times" w:hAnsi="VIC" w:cs="Times New Roman"/>
          <w:color w:val="000000" w:themeColor="text1"/>
          <w:sz w:val="20"/>
          <w:szCs w:val="20"/>
        </w:rPr>
        <w:t>&lt;http://</w:t>
      </w:r>
      <w:r w:rsidRPr="00F03354">
        <w:rPr>
          <w:rFonts w:ascii="VIC" w:eastAsia="Times" w:hAnsi="VIC" w:cs="Times New Roman"/>
          <w:sz w:val="20"/>
          <w:szCs w:val="20"/>
        </w:rPr>
        <w:t>www.health.vic.gov.au/surgery/policies</w:t>
      </w:r>
      <w:r w:rsidRPr="00F03354">
        <w:rPr>
          <w:rFonts w:ascii="VIC" w:eastAsia="Times" w:hAnsi="VIC" w:cs="Times New Roman"/>
          <w:color w:val="000000" w:themeColor="text1"/>
          <w:sz w:val="20"/>
          <w:szCs w:val="20"/>
        </w:rPr>
        <w:t>&gt;.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4394"/>
        <w:gridCol w:w="2977"/>
      </w:tblGrid>
      <w:tr w:rsidR="00280F65" w:rsidRPr="00F03354" w14:paraId="18C462BC" w14:textId="77777777" w:rsidTr="6BF3BDE6">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53B0735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371"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tcPr>
          <w:p w14:paraId="3345D335"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elective surgery patients admitted within clinically recommended time</w:t>
            </w:r>
          </w:p>
        </w:tc>
      </w:tr>
      <w:tr w:rsidR="00280F65" w:rsidRPr="00F03354" w14:paraId="51CEC0F6"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410C8EE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19D30E2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elective surgery patients are allocated an urgency category that indicates the desirable timeframe for admissions due to their clinical condition.</w:t>
            </w:r>
          </w:p>
          <w:p w14:paraId="50D1FC8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three urgency categories are:</w:t>
            </w:r>
          </w:p>
          <w:p w14:paraId="22D0A5A6" w14:textId="77777777" w:rsidR="00280F65" w:rsidRPr="00F03354" w:rsidRDefault="00280F65" w:rsidP="0089279C">
            <w:pPr>
              <w:pStyle w:val="ListParagraph"/>
              <w:numPr>
                <w:ilvl w:val="0"/>
                <w:numId w:val="36"/>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urgency category 1 patients – admission within 30 days is desirable</w:t>
            </w:r>
          </w:p>
          <w:p w14:paraId="396FA167" w14:textId="77777777" w:rsidR="00280F65" w:rsidRPr="00F03354" w:rsidRDefault="00280F65" w:rsidP="0089279C">
            <w:pPr>
              <w:pStyle w:val="ListParagraph"/>
              <w:numPr>
                <w:ilvl w:val="0"/>
                <w:numId w:val="36"/>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urgency category 2 patients – admission within 90 days is desirable</w:t>
            </w:r>
          </w:p>
          <w:p w14:paraId="0A8FCCEE" w14:textId="77777777" w:rsidR="00280F65" w:rsidRPr="00F03354" w:rsidRDefault="00280F65" w:rsidP="0089279C">
            <w:pPr>
              <w:pStyle w:val="ListParagraph"/>
              <w:numPr>
                <w:ilvl w:val="0"/>
                <w:numId w:val="36"/>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urgency category 3 patients – admission within 365 days is desirable.</w:t>
            </w:r>
          </w:p>
          <w:p w14:paraId="49B5782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health service level. Where a health service has multiple campuses, the aggregate for all campuses is used.</w:t>
            </w:r>
          </w:p>
        </w:tc>
      </w:tr>
      <w:tr w:rsidR="00280F65" w:rsidRPr="00F03354" w14:paraId="494EE65A"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03CD8CF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7FA4986B" w14:textId="77777777" w:rsidR="00280F65" w:rsidRPr="00F03354" w:rsidRDefault="084D64FE"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Only records assigned an Intended Procedure code</w:t>
            </w:r>
            <w:r w:rsidR="00280F65" w:rsidRPr="00F03354">
              <w:rPr>
                <w:rFonts w:ascii="VIC" w:eastAsia="Times New Roman" w:hAnsi="VIC" w:cs="Times New Roman"/>
                <w:sz w:val="20"/>
                <w:szCs w:val="20"/>
                <w:vertAlign w:val="superscript"/>
              </w:rPr>
              <w:footnoteReference w:id="18"/>
            </w:r>
            <w:r w:rsidRPr="00F03354">
              <w:rPr>
                <w:rFonts w:ascii="VIC" w:eastAsia="Times New Roman" w:hAnsi="VIC" w:cs="Times New Roman"/>
                <w:sz w:val="20"/>
                <w:szCs w:val="20"/>
              </w:rPr>
              <w:t xml:space="preserve"> and with a “Readiness Status” code of either:</w:t>
            </w:r>
          </w:p>
          <w:p w14:paraId="68783AC7" w14:textId="77777777" w:rsidR="00280F65" w:rsidRPr="00F03354" w:rsidRDefault="00280F65" w:rsidP="0089279C">
            <w:pPr>
              <w:pStyle w:val="ListParagraph"/>
              <w:numPr>
                <w:ilvl w:val="0"/>
                <w:numId w:val="38"/>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readiness status of ‘R’ (ready for surgery)</w:t>
            </w:r>
          </w:p>
          <w:p w14:paraId="6773D283" w14:textId="77777777" w:rsidR="00280F65" w:rsidRPr="00F03354" w:rsidRDefault="00280F65" w:rsidP="0089279C">
            <w:pPr>
              <w:pStyle w:val="ListParagraph"/>
              <w:numPr>
                <w:ilvl w:val="0"/>
                <w:numId w:val="38"/>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readiness status of ‘V’ (ready for surgery, but delayed due to COVID-19 response)</w:t>
            </w:r>
          </w:p>
          <w:p w14:paraId="615FCCD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are used to assess this indicator.</w:t>
            </w:r>
          </w:p>
          <w:p w14:paraId="334271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removal in the Elective Surgery Information System (ESIS) is counted when the reason for removal is any one of the following:</w:t>
            </w:r>
          </w:p>
          <w:p w14:paraId="1715B96B" w14:textId="77777777" w:rsidR="00280F65" w:rsidRPr="00F03354" w:rsidRDefault="00280F65" w:rsidP="0089279C">
            <w:pPr>
              <w:pStyle w:val="ListParagraph"/>
              <w:numPr>
                <w:ilvl w:val="0"/>
                <w:numId w:val="37"/>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 – admitted to the intended campus and has received the awaited procedure</w:t>
            </w:r>
          </w:p>
          <w:p w14:paraId="37770AD3" w14:textId="77777777" w:rsidR="00280F65" w:rsidRPr="00F03354" w:rsidRDefault="00280F65" w:rsidP="0089279C">
            <w:pPr>
              <w:pStyle w:val="ListParagraph"/>
              <w:numPr>
                <w:ilvl w:val="0"/>
                <w:numId w:val="37"/>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 – admitted to another campus arranged by Elective Surgery Access Service (ESAS) and has received the awaited procedure</w:t>
            </w:r>
          </w:p>
          <w:p w14:paraId="6CE70908" w14:textId="77777777" w:rsidR="00280F65" w:rsidRPr="00F03354" w:rsidRDefault="00280F65" w:rsidP="0089279C">
            <w:pPr>
              <w:pStyle w:val="ListParagraph"/>
              <w:numPr>
                <w:ilvl w:val="0"/>
                <w:numId w:val="37"/>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X – admitted to another campus arranged by this campus/health service and has received the awaited procedure under other contract or similar arrangement</w:t>
            </w:r>
          </w:p>
          <w:p w14:paraId="76526393" w14:textId="77777777" w:rsidR="00280F65" w:rsidRPr="00F03354" w:rsidRDefault="00280F65" w:rsidP="0089279C">
            <w:pPr>
              <w:pStyle w:val="ListParagraph"/>
              <w:numPr>
                <w:ilvl w:val="0"/>
                <w:numId w:val="37"/>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P – special purpose, COVID-19 </w:t>
            </w:r>
            <w:r w:rsidRPr="00F03354">
              <w:rPr>
                <w:rFonts w:ascii="VIC" w:eastAsia="Times New Roman" w:hAnsi="VIC" w:cs="Times New Roman"/>
                <w:sz w:val="20"/>
                <w:szCs w:val="20"/>
              </w:rPr>
              <w:br/>
              <w:t>admitted to another campus arranged by this campus/health service and has received the awaited procedure under contract or similar arrangement due to the COVID-19 response</w:t>
            </w:r>
          </w:p>
          <w:p w14:paraId="51C2FF5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broader range of removal codes is used for this indicator compared with the indicator that measures the number of patients admitted.</w:t>
            </w:r>
          </w:p>
          <w:p w14:paraId="40CB10C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one decimal place (0.05 is rounded up).</w:t>
            </w:r>
          </w:p>
        </w:tc>
      </w:tr>
      <w:tr w:rsidR="00280F65" w:rsidRPr="00F03354" w14:paraId="04D4F317"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72E7D88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436B422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patients admitted within clinically recommended timeframes, aggregated across all urgency categories.</w:t>
            </w:r>
          </w:p>
        </w:tc>
      </w:tr>
      <w:tr w:rsidR="00280F65" w:rsidRPr="00F03354" w14:paraId="6EABF349"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787E599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Denominator</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223F3A4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patients admitted</w:t>
            </w:r>
          </w:p>
        </w:tc>
      </w:tr>
      <w:tr w:rsidR="00280F65" w:rsidRPr="00F03354" w14:paraId="24BC4772"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55A11F8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21430FA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94%</w:t>
            </w:r>
          </w:p>
        </w:tc>
      </w:tr>
      <w:tr w:rsidR="00280F65" w:rsidRPr="00F03354" w14:paraId="19C6576D" w14:textId="77777777" w:rsidTr="6BF3BDE6">
        <w:trPr>
          <w:cantSplit/>
          <w:trHeight w:val="60"/>
        </w:trPr>
        <w:tc>
          <w:tcPr>
            <w:tcW w:w="2581" w:type="dxa"/>
            <w:vMerge w:val="restart"/>
            <w:tcBorders>
              <w:top w:val="single" w:sz="4" w:space="0" w:color="201547"/>
              <w:left w:val="single" w:sz="4" w:space="0" w:color="201547"/>
              <w:bottom w:val="single" w:sz="4" w:space="0" w:color="201547"/>
              <w:right w:val="single" w:sz="4" w:space="0" w:color="201547"/>
            </w:tcBorders>
            <w:hideMark/>
          </w:tcPr>
          <w:p w14:paraId="660DA8B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94" w:type="dxa"/>
            <w:tcBorders>
              <w:top w:val="single" w:sz="4" w:space="0" w:color="201547"/>
              <w:left w:val="single" w:sz="4" w:space="0" w:color="201547"/>
              <w:bottom w:val="single" w:sz="4" w:space="0" w:color="201547"/>
              <w:right w:val="single" w:sz="4" w:space="0" w:color="201547"/>
            </w:tcBorders>
            <w:hideMark/>
          </w:tcPr>
          <w:p w14:paraId="350E7F8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or equal to 94%</w:t>
            </w:r>
          </w:p>
        </w:tc>
        <w:tc>
          <w:tcPr>
            <w:tcW w:w="2977" w:type="dxa"/>
            <w:tcBorders>
              <w:top w:val="single" w:sz="4" w:space="0" w:color="201547"/>
              <w:left w:val="single" w:sz="4" w:space="0" w:color="201547"/>
              <w:bottom w:val="single" w:sz="4" w:space="0" w:color="201547"/>
              <w:right w:val="single" w:sz="4" w:space="0" w:color="201547"/>
            </w:tcBorders>
            <w:hideMark/>
          </w:tcPr>
          <w:p w14:paraId="083FFC7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62B673BB" w14:textId="77777777" w:rsidTr="6BF3BDE6">
        <w:trPr>
          <w:cantSplit/>
          <w:trHeight w:val="60"/>
        </w:trPr>
        <w:tc>
          <w:tcPr>
            <w:tcW w:w="2581" w:type="dxa"/>
            <w:vMerge/>
            <w:vAlign w:val="center"/>
            <w:hideMark/>
          </w:tcPr>
          <w:p w14:paraId="6914A86B"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394" w:type="dxa"/>
            <w:tcBorders>
              <w:top w:val="single" w:sz="4" w:space="0" w:color="201547"/>
              <w:left w:val="single" w:sz="4" w:space="0" w:color="201547"/>
              <w:bottom w:val="single" w:sz="4" w:space="0" w:color="201547"/>
              <w:right w:val="single" w:sz="4" w:space="0" w:color="201547"/>
            </w:tcBorders>
            <w:hideMark/>
          </w:tcPr>
          <w:p w14:paraId="588DF71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94%</w:t>
            </w:r>
          </w:p>
        </w:tc>
        <w:tc>
          <w:tcPr>
            <w:tcW w:w="2977" w:type="dxa"/>
            <w:tcBorders>
              <w:top w:val="single" w:sz="4" w:space="0" w:color="201547"/>
              <w:left w:val="single" w:sz="4" w:space="0" w:color="201547"/>
              <w:bottom w:val="single" w:sz="4" w:space="0" w:color="201547"/>
              <w:right w:val="single" w:sz="4" w:space="0" w:color="201547"/>
            </w:tcBorders>
            <w:hideMark/>
          </w:tcPr>
          <w:p w14:paraId="594C6473"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78B9070E"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vAlign w:val="center"/>
          </w:tcPr>
          <w:p w14:paraId="0C82B29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gridSpan w:val="2"/>
            <w:tcBorders>
              <w:top w:val="single" w:sz="4" w:space="0" w:color="201547"/>
              <w:left w:val="single" w:sz="4" w:space="0" w:color="201547"/>
              <w:bottom w:val="single" w:sz="4" w:space="0" w:color="201547"/>
              <w:right w:val="single" w:sz="4" w:space="0" w:color="201547"/>
            </w:tcBorders>
          </w:tcPr>
          <w:p w14:paraId="0D0AF72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same time last year performance.</w:t>
            </w:r>
          </w:p>
        </w:tc>
      </w:tr>
      <w:tr w:rsidR="00280F65" w:rsidRPr="00F03354" w14:paraId="4C527DA3" w14:textId="77777777" w:rsidTr="6BF3BDE6">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6D50AD8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4B1D0CC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3480CD5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ESIS. Refer to </w:t>
            </w:r>
            <w:r w:rsidRPr="00F03354">
              <w:rPr>
                <w:rFonts w:ascii="VIC" w:eastAsia="Times New Roman" w:hAnsi="VIC" w:cs="Times New Roman"/>
                <w:i/>
                <w:sz w:val="20"/>
                <w:szCs w:val="20"/>
              </w:rPr>
              <w:t xml:space="preserve">Department of Health and Human Services policy and funding guidelines </w:t>
            </w:r>
            <w:r w:rsidRPr="00F03354">
              <w:rPr>
                <w:rFonts w:ascii="VIC" w:eastAsia="Times New Roman" w:hAnsi="VIC" w:cs="Times New Roman"/>
                <w:sz w:val="20"/>
                <w:szCs w:val="20"/>
              </w:rPr>
              <w:t>for further information on ESIS data submission timelines.</w:t>
            </w:r>
          </w:p>
        </w:tc>
      </w:tr>
    </w:tbl>
    <w:p w14:paraId="13AAB9CC" w14:textId="77777777" w:rsidR="00280F65" w:rsidRPr="00F03354"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394"/>
        <w:gridCol w:w="3006"/>
      </w:tblGrid>
      <w:tr w:rsidR="00280F65" w:rsidRPr="00F03354" w14:paraId="0258563D" w14:textId="77777777" w:rsidTr="6BF3BDE6">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17A689F3"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tcPr>
          <w:p w14:paraId="6B06E3A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urgency category 1 elective surgery patients admitted within 30 days</w:t>
            </w:r>
          </w:p>
        </w:tc>
      </w:tr>
      <w:tr w:rsidR="00280F65" w:rsidRPr="00F03354" w14:paraId="42E6187A"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1F10A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6722F38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Urgency category 1 elective surgery patients are patients for whom admission within 30 days is desirable for a condition that has the potential to deteriorate quickly to the point that it might become an emergency.</w:t>
            </w:r>
          </w:p>
        </w:tc>
      </w:tr>
      <w:tr w:rsidR="00280F65" w:rsidRPr="00F03354" w14:paraId="1A1D70B8"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045D94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Calculating performance</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62ACAA1E" w14:textId="77777777" w:rsidR="00280F65" w:rsidRPr="00F03354" w:rsidRDefault="084D64FE"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Only records assigned an intended procedure</w:t>
            </w:r>
            <w:r w:rsidR="00280F65" w:rsidRPr="00F03354">
              <w:rPr>
                <w:rFonts w:ascii="VIC" w:eastAsia="Times New Roman" w:hAnsi="VIC" w:cs="Times New Roman"/>
                <w:sz w:val="20"/>
                <w:szCs w:val="20"/>
                <w:vertAlign w:val="superscript"/>
              </w:rPr>
              <w:footnoteReference w:id="19"/>
            </w:r>
            <w:r w:rsidRPr="00F03354">
              <w:rPr>
                <w:rFonts w:ascii="VIC" w:eastAsia="Times New Roman" w:hAnsi="VIC" w:cs="Times New Roman"/>
                <w:sz w:val="20"/>
                <w:szCs w:val="20"/>
              </w:rPr>
              <w:t xml:space="preserve"> and with a “Readiness Status” code of either:</w:t>
            </w:r>
          </w:p>
          <w:p w14:paraId="15072561" w14:textId="77777777" w:rsidR="00280F65" w:rsidRPr="00F03354" w:rsidRDefault="00280F65" w:rsidP="0089279C">
            <w:pPr>
              <w:pStyle w:val="ListParagraph"/>
              <w:numPr>
                <w:ilvl w:val="0"/>
                <w:numId w:val="40"/>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readiness status of ‘R’ (ready for surgery)</w:t>
            </w:r>
          </w:p>
          <w:p w14:paraId="4E31C3F8" w14:textId="77777777" w:rsidR="00280F65" w:rsidRPr="00F03354" w:rsidRDefault="00280F65" w:rsidP="0089279C">
            <w:pPr>
              <w:pStyle w:val="ListParagraph"/>
              <w:numPr>
                <w:ilvl w:val="0"/>
                <w:numId w:val="40"/>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readiness status of ‘V’ (ready for surgery, but delayed due to COVID-19 response)</w:t>
            </w:r>
          </w:p>
          <w:p w14:paraId="6637D0B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are used to assess this indicator.</w:t>
            </w:r>
          </w:p>
          <w:p w14:paraId="064FE617" w14:textId="77777777" w:rsidR="00280F65" w:rsidRPr="00F03354" w:rsidRDefault="00280F65" w:rsidP="0089279C">
            <w:pPr>
              <w:pStyle w:val="ListParagraph"/>
              <w:numPr>
                <w:ilvl w:val="0"/>
                <w:numId w:val="39"/>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removal in ESIS is counted when the reason for removal is any one of the following:</w:t>
            </w:r>
          </w:p>
          <w:p w14:paraId="423AA465" w14:textId="77777777" w:rsidR="00280F65" w:rsidRPr="00F03354" w:rsidRDefault="00280F65" w:rsidP="0089279C">
            <w:pPr>
              <w:pStyle w:val="ListParagraph"/>
              <w:numPr>
                <w:ilvl w:val="0"/>
                <w:numId w:val="39"/>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 – admitted to the intended campus and has received the awaited procedure</w:t>
            </w:r>
          </w:p>
          <w:p w14:paraId="5EC19EB1" w14:textId="77777777" w:rsidR="00280F65" w:rsidRPr="00F03354" w:rsidRDefault="00280F65" w:rsidP="0089279C">
            <w:pPr>
              <w:pStyle w:val="ListParagraph"/>
              <w:numPr>
                <w:ilvl w:val="0"/>
                <w:numId w:val="39"/>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 – admitted to another campus arranged by ESAS and has received the awaited procedure</w:t>
            </w:r>
          </w:p>
          <w:p w14:paraId="44F1CAA3" w14:textId="77777777" w:rsidR="00280F65" w:rsidRPr="00F03354" w:rsidRDefault="00280F65" w:rsidP="0089279C">
            <w:pPr>
              <w:pStyle w:val="ListParagraph"/>
              <w:numPr>
                <w:ilvl w:val="0"/>
                <w:numId w:val="39"/>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X – admitted to another campus arranged by this campus/health service and has received the awaited procedure under other contract or similar arrangement</w:t>
            </w:r>
          </w:p>
          <w:p w14:paraId="0AF79CFE" w14:textId="77777777" w:rsidR="00280F65" w:rsidRPr="00F03354" w:rsidRDefault="00280F65" w:rsidP="0089279C">
            <w:pPr>
              <w:pStyle w:val="ListParagraph"/>
              <w:numPr>
                <w:ilvl w:val="0"/>
                <w:numId w:val="39"/>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P – special purpose, COVID-19 </w:t>
            </w:r>
            <w:r w:rsidRPr="00F03354">
              <w:rPr>
                <w:rFonts w:ascii="VIC" w:eastAsia="Times New Roman" w:hAnsi="VIC" w:cs="Times New Roman"/>
                <w:sz w:val="20"/>
                <w:szCs w:val="20"/>
              </w:rPr>
              <w:br/>
              <w:t>admitted to another campus arranged by this campus/health service and has received the awaited procedure under contract or similar arrangement due to the COVID-19 response</w:t>
            </w:r>
          </w:p>
          <w:p w14:paraId="584E8494" w14:textId="77777777" w:rsidR="00280F65" w:rsidRPr="00F03354" w:rsidRDefault="00280F65" w:rsidP="00280F65">
            <w:pPr>
              <w:spacing w:before="80" w:after="60" w:line="240" w:lineRule="auto"/>
              <w:ind w:left="227"/>
              <w:rPr>
                <w:rFonts w:ascii="VIC" w:eastAsia="Times New Roman" w:hAnsi="VIC" w:cs="Times New Roman"/>
                <w:sz w:val="20"/>
                <w:szCs w:val="20"/>
              </w:rPr>
            </w:pPr>
          </w:p>
          <w:p w14:paraId="5741067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broader range of removal codes is used for this indicator compared with the indicator that measures the number of patients admitted.</w:t>
            </w:r>
          </w:p>
          <w:p w14:paraId="74A2083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and rounded to one decimal place (0.05 is rounded up).</w:t>
            </w:r>
          </w:p>
          <w:p w14:paraId="072282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health service level. Where a health service has multiple campuses, the aggregate for all campuses is used.</w:t>
            </w:r>
          </w:p>
          <w:p w14:paraId="51FDAB2D" w14:textId="77777777" w:rsidR="00280F65" w:rsidRPr="00F03354" w:rsidRDefault="00280F65" w:rsidP="00280F65">
            <w:pPr>
              <w:spacing w:before="120" w:after="60" w:line="240" w:lineRule="auto"/>
              <w:rPr>
                <w:rFonts w:ascii="VIC" w:eastAsia="Times New Roman" w:hAnsi="VIC" w:cs="Times New Roman"/>
                <w:b/>
                <w:sz w:val="20"/>
                <w:szCs w:val="20"/>
              </w:rPr>
            </w:pPr>
            <w:r w:rsidRPr="00F03354">
              <w:rPr>
                <w:rFonts w:ascii="VIC" w:eastAsia="Times New Roman" w:hAnsi="VIC" w:cs="Times New Roman"/>
                <w:b/>
                <w:sz w:val="20"/>
                <w:szCs w:val="20"/>
              </w:rPr>
              <w:t>Performance breach notification</w:t>
            </w:r>
          </w:p>
          <w:p w14:paraId="0B9CD17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If a category 1 elective surgery patient is overdue and the event has been verified and confirmed as accurate, the patient will be regarded as a breach for the purposes of performance and a departmental notification procedure must be initiated by the health service.</w:t>
            </w:r>
          </w:p>
        </w:tc>
      </w:tr>
      <w:tr w:rsidR="00280F65" w:rsidRPr="00F03354" w14:paraId="3D81777A"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767A012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418C46B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urgency category 1 patients admitted within 30 days</w:t>
            </w:r>
          </w:p>
        </w:tc>
      </w:tr>
      <w:tr w:rsidR="00280F65" w:rsidRPr="00F03354" w14:paraId="601D6C8E"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AD168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3EA1CC0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urgency category 1 patients admitted</w:t>
            </w:r>
          </w:p>
        </w:tc>
      </w:tr>
      <w:tr w:rsidR="00280F65" w:rsidRPr="00F03354" w14:paraId="30C8C6D6"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3DA640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4C3BE4E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100%</w:t>
            </w:r>
          </w:p>
        </w:tc>
      </w:tr>
      <w:tr w:rsidR="00280F65" w:rsidRPr="00F03354" w14:paraId="0CD1C57C" w14:textId="77777777" w:rsidTr="6BF3BDE6">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2180C8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94" w:type="dxa"/>
            <w:tcBorders>
              <w:top w:val="single" w:sz="4" w:space="0" w:color="201547"/>
              <w:left w:val="single" w:sz="4" w:space="0" w:color="201547"/>
              <w:bottom w:val="single" w:sz="4" w:space="0" w:color="201547"/>
              <w:right w:val="single" w:sz="4" w:space="0" w:color="201547"/>
            </w:tcBorders>
            <w:hideMark/>
          </w:tcPr>
          <w:p w14:paraId="649B782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100%</w:t>
            </w:r>
          </w:p>
        </w:tc>
        <w:tc>
          <w:tcPr>
            <w:tcW w:w="3006" w:type="dxa"/>
            <w:tcBorders>
              <w:top w:val="single" w:sz="4" w:space="0" w:color="201547"/>
              <w:left w:val="single" w:sz="4" w:space="0" w:color="201547"/>
              <w:bottom w:val="single" w:sz="4" w:space="0" w:color="201547"/>
              <w:right w:val="single" w:sz="4" w:space="0" w:color="201547"/>
            </w:tcBorders>
            <w:hideMark/>
          </w:tcPr>
          <w:p w14:paraId="3B5D7EA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7540AC15" w14:textId="77777777" w:rsidTr="6BF3BDE6">
        <w:trPr>
          <w:cantSplit/>
          <w:trHeight w:val="60"/>
        </w:trPr>
        <w:tc>
          <w:tcPr>
            <w:tcW w:w="2552" w:type="dxa"/>
            <w:vMerge/>
            <w:vAlign w:val="center"/>
            <w:hideMark/>
          </w:tcPr>
          <w:p w14:paraId="6691EB94"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394" w:type="dxa"/>
            <w:tcBorders>
              <w:top w:val="single" w:sz="4" w:space="0" w:color="201547"/>
              <w:left w:val="single" w:sz="4" w:space="0" w:color="201547"/>
              <w:bottom w:val="single" w:sz="4" w:space="0" w:color="201547"/>
              <w:right w:val="single" w:sz="4" w:space="0" w:color="201547"/>
            </w:tcBorders>
            <w:hideMark/>
          </w:tcPr>
          <w:p w14:paraId="07077C3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100%</w:t>
            </w:r>
          </w:p>
        </w:tc>
        <w:tc>
          <w:tcPr>
            <w:tcW w:w="3006" w:type="dxa"/>
            <w:tcBorders>
              <w:top w:val="single" w:sz="4" w:space="0" w:color="201547"/>
              <w:left w:val="single" w:sz="4" w:space="0" w:color="201547"/>
              <w:bottom w:val="single" w:sz="4" w:space="0" w:color="201547"/>
              <w:right w:val="single" w:sz="4" w:space="0" w:color="201547"/>
            </w:tcBorders>
            <w:hideMark/>
          </w:tcPr>
          <w:p w14:paraId="4533F4BC"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59F50B8E"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vAlign w:val="center"/>
          </w:tcPr>
          <w:p w14:paraId="4D168F0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gridSpan w:val="2"/>
            <w:tcBorders>
              <w:top w:val="single" w:sz="4" w:space="0" w:color="201547"/>
              <w:left w:val="single" w:sz="4" w:space="0" w:color="201547"/>
              <w:bottom w:val="single" w:sz="4" w:space="0" w:color="201547"/>
              <w:right w:val="single" w:sz="4" w:space="0" w:color="201547"/>
            </w:tcBorders>
          </w:tcPr>
          <w:p w14:paraId="7579BA8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same time last year performance.</w:t>
            </w:r>
          </w:p>
        </w:tc>
      </w:tr>
      <w:tr w:rsidR="00280F65" w:rsidRPr="00F03354" w14:paraId="3F6F1FAF" w14:textId="77777777" w:rsidTr="6BF3BDE6">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8C92A0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485DB6B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4E376D7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ESIS. Refer to the </w:t>
            </w:r>
            <w:r w:rsidRPr="00F03354">
              <w:rPr>
                <w:rFonts w:ascii="VIC" w:eastAsia="Times New Roman" w:hAnsi="VIC" w:cs="Times New Roman"/>
                <w:i/>
                <w:sz w:val="20"/>
                <w:szCs w:val="20"/>
              </w:rPr>
              <w:t xml:space="preserve">Department of Health and Human Services policy and funding guidelines </w:t>
            </w:r>
            <w:r w:rsidRPr="00F03354">
              <w:rPr>
                <w:rFonts w:ascii="VIC" w:eastAsia="Times New Roman" w:hAnsi="VIC" w:cs="Times New Roman"/>
                <w:sz w:val="20"/>
                <w:szCs w:val="20"/>
              </w:rPr>
              <w:t>for further information on ESIS data submission timelines.</w:t>
            </w:r>
          </w:p>
        </w:tc>
      </w:tr>
    </w:tbl>
    <w:p w14:paraId="251F51EB" w14:textId="77777777" w:rsidR="00280F65" w:rsidRPr="00F03354" w:rsidRDefault="00280F65" w:rsidP="00280F65">
      <w:pPr>
        <w:spacing w:after="0" w:line="240" w:lineRule="auto"/>
        <w:rPr>
          <w:rFonts w:ascii="VIC" w:eastAsia="Times" w:hAnsi="VIC" w:cs="Times New Roman"/>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5216"/>
        <w:gridCol w:w="2155"/>
      </w:tblGrid>
      <w:tr w:rsidR="00280F65" w:rsidRPr="00F03354" w14:paraId="491C0527" w14:textId="77777777" w:rsidTr="387D0BC8">
        <w:trPr>
          <w:cantSplit/>
          <w:trHeight w:val="60"/>
          <w:tblHeader/>
        </w:trPr>
        <w:tc>
          <w:tcPr>
            <w:tcW w:w="2581" w:type="dxa"/>
            <w:tcBorders>
              <w:top w:val="single" w:sz="4" w:space="0" w:color="201547"/>
              <w:left w:val="single" w:sz="4" w:space="0" w:color="201547"/>
              <w:bottom w:val="single" w:sz="4" w:space="0" w:color="201547"/>
              <w:right w:val="single" w:sz="4" w:space="0" w:color="201547"/>
            </w:tcBorders>
            <w:shd w:val="clear" w:color="auto" w:fill="244C5A"/>
          </w:tcPr>
          <w:p w14:paraId="574FDCE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371" w:type="dxa"/>
            <w:gridSpan w:val="2"/>
            <w:tcBorders>
              <w:top w:val="single" w:sz="4" w:space="0" w:color="201547"/>
              <w:left w:val="single" w:sz="4" w:space="0" w:color="201547"/>
              <w:bottom w:val="single" w:sz="4" w:space="0" w:color="201547"/>
              <w:right w:val="single" w:sz="4" w:space="0" w:color="201547"/>
            </w:tcBorders>
            <w:shd w:val="clear" w:color="auto" w:fill="244C5A"/>
          </w:tcPr>
          <w:p w14:paraId="2DDB175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Reduce long waiting elective surgery patients</w:t>
            </w:r>
          </w:p>
        </w:tc>
      </w:tr>
      <w:tr w:rsidR="00280F65" w:rsidRPr="00F03354" w14:paraId="07035D91"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52FE961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0BD1B46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Percentage of patients on the waiting list who have waited longer than clinically recommended time for their respective triage category.</w:t>
            </w:r>
          </w:p>
        </w:tc>
      </w:tr>
      <w:tr w:rsidR="00280F65" w:rsidRPr="00F03354" w14:paraId="1F6B1394"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27293E5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gridSpan w:val="2"/>
            <w:tcBorders>
              <w:top w:val="single" w:sz="4" w:space="0" w:color="201547"/>
              <w:left w:val="single" w:sz="4" w:space="0" w:color="201547"/>
              <w:bottom w:val="single" w:sz="4" w:space="0" w:color="201547"/>
              <w:right w:val="single" w:sz="4" w:space="0" w:color="201547"/>
            </w:tcBorders>
          </w:tcPr>
          <w:p w14:paraId="7449986C" w14:textId="77777777" w:rsidR="00280F65" w:rsidRPr="00F03354" w:rsidRDefault="3A324BB3"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Only records assigned an intended procedure</w:t>
            </w:r>
            <w:r w:rsidR="00280F65" w:rsidRPr="00F03354">
              <w:rPr>
                <w:rFonts w:ascii="VIC" w:eastAsia="Times New Roman" w:hAnsi="VIC" w:cs="Times New Roman"/>
                <w:sz w:val="20"/>
                <w:szCs w:val="20"/>
                <w:vertAlign w:val="superscript"/>
              </w:rPr>
              <w:footnoteReference w:id="20"/>
            </w:r>
            <w:r w:rsidRPr="00F03354">
              <w:rPr>
                <w:rFonts w:ascii="VIC" w:eastAsia="Times New Roman" w:hAnsi="VIC" w:cs="Times New Roman"/>
                <w:sz w:val="20"/>
                <w:szCs w:val="20"/>
              </w:rPr>
              <w:t xml:space="preserve"> are used to assess this indicator.</w:t>
            </w:r>
          </w:p>
          <w:p w14:paraId="46695B0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measure considers the ‘total’ waiting list at a health service, not only patients who are ‘ready for surgery’. ‘Total number of patients on the waiting list’ means all patients with readiness status of R, S, F, C or P or V.</w:t>
            </w:r>
          </w:p>
          <w:p w14:paraId="52D4DAE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Proportional improvement (under the Achievement section below) denotes the incremental performance improvement required to achieve the indicator should the statewide target not be achieved at 30 June.</w:t>
            </w:r>
          </w:p>
          <w:p w14:paraId="4ADEA9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health service level. Where a health service has multiple campuses, the aggregate for all campuses is used.</w:t>
            </w:r>
          </w:p>
          <w:p w14:paraId="5B262905" w14:textId="77777777" w:rsidR="00280F65" w:rsidRPr="00F03354" w:rsidRDefault="00280F65" w:rsidP="00280F65">
            <w:pPr>
              <w:spacing w:before="80" w:after="60" w:line="240" w:lineRule="auto"/>
              <w:rPr>
                <w:rFonts w:ascii="VIC" w:eastAsia="Times New Roman" w:hAnsi="VIC" w:cs="Times New Roman"/>
                <w:b/>
                <w:bCs/>
                <w:sz w:val="20"/>
                <w:szCs w:val="20"/>
              </w:rPr>
            </w:pPr>
            <w:r w:rsidRPr="00F03354">
              <w:rPr>
                <w:rFonts w:ascii="VIC" w:eastAsia="Times New Roman" w:hAnsi="VIC" w:cs="Times New Roman"/>
                <w:b/>
                <w:bCs/>
                <w:sz w:val="20"/>
                <w:szCs w:val="20"/>
              </w:rPr>
              <w:t>Example</w:t>
            </w:r>
          </w:p>
          <w:p w14:paraId="62007A1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At 30 June (Year 1), Health Service A has:</w:t>
            </w:r>
          </w:p>
          <w:p w14:paraId="47586C98" w14:textId="77777777" w:rsidR="00280F65" w:rsidRPr="00F03354" w:rsidRDefault="00280F65" w:rsidP="0089279C">
            <w:pPr>
              <w:pStyle w:val="ListParagraph"/>
              <w:numPr>
                <w:ilvl w:val="0"/>
                <w:numId w:val="4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100 patients on the Elective Surgery Waiting List who have waited longer than clinically recommended time for their given urgency category (regardless of their current readiness status).</w:t>
            </w:r>
          </w:p>
          <w:p w14:paraId="264ACB74" w14:textId="77777777" w:rsidR="00280F65" w:rsidRPr="00F03354" w:rsidRDefault="00280F65" w:rsidP="0089279C">
            <w:pPr>
              <w:pStyle w:val="ListParagraph"/>
              <w:numPr>
                <w:ilvl w:val="0"/>
                <w:numId w:val="41"/>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1,000 patients on the Elective Surgery Waiting List (regardless of readiness status).</w:t>
            </w:r>
          </w:p>
          <w:p w14:paraId="1E6BD88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Therefore, 10 per cent of patients had waited longer than clinically recommended time.</w:t>
            </w:r>
          </w:p>
          <w:p w14:paraId="2A5DFC5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At 30 June (Year 2), Health Service A has:</w:t>
            </w:r>
          </w:p>
          <w:p w14:paraId="72A6A53D" w14:textId="77777777"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85 patients on the Elective Surgery Waiting List who have waited longer than clinically recommended time for their given urgency category (regardless of their current readiness status)</w:t>
            </w:r>
          </w:p>
          <w:p w14:paraId="7E1E1D3A" w14:textId="77777777"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1,000 patients on the Elective Surgery Waiting List (regardless of readiness status).</w:t>
            </w:r>
          </w:p>
          <w:p w14:paraId="645434E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Therefore, Health Service A had 8.5 per cent of patients who had waited longer than clinically recommended time at this time</w:t>
            </w:r>
          </w:p>
          <w:p w14:paraId="0D7D6A7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Health Service A did not achieve the state-wide target (less than 5 per cent), however did achieve a 15 per cent proportional improvement (10 per cent vs 8.5 per cent), therefore meeting this indicator.</w:t>
            </w:r>
          </w:p>
        </w:tc>
      </w:tr>
      <w:tr w:rsidR="00280F65" w:rsidRPr="00F03354" w14:paraId="259355EB"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69DAEA4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Numerator</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0E59C97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patients on the Elective Surgery Waiting List (regardless of readiness status) who have waited longer than clinically recommended times (&gt; 30 ‘ready for care days’ for category 1, &gt; 90 ‘ready for care days’ for category 2, &gt; 365 ‘ready for care days’ for category 3).</w:t>
            </w:r>
          </w:p>
        </w:tc>
      </w:tr>
      <w:tr w:rsidR="00280F65" w:rsidRPr="00F03354" w14:paraId="457385ED"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hideMark/>
          </w:tcPr>
          <w:p w14:paraId="2053D0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4A80ACD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patients on the Elective Surgery Waiting List (regardless of readiness status).</w:t>
            </w:r>
          </w:p>
        </w:tc>
      </w:tr>
      <w:tr w:rsidR="00280F65" w:rsidRPr="00F03354" w14:paraId="6DE48BC7" w14:textId="77777777" w:rsidTr="387D0BC8">
        <w:trPr>
          <w:cantSplit/>
          <w:trHeight w:val="60"/>
        </w:trPr>
        <w:tc>
          <w:tcPr>
            <w:tcW w:w="2581" w:type="dxa"/>
            <w:tcBorders>
              <w:top w:val="single" w:sz="4" w:space="0" w:color="201547"/>
              <w:left w:val="single" w:sz="4" w:space="0" w:color="201547"/>
              <w:bottom w:val="single" w:sz="4" w:space="0" w:color="201547"/>
              <w:right w:val="single" w:sz="4" w:space="0" w:color="201547"/>
            </w:tcBorders>
          </w:tcPr>
          <w:p w14:paraId="7BE5BC6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gridSpan w:val="2"/>
            <w:tcBorders>
              <w:top w:val="single" w:sz="4" w:space="0" w:color="201547"/>
              <w:left w:val="single" w:sz="4" w:space="0" w:color="201547"/>
              <w:bottom w:val="single" w:sz="4" w:space="0" w:color="201547"/>
              <w:right w:val="single" w:sz="4" w:space="0" w:color="201547"/>
            </w:tcBorders>
          </w:tcPr>
          <w:p w14:paraId="377A679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5% </w:t>
            </w:r>
          </w:p>
        </w:tc>
      </w:tr>
      <w:tr w:rsidR="00280F65" w:rsidRPr="00F03354" w14:paraId="7A7C9BDF" w14:textId="77777777" w:rsidTr="387D0BC8">
        <w:trPr>
          <w:cantSplit/>
          <w:trHeight w:val="60"/>
        </w:trPr>
        <w:tc>
          <w:tcPr>
            <w:tcW w:w="2581" w:type="dxa"/>
            <w:vMerge w:val="restart"/>
            <w:tcBorders>
              <w:top w:val="single" w:sz="4" w:space="0" w:color="201547"/>
              <w:left w:val="single" w:sz="4" w:space="0" w:color="201547"/>
              <w:bottom w:val="single" w:sz="4" w:space="0" w:color="201547"/>
              <w:right w:val="single" w:sz="4" w:space="0" w:color="201547"/>
            </w:tcBorders>
          </w:tcPr>
          <w:p w14:paraId="73D34A8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Achievement </w:t>
            </w:r>
          </w:p>
        </w:tc>
        <w:tc>
          <w:tcPr>
            <w:tcW w:w="5216" w:type="dxa"/>
            <w:tcBorders>
              <w:top w:val="single" w:sz="4" w:space="0" w:color="201547"/>
              <w:left w:val="single" w:sz="4" w:space="0" w:color="201547"/>
              <w:bottom w:val="single" w:sz="4" w:space="0" w:color="201547"/>
              <w:right w:val="single" w:sz="4" w:space="0" w:color="201547"/>
            </w:tcBorders>
          </w:tcPr>
          <w:p w14:paraId="0BDEF2FD" w14:textId="77777777" w:rsidR="00280F65" w:rsidRPr="00F03354" w:rsidRDefault="00280F65" w:rsidP="00280F65">
            <w:pPr>
              <w:spacing w:before="80" w:after="60" w:line="240" w:lineRule="auto"/>
              <w:rPr>
                <w:rFonts w:ascii="VIC" w:eastAsia="Times New Roman" w:hAnsi="VIC" w:cs="Times New Roman"/>
                <w:sz w:val="20"/>
                <w:szCs w:val="20"/>
                <w:u w:val="single"/>
              </w:rPr>
            </w:pPr>
            <w:r w:rsidRPr="00F03354">
              <w:rPr>
                <w:rFonts w:ascii="VIC" w:eastAsia="Times New Roman" w:hAnsi="VIC" w:cs="Times New Roman"/>
                <w:sz w:val="20"/>
                <w:szCs w:val="20"/>
              </w:rPr>
              <w:t xml:space="preserve">Less than or equal to 5% </w:t>
            </w:r>
            <w:r w:rsidRPr="00F03354">
              <w:rPr>
                <w:rFonts w:ascii="VIC" w:eastAsia="Times New Roman" w:hAnsi="VIC" w:cs="Times New Roman"/>
                <w:sz w:val="20"/>
                <w:szCs w:val="20"/>
                <w:u w:val="single"/>
              </w:rPr>
              <w:t xml:space="preserve">OR </w:t>
            </w:r>
            <w:r w:rsidRPr="00F03354">
              <w:rPr>
                <w:rFonts w:ascii="VIC" w:eastAsia="Times New Roman" w:hAnsi="VIC" w:cs="Times New Roman"/>
                <w:sz w:val="20"/>
                <w:szCs w:val="20"/>
              </w:rPr>
              <w:t xml:space="preserve">if statewide target not met, at least 15% proportional improvement from prior year as calculated at 30 June </w:t>
            </w:r>
          </w:p>
        </w:tc>
        <w:tc>
          <w:tcPr>
            <w:tcW w:w="2155" w:type="dxa"/>
            <w:tcBorders>
              <w:top w:val="single" w:sz="4" w:space="0" w:color="201547"/>
              <w:left w:val="single" w:sz="4" w:space="0" w:color="201547"/>
              <w:bottom w:val="single" w:sz="4" w:space="0" w:color="201547"/>
              <w:right w:val="single" w:sz="4" w:space="0" w:color="201547"/>
            </w:tcBorders>
          </w:tcPr>
          <w:p w14:paraId="031C9494"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Achieved</w:t>
            </w:r>
          </w:p>
        </w:tc>
      </w:tr>
      <w:tr w:rsidR="00280F65" w:rsidRPr="00F03354" w14:paraId="5F3AFB9F" w14:textId="77777777" w:rsidTr="387D0BC8">
        <w:trPr>
          <w:cantSplit/>
          <w:trHeight w:val="595"/>
        </w:trPr>
        <w:tc>
          <w:tcPr>
            <w:tcW w:w="2581" w:type="dxa"/>
            <w:vMerge/>
          </w:tcPr>
          <w:p w14:paraId="1974BD5E" w14:textId="77777777" w:rsidR="00280F65" w:rsidRPr="00F03354" w:rsidRDefault="00280F65" w:rsidP="00280F65">
            <w:pPr>
              <w:spacing w:before="80" w:after="60" w:line="240" w:lineRule="auto"/>
              <w:rPr>
                <w:rFonts w:ascii="VIC" w:eastAsia="Times New Roman" w:hAnsi="VIC" w:cs="Times New Roman"/>
                <w:sz w:val="20"/>
                <w:szCs w:val="20"/>
              </w:rPr>
            </w:pPr>
          </w:p>
        </w:tc>
        <w:tc>
          <w:tcPr>
            <w:tcW w:w="5216" w:type="dxa"/>
            <w:tcBorders>
              <w:top w:val="single" w:sz="4" w:space="0" w:color="201547"/>
              <w:left w:val="single" w:sz="4" w:space="0" w:color="201547"/>
              <w:bottom w:val="single" w:sz="4" w:space="0" w:color="201547"/>
              <w:right w:val="single" w:sz="4" w:space="0" w:color="201547"/>
            </w:tcBorders>
          </w:tcPr>
          <w:p w14:paraId="2E91733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Greater than 5% </w:t>
            </w:r>
            <w:r w:rsidRPr="00F03354">
              <w:rPr>
                <w:rFonts w:ascii="VIC" w:eastAsia="Times New Roman" w:hAnsi="VIC" w:cs="Times New Roman"/>
                <w:sz w:val="20"/>
                <w:szCs w:val="20"/>
                <w:u w:val="single"/>
              </w:rPr>
              <w:t>AND</w:t>
            </w:r>
            <w:r w:rsidRPr="00F03354">
              <w:rPr>
                <w:rFonts w:ascii="VIC" w:eastAsia="Times New Roman" w:hAnsi="VIC" w:cs="Times New Roman"/>
                <w:sz w:val="20"/>
                <w:szCs w:val="20"/>
              </w:rPr>
              <w:t xml:space="preserve"> less than 15% proportional improvement from prior year as calculated at 30 June </w:t>
            </w:r>
          </w:p>
        </w:tc>
        <w:tc>
          <w:tcPr>
            <w:tcW w:w="2155" w:type="dxa"/>
            <w:tcBorders>
              <w:top w:val="single" w:sz="4" w:space="0" w:color="201547"/>
              <w:left w:val="single" w:sz="4" w:space="0" w:color="201547"/>
              <w:bottom w:val="single" w:sz="4" w:space="0" w:color="201547"/>
              <w:right w:val="single" w:sz="4" w:space="0" w:color="201547"/>
            </w:tcBorders>
          </w:tcPr>
          <w:p w14:paraId="1CFE34C4"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r w:rsidR="00280F65" w:rsidRPr="00F03354" w14:paraId="4501DCCF" w14:textId="77777777" w:rsidTr="387D0BC8">
        <w:trPr>
          <w:cantSplit/>
          <w:trHeight w:val="595"/>
        </w:trPr>
        <w:tc>
          <w:tcPr>
            <w:tcW w:w="2581" w:type="dxa"/>
            <w:tcBorders>
              <w:top w:val="single" w:sz="4" w:space="0" w:color="201547"/>
              <w:left w:val="single" w:sz="4" w:space="0" w:color="201547"/>
              <w:bottom w:val="single" w:sz="4" w:space="0" w:color="201547"/>
              <w:right w:val="single" w:sz="4" w:space="0" w:color="201547"/>
            </w:tcBorders>
          </w:tcPr>
          <w:p w14:paraId="74D3FA5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Improvement </w:t>
            </w:r>
          </w:p>
        </w:tc>
        <w:tc>
          <w:tcPr>
            <w:tcW w:w="7371" w:type="dxa"/>
            <w:gridSpan w:val="2"/>
            <w:tcBorders>
              <w:top w:val="single" w:sz="4" w:space="0" w:color="201547"/>
              <w:left w:val="single" w:sz="4" w:space="0" w:color="201547"/>
              <w:bottom w:val="single" w:sz="4" w:space="0" w:color="201547"/>
              <w:right w:val="single" w:sz="4" w:space="0" w:color="201547"/>
            </w:tcBorders>
          </w:tcPr>
          <w:p w14:paraId="0337FE4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15 per cent proportional improvement from prior year (as indicated under the achievement section) is different to improvement achieved for the purpose of the risk assessment.</w:t>
            </w:r>
          </w:p>
          <w:p w14:paraId="1622AA7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former denotes an alternative level of achievement calculated at the end of year and reflected in the Annual Report against the SOP targets.</w:t>
            </w:r>
          </w:p>
          <w:p w14:paraId="4AF21AF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Quarterly improvement for the purpose of the performance risk assessment is the proportional reduction in overdue patients compared to previous quarter. As such, for Q1 (Year 2) this will be compared to Q4 (Year 1); Q2 (Year 2) to Q1 (Year 2) and so on.</w:t>
            </w:r>
          </w:p>
        </w:tc>
      </w:tr>
      <w:tr w:rsidR="00280F65" w:rsidRPr="00F03354" w14:paraId="37019531" w14:textId="77777777" w:rsidTr="387D0BC8">
        <w:trPr>
          <w:cantSplit/>
          <w:trHeight w:val="689"/>
        </w:trPr>
        <w:tc>
          <w:tcPr>
            <w:tcW w:w="2581" w:type="dxa"/>
            <w:tcBorders>
              <w:top w:val="single" w:sz="4" w:space="0" w:color="201547"/>
              <w:left w:val="single" w:sz="4" w:space="0" w:color="201547"/>
              <w:bottom w:val="single" w:sz="4" w:space="0" w:color="201547"/>
              <w:right w:val="single" w:sz="4" w:space="0" w:color="201547"/>
            </w:tcBorders>
            <w:hideMark/>
          </w:tcPr>
          <w:p w14:paraId="7380D1E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tcBorders>
              <w:top w:val="single" w:sz="4" w:space="0" w:color="201547"/>
              <w:left w:val="single" w:sz="4" w:space="0" w:color="201547"/>
              <w:bottom w:val="single" w:sz="4" w:space="0" w:color="201547"/>
              <w:right w:val="single" w:sz="4" w:space="0" w:color="201547"/>
            </w:tcBorders>
            <w:hideMark/>
          </w:tcPr>
          <w:p w14:paraId="3002846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w:t>
            </w:r>
          </w:p>
          <w:p w14:paraId="6B9E67D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submitted by health services via ESIS.</w:t>
            </w:r>
          </w:p>
        </w:tc>
      </w:tr>
    </w:tbl>
    <w:p w14:paraId="3D5F4B7E" w14:textId="7E594596" w:rsidR="00280F65" w:rsidRPr="00F03354" w:rsidRDefault="00280F65" w:rsidP="387D0BC8">
      <w:pPr>
        <w:spacing w:after="120" w:line="270" w:lineRule="atLeast"/>
        <w:rPr>
          <w:rFonts w:ascii="VIC" w:eastAsia="Times" w:hAnsi="VIC" w:cs="Times New Roman"/>
          <w:sz w:val="20"/>
          <w:szCs w:val="20"/>
        </w:rPr>
      </w:pPr>
      <w:r w:rsidRPr="00F03354">
        <w:rPr>
          <w:rFonts w:ascii="VIC" w:eastAsia="Times" w:hAnsi="VIC" w:cs="Times New Roman"/>
          <w:sz w:val="20"/>
          <w:szCs w:val="20"/>
        </w:rPr>
        <w:br w:type="page"/>
      </w:r>
      <w:bookmarkEnd w:id="35"/>
      <w:bookmarkEnd w:id="36"/>
    </w:p>
    <w:tbl>
      <w:tblPr>
        <w:tblW w:w="0" w:type="auto"/>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396"/>
        <w:gridCol w:w="163"/>
        <w:gridCol w:w="3865"/>
        <w:gridCol w:w="2757"/>
      </w:tblGrid>
      <w:tr w:rsidR="387D0BC8" w:rsidRPr="00F03354" w14:paraId="1D7ED7D4" w14:textId="77777777" w:rsidTr="387D0BC8">
        <w:trPr>
          <w:trHeight w:val="60"/>
        </w:trPr>
        <w:tc>
          <w:tcPr>
            <w:tcW w:w="2694" w:type="dxa"/>
            <w:gridSpan w:val="2"/>
            <w:shd w:val="clear" w:color="auto" w:fill="244C5A"/>
          </w:tcPr>
          <w:p w14:paraId="1B79CFC8" w14:textId="77777777" w:rsidR="387D0BC8" w:rsidRPr="00F03354" w:rsidRDefault="387D0BC8" w:rsidP="387D0BC8">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lastRenderedPageBreak/>
              <w:t>Indicator</w:t>
            </w:r>
          </w:p>
        </w:tc>
        <w:tc>
          <w:tcPr>
            <w:tcW w:w="7258" w:type="dxa"/>
            <w:gridSpan w:val="2"/>
            <w:shd w:val="clear" w:color="auto" w:fill="244C5A"/>
          </w:tcPr>
          <w:p w14:paraId="35C5815F" w14:textId="77777777" w:rsidR="387D0BC8" w:rsidRPr="00F03354" w:rsidRDefault="387D0BC8" w:rsidP="387D0BC8">
            <w:pPr>
              <w:spacing w:before="80" w:after="60" w:line="240" w:lineRule="auto"/>
              <w:ind w:left="-108"/>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t>Number of patients on the elective surgery waiting list</w:t>
            </w:r>
          </w:p>
        </w:tc>
      </w:tr>
      <w:tr w:rsidR="387D0BC8" w:rsidRPr="00F03354" w14:paraId="7DEF314E" w14:textId="77777777" w:rsidTr="387D0BC8">
        <w:trPr>
          <w:trHeight w:val="60"/>
        </w:trPr>
        <w:tc>
          <w:tcPr>
            <w:tcW w:w="2522" w:type="dxa"/>
          </w:tcPr>
          <w:p w14:paraId="50FAC485"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30" w:type="dxa"/>
            <w:gridSpan w:val="3"/>
          </w:tcPr>
          <w:p w14:paraId="269E252C"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Elective surgery performance indicators aim to encourage improved performance in managing healthcare for elective surgery patients.</w:t>
            </w:r>
          </w:p>
          <w:p w14:paraId="6C1552E4"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number of patients waiting for elective surgery as at the end of the reporting period and is measured at the health service level. Where health services have multiple campuses, the aggregate for all campuses is used.</w:t>
            </w:r>
          </w:p>
        </w:tc>
      </w:tr>
      <w:tr w:rsidR="387D0BC8" w:rsidRPr="00F03354" w14:paraId="7C27AF88" w14:textId="77777777" w:rsidTr="387D0BC8">
        <w:trPr>
          <w:trHeight w:val="60"/>
        </w:trPr>
        <w:tc>
          <w:tcPr>
            <w:tcW w:w="2522" w:type="dxa"/>
          </w:tcPr>
          <w:p w14:paraId="22A9449F"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30" w:type="dxa"/>
            <w:gridSpan w:val="3"/>
          </w:tcPr>
          <w:p w14:paraId="5390ADE2"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Only records assigned an intended procedure</w:t>
            </w:r>
            <w:r w:rsidRPr="00F03354">
              <w:rPr>
                <w:rFonts w:ascii="VIC" w:eastAsia="Times New Roman" w:hAnsi="VIC" w:cs="Times New Roman"/>
                <w:sz w:val="20"/>
                <w:szCs w:val="20"/>
                <w:vertAlign w:val="superscript"/>
              </w:rPr>
              <w:footnoteReference w:id="21"/>
            </w:r>
            <w:r w:rsidRPr="00F03354">
              <w:rPr>
                <w:rFonts w:ascii="VIC" w:eastAsia="Times New Roman" w:hAnsi="VIC" w:cs="Times New Roman"/>
                <w:sz w:val="20"/>
                <w:szCs w:val="20"/>
              </w:rPr>
              <w:t xml:space="preserve"> and with a readiness status of R (ready for care) or V (ready for surgery but delayed due to COVID-19 response) are used to assess this indicator.</w:t>
            </w:r>
          </w:p>
          <w:p w14:paraId="59BB9472"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whole number.</w:t>
            </w:r>
          </w:p>
          <w:p w14:paraId="65AE3557"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Agreed individual health service quarterly targets consider external factors impacting on service capacity such as peaks in emergency demand and seasonal fluctuations. Notional monthly targets are used to assist with monitoring performance.</w:t>
            </w:r>
          </w:p>
        </w:tc>
      </w:tr>
      <w:tr w:rsidR="387D0BC8" w:rsidRPr="00F03354" w14:paraId="0D8A0213" w14:textId="77777777" w:rsidTr="387D0BC8">
        <w:trPr>
          <w:trHeight w:val="60"/>
        </w:trPr>
        <w:tc>
          <w:tcPr>
            <w:tcW w:w="2522" w:type="dxa"/>
          </w:tcPr>
          <w:p w14:paraId="0C1115E9"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30" w:type="dxa"/>
            <w:gridSpan w:val="3"/>
          </w:tcPr>
          <w:p w14:paraId="73AE5151"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patients, for all urgency categories, waiting for elective surgery at the end of the reporting period</w:t>
            </w:r>
          </w:p>
        </w:tc>
      </w:tr>
      <w:tr w:rsidR="387D0BC8" w:rsidRPr="00F03354" w14:paraId="1F989F39" w14:textId="77777777" w:rsidTr="387D0BC8">
        <w:trPr>
          <w:trHeight w:val="60"/>
        </w:trPr>
        <w:tc>
          <w:tcPr>
            <w:tcW w:w="2522" w:type="dxa"/>
          </w:tcPr>
          <w:p w14:paraId="6D22E610" w14:textId="00911A51" w:rsidR="5701068B" w:rsidRPr="00F03354" w:rsidRDefault="5701068B" w:rsidP="387D0BC8">
            <w:pPr>
              <w:spacing w:before="80" w:after="60" w:line="240" w:lineRule="auto"/>
            </w:pPr>
            <w:r w:rsidRPr="00F03354">
              <w:rPr>
                <w:rFonts w:ascii="VIC" w:eastAsia="Times New Roman" w:hAnsi="VIC" w:cs="Times New Roman"/>
                <w:sz w:val="20"/>
                <w:szCs w:val="20"/>
              </w:rPr>
              <w:t>Target</w:t>
            </w:r>
          </w:p>
        </w:tc>
        <w:tc>
          <w:tcPr>
            <w:tcW w:w="7430" w:type="dxa"/>
            <w:gridSpan w:val="3"/>
          </w:tcPr>
          <w:p w14:paraId="61FF338B" w14:textId="165347DA" w:rsidR="5701068B" w:rsidRPr="00F03354" w:rsidRDefault="5701068B" w:rsidP="387D0BC8">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Specific health service target as agreed in the Statement of Priorities</w:t>
            </w:r>
          </w:p>
        </w:tc>
      </w:tr>
      <w:tr w:rsidR="387D0BC8" w:rsidRPr="00F03354" w14:paraId="728C2940" w14:textId="77777777" w:rsidTr="387D0BC8">
        <w:trPr>
          <w:trHeight w:val="60"/>
        </w:trPr>
        <w:tc>
          <w:tcPr>
            <w:tcW w:w="2522" w:type="dxa"/>
            <w:vMerge w:val="restart"/>
          </w:tcPr>
          <w:p w14:paraId="5EAB0A4A"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453" w:type="dxa"/>
            <w:gridSpan w:val="2"/>
          </w:tcPr>
          <w:p w14:paraId="53A46E24"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Target achieved</w:t>
            </w:r>
          </w:p>
        </w:tc>
        <w:tc>
          <w:tcPr>
            <w:tcW w:w="2977" w:type="dxa"/>
          </w:tcPr>
          <w:p w14:paraId="2710421C" w14:textId="77777777" w:rsidR="387D0BC8" w:rsidRPr="00F03354" w:rsidRDefault="387D0BC8" w:rsidP="387D0BC8">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387D0BC8" w:rsidRPr="00F03354" w14:paraId="142CF7D1" w14:textId="77777777" w:rsidTr="387D0BC8">
        <w:trPr>
          <w:trHeight w:val="60"/>
        </w:trPr>
        <w:tc>
          <w:tcPr>
            <w:tcW w:w="2522" w:type="dxa"/>
            <w:vMerge/>
          </w:tcPr>
          <w:p w14:paraId="35DFF432" w14:textId="77777777" w:rsidR="00921FF3" w:rsidRPr="00F03354" w:rsidRDefault="00921FF3"/>
        </w:tc>
        <w:tc>
          <w:tcPr>
            <w:tcW w:w="4453" w:type="dxa"/>
            <w:gridSpan w:val="2"/>
          </w:tcPr>
          <w:p w14:paraId="6D8EB32C"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Target not achieved</w:t>
            </w:r>
          </w:p>
        </w:tc>
        <w:tc>
          <w:tcPr>
            <w:tcW w:w="2977" w:type="dxa"/>
          </w:tcPr>
          <w:p w14:paraId="06DDA283" w14:textId="77777777" w:rsidR="387D0BC8" w:rsidRPr="00F03354" w:rsidRDefault="387D0BC8" w:rsidP="387D0BC8">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387D0BC8" w:rsidRPr="00F03354" w14:paraId="7F643EDD" w14:textId="77777777" w:rsidTr="387D0BC8">
        <w:trPr>
          <w:trHeight w:val="60"/>
        </w:trPr>
        <w:tc>
          <w:tcPr>
            <w:tcW w:w="2522" w:type="dxa"/>
          </w:tcPr>
          <w:p w14:paraId="67E41721"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Improvement </w:t>
            </w:r>
          </w:p>
        </w:tc>
        <w:tc>
          <w:tcPr>
            <w:tcW w:w="7430" w:type="dxa"/>
            <w:gridSpan w:val="3"/>
          </w:tcPr>
          <w:p w14:paraId="082805F6"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quarterly based on performance against phased targets, compared to previous quarter performance. </w:t>
            </w:r>
          </w:p>
        </w:tc>
      </w:tr>
      <w:tr w:rsidR="387D0BC8" w:rsidRPr="00F03354" w14:paraId="0B0A9025" w14:textId="77777777" w:rsidTr="387D0BC8">
        <w:trPr>
          <w:trHeight w:val="60"/>
        </w:trPr>
        <w:tc>
          <w:tcPr>
            <w:tcW w:w="2522" w:type="dxa"/>
          </w:tcPr>
          <w:p w14:paraId="3408C5C9"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430" w:type="dxa"/>
            <w:gridSpan w:val="3"/>
          </w:tcPr>
          <w:p w14:paraId="6CC899BC"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17910026" w14:textId="77777777" w:rsidR="387D0BC8" w:rsidRPr="00F03354" w:rsidRDefault="387D0BC8" w:rsidP="387D0BC8">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ESIS. Refer to the </w:t>
            </w:r>
            <w:r w:rsidRPr="00F03354">
              <w:rPr>
                <w:rFonts w:ascii="VIC" w:eastAsia="Times New Roman" w:hAnsi="VIC" w:cs="Times New Roman"/>
                <w:i/>
                <w:iCs/>
                <w:sz w:val="20"/>
                <w:szCs w:val="20"/>
              </w:rPr>
              <w:t xml:space="preserve">Department of Health and Human Services policy and funding guidelines </w:t>
            </w:r>
            <w:r w:rsidRPr="00F03354">
              <w:rPr>
                <w:rFonts w:ascii="VIC" w:eastAsia="Times New Roman" w:hAnsi="VIC" w:cs="Times New Roman"/>
                <w:sz w:val="20"/>
                <w:szCs w:val="20"/>
              </w:rPr>
              <w:t>for further information on ESIS data submission timelines.</w:t>
            </w:r>
          </w:p>
        </w:tc>
      </w:tr>
    </w:tbl>
    <w:p w14:paraId="52C551BD" w14:textId="081598C8" w:rsidR="00280F65" w:rsidRPr="00F03354" w:rsidRDefault="00280F65" w:rsidP="387D0BC8">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7371"/>
      </w:tblGrid>
      <w:tr w:rsidR="00280F65" w:rsidRPr="00F03354" w14:paraId="42303672" w14:textId="77777777" w:rsidTr="1057C776">
        <w:trPr>
          <w:cantSplit/>
          <w:trHeight w:val="60"/>
          <w:tblHeader/>
        </w:trPr>
        <w:tc>
          <w:tcPr>
            <w:tcW w:w="2581" w:type="dxa"/>
            <w:shd w:val="clear" w:color="auto" w:fill="244C5A"/>
            <w:vAlign w:val="bottom"/>
          </w:tcPr>
          <w:p w14:paraId="76DDB0C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371" w:type="dxa"/>
            <w:shd w:val="clear" w:color="auto" w:fill="244C5A"/>
            <w:vAlign w:val="bottom"/>
          </w:tcPr>
          <w:p w14:paraId="31D48CF4" w14:textId="02D8E1CC" w:rsidR="00280F65" w:rsidRPr="00F03354" w:rsidRDefault="776CA407" w:rsidP="387D0BC8">
            <w:pPr>
              <w:spacing w:before="80" w:after="60" w:line="240" w:lineRule="auto"/>
              <w:rPr>
                <w:rFonts w:ascii="VIC" w:eastAsia="Times New Roman" w:hAnsi="VIC" w:cs="Times New Roman"/>
                <w:color w:val="FFFFFF" w:themeColor="background1"/>
                <w:sz w:val="20"/>
                <w:szCs w:val="20"/>
              </w:rPr>
            </w:pPr>
            <w:r w:rsidRPr="1057C776">
              <w:rPr>
                <w:rFonts w:ascii="VIC" w:eastAsia="Times New Roman" w:hAnsi="VIC" w:cs="Times New Roman"/>
                <w:color w:val="FFFFFF" w:themeColor="background1"/>
                <w:sz w:val="20"/>
                <w:szCs w:val="20"/>
              </w:rPr>
              <w:t>Number of patients admitted from the elective surgery waiting list</w:t>
            </w:r>
          </w:p>
        </w:tc>
      </w:tr>
      <w:tr w:rsidR="00280F65" w:rsidRPr="00F03354" w14:paraId="34ED9AF9" w14:textId="77777777" w:rsidTr="1057C776">
        <w:trPr>
          <w:cantSplit/>
          <w:trHeight w:val="60"/>
        </w:trPr>
        <w:tc>
          <w:tcPr>
            <w:tcW w:w="2581" w:type="dxa"/>
            <w:hideMark/>
          </w:tcPr>
          <w:p w14:paraId="4EA58A0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hideMark/>
          </w:tcPr>
          <w:p w14:paraId="3FAD2DD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stocks and flows of elective surgery patients and assists the understanding of the demand management of elective surgery patients.</w:t>
            </w:r>
          </w:p>
          <w:p w14:paraId="71C4A89C" w14:textId="41653D75" w:rsidR="00280F65" w:rsidRPr="00F03354" w:rsidRDefault="776CA407"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Individual </w:t>
            </w:r>
            <w:r w:rsidR="62DB3887" w:rsidRPr="00F03354">
              <w:rPr>
                <w:rFonts w:ascii="VIC" w:eastAsia="Times New Roman" w:hAnsi="VIC" w:cs="Times New Roman"/>
                <w:sz w:val="20"/>
                <w:szCs w:val="20"/>
              </w:rPr>
              <w:t xml:space="preserve">base </w:t>
            </w:r>
            <w:r w:rsidRPr="00F03354">
              <w:rPr>
                <w:rFonts w:ascii="VIC" w:eastAsia="Times New Roman" w:hAnsi="VIC" w:cs="Times New Roman"/>
                <w:sz w:val="20"/>
                <w:szCs w:val="20"/>
              </w:rPr>
              <w:t>targets are negotiated with each health service. Targets for the number of patients admitted from the waiting list during each month are set at the health service level, rather than individual hospital level.</w:t>
            </w:r>
          </w:p>
          <w:p w14:paraId="20854D27" w14:textId="30E21808"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phased targets set for individual health services reflect peaks in emergency demand and seasonal capacity limitations. To enable this indicator to be monitored monthly</w:t>
            </w:r>
            <w:r w:rsidR="000B5FE3" w:rsidRPr="00F03354">
              <w:rPr>
                <w:rFonts w:ascii="VIC" w:eastAsia="Times New Roman" w:hAnsi="VIC" w:cs="Times New Roman"/>
                <w:sz w:val="20"/>
                <w:szCs w:val="20"/>
              </w:rPr>
              <w:t>,</w:t>
            </w:r>
            <w:r w:rsidRPr="00F03354">
              <w:rPr>
                <w:rFonts w:ascii="VIC" w:eastAsia="Times New Roman" w:hAnsi="VIC" w:cs="Times New Roman"/>
                <w:sz w:val="20"/>
                <w:szCs w:val="20"/>
              </w:rPr>
              <w:t xml:space="preserve"> health services provide the department with phased monthly targets.</w:t>
            </w:r>
          </w:p>
        </w:tc>
      </w:tr>
      <w:tr w:rsidR="00280F65" w:rsidRPr="00F03354" w14:paraId="079AB727" w14:textId="77777777" w:rsidTr="1057C776">
        <w:trPr>
          <w:cantSplit/>
          <w:trHeight w:val="60"/>
        </w:trPr>
        <w:tc>
          <w:tcPr>
            <w:tcW w:w="2581" w:type="dxa"/>
            <w:hideMark/>
          </w:tcPr>
          <w:p w14:paraId="1A5F191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hideMark/>
          </w:tcPr>
          <w:p w14:paraId="4D51C6D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patients during the reporting period who have been admitted for the awaited procedure, or related procedure, that addresses the clinical condition for which they were added to the elective surgery waiting list.</w:t>
            </w:r>
          </w:p>
          <w:p w14:paraId="5546173F" w14:textId="77777777" w:rsidR="00280F65" w:rsidRPr="00F03354" w:rsidRDefault="084D64FE"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Only records assigned an ESIS intended procedure</w:t>
            </w:r>
            <w:r w:rsidR="00280F65" w:rsidRPr="00F03354">
              <w:rPr>
                <w:rFonts w:ascii="VIC" w:eastAsia="Times New Roman" w:hAnsi="VIC" w:cs="Times New Roman"/>
                <w:sz w:val="20"/>
                <w:szCs w:val="20"/>
                <w:vertAlign w:val="superscript"/>
              </w:rPr>
              <w:footnoteReference w:id="22"/>
            </w:r>
            <w:r w:rsidRPr="00F03354">
              <w:rPr>
                <w:rFonts w:ascii="VIC" w:eastAsia="Times New Roman" w:hAnsi="VIC" w:cs="Times New Roman"/>
                <w:sz w:val="20"/>
                <w:szCs w:val="20"/>
              </w:rPr>
              <w:t xml:space="preserve"> are used to assess this indicator.</w:t>
            </w:r>
            <w:r w:rsidR="00280F65" w:rsidRPr="00F03354">
              <w:rPr>
                <w:rFonts w:ascii="VIC" w:eastAsia="Times New Roman" w:hAnsi="VIC" w:cs="Times New Roman"/>
                <w:sz w:val="20"/>
                <w:szCs w:val="20"/>
              </w:rPr>
              <w:br/>
            </w:r>
            <w:r w:rsidRPr="00F03354">
              <w:rPr>
                <w:rFonts w:ascii="VIC" w:eastAsia="Times New Roman" w:hAnsi="VIC" w:cs="Times New Roman"/>
                <w:sz w:val="20"/>
                <w:szCs w:val="20"/>
              </w:rPr>
              <w:t>The Intended Procedure code must be &lt;500.</w:t>
            </w:r>
          </w:p>
          <w:p w14:paraId="7CF6B05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Within ESIS data, a removal is counted as a planned admission if the removal date falls within the quarter being reported and the reason for removal is either:</w:t>
            </w:r>
          </w:p>
          <w:p w14:paraId="1ED8CFE1" w14:textId="77777777" w:rsidR="00280F65" w:rsidRPr="00F03354" w:rsidRDefault="00280F65" w:rsidP="0089279C">
            <w:pPr>
              <w:pStyle w:val="ListParagraph"/>
              <w:numPr>
                <w:ilvl w:val="0"/>
                <w:numId w:val="4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 – admitted to the intended campus and has received the awaited procedure</w:t>
            </w:r>
          </w:p>
          <w:p w14:paraId="7EABBA62" w14:textId="77777777" w:rsidR="00280F65" w:rsidRPr="00F03354" w:rsidRDefault="00280F65" w:rsidP="0089279C">
            <w:pPr>
              <w:pStyle w:val="ListParagraph"/>
              <w:numPr>
                <w:ilvl w:val="0"/>
                <w:numId w:val="4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 – admitted to another campus arranged by ESAS and has received the awaited procedure</w:t>
            </w:r>
          </w:p>
          <w:p w14:paraId="1D1A4507" w14:textId="77777777" w:rsidR="00280F65" w:rsidRPr="00F03354" w:rsidRDefault="00280F65" w:rsidP="0089279C">
            <w:pPr>
              <w:pStyle w:val="ListParagraph"/>
              <w:numPr>
                <w:ilvl w:val="0"/>
                <w:numId w:val="4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X – admitted to another campus arranged by this campus/health service and has received the awaited procedure under other contract or similar arrangement.</w:t>
            </w:r>
          </w:p>
          <w:p w14:paraId="13D6E81A" w14:textId="77777777" w:rsidR="00280F65" w:rsidRPr="00F03354" w:rsidRDefault="00280F65" w:rsidP="0089279C">
            <w:pPr>
              <w:pStyle w:val="ListParagraph"/>
              <w:numPr>
                <w:ilvl w:val="0"/>
                <w:numId w:val="42"/>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P – special purpose, COVID-19 </w:t>
            </w:r>
            <w:r w:rsidRPr="00F03354">
              <w:rPr>
                <w:rFonts w:ascii="VIC" w:eastAsia="Times New Roman" w:hAnsi="VIC" w:cs="Times New Roman"/>
                <w:sz w:val="20"/>
                <w:szCs w:val="20"/>
              </w:rPr>
              <w:br/>
              <w:t>admitted to another campus arranged by this campus/health service and has received the awaited procedure under contract or similar arrangement due to the COVID-19 response</w:t>
            </w:r>
          </w:p>
          <w:p w14:paraId="3692D6A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Planned admissions have a narrower range of removal codes than the codes used for the indicators dealing with the percentage of patients removed within time.</w:t>
            </w:r>
          </w:p>
          <w:p w14:paraId="3A41C12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whole number.</w:t>
            </w:r>
          </w:p>
        </w:tc>
      </w:tr>
      <w:tr w:rsidR="00280F65" w:rsidRPr="00F03354" w14:paraId="4E31B14E" w14:textId="77777777" w:rsidTr="1057C776">
        <w:trPr>
          <w:cantSplit/>
          <w:trHeight w:val="60"/>
        </w:trPr>
        <w:tc>
          <w:tcPr>
            <w:tcW w:w="2581" w:type="dxa"/>
            <w:hideMark/>
          </w:tcPr>
          <w:p w14:paraId="5571146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hideMark/>
          </w:tcPr>
          <w:p w14:paraId="6E29A1D1" w14:textId="4C3DB966" w:rsidR="00280F65" w:rsidRPr="00F03354" w:rsidRDefault="01CA1143"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Total n</w:t>
            </w:r>
            <w:r w:rsidR="776CA407" w:rsidRPr="00F03354">
              <w:rPr>
                <w:rFonts w:ascii="VIC" w:eastAsia="Times New Roman" w:hAnsi="VIC" w:cs="Times New Roman"/>
                <w:sz w:val="20"/>
                <w:szCs w:val="20"/>
              </w:rPr>
              <w:t xml:space="preserve">umber of admitted patients </w:t>
            </w:r>
          </w:p>
        </w:tc>
      </w:tr>
      <w:tr w:rsidR="00280F65" w:rsidRPr="00F03354" w14:paraId="58CCC86F" w14:textId="77777777" w:rsidTr="1057C776">
        <w:trPr>
          <w:cantSplit/>
          <w:trHeight w:val="60"/>
        </w:trPr>
        <w:tc>
          <w:tcPr>
            <w:tcW w:w="2581" w:type="dxa"/>
            <w:hideMark/>
          </w:tcPr>
          <w:p w14:paraId="636BEA3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Target</w:t>
            </w:r>
          </w:p>
        </w:tc>
        <w:tc>
          <w:tcPr>
            <w:tcW w:w="7371" w:type="dxa"/>
            <w:hideMark/>
          </w:tcPr>
          <w:p w14:paraId="3E04CA2C" w14:textId="24D0BEE2" w:rsidR="00280F65" w:rsidRPr="00F03354" w:rsidRDefault="776CA407"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 xml:space="preserve">Specific health service </w:t>
            </w:r>
            <w:r w:rsidR="36BF1B74" w:rsidRPr="00F03354">
              <w:rPr>
                <w:rFonts w:ascii="VIC" w:eastAsia="Times New Roman" w:hAnsi="VIC" w:cs="Times New Roman"/>
                <w:sz w:val="20"/>
                <w:szCs w:val="20"/>
              </w:rPr>
              <w:t xml:space="preserve">(base) </w:t>
            </w:r>
            <w:r w:rsidRPr="00F03354">
              <w:rPr>
                <w:rFonts w:ascii="VIC" w:eastAsia="Times New Roman" w:hAnsi="VIC" w:cs="Times New Roman"/>
                <w:sz w:val="20"/>
                <w:szCs w:val="20"/>
              </w:rPr>
              <w:t>target as agreed in the Statement of Priorities</w:t>
            </w:r>
          </w:p>
        </w:tc>
      </w:tr>
      <w:tr w:rsidR="00280F65" w:rsidRPr="00F03354" w14:paraId="452742DF" w14:textId="77777777" w:rsidTr="1057C776">
        <w:trPr>
          <w:cantSplit/>
          <w:trHeight w:val="750"/>
        </w:trPr>
        <w:tc>
          <w:tcPr>
            <w:tcW w:w="2581" w:type="dxa"/>
            <w:hideMark/>
          </w:tcPr>
          <w:p w14:paraId="43322AF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371" w:type="dxa"/>
            <w:hideMark/>
          </w:tcPr>
          <w:p w14:paraId="76A7C52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p w14:paraId="1D4397E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7B4CFE66" w14:textId="77777777" w:rsidTr="1057C776">
        <w:trPr>
          <w:cantSplit/>
          <w:trHeight w:val="750"/>
        </w:trPr>
        <w:tc>
          <w:tcPr>
            <w:tcW w:w="2581" w:type="dxa"/>
            <w:hideMark/>
          </w:tcPr>
          <w:p w14:paraId="0E3D499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 xml:space="preserve">Improvement </w:t>
            </w:r>
          </w:p>
        </w:tc>
        <w:tc>
          <w:tcPr>
            <w:tcW w:w="7371" w:type="dxa"/>
            <w:hideMark/>
          </w:tcPr>
          <w:p w14:paraId="603C105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quarterly based on performance against phased targets, compared to previous quarter performance. </w:t>
            </w:r>
          </w:p>
        </w:tc>
      </w:tr>
      <w:tr w:rsidR="00280F65" w:rsidRPr="00F03354" w14:paraId="60FF0B83" w14:textId="77777777" w:rsidTr="1057C776">
        <w:trPr>
          <w:cantSplit/>
          <w:trHeight w:val="1334"/>
        </w:trPr>
        <w:tc>
          <w:tcPr>
            <w:tcW w:w="2581" w:type="dxa"/>
            <w:hideMark/>
          </w:tcPr>
          <w:p w14:paraId="53C892D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hideMark/>
          </w:tcPr>
          <w:p w14:paraId="50B6A284" w14:textId="41DD764F" w:rsidR="00280F65" w:rsidRPr="00F03354" w:rsidRDefault="37869347" w:rsidP="387D0BC8">
            <w:pPr>
              <w:spacing w:before="80" w:after="60"/>
              <w:rPr>
                <w:rFonts w:ascii="VIC" w:eastAsia="VIC" w:hAnsi="VIC" w:cs="VIC"/>
                <w:color w:val="000000" w:themeColor="text1"/>
                <w:sz w:val="20"/>
                <w:szCs w:val="20"/>
              </w:rPr>
            </w:pPr>
            <w:r w:rsidRPr="00F03354">
              <w:rPr>
                <w:rFonts w:ascii="VIC" w:eastAsia="Times New Roman" w:hAnsi="VIC" w:cs="Times New Roman"/>
                <w:sz w:val="20"/>
                <w:szCs w:val="20"/>
              </w:rPr>
              <w:t>Performance is monitored and assessed monthly</w:t>
            </w:r>
            <w:r w:rsidR="70631F47" w:rsidRPr="00F03354">
              <w:rPr>
                <w:rFonts w:ascii="VIC" w:eastAsia="Times New Roman" w:hAnsi="VIC" w:cs="Times New Roman"/>
                <w:sz w:val="20"/>
                <w:szCs w:val="20"/>
              </w:rPr>
              <w:t xml:space="preserve"> and</w:t>
            </w:r>
            <w:r w:rsidRPr="00F03354">
              <w:rPr>
                <w:rFonts w:ascii="VIC" w:eastAsia="Times New Roman" w:hAnsi="VIC" w:cs="Times New Roman"/>
                <w:sz w:val="20"/>
                <w:szCs w:val="20"/>
              </w:rPr>
              <w:t xml:space="preserve"> performance result</w:t>
            </w:r>
            <w:r w:rsidR="6D616288" w:rsidRPr="00F03354">
              <w:rPr>
                <w:rFonts w:ascii="VIC" w:eastAsia="Times New Roman" w:hAnsi="VIC" w:cs="Times New Roman"/>
                <w:sz w:val="20"/>
                <w:szCs w:val="20"/>
              </w:rPr>
              <w:t>s</w:t>
            </w:r>
            <w:r w:rsidRPr="00F03354">
              <w:rPr>
                <w:rFonts w:ascii="VIC" w:eastAsia="Times New Roman" w:hAnsi="VIC" w:cs="Times New Roman"/>
                <w:sz w:val="20"/>
                <w:szCs w:val="20"/>
              </w:rPr>
              <w:t xml:space="preserve"> </w:t>
            </w:r>
            <w:r w:rsidR="05C4A8C8" w:rsidRPr="00F03354">
              <w:rPr>
                <w:rFonts w:ascii="VIC" w:eastAsia="Times New Roman" w:hAnsi="VIC" w:cs="Times New Roman"/>
                <w:sz w:val="20"/>
                <w:szCs w:val="20"/>
              </w:rPr>
              <w:t>are</w:t>
            </w:r>
            <w:r w:rsidRPr="00F03354">
              <w:rPr>
                <w:rFonts w:ascii="VIC" w:eastAsia="Times New Roman" w:hAnsi="VIC" w:cs="Times New Roman"/>
                <w:sz w:val="20"/>
                <w:szCs w:val="20"/>
              </w:rPr>
              <w:t xml:space="preserve"> generated based on </w:t>
            </w:r>
            <w:r w:rsidR="2DE074D2" w:rsidRPr="00F03354">
              <w:rPr>
                <w:rFonts w:ascii="VIC" w:eastAsia="Times New Roman" w:hAnsi="VIC" w:cs="Times New Roman"/>
                <w:sz w:val="20"/>
                <w:szCs w:val="20"/>
              </w:rPr>
              <w:t>year to date</w:t>
            </w:r>
            <w:r w:rsidR="1EB41B7F" w:rsidRPr="00F03354">
              <w:rPr>
                <w:rFonts w:ascii="VIC" w:eastAsia="Times New Roman" w:hAnsi="VIC" w:cs="Times New Roman"/>
                <w:sz w:val="20"/>
                <w:szCs w:val="20"/>
              </w:rPr>
              <w:t xml:space="preserve"> activity.</w:t>
            </w:r>
            <w:r w:rsidR="2DE074D2" w:rsidRPr="00F03354">
              <w:rPr>
                <w:rFonts w:ascii="VIC" w:eastAsia="Times New Roman" w:hAnsi="VIC" w:cs="Times New Roman"/>
                <w:sz w:val="20"/>
                <w:szCs w:val="20"/>
              </w:rPr>
              <w:t xml:space="preserve"> </w:t>
            </w:r>
            <w:r w:rsidR="2DE074D2" w:rsidRPr="00F03354">
              <w:rPr>
                <w:rFonts w:ascii="VIC" w:eastAsia="VIC" w:hAnsi="VIC" w:cs="VIC"/>
                <w:sz w:val="20"/>
                <w:szCs w:val="20"/>
              </w:rPr>
              <w:t xml:space="preserve">The target will be reported as a </w:t>
            </w:r>
            <w:r w:rsidR="6CF8BBF8" w:rsidRPr="00F03354">
              <w:rPr>
                <w:rFonts w:ascii="VIC" w:eastAsia="VIC" w:hAnsi="VIC" w:cs="VIC"/>
                <w:sz w:val="20"/>
                <w:szCs w:val="20"/>
              </w:rPr>
              <w:t>year-to-date</w:t>
            </w:r>
            <w:r w:rsidR="2DE074D2" w:rsidRPr="00F03354">
              <w:rPr>
                <w:rFonts w:ascii="VIC" w:eastAsia="VIC" w:hAnsi="VIC" w:cs="VIC"/>
                <w:sz w:val="20"/>
                <w:szCs w:val="20"/>
              </w:rPr>
              <w:t xml:space="preserve"> figure that will be cumulative across the financial year.</w:t>
            </w:r>
          </w:p>
          <w:p w14:paraId="09857C52" w14:textId="3888393C"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ESIS. Refer to the </w:t>
            </w:r>
            <w:r w:rsidRPr="00F03354">
              <w:rPr>
                <w:rFonts w:ascii="VIC" w:eastAsia="Times New Roman" w:hAnsi="VIC" w:cs="Times New Roman"/>
                <w:i/>
                <w:sz w:val="20"/>
                <w:szCs w:val="20"/>
              </w:rPr>
              <w:t>Department of Health and Human Services policy and funding guidelines for</w:t>
            </w:r>
            <w:r w:rsidRPr="00F03354">
              <w:rPr>
                <w:rFonts w:ascii="VIC" w:eastAsia="Times New Roman" w:hAnsi="VIC" w:cs="Times New Roman"/>
                <w:sz w:val="20"/>
                <w:szCs w:val="20"/>
              </w:rPr>
              <w:t xml:space="preserve"> further information on ESIS data submission timelines.</w:t>
            </w:r>
          </w:p>
        </w:tc>
      </w:tr>
    </w:tbl>
    <w:p w14:paraId="24E69105" w14:textId="77777777" w:rsidR="00824246" w:rsidRDefault="00824246"/>
    <w:tbl>
      <w:tblPr>
        <w:tblStyle w:val="TableGrid"/>
        <w:tblW w:w="9923" w:type="dxa"/>
        <w:tblInd w:w="137" w:type="dxa"/>
        <w:tblLook w:val="04A0" w:firstRow="1" w:lastRow="0" w:firstColumn="1" w:lastColumn="0" w:noHBand="0" w:noVBand="1"/>
      </w:tblPr>
      <w:tblGrid>
        <w:gridCol w:w="2552"/>
        <w:gridCol w:w="7371"/>
      </w:tblGrid>
      <w:tr w:rsidR="387D0BC8" w:rsidRPr="00F03354" w14:paraId="714F9119" w14:textId="77777777" w:rsidTr="00824246">
        <w:trPr>
          <w:trHeight w:val="300"/>
        </w:trPr>
        <w:tc>
          <w:tcPr>
            <w:tcW w:w="2552" w:type="dxa"/>
            <w:shd w:val="clear" w:color="auto" w:fill="004550"/>
          </w:tcPr>
          <w:p w14:paraId="09A75829" w14:textId="5181B32E" w:rsidR="387D0BC8" w:rsidRPr="004E17BE" w:rsidRDefault="387D0BC8" w:rsidP="387D0BC8">
            <w:pPr>
              <w:spacing w:line="259" w:lineRule="auto"/>
              <w:rPr>
                <w:rFonts w:ascii="VIC" w:eastAsia="VIC" w:hAnsi="VIC" w:cs="VIC"/>
                <w:color w:val="000000" w:themeColor="text1"/>
                <w:sz w:val="20"/>
                <w:szCs w:val="20"/>
              </w:rPr>
            </w:pPr>
            <w:r w:rsidRPr="004E17BE">
              <w:rPr>
                <w:rFonts w:ascii="VIC" w:eastAsia="VIC" w:hAnsi="VIC" w:cs="VIC"/>
                <w:color w:val="FFFFFF" w:themeColor="background1"/>
                <w:sz w:val="20"/>
                <w:szCs w:val="20"/>
              </w:rPr>
              <w:t>Indicator</w:t>
            </w:r>
          </w:p>
        </w:tc>
        <w:tc>
          <w:tcPr>
            <w:tcW w:w="7371" w:type="dxa"/>
            <w:shd w:val="clear" w:color="auto" w:fill="004550"/>
          </w:tcPr>
          <w:p w14:paraId="448AC64D" w14:textId="5DC6F8A2" w:rsidR="387D0BC8" w:rsidRPr="004E17BE" w:rsidRDefault="387D0BC8" w:rsidP="387D0BC8">
            <w:pPr>
              <w:spacing w:line="259" w:lineRule="auto"/>
              <w:rPr>
                <w:rFonts w:ascii="VIC" w:eastAsia="VIC" w:hAnsi="VIC" w:cs="VIC"/>
                <w:color w:val="FFFFFF" w:themeColor="background1"/>
                <w:sz w:val="20"/>
                <w:szCs w:val="20"/>
              </w:rPr>
            </w:pPr>
            <w:r w:rsidRPr="004E17BE">
              <w:rPr>
                <w:rFonts w:ascii="VIC" w:eastAsia="VIC" w:hAnsi="VIC" w:cs="VIC"/>
                <w:color w:val="FFFFFF" w:themeColor="background1"/>
                <w:sz w:val="20"/>
                <w:szCs w:val="20"/>
              </w:rPr>
              <w:t>Number of patients</w:t>
            </w:r>
            <w:r w:rsidR="6E5169BE" w:rsidRPr="004E17BE">
              <w:rPr>
                <w:rFonts w:ascii="VIC" w:eastAsia="VIC" w:hAnsi="VIC" w:cs="VIC"/>
                <w:color w:val="FFFFFF" w:themeColor="background1"/>
                <w:sz w:val="20"/>
                <w:szCs w:val="20"/>
              </w:rPr>
              <w:t xml:space="preserve"> (in addition to base)</w:t>
            </w:r>
            <w:r w:rsidRPr="004E17BE">
              <w:rPr>
                <w:rFonts w:ascii="VIC" w:eastAsia="VIC" w:hAnsi="VIC" w:cs="VIC"/>
                <w:color w:val="FFFFFF" w:themeColor="background1"/>
                <w:sz w:val="20"/>
                <w:szCs w:val="20"/>
              </w:rPr>
              <w:t xml:space="preserve"> admitted from the elective surgery wait</w:t>
            </w:r>
            <w:r w:rsidR="004E17BE" w:rsidRPr="004E17BE">
              <w:rPr>
                <w:rFonts w:ascii="VIC" w:eastAsia="VIC" w:hAnsi="VIC" w:cs="VIC"/>
                <w:color w:val="FFFFFF" w:themeColor="background1"/>
                <w:sz w:val="20"/>
                <w:szCs w:val="20"/>
              </w:rPr>
              <w:t xml:space="preserve">ing </w:t>
            </w:r>
            <w:r w:rsidRPr="004E17BE">
              <w:rPr>
                <w:rFonts w:ascii="VIC" w:eastAsia="VIC" w:hAnsi="VIC" w:cs="VIC"/>
                <w:color w:val="FFFFFF" w:themeColor="background1"/>
                <w:sz w:val="20"/>
                <w:szCs w:val="20"/>
              </w:rPr>
              <w:t>list</w:t>
            </w:r>
          </w:p>
        </w:tc>
      </w:tr>
      <w:tr w:rsidR="387D0BC8" w:rsidRPr="00F03354" w14:paraId="479FCE52" w14:textId="77777777" w:rsidTr="00824246">
        <w:trPr>
          <w:trHeight w:val="300"/>
        </w:trPr>
        <w:tc>
          <w:tcPr>
            <w:tcW w:w="2552" w:type="dxa"/>
          </w:tcPr>
          <w:p w14:paraId="7D0F2161" w14:textId="7B6ADC9F" w:rsidR="387D0BC8" w:rsidRPr="004E17BE" w:rsidRDefault="387D0BC8" w:rsidP="387D0BC8">
            <w:pPr>
              <w:spacing w:line="259" w:lineRule="auto"/>
              <w:rPr>
                <w:rFonts w:ascii="VIC" w:eastAsia="VIC" w:hAnsi="VIC" w:cs="VIC"/>
                <w:color w:val="000000" w:themeColor="text1"/>
                <w:sz w:val="20"/>
                <w:szCs w:val="20"/>
              </w:rPr>
            </w:pPr>
            <w:r w:rsidRPr="004E17BE">
              <w:rPr>
                <w:rFonts w:ascii="VIC" w:eastAsia="VIC" w:hAnsi="VIC" w:cs="VIC"/>
                <w:color w:val="000000" w:themeColor="text1"/>
                <w:sz w:val="20"/>
                <w:szCs w:val="20"/>
              </w:rPr>
              <w:t>Description</w:t>
            </w:r>
          </w:p>
        </w:tc>
        <w:tc>
          <w:tcPr>
            <w:tcW w:w="7371" w:type="dxa"/>
          </w:tcPr>
          <w:p w14:paraId="66B3E874" w14:textId="1F42DCBB" w:rsidR="387D0BC8" w:rsidRPr="00F03354" w:rsidRDefault="387D0BC8" w:rsidP="387D0BC8">
            <w:pPr>
              <w:spacing w:before="80" w:after="60"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This indicator measures the stocks and flows of additional elective surgery procedures conducted with funding from Surgical Recovery and Reform initiatives</w:t>
            </w:r>
            <w:r w:rsidR="68D86709" w:rsidRPr="00F03354">
              <w:rPr>
                <w:rFonts w:ascii="VIC" w:eastAsia="VIC" w:hAnsi="VIC" w:cs="VIC"/>
                <w:color w:val="000000" w:themeColor="text1"/>
                <w:sz w:val="20"/>
                <w:szCs w:val="20"/>
              </w:rPr>
              <w:t xml:space="preserve">. This </w:t>
            </w:r>
            <w:r w:rsidR="59633DBE" w:rsidRPr="00F03354">
              <w:rPr>
                <w:rFonts w:ascii="VIC" w:eastAsia="VIC" w:hAnsi="VIC" w:cs="VIC"/>
                <w:color w:val="000000" w:themeColor="text1"/>
                <w:sz w:val="20"/>
                <w:szCs w:val="20"/>
              </w:rPr>
              <w:t xml:space="preserve">(in addition to base) </w:t>
            </w:r>
            <w:r w:rsidR="68D86709" w:rsidRPr="00F03354">
              <w:rPr>
                <w:rFonts w:ascii="VIC" w:eastAsia="VIC" w:hAnsi="VIC" w:cs="VIC"/>
                <w:color w:val="000000" w:themeColor="text1"/>
                <w:sz w:val="20"/>
                <w:szCs w:val="20"/>
              </w:rPr>
              <w:t xml:space="preserve">activity is </w:t>
            </w:r>
            <w:r w:rsidR="0EBD6DC5" w:rsidRPr="00F03354">
              <w:rPr>
                <w:rFonts w:ascii="VIC" w:eastAsia="VIC" w:hAnsi="VIC" w:cs="VIC"/>
                <w:color w:val="000000" w:themeColor="text1"/>
                <w:sz w:val="20"/>
                <w:szCs w:val="20"/>
              </w:rPr>
              <w:t>included in</w:t>
            </w:r>
            <w:r w:rsidR="68D86709" w:rsidRPr="00F03354">
              <w:rPr>
                <w:rFonts w:ascii="VIC" w:eastAsia="VIC" w:hAnsi="VIC" w:cs="VIC"/>
                <w:color w:val="000000" w:themeColor="text1"/>
                <w:sz w:val="20"/>
                <w:szCs w:val="20"/>
              </w:rPr>
              <w:t xml:space="preserve"> the total activity reported </w:t>
            </w:r>
            <w:r w:rsidR="6963B0ED" w:rsidRPr="00F03354">
              <w:rPr>
                <w:rFonts w:ascii="VIC" w:eastAsia="VIC" w:hAnsi="VIC" w:cs="VIC"/>
                <w:color w:val="000000" w:themeColor="text1"/>
                <w:sz w:val="20"/>
                <w:szCs w:val="20"/>
              </w:rPr>
              <w:t xml:space="preserve">in indicator </w:t>
            </w:r>
            <w:r w:rsidR="68D86709" w:rsidRPr="00F03354">
              <w:rPr>
                <w:rFonts w:ascii="VIC" w:eastAsia="VIC" w:hAnsi="VIC" w:cs="VIC"/>
                <w:color w:val="000000" w:themeColor="text1"/>
                <w:sz w:val="20"/>
                <w:szCs w:val="20"/>
              </w:rPr>
              <w:t xml:space="preserve"> </w:t>
            </w:r>
            <w:r w:rsidR="2D6DE997" w:rsidRPr="00F03354">
              <w:rPr>
                <w:rFonts w:ascii="VIC" w:eastAsia="VIC" w:hAnsi="VIC" w:cs="VIC"/>
                <w:color w:val="000000" w:themeColor="text1"/>
                <w:sz w:val="20"/>
                <w:szCs w:val="20"/>
              </w:rPr>
              <w:t>‘</w:t>
            </w:r>
            <w:r w:rsidR="68D86709" w:rsidRPr="00F03354">
              <w:rPr>
                <w:rFonts w:ascii="VIC" w:eastAsia="VIC" w:hAnsi="VIC" w:cs="VIC"/>
                <w:color w:val="000000" w:themeColor="text1"/>
                <w:sz w:val="20"/>
                <w:szCs w:val="20"/>
              </w:rPr>
              <w:t>number of patients admitted</w:t>
            </w:r>
            <w:r w:rsidR="180822F0" w:rsidRPr="00F03354">
              <w:rPr>
                <w:rFonts w:ascii="VIC" w:eastAsia="VIC" w:hAnsi="VIC" w:cs="VIC"/>
                <w:color w:val="000000" w:themeColor="text1"/>
                <w:sz w:val="20"/>
                <w:szCs w:val="20"/>
              </w:rPr>
              <w:t xml:space="preserve"> from the elective surgery waiting list.</w:t>
            </w:r>
            <w:r w:rsidR="64EF63B1" w:rsidRPr="00F03354">
              <w:rPr>
                <w:rFonts w:ascii="VIC" w:eastAsia="VIC" w:hAnsi="VIC" w:cs="VIC"/>
                <w:color w:val="000000" w:themeColor="text1"/>
                <w:sz w:val="20"/>
                <w:szCs w:val="20"/>
              </w:rPr>
              <w:t>’</w:t>
            </w:r>
            <w:r w:rsidR="209410A4" w:rsidRPr="00F03354">
              <w:rPr>
                <w:rFonts w:ascii="VIC" w:eastAsia="VIC" w:hAnsi="VIC" w:cs="VIC"/>
                <w:color w:val="000000" w:themeColor="text1"/>
                <w:sz w:val="20"/>
                <w:szCs w:val="20"/>
              </w:rPr>
              <w:t xml:space="preserve"> but has its own additional targets specific to funding provided.</w:t>
            </w:r>
          </w:p>
          <w:p w14:paraId="4FE14664" w14:textId="7FCD46E0" w:rsidR="387D0BC8" w:rsidRPr="00F03354" w:rsidRDefault="387D0BC8" w:rsidP="387D0BC8">
            <w:pPr>
              <w:spacing w:before="80" w:after="60"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 xml:space="preserve">Individual targets </w:t>
            </w:r>
            <w:r w:rsidR="0E9B394F" w:rsidRPr="00F03354">
              <w:rPr>
                <w:rFonts w:ascii="VIC" w:eastAsia="VIC" w:hAnsi="VIC" w:cs="VIC"/>
                <w:color w:val="000000" w:themeColor="text1"/>
                <w:sz w:val="20"/>
                <w:szCs w:val="20"/>
              </w:rPr>
              <w:t xml:space="preserve">include ‘Public in Public’ and ‘Public in Private’ </w:t>
            </w:r>
            <w:r w:rsidR="33274A7F" w:rsidRPr="00F03354">
              <w:rPr>
                <w:rFonts w:ascii="VIC" w:eastAsia="VIC" w:hAnsi="VIC" w:cs="VIC"/>
                <w:color w:val="000000" w:themeColor="text1"/>
                <w:sz w:val="20"/>
                <w:szCs w:val="20"/>
              </w:rPr>
              <w:t xml:space="preserve">procedures </w:t>
            </w:r>
            <w:r w:rsidR="0E9B394F" w:rsidRPr="00F03354">
              <w:rPr>
                <w:rFonts w:ascii="VIC" w:eastAsia="VIC" w:hAnsi="VIC" w:cs="VIC"/>
                <w:color w:val="000000" w:themeColor="text1"/>
                <w:sz w:val="20"/>
                <w:szCs w:val="20"/>
              </w:rPr>
              <w:t xml:space="preserve">and </w:t>
            </w:r>
            <w:r w:rsidRPr="00F03354">
              <w:rPr>
                <w:rFonts w:ascii="VIC" w:eastAsia="VIC" w:hAnsi="VIC" w:cs="VIC"/>
                <w:color w:val="000000" w:themeColor="text1"/>
                <w:sz w:val="20"/>
                <w:szCs w:val="20"/>
              </w:rPr>
              <w:t xml:space="preserve">are negotiated with each health service in addition to existing elective surgery admissions </w:t>
            </w:r>
            <w:r w:rsidR="004E17BE">
              <w:rPr>
                <w:rFonts w:ascii="VIC" w:eastAsia="VIC" w:hAnsi="VIC" w:cs="VIC"/>
                <w:color w:val="000000" w:themeColor="text1"/>
                <w:sz w:val="20"/>
                <w:szCs w:val="20"/>
              </w:rPr>
              <w:t>target</w:t>
            </w:r>
            <w:r w:rsidR="006A4D37">
              <w:rPr>
                <w:rFonts w:ascii="VIC" w:eastAsia="VIC" w:hAnsi="VIC" w:cs="VIC"/>
                <w:color w:val="000000" w:themeColor="text1"/>
                <w:sz w:val="20"/>
                <w:szCs w:val="20"/>
              </w:rPr>
              <w:t xml:space="preserve"> (base)</w:t>
            </w:r>
            <w:r w:rsidR="3DF6AEB0" w:rsidRPr="00F03354">
              <w:rPr>
                <w:rFonts w:ascii="VIC" w:eastAsia="VIC" w:hAnsi="VIC" w:cs="VIC"/>
                <w:color w:val="000000" w:themeColor="text1"/>
                <w:sz w:val="20"/>
                <w:szCs w:val="20"/>
              </w:rPr>
              <w:t>.</w:t>
            </w:r>
          </w:p>
          <w:p w14:paraId="263FFEBF" w14:textId="1674EE8A" w:rsidR="387D0BC8" w:rsidRPr="00F03354" w:rsidRDefault="387D0BC8" w:rsidP="387D0BC8">
            <w:pPr>
              <w:spacing w:before="80" w:after="60"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Targets for the number of patients admitted</w:t>
            </w:r>
            <w:r w:rsidR="374DCBF0" w:rsidRPr="00F03354">
              <w:rPr>
                <w:rFonts w:ascii="VIC" w:eastAsia="VIC" w:hAnsi="VIC" w:cs="VIC"/>
                <w:color w:val="000000" w:themeColor="text1"/>
                <w:sz w:val="20"/>
                <w:szCs w:val="20"/>
              </w:rPr>
              <w:t xml:space="preserve"> </w:t>
            </w:r>
            <w:r w:rsidRPr="00F03354">
              <w:rPr>
                <w:rFonts w:ascii="VIC" w:eastAsia="VIC" w:hAnsi="VIC" w:cs="VIC"/>
                <w:color w:val="000000" w:themeColor="text1"/>
                <w:sz w:val="20"/>
                <w:szCs w:val="20"/>
              </w:rPr>
              <w:t>from the waiting list</w:t>
            </w:r>
            <w:r w:rsidR="47991586" w:rsidRPr="00F03354">
              <w:rPr>
                <w:rFonts w:ascii="VIC" w:eastAsia="VIC" w:hAnsi="VIC" w:cs="VIC"/>
                <w:color w:val="000000" w:themeColor="text1"/>
                <w:sz w:val="20"/>
                <w:szCs w:val="20"/>
              </w:rPr>
              <w:t xml:space="preserve"> (base and in addition to base)</w:t>
            </w:r>
            <w:r w:rsidRPr="00F03354">
              <w:rPr>
                <w:rFonts w:ascii="VIC" w:eastAsia="VIC" w:hAnsi="VIC" w:cs="VIC"/>
                <w:color w:val="000000" w:themeColor="text1"/>
                <w:sz w:val="20"/>
                <w:szCs w:val="20"/>
              </w:rPr>
              <w:t xml:space="preserve"> during each month are set at the health service level, rather than individual hospital level.</w:t>
            </w:r>
          </w:p>
          <w:p w14:paraId="4CBB0AB5" w14:textId="50D6F9EB"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 xml:space="preserve">The phased targets set for individual health services reflect peaks in emergency demand and seasonal capacity limitations. </w:t>
            </w:r>
          </w:p>
          <w:p w14:paraId="1E92CCFC" w14:textId="5EA4C77E" w:rsidR="387D0BC8" w:rsidRPr="00F03354" w:rsidRDefault="387D0BC8" w:rsidP="387D0BC8">
            <w:pPr>
              <w:spacing w:line="259" w:lineRule="auto"/>
              <w:rPr>
                <w:rFonts w:ascii="VIC" w:eastAsia="VIC" w:hAnsi="VIC" w:cs="VIC"/>
                <w:color w:val="000000" w:themeColor="text1"/>
                <w:sz w:val="20"/>
                <w:szCs w:val="20"/>
              </w:rPr>
            </w:pPr>
          </w:p>
          <w:p w14:paraId="755F36BD" w14:textId="0D5F3A28"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To enable this indicator to be monitored monthly, health services provide the department with phased monthly targets.</w:t>
            </w:r>
          </w:p>
        </w:tc>
      </w:tr>
      <w:tr w:rsidR="387D0BC8" w:rsidRPr="00F03354" w14:paraId="4A595951" w14:textId="77777777" w:rsidTr="00824246">
        <w:trPr>
          <w:trHeight w:val="300"/>
        </w:trPr>
        <w:tc>
          <w:tcPr>
            <w:tcW w:w="2552" w:type="dxa"/>
          </w:tcPr>
          <w:p w14:paraId="487A1A4C" w14:textId="3B806B5F"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Calculating performance</w:t>
            </w:r>
          </w:p>
        </w:tc>
        <w:tc>
          <w:tcPr>
            <w:tcW w:w="7371" w:type="dxa"/>
          </w:tcPr>
          <w:p w14:paraId="7A159D29" w14:textId="410BB192" w:rsidR="387D0BC8" w:rsidRPr="00F03354" w:rsidRDefault="387D0BC8" w:rsidP="387D0BC8">
            <w:pPr>
              <w:spacing w:before="80" w:after="60"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 xml:space="preserve">The number of patients during the reporting period who have been admitted for the awaited procedure, or related procedure, that addresses the clinical condition for which they were added to the elective surgery waiting list in </w:t>
            </w:r>
            <w:r w:rsidR="2623A0EE" w:rsidRPr="00F03354">
              <w:rPr>
                <w:rFonts w:ascii="VIC" w:eastAsia="VIC" w:hAnsi="VIC" w:cs="VIC"/>
                <w:color w:val="000000" w:themeColor="text1"/>
                <w:sz w:val="20"/>
                <w:szCs w:val="20"/>
              </w:rPr>
              <w:t xml:space="preserve">excess </w:t>
            </w:r>
            <w:r w:rsidRPr="00F03354">
              <w:rPr>
                <w:rFonts w:ascii="VIC" w:eastAsia="VIC" w:hAnsi="VIC" w:cs="VIC"/>
                <w:color w:val="000000" w:themeColor="text1"/>
                <w:sz w:val="20"/>
                <w:szCs w:val="20"/>
              </w:rPr>
              <w:t xml:space="preserve">of the existing elective surgery admissions indicator. </w:t>
            </w:r>
          </w:p>
          <w:p w14:paraId="15FC72C0" w14:textId="52E8A783" w:rsidR="387D0BC8" w:rsidRPr="00F03354" w:rsidRDefault="387D0BC8" w:rsidP="387D0BC8">
            <w:pPr>
              <w:spacing w:before="80" w:after="60"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Performance is calculated using the same criteria as existing indicator ‘Number of patients admitted from the elective surgery waitlist.’ Refer to calculating performance section of this indicator for further detail.</w:t>
            </w:r>
          </w:p>
          <w:p w14:paraId="78BFD571" w14:textId="23E2F619" w:rsidR="387D0BC8" w:rsidRPr="00F03354" w:rsidRDefault="387D0BC8" w:rsidP="387D0BC8">
            <w:pPr>
              <w:spacing w:before="80" w:after="60"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 xml:space="preserve">All </w:t>
            </w:r>
            <w:r w:rsidR="30E5524F" w:rsidRPr="00F03354">
              <w:rPr>
                <w:rFonts w:ascii="VIC" w:eastAsia="VIC" w:hAnsi="VIC" w:cs="VIC"/>
                <w:color w:val="000000" w:themeColor="text1"/>
                <w:sz w:val="20"/>
                <w:szCs w:val="20"/>
              </w:rPr>
              <w:t xml:space="preserve">admissions </w:t>
            </w:r>
            <w:r w:rsidRPr="00F03354">
              <w:rPr>
                <w:rFonts w:ascii="VIC" w:eastAsia="VIC" w:hAnsi="VIC" w:cs="VIC"/>
                <w:color w:val="000000" w:themeColor="text1"/>
                <w:sz w:val="20"/>
                <w:szCs w:val="20"/>
              </w:rPr>
              <w:t xml:space="preserve">in excess of the existing elective surgery admissions </w:t>
            </w:r>
            <w:r w:rsidR="2CB7EFC4" w:rsidRPr="00F03354">
              <w:rPr>
                <w:rFonts w:ascii="VIC" w:eastAsia="VIC" w:hAnsi="VIC" w:cs="VIC"/>
                <w:color w:val="000000" w:themeColor="text1"/>
                <w:sz w:val="20"/>
                <w:szCs w:val="20"/>
              </w:rPr>
              <w:t>(base)</w:t>
            </w:r>
            <w:r w:rsidRPr="00F03354">
              <w:rPr>
                <w:rFonts w:ascii="VIC" w:eastAsia="VIC" w:hAnsi="VIC" w:cs="VIC"/>
                <w:color w:val="000000" w:themeColor="text1"/>
                <w:sz w:val="20"/>
                <w:szCs w:val="20"/>
              </w:rPr>
              <w:t xml:space="preserve"> target will be counted under this ad</w:t>
            </w:r>
            <w:r w:rsidR="420F7D51" w:rsidRPr="00F03354">
              <w:rPr>
                <w:rFonts w:ascii="VIC" w:eastAsia="VIC" w:hAnsi="VIC" w:cs="VIC"/>
                <w:color w:val="000000" w:themeColor="text1"/>
                <w:sz w:val="20"/>
                <w:szCs w:val="20"/>
              </w:rPr>
              <w:t>missions (in addition to base)</w:t>
            </w:r>
            <w:r w:rsidRPr="00F03354">
              <w:rPr>
                <w:rFonts w:ascii="VIC" w:eastAsia="VIC" w:hAnsi="VIC" w:cs="VIC"/>
                <w:color w:val="000000" w:themeColor="text1"/>
                <w:sz w:val="20"/>
                <w:szCs w:val="20"/>
              </w:rPr>
              <w:t xml:space="preserve"> metric</w:t>
            </w:r>
            <w:r w:rsidR="582E08D3" w:rsidRPr="00F03354">
              <w:rPr>
                <w:rFonts w:ascii="VIC" w:eastAsia="VIC" w:hAnsi="VIC" w:cs="VIC"/>
                <w:color w:val="000000" w:themeColor="text1"/>
                <w:sz w:val="20"/>
                <w:szCs w:val="20"/>
              </w:rPr>
              <w:t xml:space="preserve"> as well as being reflected as </w:t>
            </w:r>
            <w:r w:rsidR="6099D55F" w:rsidRPr="00F03354">
              <w:rPr>
                <w:rFonts w:ascii="VIC" w:eastAsia="VIC" w:hAnsi="VIC" w:cs="VIC"/>
                <w:color w:val="000000" w:themeColor="text1"/>
                <w:sz w:val="20"/>
                <w:szCs w:val="20"/>
              </w:rPr>
              <w:t>part of the</w:t>
            </w:r>
            <w:r w:rsidR="582E08D3" w:rsidRPr="00F03354">
              <w:rPr>
                <w:rFonts w:ascii="VIC" w:eastAsia="VIC" w:hAnsi="VIC" w:cs="VIC"/>
                <w:color w:val="000000" w:themeColor="text1"/>
                <w:sz w:val="20"/>
                <w:szCs w:val="20"/>
              </w:rPr>
              <w:t xml:space="preserve"> total</w:t>
            </w:r>
            <w:r w:rsidR="417A0D48" w:rsidRPr="00F03354">
              <w:rPr>
                <w:rFonts w:ascii="VIC" w:eastAsia="VIC" w:hAnsi="VIC" w:cs="VIC"/>
                <w:color w:val="000000" w:themeColor="text1"/>
                <w:sz w:val="20"/>
                <w:szCs w:val="20"/>
              </w:rPr>
              <w:t xml:space="preserve"> admi</w:t>
            </w:r>
            <w:r w:rsidR="2BC54456" w:rsidRPr="00F03354">
              <w:rPr>
                <w:rFonts w:ascii="VIC" w:eastAsia="VIC" w:hAnsi="VIC" w:cs="VIC"/>
                <w:color w:val="000000" w:themeColor="text1"/>
                <w:sz w:val="20"/>
                <w:szCs w:val="20"/>
              </w:rPr>
              <w:t>ssions</w:t>
            </w:r>
            <w:r w:rsidR="582E08D3" w:rsidRPr="00F03354">
              <w:rPr>
                <w:rFonts w:ascii="VIC" w:eastAsia="VIC" w:hAnsi="VIC" w:cs="VIC"/>
                <w:color w:val="000000" w:themeColor="text1"/>
                <w:sz w:val="20"/>
                <w:szCs w:val="20"/>
              </w:rPr>
              <w:t xml:space="preserve"> in the base indicator</w:t>
            </w:r>
            <w:r w:rsidRPr="00F03354">
              <w:rPr>
                <w:rFonts w:ascii="VIC" w:eastAsia="VIC" w:hAnsi="VIC" w:cs="VIC"/>
                <w:color w:val="000000" w:themeColor="text1"/>
                <w:sz w:val="20"/>
                <w:szCs w:val="20"/>
              </w:rPr>
              <w:t xml:space="preserve">.  </w:t>
            </w:r>
            <w:r w:rsidRPr="00F03354">
              <w:br/>
            </w:r>
            <w:r w:rsidRPr="00F03354">
              <w:rPr>
                <w:rFonts w:ascii="VIC" w:eastAsia="VIC" w:hAnsi="VIC" w:cs="VIC"/>
                <w:color w:val="000000" w:themeColor="text1"/>
                <w:sz w:val="20"/>
                <w:szCs w:val="20"/>
              </w:rPr>
              <w:t>This indicator is expressed as a whole number.</w:t>
            </w:r>
          </w:p>
        </w:tc>
      </w:tr>
      <w:tr w:rsidR="387D0BC8" w:rsidRPr="00F03354" w14:paraId="653393AF" w14:textId="77777777" w:rsidTr="00824246">
        <w:trPr>
          <w:trHeight w:val="300"/>
        </w:trPr>
        <w:tc>
          <w:tcPr>
            <w:tcW w:w="2552" w:type="dxa"/>
          </w:tcPr>
          <w:p w14:paraId="1CCA8911" w14:textId="6A086F3B"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lastRenderedPageBreak/>
              <w:t>Numerator</w:t>
            </w:r>
          </w:p>
        </w:tc>
        <w:tc>
          <w:tcPr>
            <w:tcW w:w="7371" w:type="dxa"/>
          </w:tcPr>
          <w:p w14:paraId="5C3228E4" w14:textId="19FCCF9C"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Number of admitted patients</w:t>
            </w:r>
            <w:r w:rsidR="298BC11F" w:rsidRPr="00F03354">
              <w:rPr>
                <w:rFonts w:ascii="VIC" w:eastAsia="VIC" w:hAnsi="VIC" w:cs="VIC"/>
                <w:color w:val="000000" w:themeColor="text1"/>
                <w:sz w:val="20"/>
                <w:szCs w:val="20"/>
              </w:rPr>
              <w:t xml:space="preserve"> in excess of </w:t>
            </w:r>
            <w:r w:rsidR="477BE88B" w:rsidRPr="00F03354">
              <w:rPr>
                <w:rFonts w:ascii="VIC" w:eastAsia="VIC" w:hAnsi="VIC" w:cs="VIC"/>
                <w:color w:val="000000" w:themeColor="text1"/>
                <w:sz w:val="20"/>
                <w:szCs w:val="20"/>
              </w:rPr>
              <w:t xml:space="preserve">base </w:t>
            </w:r>
            <w:r w:rsidR="20EBF6E2" w:rsidRPr="00F03354">
              <w:rPr>
                <w:rFonts w:ascii="VIC" w:eastAsia="VIC" w:hAnsi="VIC" w:cs="VIC"/>
                <w:color w:val="000000" w:themeColor="text1"/>
                <w:sz w:val="20"/>
                <w:szCs w:val="20"/>
              </w:rPr>
              <w:t>number of admitted patients</w:t>
            </w:r>
            <w:r w:rsidR="4C82CDA3" w:rsidRPr="00F03354">
              <w:rPr>
                <w:rFonts w:ascii="VIC" w:eastAsia="VIC" w:hAnsi="VIC" w:cs="VIC"/>
                <w:color w:val="000000" w:themeColor="text1"/>
                <w:sz w:val="20"/>
                <w:szCs w:val="20"/>
              </w:rPr>
              <w:t>, if target for base was met.</w:t>
            </w:r>
          </w:p>
        </w:tc>
      </w:tr>
      <w:tr w:rsidR="387D0BC8" w:rsidRPr="00F03354" w14:paraId="527BFBDB" w14:textId="77777777" w:rsidTr="00824246">
        <w:trPr>
          <w:trHeight w:val="300"/>
        </w:trPr>
        <w:tc>
          <w:tcPr>
            <w:tcW w:w="2552" w:type="dxa"/>
          </w:tcPr>
          <w:p w14:paraId="136EE0EF" w14:textId="0F6330E3"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Target</w:t>
            </w:r>
          </w:p>
        </w:tc>
        <w:tc>
          <w:tcPr>
            <w:tcW w:w="7371" w:type="dxa"/>
          </w:tcPr>
          <w:p w14:paraId="59F29C26" w14:textId="45CADA2B"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Specific health service</w:t>
            </w:r>
            <w:r w:rsidR="16532139" w:rsidRPr="00F03354">
              <w:rPr>
                <w:rFonts w:ascii="VIC" w:eastAsia="VIC" w:hAnsi="VIC" w:cs="VIC"/>
                <w:color w:val="000000" w:themeColor="text1"/>
                <w:sz w:val="20"/>
                <w:szCs w:val="20"/>
              </w:rPr>
              <w:t xml:space="preserve"> (in addition to base)</w:t>
            </w:r>
            <w:r w:rsidRPr="00F03354">
              <w:rPr>
                <w:rFonts w:ascii="VIC" w:eastAsia="VIC" w:hAnsi="VIC" w:cs="VIC"/>
                <w:color w:val="000000" w:themeColor="text1"/>
                <w:sz w:val="20"/>
                <w:szCs w:val="20"/>
              </w:rPr>
              <w:t xml:space="preserve"> target as agreed in the Statement of Priorities</w:t>
            </w:r>
          </w:p>
        </w:tc>
      </w:tr>
      <w:tr w:rsidR="387D0BC8" w:rsidRPr="00F03354" w14:paraId="0EB81854" w14:textId="77777777" w:rsidTr="00824246">
        <w:trPr>
          <w:trHeight w:val="300"/>
        </w:trPr>
        <w:tc>
          <w:tcPr>
            <w:tcW w:w="2552" w:type="dxa"/>
          </w:tcPr>
          <w:p w14:paraId="061467C8" w14:textId="0BC3F891"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Achievement</w:t>
            </w:r>
          </w:p>
        </w:tc>
        <w:tc>
          <w:tcPr>
            <w:tcW w:w="7371" w:type="dxa"/>
          </w:tcPr>
          <w:p w14:paraId="1BAE5BEC" w14:textId="6437254C" w:rsidR="387D0BC8" w:rsidRPr="00F03354" w:rsidRDefault="387D0BC8" w:rsidP="387D0BC8">
            <w:pPr>
              <w:spacing w:before="80" w:after="60"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Achieved</w:t>
            </w:r>
          </w:p>
          <w:p w14:paraId="0935B015" w14:textId="4E763219"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Not achieved</w:t>
            </w:r>
          </w:p>
        </w:tc>
      </w:tr>
      <w:tr w:rsidR="387D0BC8" w:rsidRPr="00F03354" w14:paraId="6917C196" w14:textId="77777777" w:rsidTr="00824246">
        <w:trPr>
          <w:trHeight w:val="300"/>
        </w:trPr>
        <w:tc>
          <w:tcPr>
            <w:tcW w:w="2552" w:type="dxa"/>
          </w:tcPr>
          <w:p w14:paraId="19AAF5F7" w14:textId="6B8E98B9"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 xml:space="preserve">Improvement </w:t>
            </w:r>
          </w:p>
        </w:tc>
        <w:tc>
          <w:tcPr>
            <w:tcW w:w="7371" w:type="dxa"/>
          </w:tcPr>
          <w:p w14:paraId="682D6335" w14:textId="0D981ABD" w:rsidR="387D0BC8" w:rsidRPr="00F03354" w:rsidRDefault="387D0BC8" w:rsidP="387D0BC8">
            <w:pPr>
              <w:spacing w:line="259" w:lineRule="auto"/>
              <w:rPr>
                <w:rFonts w:ascii="VIC" w:eastAsia="VIC" w:hAnsi="VIC" w:cs="VIC"/>
                <w:color w:val="000000" w:themeColor="text1"/>
              </w:rPr>
            </w:pPr>
            <w:r w:rsidRPr="00F03354">
              <w:rPr>
                <w:rFonts w:ascii="VIC" w:eastAsia="VIC" w:hAnsi="VIC" w:cs="VIC"/>
                <w:color w:val="000000" w:themeColor="text1"/>
              </w:rPr>
              <w:t>n/a</w:t>
            </w:r>
          </w:p>
        </w:tc>
      </w:tr>
      <w:tr w:rsidR="387D0BC8" w:rsidRPr="00F03354" w14:paraId="347A45D9" w14:textId="77777777" w:rsidTr="00824246">
        <w:trPr>
          <w:trHeight w:val="300"/>
        </w:trPr>
        <w:tc>
          <w:tcPr>
            <w:tcW w:w="2552" w:type="dxa"/>
          </w:tcPr>
          <w:p w14:paraId="7A498649" w14:textId="10CDC2AB"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Frequency of reporting and data collection</w:t>
            </w:r>
          </w:p>
        </w:tc>
        <w:tc>
          <w:tcPr>
            <w:tcW w:w="7371" w:type="dxa"/>
          </w:tcPr>
          <w:p w14:paraId="431558E6" w14:textId="2D1778EA" w:rsidR="387D0BC8" w:rsidRPr="00F03354" w:rsidRDefault="387D0BC8" w:rsidP="387D0BC8">
            <w:pPr>
              <w:spacing w:before="80" w:after="60"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Performance is monitored and assessed monthly</w:t>
            </w:r>
            <w:r w:rsidR="2C49271A" w:rsidRPr="00F03354">
              <w:rPr>
                <w:rFonts w:ascii="VIC" w:eastAsia="VIC" w:hAnsi="VIC" w:cs="VIC"/>
                <w:color w:val="000000" w:themeColor="text1"/>
                <w:sz w:val="20"/>
                <w:szCs w:val="20"/>
              </w:rPr>
              <w:t xml:space="preserve"> </w:t>
            </w:r>
            <w:r w:rsidR="2C49271A" w:rsidRPr="00F03354">
              <w:rPr>
                <w:rFonts w:ascii="VIC" w:eastAsia="Times New Roman" w:hAnsi="VIC" w:cs="Times New Roman"/>
                <w:color w:val="000000" w:themeColor="text1"/>
                <w:sz w:val="20"/>
                <w:szCs w:val="20"/>
              </w:rPr>
              <w:t>and performance results are generated based on year to date activity.</w:t>
            </w:r>
            <w:r w:rsidR="2C49271A" w:rsidRPr="00F03354">
              <w:rPr>
                <w:rFonts w:ascii="VIC" w:eastAsia="VIC" w:hAnsi="VIC" w:cs="VIC"/>
                <w:color w:val="000000" w:themeColor="text1"/>
                <w:sz w:val="20"/>
                <w:szCs w:val="20"/>
              </w:rPr>
              <w:t xml:space="preserve"> The target will be reported as a year to date figure that will be cumulative across the financial year.</w:t>
            </w:r>
          </w:p>
          <w:p w14:paraId="4EAB5E58" w14:textId="37AEB20E" w:rsidR="387D0BC8" w:rsidRPr="00F03354" w:rsidRDefault="387D0BC8" w:rsidP="387D0BC8">
            <w:pPr>
              <w:spacing w:line="259" w:lineRule="auto"/>
              <w:rPr>
                <w:rFonts w:ascii="VIC" w:eastAsia="VIC" w:hAnsi="VIC" w:cs="VIC"/>
                <w:color w:val="000000" w:themeColor="text1"/>
                <w:sz w:val="20"/>
                <w:szCs w:val="20"/>
              </w:rPr>
            </w:pPr>
            <w:r w:rsidRPr="00F03354">
              <w:rPr>
                <w:rFonts w:ascii="VIC" w:eastAsia="VIC" w:hAnsi="VIC" w:cs="VIC"/>
                <w:color w:val="000000" w:themeColor="text1"/>
                <w:sz w:val="20"/>
                <w:szCs w:val="20"/>
              </w:rPr>
              <w:t xml:space="preserve">Data is submitted by health services via ESIS. Refer to the </w:t>
            </w:r>
            <w:r w:rsidRPr="00F03354">
              <w:rPr>
                <w:rFonts w:ascii="VIC" w:eastAsia="VIC" w:hAnsi="VIC" w:cs="VIC"/>
                <w:i/>
                <w:iCs/>
                <w:color w:val="000000" w:themeColor="text1"/>
                <w:sz w:val="20"/>
                <w:szCs w:val="20"/>
              </w:rPr>
              <w:t>Department of Health and Human Services policy and funding guidelines for</w:t>
            </w:r>
            <w:r w:rsidRPr="00F03354">
              <w:rPr>
                <w:rFonts w:ascii="VIC" w:eastAsia="VIC" w:hAnsi="VIC" w:cs="VIC"/>
                <w:color w:val="000000" w:themeColor="text1"/>
                <w:sz w:val="20"/>
                <w:szCs w:val="20"/>
              </w:rPr>
              <w:t xml:space="preserve"> further information on ESIS data submission timelines.</w:t>
            </w:r>
          </w:p>
        </w:tc>
      </w:tr>
    </w:tbl>
    <w:p w14:paraId="3369837F" w14:textId="220F10FB" w:rsidR="00280F65" w:rsidRPr="00F03354" w:rsidRDefault="00280F65" w:rsidP="387D0BC8">
      <w:pPr>
        <w:spacing w:after="0" w:line="240" w:lineRule="auto"/>
        <w:rPr>
          <w:rFonts w:ascii="VIC" w:eastAsia="Times New Roman"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5103"/>
        <w:gridCol w:w="2268"/>
      </w:tblGrid>
      <w:tr w:rsidR="00280F65" w:rsidRPr="00F03354" w14:paraId="5E9E786E" w14:textId="77777777" w:rsidTr="6BF3BDE6">
        <w:trPr>
          <w:cantSplit/>
          <w:trHeight w:val="60"/>
          <w:tblHeader/>
        </w:trPr>
        <w:tc>
          <w:tcPr>
            <w:tcW w:w="2581" w:type="dxa"/>
            <w:shd w:val="clear" w:color="auto" w:fill="244C5A"/>
            <w:vAlign w:val="bottom"/>
          </w:tcPr>
          <w:p w14:paraId="71E66FF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 xml:space="preserve">Indicator </w:t>
            </w:r>
          </w:p>
        </w:tc>
        <w:tc>
          <w:tcPr>
            <w:tcW w:w="7371" w:type="dxa"/>
            <w:gridSpan w:val="2"/>
            <w:shd w:val="clear" w:color="auto" w:fill="244C5A"/>
            <w:vAlign w:val="bottom"/>
          </w:tcPr>
          <w:p w14:paraId="3062F003"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Number of hospital-initiated postponements made within 28 days of a scheduled elective surgery admissions per 100</w:t>
            </w:r>
          </w:p>
        </w:tc>
      </w:tr>
      <w:tr w:rsidR="00280F65" w:rsidRPr="00F03354" w14:paraId="5B26D015" w14:textId="77777777" w:rsidTr="6BF3BDE6">
        <w:trPr>
          <w:cantSplit/>
          <w:trHeight w:val="60"/>
        </w:trPr>
        <w:tc>
          <w:tcPr>
            <w:tcW w:w="2581" w:type="dxa"/>
            <w:hideMark/>
          </w:tcPr>
          <w:p w14:paraId="007F0FE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gridSpan w:val="2"/>
            <w:hideMark/>
          </w:tcPr>
          <w:p w14:paraId="2591884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measures the number of hospital-initiated postponements (HiPs) that occur within 28 days of a scheduled elective surgery admission experienced by elective surgery patients during a quarter.</w:t>
            </w:r>
          </w:p>
        </w:tc>
      </w:tr>
      <w:tr w:rsidR="00280F65" w:rsidRPr="00F03354" w14:paraId="1EEEB98D" w14:textId="77777777" w:rsidTr="00824246">
        <w:trPr>
          <w:trHeight w:val="60"/>
        </w:trPr>
        <w:tc>
          <w:tcPr>
            <w:tcW w:w="2581" w:type="dxa"/>
            <w:hideMark/>
          </w:tcPr>
          <w:p w14:paraId="7B09A05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gridSpan w:val="2"/>
            <w:hideMark/>
          </w:tcPr>
          <w:p w14:paraId="3B59F324" w14:textId="77777777" w:rsidR="00280F65" w:rsidRPr="00F03354" w:rsidRDefault="084D64FE"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Only records assigned an intended procedure</w:t>
            </w:r>
            <w:r w:rsidR="00280F65" w:rsidRPr="00F03354">
              <w:rPr>
                <w:rFonts w:ascii="VIC" w:eastAsia="Times New Roman" w:hAnsi="VIC" w:cs="Times New Roman"/>
                <w:sz w:val="20"/>
                <w:szCs w:val="20"/>
                <w:vertAlign w:val="superscript"/>
              </w:rPr>
              <w:footnoteReference w:id="23"/>
            </w:r>
            <w:r w:rsidRPr="00F03354">
              <w:rPr>
                <w:rFonts w:ascii="VIC" w:eastAsia="Times New Roman" w:hAnsi="VIC" w:cs="Times New Roman"/>
                <w:sz w:val="20"/>
                <w:szCs w:val="20"/>
              </w:rPr>
              <w:t xml:space="preserve"> code used to assess this indicator.</w:t>
            </w:r>
          </w:p>
          <w:p w14:paraId="04D1808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All HiPs that occur within 28 days of a scheduled elective surgery admission within the quarter will impact on performance regardless of whether the patient is ‘ready for surgery’, ‘not ready for surgery – staged patients’, ‘not ready for surgery – pending improvement of clinical condition’, ‘not ready for surgery – deferred for personal reasons’ or has been removed from the waiting list.</w:t>
            </w:r>
          </w:p>
          <w:p w14:paraId="743C635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 postponement is hospital-initiated if the </w:t>
            </w:r>
            <w:r w:rsidRPr="00F03354">
              <w:rPr>
                <w:rFonts w:ascii="VIC" w:eastAsia="Times New Roman" w:hAnsi="VIC" w:cs="Times New Roman"/>
                <w:b/>
                <w:bCs/>
                <w:sz w:val="20"/>
                <w:szCs w:val="20"/>
              </w:rPr>
              <w:t>“Reason for Scheduled Admission Date Change”</w:t>
            </w:r>
            <w:r w:rsidRPr="00F03354">
              <w:rPr>
                <w:rFonts w:ascii="VIC" w:eastAsia="Times New Roman" w:hAnsi="VIC" w:cs="Times New Roman"/>
                <w:sz w:val="20"/>
                <w:szCs w:val="20"/>
              </w:rPr>
              <w:t xml:space="preserve"> code in ESIS is recorded as:</w:t>
            </w:r>
          </w:p>
          <w:p w14:paraId="4BBC6942"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100 – surgeon unavailable</w:t>
            </w:r>
          </w:p>
          <w:p w14:paraId="161EE2AB"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101 – surgical unit initiated</w:t>
            </w:r>
          </w:p>
          <w:p w14:paraId="39EA7DDB"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102 – hospital staff unavailable</w:t>
            </w:r>
          </w:p>
          <w:p w14:paraId="73EB1C30"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103 – ward bed unavailable</w:t>
            </w:r>
          </w:p>
          <w:p w14:paraId="1DA55147"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104 – critical care bed unavailable</w:t>
            </w:r>
          </w:p>
          <w:p w14:paraId="6A2BE3BD"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105 – equipment unavailable</w:t>
            </w:r>
          </w:p>
          <w:p w14:paraId="30CCA66C"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106 – theatre overbooked</w:t>
            </w:r>
          </w:p>
          <w:p w14:paraId="36195221"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108 – emergency priority</w:t>
            </w:r>
          </w:p>
          <w:p w14:paraId="04708E1D"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109 – elective priority</w:t>
            </w:r>
          </w:p>
          <w:p w14:paraId="6D08A501"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110 – hospital or surgeon has not prepared patient</w:t>
            </w:r>
          </w:p>
          <w:p w14:paraId="7FAF1996"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111 – clerical or booking error.</w:t>
            </w:r>
          </w:p>
          <w:p w14:paraId="7B75840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br/>
              <w:t>Counting rule:</w:t>
            </w:r>
          </w:p>
          <w:p w14:paraId="66560595" w14:textId="379C5719"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HiPs must align to the same reporting period that the initial procedure was scheduled. </w:t>
            </w:r>
            <w:r w:rsidRPr="00F03354">
              <w:rPr>
                <w:rFonts w:ascii="VIC" w:eastAsia="Times New Roman" w:hAnsi="VIC" w:cs="Times New Roman"/>
                <w:sz w:val="20"/>
                <w:szCs w:val="20"/>
              </w:rPr>
              <w:br/>
              <w:t xml:space="preserve">This means that a HiP is counted in the same reporting period as </w:t>
            </w:r>
            <w:r w:rsidR="000B5FE3" w:rsidRPr="00F03354">
              <w:rPr>
                <w:rFonts w:ascii="VIC" w:eastAsia="Times New Roman" w:hAnsi="VIC" w:cs="Times New Roman"/>
                <w:sz w:val="20"/>
                <w:szCs w:val="20"/>
              </w:rPr>
              <w:t>its</w:t>
            </w:r>
            <w:r w:rsidRPr="00F03354">
              <w:rPr>
                <w:rFonts w:ascii="VIC" w:eastAsia="Times New Roman" w:hAnsi="VIC" w:cs="Times New Roman"/>
                <w:sz w:val="20"/>
                <w:szCs w:val="20"/>
              </w:rPr>
              <w:t xml:space="preserve"> initial procedure (and not when the HiP is registered in the system).</w:t>
            </w:r>
          </w:p>
          <w:p w14:paraId="0D2122A3" w14:textId="2AC75DDA"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E.g</w:t>
            </w:r>
            <w:r w:rsidR="000B5FE3" w:rsidRPr="00F03354">
              <w:rPr>
                <w:rFonts w:ascii="VIC" w:eastAsia="Times New Roman" w:hAnsi="VIC" w:cs="Times New Roman"/>
                <w:sz w:val="20"/>
                <w:szCs w:val="20"/>
              </w:rPr>
              <w:t>.,</w:t>
            </w:r>
            <w:r w:rsidRPr="00F03354">
              <w:rPr>
                <w:rFonts w:ascii="VIC" w:eastAsia="Times New Roman" w:hAnsi="VIC" w:cs="Times New Roman"/>
                <w:sz w:val="20"/>
                <w:szCs w:val="20"/>
              </w:rPr>
              <w:t xml:space="preserve"> A HiP is logged in Q1 for a procedure scheduled to occur in Q2. This will NOT be counted in the HiPs total for Q1, but instead counted in the HiPs total for Q2.</w:t>
            </w:r>
          </w:p>
          <w:p w14:paraId="4B3A843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rounded to one decimal place (0.05 is rounded up).</w:t>
            </w:r>
          </w:p>
        </w:tc>
      </w:tr>
      <w:tr w:rsidR="00280F65" w:rsidRPr="00F03354" w14:paraId="22DA8811" w14:textId="77777777" w:rsidTr="6BF3BDE6">
        <w:trPr>
          <w:cantSplit/>
          <w:trHeight w:val="60"/>
        </w:trPr>
        <w:tc>
          <w:tcPr>
            <w:tcW w:w="2581" w:type="dxa"/>
            <w:hideMark/>
          </w:tcPr>
          <w:p w14:paraId="475116F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Numerator</w:t>
            </w:r>
          </w:p>
        </w:tc>
        <w:tc>
          <w:tcPr>
            <w:tcW w:w="7371" w:type="dxa"/>
            <w:gridSpan w:val="2"/>
            <w:hideMark/>
          </w:tcPr>
          <w:p w14:paraId="0CEAB2D0"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Number of HiPs that occur within 28 days of a scheduled elective surgery admission within the quarter</w:t>
            </w:r>
          </w:p>
        </w:tc>
      </w:tr>
      <w:tr w:rsidR="00280F65" w:rsidRPr="00F03354" w14:paraId="7FDFA628" w14:textId="77777777" w:rsidTr="6BF3BDE6">
        <w:trPr>
          <w:cantSplit/>
          <w:trHeight w:val="60"/>
        </w:trPr>
        <w:tc>
          <w:tcPr>
            <w:tcW w:w="2581" w:type="dxa"/>
            <w:hideMark/>
          </w:tcPr>
          <w:p w14:paraId="34A2B7F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371" w:type="dxa"/>
            <w:gridSpan w:val="2"/>
            <w:hideMark/>
          </w:tcPr>
          <w:p w14:paraId="61792725" w14:textId="3D6838D5"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Number of procedures scheduled to occur in the quarter, regardless of whether the procedure takes place </w:t>
            </w:r>
          </w:p>
        </w:tc>
      </w:tr>
      <w:tr w:rsidR="00280F65" w:rsidRPr="00F03354" w14:paraId="0CAC87F6" w14:textId="77777777" w:rsidTr="6BF3BDE6">
        <w:trPr>
          <w:cantSplit/>
          <w:trHeight w:val="60"/>
        </w:trPr>
        <w:tc>
          <w:tcPr>
            <w:tcW w:w="2581" w:type="dxa"/>
            <w:hideMark/>
          </w:tcPr>
          <w:p w14:paraId="41F6461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gridSpan w:val="2"/>
            <w:hideMark/>
          </w:tcPr>
          <w:p w14:paraId="1FEAC5A1"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7 per 100 scheduled admissions</w:t>
            </w:r>
          </w:p>
        </w:tc>
      </w:tr>
      <w:tr w:rsidR="00280F65" w:rsidRPr="00F03354" w14:paraId="2F7AFEAC" w14:textId="77777777" w:rsidTr="6BF3BDE6">
        <w:trPr>
          <w:cantSplit/>
          <w:trHeight w:val="60"/>
        </w:trPr>
        <w:tc>
          <w:tcPr>
            <w:tcW w:w="2581" w:type="dxa"/>
            <w:vMerge w:val="restart"/>
            <w:hideMark/>
          </w:tcPr>
          <w:p w14:paraId="51E88D0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5103" w:type="dxa"/>
          </w:tcPr>
          <w:p w14:paraId="617658B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7 per 100 scheduled admissions</w:t>
            </w:r>
          </w:p>
        </w:tc>
        <w:tc>
          <w:tcPr>
            <w:tcW w:w="2268" w:type="dxa"/>
          </w:tcPr>
          <w:p w14:paraId="14377B1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4FFCDF59" w14:textId="77777777" w:rsidTr="6BF3BDE6">
        <w:trPr>
          <w:cantSplit/>
          <w:trHeight w:val="449"/>
        </w:trPr>
        <w:tc>
          <w:tcPr>
            <w:tcW w:w="2581" w:type="dxa"/>
            <w:vMerge/>
            <w:vAlign w:val="center"/>
            <w:hideMark/>
          </w:tcPr>
          <w:p w14:paraId="1C88DEFC" w14:textId="77777777" w:rsidR="00280F65" w:rsidRPr="00F03354" w:rsidRDefault="00280F65" w:rsidP="00280F65">
            <w:pPr>
              <w:spacing w:before="80" w:after="60" w:line="240" w:lineRule="auto"/>
              <w:rPr>
                <w:rFonts w:ascii="VIC" w:eastAsia="Times New Roman" w:hAnsi="VIC" w:cs="Times New Roman"/>
                <w:sz w:val="20"/>
                <w:szCs w:val="20"/>
              </w:rPr>
            </w:pPr>
          </w:p>
        </w:tc>
        <w:tc>
          <w:tcPr>
            <w:tcW w:w="5103" w:type="dxa"/>
          </w:tcPr>
          <w:p w14:paraId="49DF1C7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7 per 100 scheduled admissions</w:t>
            </w:r>
          </w:p>
        </w:tc>
        <w:tc>
          <w:tcPr>
            <w:tcW w:w="2268" w:type="dxa"/>
          </w:tcPr>
          <w:p w14:paraId="0F5521C3"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2EC4AE70" w14:textId="77777777" w:rsidTr="6BF3BDE6">
        <w:trPr>
          <w:cantSplit/>
          <w:trHeight w:val="60"/>
        </w:trPr>
        <w:tc>
          <w:tcPr>
            <w:tcW w:w="2581" w:type="dxa"/>
            <w:hideMark/>
          </w:tcPr>
          <w:p w14:paraId="33114B4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hideMark/>
          </w:tcPr>
          <w:p w14:paraId="3982870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quarterly. In addition to the monthly monitoring, a performance result is generated annually based on full year data.</w:t>
            </w:r>
          </w:p>
          <w:p w14:paraId="5F82673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measured at the health service level. Where a health service has multiple campuses, the aggregate for all campuses is used.</w:t>
            </w:r>
          </w:p>
          <w:p w14:paraId="28BE7CC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ESIS. Refer to the </w:t>
            </w:r>
            <w:r w:rsidRPr="00F03354">
              <w:rPr>
                <w:rFonts w:ascii="VIC" w:eastAsia="Times New Roman" w:hAnsi="VIC" w:cs="Times New Roman"/>
                <w:i/>
                <w:sz w:val="20"/>
                <w:szCs w:val="20"/>
              </w:rPr>
              <w:t xml:space="preserve">Department of Health and Human Services policy and funding guidelines </w:t>
            </w:r>
            <w:r w:rsidRPr="00F03354">
              <w:rPr>
                <w:rFonts w:ascii="VIC" w:eastAsia="Times New Roman" w:hAnsi="VIC" w:cs="Times New Roman"/>
                <w:sz w:val="20"/>
                <w:szCs w:val="20"/>
              </w:rPr>
              <w:t>for further information on ESIS data submission timelines.</w:t>
            </w:r>
          </w:p>
        </w:tc>
      </w:tr>
    </w:tbl>
    <w:p w14:paraId="4A64CC9D" w14:textId="77777777" w:rsidR="00280F65" w:rsidRPr="00F03354" w:rsidRDefault="00280F65" w:rsidP="00280F65">
      <w:pPr>
        <w:spacing w:after="120" w:line="270" w:lineRule="atLeast"/>
        <w:rPr>
          <w:rFonts w:ascii="VIC" w:eastAsia="MS Gothic" w:hAnsi="VIC" w:cs="Times New Roman"/>
          <w:sz w:val="20"/>
          <w:szCs w:val="20"/>
        </w:rPr>
      </w:pPr>
      <w:r w:rsidRPr="00F03354">
        <w:rPr>
          <w:rFonts w:ascii="VIC" w:eastAsia="Times" w:hAnsi="VIC" w:cs="Times New Roman"/>
          <w:sz w:val="20"/>
          <w:szCs w:val="20"/>
        </w:rPr>
        <w:br w:type="page"/>
      </w:r>
    </w:p>
    <w:p w14:paraId="180A7948"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47" w:name="_Toc517959142"/>
      <w:bookmarkStart w:id="48" w:name="_Toc10123559"/>
      <w:r w:rsidRPr="00F03354">
        <w:rPr>
          <w:rFonts w:ascii="VIC" w:eastAsia="MS Mincho" w:hAnsi="VIC" w:cs="Arial"/>
          <w:b/>
          <w:bCs/>
          <w:sz w:val="20"/>
          <w:szCs w:val="20"/>
        </w:rPr>
        <w:lastRenderedPageBreak/>
        <w:t>Specialist clinics</w:t>
      </w:r>
      <w:bookmarkEnd w:id="47"/>
      <w:bookmarkEnd w:id="48"/>
    </w:p>
    <w:p w14:paraId="64DB7541" w14:textId="77777777" w:rsidR="00280F65" w:rsidRPr="00F03354" w:rsidRDefault="084D64FE"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t xml:space="preserve">Specialist clinic performance indicators aim to encourage improved performance in managing access for patients who are referred to a specialist clinic by a GP or external specialist. Management of patient referrals to specialist clinics, including allocation of appointments should be provided in accordance with </w:t>
      </w:r>
      <w:r w:rsidRPr="00F03354">
        <w:rPr>
          <w:rFonts w:ascii="VIC" w:eastAsia="Times" w:hAnsi="VIC" w:cs="Times New Roman"/>
          <w:i/>
          <w:iCs/>
          <w:sz w:val="20"/>
          <w:szCs w:val="20"/>
        </w:rPr>
        <w:t>the Specialist clinics in Victorian public hospitals: access policy</w:t>
      </w:r>
      <w:r w:rsidRPr="00F03354">
        <w:rPr>
          <w:rFonts w:ascii="VIC" w:eastAsia="Times" w:hAnsi="VIC" w:cs="Times New Roman"/>
          <w:sz w:val="20"/>
          <w:szCs w:val="20"/>
        </w:rPr>
        <w:t xml:space="preserve"> (2013)</w:t>
      </w:r>
      <w:r w:rsidR="00280F65" w:rsidRPr="00F03354">
        <w:rPr>
          <w:rFonts w:ascii="VIC" w:eastAsia="Times" w:hAnsi="VIC" w:cs="Times New Roman"/>
          <w:sz w:val="20"/>
          <w:szCs w:val="20"/>
          <w:vertAlign w:val="superscript"/>
        </w:rPr>
        <w:footnoteReference w:id="24"/>
      </w:r>
      <w:r w:rsidRPr="00F03354">
        <w:rPr>
          <w:rFonts w:ascii="VIC" w:eastAsia="Times" w:hAnsi="VIC" w:cs="Times New Roman"/>
          <w:sz w:val="20"/>
          <w:szCs w:val="20"/>
        </w:rPr>
        <w:t>.</w:t>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423"/>
        <w:gridCol w:w="2977"/>
      </w:tblGrid>
      <w:tr w:rsidR="00280F65" w:rsidRPr="00F03354" w14:paraId="46F9FFDC" w14:textId="77777777" w:rsidTr="00343182">
        <w:trPr>
          <w:cantSplit/>
          <w:trHeight w:val="60"/>
          <w:tblHeader/>
        </w:trPr>
        <w:tc>
          <w:tcPr>
            <w:tcW w:w="2552" w:type="dxa"/>
            <w:shd w:val="clear" w:color="auto" w:fill="244C5A"/>
            <w:vAlign w:val="bottom"/>
          </w:tcPr>
          <w:p w14:paraId="522E1DFF"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gridSpan w:val="2"/>
            <w:shd w:val="clear" w:color="auto" w:fill="244C5A"/>
            <w:vAlign w:val="bottom"/>
          </w:tcPr>
          <w:p w14:paraId="4E41A23E"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Proportion of urgent patients referred by a GP or external specialist who attended a first appointment within 30 days</w:t>
            </w:r>
          </w:p>
        </w:tc>
      </w:tr>
      <w:tr w:rsidR="00280F65" w:rsidRPr="00F03354" w14:paraId="4C651F8C" w14:textId="77777777" w:rsidTr="00343182">
        <w:trPr>
          <w:cantSplit/>
          <w:trHeight w:val="60"/>
        </w:trPr>
        <w:tc>
          <w:tcPr>
            <w:tcW w:w="2552" w:type="dxa"/>
            <w:hideMark/>
          </w:tcPr>
          <w:p w14:paraId="7FD984D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hideMark/>
          </w:tcPr>
          <w:p w14:paraId="56CB32B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indicator monitors the proportion of urgent patients referred by a GP or external specialist who attended a first appointment within 30 days of the referral.</w:t>
            </w:r>
          </w:p>
        </w:tc>
      </w:tr>
      <w:tr w:rsidR="00280F65" w:rsidRPr="00F03354" w14:paraId="763679BF" w14:textId="77777777" w:rsidTr="00343182">
        <w:trPr>
          <w:cantSplit/>
          <w:trHeight w:val="60"/>
        </w:trPr>
        <w:tc>
          <w:tcPr>
            <w:tcW w:w="2552" w:type="dxa"/>
          </w:tcPr>
          <w:p w14:paraId="5E7816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gridSpan w:val="2"/>
          </w:tcPr>
          <w:p w14:paraId="4012611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Specialist clinic referrals that have been clinically prioritised as urgent are used to assess this indicator.</w:t>
            </w:r>
          </w:p>
          <w:p w14:paraId="1C24C29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indicator includes all patients referred from either a GP or external specialist who attended a first appointment during or had a first appointment booked date before the end of the reporting period.</w:t>
            </w:r>
          </w:p>
          <w:p w14:paraId="494B17D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includes those patients with a scheduled appointment but failed to attend.</w:t>
            </w:r>
          </w:p>
          <w:p w14:paraId="60DF6BC6" w14:textId="77777777" w:rsidR="00280F65" w:rsidRPr="00F03354" w:rsidRDefault="00280F65" w:rsidP="00280F65">
            <w:pPr>
              <w:spacing w:before="80" w:after="60" w:line="240" w:lineRule="auto"/>
              <w:rPr>
                <w:rFonts w:ascii="VIC" w:eastAsia="Times New Roman" w:hAnsi="VIC" w:cs="Times New Roman"/>
                <w:color w:val="000000" w:themeColor="text1"/>
                <w:sz w:val="20"/>
                <w:szCs w:val="20"/>
                <w:u w:val="dotted"/>
              </w:rPr>
            </w:pPr>
            <w:r w:rsidRPr="00F03354">
              <w:rPr>
                <w:rFonts w:ascii="VIC" w:eastAsia="Times New Roman" w:hAnsi="VIC" w:cs="Times New Roman"/>
                <w:sz w:val="20"/>
                <w:szCs w:val="20"/>
              </w:rPr>
              <w:t>The waiting time for a first appointment is the number of days between the Referral in Received Date and the Contact Date/Time or First Appointment Booked Date, whichever occurs first.</w:t>
            </w:r>
          </w:p>
        </w:tc>
      </w:tr>
      <w:tr w:rsidR="00280F65" w:rsidRPr="00F03354" w14:paraId="09D393F8" w14:textId="77777777" w:rsidTr="00343182">
        <w:trPr>
          <w:cantSplit/>
          <w:trHeight w:val="60"/>
        </w:trPr>
        <w:tc>
          <w:tcPr>
            <w:tcW w:w="2552" w:type="dxa"/>
            <w:hideMark/>
          </w:tcPr>
          <w:p w14:paraId="22E9870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hideMark/>
          </w:tcPr>
          <w:p w14:paraId="73EDEE1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urgent patients referred by a GP or external specialist, who waited 30 calendar days or less for a first appointment, or first appointment booked date before the end of the reporting period.</w:t>
            </w:r>
          </w:p>
        </w:tc>
      </w:tr>
      <w:tr w:rsidR="00280F65" w:rsidRPr="00F03354" w14:paraId="47DC9D40" w14:textId="77777777" w:rsidTr="00343182">
        <w:trPr>
          <w:cantSplit/>
          <w:trHeight w:val="60"/>
        </w:trPr>
        <w:tc>
          <w:tcPr>
            <w:tcW w:w="2552" w:type="dxa"/>
            <w:hideMark/>
          </w:tcPr>
          <w:p w14:paraId="14E039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gridSpan w:val="2"/>
            <w:hideMark/>
          </w:tcPr>
          <w:p w14:paraId="7915795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all urgent patients referred by a GP or external Specialist, who attended a first appointment, or had a first appointment booked date, before the end of the reporting period.</w:t>
            </w:r>
          </w:p>
        </w:tc>
      </w:tr>
      <w:tr w:rsidR="00280F65" w:rsidRPr="00F03354" w14:paraId="45536F88" w14:textId="77777777" w:rsidTr="00343182">
        <w:trPr>
          <w:cantSplit/>
          <w:trHeight w:val="60"/>
        </w:trPr>
        <w:tc>
          <w:tcPr>
            <w:tcW w:w="2552" w:type="dxa"/>
          </w:tcPr>
          <w:p w14:paraId="7589855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tcPr>
          <w:p w14:paraId="37CCC2A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100%</w:t>
            </w:r>
          </w:p>
        </w:tc>
      </w:tr>
      <w:tr w:rsidR="00280F65" w:rsidRPr="00F03354" w14:paraId="398E3BA9" w14:textId="77777777" w:rsidTr="00343182">
        <w:trPr>
          <w:cantSplit/>
          <w:trHeight w:val="439"/>
        </w:trPr>
        <w:tc>
          <w:tcPr>
            <w:tcW w:w="2552" w:type="dxa"/>
            <w:vMerge w:val="restart"/>
            <w:vAlign w:val="center"/>
          </w:tcPr>
          <w:p w14:paraId="2CEA947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423" w:type="dxa"/>
          </w:tcPr>
          <w:p w14:paraId="3E4E6DD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100%</w:t>
            </w:r>
          </w:p>
        </w:tc>
        <w:tc>
          <w:tcPr>
            <w:tcW w:w="2977" w:type="dxa"/>
          </w:tcPr>
          <w:p w14:paraId="61D81443"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77A85A30" w14:textId="77777777" w:rsidTr="00343182">
        <w:trPr>
          <w:cantSplit/>
          <w:trHeight w:val="439"/>
        </w:trPr>
        <w:tc>
          <w:tcPr>
            <w:tcW w:w="2552" w:type="dxa"/>
            <w:vMerge/>
            <w:vAlign w:val="center"/>
          </w:tcPr>
          <w:p w14:paraId="20939CC3"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423" w:type="dxa"/>
          </w:tcPr>
          <w:p w14:paraId="59F19A9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100%</w:t>
            </w:r>
          </w:p>
        </w:tc>
        <w:tc>
          <w:tcPr>
            <w:tcW w:w="2977" w:type="dxa"/>
          </w:tcPr>
          <w:p w14:paraId="24C36938"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21F10AEE" w14:textId="77777777" w:rsidTr="00343182">
        <w:trPr>
          <w:cantSplit/>
          <w:trHeight w:val="60"/>
        </w:trPr>
        <w:tc>
          <w:tcPr>
            <w:tcW w:w="2552" w:type="dxa"/>
            <w:vAlign w:val="center"/>
          </w:tcPr>
          <w:p w14:paraId="1098E34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gridSpan w:val="2"/>
          </w:tcPr>
          <w:p w14:paraId="54537D0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same time last year performance.</w:t>
            </w:r>
          </w:p>
        </w:tc>
      </w:tr>
      <w:tr w:rsidR="00280F65" w:rsidRPr="00F03354" w14:paraId="17DC2159" w14:textId="77777777" w:rsidTr="00343182">
        <w:trPr>
          <w:cantSplit/>
          <w:trHeight w:val="60"/>
        </w:trPr>
        <w:tc>
          <w:tcPr>
            <w:tcW w:w="2552" w:type="dxa"/>
            <w:hideMark/>
          </w:tcPr>
          <w:p w14:paraId="373D109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400" w:type="dxa"/>
            <w:gridSpan w:val="2"/>
            <w:hideMark/>
          </w:tcPr>
          <w:p w14:paraId="3CB18F2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02CD840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VINAH. </w:t>
            </w:r>
          </w:p>
          <w:p w14:paraId="214F484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Submission date: Health services are encouraged to submit data as often as desired, so long as a minimum of one submission is made for each reference month no later than 5pm on the 10th day of the following reference month.</w:t>
            </w:r>
          </w:p>
          <w:p w14:paraId="7995958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Clean date: All errors are to be cleared by the 14th day of the following month, or the preceding working day if the 14th falls on a weekend or public holiday.</w:t>
            </w:r>
          </w:p>
          <w:p w14:paraId="7A97426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End of financial year consolidation: All errors for the financial year must be corrected and resubmitted before consolidation of the VINAH database on the date advised in the </w:t>
            </w:r>
            <w:r w:rsidRPr="00F03354">
              <w:rPr>
                <w:rFonts w:ascii="VIC" w:eastAsia="Times New Roman" w:hAnsi="VIC" w:cs="Times New Roman"/>
                <w:i/>
                <w:iCs/>
                <w:sz w:val="20"/>
                <w:szCs w:val="20"/>
              </w:rPr>
              <w:t>Policy and Funding Guidelines</w:t>
            </w:r>
            <w:r w:rsidRPr="00F03354">
              <w:rPr>
                <w:rFonts w:ascii="VIC" w:eastAsia="Times New Roman" w:hAnsi="VIC" w:cs="Times New Roman"/>
                <w:sz w:val="20"/>
                <w:szCs w:val="20"/>
              </w:rPr>
              <w:t>.</w:t>
            </w:r>
            <w:r w:rsidRPr="00F03354">
              <w:rPr>
                <w:rFonts w:ascii="VIC" w:eastAsia="Times New Roman" w:hAnsi="VIC" w:cs="Times New Roman"/>
                <w:i/>
                <w:sz w:val="20"/>
                <w:szCs w:val="20"/>
              </w:rPr>
              <w:t xml:space="preserve"> </w:t>
            </w:r>
          </w:p>
        </w:tc>
      </w:tr>
    </w:tbl>
    <w:p w14:paraId="72F80D66" w14:textId="77777777" w:rsidR="00280F65" w:rsidRPr="00F03354" w:rsidRDefault="00280F65" w:rsidP="00280F65">
      <w:pPr>
        <w:spacing w:after="120" w:line="270" w:lineRule="atLeast"/>
        <w:rPr>
          <w:rFonts w:ascii="VIC" w:eastAsia="Times" w:hAnsi="VIC" w:cs="Times New Roman"/>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536"/>
        <w:gridCol w:w="2864"/>
      </w:tblGrid>
      <w:tr w:rsidR="00280F65" w:rsidRPr="00F03354" w14:paraId="4D35673A" w14:textId="77777777" w:rsidTr="00343182">
        <w:trPr>
          <w:cantSplit/>
          <w:trHeight w:val="60"/>
          <w:tblHeader/>
        </w:trPr>
        <w:tc>
          <w:tcPr>
            <w:tcW w:w="2552" w:type="dxa"/>
            <w:shd w:val="clear" w:color="auto" w:fill="244C5A"/>
            <w:vAlign w:val="bottom"/>
          </w:tcPr>
          <w:p w14:paraId="3126F97E"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gridSpan w:val="2"/>
            <w:shd w:val="clear" w:color="auto" w:fill="244C5A"/>
            <w:vAlign w:val="bottom"/>
          </w:tcPr>
          <w:p w14:paraId="3F3E1EEE"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Proportion of routine patients referred by a GP or external specialist who attended a first appointment within 365 days</w:t>
            </w:r>
          </w:p>
        </w:tc>
      </w:tr>
      <w:tr w:rsidR="00280F65" w:rsidRPr="00F03354" w14:paraId="45829ECA" w14:textId="77777777" w:rsidTr="00343182">
        <w:trPr>
          <w:cantSplit/>
          <w:trHeight w:val="60"/>
        </w:trPr>
        <w:tc>
          <w:tcPr>
            <w:tcW w:w="2552" w:type="dxa"/>
            <w:hideMark/>
          </w:tcPr>
          <w:p w14:paraId="14C602F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hideMark/>
          </w:tcPr>
          <w:p w14:paraId="0B6BE6D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indicator monitors the proportion of routine patients referred by a GP or external specialist who attended a first appointment within 365 days of referral.</w:t>
            </w:r>
          </w:p>
        </w:tc>
      </w:tr>
      <w:tr w:rsidR="00280F65" w:rsidRPr="00F03354" w14:paraId="4A2F14A7" w14:textId="77777777" w:rsidTr="00343182">
        <w:trPr>
          <w:cantSplit/>
          <w:trHeight w:val="60"/>
        </w:trPr>
        <w:tc>
          <w:tcPr>
            <w:tcW w:w="2552" w:type="dxa"/>
            <w:hideMark/>
          </w:tcPr>
          <w:p w14:paraId="3F12946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gridSpan w:val="2"/>
            <w:hideMark/>
          </w:tcPr>
          <w:p w14:paraId="46D5332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Specialist clinic referrals that have been clinically prioritised as routine are used to assess this indicator.</w:t>
            </w:r>
          </w:p>
          <w:p w14:paraId="7C17336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indicator includes all patients referred from either a GP or external specialist, who attended a first appointment during, or had a first appointment booked date before the end of the reporting period.</w:t>
            </w:r>
          </w:p>
          <w:p w14:paraId="211CF6E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includes those patients with a scheduled appointment but did not attend.</w:t>
            </w:r>
          </w:p>
          <w:p w14:paraId="6F37C936" w14:textId="77777777" w:rsidR="00280F65" w:rsidRPr="00F03354" w:rsidRDefault="00280F65" w:rsidP="00280F65">
            <w:pPr>
              <w:spacing w:before="80" w:after="60" w:line="240" w:lineRule="auto"/>
              <w:rPr>
                <w:rFonts w:ascii="VIC" w:eastAsia="Times New Roman" w:hAnsi="VIC" w:cs="Times New Roman"/>
                <w:color w:val="000000" w:themeColor="text1"/>
                <w:sz w:val="20"/>
                <w:szCs w:val="20"/>
              </w:rPr>
            </w:pPr>
            <w:r w:rsidRPr="00F03354">
              <w:rPr>
                <w:rFonts w:ascii="VIC" w:eastAsia="Times New Roman" w:hAnsi="VIC" w:cs="Times New Roman"/>
                <w:sz w:val="20"/>
                <w:szCs w:val="20"/>
              </w:rPr>
              <w:t>The waiting time for a first appointment is the number of days between the Referral in Received Date and the Contact Date/Time or First Appointment Booked Date, whichever occurs first.</w:t>
            </w:r>
          </w:p>
        </w:tc>
      </w:tr>
      <w:tr w:rsidR="00280F65" w:rsidRPr="00F03354" w14:paraId="25C18962" w14:textId="77777777" w:rsidTr="00343182">
        <w:trPr>
          <w:cantSplit/>
          <w:trHeight w:val="60"/>
        </w:trPr>
        <w:tc>
          <w:tcPr>
            <w:tcW w:w="2552" w:type="dxa"/>
            <w:hideMark/>
          </w:tcPr>
          <w:p w14:paraId="0B38243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hideMark/>
          </w:tcPr>
          <w:p w14:paraId="03D1E16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routine patients referred by a GP or external specialist, who waited 365 calendar days or less for a first appointment, or first appointment booked date before the end of the reporting period.</w:t>
            </w:r>
          </w:p>
        </w:tc>
      </w:tr>
      <w:tr w:rsidR="00280F65" w:rsidRPr="00F03354" w14:paraId="2BE82DBB" w14:textId="77777777" w:rsidTr="00343182">
        <w:trPr>
          <w:cantSplit/>
          <w:trHeight w:val="60"/>
        </w:trPr>
        <w:tc>
          <w:tcPr>
            <w:tcW w:w="2552" w:type="dxa"/>
            <w:hideMark/>
          </w:tcPr>
          <w:p w14:paraId="0CC0415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gridSpan w:val="2"/>
            <w:hideMark/>
          </w:tcPr>
          <w:p w14:paraId="46970D5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all routine patients referred by a GP or external specialist, who attended a first appointment or had a first appointment booked date before the end of the reporting period.</w:t>
            </w:r>
          </w:p>
        </w:tc>
      </w:tr>
      <w:tr w:rsidR="00280F65" w:rsidRPr="00F03354" w14:paraId="68E5D2FD" w14:textId="77777777" w:rsidTr="00343182">
        <w:trPr>
          <w:cantSplit/>
          <w:trHeight w:val="60"/>
        </w:trPr>
        <w:tc>
          <w:tcPr>
            <w:tcW w:w="2552" w:type="dxa"/>
            <w:hideMark/>
          </w:tcPr>
          <w:p w14:paraId="052F385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hideMark/>
          </w:tcPr>
          <w:p w14:paraId="7F9096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90%</w:t>
            </w:r>
          </w:p>
        </w:tc>
      </w:tr>
      <w:tr w:rsidR="00280F65" w:rsidRPr="00F03354" w14:paraId="733E42DB" w14:textId="77777777" w:rsidTr="00343182">
        <w:trPr>
          <w:cantSplit/>
          <w:trHeight w:val="60"/>
        </w:trPr>
        <w:tc>
          <w:tcPr>
            <w:tcW w:w="2552" w:type="dxa"/>
            <w:vMerge w:val="restart"/>
            <w:hideMark/>
          </w:tcPr>
          <w:p w14:paraId="53DC265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536" w:type="dxa"/>
            <w:hideMark/>
          </w:tcPr>
          <w:p w14:paraId="3FB7260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above 90%</w:t>
            </w:r>
          </w:p>
        </w:tc>
        <w:tc>
          <w:tcPr>
            <w:tcW w:w="2864" w:type="dxa"/>
            <w:hideMark/>
          </w:tcPr>
          <w:p w14:paraId="7039C4C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5D9786F9" w14:textId="77777777" w:rsidTr="00343182">
        <w:trPr>
          <w:cantSplit/>
          <w:trHeight w:val="60"/>
        </w:trPr>
        <w:tc>
          <w:tcPr>
            <w:tcW w:w="2552" w:type="dxa"/>
            <w:vMerge/>
            <w:vAlign w:val="center"/>
            <w:hideMark/>
          </w:tcPr>
          <w:p w14:paraId="3697B97B"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536" w:type="dxa"/>
            <w:hideMark/>
          </w:tcPr>
          <w:p w14:paraId="75B3692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Less than 90% </w:t>
            </w:r>
          </w:p>
        </w:tc>
        <w:tc>
          <w:tcPr>
            <w:tcW w:w="2864" w:type="dxa"/>
            <w:hideMark/>
          </w:tcPr>
          <w:p w14:paraId="7ED5728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040185CF" w14:textId="77777777" w:rsidTr="00343182">
        <w:trPr>
          <w:cantSplit/>
          <w:trHeight w:val="60"/>
        </w:trPr>
        <w:tc>
          <w:tcPr>
            <w:tcW w:w="2552" w:type="dxa"/>
            <w:vAlign w:val="center"/>
          </w:tcPr>
          <w:p w14:paraId="1921E7E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gridSpan w:val="2"/>
          </w:tcPr>
          <w:p w14:paraId="44C9926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same time last year performance.</w:t>
            </w:r>
          </w:p>
        </w:tc>
      </w:tr>
      <w:tr w:rsidR="00280F65" w:rsidRPr="00F03354" w14:paraId="2584D514" w14:textId="77777777" w:rsidTr="00343182">
        <w:trPr>
          <w:cantSplit/>
          <w:trHeight w:val="60"/>
        </w:trPr>
        <w:tc>
          <w:tcPr>
            <w:tcW w:w="2552" w:type="dxa"/>
            <w:hideMark/>
          </w:tcPr>
          <w:p w14:paraId="4976FF4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400" w:type="dxa"/>
            <w:gridSpan w:val="2"/>
          </w:tcPr>
          <w:p w14:paraId="752B757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1F475FE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submitted by health services via VINAH. </w:t>
            </w:r>
          </w:p>
          <w:p w14:paraId="103707F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Submission date: Health services are encouraged to submit data as often as desired, so long as a minimum of one submission is made for each reference month no later than 5pm on the 10th day of the following reference month.</w:t>
            </w:r>
          </w:p>
          <w:p w14:paraId="2A389F6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Clean date: All errors are to be cleared by the 14th day of the following month, or the preceding working day if the 14th falls on a weekend or public holiday.</w:t>
            </w:r>
          </w:p>
          <w:p w14:paraId="594775F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End of financial year consolidation: All errors for the financial year must be corrected and resubmitted before consolidation of the VINAH database on the date advised in the </w:t>
            </w:r>
            <w:r w:rsidRPr="00F03354">
              <w:rPr>
                <w:rFonts w:ascii="VIC" w:eastAsia="Times New Roman" w:hAnsi="VIC" w:cs="Times New Roman"/>
                <w:i/>
                <w:iCs/>
                <w:sz w:val="20"/>
                <w:szCs w:val="20"/>
              </w:rPr>
              <w:t>Policy and Funding Guidelines</w:t>
            </w:r>
            <w:r w:rsidRPr="00F03354">
              <w:rPr>
                <w:rFonts w:ascii="VIC" w:eastAsia="Times New Roman" w:hAnsi="VIC" w:cs="Times New Roman"/>
                <w:sz w:val="20"/>
                <w:szCs w:val="20"/>
              </w:rPr>
              <w:t>.</w:t>
            </w:r>
          </w:p>
        </w:tc>
      </w:tr>
    </w:tbl>
    <w:p w14:paraId="73EF2605" w14:textId="77777777" w:rsidR="00280F65" w:rsidRPr="00F03354" w:rsidRDefault="00280F65" w:rsidP="00280F65">
      <w:pPr>
        <w:spacing w:after="120" w:line="270" w:lineRule="atLeast"/>
        <w:rPr>
          <w:rFonts w:ascii="VIC" w:eastAsia="MS Gothic" w:hAnsi="VIC" w:cs="Times New Roman"/>
          <w:sz w:val="20"/>
          <w:szCs w:val="20"/>
        </w:rPr>
      </w:pPr>
      <w:r w:rsidRPr="00F03354">
        <w:rPr>
          <w:rFonts w:ascii="VIC" w:eastAsia="Times" w:hAnsi="VIC" w:cs="Times New Roman"/>
          <w:sz w:val="20"/>
          <w:szCs w:val="20"/>
        </w:rPr>
        <w:br w:type="page"/>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19"/>
        <w:gridCol w:w="2722"/>
      </w:tblGrid>
      <w:tr w:rsidR="00280F65" w:rsidRPr="00F03354" w14:paraId="33A13F87" w14:textId="77777777" w:rsidTr="00343182">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tcPr>
          <w:p w14:paraId="3892922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bookmarkStart w:id="49" w:name="_Toc517959143"/>
            <w:r w:rsidRPr="00F03354">
              <w:rPr>
                <w:rFonts w:ascii="VIC" w:eastAsia="Times New Roman" w:hAnsi="VIC" w:cs="Times New Roman"/>
                <w:bCs/>
                <w:color w:val="FFFFFF" w:themeColor="background1"/>
                <w:sz w:val="20"/>
                <w:szCs w:val="20"/>
              </w:rPr>
              <w:lastRenderedPageBreak/>
              <w:t>Indicator</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tcPr>
          <w:p w14:paraId="69FD408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Proportion of urgent maternity patients referred for obstetric care to a level 4, 5 or 6 maternity service who were booked for an appointment within 30 days of accepted referral</w:t>
            </w:r>
          </w:p>
        </w:tc>
      </w:tr>
      <w:tr w:rsidR="00280F65" w:rsidRPr="00F03354" w14:paraId="44F52A3A"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shd w:val="clear" w:color="auto" w:fill="auto"/>
            <w:hideMark/>
          </w:tcPr>
          <w:p w14:paraId="4C0EF8A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auto"/>
            <w:hideMark/>
          </w:tcPr>
          <w:p w14:paraId="756529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indicator monitors the proportion of urgent maternity patients referred to level 4, 5 or 6 maternity service, who attended a first appointment within 30 days of accepted referral.</w:t>
            </w:r>
            <w:r w:rsidRPr="00F03354" w:rsidDel="00667377">
              <w:rPr>
                <w:rFonts w:ascii="VIC" w:eastAsia="Times New Roman" w:hAnsi="VIC" w:cs="Times New Roman"/>
                <w:sz w:val="20"/>
                <w:szCs w:val="20"/>
              </w:rPr>
              <w:t xml:space="preserve"> </w:t>
            </w:r>
          </w:p>
        </w:tc>
      </w:tr>
      <w:tr w:rsidR="00280F65" w:rsidRPr="00F03354" w14:paraId="2C349685"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shd w:val="clear" w:color="auto" w:fill="auto"/>
          </w:tcPr>
          <w:p w14:paraId="0C61C51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auto"/>
          </w:tcPr>
          <w:p w14:paraId="1DD3E5C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waiting time represents the number of days between the Referral in Received Date and the First Appointment Booked Date.</w:t>
            </w:r>
          </w:p>
          <w:p w14:paraId="6522702F" w14:textId="45ED8C0B"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Applies to health services determined by the department to provide level 4, 5 or 6 maternity capability. For details of the maternity capability levels for all public services, go to the</w:t>
            </w:r>
            <w:r w:rsidRPr="00F03354">
              <w:rPr>
                <w:rFonts w:ascii="VIC" w:eastAsia="Times New Roman" w:hAnsi="VIC" w:cs="Times New Roman"/>
                <w:color w:val="3366FF"/>
                <w:sz w:val="20"/>
                <w:szCs w:val="20"/>
                <w:u w:val="dotted"/>
              </w:rPr>
              <w:t xml:space="preserve"> </w:t>
            </w:r>
            <w:hyperlink r:id="rId20" w:history="1">
              <w:r w:rsidRPr="00F03354">
                <w:rPr>
                  <w:rFonts w:ascii="VIC" w:eastAsia="Times New Roman" w:hAnsi="VIC" w:cs="Times New Roman"/>
                  <w:color w:val="3366FF"/>
                  <w:sz w:val="20"/>
                  <w:szCs w:val="20"/>
                  <w:u w:val="dotted"/>
                </w:rPr>
                <w:t>Policy and Funding Guidelines</w:t>
              </w:r>
            </w:hyperlink>
            <w:r w:rsidRPr="00F03354">
              <w:rPr>
                <w:rFonts w:ascii="VIC" w:eastAsia="Times New Roman" w:hAnsi="VIC" w:cs="Times New Roman"/>
                <w:sz w:val="20"/>
                <w:szCs w:val="20"/>
              </w:rPr>
              <w:t xml:space="preserve"> &lt;</w:t>
            </w:r>
            <w:r w:rsidR="00142659" w:rsidRPr="00F03354">
              <w:rPr>
                <w:rFonts w:ascii="VIC" w:eastAsia="Times New Roman" w:hAnsi="VIC" w:cs="Times New Roman"/>
                <w:sz w:val="20"/>
                <w:szCs w:val="20"/>
              </w:rPr>
              <w:t>https://www.health.vic.gov.au/policy-and-funding-guidelines-for-health-services</w:t>
            </w:r>
            <w:r w:rsidRPr="00F03354">
              <w:rPr>
                <w:rFonts w:ascii="VIC" w:eastAsia="Times New Roman" w:hAnsi="VIC" w:cs="Times New Roman"/>
                <w:sz w:val="20"/>
                <w:szCs w:val="20"/>
              </w:rPr>
              <w:t>&gt;.</w:t>
            </w:r>
          </w:p>
          <w:p w14:paraId="7536AF0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for this indicator is derived from the Victorian Integrated Non-Admitted Health (VINAH) dataset.</w:t>
            </w:r>
          </w:p>
          <w:p w14:paraId="4DE6D98B" w14:textId="5FE2DA4F" w:rsidR="00280F65" w:rsidRPr="00F03354" w:rsidRDefault="00280F65" w:rsidP="00280F65">
            <w:pPr>
              <w:spacing w:before="80" w:after="60" w:line="240" w:lineRule="auto"/>
              <w:rPr>
                <w:rFonts w:ascii="VIC" w:eastAsia="Times New Roman" w:hAnsi="VIC" w:cs="Times New Roman"/>
                <w:sz w:val="20"/>
                <w:szCs w:val="20"/>
                <w:u w:val="dotted"/>
              </w:rPr>
            </w:pPr>
            <w:r w:rsidRPr="00F03354">
              <w:rPr>
                <w:rFonts w:ascii="VIC" w:eastAsia="Times New Roman" w:hAnsi="VIC" w:cs="Times New Roman"/>
                <w:sz w:val="20"/>
                <w:szCs w:val="20"/>
              </w:rPr>
              <w:t xml:space="preserve">The </w:t>
            </w:r>
            <w:r w:rsidRPr="00F03354">
              <w:rPr>
                <w:rFonts w:ascii="VIC" w:eastAsia="Times New Roman" w:hAnsi="VIC" w:cs="Times New Roman"/>
                <w:i/>
                <w:iCs/>
                <w:sz w:val="20"/>
                <w:szCs w:val="20"/>
              </w:rPr>
              <w:t>VINAH user manual</w:t>
            </w:r>
            <w:r w:rsidRPr="00F03354">
              <w:rPr>
                <w:rFonts w:ascii="VIC" w:eastAsia="Times New Roman" w:hAnsi="VIC" w:cs="Times New Roman"/>
                <w:sz w:val="20"/>
                <w:szCs w:val="20"/>
              </w:rPr>
              <w:t xml:space="preserve">, including data elements and business rules can be found at the </w:t>
            </w:r>
            <w:hyperlink r:id="rId21" w:history="1">
              <w:r w:rsidRPr="00F03354">
                <w:rPr>
                  <w:rFonts w:ascii="VIC" w:eastAsia="Times New Roman" w:hAnsi="VIC" w:cs="Times New Roman"/>
                  <w:color w:val="3366FF"/>
                  <w:sz w:val="20"/>
                  <w:szCs w:val="20"/>
                  <w:u w:val="dotted"/>
                </w:rPr>
                <w:t>VINAH webpage</w:t>
              </w:r>
            </w:hyperlink>
            <w:r w:rsidRPr="00F03354">
              <w:rPr>
                <w:rFonts w:ascii="VIC" w:eastAsia="Times New Roman" w:hAnsi="VIC" w:cs="Times New Roman"/>
                <w:sz w:val="20"/>
                <w:szCs w:val="20"/>
              </w:rPr>
              <w:t xml:space="preserve"> &lt;</w:t>
            </w:r>
            <w:r w:rsidR="00251357" w:rsidRPr="00F03354">
              <w:rPr>
                <w:rFonts w:ascii="VIC" w:eastAsia="Times New Roman" w:hAnsi="VIC" w:cs="Times New Roman"/>
                <w:sz w:val="20"/>
                <w:szCs w:val="20"/>
              </w:rPr>
              <w:t>https://www.health.vic.gov.au/data-reporting/victorian-integrated-non-admitted-health-vinah-dataset</w:t>
            </w:r>
            <w:r w:rsidRPr="00F03354">
              <w:rPr>
                <w:rFonts w:ascii="VIC" w:eastAsia="Times New Roman" w:hAnsi="VIC" w:cs="Times New Roman"/>
                <w:sz w:val="20"/>
                <w:szCs w:val="20"/>
              </w:rPr>
              <w:t>&gt;</w:t>
            </w:r>
          </w:p>
        </w:tc>
      </w:tr>
      <w:tr w:rsidR="00280F65" w:rsidRPr="00F03354" w14:paraId="4E013043"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shd w:val="clear" w:color="auto" w:fill="auto"/>
            <w:hideMark/>
          </w:tcPr>
          <w:p w14:paraId="787F2AC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auto"/>
            <w:hideMark/>
          </w:tcPr>
          <w:p w14:paraId="419A0D6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urgent maternity patient contacts scheduled within the reporting period for an appointment within 30 days of referral to clinic.</w:t>
            </w:r>
          </w:p>
        </w:tc>
      </w:tr>
      <w:tr w:rsidR="00280F65" w:rsidRPr="00F03354" w14:paraId="03643364"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shd w:val="clear" w:color="auto" w:fill="auto"/>
            <w:hideMark/>
          </w:tcPr>
          <w:p w14:paraId="1EA5603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auto"/>
            <w:hideMark/>
          </w:tcPr>
          <w:p w14:paraId="496A059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urgent maternity patient contacts scheduled within the reporting period for an appointment.</w:t>
            </w:r>
          </w:p>
        </w:tc>
      </w:tr>
      <w:tr w:rsidR="00280F65" w:rsidRPr="00F03354" w14:paraId="13D0BF88"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shd w:val="clear" w:color="auto" w:fill="auto"/>
          </w:tcPr>
          <w:p w14:paraId="3614412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auto"/>
          </w:tcPr>
          <w:p w14:paraId="4213FCA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100%</w:t>
            </w:r>
          </w:p>
        </w:tc>
      </w:tr>
      <w:tr w:rsidR="00280F65" w:rsidRPr="00F03354" w14:paraId="5A8957AD" w14:textId="77777777" w:rsidTr="00343182">
        <w:trPr>
          <w:cantSplit/>
          <w:trHeight w:val="439"/>
        </w:trPr>
        <w:tc>
          <w:tcPr>
            <w:tcW w:w="2552" w:type="dxa"/>
            <w:vMerge w:val="restart"/>
            <w:tcBorders>
              <w:top w:val="single" w:sz="4" w:space="0" w:color="201547"/>
              <w:left w:val="single" w:sz="4" w:space="0" w:color="201547"/>
              <w:bottom w:val="single" w:sz="4" w:space="0" w:color="201547"/>
              <w:right w:val="single" w:sz="4" w:space="0" w:color="201547"/>
            </w:tcBorders>
            <w:shd w:val="clear" w:color="auto" w:fill="auto"/>
            <w:vAlign w:val="center"/>
          </w:tcPr>
          <w:p w14:paraId="4A5079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819" w:type="dxa"/>
            <w:tcBorders>
              <w:top w:val="single" w:sz="4" w:space="0" w:color="201547"/>
              <w:left w:val="single" w:sz="4" w:space="0" w:color="201547"/>
              <w:bottom w:val="single" w:sz="4" w:space="0" w:color="201547"/>
              <w:right w:val="single" w:sz="4" w:space="0" w:color="201547"/>
            </w:tcBorders>
            <w:shd w:val="clear" w:color="auto" w:fill="auto"/>
          </w:tcPr>
          <w:p w14:paraId="0C5607C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100%</w:t>
            </w:r>
          </w:p>
        </w:tc>
        <w:tc>
          <w:tcPr>
            <w:tcW w:w="2722" w:type="dxa"/>
            <w:tcBorders>
              <w:top w:val="single" w:sz="4" w:space="0" w:color="201547"/>
              <w:left w:val="single" w:sz="4" w:space="0" w:color="201547"/>
              <w:bottom w:val="single" w:sz="4" w:space="0" w:color="201547"/>
              <w:right w:val="single" w:sz="4" w:space="0" w:color="201547"/>
            </w:tcBorders>
            <w:shd w:val="clear" w:color="auto" w:fill="auto"/>
          </w:tcPr>
          <w:p w14:paraId="5B760ACE"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28F14A2E" w14:textId="77777777" w:rsidTr="00343182">
        <w:trPr>
          <w:cantSplit/>
          <w:trHeight w:val="439"/>
        </w:trPr>
        <w:tc>
          <w:tcPr>
            <w:tcW w:w="2552" w:type="dxa"/>
            <w:vMerge/>
            <w:tcBorders>
              <w:top w:val="single" w:sz="4" w:space="0" w:color="201547"/>
              <w:left w:val="single" w:sz="4" w:space="0" w:color="201547"/>
              <w:bottom w:val="single" w:sz="4" w:space="0" w:color="201547"/>
              <w:right w:val="single" w:sz="4" w:space="0" w:color="201547"/>
            </w:tcBorders>
            <w:shd w:val="clear" w:color="auto" w:fill="auto"/>
            <w:vAlign w:val="center"/>
          </w:tcPr>
          <w:p w14:paraId="61F575B1"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819" w:type="dxa"/>
            <w:tcBorders>
              <w:top w:val="single" w:sz="4" w:space="0" w:color="201547"/>
              <w:left w:val="single" w:sz="4" w:space="0" w:color="201547"/>
              <w:bottom w:val="single" w:sz="4" w:space="0" w:color="201547"/>
              <w:right w:val="single" w:sz="4" w:space="0" w:color="201547"/>
            </w:tcBorders>
            <w:shd w:val="clear" w:color="auto" w:fill="auto"/>
          </w:tcPr>
          <w:p w14:paraId="20B0EC1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100%</w:t>
            </w:r>
          </w:p>
        </w:tc>
        <w:tc>
          <w:tcPr>
            <w:tcW w:w="2722" w:type="dxa"/>
            <w:tcBorders>
              <w:top w:val="single" w:sz="4" w:space="0" w:color="201547"/>
              <w:left w:val="single" w:sz="4" w:space="0" w:color="201547"/>
              <w:bottom w:val="single" w:sz="4" w:space="0" w:color="201547"/>
              <w:right w:val="single" w:sz="4" w:space="0" w:color="201547"/>
            </w:tcBorders>
            <w:shd w:val="clear" w:color="auto" w:fill="auto"/>
          </w:tcPr>
          <w:p w14:paraId="3E5DA0DE"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7B3CFBAB"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shd w:val="clear" w:color="auto" w:fill="auto"/>
            <w:vAlign w:val="center"/>
          </w:tcPr>
          <w:p w14:paraId="4BB77EE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auto"/>
          </w:tcPr>
          <w:p w14:paraId="598C6CF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same time last year performance.</w:t>
            </w:r>
          </w:p>
        </w:tc>
      </w:tr>
      <w:tr w:rsidR="00280F65" w:rsidRPr="00F03354" w14:paraId="4D6FEA57"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shd w:val="clear" w:color="auto" w:fill="auto"/>
            <w:hideMark/>
          </w:tcPr>
          <w:p w14:paraId="6D8FDB4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auto"/>
            <w:hideMark/>
          </w:tcPr>
          <w:p w14:paraId="42DD6035" w14:textId="77777777" w:rsidR="00280F65" w:rsidRPr="00F03354" w:rsidRDefault="00280F65" w:rsidP="00280F65">
            <w:pPr>
              <w:spacing w:before="80" w:after="60" w:line="240" w:lineRule="auto"/>
              <w:rPr>
                <w:rFonts w:ascii="VIC" w:eastAsia="Times New Roman" w:hAnsi="VIC" w:cs="Times New Roman"/>
                <w:color w:val="000000"/>
                <w:sz w:val="20"/>
                <w:szCs w:val="20"/>
              </w:rPr>
            </w:pPr>
            <w:r w:rsidRPr="00F03354">
              <w:rPr>
                <w:rFonts w:ascii="VIC" w:eastAsia="Times New Roman" w:hAnsi="VIC" w:cs="Times New Roman"/>
                <w:sz w:val="20"/>
                <w:szCs w:val="20"/>
              </w:rPr>
              <w:t>Performance is monitored and assessed quarterly for contacts scheduled within the reporting period.</w:t>
            </w:r>
          </w:p>
          <w:p w14:paraId="41C0AA7E" w14:textId="77777777" w:rsidR="00280F65" w:rsidRPr="00F03354" w:rsidRDefault="00280F65" w:rsidP="00280F65">
            <w:pPr>
              <w:spacing w:before="80" w:after="60" w:line="240" w:lineRule="auto"/>
              <w:rPr>
                <w:rFonts w:ascii="VIC" w:eastAsia="Times New Roman" w:hAnsi="VIC" w:cs="Times New Roman"/>
                <w:color w:val="000000"/>
                <w:sz w:val="20"/>
                <w:szCs w:val="20"/>
              </w:rPr>
            </w:pPr>
            <w:r w:rsidRPr="00F03354">
              <w:rPr>
                <w:rFonts w:ascii="VIC" w:eastAsia="Times New Roman" w:hAnsi="VIC" w:cs="Times New Roman"/>
                <w:sz w:val="20"/>
                <w:szCs w:val="20"/>
              </w:rPr>
              <w:t>Data for this indicator is derived from VINAH.</w:t>
            </w:r>
          </w:p>
          <w:p w14:paraId="17598A6E" w14:textId="77777777" w:rsidR="00280F65" w:rsidRPr="00F03354" w:rsidRDefault="00280F65" w:rsidP="00280F65">
            <w:pPr>
              <w:spacing w:before="80" w:after="60" w:line="240" w:lineRule="auto"/>
              <w:rPr>
                <w:rFonts w:ascii="VIC" w:eastAsia="Times New Roman" w:hAnsi="VIC" w:cs="Times New Roman"/>
                <w:color w:val="000000"/>
                <w:sz w:val="20"/>
                <w:szCs w:val="20"/>
              </w:rPr>
            </w:pPr>
            <w:r w:rsidRPr="00F03354">
              <w:rPr>
                <w:rFonts w:ascii="VIC" w:eastAsia="Times New Roman" w:hAnsi="VIC" w:cs="Times New Roman"/>
                <w:sz w:val="20"/>
                <w:szCs w:val="20"/>
              </w:rPr>
              <w:t>Submission date: health services are encouraged to submit data as often as desired, so long as a minimum of one submission is made for each reference month no later than 5pm on the 10th day of the following reference month.</w:t>
            </w:r>
          </w:p>
          <w:p w14:paraId="61204B97" w14:textId="77777777" w:rsidR="00280F65" w:rsidRPr="00F03354" w:rsidRDefault="00280F65" w:rsidP="00280F65">
            <w:pPr>
              <w:spacing w:before="80" w:after="60" w:line="240" w:lineRule="auto"/>
              <w:rPr>
                <w:rFonts w:ascii="VIC" w:eastAsia="Times New Roman" w:hAnsi="VIC" w:cs="Times New Roman"/>
                <w:color w:val="000000"/>
                <w:sz w:val="20"/>
                <w:szCs w:val="20"/>
              </w:rPr>
            </w:pPr>
            <w:r w:rsidRPr="00F03354">
              <w:rPr>
                <w:rFonts w:ascii="VIC" w:eastAsia="Times New Roman" w:hAnsi="VIC" w:cs="Times New Roman"/>
                <w:sz w:val="20"/>
                <w:szCs w:val="20"/>
              </w:rPr>
              <w:t>Clean date: all errors are to be cleared by the 14th day of the following month, or the preceding working day if the 14th falls on a weekend or public holiday.</w:t>
            </w:r>
          </w:p>
          <w:p w14:paraId="2F00D17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End of financial year consolidation: all errors for the year must be corrected and resubmitted before consolidation of the VINAH database on the date advised in the </w:t>
            </w:r>
            <w:r w:rsidRPr="00F03354">
              <w:rPr>
                <w:rFonts w:ascii="VIC" w:eastAsia="Times New Roman" w:hAnsi="VIC" w:cs="Times New Roman"/>
                <w:i/>
                <w:sz w:val="20"/>
                <w:szCs w:val="20"/>
              </w:rPr>
              <w:t>Policy and Funding Guidelines</w:t>
            </w:r>
            <w:r w:rsidRPr="00F03354">
              <w:rPr>
                <w:rFonts w:ascii="VIC" w:eastAsia="Times New Roman" w:hAnsi="VIC" w:cs="Times New Roman"/>
                <w:sz w:val="20"/>
                <w:szCs w:val="20"/>
              </w:rPr>
              <w:t>.</w:t>
            </w:r>
          </w:p>
        </w:tc>
      </w:tr>
    </w:tbl>
    <w:p w14:paraId="597DE2F8" w14:textId="77777777"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br w:type="page"/>
      </w:r>
    </w:p>
    <w:p w14:paraId="79037022"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50" w:name="_Toc10123560"/>
      <w:r w:rsidRPr="00F03354">
        <w:rPr>
          <w:rFonts w:ascii="VIC" w:eastAsia="MS Mincho" w:hAnsi="VIC" w:cs="Arial"/>
          <w:b/>
          <w:bCs/>
          <w:sz w:val="20"/>
          <w:szCs w:val="20"/>
        </w:rPr>
        <w:lastRenderedPageBreak/>
        <w:t>Timely response (Ambulance Victoria only)</w:t>
      </w:r>
      <w:bookmarkEnd w:id="49"/>
      <w:bookmarkEnd w:id="50"/>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18"/>
        <w:gridCol w:w="4457"/>
        <w:gridCol w:w="2977"/>
      </w:tblGrid>
      <w:tr w:rsidR="00280F65" w:rsidRPr="00F03354" w14:paraId="621E0B05" w14:textId="77777777" w:rsidTr="00343182">
        <w:trPr>
          <w:cantSplit/>
          <w:trHeight w:val="60"/>
          <w:tblHeader/>
        </w:trPr>
        <w:tc>
          <w:tcPr>
            <w:tcW w:w="2518" w:type="dxa"/>
            <w:shd w:val="clear" w:color="auto" w:fill="244C5A"/>
            <w:vAlign w:val="bottom"/>
          </w:tcPr>
          <w:p w14:paraId="13F1BB9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34" w:type="dxa"/>
            <w:gridSpan w:val="2"/>
            <w:shd w:val="clear" w:color="auto" w:fill="244C5A"/>
            <w:vAlign w:val="bottom"/>
          </w:tcPr>
          <w:p w14:paraId="3BB677C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emergency (Code 1) incidents responded to within 15 minutes</w:t>
            </w:r>
          </w:p>
        </w:tc>
      </w:tr>
      <w:tr w:rsidR="00280F65" w:rsidRPr="00F03354" w14:paraId="4EEFA934" w14:textId="77777777" w:rsidTr="00343182">
        <w:trPr>
          <w:cantSplit/>
          <w:trHeight w:val="60"/>
        </w:trPr>
        <w:tc>
          <w:tcPr>
            <w:tcW w:w="2518" w:type="dxa"/>
            <w:hideMark/>
          </w:tcPr>
          <w:p w14:paraId="3599B71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34" w:type="dxa"/>
            <w:gridSpan w:val="2"/>
            <w:hideMark/>
          </w:tcPr>
          <w:p w14:paraId="6511423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response times are an indicator of the provision of accessible and effective ambulance service to communities.</w:t>
            </w:r>
          </w:p>
          <w:p w14:paraId="6225606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Code 1 incidents are potentially life threatening and are time-critical, requiring a lights and sirens response.</w:t>
            </w:r>
          </w:p>
        </w:tc>
      </w:tr>
      <w:tr w:rsidR="00280F65" w:rsidRPr="00F03354" w14:paraId="5C2FF1A1" w14:textId="77777777" w:rsidTr="00343182">
        <w:trPr>
          <w:cantSplit/>
          <w:trHeight w:val="60"/>
        </w:trPr>
        <w:tc>
          <w:tcPr>
            <w:tcW w:w="2518" w:type="dxa"/>
            <w:hideMark/>
          </w:tcPr>
          <w:p w14:paraId="5B3B17A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34" w:type="dxa"/>
            <w:gridSpan w:val="2"/>
            <w:hideMark/>
          </w:tcPr>
          <w:p w14:paraId="0507C48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Response time measures the time from a triple zero (000) call being answered by the Emergency Services Telecommunications Authority (ESTA) to the time of the first arrival at the incident scene of an Ambulance Victoria paramedic, a community emergency response team or an ambulance community officer.</w:t>
            </w:r>
          </w:p>
          <w:p w14:paraId="160C2F5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all emergency road Code 1 incidents responded to statewide.</w:t>
            </w:r>
          </w:p>
          <w:p w14:paraId="6C81C9F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w:t>
            </w:r>
          </w:p>
          <w:p w14:paraId="4A2DF800" w14:textId="77777777"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incidents for which the response time was recorded as &gt; 2 hours or where there are missing time stamps</w:t>
            </w:r>
          </w:p>
          <w:p w14:paraId="0BBC681C" w14:textId="36D82954"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responses to ambulance incidents by the Metropolitan Fire Brigade, the Country Fire Authority, NSW Ambulance Service</w:t>
            </w:r>
            <w:r w:rsidR="000B5FE3"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remote area nurses</w:t>
            </w:r>
            <w:r w:rsidR="006B68E8" w:rsidRPr="00F03354">
              <w:rPr>
                <w:rFonts w:ascii="VIC" w:eastAsia="Times New Roman" w:hAnsi="VIC" w:cs="Times New Roman"/>
                <w:sz w:val="20"/>
                <w:szCs w:val="20"/>
              </w:rPr>
              <w:t>’</w:t>
            </w:r>
            <w:r w:rsidR="000B5FE3" w:rsidRPr="00F03354">
              <w:rPr>
                <w:rFonts w:ascii="VIC" w:eastAsia="Times New Roman" w:hAnsi="VIC" w:cs="Times New Roman"/>
                <w:sz w:val="20"/>
                <w:szCs w:val="20"/>
              </w:rPr>
              <w:t xml:space="preserve"> </w:t>
            </w:r>
            <w:r w:rsidRPr="00F03354">
              <w:rPr>
                <w:rFonts w:ascii="VIC" w:eastAsia="Times New Roman" w:hAnsi="VIC" w:cs="Times New Roman"/>
                <w:sz w:val="20"/>
                <w:szCs w:val="20"/>
              </w:rPr>
              <w:t>responses by air ambulance resources.</w:t>
            </w:r>
          </w:p>
          <w:p w14:paraId="55F2BC5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to one decimal place.</w:t>
            </w:r>
          </w:p>
        </w:tc>
      </w:tr>
      <w:tr w:rsidR="00280F65" w:rsidRPr="00F03354" w14:paraId="1A36C18C" w14:textId="77777777" w:rsidTr="00343182">
        <w:trPr>
          <w:cantSplit/>
          <w:trHeight w:val="60"/>
        </w:trPr>
        <w:tc>
          <w:tcPr>
            <w:tcW w:w="2518" w:type="dxa"/>
            <w:hideMark/>
          </w:tcPr>
          <w:p w14:paraId="365584C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34" w:type="dxa"/>
            <w:gridSpan w:val="2"/>
            <w:hideMark/>
          </w:tcPr>
          <w:p w14:paraId="09D3B79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sum of all first arrival responses from each emergency road Code 1 incident responded to within 15 minutes</w:t>
            </w:r>
          </w:p>
        </w:tc>
      </w:tr>
      <w:tr w:rsidR="00280F65" w:rsidRPr="00F03354" w14:paraId="2B6F0AF4" w14:textId="77777777" w:rsidTr="00343182">
        <w:trPr>
          <w:cantSplit/>
          <w:trHeight w:val="60"/>
        </w:trPr>
        <w:tc>
          <w:tcPr>
            <w:tcW w:w="2518" w:type="dxa"/>
            <w:hideMark/>
          </w:tcPr>
          <w:p w14:paraId="41ABD95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34" w:type="dxa"/>
            <w:gridSpan w:val="2"/>
            <w:hideMark/>
          </w:tcPr>
          <w:p w14:paraId="78BDFBB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emergency road Code 1 incidents responded to in that same reporting period</w:t>
            </w:r>
          </w:p>
        </w:tc>
      </w:tr>
      <w:tr w:rsidR="00280F65" w:rsidRPr="00F03354" w14:paraId="3FE13B20" w14:textId="77777777" w:rsidTr="00343182">
        <w:trPr>
          <w:cantSplit/>
          <w:trHeight w:val="60"/>
        </w:trPr>
        <w:tc>
          <w:tcPr>
            <w:tcW w:w="2518" w:type="dxa"/>
            <w:hideMark/>
          </w:tcPr>
          <w:p w14:paraId="5E03FA3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34" w:type="dxa"/>
            <w:gridSpan w:val="2"/>
            <w:hideMark/>
          </w:tcPr>
          <w:p w14:paraId="59A23BE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85%</w:t>
            </w:r>
          </w:p>
        </w:tc>
      </w:tr>
      <w:tr w:rsidR="00280F65" w:rsidRPr="00F03354" w14:paraId="547C0A92" w14:textId="77777777" w:rsidTr="00343182">
        <w:trPr>
          <w:cantSplit/>
          <w:trHeight w:val="60"/>
        </w:trPr>
        <w:tc>
          <w:tcPr>
            <w:tcW w:w="2518" w:type="dxa"/>
            <w:vMerge w:val="restart"/>
            <w:hideMark/>
          </w:tcPr>
          <w:p w14:paraId="3EA62087"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Achievement</w:t>
            </w:r>
          </w:p>
        </w:tc>
        <w:tc>
          <w:tcPr>
            <w:tcW w:w="4457" w:type="dxa"/>
            <w:hideMark/>
          </w:tcPr>
          <w:p w14:paraId="063AB616"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Equal to or greater than 85%</w:t>
            </w:r>
          </w:p>
        </w:tc>
        <w:tc>
          <w:tcPr>
            <w:tcW w:w="2977" w:type="dxa"/>
            <w:hideMark/>
          </w:tcPr>
          <w:p w14:paraId="156811B5"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Achieved</w:t>
            </w:r>
          </w:p>
        </w:tc>
      </w:tr>
      <w:tr w:rsidR="00280F65" w:rsidRPr="00F03354" w14:paraId="3D3C54F0" w14:textId="77777777" w:rsidTr="00343182">
        <w:trPr>
          <w:cantSplit/>
          <w:trHeight w:val="60"/>
        </w:trPr>
        <w:tc>
          <w:tcPr>
            <w:tcW w:w="2518" w:type="dxa"/>
            <w:vMerge/>
            <w:vAlign w:val="center"/>
            <w:hideMark/>
          </w:tcPr>
          <w:p w14:paraId="35AE5742"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457" w:type="dxa"/>
            <w:hideMark/>
          </w:tcPr>
          <w:p w14:paraId="7C565F1B"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Less than 85%</w:t>
            </w:r>
          </w:p>
        </w:tc>
        <w:tc>
          <w:tcPr>
            <w:tcW w:w="2977" w:type="dxa"/>
            <w:hideMark/>
          </w:tcPr>
          <w:p w14:paraId="188B90BD" w14:textId="77777777" w:rsidR="00280F65" w:rsidRPr="00F03354" w:rsidRDefault="00280F65" w:rsidP="00280F65">
            <w:pPr>
              <w:spacing w:before="80" w:after="60" w:line="240" w:lineRule="auto"/>
              <w:jc w:val="center"/>
              <w:rPr>
                <w:rFonts w:ascii="VIC" w:eastAsia="Times New Roman" w:hAnsi="VIC" w:cs="Times New Roman"/>
                <w:b/>
                <w:bCs/>
                <w:i/>
                <w:iCs/>
                <w:sz w:val="20"/>
                <w:szCs w:val="20"/>
              </w:rPr>
            </w:pPr>
            <w:r w:rsidRPr="00F03354">
              <w:rPr>
                <w:rFonts w:ascii="VIC" w:eastAsia="Times New Roman" w:hAnsi="VIC" w:cs="Times New Roman"/>
                <w:sz w:val="20"/>
                <w:szCs w:val="20"/>
              </w:rPr>
              <w:t>Not achieved</w:t>
            </w:r>
          </w:p>
        </w:tc>
      </w:tr>
      <w:tr w:rsidR="00280F65" w:rsidRPr="00F03354" w14:paraId="19BA3F0B" w14:textId="77777777" w:rsidTr="00343182">
        <w:trPr>
          <w:cantSplit/>
          <w:trHeight w:val="60"/>
        </w:trPr>
        <w:tc>
          <w:tcPr>
            <w:tcW w:w="2518" w:type="dxa"/>
            <w:vAlign w:val="center"/>
          </w:tcPr>
          <w:p w14:paraId="4E93507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34" w:type="dxa"/>
            <w:gridSpan w:val="2"/>
          </w:tcPr>
          <w:p w14:paraId="0482671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same time last year performance.</w:t>
            </w:r>
          </w:p>
        </w:tc>
      </w:tr>
      <w:tr w:rsidR="00280F65" w:rsidRPr="00F03354" w14:paraId="79FD3C81" w14:textId="77777777" w:rsidTr="00343182">
        <w:trPr>
          <w:cantSplit/>
          <w:trHeight w:val="60"/>
        </w:trPr>
        <w:tc>
          <w:tcPr>
            <w:tcW w:w="2518" w:type="dxa"/>
            <w:hideMark/>
          </w:tcPr>
          <w:p w14:paraId="1911405F"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Frequency of reporting and data collection</w:t>
            </w:r>
          </w:p>
        </w:tc>
        <w:tc>
          <w:tcPr>
            <w:tcW w:w="7434" w:type="dxa"/>
            <w:gridSpan w:val="2"/>
            <w:hideMark/>
          </w:tcPr>
          <w:p w14:paraId="45DF38E7"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Performance is monitored and assessed monthly.</w:t>
            </w:r>
          </w:p>
          <w:p w14:paraId="1F96DF32"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Ambulance Victoria submits data to the department monthly.</w:t>
            </w:r>
          </w:p>
        </w:tc>
      </w:tr>
    </w:tbl>
    <w:p w14:paraId="03071BAD" w14:textId="77777777" w:rsidR="00280F65" w:rsidRPr="00F03354" w:rsidRDefault="00280F65" w:rsidP="00280F65">
      <w:pPr>
        <w:spacing w:after="120" w:line="270" w:lineRule="atLeast"/>
        <w:rPr>
          <w:rFonts w:ascii="VIC" w:eastAsia="Times" w:hAnsi="VIC" w:cs="Times New Roman"/>
          <w:b/>
          <w:sz w:val="20"/>
          <w:szCs w:val="20"/>
        </w:rPr>
      </w:pPr>
      <w:r w:rsidRPr="00F03354">
        <w:rPr>
          <w:rFonts w:ascii="VIC" w:eastAsia="Times" w:hAnsi="VIC" w:cs="Times New Roman"/>
          <w:b/>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507"/>
        <w:gridCol w:w="2864"/>
      </w:tblGrid>
      <w:tr w:rsidR="00280F65" w:rsidRPr="00F03354" w14:paraId="04F91B3B" w14:textId="77777777" w:rsidTr="00343182">
        <w:trPr>
          <w:cantSplit/>
          <w:trHeight w:val="60"/>
          <w:tblHeader/>
        </w:trPr>
        <w:tc>
          <w:tcPr>
            <w:tcW w:w="2581" w:type="dxa"/>
            <w:shd w:val="clear" w:color="auto" w:fill="244C5A"/>
            <w:vAlign w:val="bottom"/>
          </w:tcPr>
          <w:p w14:paraId="42BD643C"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371" w:type="dxa"/>
            <w:gridSpan w:val="2"/>
            <w:shd w:val="clear" w:color="auto" w:fill="244C5A"/>
            <w:vAlign w:val="bottom"/>
          </w:tcPr>
          <w:p w14:paraId="76BB27F7"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emergency (Priority Zero) incidents responded to within 13 minutes</w:t>
            </w:r>
          </w:p>
        </w:tc>
      </w:tr>
      <w:tr w:rsidR="00280F65" w:rsidRPr="00F03354" w14:paraId="2AE72FE0" w14:textId="77777777" w:rsidTr="00343182">
        <w:trPr>
          <w:cantSplit/>
          <w:trHeight w:val="60"/>
        </w:trPr>
        <w:tc>
          <w:tcPr>
            <w:tcW w:w="2581" w:type="dxa"/>
            <w:hideMark/>
          </w:tcPr>
          <w:p w14:paraId="63965A82"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Description</w:t>
            </w:r>
          </w:p>
        </w:tc>
        <w:tc>
          <w:tcPr>
            <w:tcW w:w="7371" w:type="dxa"/>
            <w:gridSpan w:val="2"/>
            <w:hideMark/>
          </w:tcPr>
          <w:p w14:paraId="1A1B104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Percentage of emergency (Priority Zero) cases attended within 13 minutes of the Triple Zero (000) call.</w:t>
            </w:r>
          </w:p>
          <w:p w14:paraId="1B4C78F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response times are an indicator of the provision of accessible and effective ambulance service to communities.</w:t>
            </w:r>
          </w:p>
          <w:p w14:paraId="5FC886C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Priority Zero cases are immediately life-threatening emergencies where patient is known or suspected to be in cardiac arrest.</w:t>
            </w:r>
          </w:p>
        </w:tc>
      </w:tr>
      <w:tr w:rsidR="00280F65" w:rsidRPr="00F03354" w14:paraId="5BF3476C" w14:textId="77777777" w:rsidTr="00343182">
        <w:trPr>
          <w:cantSplit/>
          <w:trHeight w:val="60"/>
        </w:trPr>
        <w:tc>
          <w:tcPr>
            <w:tcW w:w="2581" w:type="dxa"/>
            <w:hideMark/>
          </w:tcPr>
          <w:p w14:paraId="022464F8"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Calculating performance</w:t>
            </w:r>
          </w:p>
        </w:tc>
        <w:tc>
          <w:tcPr>
            <w:tcW w:w="7371" w:type="dxa"/>
            <w:gridSpan w:val="2"/>
          </w:tcPr>
          <w:p w14:paraId="4942213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Response time measures the time from a triple zero (000) call being answered by the Emergency Services Telecommunications Authority (ESTA) to the time of the first arrival at the incident scene of an Ambulance Victoria paramedic, a community emergency response team or an ambulance community officer.</w:t>
            </w:r>
          </w:p>
          <w:p w14:paraId="0901DBE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all emergency road Priority Zero incidents responded to statewide.</w:t>
            </w:r>
          </w:p>
          <w:p w14:paraId="275E2D5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w:t>
            </w:r>
          </w:p>
          <w:p w14:paraId="62FE6F8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incidents for which the response time was recorded as &gt; 2 hours or where there are missing time stamps</w:t>
            </w:r>
          </w:p>
          <w:p w14:paraId="560A1AE2" w14:textId="1A4CD8D1"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responses to ambulance incidents by the Metropolitan Fire Brigade, the Country Fire Authority, NSW Ambulance Service</w:t>
            </w:r>
            <w:r w:rsidR="000B5FE3"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remote area nurses</w:t>
            </w:r>
          </w:p>
          <w:p w14:paraId="5CB645D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responses by air ambulance resources.</w:t>
            </w:r>
          </w:p>
          <w:p w14:paraId="57A1241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to one decimal place.</w:t>
            </w:r>
          </w:p>
        </w:tc>
      </w:tr>
      <w:tr w:rsidR="00280F65" w:rsidRPr="00F03354" w14:paraId="6034FE50" w14:textId="77777777" w:rsidTr="00343182">
        <w:trPr>
          <w:cantSplit/>
          <w:trHeight w:val="60"/>
        </w:trPr>
        <w:tc>
          <w:tcPr>
            <w:tcW w:w="2581" w:type="dxa"/>
            <w:hideMark/>
          </w:tcPr>
          <w:p w14:paraId="1F07E0BD"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Numerator</w:t>
            </w:r>
          </w:p>
        </w:tc>
        <w:tc>
          <w:tcPr>
            <w:tcW w:w="7371" w:type="dxa"/>
            <w:gridSpan w:val="2"/>
          </w:tcPr>
          <w:p w14:paraId="0C4578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sum of all first arrival responses from each emergency road Priority Zero incident responded to within 13 minutes</w:t>
            </w:r>
          </w:p>
        </w:tc>
      </w:tr>
      <w:tr w:rsidR="00280F65" w:rsidRPr="00F03354" w14:paraId="1AC569C9" w14:textId="77777777" w:rsidTr="00343182">
        <w:trPr>
          <w:cantSplit/>
          <w:trHeight w:val="60"/>
        </w:trPr>
        <w:tc>
          <w:tcPr>
            <w:tcW w:w="2581" w:type="dxa"/>
            <w:hideMark/>
          </w:tcPr>
          <w:p w14:paraId="6C0D2A3D" w14:textId="77777777" w:rsidR="00280F65" w:rsidRPr="00F03354" w:rsidRDefault="00280F65" w:rsidP="00280F65">
            <w:pPr>
              <w:spacing w:before="80" w:after="60" w:line="240" w:lineRule="auto"/>
              <w:rPr>
                <w:rFonts w:ascii="VIC" w:eastAsia="Times New Roman" w:hAnsi="VIC" w:cs="Times New Roman"/>
                <w:b/>
                <w:bCs/>
                <w:i/>
                <w:iCs/>
                <w:sz w:val="20"/>
                <w:szCs w:val="20"/>
              </w:rPr>
            </w:pPr>
            <w:r w:rsidRPr="00F03354">
              <w:rPr>
                <w:rFonts w:ascii="VIC" w:eastAsia="Times New Roman" w:hAnsi="VIC" w:cs="Times New Roman"/>
                <w:sz w:val="20"/>
                <w:szCs w:val="20"/>
              </w:rPr>
              <w:t>Denominator</w:t>
            </w:r>
          </w:p>
        </w:tc>
        <w:tc>
          <w:tcPr>
            <w:tcW w:w="7371" w:type="dxa"/>
            <w:gridSpan w:val="2"/>
          </w:tcPr>
          <w:p w14:paraId="501A449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emergency road Priority Zero incidents responded to in that same reporting period</w:t>
            </w:r>
          </w:p>
        </w:tc>
      </w:tr>
      <w:tr w:rsidR="00280F65" w:rsidRPr="00F03354" w14:paraId="29D5E035" w14:textId="77777777" w:rsidTr="00343182">
        <w:trPr>
          <w:cantSplit/>
          <w:trHeight w:val="60"/>
        </w:trPr>
        <w:tc>
          <w:tcPr>
            <w:tcW w:w="2581" w:type="dxa"/>
            <w:hideMark/>
          </w:tcPr>
          <w:p w14:paraId="2278083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Risk flag</w:t>
            </w:r>
          </w:p>
        </w:tc>
        <w:tc>
          <w:tcPr>
            <w:tcW w:w="7371" w:type="dxa"/>
            <w:gridSpan w:val="2"/>
            <w:hideMark/>
          </w:tcPr>
          <w:p w14:paraId="71DF97F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85%</w:t>
            </w:r>
          </w:p>
        </w:tc>
      </w:tr>
      <w:tr w:rsidR="00280F65" w:rsidRPr="00F03354" w14:paraId="02AFC619" w14:textId="77777777" w:rsidTr="00343182">
        <w:trPr>
          <w:cantSplit/>
          <w:trHeight w:val="60"/>
        </w:trPr>
        <w:tc>
          <w:tcPr>
            <w:tcW w:w="2581" w:type="dxa"/>
            <w:vMerge w:val="restart"/>
            <w:hideMark/>
          </w:tcPr>
          <w:p w14:paraId="0D07264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507" w:type="dxa"/>
            <w:hideMark/>
          </w:tcPr>
          <w:p w14:paraId="665511A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above 85%</w:t>
            </w:r>
          </w:p>
        </w:tc>
        <w:tc>
          <w:tcPr>
            <w:tcW w:w="2864" w:type="dxa"/>
            <w:hideMark/>
          </w:tcPr>
          <w:p w14:paraId="6893A1B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455A5B98" w14:textId="77777777" w:rsidTr="00343182">
        <w:trPr>
          <w:cantSplit/>
          <w:trHeight w:val="60"/>
        </w:trPr>
        <w:tc>
          <w:tcPr>
            <w:tcW w:w="2581" w:type="dxa"/>
            <w:vMerge/>
            <w:vAlign w:val="center"/>
            <w:hideMark/>
          </w:tcPr>
          <w:p w14:paraId="2C4F4DAD"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507" w:type="dxa"/>
            <w:hideMark/>
          </w:tcPr>
          <w:p w14:paraId="7963C03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Below 85%</w:t>
            </w:r>
          </w:p>
        </w:tc>
        <w:tc>
          <w:tcPr>
            <w:tcW w:w="2864" w:type="dxa"/>
            <w:hideMark/>
          </w:tcPr>
          <w:p w14:paraId="02D1CAB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6A3A3DDD" w14:textId="77777777" w:rsidTr="00343182">
        <w:trPr>
          <w:cantSplit/>
          <w:trHeight w:val="60"/>
        </w:trPr>
        <w:tc>
          <w:tcPr>
            <w:tcW w:w="2581" w:type="dxa"/>
            <w:vAlign w:val="center"/>
          </w:tcPr>
          <w:p w14:paraId="3678A7E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gridSpan w:val="2"/>
          </w:tcPr>
          <w:p w14:paraId="4DCDC63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same time last year performance.</w:t>
            </w:r>
          </w:p>
        </w:tc>
      </w:tr>
      <w:tr w:rsidR="00280F65" w:rsidRPr="00F03354" w14:paraId="633FD526" w14:textId="77777777" w:rsidTr="00343182">
        <w:trPr>
          <w:cantSplit/>
          <w:trHeight w:val="60"/>
        </w:trPr>
        <w:tc>
          <w:tcPr>
            <w:tcW w:w="2581" w:type="dxa"/>
            <w:hideMark/>
          </w:tcPr>
          <w:p w14:paraId="57643A3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hideMark/>
          </w:tcPr>
          <w:p w14:paraId="3B1A8EF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04EBC0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Ambulance Victoria submits data to the department monthly.</w:t>
            </w:r>
          </w:p>
        </w:tc>
      </w:tr>
    </w:tbl>
    <w:p w14:paraId="22E10E70" w14:textId="77777777"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423"/>
        <w:gridCol w:w="2977"/>
      </w:tblGrid>
      <w:tr w:rsidR="00280F65" w:rsidRPr="00F03354" w14:paraId="54E30E45" w14:textId="77777777" w:rsidTr="00343182">
        <w:trPr>
          <w:cantSplit/>
          <w:tblHeader/>
        </w:trPr>
        <w:tc>
          <w:tcPr>
            <w:tcW w:w="2552" w:type="dxa"/>
            <w:shd w:val="clear" w:color="auto" w:fill="244C5A"/>
            <w:vAlign w:val="bottom"/>
          </w:tcPr>
          <w:p w14:paraId="2EF3AD4A"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400" w:type="dxa"/>
            <w:gridSpan w:val="2"/>
            <w:shd w:val="clear" w:color="auto" w:fill="244C5A"/>
            <w:vAlign w:val="bottom"/>
          </w:tcPr>
          <w:p w14:paraId="554BB81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emergency Code 1 incidents responded to within 15 minutes in centres with a population greater than 7,500</w:t>
            </w:r>
          </w:p>
        </w:tc>
      </w:tr>
      <w:tr w:rsidR="00280F65" w:rsidRPr="00F03354" w14:paraId="1B882643" w14:textId="77777777" w:rsidTr="00343182">
        <w:trPr>
          <w:cantSplit/>
        </w:trPr>
        <w:tc>
          <w:tcPr>
            <w:tcW w:w="2552" w:type="dxa"/>
            <w:hideMark/>
          </w:tcPr>
          <w:p w14:paraId="25A74FD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hideMark/>
          </w:tcPr>
          <w:p w14:paraId="1EAE149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response times are an indicator of the provision of accessible and effective ambulance service to communities.</w:t>
            </w:r>
          </w:p>
          <w:p w14:paraId="1757BA0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Code 1 incidents are potentially life threatening and are time-critical, requiring a lights and sirens response.</w:t>
            </w:r>
          </w:p>
        </w:tc>
      </w:tr>
      <w:tr w:rsidR="00280F65" w:rsidRPr="00F03354" w14:paraId="3F2B3BCA" w14:textId="77777777" w:rsidTr="00343182">
        <w:trPr>
          <w:cantSplit/>
          <w:trHeight w:val="60"/>
        </w:trPr>
        <w:tc>
          <w:tcPr>
            <w:tcW w:w="2552" w:type="dxa"/>
            <w:hideMark/>
          </w:tcPr>
          <w:p w14:paraId="5130A70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gridSpan w:val="2"/>
            <w:hideMark/>
          </w:tcPr>
          <w:p w14:paraId="528413A7" w14:textId="0C7F3D63"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Response time measures the time from a triple zero (000) call being answered by the Emergency Services Telecommunications Authority (ESTA) to the time of the first arrival at the incident scene of an Ambulance Victoria paramedic, a community emergency response team</w:t>
            </w:r>
            <w:r w:rsidR="00B40D3A" w:rsidRPr="00F03354">
              <w:rPr>
                <w:rFonts w:ascii="VIC" w:eastAsia="Times New Roman" w:hAnsi="VIC" w:cs="Times New Roman"/>
                <w:sz w:val="20"/>
                <w:szCs w:val="20"/>
              </w:rPr>
              <w:t>,</w:t>
            </w:r>
            <w:r w:rsidRPr="00F03354">
              <w:rPr>
                <w:rFonts w:ascii="VIC" w:eastAsia="Times New Roman" w:hAnsi="VIC" w:cs="Times New Roman"/>
                <w:sz w:val="20"/>
                <w:szCs w:val="20"/>
              </w:rPr>
              <w:t xml:space="preserve"> or an ambulance community officer.</w:t>
            </w:r>
          </w:p>
          <w:p w14:paraId="2FF2C74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Urban response times are emergency (Code 1) incidents responded to within 15 minutes in centres with a population &gt; 7,500. Urban centres with a population &gt; 7,500 are identified using the Australian Bureau of Statistics resident population statistics and Urban Centre Locality (UCL) boundaries.</w:t>
            </w:r>
          </w:p>
          <w:p w14:paraId="0FD3F84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all emergency road Code 1 incidents responded to in centres with a population &gt; 7,500.</w:t>
            </w:r>
          </w:p>
          <w:p w14:paraId="51E8EE4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locations of Code 1 incidents are identified using the</w:t>
            </w:r>
            <w:r w:rsidRPr="00F03354">
              <w:rPr>
                <w:rFonts w:ascii="VIC" w:eastAsia="Times New Roman" w:hAnsi="VIC" w:cs="Times New Roman"/>
                <w:i/>
                <w:sz w:val="20"/>
                <w:szCs w:val="20"/>
              </w:rPr>
              <w:t xml:space="preserve"> x</w:t>
            </w:r>
            <w:r w:rsidRPr="00F03354">
              <w:rPr>
                <w:rFonts w:ascii="VIC" w:eastAsia="Times New Roman" w:hAnsi="VIC" w:cs="Times New Roman"/>
                <w:sz w:val="20"/>
                <w:szCs w:val="20"/>
              </w:rPr>
              <w:t xml:space="preserve"> and </w:t>
            </w:r>
            <w:r w:rsidRPr="00F03354">
              <w:rPr>
                <w:rFonts w:ascii="VIC" w:eastAsia="Times New Roman" w:hAnsi="VIC" w:cs="Times New Roman"/>
                <w:i/>
                <w:sz w:val="20"/>
                <w:szCs w:val="20"/>
              </w:rPr>
              <w:t>y</w:t>
            </w:r>
            <w:r w:rsidRPr="00F03354">
              <w:rPr>
                <w:rFonts w:ascii="VIC" w:eastAsia="Times New Roman" w:hAnsi="VIC" w:cs="Times New Roman"/>
                <w:sz w:val="20"/>
                <w:szCs w:val="20"/>
              </w:rPr>
              <w:t xml:space="preserve"> coordinates generated by the ESTA Computer Aided Dispatch (CAD) system. These coordinates are mapped to UCL boundaries to identify those events that fall within the UCLs where the population exceeds 7,500.</w:t>
            </w:r>
          </w:p>
          <w:p w14:paraId="7009C08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w:t>
            </w:r>
          </w:p>
          <w:p w14:paraId="412BF7B9" w14:textId="77777777"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incidents for which the response time was recorded as &gt; 2 hours or where there are missing time stamps</w:t>
            </w:r>
          </w:p>
          <w:p w14:paraId="4ECB57A3" w14:textId="52A47F56"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responses to ambulance incidents by the Metropolitan Fire Brigade, the Country Fire Authority, NSW Ambulance Service</w:t>
            </w:r>
            <w:r w:rsidR="009F6862"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remote area nurse</w:t>
            </w:r>
          </w:p>
          <w:p w14:paraId="69EDE37A"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responses by air ambulance resources.</w:t>
            </w:r>
          </w:p>
          <w:p w14:paraId="663CA24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to one decimal place.</w:t>
            </w:r>
          </w:p>
        </w:tc>
      </w:tr>
      <w:tr w:rsidR="00280F65" w:rsidRPr="00F03354" w14:paraId="33B37B57" w14:textId="77777777" w:rsidTr="00343182">
        <w:trPr>
          <w:cantSplit/>
          <w:trHeight w:val="60"/>
        </w:trPr>
        <w:tc>
          <w:tcPr>
            <w:tcW w:w="2552" w:type="dxa"/>
            <w:hideMark/>
          </w:tcPr>
          <w:p w14:paraId="78A189B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hideMark/>
          </w:tcPr>
          <w:p w14:paraId="682D7A2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Number of emergency Code 1 incidents aggregated across all the UCLs with a population &gt; 7,500 responded to within </w:t>
            </w:r>
            <w:r w:rsidRPr="00F03354">
              <w:rPr>
                <w:rFonts w:ascii="VIC" w:eastAsia="Times New Roman" w:hAnsi="VIC" w:cs="Times New Roman"/>
                <w:bCs/>
                <w:sz w:val="20"/>
                <w:szCs w:val="20"/>
              </w:rPr>
              <w:t xml:space="preserve">(≤) </w:t>
            </w:r>
            <w:r w:rsidRPr="00F03354">
              <w:rPr>
                <w:rFonts w:ascii="VIC" w:eastAsia="Times New Roman" w:hAnsi="VIC" w:cs="Times New Roman"/>
                <w:sz w:val="20"/>
                <w:szCs w:val="20"/>
              </w:rPr>
              <w:t>15 minutes</w:t>
            </w:r>
          </w:p>
        </w:tc>
      </w:tr>
      <w:tr w:rsidR="00280F65" w:rsidRPr="00F03354" w14:paraId="61BD6DCB" w14:textId="77777777" w:rsidTr="00343182">
        <w:trPr>
          <w:cantSplit/>
          <w:trHeight w:val="60"/>
        </w:trPr>
        <w:tc>
          <w:tcPr>
            <w:tcW w:w="2552" w:type="dxa"/>
            <w:hideMark/>
          </w:tcPr>
          <w:p w14:paraId="078F7E4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gridSpan w:val="2"/>
            <w:hideMark/>
          </w:tcPr>
          <w:p w14:paraId="26ECB3E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emergency Code 1 incidents across all the UCLs with a population &gt; 7,500 responded to in that same reporting period</w:t>
            </w:r>
          </w:p>
        </w:tc>
      </w:tr>
      <w:tr w:rsidR="00280F65" w:rsidRPr="00F03354" w14:paraId="34D9F2B6" w14:textId="77777777" w:rsidTr="00343182">
        <w:trPr>
          <w:cantSplit/>
          <w:trHeight w:val="60"/>
        </w:trPr>
        <w:tc>
          <w:tcPr>
            <w:tcW w:w="2552" w:type="dxa"/>
            <w:hideMark/>
          </w:tcPr>
          <w:p w14:paraId="3B29E14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hideMark/>
          </w:tcPr>
          <w:p w14:paraId="50B46D8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90%</w:t>
            </w:r>
          </w:p>
        </w:tc>
      </w:tr>
      <w:tr w:rsidR="00280F65" w:rsidRPr="00F03354" w14:paraId="729CAA74" w14:textId="77777777" w:rsidTr="00343182">
        <w:trPr>
          <w:cantSplit/>
          <w:trHeight w:val="157"/>
        </w:trPr>
        <w:tc>
          <w:tcPr>
            <w:tcW w:w="2552" w:type="dxa"/>
            <w:vMerge w:val="restart"/>
          </w:tcPr>
          <w:p w14:paraId="28410B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423" w:type="dxa"/>
          </w:tcPr>
          <w:p w14:paraId="626FAA71" w14:textId="77777777" w:rsidR="00280F65" w:rsidRPr="00F03354" w:rsidRDefault="00280F65" w:rsidP="00280F65">
            <w:pPr>
              <w:spacing w:before="80" w:after="60" w:line="240" w:lineRule="auto"/>
              <w:rPr>
                <w:rFonts w:ascii="VIC" w:eastAsia="Times New Roman" w:hAnsi="VIC" w:cs="Times New Roman"/>
                <w:sz w:val="20"/>
                <w:szCs w:val="20"/>
                <w:lang w:val="en-GB"/>
              </w:rPr>
            </w:pPr>
            <w:r w:rsidRPr="00F03354">
              <w:rPr>
                <w:rFonts w:ascii="VIC" w:eastAsia="Times New Roman" w:hAnsi="VIC" w:cs="Times New Roman"/>
                <w:sz w:val="20"/>
                <w:szCs w:val="20"/>
              </w:rPr>
              <w:t>Equal to or greater than 90%</w:t>
            </w:r>
          </w:p>
        </w:tc>
        <w:tc>
          <w:tcPr>
            <w:tcW w:w="2977" w:type="dxa"/>
          </w:tcPr>
          <w:p w14:paraId="70EA9680"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36F6169F" w14:textId="77777777" w:rsidTr="00343182">
        <w:trPr>
          <w:cantSplit/>
          <w:trHeight w:val="156"/>
        </w:trPr>
        <w:tc>
          <w:tcPr>
            <w:tcW w:w="2552" w:type="dxa"/>
            <w:vMerge/>
          </w:tcPr>
          <w:p w14:paraId="7F440B03"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423" w:type="dxa"/>
          </w:tcPr>
          <w:p w14:paraId="7067816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90%</w:t>
            </w:r>
          </w:p>
        </w:tc>
        <w:tc>
          <w:tcPr>
            <w:tcW w:w="2977" w:type="dxa"/>
          </w:tcPr>
          <w:p w14:paraId="4DDD1EDE"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49A7CB1C" w14:textId="77777777" w:rsidTr="00343182">
        <w:trPr>
          <w:cantSplit/>
          <w:trHeight w:val="60"/>
        </w:trPr>
        <w:tc>
          <w:tcPr>
            <w:tcW w:w="2552" w:type="dxa"/>
            <w:vAlign w:val="center"/>
          </w:tcPr>
          <w:p w14:paraId="19CEA1C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gridSpan w:val="2"/>
          </w:tcPr>
          <w:p w14:paraId="2721759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same time last year performance.</w:t>
            </w:r>
          </w:p>
        </w:tc>
      </w:tr>
      <w:tr w:rsidR="00280F65" w:rsidRPr="00F03354" w14:paraId="7FD2960C" w14:textId="77777777" w:rsidTr="00343182">
        <w:trPr>
          <w:cantSplit/>
          <w:trHeight w:val="60"/>
        </w:trPr>
        <w:tc>
          <w:tcPr>
            <w:tcW w:w="2552" w:type="dxa"/>
            <w:hideMark/>
          </w:tcPr>
          <w:p w14:paraId="4527DB0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400" w:type="dxa"/>
            <w:gridSpan w:val="2"/>
            <w:hideMark/>
          </w:tcPr>
          <w:p w14:paraId="250B281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380DAD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Ambulance Victoria submits data to the department monthly.</w:t>
            </w:r>
          </w:p>
        </w:tc>
      </w:tr>
    </w:tbl>
    <w:p w14:paraId="4CD34A1D" w14:textId="77777777" w:rsidR="00280F65" w:rsidRPr="00F03354" w:rsidRDefault="00280F65" w:rsidP="00280F65">
      <w:pPr>
        <w:spacing w:after="120" w:line="270" w:lineRule="atLeast"/>
        <w:rPr>
          <w:rFonts w:ascii="VIC" w:eastAsia="Times" w:hAnsi="VIC" w:cs="Times New Roman"/>
          <w:b/>
          <w:bCs/>
          <w:sz w:val="20"/>
          <w:szCs w:val="20"/>
        </w:rPr>
      </w:pPr>
      <w:r w:rsidRPr="00F03354">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365"/>
        <w:gridCol w:w="3006"/>
      </w:tblGrid>
      <w:tr w:rsidR="00280F65" w:rsidRPr="00F03354" w14:paraId="77BAB915" w14:textId="77777777" w:rsidTr="00343182">
        <w:trPr>
          <w:cantSplit/>
          <w:trHeight w:val="60"/>
          <w:tblHeader/>
        </w:trPr>
        <w:tc>
          <w:tcPr>
            <w:tcW w:w="2581" w:type="dxa"/>
            <w:shd w:val="clear" w:color="auto" w:fill="244C5A"/>
            <w:vAlign w:val="bottom"/>
          </w:tcPr>
          <w:p w14:paraId="60CF08D5"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lang w:val="en-GB"/>
              </w:rPr>
            </w:pPr>
            <w:r w:rsidRPr="00F03354">
              <w:rPr>
                <w:rFonts w:ascii="VIC" w:eastAsia="Times New Roman" w:hAnsi="VIC" w:cs="Times New Roman"/>
                <w:bCs/>
                <w:color w:val="FFFFFF" w:themeColor="background1"/>
                <w:sz w:val="20"/>
                <w:szCs w:val="20"/>
                <w:lang w:val="en-GB"/>
              </w:rPr>
              <w:lastRenderedPageBreak/>
              <w:t>Indicator</w:t>
            </w:r>
          </w:p>
        </w:tc>
        <w:tc>
          <w:tcPr>
            <w:tcW w:w="7371" w:type="dxa"/>
            <w:gridSpan w:val="2"/>
            <w:shd w:val="clear" w:color="auto" w:fill="244C5A"/>
            <w:vAlign w:val="bottom"/>
          </w:tcPr>
          <w:p w14:paraId="0192CC7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lang w:val="en-GB"/>
              </w:rPr>
            </w:pPr>
            <w:r w:rsidRPr="00F03354">
              <w:rPr>
                <w:rFonts w:ascii="VIC" w:eastAsia="Times New Roman" w:hAnsi="VIC" w:cs="Times New Roman"/>
                <w:bCs/>
                <w:color w:val="FFFFFF" w:themeColor="background1"/>
                <w:sz w:val="20"/>
                <w:szCs w:val="20"/>
                <w:lang w:val="en-GB"/>
              </w:rPr>
              <w:t>Percentage of triple zero cases where the caller receives advice or service from another health provider as an alternative to an emergency ambulance response – statewide</w:t>
            </w:r>
          </w:p>
        </w:tc>
      </w:tr>
      <w:tr w:rsidR="00280F65" w:rsidRPr="00F03354" w14:paraId="13B6E6C3" w14:textId="77777777" w:rsidTr="00343182">
        <w:trPr>
          <w:cantSplit/>
          <w:trHeight w:val="60"/>
        </w:trPr>
        <w:tc>
          <w:tcPr>
            <w:tcW w:w="2581" w:type="dxa"/>
            <w:hideMark/>
          </w:tcPr>
          <w:p w14:paraId="515B62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gridSpan w:val="2"/>
            <w:hideMark/>
          </w:tcPr>
          <w:p w14:paraId="39D50DC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Low-acuity triple zero (000) cases diverted to the Referral Service may be offered a more appropriate alternative to an emergency ambulance dispatch.</w:t>
            </w:r>
          </w:p>
          <w:p w14:paraId="3D7EBE5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 successful referral is when a triple zero call does not result in an emergency ambulance dispatch and is diverted to a non-emergency response or referred to an alternative service provider such as a medical practitioner, nursing service, other health professional service, home self-care or advice.</w:t>
            </w:r>
          </w:p>
          <w:p w14:paraId="425A20F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Ambulance Victoria manages call diversion via a Referral Service that performs a secondary triage with the patient, following the primary triage from the Emergency Services Telecommunications Authority (ESTA) call-taker.</w:t>
            </w:r>
          </w:p>
          <w:p w14:paraId="16B0B25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all triple zero calls statewide that do not result in an emergency dispatch after triage by the Referral Service.</w:t>
            </w:r>
          </w:p>
        </w:tc>
      </w:tr>
      <w:tr w:rsidR="00280F65" w:rsidRPr="00F03354" w14:paraId="5EE02805" w14:textId="77777777" w:rsidTr="00343182">
        <w:trPr>
          <w:cantSplit/>
          <w:trHeight w:val="60"/>
        </w:trPr>
        <w:tc>
          <w:tcPr>
            <w:tcW w:w="2581" w:type="dxa"/>
            <w:hideMark/>
          </w:tcPr>
          <w:p w14:paraId="6ABF85E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gridSpan w:val="2"/>
            <w:hideMark/>
          </w:tcPr>
          <w:p w14:paraId="5081D30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Proportion of triple zero cases where the caller receives advice or service from another health provider or non-emergency ambulance transport as an alternative to emergency ambulance response statewide.</w:t>
            </w:r>
          </w:p>
          <w:p w14:paraId="1F8A808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a percentage to one decimal place.</w:t>
            </w:r>
          </w:p>
          <w:p w14:paraId="1F71769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compared to same time last year performance</w:t>
            </w:r>
          </w:p>
        </w:tc>
      </w:tr>
      <w:tr w:rsidR="00280F65" w:rsidRPr="00F03354" w14:paraId="4661E822" w14:textId="77777777" w:rsidTr="00343182">
        <w:trPr>
          <w:cantSplit/>
          <w:trHeight w:val="60"/>
        </w:trPr>
        <w:tc>
          <w:tcPr>
            <w:tcW w:w="2581" w:type="dxa"/>
            <w:hideMark/>
          </w:tcPr>
          <w:p w14:paraId="586C307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gridSpan w:val="2"/>
            <w:hideMark/>
          </w:tcPr>
          <w:p w14:paraId="498D221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cases managed by the Referral Service that did not result in an emergency response</w:t>
            </w:r>
          </w:p>
        </w:tc>
      </w:tr>
      <w:tr w:rsidR="00280F65" w:rsidRPr="00F03354" w14:paraId="29763D03" w14:textId="77777777" w:rsidTr="00343182">
        <w:trPr>
          <w:cantSplit/>
          <w:trHeight w:val="60"/>
        </w:trPr>
        <w:tc>
          <w:tcPr>
            <w:tcW w:w="2581" w:type="dxa"/>
            <w:hideMark/>
          </w:tcPr>
          <w:p w14:paraId="35132C0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371" w:type="dxa"/>
            <w:gridSpan w:val="2"/>
            <w:hideMark/>
          </w:tcPr>
          <w:p w14:paraId="3B8CF3E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emergency cases + total number of Referral Service managed cases that did not result in an emergency response</w:t>
            </w:r>
          </w:p>
        </w:tc>
      </w:tr>
      <w:tr w:rsidR="00280F65" w:rsidRPr="00F03354" w14:paraId="29B36B0D" w14:textId="77777777" w:rsidTr="00343182">
        <w:trPr>
          <w:cantSplit/>
          <w:trHeight w:val="60"/>
        </w:trPr>
        <w:tc>
          <w:tcPr>
            <w:tcW w:w="2581" w:type="dxa"/>
            <w:hideMark/>
          </w:tcPr>
          <w:p w14:paraId="380F703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gridSpan w:val="2"/>
            <w:hideMark/>
          </w:tcPr>
          <w:p w14:paraId="435186F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15%</w:t>
            </w:r>
          </w:p>
        </w:tc>
      </w:tr>
      <w:tr w:rsidR="00280F65" w:rsidRPr="00F03354" w14:paraId="17A3E0C0" w14:textId="77777777" w:rsidTr="00343182">
        <w:trPr>
          <w:cantSplit/>
          <w:trHeight w:val="60"/>
        </w:trPr>
        <w:tc>
          <w:tcPr>
            <w:tcW w:w="2581" w:type="dxa"/>
            <w:vMerge w:val="restart"/>
            <w:hideMark/>
          </w:tcPr>
          <w:p w14:paraId="631EA9D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65" w:type="dxa"/>
            <w:hideMark/>
          </w:tcPr>
          <w:p w14:paraId="2A6667F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Equal to or greater than 15%</w:t>
            </w:r>
          </w:p>
        </w:tc>
        <w:tc>
          <w:tcPr>
            <w:tcW w:w="3006" w:type="dxa"/>
            <w:hideMark/>
          </w:tcPr>
          <w:p w14:paraId="35AF0D74"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0BFD26FE" w14:textId="77777777" w:rsidTr="00343182">
        <w:trPr>
          <w:cantSplit/>
          <w:trHeight w:val="60"/>
        </w:trPr>
        <w:tc>
          <w:tcPr>
            <w:tcW w:w="2581" w:type="dxa"/>
            <w:vMerge/>
            <w:vAlign w:val="center"/>
            <w:hideMark/>
          </w:tcPr>
          <w:p w14:paraId="04F1F5C7"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365" w:type="dxa"/>
            <w:hideMark/>
          </w:tcPr>
          <w:p w14:paraId="516E867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15%</w:t>
            </w:r>
          </w:p>
        </w:tc>
        <w:tc>
          <w:tcPr>
            <w:tcW w:w="3006" w:type="dxa"/>
            <w:hideMark/>
          </w:tcPr>
          <w:p w14:paraId="182985C2"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68F459C1" w14:textId="77777777" w:rsidTr="00343182">
        <w:trPr>
          <w:cantSplit/>
          <w:trHeight w:val="60"/>
        </w:trPr>
        <w:tc>
          <w:tcPr>
            <w:tcW w:w="2581" w:type="dxa"/>
            <w:vAlign w:val="center"/>
          </w:tcPr>
          <w:p w14:paraId="09CD84A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gridSpan w:val="2"/>
          </w:tcPr>
          <w:p w14:paraId="2C663B0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same time last year performance.</w:t>
            </w:r>
          </w:p>
        </w:tc>
      </w:tr>
      <w:tr w:rsidR="00280F65" w:rsidRPr="00F03354" w14:paraId="3CE2F46E" w14:textId="77777777" w:rsidTr="00343182">
        <w:trPr>
          <w:cantSplit/>
          <w:trHeight w:val="60"/>
        </w:trPr>
        <w:tc>
          <w:tcPr>
            <w:tcW w:w="2581" w:type="dxa"/>
            <w:hideMark/>
          </w:tcPr>
          <w:p w14:paraId="012440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hideMark/>
          </w:tcPr>
          <w:p w14:paraId="66D952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3A4D272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Ambulance Victoria submits data to the department monthly.</w:t>
            </w:r>
          </w:p>
        </w:tc>
      </w:tr>
    </w:tbl>
    <w:p w14:paraId="69C7F8D3" w14:textId="77777777" w:rsidR="00280F65" w:rsidRPr="00F03354" w:rsidRDefault="00280F65" w:rsidP="00280F65">
      <w:pPr>
        <w:spacing w:after="120" w:line="270" w:lineRule="atLeast"/>
        <w:rPr>
          <w:rFonts w:ascii="VIC" w:eastAsia="Times" w:hAnsi="VIC" w:cs="Times New Roman"/>
          <w:b/>
          <w:bCs/>
          <w:sz w:val="20"/>
          <w:szCs w:val="20"/>
          <w:lang w:val="en-GB"/>
        </w:rPr>
      </w:pPr>
      <w:r w:rsidRPr="00F03354">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394"/>
        <w:gridCol w:w="2977"/>
      </w:tblGrid>
      <w:tr w:rsidR="00280F65" w:rsidRPr="00F03354" w14:paraId="775431F7" w14:textId="77777777" w:rsidTr="00343182">
        <w:trPr>
          <w:cantSplit/>
          <w:trHeight w:val="60"/>
          <w:tblHeader/>
        </w:trPr>
        <w:tc>
          <w:tcPr>
            <w:tcW w:w="2581" w:type="dxa"/>
            <w:shd w:val="clear" w:color="auto" w:fill="244C5A"/>
          </w:tcPr>
          <w:p w14:paraId="37A1A0D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lang w:val="en-GB"/>
              </w:rPr>
            </w:pPr>
            <w:r w:rsidRPr="00F03354">
              <w:rPr>
                <w:rFonts w:ascii="VIC" w:eastAsia="Times New Roman" w:hAnsi="VIC" w:cs="Times New Roman"/>
                <w:bCs/>
                <w:color w:val="FFFFFF" w:themeColor="background1"/>
                <w:sz w:val="20"/>
                <w:szCs w:val="20"/>
                <w:lang w:val="en-GB"/>
              </w:rPr>
              <w:lastRenderedPageBreak/>
              <w:t>Indicator</w:t>
            </w:r>
          </w:p>
        </w:tc>
        <w:tc>
          <w:tcPr>
            <w:tcW w:w="7371" w:type="dxa"/>
            <w:gridSpan w:val="2"/>
            <w:shd w:val="clear" w:color="auto" w:fill="244C5A"/>
          </w:tcPr>
          <w:p w14:paraId="4EA3A74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lang w:val="en-GB"/>
              </w:rPr>
            </w:pPr>
            <w:r w:rsidRPr="00F03354">
              <w:rPr>
                <w:rFonts w:ascii="VIC" w:eastAsia="Times New Roman" w:hAnsi="VIC" w:cs="Times New Roman"/>
                <w:bCs/>
                <w:color w:val="FFFFFF" w:themeColor="background1"/>
                <w:sz w:val="20"/>
                <w:szCs w:val="20"/>
                <w:lang w:val="en-GB"/>
              </w:rPr>
              <w:t>Average ambulance hospital clearing time</w:t>
            </w:r>
          </w:p>
        </w:tc>
      </w:tr>
      <w:tr w:rsidR="00280F65" w:rsidRPr="00F03354" w14:paraId="0A08A28A" w14:textId="77777777" w:rsidTr="00343182">
        <w:trPr>
          <w:cantSplit/>
          <w:trHeight w:val="60"/>
        </w:trPr>
        <w:tc>
          <w:tcPr>
            <w:tcW w:w="2581" w:type="dxa"/>
            <w:hideMark/>
          </w:tcPr>
          <w:p w14:paraId="740DCA4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gridSpan w:val="2"/>
            <w:hideMark/>
          </w:tcPr>
          <w:p w14:paraId="50155E2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Clearing time is a key component of total paramedic hospital time that is directly attributable to Ambulance Victoria.</w:t>
            </w:r>
          </w:p>
          <w:p w14:paraId="5EC9FB12" w14:textId="77777777" w:rsidR="00280F65" w:rsidRPr="00F03354" w:rsidRDefault="00280F65" w:rsidP="00280F65">
            <w:pPr>
              <w:spacing w:before="80" w:after="60" w:line="240" w:lineRule="auto"/>
              <w:rPr>
                <w:rFonts w:ascii="VIC" w:eastAsia="Times New Roman" w:hAnsi="VIC" w:cs="Times New Roman"/>
                <w:sz w:val="20"/>
                <w:szCs w:val="20"/>
                <w:lang w:val="en-GB"/>
              </w:rPr>
            </w:pPr>
            <w:r w:rsidRPr="00F03354">
              <w:rPr>
                <w:rFonts w:ascii="VIC" w:eastAsia="Times New Roman" w:hAnsi="VIC" w:cs="Times New Roman"/>
                <w:sz w:val="20"/>
                <w:szCs w:val="20"/>
                <w:lang w:val="en-GB"/>
              </w:rPr>
              <w:t>This indicator measures the elapsed time from the handover of an emergency patient at a hospital emergency department to completion of all tasks to ensure the ambulance crew is available to respond to another incident.</w:t>
            </w:r>
          </w:p>
          <w:p w14:paraId="05B1D9E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Handover involves a patient being physically transferred to a hospital trolley, bed, chair or waiting area. The ambulance handover completion time (also known as ‘off-stretcher time’) is recorded in a Patient Care Record (PCR) by a paramedic after agreement with an emergency department clinician.</w:t>
            </w:r>
          </w:p>
          <w:p w14:paraId="1300354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applies to all emergency transports to a hospital emergency department statewide.</w:t>
            </w:r>
          </w:p>
        </w:tc>
      </w:tr>
      <w:tr w:rsidR="00280F65" w:rsidRPr="00F03354" w14:paraId="5FC6B759" w14:textId="77777777" w:rsidTr="00343182">
        <w:trPr>
          <w:cantSplit/>
          <w:trHeight w:val="60"/>
        </w:trPr>
        <w:tc>
          <w:tcPr>
            <w:tcW w:w="2581" w:type="dxa"/>
            <w:hideMark/>
          </w:tcPr>
          <w:p w14:paraId="08502F0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gridSpan w:val="2"/>
            <w:hideMark/>
          </w:tcPr>
          <w:p w14:paraId="0728B71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average time for the given period. Off-stretcher time and clearing time are sourced from the PCR.</w:t>
            </w:r>
          </w:p>
          <w:p w14:paraId="400408B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excludes:</w:t>
            </w:r>
          </w:p>
          <w:p w14:paraId="75CFA394" w14:textId="77777777"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hospital transports where the clearing time was recorded as &gt; 3 hours or where there are missing time stamps</w:t>
            </w:r>
          </w:p>
          <w:p w14:paraId="39C36711"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transports by air ambulance resources</w:t>
            </w:r>
          </w:p>
          <w:p w14:paraId="1855CC39"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non-emergency hospital transports</w:t>
            </w:r>
          </w:p>
          <w:p w14:paraId="2E886067"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inter-hospital transports.</w:t>
            </w:r>
          </w:p>
          <w:p w14:paraId="40E7240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expressed as either minutes to one decimal place or in the following format: MM:SS.</w:t>
            </w:r>
          </w:p>
          <w:p w14:paraId="7E5D63B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 is compared to same time last year performance</w:t>
            </w:r>
          </w:p>
        </w:tc>
      </w:tr>
      <w:tr w:rsidR="00280F65" w:rsidRPr="00F03354" w14:paraId="24D5BD8C" w14:textId="77777777" w:rsidTr="00343182">
        <w:trPr>
          <w:cantSplit/>
          <w:trHeight w:val="60"/>
        </w:trPr>
        <w:tc>
          <w:tcPr>
            <w:tcW w:w="2581" w:type="dxa"/>
            <w:hideMark/>
          </w:tcPr>
          <w:p w14:paraId="6574ABC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gridSpan w:val="2"/>
            <w:hideMark/>
          </w:tcPr>
          <w:p w14:paraId="47EE879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sum of emergency road clearing times</w:t>
            </w:r>
          </w:p>
        </w:tc>
      </w:tr>
      <w:tr w:rsidR="00280F65" w:rsidRPr="00F03354" w14:paraId="3F2CD3FE" w14:textId="77777777" w:rsidTr="00343182">
        <w:trPr>
          <w:cantSplit/>
          <w:trHeight w:val="60"/>
        </w:trPr>
        <w:tc>
          <w:tcPr>
            <w:tcW w:w="2581" w:type="dxa"/>
            <w:hideMark/>
          </w:tcPr>
          <w:p w14:paraId="36D5751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371" w:type="dxa"/>
            <w:gridSpan w:val="2"/>
            <w:hideMark/>
          </w:tcPr>
          <w:p w14:paraId="35F97C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total number of emergency road clearing times in that same reporting period</w:t>
            </w:r>
          </w:p>
        </w:tc>
      </w:tr>
      <w:tr w:rsidR="00280F65" w:rsidRPr="00F03354" w14:paraId="460AB97B" w14:textId="77777777" w:rsidTr="00343182">
        <w:trPr>
          <w:cantSplit/>
          <w:trHeight w:val="60"/>
        </w:trPr>
        <w:tc>
          <w:tcPr>
            <w:tcW w:w="2581" w:type="dxa"/>
            <w:hideMark/>
          </w:tcPr>
          <w:p w14:paraId="35CD80C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gridSpan w:val="2"/>
            <w:hideMark/>
          </w:tcPr>
          <w:p w14:paraId="27D2336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20 minutes</w:t>
            </w:r>
          </w:p>
        </w:tc>
      </w:tr>
      <w:tr w:rsidR="00280F65" w:rsidRPr="00F03354" w14:paraId="23332268" w14:textId="77777777" w:rsidTr="00343182">
        <w:trPr>
          <w:cantSplit/>
          <w:trHeight w:val="60"/>
        </w:trPr>
        <w:tc>
          <w:tcPr>
            <w:tcW w:w="2581" w:type="dxa"/>
            <w:vMerge w:val="restart"/>
            <w:hideMark/>
          </w:tcPr>
          <w:p w14:paraId="247A6CF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94" w:type="dxa"/>
            <w:hideMark/>
          </w:tcPr>
          <w:p w14:paraId="07B30BF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20 minutes</w:t>
            </w:r>
          </w:p>
        </w:tc>
        <w:tc>
          <w:tcPr>
            <w:tcW w:w="2977" w:type="dxa"/>
            <w:hideMark/>
          </w:tcPr>
          <w:p w14:paraId="7ADD9F3F"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14829B6A" w14:textId="77777777" w:rsidTr="00343182">
        <w:trPr>
          <w:cantSplit/>
          <w:trHeight w:val="60"/>
        </w:trPr>
        <w:tc>
          <w:tcPr>
            <w:tcW w:w="2581" w:type="dxa"/>
            <w:vMerge/>
            <w:vAlign w:val="center"/>
            <w:hideMark/>
          </w:tcPr>
          <w:p w14:paraId="7BBBC69F"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394" w:type="dxa"/>
            <w:hideMark/>
          </w:tcPr>
          <w:p w14:paraId="6DBFAF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20 minutes</w:t>
            </w:r>
          </w:p>
        </w:tc>
        <w:tc>
          <w:tcPr>
            <w:tcW w:w="2977" w:type="dxa"/>
            <w:hideMark/>
          </w:tcPr>
          <w:p w14:paraId="6DC0B23C"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0C2C4B94" w14:textId="77777777" w:rsidTr="00343182">
        <w:trPr>
          <w:cantSplit/>
          <w:trHeight w:val="60"/>
        </w:trPr>
        <w:tc>
          <w:tcPr>
            <w:tcW w:w="2581" w:type="dxa"/>
            <w:vAlign w:val="center"/>
          </w:tcPr>
          <w:p w14:paraId="7190EF7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gridSpan w:val="2"/>
          </w:tcPr>
          <w:p w14:paraId="603FD71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280F65" w:rsidRPr="00F03354" w14:paraId="58DBD120" w14:textId="77777777" w:rsidTr="00343182">
        <w:trPr>
          <w:cantSplit/>
          <w:trHeight w:val="60"/>
        </w:trPr>
        <w:tc>
          <w:tcPr>
            <w:tcW w:w="2581" w:type="dxa"/>
            <w:hideMark/>
          </w:tcPr>
          <w:p w14:paraId="1A5C30A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hideMark/>
          </w:tcPr>
          <w:p w14:paraId="5DC33FD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2676399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lagged by one month.</w:t>
            </w:r>
          </w:p>
          <w:p w14:paraId="208CE93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Ambulance Victoria submits data to the department monthly.</w:t>
            </w:r>
          </w:p>
        </w:tc>
      </w:tr>
    </w:tbl>
    <w:p w14:paraId="03F292EB" w14:textId="77777777" w:rsidR="00280F65" w:rsidRPr="00F03354" w:rsidRDefault="00280F65" w:rsidP="00280F65">
      <w:pPr>
        <w:spacing w:after="120" w:line="270" w:lineRule="atLeast"/>
        <w:rPr>
          <w:rFonts w:ascii="VIC" w:eastAsia="Times" w:hAnsi="VIC" w:cs="Times New Roman"/>
          <w:sz w:val="20"/>
          <w:szCs w:val="20"/>
        </w:rPr>
      </w:pPr>
      <w:bookmarkStart w:id="51" w:name="_Toc453325226"/>
      <w:r w:rsidRPr="00F03354">
        <w:rPr>
          <w:rFonts w:ascii="VIC" w:eastAsia="Times" w:hAnsi="VIC" w:cs="Times New Roman"/>
          <w:sz w:val="20"/>
          <w:szCs w:val="20"/>
        </w:rPr>
        <w:br w:type="page"/>
      </w:r>
    </w:p>
    <w:p w14:paraId="0BFAF021"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52" w:name="_Toc517959144"/>
      <w:bookmarkStart w:id="53" w:name="_Toc10123561"/>
      <w:r w:rsidRPr="00F03354">
        <w:rPr>
          <w:rFonts w:ascii="VIC" w:eastAsia="MS Mincho" w:hAnsi="VIC" w:cs="Arial"/>
          <w:b/>
          <w:bCs/>
          <w:sz w:val="20"/>
          <w:szCs w:val="20"/>
        </w:rPr>
        <w:lastRenderedPageBreak/>
        <w:t>Forensicare</w:t>
      </w:r>
      <w:bookmarkEnd w:id="52"/>
      <w:r w:rsidRPr="00F03354">
        <w:rPr>
          <w:rFonts w:ascii="VIC" w:eastAsia="MS Mincho" w:hAnsi="VIC" w:cs="Arial"/>
          <w:b/>
          <w:bCs/>
          <w:sz w:val="20"/>
          <w:szCs w:val="20"/>
        </w:rPr>
        <w:t>: Admissions to Thomas Embling Hospital (TEH)</w:t>
      </w:r>
      <w:bookmarkEnd w:id="53"/>
    </w:p>
    <w:tbl>
      <w:tblPr>
        <w:tblW w:w="10093"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394"/>
        <w:gridCol w:w="3147"/>
      </w:tblGrid>
      <w:tr w:rsidR="00280F65" w:rsidRPr="00F03354" w14:paraId="4C70CF10" w14:textId="77777777" w:rsidTr="00343182">
        <w:trPr>
          <w:cantSplit/>
          <w:trHeight w:val="60"/>
          <w:tblHeader/>
        </w:trPr>
        <w:tc>
          <w:tcPr>
            <w:tcW w:w="2552" w:type="dxa"/>
            <w:shd w:val="clear" w:color="auto" w:fill="244C5A"/>
            <w:hideMark/>
          </w:tcPr>
          <w:p w14:paraId="34DAE2A7"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41" w:type="dxa"/>
            <w:gridSpan w:val="2"/>
            <w:shd w:val="clear" w:color="auto" w:fill="244C5A"/>
            <w:hideMark/>
          </w:tcPr>
          <w:p w14:paraId="4C35F124" w14:textId="4414BE2F" w:rsidR="00280F65" w:rsidRPr="00F03354" w:rsidRDefault="00234516"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Number of male security patients admitted to Thomas Embling Hospital (TEH) Male Acute Units – Security</w:t>
            </w:r>
          </w:p>
        </w:tc>
      </w:tr>
      <w:tr w:rsidR="00280F65" w:rsidRPr="00F03354" w14:paraId="14E6F7B6" w14:textId="77777777" w:rsidTr="00343182">
        <w:trPr>
          <w:cantSplit/>
          <w:trHeight w:val="60"/>
        </w:trPr>
        <w:tc>
          <w:tcPr>
            <w:tcW w:w="2552" w:type="dxa"/>
          </w:tcPr>
          <w:p w14:paraId="1EC4829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41" w:type="dxa"/>
            <w:gridSpan w:val="2"/>
          </w:tcPr>
          <w:p w14:paraId="73D386C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Number of security patients admitted to male acute units at TEH</w:t>
            </w:r>
          </w:p>
        </w:tc>
      </w:tr>
      <w:tr w:rsidR="00280F65" w:rsidRPr="00F03354" w14:paraId="0B913C9E" w14:textId="77777777" w:rsidTr="00343182">
        <w:trPr>
          <w:cantSplit/>
          <w:trHeight w:val="60"/>
        </w:trPr>
        <w:tc>
          <w:tcPr>
            <w:tcW w:w="2552" w:type="dxa"/>
            <w:hideMark/>
          </w:tcPr>
          <w:p w14:paraId="7BB9AC3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41" w:type="dxa"/>
            <w:gridSpan w:val="2"/>
            <w:hideMark/>
          </w:tcPr>
          <w:p w14:paraId="1D100B6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assessed quarterly.</w:t>
            </w:r>
          </w:p>
        </w:tc>
      </w:tr>
      <w:tr w:rsidR="00280F65" w:rsidRPr="00F03354" w14:paraId="4AD6C887" w14:textId="77777777" w:rsidTr="00343182">
        <w:trPr>
          <w:cantSplit/>
          <w:trHeight w:val="60"/>
        </w:trPr>
        <w:tc>
          <w:tcPr>
            <w:tcW w:w="2552" w:type="dxa"/>
            <w:hideMark/>
          </w:tcPr>
          <w:p w14:paraId="5DCF2B9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41" w:type="dxa"/>
            <w:gridSpan w:val="2"/>
            <w:hideMark/>
          </w:tcPr>
          <w:p w14:paraId="6FC8813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number of admissions to Forensic inpatient units where the client is male and on a security order at the time of admission.</w:t>
            </w:r>
          </w:p>
          <w:p w14:paraId="7A1320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 calculation: Select admissions to Forensicare acute units in the applicable time period, where the client is male, and is on a security order (order codes 105 and 202) at the time of admission.</w:t>
            </w:r>
          </w:p>
        </w:tc>
      </w:tr>
      <w:tr w:rsidR="00280F65" w:rsidRPr="00F03354" w14:paraId="3BCA1163" w14:textId="77777777" w:rsidTr="00343182">
        <w:trPr>
          <w:cantSplit/>
          <w:trHeight w:val="60"/>
        </w:trPr>
        <w:tc>
          <w:tcPr>
            <w:tcW w:w="2552" w:type="dxa"/>
            <w:hideMark/>
          </w:tcPr>
          <w:p w14:paraId="2CD7C46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41" w:type="dxa"/>
            <w:gridSpan w:val="2"/>
            <w:hideMark/>
          </w:tcPr>
          <w:p w14:paraId="6C956ED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N/A</w:t>
            </w:r>
          </w:p>
        </w:tc>
      </w:tr>
      <w:tr w:rsidR="00280F65" w:rsidRPr="00F03354" w14:paraId="49A056C4" w14:textId="77777777" w:rsidTr="00343182">
        <w:trPr>
          <w:cantSplit/>
          <w:trHeight w:val="60"/>
        </w:trPr>
        <w:tc>
          <w:tcPr>
            <w:tcW w:w="2552" w:type="dxa"/>
            <w:hideMark/>
          </w:tcPr>
          <w:p w14:paraId="5209D05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41" w:type="dxa"/>
            <w:gridSpan w:val="2"/>
            <w:hideMark/>
          </w:tcPr>
          <w:p w14:paraId="5D8B71F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80</w:t>
            </w:r>
          </w:p>
        </w:tc>
      </w:tr>
      <w:tr w:rsidR="00280F65" w:rsidRPr="00F03354" w14:paraId="41C25EB9" w14:textId="77777777" w:rsidTr="00343182">
        <w:trPr>
          <w:cantSplit/>
          <w:trHeight w:val="60"/>
        </w:trPr>
        <w:tc>
          <w:tcPr>
            <w:tcW w:w="2552" w:type="dxa"/>
            <w:vMerge w:val="restart"/>
            <w:hideMark/>
          </w:tcPr>
          <w:p w14:paraId="272D79F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94" w:type="dxa"/>
            <w:hideMark/>
          </w:tcPr>
          <w:p w14:paraId="16ACCDA1" w14:textId="77777777" w:rsidR="00280F65" w:rsidRPr="00F03354" w:rsidRDefault="00280F65" w:rsidP="00280F65">
            <w:pPr>
              <w:spacing w:before="80" w:after="60" w:line="240" w:lineRule="auto"/>
              <w:rPr>
                <w:rFonts w:ascii="VIC" w:eastAsia="Times New Roman" w:hAnsi="VIC" w:cs="Times New Roman"/>
                <w:sz w:val="20"/>
                <w:szCs w:val="20"/>
                <w:lang w:val="en-GB"/>
              </w:rPr>
            </w:pPr>
            <w:r w:rsidRPr="00F03354">
              <w:rPr>
                <w:rFonts w:ascii="VIC" w:eastAsia="Times New Roman" w:hAnsi="VIC" w:cs="Times New Roman"/>
                <w:sz w:val="20"/>
                <w:szCs w:val="20"/>
              </w:rPr>
              <w:t>Equal to or greater than 80</w:t>
            </w:r>
          </w:p>
        </w:tc>
        <w:tc>
          <w:tcPr>
            <w:tcW w:w="3147" w:type="dxa"/>
            <w:hideMark/>
          </w:tcPr>
          <w:p w14:paraId="7E59453E"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5396FE83" w14:textId="77777777" w:rsidTr="00343182">
        <w:trPr>
          <w:cantSplit/>
          <w:trHeight w:val="60"/>
        </w:trPr>
        <w:tc>
          <w:tcPr>
            <w:tcW w:w="2552" w:type="dxa"/>
            <w:vMerge/>
            <w:vAlign w:val="center"/>
            <w:hideMark/>
          </w:tcPr>
          <w:p w14:paraId="58B8BB25"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394" w:type="dxa"/>
            <w:hideMark/>
          </w:tcPr>
          <w:p w14:paraId="41F04F6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80</w:t>
            </w:r>
          </w:p>
        </w:tc>
        <w:tc>
          <w:tcPr>
            <w:tcW w:w="3147" w:type="dxa"/>
            <w:hideMark/>
          </w:tcPr>
          <w:p w14:paraId="3B23483C"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15B7DEBF" w14:textId="77777777" w:rsidTr="00343182">
        <w:trPr>
          <w:cantSplit/>
          <w:trHeight w:val="60"/>
        </w:trPr>
        <w:tc>
          <w:tcPr>
            <w:tcW w:w="2552" w:type="dxa"/>
          </w:tcPr>
          <w:p w14:paraId="62AEC3D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Improvement </w:t>
            </w:r>
          </w:p>
        </w:tc>
        <w:tc>
          <w:tcPr>
            <w:tcW w:w="7541" w:type="dxa"/>
            <w:gridSpan w:val="2"/>
          </w:tcPr>
          <w:p w14:paraId="659B667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compared to previous quarter performance. </w:t>
            </w:r>
          </w:p>
        </w:tc>
      </w:tr>
      <w:tr w:rsidR="00280F65" w:rsidRPr="00F03354" w14:paraId="58182795" w14:textId="77777777" w:rsidTr="00343182">
        <w:trPr>
          <w:cantSplit/>
          <w:trHeight w:val="60"/>
        </w:trPr>
        <w:tc>
          <w:tcPr>
            <w:tcW w:w="2552" w:type="dxa"/>
            <w:hideMark/>
          </w:tcPr>
          <w:p w14:paraId="49E8F93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41" w:type="dxa"/>
            <w:gridSpan w:val="2"/>
            <w:hideMark/>
          </w:tcPr>
          <w:p w14:paraId="09AE675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02BE2CDA"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54CB50EE"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16EC9AF9"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0E020B24"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7F721EE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31B36AA7" w14:textId="77777777" w:rsidR="00280F65" w:rsidRPr="00F03354" w:rsidRDefault="00280F65" w:rsidP="00280F65">
      <w:pPr>
        <w:spacing w:before="80" w:after="60" w:line="240" w:lineRule="auto"/>
        <w:rPr>
          <w:rFonts w:ascii="VIC" w:eastAsia="Times New Roman" w:hAnsi="VIC" w:cs="Times New Roman"/>
          <w:b/>
          <w:bCs/>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394"/>
        <w:gridCol w:w="3147"/>
      </w:tblGrid>
      <w:tr w:rsidR="00280F65" w:rsidRPr="00F03354" w14:paraId="6AF1A84B" w14:textId="77777777" w:rsidTr="00343182">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4B0F553F"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541"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26461DCA" w14:textId="5A1DA40B" w:rsidR="00280F65" w:rsidRPr="00F03354" w:rsidRDefault="00234516"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male Security Patients admitted to Thomas Embling Hospital within 7 days of certification</w:t>
            </w:r>
          </w:p>
        </w:tc>
      </w:tr>
      <w:tr w:rsidR="00280F65" w:rsidRPr="00F03354" w14:paraId="0E9C3CCA"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53D244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41" w:type="dxa"/>
            <w:gridSpan w:val="2"/>
            <w:tcBorders>
              <w:top w:val="single" w:sz="4" w:space="0" w:color="201547"/>
              <w:left w:val="single" w:sz="4" w:space="0" w:color="201547"/>
              <w:bottom w:val="single" w:sz="4" w:space="0" w:color="201547"/>
              <w:right w:val="single" w:sz="4" w:space="0" w:color="201547"/>
            </w:tcBorders>
          </w:tcPr>
          <w:p w14:paraId="44912098" w14:textId="728F9CE6"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Percentage of male security patients admitted to Thomas Embling Hospital within </w:t>
            </w:r>
            <w:r w:rsidR="00234516" w:rsidRPr="00F03354">
              <w:rPr>
                <w:rFonts w:ascii="VIC" w:eastAsia="Times New Roman" w:hAnsi="VIC" w:cs="Times New Roman"/>
                <w:sz w:val="20"/>
                <w:szCs w:val="20"/>
              </w:rPr>
              <w:t>7</w:t>
            </w:r>
            <w:r w:rsidRPr="00F03354">
              <w:rPr>
                <w:rFonts w:ascii="VIC" w:eastAsia="Times New Roman" w:hAnsi="VIC" w:cs="Times New Roman"/>
                <w:sz w:val="20"/>
                <w:szCs w:val="20"/>
              </w:rPr>
              <w:t xml:space="preserve"> days of being certified as requiring compulsory treatment. </w:t>
            </w:r>
          </w:p>
        </w:tc>
      </w:tr>
      <w:tr w:rsidR="00280F65" w:rsidRPr="00F03354" w14:paraId="496D5D56"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AD4D57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720F20E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assessed quarterly.</w:t>
            </w:r>
          </w:p>
        </w:tc>
      </w:tr>
      <w:tr w:rsidR="00280F65" w:rsidRPr="00F03354" w14:paraId="7E5D03BF"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03A280F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Numerator</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0C3B2E1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male security patients who were certified as requiring compulsory treatment, and who were transferred to Thomas Embling within 14 days.</w:t>
            </w:r>
          </w:p>
          <w:p w14:paraId="556433C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 calculation:</w:t>
            </w:r>
          </w:p>
          <w:p w14:paraId="0023F43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male clients admitted to Thomas Embling Hospital who were placed on a court secure treatment order or a secure treatment order (order codes 105 and 202) within the applicable time period and count the number of days between certification and transfer to Thomas Embling Hospital.</w:t>
            </w:r>
          </w:p>
        </w:tc>
      </w:tr>
      <w:tr w:rsidR="00280F65" w:rsidRPr="00F03354" w14:paraId="4723A087"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5165BCC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4709342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male clients placed on a court secure treatment order or a secure treatment order (order codes 105 and 202) within the applicable time period.</w:t>
            </w:r>
          </w:p>
        </w:tc>
      </w:tr>
      <w:tr w:rsidR="00280F65" w:rsidRPr="00F03354" w14:paraId="4E081AE1"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3CD2306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66971B88" w14:textId="0F1249D8" w:rsidR="00280F65" w:rsidRPr="00F03354" w:rsidRDefault="00234516"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80</w:t>
            </w:r>
            <w:r w:rsidR="00280F65" w:rsidRPr="00F03354">
              <w:rPr>
                <w:rFonts w:ascii="VIC" w:eastAsia="Times New Roman" w:hAnsi="VIC" w:cs="Times New Roman"/>
                <w:sz w:val="20"/>
                <w:szCs w:val="20"/>
              </w:rPr>
              <w:t>%</w:t>
            </w:r>
          </w:p>
        </w:tc>
      </w:tr>
      <w:tr w:rsidR="00280F65" w:rsidRPr="00F03354" w14:paraId="1FDEC90D" w14:textId="77777777" w:rsidTr="00343182">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27FC07D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394" w:type="dxa"/>
            <w:tcBorders>
              <w:top w:val="single" w:sz="4" w:space="0" w:color="201547"/>
              <w:left w:val="single" w:sz="4" w:space="0" w:color="201547"/>
              <w:bottom w:val="single" w:sz="4" w:space="0" w:color="201547"/>
              <w:right w:val="single" w:sz="4" w:space="0" w:color="201547"/>
            </w:tcBorders>
            <w:hideMark/>
          </w:tcPr>
          <w:p w14:paraId="0AC5EF12" w14:textId="3B58BC94" w:rsidR="00280F65" w:rsidRPr="00F03354" w:rsidRDefault="00234516" w:rsidP="00280F65">
            <w:pPr>
              <w:spacing w:before="80" w:after="60" w:line="240" w:lineRule="auto"/>
              <w:rPr>
                <w:rFonts w:ascii="VIC" w:eastAsia="Times New Roman" w:hAnsi="VIC" w:cs="Times New Roman"/>
                <w:sz w:val="20"/>
                <w:szCs w:val="20"/>
                <w:lang w:val="en-GB"/>
              </w:rPr>
            </w:pPr>
            <w:r w:rsidRPr="00F03354">
              <w:rPr>
                <w:rFonts w:ascii="VIC" w:eastAsia="Times New Roman" w:hAnsi="VIC" w:cs="Times New Roman"/>
                <w:sz w:val="20"/>
                <w:szCs w:val="20"/>
              </w:rPr>
              <w:t>Greater than or e</w:t>
            </w:r>
            <w:r w:rsidR="00280F65" w:rsidRPr="00F03354">
              <w:rPr>
                <w:rFonts w:ascii="VIC" w:eastAsia="Times New Roman" w:hAnsi="VIC" w:cs="Times New Roman"/>
                <w:sz w:val="20"/>
                <w:szCs w:val="20"/>
              </w:rPr>
              <w:t xml:space="preserve">qual to </w:t>
            </w:r>
            <w:r w:rsidRPr="00F03354">
              <w:rPr>
                <w:rFonts w:ascii="VIC" w:eastAsia="Times New Roman" w:hAnsi="VIC" w:cs="Times New Roman"/>
                <w:sz w:val="20"/>
                <w:szCs w:val="20"/>
              </w:rPr>
              <w:t>80</w:t>
            </w:r>
            <w:r w:rsidR="00280F65" w:rsidRPr="00F03354">
              <w:rPr>
                <w:rFonts w:ascii="VIC" w:eastAsia="Times New Roman" w:hAnsi="VIC" w:cs="Times New Roman"/>
                <w:sz w:val="20"/>
                <w:szCs w:val="20"/>
              </w:rPr>
              <w:t>%</w:t>
            </w:r>
          </w:p>
        </w:tc>
        <w:tc>
          <w:tcPr>
            <w:tcW w:w="3147" w:type="dxa"/>
            <w:tcBorders>
              <w:top w:val="single" w:sz="4" w:space="0" w:color="201547"/>
              <w:left w:val="single" w:sz="4" w:space="0" w:color="201547"/>
              <w:bottom w:val="single" w:sz="4" w:space="0" w:color="201547"/>
              <w:right w:val="single" w:sz="4" w:space="0" w:color="201547"/>
            </w:tcBorders>
            <w:hideMark/>
          </w:tcPr>
          <w:p w14:paraId="667133D8"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1B34A52A" w14:textId="77777777" w:rsidTr="00343182">
        <w:trPr>
          <w:cantSplit/>
          <w:trHeight w:val="60"/>
        </w:trPr>
        <w:tc>
          <w:tcPr>
            <w:tcW w:w="2552" w:type="dxa"/>
            <w:vMerge/>
            <w:tcBorders>
              <w:top w:val="single" w:sz="4" w:space="0" w:color="201547"/>
              <w:left w:val="single" w:sz="4" w:space="0" w:color="201547"/>
              <w:bottom w:val="single" w:sz="4" w:space="0" w:color="201547"/>
              <w:right w:val="single" w:sz="4" w:space="0" w:color="201547"/>
            </w:tcBorders>
            <w:vAlign w:val="center"/>
            <w:hideMark/>
          </w:tcPr>
          <w:p w14:paraId="40D3BA8F"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394" w:type="dxa"/>
            <w:tcBorders>
              <w:top w:val="single" w:sz="4" w:space="0" w:color="201547"/>
              <w:left w:val="single" w:sz="4" w:space="0" w:color="201547"/>
              <w:bottom w:val="single" w:sz="4" w:space="0" w:color="201547"/>
              <w:right w:val="single" w:sz="4" w:space="0" w:color="201547"/>
            </w:tcBorders>
            <w:hideMark/>
          </w:tcPr>
          <w:p w14:paraId="15A8DAB1" w14:textId="1816DC81"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Less than </w:t>
            </w:r>
            <w:r w:rsidR="00234516" w:rsidRPr="00F03354">
              <w:rPr>
                <w:rFonts w:ascii="VIC" w:eastAsia="Times New Roman" w:hAnsi="VIC" w:cs="Times New Roman"/>
                <w:sz w:val="20"/>
                <w:szCs w:val="20"/>
              </w:rPr>
              <w:t>80</w:t>
            </w:r>
            <w:r w:rsidRPr="00F03354">
              <w:rPr>
                <w:rFonts w:ascii="VIC" w:eastAsia="Times New Roman" w:hAnsi="VIC" w:cs="Times New Roman"/>
                <w:sz w:val="20"/>
                <w:szCs w:val="20"/>
              </w:rPr>
              <w:t>%</w:t>
            </w:r>
          </w:p>
        </w:tc>
        <w:tc>
          <w:tcPr>
            <w:tcW w:w="3147" w:type="dxa"/>
            <w:tcBorders>
              <w:top w:val="single" w:sz="4" w:space="0" w:color="201547"/>
              <w:left w:val="single" w:sz="4" w:space="0" w:color="201547"/>
              <w:bottom w:val="single" w:sz="4" w:space="0" w:color="201547"/>
              <w:right w:val="single" w:sz="4" w:space="0" w:color="201547"/>
            </w:tcBorders>
            <w:hideMark/>
          </w:tcPr>
          <w:p w14:paraId="09DA6A82"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20B50FE4"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4DB10EF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Improvement </w:t>
            </w:r>
          </w:p>
        </w:tc>
        <w:tc>
          <w:tcPr>
            <w:tcW w:w="7541" w:type="dxa"/>
            <w:gridSpan w:val="2"/>
            <w:tcBorders>
              <w:top w:val="single" w:sz="4" w:space="0" w:color="201547"/>
              <w:left w:val="single" w:sz="4" w:space="0" w:color="201547"/>
              <w:bottom w:val="single" w:sz="4" w:space="0" w:color="201547"/>
              <w:right w:val="single" w:sz="4" w:space="0" w:color="201547"/>
            </w:tcBorders>
          </w:tcPr>
          <w:p w14:paraId="1C987B0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quarter performance.</w:t>
            </w:r>
          </w:p>
        </w:tc>
      </w:tr>
      <w:tr w:rsidR="00280F65" w:rsidRPr="00F03354" w14:paraId="48B6CB3A" w14:textId="77777777" w:rsidTr="00343182">
        <w:trPr>
          <w:cantSplit/>
          <w:trHeight w:val="1196"/>
        </w:trPr>
        <w:tc>
          <w:tcPr>
            <w:tcW w:w="2552" w:type="dxa"/>
            <w:tcBorders>
              <w:top w:val="single" w:sz="4" w:space="0" w:color="201547"/>
              <w:left w:val="single" w:sz="4" w:space="0" w:color="201547"/>
              <w:bottom w:val="single" w:sz="4" w:space="0" w:color="201547"/>
              <w:right w:val="single" w:sz="4" w:space="0" w:color="201547"/>
            </w:tcBorders>
            <w:hideMark/>
          </w:tcPr>
          <w:p w14:paraId="5D2F6ED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41" w:type="dxa"/>
            <w:gridSpan w:val="2"/>
            <w:tcBorders>
              <w:top w:val="single" w:sz="4" w:space="0" w:color="201547"/>
              <w:left w:val="single" w:sz="4" w:space="0" w:color="201547"/>
              <w:bottom w:val="single" w:sz="4" w:space="0" w:color="201547"/>
              <w:right w:val="single" w:sz="4" w:space="0" w:color="201547"/>
            </w:tcBorders>
            <w:hideMark/>
          </w:tcPr>
          <w:p w14:paraId="7FBB7C0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collection TBC.</w:t>
            </w:r>
          </w:p>
          <w:p w14:paraId="5692F20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Indicator is reported quarterly.</w:t>
            </w:r>
          </w:p>
          <w:p w14:paraId="5E5C321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11FA68A3"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4E8CE53E"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0E4365ED"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4AA9E5E0"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72E4A5BA" w14:textId="77777777" w:rsidR="00280F65" w:rsidRPr="00F03354" w:rsidRDefault="00280F65" w:rsidP="00280F65">
            <w:pPr>
              <w:spacing w:before="80" w:after="60" w:line="240" w:lineRule="auto"/>
              <w:rPr>
                <w:rFonts w:ascii="VIC" w:eastAsia="Times New Roman" w:hAnsi="VIC" w:cs="Verdana"/>
                <w:sz w:val="20"/>
                <w:szCs w:val="20"/>
                <w:lang w:eastAsia="en-AU"/>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279F5740" w14:textId="77777777" w:rsidR="00280F65" w:rsidRPr="00F03354" w:rsidRDefault="00280F65" w:rsidP="00280F65">
      <w:pPr>
        <w:spacing w:after="0" w:line="240" w:lineRule="auto"/>
        <w:rPr>
          <w:rFonts w:ascii="VIC" w:eastAsia="MS Mincho" w:hAnsi="VIC" w:cs="Times New Roman"/>
          <w:b/>
          <w:bCs/>
          <w:sz w:val="20"/>
          <w:szCs w:val="20"/>
        </w:rPr>
      </w:pPr>
      <w:r w:rsidRPr="00F03354">
        <w:rPr>
          <w:rFonts w:ascii="VIC" w:eastAsia="Times New Roman" w:hAnsi="VIC" w:cs="Times New Roman"/>
          <w:sz w:val="20"/>
          <w:szCs w:val="20"/>
        </w:rPr>
        <w:br w:type="page"/>
      </w:r>
    </w:p>
    <w:p w14:paraId="26E2EA4C" w14:textId="77777777" w:rsidR="00280F65" w:rsidRPr="00F03354" w:rsidRDefault="00280F65" w:rsidP="00280F65">
      <w:pPr>
        <w:keepNext/>
        <w:keepLines/>
        <w:spacing w:before="240" w:after="120" w:line="280" w:lineRule="atLeast"/>
        <w:outlineLvl w:val="3"/>
        <w:rPr>
          <w:rFonts w:ascii="VIC" w:eastAsia="MS Mincho" w:hAnsi="VIC" w:cs="Arial"/>
          <w:b/>
          <w:bCs/>
          <w:sz w:val="20"/>
          <w:szCs w:val="20"/>
        </w:rPr>
      </w:pPr>
      <w:bookmarkStart w:id="54" w:name="_Toc10123562"/>
      <w:r w:rsidRPr="00F03354">
        <w:rPr>
          <w:rFonts w:ascii="VIC" w:eastAsia="MS Mincho" w:hAnsi="VIC" w:cs="Arial"/>
          <w:b/>
          <w:bCs/>
          <w:sz w:val="20"/>
          <w:szCs w:val="20"/>
        </w:rPr>
        <w:lastRenderedPageBreak/>
        <w:t>Forensicare: Length of stay – Male security patients</w:t>
      </w:r>
      <w:bookmarkEnd w:id="54"/>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423"/>
        <w:gridCol w:w="2977"/>
      </w:tblGrid>
      <w:tr w:rsidR="00280F65" w:rsidRPr="00F03354" w14:paraId="3592249A" w14:textId="77777777" w:rsidTr="00343182">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6A433A5A"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3022793F" w14:textId="4D701093" w:rsidR="00280F65" w:rsidRPr="00F03354" w:rsidRDefault="00234516"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Percentage of male security patients discharged from Thomas Embling Hospital to a correctional centre within 21 days</w:t>
            </w:r>
          </w:p>
        </w:tc>
      </w:tr>
      <w:tr w:rsidR="00280F65" w:rsidRPr="00F03354" w14:paraId="383660D5"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4293030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tcBorders>
              <w:top w:val="single" w:sz="4" w:space="0" w:color="201547"/>
              <w:left w:val="single" w:sz="4" w:space="0" w:color="201547"/>
              <w:bottom w:val="single" w:sz="4" w:space="0" w:color="201547"/>
              <w:right w:val="single" w:sz="4" w:space="0" w:color="201547"/>
            </w:tcBorders>
          </w:tcPr>
          <w:p w14:paraId="1CE92B7F" w14:textId="5E92E49F" w:rsidR="00280F65" w:rsidRPr="00F03354" w:rsidRDefault="00234516"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Percentage of male security patients discharged from Thomas Embling Hospital to a correctional centre within 21 days</w:t>
            </w:r>
          </w:p>
        </w:tc>
      </w:tr>
      <w:tr w:rsidR="00280F65" w:rsidRPr="00F03354" w14:paraId="032CA980"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92D9FF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065EF01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assessed quarterly.</w:t>
            </w:r>
          </w:p>
        </w:tc>
      </w:tr>
      <w:tr w:rsidR="00280F65" w:rsidRPr="00F03354" w14:paraId="3EA56378"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36F478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3F16D597" w14:textId="3AE34FEA" w:rsidR="00280F65" w:rsidRPr="00F03354" w:rsidRDefault="00280F65" w:rsidP="00280F65">
            <w:p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 xml:space="preserve">Total number of discharges within </w:t>
            </w:r>
            <w:r w:rsidR="00234516" w:rsidRPr="00F03354">
              <w:rPr>
                <w:rFonts w:ascii="VIC" w:eastAsia="Times New Roman" w:hAnsi="VIC" w:cs="Times New Roman"/>
                <w:sz w:val="20"/>
                <w:szCs w:val="20"/>
                <w:lang w:eastAsia="en-AU"/>
              </w:rPr>
              <w:t>21</w:t>
            </w:r>
            <w:r w:rsidRPr="00F03354">
              <w:rPr>
                <w:rFonts w:ascii="VIC" w:eastAsia="Times New Roman" w:hAnsi="VIC" w:cs="Times New Roman"/>
                <w:sz w:val="20"/>
                <w:szCs w:val="20"/>
                <w:lang w:eastAsia="en-AU"/>
              </w:rPr>
              <w:t xml:space="preserve"> days from Forensicare inpatient units (Thomas Embling Hospital) in the applicable time period, where the client was male and on a security order. Exclude same day stays.</w:t>
            </w:r>
          </w:p>
          <w:p w14:paraId="6A0CD566" w14:textId="77777777" w:rsidR="00280F65" w:rsidRPr="00F03354" w:rsidRDefault="00280F65" w:rsidP="00280F65">
            <w:p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Calculating Numerator:</w:t>
            </w:r>
          </w:p>
          <w:p w14:paraId="09639834" w14:textId="77777777" w:rsidR="00280F65" w:rsidRPr="00F03354" w:rsidRDefault="00280F65" w:rsidP="0089279C">
            <w:pPr>
              <w:numPr>
                <w:ilvl w:val="0"/>
                <w:numId w:val="10"/>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Select discharges from Forensicare acute units in the applicable time period, where the client was on a security order (order codes 105 and 202) at the time of discharge.</w:t>
            </w:r>
          </w:p>
          <w:p w14:paraId="4CD2B6D1" w14:textId="77777777" w:rsidR="00280F65" w:rsidRPr="00F03354" w:rsidRDefault="00280F65" w:rsidP="0089279C">
            <w:pPr>
              <w:numPr>
                <w:ilvl w:val="1"/>
                <w:numId w:val="11"/>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This is based on episode end date, except in instances where a client was discharged whilst in leave, then take the date sent on leave.</w:t>
            </w:r>
          </w:p>
          <w:p w14:paraId="4ABC450B" w14:textId="77777777" w:rsidR="00280F65" w:rsidRPr="00F03354" w:rsidRDefault="00280F65" w:rsidP="0089279C">
            <w:pPr>
              <w:numPr>
                <w:ilvl w:val="1"/>
                <w:numId w:val="11"/>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Calculate length of stay by taking the difference in minutes between the episode start date &amp; time and the end date &amp; time. Convert time difference to days by multiplying by *0.000694444444 (1/60mins/24hrs).</w:t>
            </w:r>
          </w:p>
          <w:p w14:paraId="33B19E06" w14:textId="53441FD3" w:rsidR="00280F65" w:rsidRPr="00F03354" w:rsidRDefault="00280F65" w:rsidP="0089279C">
            <w:pPr>
              <w:numPr>
                <w:ilvl w:val="1"/>
                <w:numId w:val="11"/>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 xml:space="preserve">Exclude those instances where the length of stay is greater than </w:t>
            </w:r>
            <w:r w:rsidR="00234516" w:rsidRPr="00F03354">
              <w:rPr>
                <w:rFonts w:ascii="VIC" w:eastAsia="Times New Roman" w:hAnsi="VIC" w:cs="Times New Roman"/>
                <w:sz w:val="20"/>
                <w:szCs w:val="20"/>
                <w:lang w:eastAsia="en-AU"/>
              </w:rPr>
              <w:t>21</w:t>
            </w:r>
            <w:r w:rsidRPr="00F03354">
              <w:rPr>
                <w:rFonts w:ascii="VIC" w:eastAsia="Times New Roman" w:hAnsi="VIC" w:cs="Times New Roman"/>
                <w:sz w:val="20"/>
                <w:szCs w:val="20"/>
                <w:lang w:eastAsia="en-AU"/>
              </w:rPr>
              <w:t>.</w:t>
            </w:r>
          </w:p>
          <w:p w14:paraId="40081CA7" w14:textId="77777777" w:rsidR="00280F65" w:rsidRPr="00F03354" w:rsidRDefault="00280F65" w:rsidP="0089279C">
            <w:pPr>
              <w:numPr>
                <w:ilvl w:val="1"/>
                <w:numId w:val="11"/>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Exclude same day stays</w:t>
            </w:r>
          </w:p>
          <w:p w14:paraId="12400FA8" w14:textId="77777777" w:rsidR="00280F65" w:rsidRPr="00F03354" w:rsidRDefault="00280F65" w:rsidP="0089279C">
            <w:pPr>
              <w:numPr>
                <w:ilvl w:val="0"/>
                <w:numId w:val="10"/>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rPr>
              <w:t>Count the number of discharges per team.</w:t>
            </w:r>
          </w:p>
        </w:tc>
      </w:tr>
      <w:tr w:rsidR="00280F65" w:rsidRPr="00F03354" w14:paraId="5DF72C1F"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9E5B85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2CDE32A8" w14:textId="77777777" w:rsidR="00280F65" w:rsidRPr="00F03354" w:rsidRDefault="00280F65" w:rsidP="00280F65">
            <w:p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Total number of occupants in the Forensicare inpatient units (Thomas Embling Hospital) in the applicable time period, where the client was male and was on a security order (at discharge/end of reporting period). Exclude same day stays.</w:t>
            </w:r>
          </w:p>
          <w:p w14:paraId="634A2854" w14:textId="77777777" w:rsidR="00280F65" w:rsidRPr="00F03354" w:rsidRDefault="00280F65" w:rsidP="00280F65">
            <w:p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Calculating Denominator:</w:t>
            </w:r>
          </w:p>
          <w:p w14:paraId="2EF9FB6E" w14:textId="77777777" w:rsidR="00280F65" w:rsidRPr="00F03354" w:rsidRDefault="00280F65" w:rsidP="0089279C">
            <w:pPr>
              <w:numPr>
                <w:ilvl w:val="0"/>
                <w:numId w:val="15"/>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Select all male clients in Forensicare acute units in the applicable time period. Exclude same day stays.</w:t>
            </w:r>
          </w:p>
          <w:p w14:paraId="472F676E" w14:textId="77777777" w:rsidR="00280F65" w:rsidRPr="00F03354" w:rsidRDefault="00280F65" w:rsidP="0089279C">
            <w:pPr>
              <w:numPr>
                <w:ilvl w:val="1"/>
                <w:numId w:val="13"/>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Include only those clients on a security order (order codes 105 and 202) at the end of the reporting period, or for those clients that were discharged within the reporting period, at the time of discharge.</w:t>
            </w:r>
          </w:p>
          <w:p w14:paraId="009FB0D8" w14:textId="77777777" w:rsidR="00280F65" w:rsidRPr="00F03354" w:rsidRDefault="00280F65" w:rsidP="0089279C">
            <w:pPr>
              <w:numPr>
                <w:ilvl w:val="1"/>
                <w:numId w:val="13"/>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For those clients not discharged within the applicable time period, exclude those clients that have length of stay less than 80 days.</w:t>
            </w:r>
          </w:p>
          <w:p w14:paraId="095005B2" w14:textId="77777777" w:rsidR="00280F65" w:rsidRPr="00F03354" w:rsidRDefault="00280F65" w:rsidP="0089279C">
            <w:pPr>
              <w:numPr>
                <w:ilvl w:val="0"/>
                <w:numId w:val="15"/>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rPr>
              <w:t>Count the number of episodes per team.</w:t>
            </w:r>
          </w:p>
        </w:tc>
      </w:tr>
      <w:tr w:rsidR="00280F65" w:rsidRPr="00F03354" w14:paraId="3D524205"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E6477E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1F593BA7" w14:textId="672064A8" w:rsidR="00280F65" w:rsidRPr="00F03354" w:rsidRDefault="00234516"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80</w:t>
            </w:r>
            <w:r w:rsidR="00280F65" w:rsidRPr="00F03354">
              <w:rPr>
                <w:rFonts w:ascii="VIC" w:eastAsia="Times New Roman" w:hAnsi="VIC" w:cs="Times New Roman"/>
                <w:sz w:val="20"/>
                <w:szCs w:val="20"/>
              </w:rPr>
              <w:t>%</w:t>
            </w:r>
          </w:p>
        </w:tc>
      </w:tr>
      <w:tr w:rsidR="00280F65" w:rsidRPr="00F03354" w14:paraId="06AD176A" w14:textId="77777777" w:rsidTr="00343182">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17BB972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423" w:type="dxa"/>
            <w:tcBorders>
              <w:top w:val="single" w:sz="4" w:space="0" w:color="201547"/>
              <w:left w:val="single" w:sz="4" w:space="0" w:color="201547"/>
              <w:bottom w:val="single" w:sz="4" w:space="0" w:color="201547"/>
              <w:right w:val="single" w:sz="4" w:space="0" w:color="201547"/>
            </w:tcBorders>
            <w:hideMark/>
          </w:tcPr>
          <w:p w14:paraId="12A37FA1" w14:textId="4CEFE725" w:rsidR="00280F65" w:rsidRPr="00F03354" w:rsidRDefault="00280F65" w:rsidP="00280F65">
            <w:pPr>
              <w:spacing w:before="80" w:after="60" w:line="240" w:lineRule="auto"/>
              <w:rPr>
                <w:rFonts w:ascii="VIC" w:eastAsia="Times New Roman" w:hAnsi="VIC" w:cs="Times New Roman"/>
                <w:sz w:val="20"/>
                <w:szCs w:val="20"/>
                <w:lang w:val="en-GB"/>
              </w:rPr>
            </w:pPr>
            <w:r w:rsidRPr="00F03354">
              <w:rPr>
                <w:rFonts w:ascii="VIC" w:eastAsia="Times New Roman" w:hAnsi="VIC" w:cs="Times New Roman"/>
                <w:sz w:val="20"/>
                <w:szCs w:val="20"/>
              </w:rPr>
              <w:t xml:space="preserve">Equal to or greater than </w:t>
            </w:r>
            <w:r w:rsidR="00234516" w:rsidRPr="00F03354">
              <w:rPr>
                <w:rFonts w:ascii="VIC" w:eastAsia="Times New Roman" w:hAnsi="VIC" w:cs="Times New Roman"/>
                <w:sz w:val="20"/>
                <w:szCs w:val="20"/>
              </w:rPr>
              <w:t>80</w:t>
            </w:r>
            <w:r w:rsidRPr="00F03354">
              <w:rPr>
                <w:rFonts w:ascii="VIC" w:eastAsia="Times New Roman" w:hAnsi="VIC" w:cs="Times New Roman"/>
                <w:sz w:val="20"/>
                <w:szCs w:val="20"/>
              </w:rPr>
              <w:t>%</w:t>
            </w:r>
          </w:p>
        </w:tc>
        <w:tc>
          <w:tcPr>
            <w:tcW w:w="2977" w:type="dxa"/>
            <w:tcBorders>
              <w:top w:val="single" w:sz="4" w:space="0" w:color="201547"/>
              <w:left w:val="single" w:sz="4" w:space="0" w:color="201547"/>
              <w:bottom w:val="single" w:sz="4" w:space="0" w:color="201547"/>
              <w:right w:val="single" w:sz="4" w:space="0" w:color="201547"/>
            </w:tcBorders>
            <w:hideMark/>
          </w:tcPr>
          <w:p w14:paraId="2563F4A5"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32C4E193" w14:textId="77777777" w:rsidTr="00343182">
        <w:trPr>
          <w:cantSplit/>
          <w:trHeight w:val="60"/>
        </w:trPr>
        <w:tc>
          <w:tcPr>
            <w:tcW w:w="2552" w:type="dxa"/>
            <w:vMerge/>
            <w:tcBorders>
              <w:top w:val="single" w:sz="4" w:space="0" w:color="201547"/>
              <w:left w:val="single" w:sz="4" w:space="0" w:color="201547"/>
              <w:bottom w:val="single" w:sz="4" w:space="0" w:color="201547"/>
              <w:right w:val="single" w:sz="4" w:space="0" w:color="201547"/>
            </w:tcBorders>
            <w:vAlign w:val="center"/>
            <w:hideMark/>
          </w:tcPr>
          <w:p w14:paraId="3967FD33"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423" w:type="dxa"/>
            <w:tcBorders>
              <w:top w:val="single" w:sz="4" w:space="0" w:color="201547"/>
              <w:left w:val="single" w:sz="4" w:space="0" w:color="201547"/>
              <w:bottom w:val="single" w:sz="4" w:space="0" w:color="201547"/>
              <w:right w:val="single" w:sz="4" w:space="0" w:color="201547"/>
            </w:tcBorders>
            <w:hideMark/>
          </w:tcPr>
          <w:p w14:paraId="65695023" w14:textId="5AD5E73A"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Less than </w:t>
            </w:r>
            <w:r w:rsidR="00234516" w:rsidRPr="00F03354">
              <w:rPr>
                <w:rFonts w:ascii="VIC" w:eastAsia="Times New Roman" w:hAnsi="VIC" w:cs="Times New Roman"/>
                <w:sz w:val="20"/>
                <w:szCs w:val="20"/>
              </w:rPr>
              <w:t>80</w:t>
            </w:r>
            <w:r w:rsidRPr="00F03354">
              <w:rPr>
                <w:rFonts w:ascii="VIC" w:eastAsia="Times New Roman" w:hAnsi="VIC" w:cs="Times New Roman"/>
                <w:sz w:val="20"/>
                <w:szCs w:val="20"/>
              </w:rPr>
              <w:t>%</w:t>
            </w:r>
          </w:p>
        </w:tc>
        <w:tc>
          <w:tcPr>
            <w:tcW w:w="2977" w:type="dxa"/>
            <w:tcBorders>
              <w:top w:val="single" w:sz="4" w:space="0" w:color="201547"/>
              <w:left w:val="single" w:sz="4" w:space="0" w:color="201547"/>
              <w:bottom w:val="single" w:sz="4" w:space="0" w:color="201547"/>
              <w:right w:val="single" w:sz="4" w:space="0" w:color="201547"/>
            </w:tcBorders>
            <w:hideMark/>
          </w:tcPr>
          <w:p w14:paraId="14343AEA"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1BE8AA09"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460E919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Improvement </w:t>
            </w:r>
          </w:p>
        </w:tc>
        <w:tc>
          <w:tcPr>
            <w:tcW w:w="7400" w:type="dxa"/>
            <w:gridSpan w:val="2"/>
            <w:tcBorders>
              <w:top w:val="single" w:sz="4" w:space="0" w:color="201547"/>
              <w:left w:val="single" w:sz="4" w:space="0" w:color="201547"/>
              <w:bottom w:val="single" w:sz="4" w:space="0" w:color="201547"/>
              <w:right w:val="single" w:sz="4" w:space="0" w:color="201547"/>
            </w:tcBorders>
          </w:tcPr>
          <w:p w14:paraId="37F3B80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quarter performance.</w:t>
            </w:r>
          </w:p>
        </w:tc>
      </w:tr>
      <w:tr w:rsidR="00280F65" w:rsidRPr="00F03354" w14:paraId="38497DB2"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47CFD08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0A8043F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CMI/ODS (Mental Health Client Management Information / Operational Data Store). Indicator is reported quarterly.</w:t>
            </w:r>
          </w:p>
          <w:p w14:paraId="75BBD13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41560232"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1B9F227D"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42FAE595"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2E466C9B"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5EC14A3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7667DB58" w14:textId="77777777" w:rsidR="00280F65" w:rsidRPr="00F03354" w:rsidRDefault="00280F65" w:rsidP="00280F65">
      <w:pPr>
        <w:spacing w:after="120" w:line="270" w:lineRule="atLeast"/>
        <w:rPr>
          <w:rFonts w:ascii="VIC" w:eastAsia="Times" w:hAnsi="VIC" w:cs="Times New Roman"/>
          <w:b/>
          <w:bCs/>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423"/>
        <w:gridCol w:w="2977"/>
      </w:tblGrid>
      <w:tr w:rsidR="00280F65" w:rsidRPr="00F03354" w14:paraId="55774A72" w14:textId="77777777" w:rsidTr="00343182">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0956BC5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gridSpan w:val="2"/>
            <w:tcBorders>
              <w:top w:val="single" w:sz="4" w:space="0" w:color="201547"/>
              <w:left w:val="single" w:sz="4" w:space="0" w:color="201547"/>
              <w:bottom w:val="single" w:sz="4" w:space="0" w:color="201547"/>
              <w:right w:val="single" w:sz="4" w:space="0" w:color="201547"/>
            </w:tcBorders>
            <w:shd w:val="clear" w:color="auto" w:fill="244C5A"/>
            <w:vAlign w:val="bottom"/>
            <w:hideMark/>
          </w:tcPr>
          <w:p w14:paraId="5F8391A5" w14:textId="27E94125"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 xml:space="preserve">Percentage of male security patients at Thomas Embling Hospital discharged within </w:t>
            </w:r>
            <w:r w:rsidR="00234516" w:rsidRPr="00F03354">
              <w:rPr>
                <w:rFonts w:ascii="VIC" w:eastAsia="Times New Roman" w:hAnsi="VIC" w:cs="Times New Roman"/>
                <w:bCs/>
                <w:color w:val="FFFFFF" w:themeColor="background1"/>
                <w:sz w:val="20"/>
                <w:szCs w:val="20"/>
              </w:rPr>
              <w:t>7</w:t>
            </w:r>
            <w:r w:rsidRPr="00F03354">
              <w:rPr>
                <w:rFonts w:ascii="VIC" w:eastAsia="Times New Roman" w:hAnsi="VIC" w:cs="Times New Roman"/>
                <w:bCs/>
                <w:color w:val="FFFFFF" w:themeColor="background1"/>
                <w:sz w:val="20"/>
                <w:szCs w:val="20"/>
              </w:rPr>
              <w:t xml:space="preserve"> days of becoming a civil patient</w:t>
            </w:r>
          </w:p>
        </w:tc>
      </w:tr>
      <w:tr w:rsidR="00280F65" w:rsidRPr="00F03354" w14:paraId="1A6A29AA"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5C6FD9A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Description </w:t>
            </w:r>
          </w:p>
        </w:tc>
        <w:tc>
          <w:tcPr>
            <w:tcW w:w="7400" w:type="dxa"/>
            <w:gridSpan w:val="2"/>
            <w:tcBorders>
              <w:top w:val="single" w:sz="4" w:space="0" w:color="201547"/>
              <w:left w:val="single" w:sz="4" w:space="0" w:color="201547"/>
              <w:bottom w:val="single" w:sz="4" w:space="0" w:color="201547"/>
              <w:right w:val="single" w:sz="4" w:space="0" w:color="201547"/>
            </w:tcBorders>
          </w:tcPr>
          <w:p w14:paraId="49FD6DCD" w14:textId="35A8F88B" w:rsidR="00280F65" w:rsidRPr="00F03354" w:rsidRDefault="00280F65" w:rsidP="00280F65">
            <w:pPr>
              <w:spacing w:before="80" w:after="60" w:line="240" w:lineRule="auto"/>
              <w:rPr>
                <w:rFonts w:ascii="VIC" w:eastAsia="Times New Roman" w:hAnsi="VIC" w:cs="Verdana"/>
                <w:sz w:val="20"/>
                <w:szCs w:val="20"/>
                <w:lang w:eastAsia="en-AU"/>
              </w:rPr>
            </w:pPr>
            <w:r w:rsidRPr="00F03354">
              <w:rPr>
                <w:rFonts w:ascii="VIC" w:eastAsia="Times" w:hAnsi="VIC" w:cs="Times New Roman"/>
                <w:sz w:val="20"/>
                <w:szCs w:val="20"/>
              </w:rPr>
              <w:t xml:space="preserve">Percentage of male security patients at Thomas Embling Hospital whose security order expired, who were discharged to community or Designated Mental Health Service within </w:t>
            </w:r>
            <w:r w:rsidR="00234516" w:rsidRPr="00F03354">
              <w:rPr>
                <w:rFonts w:ascii="VIC" w:eastAsia="Times" w:hAnsi="VIC" w:cs="Times New Roman"/>
                <w:sz w:val="20"/>
                <w:szCs w:val="20"/>
              </w:rPr>
              <w:t>7</w:t>
            </w:r>
            <w:r w:rsidRPr="00F03354">
              <w:rPr>
                <w:rFonts w:ascii="VIC" w:eastAsia="Times" w:hAnsi="VIC" w:cs="Times New Roman"/>
                <w:sz w:val="20"/>
                <w:szCs w:val="20"/>
              </w:rPr>
              <w:t xml:space="preserve"> days.</w:t>
            </w:r>
            <w:r w:rsidRPr="00F03354">
              <w:rPr>
                <w:rFonts w:ascii="VIC" w:eastAsia="Times New Roman" w:hAnsi="VIC" w:cs="Verdana"/>
                <w:sz w:val="20"/>
                <w:szCs w:val="20"/>
                <w:lang w:eastAsia="en-AU"/>
              </w:rPr>
              <w:t xml:space="preserve"> </w:t>
            </w:r>
          </w:p>
        </w:tc>
      </w:tr>
      <w:tr w:rsidR="00280F65" w:rsidRPr="00F03354" w14:paraId="7677AFC6"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75CD309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5BCD851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assessed quarterly.</w:t>
            </w:r>
          </w:p>
        </w:tc>
      </w:tr>
      <w:tr w:rsidR="00280F65" w:rsidRPr="00F03354" w14:paraId="2070EF0B"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89F38C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3F51782B" w14:textId="11268B6B"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number of male security patients at Thomas Embling Hospital whose security order expired during the reference period and were subsequently discharged to the community or an area mental health service within 21 days.</w:t>
            </w:r>
          </w:p>
          <w:p w14:paraId="337BCF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 calculation:</w:t>
            </w:r>
          </w:p>
          <w:p w14:paraId="2FD839D0" w14:textId="6053F2BF" w:rsidR="00280F65" w:rsidRPr="00F03354" w:rsidRDefault="00280F65" w:rsidP="0089279C">
            <w:pPr>
              <w:numPr>
                <w:ilvl w:val="0"/>
                <w:numId w:val="17"/>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Obtain male clients admitted to Thomas Embling Hospital acute units who had a security order (code 105 &amp; 202) expire during the reporting period. Include only those clients that were discharged from Forensicare Thomas Embling Hospital within </w:t>
            </w:r>
            <w:r w:rsidR="00234516" w:rsidRPr="00F03354">
              <w:rPr>
                <w:rFonts w:ascii="VIC" w:eastAsia="Times New Roman" w:hAnsi="VIC" w:cs="Times New Roman"/>
                <w:sz w:val="20"/>
                <w:szCs w:val="20"/>
              </w:rPr>
              <w:t>7</w:t>
            </w:r>
            <w:r w:rsidRPr="00F03354">
              <w:rPr>
                <w:rFonts w:ascii="VIC" w:eastAsia="Times New Roman" w:hAnsi="VIC" w:cs="Times New Roman"/>
                <w:sz w:val="20"/>
                <w:szCs w:val="20"/>
              </w:rPr>
              <w:t xml:space="preserve"> days after the security order expired.</w:t>
            </w:r>
          </w:p>
          <w:p w14:paraId="152EA580" w14:textId="77777777" w:rsidR="00280F65" w:rsidRPr="00F03354" w:rsidRDefault="00280F65" w:rsidP="0089279C">
            <w:pPr>
              <w:numPr>
                <w:ilvl w:val="1"/>
                <w:numId w:val="17"/>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Obtain all Forensicare acute unit clients who had a security order expire (order codes 105 &amp; 202) during the reporting period</w:t>
            </w:r>
          </w:p>
          <w:p w14:paraId="398FD72C" w14:textId="77777777" w:rsidR="00280F65" w:rsidRPr="00F03354" w:rsidRDefault="00280F65" w:rsidP="0089279C">
            <w:pPr>
              <w:numPr>
                <w:ilvl w:val="1"/>
                <w:numId w:val="17"/>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Exclude those who have had an extension with a subsequent security order or who have returned to MAP</w:t>
            </w:r>
            <w:r w:rsidRPr="00F03354" w:rsidDel="005B1594">
              <w:rPr>
                <w:rFonts w:ascii="VIC" w:eastAsia="Times New Roman" w:hAnsi="VIC" w:cs="Times New Roman"/>
                <w:sz w:val="20"/>
                <w:szCs w:val="20"/>
                <w:lang w:eastAsia="en-AU"/>
              </w:rPr>
              <w:t xml:space="preserve"> </w:t>
            </w:r>
            <w:r w:rsidRPr="00F03354">
              <w:rPr>
                <w:rFonts w:ascii="VIC" w:eastAsia="Times New Roman" w:hAnsi="VIC" w:cs="Times New Roman"/>
                <w:sz w:val="20"/>
                <w:szCs w:val="20"/>
                <w:lang w:eastAsia="en-AU"/>
              </w:rPr>
              <w:t>Exclude those who are still in Thomas Embling Hospital 21 days after their security order expired</w:t>
            </w:r>
          </w:p>
          <w:p w14:paraId="5E3E8B40" w14:textId="77777777" w:rsidR="00280F65" w:rsidRPr="00F03354" w:rsidRDefault="00280F65" w:rsidP="0089279C">
            <w:pPr>
              <w:numPr>
                <w:ilvl w:val="0"/>
                <w:numId w:val="17"/>
              </w:num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Count the number. </w:t>
            </w:r>
          </w:p>
        </w:tc>
      </w:tr>
      <w:tr w:rsidR="00280F65" w:rsidRPr="00F03354" w14:paraId="0EDBEA00"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78F35D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Denominator</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3C113F77" w14:textId="77777777" w:rsidR="00280F65" w:rsidRPr="00F03354" w:rsidRDefault="00280F65" w:rsidP="00280F65">
            <w:p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Total number of male Forensicare inpatient (Thomas Embling Hospital) clients whose security order expired during the reference period.</w:t>
            </w:r>
          </w:p>
          <w:p w14:paraId="7CBC8135" w14:textId="77777777" w:rsidR="00280F65" w:rsidRPr="00F03354" w:rsidRDefault="00280F65" w:rsidP="00280F65">
            <w:p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Denominator calculation:</w:t>
            </w:r>
          </w:p>
          <w:p w14:paraId="66B5CB4F" w14:textId="77777777" w:rsidR="00280F65" w:rsidRPr="00F03354" w:rsidRDefault="00280F65" w:rsidP="0089279C">
            <w:pPr>
              <w:numPr>
                <w:ilvl w:val="0"/>
                <w:numId w:val="18"/>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Obtain male clients admitted to Thomas Embling Hospital acute units who had a security order (code 105 &amp; 202) expire during the reporting period.</w:t>
            </w:r>
          </w:p>
          <w:p w14:paraId="674575AE" w14:textId="77777777" w:rsidR="00280F65" w:rsidRPr="00F03354" w:rsidRDefault="00280F65" w:rsidP="0089279C">
            <w:pPr>
              <w:numPr>
                <w:ilvl w:val="1"/>
                <w:numId w:val="19"/>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Obtain all Forensicare acute unit clients who had a security order expire (order codes 105 &amp; 202) during the reporting period</w:t>
            </w:r>
          </w:p>
          <w:p w14:paraId="6EC08833" w14:textId="77777777" w:rsidR="00280F65" w:rsidRPr="00F03354" w:rsidRDefault="00280F65" w:rsidP="0089279C">
            <w:pPr>
              <w:numPr>
                <w:ilvl w:val="1"/>
                <w:numId w:val="19"/>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Include only those who had a civil order to follow. Exclude those who have had an extension with a subsequent security order or who have returned to MAP</w:t>
            </w:r>
          </w:p>
          <w:p w14:paraId="6B35ED42" w14:textId="77777777" w:rsidR="00280F65" w:rsidRPr="00F03354" w:rsidRDefault="00280F65" w:rsidP="0089279C">
            <w:pPr>
              <w:numPr>
                <w:ilvl w:val="0"/>
                <w:numId w:val="13"/>
              </w:numPr>
              <w:spacing w:before="80" w:after="60" w:line="240" w:lineRule="auto"/>
              <w:rPr>
                <w:rFonts w:ascii="VIC" w:eastAsia="Times New Roman" w:hAnsi="VIC" w:cs="Times New Roman"/>
                <w:sz w:val="20"/>
                <w:szCs w:val="20"/>
                <w:lang w:eastAsia="en-AU"/>
              </w:rPr>
            </w:pPr>
            <w:r w:rsidRPr="00F03354">
              <w:rPr>
                <w:rFonts w:ascii="VIC" w:eastAsia="Times New Roman" w:hAnsi="VIC" w:cs="Times New Roman"/>
                <w:sz w:val="20"/>
                <w:szCs w:val="20"/>
                <w:lang w:eastAsia="en-AU"/>
              </w:rPr>
              <w:t xml:space="preserve">Count the number </w:t>
            </w:r>
          </w:p>
        </w:tc>
      </w:tr>
      <w:tr w:rsidR="00280F65" w:rsidRPr="00F03354" w14:paraId="7525537A"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25ACC09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6F6447D9" w14:textId="69CEFE08" w:rsidR="00280F65" w:rsidRPr="00F03354" w:rsidRDefault="00234516"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80</w:t>
            </w:r>
            <w:r w:rsidR="00280F65" w:rsidRPr="00F03354">
              <w:rPr>
                <w:rFonts w:ascii="VIC" w:eastAsia="Times New Roman" w:hAnsi="VIC" w:cs="Times New Roman"/>
                <w:sz w:val="20"/>
                <w:szCs w:val="20"/>
              </w:rPr>
              <w:t>%</w:t>
            </w:r>
          </w:p>
        </w:tc>
      </w:tr>
      <w:tr w:rsidR="00280F65" w:rsidRPr="00F03354" w14:paraId="4717B21D" w14:textId="77777777" w:rsidTr="00343182">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34007512" w14:textId="77777777"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t>Achievement</w:t>
            </w:r>
          </w:p>
        </w:tc>
        <w:tc>
          <w:tcPr>
            <w:tcW w:w="4423" w:type="dxa"/>
            <w:tcBorders>
              <w:top w:val="single" w:sz="4" w:space="0" w:color="201547"/>
              <w:left w:val="single" w:sz="4" w:space="0" w:color="201547"/>
              <w:bottom w:val="single" w:sz="4" w:space="0" w:color="201547"/>
              <w:right w:val="single" w:sz="4" w:space="0" w:color="201547"/>
            </w:tcBorders>
            <w:hideMark/>
          </w:tcPr>
          <w:p w14:paraId="1097EFDC" w14:textId="18AB6BDA" w:rsidR="00280F65" w:rsidRPr="00F03354" w:rsidRDefault="00280F65" w:rsidP="00280F65">
            <w:pPr>
              <w:spacing w:after="120" w:line="270" w:lineRule="atLeast"/>
              <w:rPr>
                <w:rFonts w:ascii="VIC" w:eastAsia="Times" w:hAnsi="VIC" w:cs="Times New Roman"/>
                <w:sz w:val="20"/>
                <w:szCs w:val="20"/>
                <w:lang w:val="en-GB"/>
              </w:rPr>
            </w:pPr>
            <w:r w:rsidRPr="00F03354">
              <w:rPr>
                <w:rFonts w:ascii="VIC" w:eastAsia="Times" w:hAnsi="VIC" w:cs="Times New Roman"/>
                <w:sz w:val="20"/>
                <w:szCs w:val="20"/>
              </w:rPr>
              <w:t xml:space="preserve">Equal to or greater than </w:t>
            </w:r>
            <w:r w:rsidR="00234516" w:rsidRPr="00F03354">
              <w:rPr>
                <w:rFonts w:ascii="VIC" w:eastAsia="Times" w:hAnsi="VIC" w:cs="Times New Roman"/>
                <w:sz w:val="20"/>
                <w:szCs w:val="20"/>
              </w:rPr>
              <w:t>80</w:t>
            </w:r>
            <w:r w:rsidRPr="00F03354">
              <w:rPr>
                <w:rFonts w:ascii="VIC" w:eastAsia="Times" w:hAnsi="VIC" w:cs="Times New Roman"/>
                <w:sz w:val="20"/>
                <w:szCs w:val="20"/>
              </w:rPr>
              <w:t>%</w:t>
            </w:r>
          </w:p>
        </w:tc>
        <w:tc>
          <w:tcPr>
            <w:tcW w:w="2977" w:type="dxa"/>
            <w:tcBorders>
              <w:top w:val="single" w:sz="4" w:space="0" w:color="201547"/>
              <w:left w:val="single" w:sz="4" w:space="0" w:color="201547"/>
              <w:bottom w:val="single" w:sz="4" w:space="0" w:color="201547"/>
              <w:right w:val="single" w:sz="4" w:space="0" w:color="201547"/>
            </w:tcBorders>
            <w:hideMark/>
          </w:tcPr>
          <w:p w14:paraId="2FD986DE" w14:textId="77777777" w:rsidR="00280F65" w:rsidRPr="00F03354" w:rsidRDefault="00280F65" w:rsidP="00280F65">
            <w:pPr>
              <w:spacing w:after="120" w:line="270" w:lineRule="atLeast"/>
              <w:jc w:val="center"/>
              <w:rPr>
                <w:rFonts w:ascii="VIC" w:eastAsia="Times" w:hAnsi="VIC" w:cs="Times New Roman"/>
                <w:sz w:val="20"/>
                <w:szCs w:val="20"/>
              </w:rPr>
            </w:pPr>
            <w:r w:rsidRPr="00F03354">
              <w:rPr>
                <w:rFonts w:ascii="VIC" w:eastAsia="Times" w:hAnsi="VIC" w:cs="Times New Roman"/>
                <w:sz w:val="20"/>
                <w:szCs w:val="20"/>
              </w:rPr>
              <w:t>Achieved</w:t>
            </w:r>
          </w:p>
        </w:tc>
      </w:tr>
      <w:tr w:rsidR="00280F65" w:rsidRPr="00F03354" w14:paraId="270349BC" w14:textId="77777777" w:rsidTr="00343182">
        <w:trPr>
          <w:cantSplit/>
          <w:trHeight w:val="60"/>
        </w:trPr>
        <w:tc>
          <w:tcPr>
            <w:tcW w:w="2552" w:type="dxa"/>
            <w:vMerge/>
            <w:tcBorders>
              <w:top w:val="single" w:sz="4" w:space="0" w:color="201547"/>
              <w:left w:val="single" w:sz="4" w:space="0" w:color="201547"/>
              <w:bottom w:val="single" w:sz="4" w:space="0" w:color="201547"/>
              <w:right w:val="single" w:sz="4" w:space="0" w:color="201547"/>
            </w:tcBorders>
            <w:vAlign w:val="center"/>
            <w:hideMark/>
          </w:tcPr>
          <w:p w14:paraId="7318D69A" w14:textId="77777777" w:rsidR="00280F65" w:rsidRPr="00F03354" w:rsidRDefault="00280F65" w:rsidP="00280F65">
            <w:pPr>
              <w:spacing w:after="120" w:line="270" w:lineRule="atLeast"/>
              <w:rPr>
                <w:rFonts w:ascii="VIC" w:eastAsia="Times" w:hAnsi="VIC" w:cs="Times New Roman"/>
                <w:sz w:val="20"/>
                <w:szCs w:val="20"/>
              </w:rPr>
            </w:pPr>
          </w:p>
        </w:tc>
        <w:tc>
          <w:tcPr>
            <w:tcW w:w="4423" w:type="dxa"/>
            <w:tcBorders>
              <w:top w:val="single" w:sz="4" w:space="0" w:color="201547"/>
              <w:left w:val="single" w:sz="4" w:space="0" w:color="201547"/>
              <w:bottom w:val="single" w:sz="4" w:space="0" w:color="201547"/>
              <w:right w:val="single" w:sz="4" w:space="0" w:color="201547"/>
            </w:tcBorders>
            <w:hideMark/>
          </w:tcPr>
          <w:p w14:paraId="1AEDCA82" w14:textId="31AC25C6"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t xml:space="preserve">Less than </w:t>
            </w:r>
            <w:r w:rsidR="00234516" w:rsidRPr="00F03354">
              <w:rPr>
                <w:rFonts w:ascii="VIC" w:eastAsia="Times" w:hAnsi="VIC" w:cs="Times New Roman"/>
                <w:sz w:val="20"/>
                <w:szCs w:val="20"/>
              </w:rPr>
              <w:t>80</w:t>
            </w:r>
            <w:r w:rsidRPr="00F03354">
              <w:rPr>
                <w:rFonts w:ascii="VIC" w:eastAsia="Times" w:hAnsi="VIC" w:cs="Times New Roman"/>
                <w:sz w:val="20"/>
                <w:szCs w:val="20"/>
              </w:rPr>
              <w:t>%</w:t>
            </w:r>
          </w:p>
        </w:tc>
        <w:tc>
          <w:tcPr>
            <w:tcW w:w="2977" w:type="dxa"/>
            <w:tcBorders>
              <w:top w:val="single" w:sz="4" w:space="0" w:color="201547"/>
              <w:left w:val="single" w:sz="4" w:space="0" w:color="201547"/>
              <w:bottom w:val="single" w:sz="4" w:space="0" w:color="201547"/>
              <w:right w:val="single" w:sz="4" w:space="0" w:color="201547"/>
            </w:tcBorders>
            <w:hideMark/>
          </w:tcPr>
          <w:p w14:paraId="2F7E9ABE" w14:textId="77777777" w:rsidR="00280F65" w:rsidRPr="00F03354" w:rsidRDefault="00280F65" w:rsidP="00280F65">
            <w:pPr>
              <w:spacing w:after="120" w:line="270" w:lineRule="atLeast"/>
              <w:jc w:val="center"/>
              <w:rPr>
                <w:rFonts w:ascii="VIC" w:eastAsia="Times" w:hAnsi="VIC" w:cs="Times New Roman"/>
                <w:sz w:val="20"/>
                <w:szCs w:val="20"/>
              </w:rPr>
            </w:pPr>
            <w:r w:rsidRPr="00F03354">
              <w:rPr>
                <w:rFonts w:ascii="VIC" w:eastAsia="Times" w:hAnsi="VIC" w:cs="Times New Roman"/>
                <w:sz w:val="20"/>
                <w:szCs w:val="20"/>
              </w:rPr>
              <w:t>Not achieved</w:t>
            </w:r>
          </w:p>
        </w:tc>
      </w:tr>
      <w:tr w:rsidR="00280F65" w:rsidRPr="00F03354" w14:paraId="1B919919"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tcPr>
          <w:p w14:paraId="44307B8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Improvement </w:t>
            </w:r>
          </w:p>
        </w:tc>
        <w:tc>
          <w:tcPr>
            <w:tcW w:w="7400" w:type="dxa"/>
            <w:gridSpan w:val="2"/>
            <w:tcBorders>
              <w:top w:val="single" w:sz="4" w:space="0" w:color="201547"/>
              <w:left w:val="single" w:sz="4" w:space="0" w:color="201547"/>
              <w:bottom w:val="single" w:sz="4" w:space="0" w:color="201547"/>
              <w:right w:val="single" w:sz="4" w:space="0" w:color="201547"/>
            </w:tcBorders>
          </w:tcPr>
          <w:p w14:paraId="1300AA4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compared to previous quarter performance.</w:t>
            </w:r>
          </w:p>
        </w:tc>
      </w:tr>
      <w:tr w:rsidR="00280F65" w:rsidRPr="00F03354" w14:paraId="2870466B"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3BAB211C" w14:textId="77777777" w:rsidR="00280F65" w:rsidRPr="00F03354" w:rsidRDefault="00280F65" w:rsidP="00280F65">
            <w:pPr>
              <w:spacing w:after="120" w:line="270" w:lineRule="atLeast"/>
              <w:rPr>
                <w:rFonts w:ascii="VIC" w:eastAsia="Times" w:hAnsi="VIC" w:cs="Times New Roman"/>
                <w:sz w:val="20"/>
                <w:szCs w:val="20"/>
              </w:rPr>
            </w:pPr>
            <w:r w:rsidRPr="00F03354">
              <w:rPr>
                <w:rFonts w:ascii="VIC" w:eastAsia="Times" w:hAnsi="VIC" w:cs="Times New Roman"/>
                <w:sz w:val="20"/>
                <w:szCs w:val="20"/>
              </w:rPr>
              <w:t>Frequency of reporting and data collection</w:t>
            </w:r>
          </w:p>
        </w:tc>
        <w:tc>
          <w:tcPr>
            <w:tcW w:w="7400" w:type="dxa"/>
            <w:gridSpan w:val="2"/>
            <w:tcBorders>
              <w:top w:val="single" w:sz="4" w:space="0" w:color="201547"/>
              <w:left w:val="single" w:sz="4" w:space="0" w:color="201547"/>
              <w:bottom w:val="single" w:sz="4" w:space="0" w:color="201547"/>
              <w:right w:val="single" w:sz="4" w:space="0" w:color="201547"/>
            </w:tcBorders>
            <w:hideMark/>
          </w:tcPr>
          <w:p w14:paraId="2F21FE8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CMI/ODS (Mental Health Client Management Information / Operational Data Store). Indicator is reported quarterly.</w:t>
            </w:r>
          </w:p>
          <w:p w14:paraId="462E1BD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reported for the periods:</w:t>
            </w:r>
          </w:p>
          <w:p w14:paraId="71EFEE89"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July to 30 September in quarter 1</w:t>
            </w:r>
          </w:p>
          <w:p w14:paraId="1C9EE446"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October to 31 December in quarter 2</w:t>
            </w:r>
          </w:p>
          <w:p w14:paraId="16A8177E"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January to 31 March in quarter 3</w:t>
            </w:r>
          </w:p>
          <w:p w14:paraId="4999E9E1"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 April to 30 June in quarter 4.</w:t>
            </w:r>
          </w:p>
          <w:p w14:paraId="30AE43E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data source for this indicator is the Client Management Interface (CMI), which is the local client information system used by each public mental health service. It also uses the Operational Data Store (ODS), which manages a set of select data items from each CMI. The initialism used for this data source is CMI/ODS.</w:t>
            </w:r>
          </w:p>
        </w:tc>
      </w:tr>
    </w:tbl>
    <w:p w14:paraId="764A4B9D" w14:textId="77777777" w:rsidR="00280F65" w:rsidRPr="00F03354" w:rsidRDefault="00280F65" w:rsidP="00280F65">
      <w:pPr>
        <w:keepNext/>
        <w:keepLines/>
        <w:spacing w:before="240" w:after="90" w:line="320" w:lineRule="atLeast"/>
        <w:outlineLvl w:val="2"/>
        <w:rPr>
          <w:rFonts w:ascii="VIC" w:eastAsia="MS Gothic" w:hAnsi="VIC" w:cs="Arial"/>
          <w:b/>
          <w:bCs/>
          <w:color w:val="201547"/>
          <w:sz w:val="20"/>
          <w:szCs w:val="20"/>
        </w:rPr>
      </w:pPr>
      <w:bookmarkStart w:id="55" w:name="_Toc456342110"/>
      <w:bookmarkStart w:id="56" w:name="_Toc516827361"/>
      <w:bookmarkStart w:id="57" w:name="_Toc517959145"/>
    </w:p>
    <w:p w14:paraId="1B43B096" w14:textId="77777777" w:rsidR="00280F65" w:rsidRPr="00F03354" w:rsidRDefault="00280F65" w:rsidP="00280F65">
      <w:pPr>
        <w:spacing w:after="200" w:line="276" w:lineRule="auto"/>
        <w:rPr>
          <w:rFonts w:ascii="VIC" w:eastAsia="MS Gothic" w:hAnsi="VIC" w:cs="Arial"/>
          <w:b/>
          <w:bCs/>
          <w:color w:val="201547"/>
          <w:sz w:val="20"/>
          <w:szCs w:val="20"/>
        </w:rPr>
      </w:pPr>
      <w:r w:rsidRPr="00F03354">
        <w:rPr>
          <w:rFonts w:ascii="VIC" w:eastAsia="Times New Roman" w:hAnsi="VIC" w:cs="Times New Roman"/>
          <w:sz w:val="20"/>
          <w:szCs w:val="20"/>
        </w:rPr>
        <w:br w:type="page"/>
      </w:r>
    </w:p>
    <w:p w14:paraId="0EDA295C" w14:textId="77777777" w:rsidR="00280F65" w:rsidRPr="00F03354" w:rsidRDefault="00280F65" w:rsidP="00280F65">
      <w:pPr>
        <w:keepNext/>
        <w:keepLines/>
        <w:spacing w:before="240" w:after="90" w:line="320" w:lineRule="atLeast"/>
        <w:outlineLvl w:val="2"/>
        <w:rPr>
          <w:rFonts w:ascii="VIC" w:eastAsia="MS Gothic" w:hAnsi="VIC" w:cs="Arial"/>
          <w:b/>
          <w:bCs/>
          <w:color w:val="201547"/>
          <w:sz w:val="20"/>
          <w:szCs w:val="20"/>
        </w:rPr>
      </w:pPr>
      <w:bookmarkStart w:id="58" w:name="_Toc10123563"/>
      <w:bookmarkStart w:id="59" w:name="_Hlk85455594"/>
      <w:r w:rsidRPr="00F03354">
        <w:rPr>
          <w:rFonts w:ascii="VIC" w:eastAsia="MS Gothic" w:hAnsi="VIC" w:cs="Arial"/>
          <w:b/>
          <w:bCs/>
          <w:color w:val="201547"/>
          <w:sz w:val="20"/>
          <w:szCs w:val="20"/>
        </w:rPr>
        <w:lastRenderedPageBreak/>
        <w:t xml:space="preserve">Effective financial </w:t>
      </w:r>
      <w:bookmarkEnd w:id="51"/>
      <w:bookmarkEnd w:id="55"/>
      <w:r w:rsidRPr="00F03354">
        <w:rPr>
          <w:rFonts w:ascii="VIC" w:eastAsia="MS Gothic" w:hAnsi="VIC" w:cs="Arial"/>
          <w:b/>
          <w:bCs/>
          <w:color w:val="201547"/>
          <w:sz w:val="20"/>
          <w:szCs w:val="20"/>
        </w:rPr>
        <w:t>management</w:t>
      </w:r>
      <w:bookmarkEnd w:id="56"/>
      <w:bookmarkEnd w:id="57"/>
      <w:bookmarkEnd w:id="58"/>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5386"/>
        <w:gridCol w:w="2014"/>
      </w:tblGrid>
      <w:tr w:rsidR="00280F65" w:rsidRPr="00F03354" w14:paraId="50913044" w14:textId="77777777" w:rsidTr="00343182">
        <w:trPr>
          <w:cantSplit/>
          <w:trHeight w:val="60"/>
          <w:tblHeader/>
        </w:trPr>
        <w:tc>
          <w:tcPr>
            <w:tcW w:w="2552" w:type="dxa"/>
            <w:shd w:val="clear" w:color="auto" w:fill="244C5A"/>
          </w:tcPr>
          <w:p w14:paraId="6271711B"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gridSpan w:val="2"/>
            <w:shd w:val="clear" w:color="auto" w:fill="244C5A"/>
          </w:tcPr>
          <w:p w14:paraId="350D0BF9"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Operating result as a percentage of revenue</w:t>
            </w:r>
          </w:p>
        </w:tc>
      </w:tr>
      <w:tr w:rsidR="00280F65" w:rsidRPr="00F03354" w14:paraId="266896CE" w14:textId="77777777" w:rsidTr="00343182">
        <w:trPr>
          <w:cantSplit/>
          <w:trHeight w:val="60"/>
        </w:trPr>
        <w:tc>
          <w:tcPr>
            <w:tcW w:w="2552" w:type="dxa"/>
            <w:hideMark/>
          </w:tcPr>
          <w:p w14:paraId="6CF56E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hideMark/>
          </w:tcPr>
          <w:p w14:paraId="1E938D6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a measure of financial sustainability.</w:t>
            </w:r>
          </w:p>
          <w:p w14:paraId="1DA38D1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agreed SoP target should achieve an operating surplus necessary to maintain or, where necessary, improve the current operating cash position. This requirement aligns with the department’s reform priority to increase the financial sustainability and productivity of the health system.</w:t>
            </w:r>
          </w:p>
        </w:tc>
      </w:tr>
      <w:tr w:rsidR="00280F65" w:rsidRPr="00F03354" w14:paraId="44014570" w14:textId="77777777" w:rsidTr="00343182">
        <w:trPr>
          <w:cantSplit/>
          <w:trHeight w:val="60"/>
        </w:trPr>
        <w:tc>
          <w:tcPr>
            <w:tcW w:w="2552" w:type="dxa"/>
            <w:hideMark/>
          </w:tcPr>
          <w:p w14:paraId="156E227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gridSpan w:val="2"/>
            <w:hideMark/>
          </w:tcPr>
          <w:p w14:paraId="3D2C3F7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predicated on the year-to-date (YTD) operating result in the SoP. The variance between the actual YTD result reported in the Health Agencies Reporting Tool (HeART) and the target which is the YTD budget loaded in the HeART (based on the agreed SoP outcome) is the measured outcome. It is expressed as a percentage and rounded to two decimal places.</w:t>
            </w:r>
          </w:p>
          <w:p w14:paraId="658A853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indicator excludes consolidated entities (with the exception of Monash Health, which includes Jessie McPherson Private Hospital and Western Health which includes the Foundation).</w:t>
            </w:r>
          </w:p>
          <w:p w14:paraId="0E25DE3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Phased monthly targets are based on the September HeART submission for the financial year. Changes thereafter are only reported on agreement between the department and the health service regardless of the data submitted in the HeART.</w:t>
            </w:r>
          </w:p>
          <w:p w14:paraId="5DCB674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opportunity to prospectively re-phase monthly targets tracking to the agreed annual operating result should be negotiated with the department. Should the phasings require adjusting; these changes will be considered on a quarterly basis and, where agreed, submitted in the HeART by the health service.</w:t>
            </w:r>
          </w:p>
          <w:p w14:paraId="5F470E6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Note that the department does not support retrospective changes to phased targets.</w:t>
            </w:r>
          </w:p>
        </w:tc>
      </w:tr>
      <w:tr w:rsidR="00280F65" w:rsidRPr="00F03354" w14:paraId="23C316DD" w14:textId="77777777" w:rsidTr="00343182">
        <w:trPr>
          <w:cantSplit/>
          <w:trHeight w:val="60"/>
        </w:trPr>
        <w:tc>
          <w:tcPr>
            <w:tcW w:w="2552" w:type="dxa"/>
            <w:hideMark/>
          </w:tcPr>
          <w:p w14:paraId="7FD1AB5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hideMark/>
          </w:tcPr>
          <w:p w14:paraId="29A7C1D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YTD operating result before capital and depreciation</w:t>
            </w:r>
          </w:p>
        </w:tc>
      </w:tr>
      <w:tr w:rsidR="00280F65" w:rsidRPr="00F03354" w14:paraId="2EDA2063" w14:textId="77777777" w:rsidTr="00343182">
        <w:trPr>
          <w:cantSplit/>
          <w:trHeight w:val="60"/>
        </w:trPr>
        <w:tc>
          <w:tcPr>
            <w:tcW w:w="2552" w:type="dxa"/>
            <w:hideMark/>
          </w:tcPr>
          <w:p w14:paraId="0E50EF0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gridSpan w:val="2"/>
            <w:hideMark/>
          </w:tcPr>
          <w:p w14:paraId="51EDE79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YTD total revenue </w:t>
            </w:r>
          </w:p>
        </w:tc>
      </w:tr>
      <w:tr w:rsidR="00280F65" w:rsidRPr="00F03354" w14:paraId="1EDC7C85" w14:textId="77777777" w:rsidTr="00343182">
        <w:trPr>
          <w:cantSplit/>
          <w:trHeight w:val="60"/>
        </w:trPr>
        <w:tc>
          <w:tcPr>
            <w:tcW w:w="2552" w:type="dxa"/>
            <w:hideMark/>
          </w:tcPr>
          <w:p w14:paraId="011946F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Target</w:t>
            </w:r>
          </w:p>
        </w:tc>
        <w:tc>
          <w:tcPr>
            <w:tcW w:w="7400" w:type="dxa"/>
            <w:gridSpan w:val="2"/>
            <w:hideMark/>
          </w:tcPr>
          <w:p w14:paraId="41C432C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As agreed in the SoP for each health service</w:t>
            </w:r>
          </w:p>
        </w:tc>
      </w:tr>
      <w:tr w:rsidR="00280F65" w:rsidRPr="00F03354" w14:paraId="33349029" w14:textId="77777777" w:rsidTr="00343182">
        <w:trPr>
          <w:cantSplit/>
          <w:trHeight w:val="60"/>
        </w:trPr>
        <w:tc>
          <w:tcPr>
            <w:tcW w:w="2552" w:type="dxa"/>
            <w:vMerge w:val="restart"/>
            <w:hideMark/>
          </w:tcPr>
          <w:p w14:paraId="0BA1CE2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5386" w:type="dxa"/>
            <w:hideMark/>
          </w:tcPr>
          <w:p w14:paraId="596EDE8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Actual YTD operating as % of revenue is greater than Budgeted YTD operating as % of revenue</w:t>
            </w:r>
          </w:p>
        </w:tc>
        <w:tc>
          <w:tcPr>
            <w:tcW w:w="2014" w:type="dxa"/>
            <w:hideMark/>
          </w:tcPr>
          <w:p w14:paraId="0D5C9108"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45C8F9D7" w14:textId="77777777" w:rsidTr="00343182">
        <w:trPr>
          <w:cantSplit/>
          <w:trHeight w:val="60"/>
        </w:trPr>
        <w:tc>
          <w:tcPr>
            <w:tcW w:w="2552" w:type="dxa"/>
            <w:vMerge/>
            <w:vAlign w:val="center"/>
            <w:hideMark/>
          </w:tcPr>
          <w:p w14:paraId="028B4DD7" w14:textId="77777777" w:rsidR="00280F65" w:rsidRPr="00F03354" w:rsidRDefault="00280F65" w:rsidP="00280F65">
            <w:pPr>
              <w:spacing w:before="80" w:after="60" w:line="240" w:lineRule="auto"/>
              <w:rPr>
                <w:rFonts w:ascii="VIC" w:eastAsia="Times New Roman" w:hAnsi="VIC" w:cs="Times New Roman"/>
                <w:sz w:val="20"/>
                <w:szCs w:val="20"/>
              </w:rPr>
            </w:pPr>
          </w:p>
        </w:tc>
        <w:tc>
          <w:tcPr>
            <w:tcW w:w="5386" w:type="dxa"/>
            <w:hideMark/>
          </w:tcPr>
          <w:p w14:paraId="3535D58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Actual YTD operating as % of revenue is less than Budgeted YTD operating as % of revenue</w:t>
            </w:r>
          </w:p>
        </w:tc>
        <w:tc>
          <w:tcPr>
            <w:tcW w:w="2014" w:type="dxa"/>
            <w:hideMark/>
          </w:tcPr>
          <w:p w14:paraId="6D4D33CC"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70E40EE4" w14:textId="77777777" w:rsidTr="00343182">
        <w:trPr>
          <w:cantSplit/>
          <w:trHeight w:val="60"/>
        </w:trPr>
        <w:tc>
          <w:tcPr>
            <w:tcW w:w="2552" w:type="dxa"/>
            <w:vAlign w:val="center"/>
          </w:tcPr>
          <w:p w14:paraId="4A259A2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gridSpan w:val="2"/>
          </w:tcPr>
          <w:p w14:paraId="1F96A27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against phased target result, except for Q1 (no change). </w:t>
            </w:r>
          </w:p>
        </w:tc>
      </w:tr>
      <w:tr w:rsidR="00280F65" w:rsidRPr="00F03354" w14:paraId="3C9C4377" w14:textId="77777777" w:rsidTr="00343182">
        <w:trPr>
          <w:cantSplit/>
          <w:trHeight w:val="60"/>
        </w:trPr>
        <w:tc>
          <w:tcPr>
            <w:tcW w:w="2552" w:type="dxa"/>
            <w:hideMark/>
          </w:tcPr>
          <w:p w14:paraId="781C223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400" w:type="dxa"/>
            <w:gridSpan w:val="2"/>
            <w:hideMark/>
          </w:tcPr>
          <w:p w14:paraId="6A5A36B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21F2832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annual result is generated on receipt of audited financial data submitted in the Health Agencies Reporting Tool (HeART).</w:t>
            </w:r>
          </w:p>
          <w:p w14:paraId="6F9EDD4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expected to be submitted by health services monthly via HeART. Refer to the Guidelines for completing the Health Agencies Reporting Tool (HeART) (finance return) for further information.</w:t>
            </w:r>
          </w:p>
        </w:tc>
      </w:tr>
    </w:tbl>
    <w:p w14:paraId="51D4EF24" w14:textId="77777777" w:rsidR="00280F65" w:rsidRPr="00F03354" w:rsidRDefault="00280F65" w:rsidP="00280F65">
      <w:pPr>
        <w:spacing w:after="120" w:line="270" w:lineRule="atLeast"/>
        <w:rPr>
          <w:rFonts w:ascii="VIC" w:eastAsia="Times" w:hAnsi="VIC" w:cs="Times New Roman"/>
          <w:b/>
          <w:bCs/>
          <w:sz w:val="20"/>
          <w:szCs w:val="20"/>
        </w:rPr>
      </w:pPr>
      <w:r w:rsidRPr="00F03354">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4846"/>
        <w:gridCol w:w="2525"/>
      </w:tblGrid>
      <w:tr w:rsidR="00280F65" w:rsidRPr="00F03354" w14:paraId="43B28BFB" w14:textId="77777777" w:rsidTr="00343182">
        <w:trPr>
          <w:cantSplit/>
          <w:trHeight w:val="60"/>
          <w:tblHeader/>
        </w:trPr>
        <w:tc>
          <w:tcPr>
            <w:tcW w:w="2581" w:type="dxa"/>
            <w:shd w:val="clear" w:color="auto" w:fill="244C5A"/>
          </w:tcPr>
          <w:p w14:paraId="70E719C8"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371" w:type="dxa"/>
            <w:gridSpan w:val="2"/>
            <w:shd w:val="clear" w:color="auto" w:fill="244C5A"/>
          </w:tcPr>
          <w:p w14:paraId="6CD5087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Average number of days to pay trade creditors</w:t>
            </w:r>
          </w:p>
        </w:tc>
      </w:tr>
      <w:tr w:rsidR="00280F65" w:rsidRPr="00F03354" w14:paraId="0979AFFD" w14:textId="77777777" w:rsidTr="00343182">
        <w:trPr>
          <w:cantSplit/>
          <w:trHeight w:val="60"/>
        </w:trPr>
        <w:tc>
          <w:tcPr>
            <w:tcW w:w="2581" w:type="dxa"/>
            <w:hideMark/>
          </w:tcPr>
          <w:p w14:paraId="33B0F26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gridSpan w:val="2"/>
            <w:hideMark/>
          </w:tcPr>
          <w:p w14:paraId="26511C1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a short-term liquidity indicator. It represents the average number of days a health service takes to pay creditors. Increasing days beyond the 60-day target may indicate significant cash liquidity issues.</w:t>
            </w:r>
          </w:p>
          <w:p w14:paraId="10AE4AD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Note: in response to feedback from health services, and consistent with outcomes from the benchmarking group, an adjustment to the calculation of this indicator has been made to include account codes related to inter hospital and accrual expenses.</w:t>
            </w:r>
          </w:p>
        </w:tc>
      </w:tr>
      <w:tr w:rsidR="00280F65" w:rsidRPr="00F03354" w14:paraId="2609DAE5" w14:textId="77777777" w:rsidTr="00343182">
        <w:trPr>
          <w:cantSplit/>
          <w:trHeight w:val="60"/>
        </w:trPr>
        <w:tc>
          <w:tcPr>
            <w:tcW w:w="2581" w:type="dxa"/>
            <w:hideMark/>
          </w:tcPr>
          <w:p w14:paraId="1C6131E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gridSpan w:val="2"/>
            <w:hideMark/>
          </w:tcPr>
          <w:p w14:paraId="57C3950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Average trade creditors divided by the average daily non-salary costs.</w:t>
            </w:r>
          </w:p>
          <w:p w14:paraId="0539E76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Trade creditors are defined as account codes between:</w:t>
            </w:r>
          </w:p>
          <w:p w14:paraId="196FC997"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80101 to 80199: trade creditors – system generated</w:t>
            </w:r>
          </w:p>
          <w:p w14:paraId="709577E6"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80600 to 80649: creditors – Inter hospital</w:t>
            </w:r>
          </w:p>
          <w:p w14:paraId="3125AEC9"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81001 to 81099: accrual expenses.</w:t>
            </w:r>
          </w:p>
          <w:p w14:paraId="0DAF352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Non-salary costs are defined as account codes in the ranges:</w:t>
            </w:r>
          </w:p>
          <w:p w14:paraId="1596F4BC"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20001 to 38900 (excludes accounts 37036–37040: PPP interest expense)</w:t>
            </w:r>
          </w:p>
          <w:p w14:paraId="5B37826C"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12501 to 13211.</w:t>
            </w:r>
          </w:p>
          <w:p w14:paraId="7B9356E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calculated at a health service level and calculation of the indicator does not include controlled entities cost range Z9002–Z9101 and Z9502–Z9655 (with the exception of Monash Health, which includes Jessie McPherson Private Hospital and Western Health which includes the Western Health Foundation).</w:t>
            </w:r>
          </w:p>
          <w:p w14:paraId="5E7ABF4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indicator is expressed as a number of whole days, therefore rounded to the nearest whole number (0.5 is rounded up).</w:t>
            </w:r>
          </w:p>
        </w:tc>
      </w:tr>
      <w:tr w:rsidR="00280F65" w:rsidRPr="00F03354" w14:paraId="49049401" w14:textId="77777777" w:rsidTr="00343182">
        <w:trPr>
          <w:cantSplit/>
          <w:trHeight w:val="60"/>
        </w:trPr>
        <w:tc>
          <w:tcPr>
            <w:tcW w:w="2581" w:type="dxa"/>
            <w:hideMark/>
          </w:tcPr>
          <w:p w14:paraId="631F48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gridSpan w:val="2"/>
            <w:hideMark/>
          </w:tcPr>
          <w:p w14:paraId="423010E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sum of trade creditors at the end of the previous financial year and trade creditors at the end of the reporting month divided by two</w:t>
            </w:r>
          </w:p>
        </w:tc>
      </w:tr>
      <w:tr w:rsidR="00280F65" w:rsidRPr="00F03354" w14:paraId="38199BF4" w14:textId="77777777" w:rsidTr="00343182">
        <w:trPr>
          <w:cantSplit/>
          <w:trHeight w:val="60"/>
        </w:trPr>
        <w:tc>
          <w:tcPr>
            <w:tcW w:w="2581" w:type="dxa"/>
            <w:hideMark/>
          </w:tcPr>
          <w:p w14:paraId="4FAEC56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371" w:type="dxa"/>
            <w:gridSpan w:val="2"/>
            <w:hideMark/>
          </w:tcPr>
          <w:p w14:paraId="7ED7CE7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YTD non-salary costs divided by the YTD number of days</w:t>
            </w:r>
          </w:p>
        </w:tc>
      </w:tr>
      <w:tr w:rsidR="00280F65" w:rsidRPr="00F03354" w14:paraId="7E406189" w14:textId="77777777" w:rsidTr="00343182">
        <w:trPr>
          <w:cantSplit/>
          <w:trHeight w:val="60"/>
        </w:trPr>
        <w:tc>
          <w:tcPr>
            <w:tcW w:w="2581" w:type="dxa"/>
            <w:hideMark/>
          </w:tcPr>
          <w:p w14:paraId="4980B3E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gridSpan w:val="2"/>
            <w:hideMark/>
          </w:tcPr>
          <w:p w14:paraId="6983BEEC"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60 days</w:t>
            </w:r>
          </w:p>
        </w:tc>
      </w:tr>
      <w:tr w:rsidR="00280F65" w:rsidRPr="00F03354" w14:paraId="198D5DC3" w14:textId="77777777" w:rsidTr="00343182">
        <w:trPr>
          <w:cantSplit/>
          <w:trHeight w:val="60"/>
        </w:trPr>
        <w:tc>
          <w:tcPr>
            <w:tcW w:w="2581" w:type="dxa"/>
            <w:vMerge w:val="restart"/>
            <w:hideMark/>
          </w:tcPr>
          <w:p w14:paraId="06EAC40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846" w:type="dxa"/>
            <w:hideMark/>
          </w:tcPr>
          <w:p w14:paraId="776DF7F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60 days</w:t>
            </w:r>
          </w:p>
        </w:tc>
        <w:tc>
          <w:tcPr>
            <w:tcW w:w="2525" w:type="dxa"/>
            <w:hideMark/>
          </w:tcPr>
          <w:p w14:paraId="50CE688A"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6F1A93E0" w14:textId="77777777" w:rsidTr="00343182">
        <w:trPr>
          <w:cantSplit/>
          <w:trHeight w:val="60"/>
        </w:trPr>
        <w:tc>
          <w:tcPr>
            <w:tcW w:w="2581" w:type="dxa"/>
            <w:vMerge/>
            <w:vAlign w:val="center"/>
            <w:hideMark/>
          </w:tcPr>
          <w:p w14:paraId="5F52BD55"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846" w:type="dxa"/>
            <w:hideMark/>
          </w:tcPr>
          <w:p w14:paraId="0436484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Greater than 61 days </w:t>
            </w:r>
          </w:p>
        </w:tc>
        <w:tc>
          <w:tcPr>
            <w:tcW w:w="2525" w:type="dxa"/>
            <w:hideMark/>
          </w:tcPr>
          <w:p w14:paraId="317EF8C6"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5EFF9D6C" w14:textId="77777777" w:rsidTr="00343182">
        <w:trPr>
          <w:cantSplit/>
          <w:trHeight w:val="60"/>
        </w:trPr>
        <w:tc>
          <w:tcPr>
            <w:tcW w:w="2581" w:type="dxa"/>
            <w:vAlign w:val="center"/>
          </w:tcPr>
          <w:p w14:paraId="69A7F14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gridSpan w:val="2"/>
          </w:tcPr>
          <w:p w14:paraId="6AE1442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against prior year’s results for the same period. </w:t>
            </w:r>
          </w:p>
        </w:tc>
      </w:tr>
      <w:tr w:rsidR="00280F65" w:rsidRPr="00F03354" w14:paraId="6AE7E70D" w14:textId="77777777" w:rsidTr="00343182">
        <w:trPr>
          <w:cantSplit/>
          <w:trHeight w:val="60"/>
        </w:trPr>
        <w:tc>
          <w:tcPr>
            <w:tcW w:w="2581" w:type="dxa"/>
            <w:hideMark/>
          </w:tcPr>
          <w:p w14:paraId="0F4726C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hideMark/>
          </w:tcPr>
          <w:p w14:paraId="37A690E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0C10EE9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annual result is generated on receipt of audited financial data submitted in the Health Agencies Reporting Tool (HeART).</w:t>
            </w:r>
          </w:p>
          <w:p w14:paraId="009EE5F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Data is expected to be submitted by health services monthly via HeART. Refer to the </w:t>
            </w:r>
            <w:r w:rsidRPr="00F03354">
              <w:rPr>
                <w:rFonts w:ascii="VIC" w:eastAsia="Times New Roman" w:hAnsi="VIC" w:cs="Times New Roman"/>
                <w:i/>
                <w:iCs/>
                <w:sz w:val="20"/>
                <w:szCs w:val="20"/>
              </w:rPr>
              <w:t xml:space="preserve">Guidelines for completing the Health Agencies Reporting Tool (HeART) (finance return) </w:t>
            </w:r>
            <w:r w:rsidRPr="00F03354">
              <w:rPr>
                <w:rFonts w:ascii="VIC" w:eastAsia="Times New Roman" w:hAnsi="VIC" w:cs="Times New Roman"/>
                <w:sz w:val="20"/>
                <w:szCs w:val="20"/>
              </w:rPr>
              <w:t>for further information.</w:t>
            </w:r>
          </w:p>
        </w:tc>
      </w:tr>
    </w:tbl>
    <w:p w14:paraId="5D97C6C6" w14:textId="77777777" w:rsidR="00280F65" w:rsidRPr="00F03354" w:rsidRDefault="00280F65" w:rsidP="00280F65">
      <w:pPr>
        <w:spacing w:after="120" w:line="270" w:lineRule="atLeast"/>
        <w:rPr>
          <w:rFonts w:ascii="VIC" w:eastAsia="Times" w:hAnsi="VIC" w:cs="Times New Roman"/>
          <w:b/>
          <w:bCs/>
          <w:sz w:val="20"/>
          <w:szCs w:val="20"/>
        </w:rPr>
      </w:pPr>
      <w:r w:rsidRPr="00F03354">
        <w:rPr>
          <w:rFonts w:ascii="VIC" w:eastAsia="Times" w:hAnsi="VIC" w:cs="Times New Roman"/>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52"/>
        <w:gridCol w:w="4840"/>
        <w:gridCol w:w="2560"/>
      </w:tblGrid>
      <w:tr w:rsidR="00280F65" w:rsidRPr="00F03354" w14:paraId="311B9DBD" w14:textId="77777777" w:rsidTr="00343182">
        <w:trPr>
          <w:cantSplit/>
          <w:trHeight w:val="60"/>
          <w:tblHeader/>
        </w:trPr>
        <w:tc>
          <w:tcPr>
            <w:tcW w:w="2552" w:type="dxa"/>
            <w:shd w:val="clear" w:color="auto" w:fill="244C5A"/>
          </w:tcPr>
          <w:p w14:paraId="22B1724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400" w:type="dxa"/>
            <w:gridSpan w:val="2"/>
            <w:shd w:val="clear" w:color="auto" w:fill="244C5A"/>
          </w:tcPr>
          <w:p w14:paraId="0C79A0D4"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Average number of days to receive patient fee debtors</w:t>
            </w:r>
          </w:p>
        </w:tc>
      </w:tr>
      <w:tr w:rsidR="00280F65" w:rsidRPr="00F03354" w14:paraId="59919441" w14:textId="77777777" w:rsidTr="00343182">
        <w:trPr>
          <w:cantSplit/>
          <w:trHeight w:val="60"/>
        </w:trPr>
        <w:tc>
          <w:tcPr>
            <w:tcW w:w="2552" w:type="dxa"/>
            <w:hideMark/>
          </w:tcPr>
          <w:p w14:paraId="0B7F226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gridSpan w:val="2"/>
            <w:hideMark/>
          </w:tcPr>
          <w:p w14:paraId="2757422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a short-term liquidity indicator. It represents the average number of days a health service takes to collect debts in relation to patient fees. The length of time it takes for private health funds and statutory bodies (such as the TAC) to settle their accounts will influence the result. A fall in days indicates more effective collection.</w:t>
            </w:r>
          </w:p>
        </w:tc>
      </w:tr>
      <w:tr w:rsidR="00280F65" w:rsidRPr="00F03354" w14:paraId="70E5FEE8" w14:textId="77777777" w:rsidTr="00343182">
        <w:trPr>
          <w:cantSplit/>
          <w:trHeight w:val="60"/>
        </w:trPr>
        <w:tc>
          <w:tcPr>
            <w:tcW w:w="2552" w:type="dxa"/>
            <w:hideMark/>
          </w:tcPr>
          <w:p w14:paraId="40F1636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gridSpan w:val="2"/>
            <w:hideMark/>
          </w:tcPr>
          <w:p w14:paraId="077EF51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Average patient fees receivable divided by the average daily patient fee revenue.</w:t>
            </w:r>
          </w:p>
          <w:p w14:paraId="2C8DD75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Patient fees receivable are defined as the following account codes:</w:t>
            </w:r>
          </w:p>
          <w:p w14:paraId="588BDA5C"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71001 to 71049: debtors – private inpatients</w:t>
            </w:r>
          </w:p>
          <w:p w14:paraId="0844D185"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71071 to 71075: debtors – private inpatients (uninsured overseas visitors)</w:t>
            </w:r>
          </w:p>
          <w:p w14:paraId="5326837A"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71100 to 71149: debtors – private outpatients</w:t>
            </w:r>
          </w:p>
          <w:p w14:paraId="078EC6F3"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71200 to 71249: debtors – nursing home / hostel</w:t>
            </w:r>
          </w:p>
          <w:p w14:paraId="0B7313C6"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71300 to 71349: debtors diagnostic billing</w:t>
            </w:r>
          </w:p>
          <w:p w14:paraId="58CA4EF2"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71401 to 71449: other patient debtors – for example: day hospital.</w:t>
            </w:r>
          </w:p>
          <w:p w14:paraId="644386B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Patient fees revenue are defined as the following account codes:</w:t>
            </w:r>
          </w:p>
          <w:p w14:paraId="0D93C412"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50001 to 50040: admitted patient fees – acute</w:t>
            </w:r>
          </w:p>
          <w:p w14:paraId="78D592BE"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50041 to 50043: admitted patient fees uninsured debtors</w:t>
            </w:r>
          </w:p>
          <w:p w14:paraId="346B89AC"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50051 to 50396: admitted patient fees – other</w:t>
            </w:r>
          </w:p>
          <w:p w14:paraId="1C8D4EB3"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50401 to 50730: non-admitted patient fees</w:t>
            </w:r>
          </w:p>
          <w:p w14:paraId="7410D9E1"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50751 to 50756: transport fees – Ambulance Victoria</w:t>
            </w:r>
          </w:p>
          <w:p w14:paraId="45837710"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50901 to 50960: private practice fees</w:t>
            </w:r>
          </w:p>
          <w:p w14:paraId="5F7B710F" w14:textId="7777777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59111 to 59149: private practice fees.</w:t>
            </w:r>
          </w:p>
          <w:p w14:paraId="1DAD3AE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calculated at a health service level and calculation of the indicator does not include controlled entities cost range Z9002–Z9101 and Z9502–Z9655 (with the exception of Monash Health, which includes Jessie McPherson Private Hospital and Western Health, which includes the Western Health Foundation).</w:t>
            </w:r>
          </w:p>
          <w:p w14:paraId="19B932F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indicator is expressed as a number of whole days, therefore rounded to the nearest whole number (0.5 is rounded up).</w:t>
            </w:r>
          </w:p>
        </w:tc>
      </w:tr>
      <w:tr w:rsidR="00280F65" w:rsidRPr="00F03354" w14:paraId="14EF7EA8" w14:textId="77777777" w:rsidTr="00343182">
        <w:trPr>
          <w:cantSplit/>
          <w:trHeight w:val="60"/>
        </w:trPr>
        <w:tc>
          <w:tcPr>
            <w:tcW w:w="2552" w:type="dxa"/>
            <w:hideMark/>
          </w:tcPr>
          <w:p w14:paraId="4270F2C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gridSpan w:val="2"/>
            <w:hideMark/>
          </w:tcPr>
          <w:p w14:paraId="021FB1A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sum of patient fees receivable at the end of the previous financial year and the patient fees receivable at the end of the reporting month divided by two</w:t>
            </w:r>
          </w:p>
        </w:tc>
      </w:tr>
      <w:tr w:rsidR="00280F65" w:rsidRPr="00F03354" w14:paraId="2BD67309" w14:textId="77777777" w:rsidTr="00343182">
        <w:trPr>
          <w:cantSplit/>
          <w:trHeight w:val="60"/>
        </w:trPr>
        <w:tc>
          <w:tcPr>
            <w:tcW w:w="2552" w:type="dxa"/>
            <w:hideMark/>
          </w:tcPr>
          <w:p w14:paraId="42DAB9D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gridSpan w:val="2"/>
            <w:hideMark/>
          </w:tcPr>
          <w:p w14:paraId="5C185089"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YTD patient fee revenue divided by the YTD number of days</w:t>
            </w:r>
          </w:p>
        </w:tc>
      </w:tr>
      <w:tr w:rsidR="00280F65" w:rsidRPr="00F03354" w14:paraId="6C5D477F" w14:textId="77777777" w:rsidTr="00343182">
        <w:trPr>
          <w:cantSplit/>
          <w:trHeight w:val="60"/>
        </w:trPr>
        <w:tc>
          <w:tcPr>
            <w:tcW w:w="2552" w:type="dxa"/>
            <w:hideMark/>
          </w:tcPr>
          <w:p w14:paraId="5D07DCE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gridSpan w:val="2"/>
            <w:hideMark/>
          </w:tcPr>
          <w:p w14:paraId="11B1C849"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60 days</w:t>
            </w:r>
          </w:p>
        </w:tc>
      </w:tr>
      <w:tr w:rsidR="00280F65" w:rsidRPr="00F03354" w14:paraId="584D4C86" w14:textId="77777777" w:rsidTr="00343182">
        <w:trPr>
          <w:cantSplit/>
          <w:trHeight w:val="60"/>
        </w:trPr>
        <w:tc>
          <w:tcPr>
            <w:tcW w:w="2552" w:type="dxa"/>
            <w:vMerge w:val="restart"/>
            <w:hideMark/>
          </w:tcPr>
          <w:p w14:paraId="518CCF1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840" w:type="dxa"/>
            <w:hideMark/>
          </w:tcPr>
          <w:p w14:paraId="21F0A9C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or equal to 60 days</w:t>
            </w:r>
          </w:p>
        </w:tc>
        <w:tc>
          <w:tcPr>
            <w:tcW w:w="2560" w:type="dxa"/>
            <w:hideMark/>
          </w:tcPr>
          <w:p w14:paraId="28AEE328"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59E15C62" w14:textId="77777777" w:rsidTr="00343182">
        <w:trPr>
          <w:cantSplit/>
          <w:trHeight w:val="60"/>
        </w:trPr>
        <w:tc>
          <w:tcPr>
            <w:tcW w:w="2552" w:type="dxa"/>
            <w:vMerge/>
            <w:vAlign w:val="center"/>
            <w:hideMark/>
          </w:tcPr>
          <w:p w14:paraId="287D861A" w14:textId="77777777" w:rsidR="00280F65" w:rsidRPr="00F03354" w:rsidRDefault="00280F65" w:rsidP="00280F65">
            <w:pPr>
              <w:spacing w:before="80" w:after="60" w:line="240" w:lineRule="auto"/>
              <w:rPr>
                <w:rFonts w:ascii="VIC" w:eastAsia="Times New Roman" w:hAnsi="VIC" w:cs="Times New Roman"/>
                <w:sz w:val="20"/>
                <w:szCs w:val="20"/>
              </w:rPr>
            </w:pPr>
          </w:p>
        </w:tc>
        <w:tc>
          <w:tcPr>
            <w:tcW w:w="4840" w:type="dxa"/>
            <w:hideMark/>
          </w:tcPr>
          <w:p w14:paraId="728E499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Greater than 61 days</w:t>
            </w:r>
          </w:p>
        </w:tc>
        <w:tc>
          <w:tcPr>
            <w:tcW w:w="2560" w:type="dxa"/>
            <w:hideMark/>
          </w:tcPr>
          <w:p w14:paraId="57AB18C0"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3C8AF687" w14:textId="77777777" w:rsidTr="00343182">
        <w:trPr>
          <w:cantSplit/>
          <w:trHeight w:val="60"/>
        </w:trPr>
        <w:tc>
          <w:tcPr>
            <w:tcW w:w="2552" w:type="dxa"/>
            <w:vAlign w:val="center"/>
          </w:tcPr>
          <w:p w14:paraId="35A2054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400" w:type="dxa"/>
            <w:gridSpan w:val="2"/>
          </w:tcPr>
          <w:p w14:paraId="23B0467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against prior year’s results for the same period. </w:t>
            </w:r>
          </w:p>
        </w:tc>
      </w:tr>
      <w:tr w:rsidR="00280F65" w:rsidRPr="00F03354" w14:paraId="6A62B573" w14:textId="77777777" w:rsidTr="00343182">
        <w:trPr>
          <w:cantSplit/>
          <w:trHeight w:val="60"/>
        </w:trPr>
        <w:tc>
          <w:tcPr>
            <w:tcW w:w="2552" w:type="dxa"/>
            <w:hideMark/>
          </w:tcPr>
          <w:p w14:paraId="3A20699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Frequency of reporting and data collection</w:t>
            </w:r>
          </w:p>
        </w:tc>
        <w:tc>
          <w:tcPr>
            <w:tcW w:w="7400" w:type="dxa"/>
            <w:gridSpan w:val="2"/>
            <w:hideMark/>
          </w:tcPr>
          <w:p w14:paraId="087FA9D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24A24FE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annual result is generated on receipt of audited financial data submitted in the Health Agencies Reporting Tool (HeART).</w:t>
            </w:r>
          </w:p>
          <w:p w14:paraId="01DF30E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expected to be submitted by health services monthly via HeART. Refer to the Guidelines for completing the Health Agencies Reporting Tool (HeART) (finance return) for further information.</w:t>
            </w:r>
          </w:p>
        </w:tc>
      </w:tr>
    </w:tbl>
    <w:p w14:paraId="67D7DFD5" w14:textId="77777777" w:rsidR="00280F65" w:rsidRPr="00F03354" w:rsidRDefault="00280F65" w:rsidP="00280F65">
      <w:pPr>
        <w:spacing w:after="120" w:line="270" w:lineRule="atLeast"/>
        <w:rPr>
          <w:rFonts w:ascii="VIC" w:eastAsia="Times" w:hAnsi="VIC" w:cs="Times New Roman"/>
          <w:b/>
          <w:bCs/>
          <w:sz w:val="20"/>
          <w:szCs w:val="20"/>
        </w:rPr>
      </w:pPr>
      <w:r w:rsidRPr="00F03354">
        <w:rPr>
          <w:rFonts w:ascii="VIC" w:eastAsia="Times" w:hAnsi="VIC" w:cs="Times New Roman"/>
          <w:sz w:val="20"/>
          <w:szCs w:val="20"/>
        </w:rPr>
        <w:br w:type="page"/>
      </w:r>
    </w:p>
    <w:p w14:paraId="5FB2E42A" w14:textId="77777777" w:rsidR="00280F65" w:rsidRPr="00F03354" w:rsidRDefault="00280F65" w:rsidP="00280F65">
      <w:pPr>
        <w:spacing w:after="120" w:line="270" w:lineRule="atLeast"/>
        <w:rPr>
          <w:rFonts w:ascii="VIC" w:eastAsia="Times" w:hAnsi="VIC" w:cs="Times New Roman"/>
          <w:b/>
          <w:bCs/>
          <w:sz w:val="20"/>
          <w:szCs w:val="20"/>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400"/>
      </w:tblGrid>
      <w:tr w:rsidR="00280F65" w:rsidRPr="00F03354" w14:paraId="556FC07A" w14:textId="77777777" w:rsidTr="00343182">
        <w:trPr>
          <w:cantSplit/>
          <w:trHeight w:val="60"/>
          <w:tblHeader/>
        </w:trPr>
        <w:tc>
          <w:tcPr>
            <w:tcW w:w="2552" w:type="dxa"/>
            <w:tcBorders>
              <w:top w:val="single" w:sz="4" w:space="0" w:color="201547"/>
              <w:left w:val="single" w:sz="4" w:space="0" w:color="201547"/>
              <w:bottom w:val="single" w:sz="4" w:space="0" w:color="201547"/>
              <w:right w:val="single" w:sz="4" w:space="0" w:color="201547"/>
            </w:tcBorders>
            <w:shd w:val="clear" w:color="auto" w:fill="244C5A"/>
          </w:tcPr>
          <w:p w14:paraId="6CE80DC6"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400" w:type="dxa"/>
            <w:tcBorders>
              <w:top w:val="single" w:sz="4" w:space="0" w:color="201547"/>
              <w:left w:val="single" w:sz="4" w:space="0" w:color="201547"/>
              <w:bottom w:val="single" w:sz="4" w:space="0" w:color="201547"/>
              <w:right w:val="single" w:sz="4" w:space="0" w:color="201547"/>
            </w:tcBorders>
            <w:shd w:val="clear" w:color="auto" w:fill="244C5A"/>
          </w:tcPr>
          <w:p w14:paraId="1D656210"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Adjusted current asset ratio (ACAR)</w:t>
            </w:r>
          </w:p>
        </w:tc>
      </w:tr>
      <w:tr w:rsidR="00280F65" w:rsidRPr="00F03354" w14:paraId="011DC5A9"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3B37D8C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400" w:type="dxa"/>
            <w:tcBorders>
              <w:top w:val="single" w:sz="4" w:space="0" w:color="201547"/>
              <w:left w:val="single" w:sz="4" w:space="0" w:color="201547"/>
              <w:bottom w:val="single" w:sz="4" w:space="0" w:color="201547"/>
              <w:right w:val="single" w:sz="4" w:space="0" w:color="201547"/>
            </w:tcBorders>
            <w:hideMark/>
          </w:tcPr>
          <w:p w14:paraId="6884C0B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indicator is a measure of financial liquidity.</w:t>
            </w:r>
          </w:p>
          <w:p w14:paraId="47E2AFB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generally accepted current asset ratio (CAR) is a financial ratio that measures whether or not an organisation has enough resources to pay its debts over the next 12 months. It compares an organisation’s current assets to its current liabilities.</w:t>
            </w:r>
          </w:p>
          <w:p w14:paraId="5E7C850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CAR for hospital performance has been adjusted to include ‘Long-Term Investments: Other financial assets’ (which excludes Land and Buildings). This recognises the different cash management approaches/strategies employed by health services. For example, health services may move short-term cash assets into longer term investments, which are not recognised by the traditional CAR calculations. Further, the Long Service Leave liability will be adjusted so that only the current portion of the liability is included. This will utilise a factor based on the previous year’s full year full year balances.</w:t>
            </w:r>
          </w:p>
          <w:p w14:paraId="6A09480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Additionally, the SoP targets will be established. These will recognise the different starting points for health services and focus on achieving performance improvement overtime or maintaining good performance. This aligns with the department’s reform priority to increase the financial sustainability and productivity of the health system.</w:t>
            </w:r>
          </w:p>
        </w:tc>
      </w:tr>
      <w:tr w:rsidR="00280F65" w:rsidRPr="00F03354" w14:paraId="6A267FCE"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E349AF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400" w:type="dxa"/>
            <w:tcBorders>
              <w:top w:val="single" w:sz="4" w:space="0" w:color="201547"/>
              <w:left w:val="single" w:sz="4" w:space="0" w:color="201547"/>
              <w:bottom w:val="single" w:sz="4" w:space="0" w:color="201547"/>
              <w:right w:val="single" w:sz="4" w:space="0" w:color="201547"/>
            </w:tcBorders>
            <w:hideMark/>
          </w:tcPr>
          <w:p w14:paraId="7328F26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variance between the actual ACAR based on the audited 30 June result and the target/benchmark is the measured outcome. Targets are based on a health service’s final audited ACAR result for the previous financial year, which will form the ‘base’ upon which health services will be measured.</w:t>
            </w:r>
          </w:p>
          <w:p w14:paraId="04E76F1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Health services that have a ‘base’ of 0.7 or above (that is, their audited ACAR for the previous year was 0.7 or greater) will obtain full achievement of the indicator provided they maintain their ACAR above 0.7 (statewide benchmark).</w:t>
            </w:r>
          </w:p>
          <w:p w14:paraId="3D9DCF4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Health services starting with a ‘base’ below 0.7 will be required to achieve a 3 per cent ‘improvement’ (‘improvement target’) from their ‘base’ in order to. be recognised as having improved from their base point.</w:t>
            </w:r>
          </w:p>
        </w:tc>
      </w:tr>
      <w:tr w:rsidR="00280F65" w:rsidRPr="00F03354" w14:paraId="78942E4A"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20202F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400" w:type="dxa"/>
            <w:tcBorders>
              <w:top w:val="single" w:sz="4" w:space="0" w:color="201547"/>
              <w:left w:val="single" w:sz="4" w:space="0" w:color="201547"/>
              <w:bottom w:val="single" w:sz="4" w:space="0" w:color="201547"/>
              <w:right w:val="single" w:sz="4" w:space="0" w:color="201547"/>
            </w:tcBorders>
            <w:hideMark/>
          </w:tcPr>
          <w:p w14:paraId="023789C2" w14:textId="0EBF31E9" w:rsidR="00280F65" w:rsidRPr="00F03354" w:rsidRDefault="00280F65" w:rsidP="00280F65">
            <w:pPr>
              <w:spacing w:before="80" w:after="60" w:line="240" w:lineRule="auto"/>
              <w:rPr>
                <w:rFonts w:ascii="VIC" w:eastAsia="Times New Roman" w:hAnsi="VIC" w:cs="Times New Roman"/>
                <w:sz w:val="20"/>
                <w:szCs w:val="20"/>
                <w:lang w:val="en-GB"/>
              </w:rPr>
            </w:pPr>
            <w:r w:rsidRPr="00F03354">
              <w:rPr>
                <w:rFonts w:ascii="VIC" w:eastAsia="Times New Roman" w:hAnsi="VIC" w:cs="Times New Roman"/>
                <w:sz w:val="20"/>
                <w:szCs w:val="20"/>
                <w:lang w:val="en-GB"/>
              </w:rPr>
              <w:t xml:space="preserve">Current asset and long-term investment </w:t>
            </w:r>
            <w:r w:rsidR="007550F9" w:rsidRPr="00F03354">
              <w:rPr>
                <w:rFonts w:ascii="VIC" w:eastAsia="Times New Roman" w:hAnsi="VIC" w:cs="Times New Roman"/>
                <w:sz w:val="20"/>
                <w:szCs w:val="20"/>
                <w:lang w:val="en-GB"/>
              </w:rPr>
              <w:t>are</w:t>
            </w:r>
            <w:r w:rsidRPr="00F03354">
              <w:rPr>
                <w:rFonts w:ascii="VIC" w:eastAsia="Times New Roman" w:hAnsi="VIC" w:cs="Times New Roman"/>
                <w:sz w:val="20"/>
                <w:szCs w:val="20"/>
                <w:lang w:val="en-GB"/>
              </w:rPr>
              <w:t xml:space="preserve"> defined as:</w:t>
            </w:r>
          </w:p>
          <w:p w14:paraId="27AC7F6A" w14:textId="69247856"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accounts 70001 to 73391: cash at bank and on hand, patient trusts, other trusts</w:t>
            </w:r>
            <w:r w:rsidR="00A53624" w:rsidRPr="00F03354">
              <w:rPr>
                <w:rFonts w:ascii="VIC" w:eastAsia="Times New Roman" w:hAnsi="VIC" w:cs="Times New Roman"/>
                <w:sz w:val="20"/>
                <w:szCs w:val="20"/>
              </w:rPr>
              <w:t>,</w:t>
            </w:r>
            <w:r w:rsidRPr="00F03354">
              <w:rPr>
                <w:rFonts w:ascii="VIC" w:eastAsia="Times New Roman" w:hAnsi="VIC" w:cs="Times New Roman"/>
                <w:sz w:val="20"/>
                <w:szCs w:val="20"/>
              </w:rPr>
              <w:t xml:space="preserve"> and short-term investments – cash equivalents</w:t>
            </w:r>
          </w:p>
          <w:p w14:paraId="1FA0D83C" w14:textId="77777777" w:rsidR="00280F65" w:rsidRPr="00F03354" w:rsidRDefault="00280F65" w:rsidP="00280F65">
            <w:pPr>
              <w:spacing w:before="80" w:after="60" w:line="240" w:lineRule="auto"/>
              <w:ind w:left="227" w:hanging="227"/>
              <w:rPr>
                <w:rFonts w:ascii="VIC" w:eastAsia="Times New Roman" w:hAnsi="VIC" w:cs="Times New Roman"/>
                <w:sz w:val="20"/>
                <w:szCs w:val="20"/>
                <w:lang w:val="en-US"/>
              </w:rPr>
            </w:pPr>
            <w:r w:rsidRPr="00F03354">
              <w:rPr>
                <w:rFonts w:ascii="VIC" w:eastAsia="Times New Roman" w:hAnsi="VIC" w:cs="Times New Roman"/>
                <w:sz w:val="20"/>
                <w:szCs w:val="20"/>
              </w:rPr>
              <w:t>accounts 75001 to 75269: long-term investments</w:t>
            </w:r>
          </w:p>
        </w:tc>
      </w:tr>
      <w:tr w:rsidR="00280F65" w:rsidRPr="00F03354" w14:paraId="3403F276"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67C0CB6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400" w:type="dxa"/>
            <w:tcBorders>
              <w:top w:val="single" w:sz="4" w:space="0" w:color="201547"/>
              <w:left w:val="single" w:sz="4" w:space="0" w:color="201547"/>
              <w:bottom w:val="single" w:sz="4" w:space="0" w:color="201547"/>
              <w:right w:val="single" w:sz="4" w:space="0" w:color="201547"/>
            </w:tcBorders>
            <w:hideMark/>
          </w:tcPr>
          <w:p w14:paraId="6A495995" w14:textId="4C6921FC"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All short-term liabilities </w:t>
            </w:r>
            <w:r w:rsidR="00A53624" w:rsidRPr="00F03354">
              <w:rPr>
                <w:rFonts w:ascii="VIC" w:eastAsia="Times New Roman" w:hAnsi="VIC" w:cs="Times New Roman"/>
                <w:sz w:val="20"/>
                <w:szCs w:val="20"/>
              </w:rPr>
              <w:t xml:space="preserve">are </w:t>
            </w:r>
            <w:r w:rsidRPr="00F03354">
              <w:rPr>
                <w:rFonts w:ascii="VIC" w:eastAsia="Times New Roman" w:hAnsi="VIC" w:cs="Times New Roman"/>
                <w:sz w:val="20"/>
                <w:szCs w:val="20"/>
              </w:rPr>
              <w:t>defined as accounts 80000 to 86699</w:t>
            </w:r>
          </w:p>
          <w:p w14:paraId="1AFE976D"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Excludes the non-current portion of long service leave (LSL) liability, based on previous year’s % of total LSL balance for each health service.</w:t>
            </w:r>
          </w:p>
        </w:tc>
      </w:tr>
      <w:tr w:rsidR="00280F65" w:rsidRPr="00F03354" w14:paraId="3D54AEE7"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167965B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400" w:type="dxa"/>
            <w:tcBorders>
              <w:top w:val="single" w:sz="4" w:space="0" w:color="201547"/>
              <w:left w:val="single" w:sz="4" w:space="0" w:color="201547"/>
              <w:bottom w:val="single" w:sz="4" w:space="0" w:color="201547"/>
              <w:right w:val="single" w:sz="4" w:space="0" w:color="201547"/>
            </w:tcBorders>
            <w:hideMark/>
          </w:tcPr>
          <w:p w14:paraId="4A4111CC"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0.7</w:t>
            </w:r>
          </w:p>
        </w:tc>
      </w:tr>
      <w:tr w:rsidR="00280F65" w:rsidRPr="00F03354" w14:paraId="31EB30F1" w14:textId="77777777" w:rsidTr="00343182">
        <w:trPr>
          <w:cantSplit/>
          <w:trHeight w:val="60"/>
        </w:trPr>
        <w:tc>
          <w:tcPr>
            <w:tcW w:w="2552" w:type="dxa"/>
            <w:vMerge w:val="restart"/>
            <w:tcBorders>
              <w:top w:val="single" w:sz="4" w:space="0" w:color="201547"/>
              <w:left w:val="single" w:sz="4" w:space="0" w:color="201547"/>
              <w:bottom w:val="single" w:sz="4" w:space="0" w:color="201547"/>
              <w:right w:val="single" w:sz="4" w:space="0" w:color="201547"/>
            </w:tcBorders>
            <w:hideMark/>
          </w:tcPr>
          <w:p w14:paraId="74C6AE0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7400" w:type="dxa"/>
            <w:tcBorders>
              <w:top w:val="single" w:sz="4" w:space="0" w:color="201547"/>
              <w:left w:val="single" w:sz="4" w:space="0" w:color="201547"/>
              <w:bottom w:val="single" w:sz="4" w:space="0" w:color="201547"/>
              <w:right w:val="single" w:sz="4" w:space="0" w:color="201547"/>
            </w:tcBorders>
            <w:hideMark/>
          </w:tcPr>
          <w:p w14:paraId="05103CA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Statewide target achieved </w:t>
            </w:r>
            <w:r w:rsidRPr="00F03354">
              <w:rPr>
                <w:rFonts w:ascii="VIC" w:eastAsia="Times New Roman" w:hAnsi="VIC" w:cs="Times New Roman"/>
                <w:sz w:val="20"/>
                <w:szCs w:val="20"/>
                <w:u w:val="single"/>
              </w:rPr>
              <w:t>OR</w:t>
            </w:r>
            <w:r w:rsidRPr="00F03354">
              <w:rPr>
                <w:rFonts w:ascii="VIC" w:eastAsia="Times New Roman" w:hAnsi="VIC" w:cs="Times New Roman"/>
                <w:sz w:val="20"/>
                <w:szCs w:val="20"/>
              </w:rPr>
              <w:t xml:space="preserve"> </w:t>
            </w:r>
          </w:p>
          <w:p w14:paraId="5AF2DBE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3% improvement from health service base target </w:t>
            </w:r>
          </w:p>
        </w:tc>
      </w:tr>
      <w:tr w:rsidR="00280F65" w:rsidRPr="00F03354" w14:paraId="6DE685D3" w14:textId="77777777" w:rsidTr="00343182">
        <w:trPr>
          <w:cantSplit/>
          <w:trHeight w:val="60"/>
        </w:trPr>
        <w:tc>
          <w:tcPr>
            <w:tcW w:w="2552" w:type="dxa"/>
            <w:vMerge/>
            <w:tcBorders>
              <w:top w:val="single" w:sz="4" w:space="0" w:color="201547"/>
              <w:left w:val="single" w:sz="4" w:space="0" w:color="201547"/>
              <w:bottom w:val="single" w:sz="4" w:space="0" w:color="201547"/>
              <w:right w:val="single" w:sz="4" w:space="0" w:color="201547"/>
            </w:tcBorders>
            <w:vAlign w:val="center"/>
            <w:hideMark/>
          </w:tcPr>
          <w:p w14:paraId="26C16957" w14:textId="77777777" w:rsidR="00280F65" w:rsidRPr="00F03354" w:rsidRDefault="00280F65" w:rsidP="00280F65">
            <w:pPr>
              <w:spacing w:before="80" w:after="60" w:line="240" w:lineRule="auto"/>
              <w:rPr>
                <w:rFonts w:ascii="VIC" w:eastAsia="Times New Roman" w:hAnsi="VIC" w:cs="Times New Roman"/>
                <w:sz w:val="20"/>
                <w:szCs w:val="20"/>
              </w:rPr>
            </w:pPr>
          </w:p>
        </w:tc>
        <w:tc>
          <w:tcPr>
            <w:tcW w:w="7400" w:type="dxa"/>
            <w:tcBorders>
              <w:top w:val="single" w:sz="4" w:space="0" w:color="201547"/>
              <w:left w:val="single" w:sz="4" w:space="0" w:color="201547"/>
              <w:bottom w:val="single" w:sz="4" w:space="0" w:color="201547"/>
              <w:right w:val="single" w:sz="4" w:space="0" w:color="201547"/>
            </w:tcBorders>
          </w:tcPr>
          <w:p w14:paraId="64F2F5A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Statewide target not achieved </w:t>
            </w:r>
            <w:r w:rsidRPr="00F03354">
              <w:rPr>
                <w:rFonts w:ascii="VIC" w:eastAsia="Times New Roman" w:hAnsi="VIC" w:cs="Times New Roman"/>
                <w:sz w:val="20"/>
                <w:szCs w:val="20"/>
                <w:u w:val="single"/>
              </w:rPr>
              <w:t>OR</w:t>
            </w:r>
          </w:p>
          <w:p w14:paraId="57C64F8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less than 3% improvement from health service base target </w:t>
            </w:r>
          </w:p>
        </w:tc>
      </w:tr>
      <w:tr w:rsidR="00280F65" w:rsidRPr="00F03354" w14:paraId="7FC9C4E5"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vAlign w:val="center"/>
          </w:tcPr>
          <w:p w14:paraId="3FA8D2E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 xml:space="preserve">Improvement </w:t>
            </w:r>
          </w:p>
        </w:tc>
        <w:tc>
          <w:tcPr>
            <w:tcW w:w="7400" w:type="dxa"/>
            <w:tcBorders>
              <w:top w:val="single" w:sz="4" w:space="0" w:color="201547"/>
              <w:left w:val="single" w:sz="4" w:space="0" w:color="201547"/>
              <w:bottom w:val="single" w:sz="4" w:space="0" w:color="201547"/>
              <w:right w:val="single" w:sz="4" w:space="0" w:color="201547"/>
            </w:tcBorders>
          </w:tcPr>
          <w:p w14:paraId="4AB0E83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assessed against the phased target results, except for Q1 which is assessed against same time last year performance.</w:t>
            </w:r>
          </w:p>
        </w:tc>
      </w:tr>
      <w:tr w:rsidR="00280F65" w:rsidRPr="00F03354" w14:paraId="74552D4C" w14:textId="77777777" w:rsidTr="00343182">
        <w:trPr>
          <w:cantSplit/>
          <w:trHeight w:val="60"/>
        </w:trPr>
        <w:tc>
          <w:tcPr>
            <w:tcW w:w="2552" w:type="dxa"/>
            <w:tcBorders>
              <w:top w:val="single" w:sz="4" w:space="0" w:color="201547"/>
              <w:left w:val="single" w:sz="4" w:space="0" w:color="201547"/>
              <w:bottom w:val="single" w:sz="4" w:space="0" w:color="201547"/>
              <w:right w:val="single" w:sz="4" w:space="0" w:color="201547"/>
            </w:tcBorders>
            <w:hideMark/>
          </w:tcPr>
          <w:p w14:paraId="7A937E7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400" w:type="dxa"/>
            <w:tcBorders>
              <w:top w:val="single" w:sz="4" w:space="0" w:color="201547"/>
              <w:left w:val="single" w:sz="4" w:space="0" w:color="201547"/>
              <w:bottom w:val="single" w:sz="4" w:space="0" w:color="201547"/>
              <w:right w:val="single" w:sz="4" w:space="0" w:color="201547"/>
            </w:tcBorders>
            <w:hideMark/>
          </w:tcPr>
          <w:p w14:paraId="0768D15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5B33AC2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annual result is generated on receipt of audited financial data submitted in the Health Agencies Reporting Tool (HeART).</w:t>
            </w:r>
          </w:p>
          <w:p w14:paraId="686135A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expected to be submitted by health services monthly via HeART. Refer to the Guidelines for completing the Health Agencies Reporting Tool (HeART) (finance return) for further information.</w:t>
            </w:r>
          </w:p>
        </w:tc>
      </w:tr>
    </w:tbl>
    <w:p w14:paraId="02B7BBB1" w14:textId="429DD753" w:rsidR="00280F65" w:rsidRPr="00F03354" w:rsidRDefault="00280F65" w:rsidP="00280F65">
      <w:pPr>
        <w:spacing w:after="120" w:line="270" w:lineRule="atLeast"/>
        <w:rPr>
          <w:rFonts w:ascii="VIC" w:eastAsia="Times" w:hAnsi="VIC" w:cs="Times New Roman"/>
          <w:b/>
          <w:bCs/>
          <w:sz w:val="20"/>
          <w:szCs w:val="20"/>
          <w:lang w:val="en-GB"/>
        </w:rPr>
      </w:pPr>
    </w:p>
    <w:p w14:paraId="63303345" w14:textId="77777777" w:rsidR="00280F65" w:rsidRPr="00F03354" w:rsidRDefault="00280F65" w:rsidP="00280F65">
      <w:pPr>
        <w:spacing w:after="0" w:line="240" w:lineRule="auto"/>
        <w:rPr>
          <w:rFonts w:ascii="VIC" w:eastAsia="Times" w:hAnsi="VIC" w:cs="Times New Roman"/>
          <w:b/>
          <w:bCs/>
          <w:sz w:val="20"/>
          <w:szCs w:val="20"/>
        </w:rPr>
      </w:pPr>
      <w:r w:rsidRPr="00F03354">
        <w:rPr>
          <w:rFonts w:ascii="VIC" w:eastAsia="Times New Roman" w:hAnsi="VIC" w:cs="Times New Roman"/>
          <w:b/>
          <w:bCs/>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5244"/>
        <w:gridCol w:w="2127"/>
      </w:tblGrid>
      <w:tr w:rsidR="00280F65" w:rsidRPr="00F03354" w14:paraId="71243E9A" w14:textId="77777777" w:rsidTr="00343182">
        <w:trPr>
          <w:cantSplit/>
          <w:trHeight w:val="60"/>
          <w:tblHeader/>
        </w:trPr>
        <w:tc>
          <w:tcPr>
            <w:tcW w:w="2581" w:type="dxa"/>
            <w:shd w:val="clear" w:color="auto" w:fill="244C5A"/>
          </w:tcPr>
          <w:p w14:paraId="4B2BD02F"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lastRenderedPageBreak/>
              <w:t>Indicator</w:t>
            </w:r>
          </w:p>
        </w:tc>
        <w:tc>
          <w:tcPr>
            <w:tcW w:w="7371" w:type="dxa"/>
            <w:gridSpan w:val="2"/>
            <w:shd w:val="clear" w:color="auto" w:fill="244C5A"/>
          </w:tcPr>
          <w:p w14:paraId="6ADE670D"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Actual number of days available cash, measured on the last day of each month</w:t>
            </w:r>
          </w:p>
        </w:tc>
      </w:tr>
      <w:tr w:rsidR="00280F65" w:rsidRPr="00F03354" w14:paraId="2BE26A0A" w14:textId="77777777" w:rsidTr="00343182">
        <w:trPr>
          <w:cantSplit/>
          <w:trHeight w:val="60"/>
        </w:trPr>
        <w:tc>
          <w:tcPr>
            <w:tcW w:w="2581" w:type="dxa"/>
            <w:hideMark/>
          </w:tcPr>
          <w:p w14:paraId="168294E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gridSpan w:val="2"/>
            <w:hideMark/>
          </w:tcPr>
          <w:p w14:paraId="2A973E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This measure presents the number of days a health service can maintain its operations with unrestricted available cash, measured on the last day of each month.</w:t>
            </w:r>
          </w:p>
          <w:p w14:paraId="07498E3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Ideally, health services will report sufficient cash and cash equivalents to cover funding obligations and also meet their daily working capital requirements for a period of at least 14 days.</w:t>
            </w:r>
          </w:p>
        </w:tc>
      </w:tr>
      <w:tr w:rsidR="00280F65" w:rsidRPr="00F03354" w14:paraId="1E040410" w14:textId="77777777" w:rsidTr="00343182">
        <w:trPr>
          <w:cantSplit/>
          <w:trHeight w:val="60"/>
        </w:trPr>
        <w:tc>
          <w:tcPr>
            <w:tcW w:w="2581" w:type="dxa"/>
            <w:hideMark/>
          </w:tcPr>
          <w:p w14:paraId="280ADE1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gridSpan w:val="2"/>
            <w:hideMark/>
          </w:tcPr>
          <w:p w14:paraId="43F71E1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results are derived by dividing the numerator by the denominator and rounded to one decimal place.</w:t>
            </w:r>
          </w:p>
          <w:p w14:paraId="7A4AAE0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Health services will be measured against the targets stipulated in the ‘Achievement’ section below. </w:t>
            </w:r>
          </w:p>
        </w:tc>
      </w:tr>
      <w:tr w:rsidR="00280F65" w:rsidRPr="00F03354" w14:paraId="3D5D15D6" w14:textId="77777777" w:rsidTr="00343182">
        <w:trPr>
          <w:cantSplit/>
          <w:trHeight w:val="60"/>
        </w:trPr>
        <w:tc>
          <w:tcPr>
            <w:tcW w:w="2581" w:type="dxa"/>
            <w:hideMark/>
          </w:tcPr>
          <w:p w14:paraId="1B1C9D7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gridSpan w:val="2"/>
            <w:hideMark/>
          </w:tcPr>
          <w:p w14:paraId="33D2059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available funds’: unrestricted cash at the end of each month, which is all short- and long-term financial assets less committed funding to present the net available cash (total unrestricted funds) that is available to the health service for its operations.</w:t>
            </w:r>
          </w:p>
          <w:p w14:paraId="1B2E765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Exclude both short-term and long-term:</w:t>
            </w:r>
          </w:p>
          <w:p w14:paraId="607F79D7" w14:textId="57EA674C" w:rsidR="00280F65" w:rsidRPr="00F03354" w:rsidRDefault="00280F65" w:rsidP="002A5293">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w:t>
            </w:r>
            <w:r w:rsidR="007550F9" w:rsidRPr="00F03354">
              <w:rPr>
                <w:rFonts w:ascii="VIC" w:eastAsia="Times New Roman" w:hAnsi="VIC" w:cs="Times New Roman"/>
                <w:sz w:val="20"/>
                <w:szCs w:val="20"/>
              </w:rPr>
              <w:t>Committed</w:t>
            </w:r>
            <w:r w:rsidRPr="00F03354">
              <w:rPr>
                <w:rFonts w:ascii="VIC" w:eastAsia="Times New Roman" w:hAnsi="VIC" w:cs="Times New Roman"/>
                <w:sz w:val="20"/>
                <w:szCs w:val="20"/>
              </w:rPr>
              <w:t xml:space="preserve"> obligations for internally managed specific purpose funds’</w:t>
            </w:r>
          </w:p>
          <w:p w14:paraId="157225D1" w14:textId="5689BC87" w:rsidR="00280F65" w:rsidRPr="00F03354" w:rsidRDefault="00280F65" w:rsidP="00280F65">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w:t>
            </w:r>
            <w:r w:rsidR="007550F9" w:rsidRPr="00F03354">
              <w:rPr>
                <w:rFonts w:ascii="VIC" w:eastAsia="Times New Roman" w:hAnsi="VIC" w:cs="Times New Roman"/>
                <w:sz w:val="20"/>
                <w:szCs w:val="20"/>
              </w:rPr>
              <w:t>Prior</w:t>
            </w:r>
            <w:r w:rsidRPr="00F03354">
              <w:rPr>
                <w:rFonts w:ascii="VIC" w:eastAsia="Times New Roman" w:hAnsi="VIC" w:cs="Times New Roman"/>
                <w:sz w:val="20"/>
                <w:szCs w:val="20"/>
              </w:rPr>
              <w:t xml:space="preserve"> year recall</w:t>
            </w:r>
          </w:p>
          <w:p w14:paraId="57218E4D" w14:textId="7D1272C9" w:rsidR="00280F65" w:rsidRPr="00F03354" w:rsidRDefault="00280F65" w:rsidP="00280F65">
            <w:pPr>
              <w:spacing w:before="80" w:after="60" w:line="240" w:lineRule="auto"/>
              <w:ind w:left="227" w:hanging="227"/>
              <w:rPr>
                <w:rFonts w:ascii="VIC" w:eastAsia="Times New Roman" w:hAnsi="VIC" w:cs="Times New Roman"/>
                <w:sz w:val="20"/>
                <w:szCs w:val="20"/>
                <w:lang w:val="en-US"/>
              </w:rPr>
            </w:pPr>
            <w:r w:rsidRPr="00F03354">
              <w:rPr>
                <w:rFonts w:ascii="VIC" w:eastAsia="Times New Roman" w:hAnsi="VIC" w:cs="Times New Roman"/>
                <w:sz w:val="20"/>
                <w:szCs w:val="20"/>
              </w:rPr>
              <w:t>‘</w:t>
            </w:r>
            <w:r w:rsidR="007550F9" w:rsidRPr="00F03354">
              <w:rPr>
                <w:rFonts w:ascii="VIC" w:eastAsia="Times New Roman" w:hAnsi="VIC" w:cs="Times New Roman"/>
                <w:sz w:val="20"/>
                <w:szCs w:val="20"/>
              </w:rPr>
              <w:t>Other</w:t>
            </w:r>
            <w:r w:rsidRPr="00F03354">
              <w:rPr>
                <w:rFonts w:ascii="VIC" w:eastAsia="Times New Roman" w:hAnsi="VIC" w:cs="Times New Roman"/>
                <w:sz w:val="20"/>
                <w:szCs w:val="20"/>
              </w:rPr>
              <w:t xml:space="preserve"> commitments’.</w:t>
            </w:r>
          </w:p>
        </w:tc>
      </w:tr>
      <w:tr w:rsidR="00280F65" w:rsidRPr="00F03354" w14:paraId="2415C880" w14:textId="77777777" w:rsidTr="00343182">
        <w:trPr>
          <w:cantSplit/>
          <w:trHeight w:val="60"/>
        </w:trPr>
        <w:tc>
          <w:tcPr>
            <w:tcW w:w="2581" w:type="dxa"/>
            <w:hideMark/>
          </w:tcPr>
          <w:p w14:paraId="371B81D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371" w:type="dxa"/>
            <w:gridSpan w:val="2"/>
            <w:hideMark/>
          </w:tcPr>
          <w:p w14:paraId="3551F44C"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 xml:space="preserve">‘Working capital’ – this is equal to total operating expenditure excluding controlled entities as reported in the HeART </w:t>
            </w:r>
            <w:r w:rsidRPr="00F03354">
              <w:rPr>
                <w:rFonts w:ascii="VIC" w:eastAsia="Times New Roman" w:hAnsi="VIC" w:cs="Times New Roman"/>
                <w:i/>
                <w:iCs/>
                <w:sz w:val="20"/>
                <w:szCs w:val="20"/>
              </w:rPr>
              <w:t xml:space="preserve">Budget Income – SoP </w:t>
            </w:r>
            <w:r w:rsidRPr="00F03354">
              <w:rPr>
                <w:rFonts w:ascii="VIC" w:eastAsia="Times New Roman" w:hAnsi="VIC" w:cs="Times New Roman"/>
                <w:sz w:val="20"/>
                <w:szCs w:val="20"/>
              </w:rPr>
              <w:t>worksheet. This is then divided by 365 (total days in year) to arrive at the average daily working capital requirement.</w:t>
            </w:r>
          </w:p>
        </w:tc>
      </w:tr>
      <w:tr w:rsidR="00280F65" w:rsidRPr="00F03354" w14:paraId="748E7CB5" w14:textId="77777777" w:rsidTr="00343182">
        <w:trPr>
          <w:cantSplit/>
          <w:trHeight w:val="60"/>
        </w:trPr>
        <w:tc>
          <w:tcPr>
            <w:tcW w:w="2581" w:type="dxa"/>
            <w:shd w:val="clear" w:color="auto" w:fill="auto"/>
            <w:hideMark/>
          </w:tcPr>
          <w:p w14:paraId="72B9958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gridSpan w:val="2"/>
            <w:shd w:val="clear" w:color="auto" w:fill="auto"/>
            <w:hideMark/>
          </w:tcPr>
          <w:p w14:paraId="54A9B99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14.0 Days available cash is attained each month</w:t>
            </w:r>
          </w:p>
          <w:p w14:paraId="0E412754"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10 or more months of 14 days available cash are attained annually</w:t>
            </w:r>
            <w:r w:rsidRPr="00F03354" w:rsidDel="00974FE9">
              <w:rPr>
                <w:rFonts w:ascii="VIC" w:eastAsia="Times New Roman" w:hAnsi="VIC" w:cs="Times New Roman"/>
                <w:sz w:val="20"/>
                <w:szCs w:val="20"/>
              </w:rPr>
              <w:t xml:space="preserve"> </w:t>
            </w:r>
          </w:p>
        </w:tc>
      </w:tr>
      <w:tr w:rsidR="00280F65" w:rsidRPr="00F03354" w14:paraId="217114F7" w14:textId="77777777" w:rsidTr="00343182">
        <w:trPr>
          <w:cantSplit/>
          <w:trHeight w:val="60"/>
        </w:trPr>
        <w:tc>
          <w:tcPr>
            <w:tcW w:w="2581" w:type="dxa"/>
            <w:vMerge w:val="restart"/>
            <w:shd w:val="clear" w:color="auto" w:fill="auto"/>
            <w:hideMark/>
          </w:tcPr>
          <w:p w14:paraId="195318A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5244" w:type="dxa"/>
            <w:shd w:val="clear" w:color="auto" w:fill="auto"/>
            <w:hideMark/>
          </w:tcPr>
          <w:p w14:paraId="23E4891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At least 14.0 Days available cash is attained.</w:t>
            </w:r>
          </w:p>
        </w:tc>
        <w:tc>
          <w:tcPr>
            <w:tcW w:w="2127" w:type="dxa"/>
            <w:shd w:val="clear" w:color="auto" w:fill="auto"/>
            <w:hideMark/>
          </w:tcPr>
          <w:p w14:paraId="116D1952"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251BDD80" w14:textId="77777777" w:rsidTr="00343182">
        <w:trPr>
          <w:cantSplit/>
          <w:trHeight w:val="60"/>
        </w:trPr>
        <w:tc>
          <w:tcPr>
            <w:tcW w:w="2581" w:type="dxa"/>
            <w:vMerge/>
            <w:shd w:val="clear" w:color="auto" w:fill="auto"/>
          </w:tcPr>
          <w:p w14:paraId="0A3E07B9" w14:textId="77777777" w:rsidR="00280F65" w:rsidRPr="00F03354" w:rsidRDefault="00280F65" w:rsidP="00280F65">
            <w:pPr>
              <w:spacing w:before="80" w:after="60" w:line="240" w:lineRule="auto"/>
              <w:rPr>
                <w:rFonts w:ascii="VIC" w:eastAsia="Times New Roman" w:hAnsi="VIC" w:cs="Times New Roman"/>
                <w:sz w:val="20"/>
                <w:szCs w:val="20"/>
              </w:rPr>
            </w:pPr>
          </w:p>
        </w:tc>
        <w:tc>
          <w:tcPr>
            <w:tcW w:w="5244" w:type="dxa"/>
            <w:shd w:val="clear" w:color="auto" w:fill="auto"/>
          </w:tcPr>
          <w:p w14:paraId="08BAFC5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Less than 14.0 Days available cash is attained.</w:t>
            </w:r>
          </w:p>
        </w:tc>
        <w:tc>
          <w:tcPr>
            <w:tcW w:w="2127" w:type="dxa"/>
            <w:shd w:val="clear" w:color="auto" w:fill="auto"/>
          </w:tcPr>
          <w:p w14:paraId="086EFE3B"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110DFA38" w14:textId="77777777" w:rsidTr="00343182">
        <w:trPr>
          <w:cantSplit/>
          <w:trHeight w:val="60"/>
        </w:trPr>
        <w:tc>
          <w:tcPr>
            <w:tcW w:w="2581" w:type="dxa"/>
            <w:shd w:val="clear" w:color="auto" w:fill="auto"/>
            <w:vAlign w:val="center"/>
          </w:tcPr>
          <w:p w14:paraId="390D369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gridSpan w:val="2"/>
            <w:shd w:val="clear" w:color="auto" w:fill="auto"/>
          </w:tcPr>
          <w:p w14:paraId="4AF4167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the performance risk assessment improvement is assessed against the 30 June base.</w:t>
            </w:r>
          </w:p>
        </w:tc>
      </w:tr>
      <w:tr w:rsidR="00280F65" w:rsidRPr="00F03354" w14:paraId="3CCE95A0" w14:textId="77777777" w:rsidTr="00343182">
        <w:trPr>
          <w:cantSplit/>
          <w:trHeight w:val="60"/>
        </w:trPr>
        <w:tc>
          <w:tcPr>
            <w:tcW w:w="2581" w:type="dxa"/>
            <w:shd w:val="clear" w:color="auto" w:fill="auto"/>
            <w:hideMark/>
          </w:tcPr>
          <w:p w14:paraId="6044F1E9"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shd w:val="clear" w:color="auto" w:fill="auto"/>
            <w:hideMark/>
          </w:tcPr>
          <w:p w14:paraId="500160F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For the purpose of annual reporting, achievement will be assessed as 10 or more months (during the financial year) for which 14 days of available cash has been attained.</w:t>
            </w:r>
          </w:p>
          <w:p w14:paraId="5FF2D8F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Days available cash (monthly) is based on the monthly HeART submission (</w:t>
            </w:r>
            <w:r w:rsidRPr="00F03354">
              <w:rPr>
                <w:rFonts w:ascii="VIC" w:eastAsia="Times New Roman" w:hAnsi="VIC" w:cs="Times New Roman"/>
                <w:i/>
                <w:sz w:val="20"/>
                <w:szCs w:val="20"/>
              </w:rPr>
              <w:t>Actual cashflow worksheet)</w:t>
            </w:r>
            <w:r w:rsidRPr="00F03354">
              <w:rPr>
                <w:rFonts w:ascii="VIC" w:eastAsia="Times New Roman" w:hAnsi="VIC" w:cs="Times New Roman"/>
                <w:sz w:val="20"/>
                <w:szCs w:val="20"/>
              </w:rPr>
              <w:t xml:space="preserve"> for the financial year.</w:t>
            </w:r>
          </w:p>
          <w:p w14:paraId="0279B29B"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If the </w:t>
            </w:r>
            <w:r w:rsidRPr="00F03354">
              <w:rPr>
                <w:rFonts w:ascii="VIC" w:eastAsia="Times New Roman" w:hAnsi="VIC" w:cs="Times New Roman"/>
                <w:i/>
                <w:sz w:val="20"/>
                <w:szCs w:val="20"/>
              </w:rPr>
              <w:t>Actual cashflow worksheet</w:t>
            </w:r>
            <w:r w:rsidRPr="00F03354">
              <w:rPr>
                <w:rFonts w:ascii="VIC" w:eastAsia="Times New Roman" w:hAnsi="VIC" w:cs="Times New Roman"/>
                <w:sz w:val="20"/>
                <w:szCs w:val="20"/>
              </w:rPr>
              <w:t xml:space="preserve"> does not provide cashflow data for the relevant month, the target will be assessed as not achieved.</w:t>
            </w:r>
          </w:p>
          <w:p w14:paraId="11C58CF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62BEDE5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annual result is generated on receipt of audited financial data submitted in the Health Agencies Reporting Tool (HeART).</w:t>
            </w:r>
          </w:p>
          <w:p w14:paraId="4F63A570"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expected to be submitted by health services monthly via HeART. Refer to the Guidelines for completing the Health Agencies Reporting Tool (HeART) (finance return) for further information.</w:t>
            </w:r>
          </w:p>
        </w:tc>
      </w:tr>
    </w:tbl>
    <w:p w14:paraId="00954F74" w14:textId="0536A436" w:rsidR="00280F65" w:rsidRPr="00F03354" w:rsidRDefault="00280F65" w:rsidP="3C7BF89B">
      <w:pPr>
        <w:spacing w:after="0" w:line="240" w:lineRule="auto"/>
        <w:rPr>
          <w:rFonts w:ascii="VIC" w:eastAsia="Times New Roman" w:hAnsi="VIC" w:cs="Times New Roman"/>
          <w:b/>
          <w:bCs/>
          <w:sz w:val="20"/>
          <w:szCs w:val="20"/>
        </w:rPr>
      </w:pPr>
      <w:r w:rsidRPr="00F03354">
        <w:rPr>
          <w:rFonts w:ascii="VIC" w:eastAsia="Times New Roman" w:hAnsi="VIC" w:cs="Times New Roman"/>
          <w:b/>
          <w:bCs/>
          <w:sz w:val="20"/>
          <w:szCs w:val="20"/>
        </w:rPr>
        <w:br w:type="page"/>
      </w: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ook w:val="04A0" w:firstRow="1" w:lastRow="0" w:firstColumn="1" w:lastColumn="0" w:noHBand="0" w:noVBand="1"/>
      </w:tblPr>
      <w:tblGrid>
        <w:gridCol w:w="2450"/>
        <w:gridCol w:w="4729"/>
        <w:gridCol w:w="2773"/>
      </w:tblGrid>
      <w:tr w:rsidR="3C7BF89B" w:rsidRPr="00F03354" w14:paraId="2862B58C" w14:textId="77777777" w:rsidTr="00824246">
        <w:trPr>
          <w:trHeight w:val="60"/>
        </w:trPr>
        <w:tc>
          <w:tcPr>
            <w:tcW w:w="2450" w:type="dxa"/>
            <w:shd w:val="clear" w:color="auto" w:fill="244C5A"/>
            <w:vAlign w:val="bottom"/>
          </w:tcPr>
          <w:p w14:paraId="7EEE88A8" w14:textId="77777777" w:rsidR="3C7BF89B" w:rsidRPr="00F03354" w:rsidRDefault="3C7BF89B" w:rsidP="3C7BF89B">
            <w:pPr>
              <w:spacing w:before="80" w:after="60" w:line="240" w:lineRule="auto"/>
              <w:rPr>
                <w:rFonts w:ascii="VIC" w:eastAsia="Times New Roman" w:hAnsi="VIC" w:cs="Times New Roman"/>
                <w:color w:val="FFFFFF" w:themeColor="background1"/>
                <w:sz w:val="20"/>
                <w:szCs w:val="20"/>
              </w:rPr>
            </w:pPr>
            <w:r w:rsidRPr="00F03354">
              <w:rPr>
                <w:rFonts w:ascii="VIC" w:eastAsia="Times New Roman" w:hAnsi="VIC" w:cs="Times New Roman"/>
                <w:color w:val="FFFFFF" w:themeColor="background1"/>
                <w:sz w:val="20"/>
                <w:szCs w:val="20"/>
              </w:rPr>
              <w:lastRenderedPageBreak/>
              <w:t>Indicator</w:t>
            </w:r>
          </w:p>
        </w:tc>
        <w:tc>
          <w:tcPr>
            <w:tcW w:w="7502" w:type="dxa"/>
            <w:gridSpan w:val="2"/>
            <w:shd w:val="clear" w:color="auto" w:fill="244C5A"/>
            <w:vAlign w:val="bottom"/>
          </w:tcPr>
          <w:p w14:paraId="4C588AE5" w14:textId="7E3581DE" w:rsidR="3C7BF89B" w:rsidRPr="00F03354" w:rsidRDefault="3C7BF89B" w:rsidP="3C7BF89B">
            <w:pPr>
              <w:spacing w:before="80" w:after="60" w:line="240" w:lineRule="auto"/>
              <w:rPr>
                <w:rFonts w:ascii="VIC" w:eastAsia="Times New Roman" w:hAnsi="VIC" w:cs="Times New Roman"/>
                <w:color w:val="FFFFFF" w:themeColor="background1"/>
                <w:sz w:val="20"/>
                <w:szCs w:val="20"/>
              </w:rPr>
            </w:pPr>
            <w:r w:rsidRPr="00824246">
              <w:rPr>
                <w:rFonts w:ascii="VIC" w:eastAsia="Times New Roman" w:hAnsi="VIC" w:cs="Times New Roman"/>
                <w:color w:val="FFFFFF" w:themeColor="background1"/>
                <w:sz w:val="20"/>
                <w:szCs w:val="20"/>
              </w:rPr>
              <w:t xml:space="preserve">Forecast </w:t>
            </w:r>
            <w:r w:rsidRPr="00F03354">
              <w:rPr>
                <w:rFonts w:ascii="VIC" w:eastAsia="Times New Roman" w:hAnsi="VIC" w:cs="Times New Roman"/>
                <w:color w:val="FFFFFF" w:themeColor="background1"/>
                <w:sz w:val="20"/>
                <w:szCs w:val="20"/>
              </w:rPr>
              <w:t>number of days available cash, measured on the last day of each month</w:t>
            </w:r>
          </w:p>
        </w:tc>
      </w:tr>
      <w:tr w:rsidR="3C7BF89B" w:rsidRPr="00F03354" w14:paraId="173C8351" w14:textId="77777777" w:rsidTr="00824246">
        <w:trPr>
          <w:trHeight w:val="60"/>
        </w:trPr>
        <w:tc>
          <w:tcPr>
            <w:tcW w:w="2450" w:type="dxa"/>
          </w:tcPr>
          <w:p w14:paraId="23BE0E00"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502" w:type="dxa"/>
            <w:gridSpan w:val="2"/>
          </w:tcPr>
          <w:p w14:paraId="6A576B88"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This measure presents the number of days a health service can maintain its operations with unrestricted available cash, </w:t>
            </w:r>
            <w:r w:rsidRPr="00F03354">
              <w:rPr>
                <w:rFonts w:ascii="VIC" w:eastAsia="Times New Roman" w:hAnsi="VIC" w:cs="Times New Roman"/>
                <w:b/>
                <w:bCs/>
                <w:i/>
                <w:iCs/>
                <w:sz w:val="20"/>
                <w:szCs w:val="20"/>
                <w:u w:val="single"/>
              </w:rPr>
              <w:t>projected as at 30 June.</w:t>
            </w:r>
          </w:p>
          <w:p w14:paraId="2FC0C330"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Ideally, health services will project, at the end of the financial year, to have sufficient cash and cash equivalents to cover tied funding obligations and also meet their daily working capital requirements for a period of at least 14 days.</w:t>
            </w:r>
          </w:p>
        </w:tc>
      </w:tr>
      <w:tr w:rsidR="3C7BF89B" w:rsidRPr="00F03354" w14:paraId="0663941A" w14:textId="77777777" w:rsidTr="00824246">
        <w:trPr>
          <w:trHeight w:val="60"/>
        </w:trPr>
        <w:tc>
          <w:tcPr>
            <w:tcW w:w="2450" w:type="dxa"/>
          </w:tcPr>
          <w:p w14:paraId="4FB69B70"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502" w:type="dxa"/>
            <w:gridSpan w:val="2"/>
          </w:tcPr>
          <w:p w14:paraId="221BC91F" w14:textId="3F6D09A0" w:rsidR="3C7BF89B" w:rsidRPr="00F03354" w:rsidRDefault="344C8096"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results are derived by dividing the numerator by the denominator and rounded to one decimal place</w:t>
            </w:r>
            <w:r w:rsidR="5CC225C5" w:rsidRPr="00F03354">
              <w:rPr>
                <w:rFonts w:ascii="VIC" w:eastAsia="Times New Roman" w:hAnsi="VIC" w:cs="Times New Roman"/>
                <w:sz w:val="20"/>
                <w:szCs w:val="20"/>
              </w:rPr>
              <w:t xml:space="preserve"> and reported only for Q1, Q2 and Q3 as not relevant for Annual</w:t>
            </w:r>
            <w:r w:rsidRPr="00F03354">
              <w:rPr>
                <w:rFonts w:ascii="VIC" w:eastAsia="Times New Roman" w:hAnsi="VIC" w:cs="Times New Roman"/>
                <w:sz w:val="20"/>
                <w:szCs w:val="20"/>
              </w:rPr>
              <w:t>.</w:t>
            </w:r>
          </w:p>
          <w:p w14:paraId="7213C770"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Health service will be measured against the targets stipulated in the ‘Achievement’ section below. However, for health services that have finished the previous financial year (June 30) below the targeted 14 days, the June 30 result from the previous year will become a ‘base’ target upon which health service will assessed against for improvement. </w:t>
            </w:r>
          </w:p>
        </w:tc>
      </w:tr>
      <w:tr w:rsidR="3C7BF89B" w:rsidRPr="00F03354" w14:paraId="09F48DDE" w14:textId="77777777" w:rsidTr="00824246">
        <w:trPr>
          <w:trHeight w:val="60"/>
        </w:trPr>
        <w:tc>
          <w:tcPr>
            <w:tcW w:w="2450" w:type="dxa"/>
          </w:tcPr>
          <w:p w14:paraId="3A6FB846"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502" w:type="dxa"/>
            <w:gridSpan w:val="2"/>
          </w:tcPr>
          <w:p w14:paraId="39C29B46"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‘Total available funds’: unrestricted cash at the end of June, which is all short- and long-term financial assets less committed funding to present the net available cash (total unrestricted funds) that is available to the health service for its operations.</w:t>
            </w:r>
          </w:p>
          <w:p w14:paraId="020CA2B9"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Exclude both short-term and long-term:</w:t>
            </w:r>
          </w:p>
          <w:p w14:paraId="1B6C31E0" w14:textId="77777777" w:rsidR="3C7BF89B" w:rsidRPr="00F03354" w:rsidRDefault="3C7BF89B" w:rsidP="3C7BF89B">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‘committed obligations for internally managed specific purpose funds’</w:t>
            </w:r>
          </w:p>
          <w:p w14:paraId="0DB1BF60" w14:textId="77777777" w:rsidR="3C7BF89B" w:rsidRPr="00F03354" w:rsidRDefault="3C7BF89B" w:rsidP="3C7BF89B">
            <w:pPr>
              <w:spacing w:before="80" w:after="60" w:line="240" w:lineRule="auto"/>
              <w:ind w:left="227" w:hanging="227"/>
              <w:rPr>
                <w:rFonts w:ascii="VIC" w:eastAsia="Times New Roman" w:hAnsi="VIC" w:cs="Times New Roman"/>
                <w:sz w:val="20"/>
                <w:szCs w:val="20"/>
              </w:rPr>
            </w:pPr>
            <w:r w:rsidRPr="00F03354">
              <w:rPr>
                <w:rFonts w:ascii="VIC" w:eastAsia="Times New Roman" w:hAnsi="VIC" w:cs="Times New Roman"/>
                <w:sz w:val="20"/>
                <w:szCs w:val="20"/>
              </w:rPr>
              <w:t>‘prior year recall</w:t>
            </w:r>
          </w:p>
          <w:p w14:paraId="6BEDFEC8" w14:textId="77777777" w:rsidR="3C7BF89B" w:rsidRPr="00F03354" w:rsidRDefault="3C7BF89B" w:rsidP="3C7BF89B">
            <w:pPr>
              <w:spacing w:before="80" w:after="60" w:line="240" w:lineRule="auto"/>
              <w:ind w:left="227" w:hanging="227"/>
              <w:rPr>
                <w:rFonts w:ascii="VIC" w:eastAsia="Times New Roman" w:hAnsi="VIC" w:cs="Times New Roman"/>
                <w:sz w:val="20"/>
                <w:szCs w:val="20"/>
                <w:lang w:val="en-US"/>
              </w:rPr>
            </w:pPr>
            <w:r w:rsidRPr="00F03354">
              <w:rPr>
                <w:rFonts w:ascii="VIC" w:eastAsia="Times New Roman" w:hAnsi="VIC" w:cs="Times New Roman"/>
                <w:sz w:val="20"/>
                <w:szCs w:val="20"/>
              </w:rPr>
              <w:t>‘other commitments’.</w:t>
            </w:r>
          </w:p>
        </w:tc>
      </w:tr>
      <w:tr w:rsidR="3C7BF89B" w:rsidRPr="00F03354" w14:paraId="51ED7649" w14:textId="77777777" w:rsidTr="00824246">
        <w:trPr>
          <w:trHeight w:val="60"/>
        </w:trPr>
        <w:tc>
          <w:tcPr>
            <w:tcW w:w="2450" w:type="dxa"/>
          </w:tcPr>
          <w:p w14:paraId="1D7003AB"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Denominator</w:t>
            </w:r>
          </w:p>
        </w:tc>
        <w:tc>
          <w:tcPr>
            <w:tcW w:w="7502" w:type="dxa"/>
            <w:gridSpan w:val="2"/>
          </w:tcPr>
          <w:p w14:paraId="7BAC4CE0" w14:textId="77777777" w:rsidR="3C7BF89B" w:rsidRPr="00F03354" w:rsidRDefault="3C7BF89B" w:rsidP="3C7BF89B">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 xml:space="preserve">‘Working capital’ – this is equal to total operating expenditure excluding controlled entities as reported in the Health Agencies Reporting Tool (HeART) </w:t>
            </w:r>
            <w:r w:rsidRPr="00F03354">
              <w:rPr>
                <w:rFonts w:ascii="VIC" w:eastAsia="Times New Roman" w:hAnsi="VIC" w:cs="Times New Roman"/>
                <w:i/>
                <w:iCs/>
                <w:sz w:val="20"/>
                <w:szCs w:val="20"/>
              </w:rPr>
              <w:t xml:space="preserve">Budget Income – SoP </w:t>
            </w:r>
            <w:r w:rsidRPr="00F03354">
              <w:rPr>
                <w:rFonts w:ascii="VIC" w:eastAsia="Times New Roman" w:hAnsi="VIC" w:cs="Times New Roman"/>
                <w:sz w:val="20"/>
                <w:szCs w:val="20"/>
              </w:rPr>
              <w:t>worksheet. This is then divided by 365 (total days in year) to arrive at the average daily working capital requirement.</w:t>
            </w:r>
          </w:p>
        </w:tc>
      </w:tr>
      <w:tr w:rsidR="3C7BF89B" w:rsidRPr="00F03354" w14:paraId="726ED4A6" w14:textId="77777777" w:rsidTr="00824246">
        <w:trPr>
          <w:trHeight w:val="60"/>
        </w:trPr>
        <w:tc>
          <w:tcPr>
            <w:tcW w:w="2450" w:type="dxa"/>
          </w:tcPr>
          <w:p w14:paraId="3F3C7435"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502" w:type="dxa"/>
            <w:gridSpan w:val="2"/>
          </w:tcPr>
          <w:p w14:paraId="13B07D9D" w14:textId="77777777" w:rsidR="3C7BF89B" w:rsidRPr="00F03354" w:rsidRDefault="3C7BF89B" w:rsidP="3C7BF89B">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14.0 days</w:t>
            </w:r>
          </w:p>
        </w:tc>
      </w:tr>
      <w:tr w:rsidR="3C7BF89B" w:rsidRPr="00F03354" w14:paraId="5BEDB056" w14:textId="77777777" w:rsidTr="00824246">
        <w:trPr>
          <w:trHeight w:val="60"/>
        </w:trPr>
        <w:tc>
          <w:tcPr>
            <w:tcW w:w="2450" w:type="dxa"/>
            <w:vMerge w:val="restart"/>
          </w:tcPr>
          <w:p w14:paraId="448C0AAC"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4729" w:type="dxa"/>
          </w:tcPr>
          <w:p w14:paraId="221FCE3E"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June End of Year Forecast is equal to or above 14.0 days </w:t>
            </w:r>
          </w:p>
        </w:tc>
        <w:tc>
          <w:tcPr>
            <w:tcW w:w="2773" w:type="dxa"/>
          </w:tcPr>
          <w:p w14:paraId="0E6A6556" w14:textId="77777777" w:rsidR="3C7BF89B" w:rsidRPr="00F03354" w:rsidRDefault="3C7BF89B" w:rsidP="3C7BF89B">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3C7BF89B" w:rsidRPr="00F03354" w14:paraId="4310D50C" w14:textId="77777777" w:rsidTr="00824246">
        <w:trPr>
          <w:trHeight w:val="60"/>
        </w:trPr>
        <w:tc>
          <w:tcPr>
            <w:tcW w:w="2450" w:type="dxa"/>
            <w:vMerge/>
          </w:tcPr>
          <w:p w14:paraId="7FC29F6D" w14:textId="77777777" w:rsidR="00921FF3" w:rsidRPr="00F03354" w:rsidRDefault="00921FF3"/>
        </w:tc>
        <w:tc>
          <w:tcPr>
            <w:tcW w:w="4729" w:type="dxa"/>
          </w:tcPr>
          <w:p w14:paraId="28FB64F4"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June End of Year Forecast is less than 14.0 days </w:t>
            </w:r>
          </w:p>
        </w:tc>
        <w:tc>
          <w:tcPr>
            <w:tcW w:w="2773" w:type="dxa"/>
          </w:tcPr>
          <w:p w14:paraId="6DE37E97" w14:textId="77777777" w:rsidR="3C7BF89B" w:rsidRPr="00F03354" w:rsidRDefault="3C7BF89B" w:rsidP="3C7BF89B">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3C7BF89B" w:rsidRPr="00F03354" w14:paraId="1C98E526" w14:textId="77777777" w:rsidTr="00824246">
        <w:trPr>
          <w:trHeight w:val="60"/>
        </w:trPr>
        <w:tc>
          <w:tcPr>
            <w:tcW w:w="2450" w:type="dxa"/>
            <w:vAlign w:val="center"/>
          </w:tcPr>
          <w:p w14:paraId="7BA2EB16"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502" w:type="dxa"/>
            <w:gridSpan w:val="2"/>
          </w:tcPr>
          <w:p w14:paraId="187CA3C1"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For the purpose of the performance risk assessment improvement is assessed against the 30 June base. </w:t>
            </w:r>
          </w:p>
        </w:tc>
      </w:tr>
      <w:tr w:rsidR="3C7BF89B" w:rsidRPr="00F03354" w14:paraId="67DDBCC7" w14:textId="77777777" w:rsidTr="00824246">
        <w:trPr>
          <w:trHeight w:val="60"/>
        </w:trPr>
        <w:tc>
          <w:tcPr>
            <w:tcW w:w="2450" w:type="dxa"/>
          </w:tcPr>
          <w:p w14:paraId="7787E0F0"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502" w:type="dxa"/>
            <w:gridSpan w:val="2"/>
          </w:tcPr>
          <w:p w14:paraId="06D5174C"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Projected cash at 30 June is based on the Health Agencies Reporting Tool (HeART) submission (</w:t>
            </w:r>
            <w:r w:rsidRPr="00F03354">
              <w:rPr>
                <w:rFonts w:ascii="VIC" w:eastAsia="Times New Roman" w:hAnsi="VIC" w:cs="Times New Roman"/>
                <w:i/>
                <w:iCs/>
                <w:sz w:val="20"/>
                <w:szCs w:val="20"/>
              </w:rPr>
              <w:t>Actual cashflow</w:t>
            </w:r>
            <w:r w:rsidRPr="00F03354">
              <w:rPr>
                <w:rFonts w:ascii="VIC" w:eastAsia="Times New Roman" w:hAnsi="VIC" w:cs="Times New Roman"/>
                <w:sz w:val="20"/>
                <w:szCs w:val="20"/>
              </w:rPr>
              <w:t xml:space="preserve"> </w:t>
            </w:r>
            <w:r w:rsidRPr="00F03354">
              <w:rPr>
                <w:rFonts w:ascii="VIC" w:eastAsia="Times New Roman" w:hAnsi="VIC" w:cs="Times New Roman"/>
                <w:i/>
                <w:iCs/>
                <w:sz w:val="20"/>
                <w:szCs w:val="20"/>
              </w:rPr>
              <w:t>worksheet</w:t>
            </w:r>
            <w:r w:rsidRPr="00F03354">
              <w:rPr>
                <w:rFonts w:ascii="VIC" w:eastAsia="Times New Roman" w:hAnsi="VIC" w:cs="Times New Roman"/>
                <w:sz w:val="20"/>
                <w:szCs w:val="20"/>
              </w:rPr>
              <w:t>) for the financial year.</w:t>
            </w:r>
          </w:p>
          <w:p w14:paraId="66182597"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If the </w:t>
            </w:r>
            <w:r w:rsidRPr="00F03354">
              <w:rPr>
                <w:rFonts w:ascii="VIC" w:eastAsia="Times New Roman" w:hAnsi="VIC" w:cs="Times New Roman"/>
                <w:i/>
                <w:iCs/>
                <w:sz w:val="20"/>
                <w:szCs w:val="20"/>
              </w:rPr>
              <w:t>Actual cashflow</w:t>
            </w:r>
            <w:r w:rsidRPr="00F03354">
              <w:rPr>
                <w:rFonts w:ascii="VIC" w:eastAsia="Times New Roman" w:hAnsi="VIC" w:cs="Times New Roman"/>
                <w:sz w:val="20"/>
                <w:szCs w:val="20"/>
              </w:rPr>
              <w:t xml:space="preserve"> </w:t>
            </w:r>
            <w:r w:rsidRPr="00F03354">
              <w:rPr>
                <w:rFonts w:ascii="VIC" w:eastAsia="Times New Roman" w:hAnsi="VIC" w:cs="Times New Roman"/>
                <w:i/>
                <w:iCs/>
                <w:sz w:val="20"/>
                <w:szCs w:val="20"/>
              </w:rPr>
              <w:t>worksheet</w:t>
            </w:r>
            <w:r w:rsidRPr="00F03354">
              <w:rPr>
                <w:rFonts w:ascii="VIC" w:eastAsia="Times New Roman" w:hAnsi="VIC" w:cs="Times New Roman"/>
                <w:sz w:val="20"/>
                <w:szCs w:val="20"/>
              </w:rPr>
              <w:t xml:space="preserve"> does not provide forecast (out-months) cashflow data through to the end of year, the target will be assessed as not achieved.</w:t>
            </w:r>
          </w:p>
          <w:p w14:paraId="03AF05CF"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monthly.</w:t>
            </w:r>
          </w:p>
          <w:p w14:paraId="6C97ED6B"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annual result is generated on receipt of audited financial data submitted in the Health Agencies Reporting Tool (HeART).</w:t>
            </w:r>
          </w:p>
          <w:p w14:paraId="36044655" w14:textId="77777777" w:rsidR="3C7BF89B" w:rsidRPr="00F03354" w:rsidRDefault="3C7BF89B" w:rsidP="3C7BF89B">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lastRenderedPageBreak/>
              <w:t>Data is expected to be submitted by health services monthly via HeART. Refer to the Guidelines for completing the Health Agencies Reporting Tool (HeART) (finance return) for further information.</w:t>
            </w:r>
          </w:p>
        </w:tc>
      </w:tr>
    </w:tbl>
    <w:p w14:paraId="5C4EF018" w14:textId="1F2ABFCF" w:rsidR="00280F65" w:rsidRPr="00F03354" w:rsidRDefault="00280F65" w:rsidP="3C7BF89B">
      <w:pPr>
        <w:spacing w:after="0" w:line="240" w:lineRule="auto"/>
        <w:rPr>
          <w:rFonts w:ascii="VIC" w:eastAsia="Times New Roman" w:hAnsi="VIC" w:cs="Times New Roman"/>
          <w:b/>
          <w:bCs/>
          <w:sz w:val="20"/>
          <w:szCs w:val="20"/>
        </w:rPr>
      </w:pPr>
    </w:p>
    <w:tbl>
      <w:tblPr>
        <w:tblW w:w="9952" w:type="dxa"/>
        <w:tblInd w:w="108" w:type="dxa"/>
        <w:tblBorders>
          <w:top w:val="single" w:sz="4" w:space="0" w:color="201547"/>
          <w:left w:val="single" w:sz="4" w:space="0" w:color="201547"/>
          <w:bottom w:val="single" w:sz="4" w:space="0" w:color="201547"/>
          <w:right w:val="single" w:sz="4" w:space="0" w:color="201547"/>
          <w:insideH w:val="single" w:sz="4" w:space="0" w:color="201547"/>
          <w:insideV w:val="single" w:sz="4" w:space="0" w:color="201547"/>
        </w:tblBorders>
        <w:tblLayout w:type="fixed"/>
        <w:tblLook w:val="04A0" w:firstRow="1" w:lastRow="0" w:firstColumn="1" w:lastColumn="0" w:noHBand="0" w:noVBand="1"/>
      </w:tblPr>
      <w:tblGrid>
        <w:gridCol w:w="2581"/>
        <w:gridCol w:w="5244"/>
        <w:gridCol w:w="2127"/>
      </w:tblGrid>
      <w:tr w:rsidR="00280F65" w:rsidRPr="00F03354" w14:paraId="784D9F3E" w14:textId="77777777" w:rsidTr="00343182">
        <w:trPr>
          <w:cantSplit/>
          <w:trHeight w:val="60"/>
          <w:tblHeader/>
        </w:trPr>
        <w:tc>
          <w:tcPr>
            <w:tcW w:w="2581" w:type="dxa"/>
            <w:shd w:val="clear" w:color="auto" w:fill="244C5A"/>
            <w:vAlign w:val="bottom"/>
          </w:tcPr>
          <w:p w14:paraId="5B5DA1CF"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Indicator</w:t>
            </w:r>
          </w:p>
        </w:tc>
        <w:tc>
          <w:tcPr>
            <w:tcW w:w="7371" w:type="dxa"/>
            <w:gridSpan w:val="2"/>
            <w:shd w:val="clear" w:color="auto" w:fill="244C5A"/>
            <w:vAlign w:val="bottom"/>
          </w:tcPr>
          <w:p w14:paraId="32155AEA" w14:textId="77777777" w:rsidR="00280F65" w:rsidRPr="00F03354" w:rsidRDefault="00280F65" w:rsidP="00280F65">
            <w:pPr>
              <w:spacing w:before="80" w:after="60" w:line="240" w:lineRule="auto"/>
              <w:rPr>
                <w:rFonts w:ascii="VIC" w:eastAsia="Times New Roman" w:hAnsi="VIC" w:cs="Times New Roman"/>
                <w:bCs/>
                <w:color w:val="FFFFFF" w:themeColor="background1"/>
                <w:sz w:val="20"/>
                <w:szCs w:val="20"/>
              </w:rPr>
            </w:pPr>
            <w:r w:rsidRPr="00F03354">
              <w:rPr>
                <w:rFonts w:ascii="VIC" w:eastAsia="Times New Roman" w:hAnsi="VIC" w:cs="Times New Roman"/>
                <w:bCs/>
                <w:color w:val="FFFFFF" w:themeColor="background1"/>
                <w:sz w:val="20"/>
                <w:szCs w:val="20"/>
              </w:rPr>
              <w:t>Variance between forecast and actual Net result from transactions (NRFT) for the current financial year ending 30 June</w:t>
            </w:r>
          </w:p>
        </w:tc>
      </w:tr>
      <w:tr w:rsidR="00280F65" w:rsidRPr="00F03354" w14:paraId="22146A73" w14:textId="77777777" w:rsidTr="00343182">
        <w:trPr>
          <w:cantSplit/>
          <w:trHeight w:val="60"/>
        </w:trPr>
        <w:tc>
          <w:tcPr>
            <w:tcW w:w="2581" w:type="dxa"/>
            <w:hideMark/>
          </w:tcPr>
          <w:p w14:paraId="54E2FE5D"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Description</w:t>
            </w:r>
          </w:p>
        </w:tc>
        <w:tc>
          <w:tcPr>
            <w:tcW w:w="7371" w:type="dxa"/>
            <w:gridSpan w:val="2"/>
            <w:hideMark/>
          </w:tcPr>
          <w:p w14:paraId="234524E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This measure presents the accuracy of forecasting the </w:t>
            </w:r>
            <w:r w:rsidRPr="00F03354">
              <w:rPr>
                <w:rFonts w:ascii="VIC" w:eastAsia="Times New Roman" w:hAnsi="VIC" w:cs="Times New Roman"/>
                <w:i/>
                <w:sz w:val="20"/>
                <w:szCs w:val="20"/>
              </w:rPr>
              <w:t>Net result from transactions (NRFT)</w:t>
            </w:r>
            <w:r w:rsidRPr="00F03354">
              <w:rPr>
                <w:rFonts w:ascii="VIC" w:eastAsia="Times New Roman" w:hAnsi="VIC" w:cs="Times New Roman"/>
                <w:sz w:val="20"/>
                <w:szCs w:val="20"/>
              </w:rPr>
              <w:t xml:space="preserve"> for the current financial year ending 30 June.</w:t>
            </w:r>
          </w:p>
          <w:p w14:paraId="2EA59A1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Ideally, health services will report this result with sufficient accuracy to be within a $250,000 acceptable variance.</w:t>
            </w:r>
          </w:p>
        </w:tc>
      </w:tr>
      <w:tr w:rsidR="00280F65" w:rsidRPr="00F03354" w14:paraId="375786A2" w14:textId="77777777" w:rsidTr="00343182">
        <w:trPr>
          <w:cantSplit/>
          <w:trHeight w:val="60"/>
        </w:trPr>
        <w:tc>
          <w:tcPr>
            <w:tcW w:w="2581" w:type="dxa"/>
            <w:hideMark/>
          </w:tcPr>
          <w:p w14:paraId="0444835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Calculating performance</w:t>
            </w:r>
          </w:p>
        </w:tc>
        <w:tc>
          <w:tcPr>
            <w:tcW w:w="7371" w:type="dxa"/>
            <w:gridSpan w:val="2"/>
            <w:hideMark/>
          </w:tcPr>
          <w:p w14:paraId="536E5D1E"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result compares the consolidated forecast </w:t>
            </w:r>
            <w:r w:rsidRPr="00F03354">
              <w:rPr>
                <w:rFonts w:ascii="VIC" w:eastAsia="Times New Roman" w:hAnsi="VIC" w:cs="Times New Roman"/>
                <w:i/>
                <w:sz w:val="20"/>
                <w:szCs w:val="20"/>
              </w:rPr>
              <w:t xml:space="preserve">NRFT </w:t>
            </w:r>
            <w:r w:rsidRPr="00F03354">
              <w:rPr>
                <w:rFonts w:ascii="VIC" w:eastAsia="Times New Roman" w:hAnsi="VIC" w:cs="Times New Roman"/>
                <w:sz w:val="20"/>
                <w:szCs w:val="20"/>
              </w:rPr>
              <w:t xml:space="preserve">as reported to the department by 7 June* of the current financial year, in the </w:t>
            </w:r>
            <w:r w:rsidRPr="00F03354">
              <w:rPr>
                <w:rFonts w:ascii="VIC" w:eastAsia="Times New Roman" w:hAnsi="VIC" w:cs="Times New Roman"/>
                <w:i/>
                <w:sz w:val="20"/>
                <w:szCs w:val="20"/>
              </w:rPr>
              <w:t>Revised Estimates</w:t>
            </w:r>
            <w:r w:rsidRPr="00F03354">
              <w:rPr>
                <w:rFonts w:ascii="VIC" w:eastAsia="Times New Roman" w:hAnsi="VIC" w:cs="Times New Roman"/>
                <w:sz w:val="20"/>
                <w:szCs w:val="20"/>
              </w:rPr>
              <w:t xml:space="preserve"> HeART submission, with the consolidated actual </w:t>
            </w:r>
            <w:r w:rsidRPr="00F03354">
              <w:rPr>
                <w:rFonts w:ascii="VIC" w:eastAsia="Times New Roman" w:hAnsi="VIC" w:cs="Times New Roman"/>
                <w:i/>
                <w:sz w:val="20"/>
                <w:szCs w:val="20"/>
              </w:rPr>
              <w:t xml:space="preserve">NRFT </w:t>
            </w:r>
            <w:r w:rsidRPr="00F03354">
              <w:rPr>
                <w:rFonts w:ascii="VIC" w:eastAsia="Times New Roman" w:hAnsi="VIC" w:cs="Times New Roman"/>
                <w:sz w:val="20"/>
                <w:szCs w:val="20"/>
              </w:rPr>
              <w:t>reported in the Comprehensive Operating Statement in the Audited Financial Statements. This comparison is expressed as a numerical variance.</w:t>
            </w:r>
          </w:p>
          <w:p w14:paraId="4BF7258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It is expected that the final HeART consolidated trial balance will accurately reflect the NRFT as reported in the audited financial statements.</w:t>
            </w:r>
          </w:p>
          <w:p w14:paraId="6368BAB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The NRFT is the sum of all revenue and all expenses from transactions for all cost centres. This will exclude </w:t>
            </w:r>
            <w:r w:rsidRPr="00F03354">
              <w:rPr>
                <w:rFonts w:ascii="VIC" w:eastAsia="Times New Roman" w:hAnsi="VIC" w:cs="Times New Roman"/>
                <w:i/>
                <w:sz w:val="20"/>
                <w:szCs w:val="20"/>
              </w:rPr>
              <w:t>Other economic flows included in the net result</w:t>
            </w:r>
            <w:r w:rsidRPr="00F03354">
              <w:rPr>
                <w:rFonts w:ascii="VIC" w:eastAsia="Times New Roman" w:hAnsi="VIC" w:cs="Times New Roman"/>
                <w:sz w:val="20"/>
                <w:szCs w:val="20"/>
              </w:rPr>
              <w:t>.</w:t>
            </w:r>
          </w:p>
          <w:p w14:paraId="43D0ABB1" w14:textId="77777777" w:rsidR="00280F65" w:rsidRPr="00F03354" w:rsidRDefault="00280F65" w:rsidP="00280F65">
            <w:pPr>
              <w:spacing w:before="80" w:after="60" w:line="240" w:lineRule="auto"/>
              <w:rPr>
                <w:rFonts w:ascii="VIC" w:eastAsia="Times New Roman" w:hAnsi="VIC" w:cs="Times New Roman"/>
                <w:sz w:val="20"/>
                <w:szCs w:val="20"/>
                <w:lang w:val="en-GB"/>
              </w:rPr>
            </w:pPr>
            <w:r w:rsidRPr="00F03354">
              <w:rPr>
                <w:rFonts w:ascii="VIC" w:eastAsia="Times New Roman" w:hAnsi="VIC" w:cs="Times New Roman"/>
                <w:sz w:val="20"/>
                <w:szCs w:val="20"/>
                <w:lang w:val="en-GB"/>
              </w:rPr>
              <w:t>The calculation will be the variance expressed in absolute dollars.</w:t>
            </w:r>
          </w:p>
        </w:tc>
      </w:tr>
      <w:tr w:rsidR="00280F65" w:rsidRPr="00F03354" w14:paraId="0AB22B95" w14:textId="77777777" w:rsidTr="00343182">
        <w:trPr>
          <w:cantSplit/>
          <w:trHeight w:val="60"/>
        </w:trPr>
        <w:tc>
          <w:tcPr>
            <w:tcW w:w="2581" w:type="dxa"/>
            <w:hideMark/>
          </w:tcPr>
          <w:p w14:paraId="33D4CCD2"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Numerator</w:t>
            </w:r>
          </w:p>
        </w:tc>
        <w:tc>
          <w:tcPr>
            <w:tcW w:w="7371" w:type="dxa"/>
            <w:gridSpan w:val="2"/>
            <w:hideMark/>
          </w:tcPr>
          <w:p w14:paraId="05C25136"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i/>
                <w:sz w:val="20"/>
                <w:szCs w:val="20"/>
              </w:rPr>
              <w:t>Actual NRFT</w:t>
            </w:r>
            <w:r w:rsidRPr="00F03354">
              <w:rPr>
                <w:rFonts w:ascii="VIC" w:eastAsia="Times New Roman" w:hAnsi="VIC" w:cs="Times New Roman"/>
                <w:sz w:val="20"/>
                <w:szCs w:val="20"/>
              </w:rPr>
              <w:t xml:space="preserve"> as reported in the audited financial statements, subtract </w:t>
            </w:r>
            <w:r w:rsidRPr="00F03354">
              <w:rPr>
                <w:rFonts w:ascii="VIC" w:eastAsia="Times New Roman" w:hAnsi="VIC" w:cs="Times New Roman"/>
                <w:i/>
                <w:sz w:val="20"/>
                <w:szCs w:val="20"/>
              </w:rPr>
              <w:t>Forecast NRFT</w:t>
            </w:r>
            <w:r w:rsidRPr="00F03354">
              <w:rPr>
                <w:rFonts w:ascii="VIC" w:eastAsia="Times New Roman" w:hAnsi="VIC" w:cs="Times New Roman"/>
                <w:sz w:val="20"/>
                <w:szCs w:val="20"/>
              </w:rPr>
              <w:t xml:space="preserve"> as reported in the Revised Estimates HeART submission to the department by 7 June* for the current financial year.</w:t>
            </w:r>
          </w:p>
        </w:tc>
      </w:tr>
      <w:tr w:rsidR="00280F65" w:rsidRPr="00F03354" w14:paraId="7C7AC25A" w14:textId="77777777" w:rsidTr="00343182">
        <w:trPr>
          <w:cantSplit/>
          <w:trHeight w:val="60"/>
        </w:trPr>
        <w:tc>
          <w:tcPr>
            <w:tcW w:w="2581" w:type="dxa"/>
            <w:hideMark/>
          </w:tcPr>
          <w:p w14:paraId="703EB7F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Statewide target</w:t>
            </w:r>
          </w:p>
        </w:tc>
        <w:tc>
          <w:tcPr>
            <w:tcW w:w="7371" w:type="dxa"/>
            <w:gridSpan w:val="2"/>
            <w:hideMark/>
          </w:tcPr>
          <w:p w14:paraId="31253BFA" w14:textId="77777777" w:rsidR="00280F65" w:rsidRPr="00F03354" w:rsidRDefault="00280F65" w:rsidP="00280F65">
            <w:pPr>
              <w:spacing w:before="80" w:after="60" w:line="240" w:lineRule="auto"/>
              <w:rPr>
                <w:rFonts w:ascii="VIC" w:eastAsia="Times New Roman" w:hAnsi="VIC" w:cs="Times New Roman"/>
                <w:sz w:val="20"/>
                <w:szCs w:val="20"/>
                <w:lang w:val="en-US"/>
              </w:rPr>
            </w:pPr>
            <w:r w:rsidRPr="00F03354">
              <w:rPr>
                <w:rFonts w:ascii="VIC" w:eastAsia="Times New Roman" w:hAnsi="VIC" w:cs="Times New Roman"/>
                <w:sz w:val="20"/>
                <w:szCs w:val="20"/>
              </w:rPr>
              <w:t xml:space="preserve">$250,000 </w:t>
            </w:r>
          </w:p>
        </w:tc>
      </w:tr>
      <w:tr w:rsidR="00280F65" w:rsidRPr="00F03354" w14:paraId="1072E3E4" w14:textId="77777777" w:rsidTr="00343182">
        <w:trPr>
          <w:cantSplit/>
          <w:trHeight w:val="60"/>
        </w:trPr>
        <w:tc>
          <w:tcPr>
            <w:tcW w:w="2581" w:type="dxa"/>
            <w:vMerge w:val="restart"/>
            <w:hideMark/>
          </w:tcPr>
          <w:p w14:paraId="0C7F036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Achievement</w:t>
            </w:r>
          </w:p>
        </w:tc>
        <w:tc>
          <w:tcPr>
            <w:tcW w:w="5244" w:type="dxa"/>
            <w:hideMark/>
          </w:tcPr>
          <w:p w14:paraId="7FB2B1C7"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Variance less than or equal to $250,000 </w:t>
            </w:r>
          </w:p>
        </w:tc>
        <w:tc>
          <w:tcPr>
            <w:tcW w:w="2127" w:type="dxa"/>
            <w:hideMark/>
          </w:tcPr>
          <w:p w14:paraId="055B08F2"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Achieved</w:t>
            </w:r>
          </w:p>
        </w:tc>
      </w:tr>
      <w:tr w:rsidR="00280F65" w:rsidRPr="00F03354" w14:paraId="5230657A" w14:textId="77777777" w:rsidTr="00343182">
        <w:trPr>
          <w:cantSplit/>
          <w:trHeight w:val="60"/>
        </w:trPr>
        <w:tc>
          <w:tcPr>
            <w:tcW w:w="2581" w:type="dxa"/>
            <w:vMerge/>
          </w:tcPr>
          <w:p w14:paraId="229D493E" w14:textId="77777777" w:rsidR="00280F65" w:rsidRPr="00F03354" w:rsidRDefault="00280F65" w:rsidP="00280F65">
            <w:pPr>
              <w:spacing w:before="80" w:after="60" w:line="240" w:lineRule="auto"/>
              <w:rPr>
                <w:rFonts w:ascii="VIC" w:eastAsia="Times New Roman" w:hAnsi="VIC" w:cs="Times New Roman"/>
                <w:sz w:val="20"/>
                <w:szCs w:val="20"/>
              </w:rPr>
            </w:pPr>
          </w:p>
        </w:tc>
        <w:tc>
          <w:tcPr>
            <w:tcW w:w="5244" w:type="dxa"/>
          </w:tcPr>
          <w:p w14:paraId="070F97D5"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 xml:space="preserve">Variance greater than $250,000 </w:t>
            </w:r>
          </w:p>
        </w:tc>
        <w:tc>
          <w:tcPr>
            <w:tcW w:w="2127" w:type="dxa"/>
          </w:tcPr>
          <w:p w14:paraId="7C4084B7" w14:textId="77777777" w:rsidR="00280F65" w:rsidRPr="00F03354" w:rsidRDefault="00280F65" w:rsidP="00280F65">
            <w:pPr>
              <w:spacing w:before="80" w:after="60" w:line="240" w:lineRule="auto"/>
              <w:jc w:val="center"/>
              <w:rPr>
                <w:rFonts w:ascii="VIC" w:eastAsia="Times New Roman" w:hAnsi="VIC" w:cs="Times New Roman"/>
                <w:sz w:val="20"/>
                <w:szCs w:val="20"/>
              </w:rPr>
            </w:pPr>
            <w:r w:rsidRPr="00F03354">
              <w:rPr>
                <w:rFonts w:ascii="VIC" w:eastAsia="Times New Roman" w:hAnsi="VIC" w:cs="Times New Roman"/>
                <w:sz w:val="20"/>
                <w:szCs w:val="20"/>
              </w:rPr>
              <w:t>Not achieved</w:t>
            </w:r>
          </w:p>
        </w:tc>
      </w:tr>
      <w:tr w:rsidR="00280F65" w:rsidRPr="00F03354" w14:paraId="623F4DE2" w14:textId="77777777" w:rsidTr="00343182">
        <w:trPr>
          <w:cantSplit/>
          <w:trHeight w:val="60"/>
        </w:trPr>
        <w:tc>
          <w:tcPr>
            <w:tcW w:w="2581" w:type="dxa"/>
            <w:vAlign w:val="center"/>
          </w:tcPr>
          <w:p w14:paraId="25B1E30C"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Improvement</w:t>
            </w:r>
          </w:p>
        </w:tc>
        <w:tc>
          <w:tcPr>
            <w:tcW w:w="7371" w:type="dxa"/>
            <w:gridSpan w:val="2"/>
          </w:tcPr>
          <w:p w14:paraId="3460022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Reduced variance from the previous year</w:t>
            </w:r>
          </w:p>
        </w:tc>
      </w:tr>
      <w:tr w:rsidR="00280F65" w:rsidRPr="00F03354" w14:paraId="6FDB1C7B" w14:textId="77777777" w:rsidTr="00343182">
        <w:trPr>
          <w:cantSplit/>
          <w:trHeight w:val="60"/>
        </w:trPr>
        <w:tc>
          <w:tcPr>
            <w:tcW w:w="2581" w:type="dxa"/>
            <w:hideMark/>
          </w:tcPr>
          <w:p w14:paraId="319BCE63"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Frequency of reporting and data collection</w:t>
            </w:r>
          </w:p>
        </w:tc>
        <w:tc>
          <w:tcPr>
            <w:tcW w:w="7371" w:type="dxa"/>
            <w:gridSpan w:val="2"/>
            <w:hideMark/>
          </w:tcPr>
          <w:p w14:paraId="41498C66"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Annually.</w:t>
            </w:r>
          </w:p>
          <w:p w14:paraId="3D9BF621"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 Revised Estimates are updated and provided to the Department of Treasury and Finance multiple times each financial year. As year-end approaches, the forecasts should be most accurate when the Revised Estimates for the final feed to the Department of Treasury and Finance are provided in early June.</w:t>
            </w:r>
          </w:p>
          <w:p w14:paraId="233E17FF"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These estimates assist the Treasurer in determining the State’s final financial result.</w:t>
            </w:r>
          </w:p>
          <w:p w14:paraId="202B5A78"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Performance is monitored and assessed annually.</w:t>
            </w:r>
          </w:p>
          <w:p w14:paraId="3A3A765A" w14:textId="77777777" w:rsidR="00280F65" w:rsidRPr="00F03354" w:rsidRDefault="00280F65" w:rsidP="00280F65">
            <w:pPr>
              <w:spacing w:before="80" w:after="60" w:line="240" w:lineRule="auto"/>
              <w:rPr>
                <w:rFonts w:ascii="VIC" w:eastAsia="Times New Roman" w:hAnsi="VIC" w:cs="Times New Roman"/>
                <w:sz w:val="20"/>
                <w:szCs w:val="20"/>
              </w:rPr>
            </w:pPr>
            <w:r w:rsidRPr="00F03354">
              <w:rPr>
                <w:rFonts w:ascii="VIC" w:eastAsia="Times New Roman" w:hAnsi="VIC" w:cs="Times New Roman"/>
                <w:sz w:val="20"/>
                <w:szCs w:val="20"/>
              </w:rPr>
              <w:t>Data is expected to be submitted by health services monthly via HeART. Refer to the Guidelines for completing the Health Agencies Reporting Tool (HeART) (finance return) for further information.</w:t>
            </w:r>
          </w:p>
        </w:tc>
      </w:tr>
    </w:tbl>
    <w:bookmarkEnd w:id="59"/>
    <w:p w14:paraId="43E086F4" w14:textId="184698C8" w:rsidR="00280F65" w:rsidRPr="00F03354" w:rsidRDefault="00280F65" w:rsidP="00835353">
      <w:pPr>
        <w:spacing w:before="60" w:after="60" w:line="200" w:lineRule="atLeast"/>
        <w:ind w:left="142"/>
        <w:rPr>
          <w:rFonts w:ascii="VIC" w:hAnsi="VIC" w:cs="Arial"/>
          <w:sz w:val="20"/>
          <w:szCs w:val="20"/>
        </w:rPr>
      </w:pPr>
      <w:r w:rsidRPr="00F03354">
        <w:rPr>
          <w:rFonts w:ascii="VIC" w:hAnsi="VIC" w:cs="Arial"/>
          <w:sz w:val="20"/>
          <w:szCs w:val="20"/>
        </w:rPr>
        <w:t>* The date is subject to change and will be dependent on timelines published by DTF for the 2021-22 financial year. The date will be early June and anticipated to be on 7 June 2022.</w:t>
      </w:r>
    </w:p>
    <w:p w14:paraId="17A62A9D" w14:textId="77777777" w:rsidR="00280F65" w:rsidRPr="00F03354" w:rsidRDefault="00280F65" w:rsidP="00280F65">
      <w:pPr>
        <w:spacing w:after="0" w:line="240" w:lineRule="auto"/>
        <w:rPr>
          <w:rFonts w:ascii="VIC" w:eastAsia="Times New Roman" w:hAnsi="VIC" w:cs="Times New Roman"/>
          <w:sz w:val="20"/>
          <w:szCs w:val="20"/>
        </w:rPr>
      </w:pPr>
    </w:p>
    <w:p w14:paraId="5D0FE4D5" w14:textId="77777777" w:rsidR="00341E3E" w:rsidRPr="00F03354" w:rsidRDefault="00341E3E" w:rsidP="00341E3E">
      <w:pPr>
        <w:spacing w:after="382" w:line="504" w:lineRule="exact"/>
        <w:ind w:right="72"/>
        <w:jc w:val="both"/>
        <w:textAlignment w:val="baseline"/>
        <w:rPr>
          <w:rFonts w:ascii="VIC" w:eastAsia="Arial" w:hAnsi="VIC"/>
          <w:color w:val="004EA8"/>
          <w:sz w:val="36"/>
          <w:szCs w:val="18"/>
        </w:rPr>
      </w:pPr>
      <w:r w:rsidRPr="00F03354">
        <w:rPr>
          <w:rFonts w:ascii="VIC" w:eastAsia="Arial" w:hAnsi="VIC"/>
          <w:color w:val="004EA8"/>
          <w:sz w:val="36"/>
          <w:szCs w:val="18"/>
        </w:rPr>
        <w:lastRenderedPageBreak/>
        <w:t>Attachment A: List of health services/campuses required to report Coronary Artery Bypass Graft surgical site infections</w:t>
      </w:r>
    </w:p>
    <w:p w14:paraId="45CAB086" w14:textId="77777777" w:rsidR="00341E3E" w:rsidRPr="00F03354" w:rsidRDefault="00341E3E" w:rsidP="00341E3E">
      <w:pPr>
        <w:spacing w:before="80" w:line="230" w:lineRule="exact"/>
        <w:textAlignment w:val="baseline"/>
        <w:rPr>
          <w:rFonts w:ascii="VIC" w:eastAsia="Arial" w:hAnsi="VIC"/>
          <w:color w:val="000000"/>
          <w:sz w:val="20"/>
        </w:rPr>
      </w:pPr>
      <w:r w:rsidRPr="00F03354">
        <w:rPr>
          <w:rFonts w:ascii="VIC" w:eastAsia="Arial" w:hAnsi="VIC"/>
          <w:color w:val="000000"/>
          <w:sz w:val="20"/>
        </w:rPr>
        <w:t xml:space="preserve">The Alfred </w:t>
      </w:r>
      <w:r w:rsidRPr="00F03354">
        <w:rPr>
          <w:rFonts w:ascii="VIC" w:eastAsia="Arial" w:hAnsi="VIC"/>
          <w:color w:val="000000"/>
          <w:sz w:val="19"/>
        </w:rPr>
        <w:t xml:space="preserve">– </w:t>
      </w:r>
      <w:r w:rsidRPr="00F03354">
        <w:rPr>
          <w:rFonts w:ascii="VIC" w:eastAsia="Arial" w:hAnsi="VIC"/>
          <w:color w:val="000000"/>
          <w:sz w:val="20"/>
        </w:rPr>
        <w:t>Alfred Health</w:t>
      </w:r>
    </w:p>
    <w:p w14:paraId="0BE2CE43"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 xml:space="preserve">Royal Melbourne Hospital </w:t>
      </w:r>
      <w:r w:rsidRPr="00F03354">
        <w:rPr>
          <w:rFonts w:ascii="VIC" w:eastAsia="Arial" w:hAnsi="VIC"/>
          <w:color w:val="000000"/>
          <w:sz w:val="19"/>
        </w:rPr>
        <w:t xml:space="preserve">– </w:t>
      </w:r>
      <w:r w:rsidRPr="00F03354">
        <w:rPr>
          <w:rFonts w:ascii="VIC" w:eastAsia="Arial" w:hAnsi="VIC"/>
          <w:color w:val="000000"/>
          <w:sz w:val="20"/>
        </w:rPr>
        <w:t>Melbourne Health</w:t>
      </w:r>
    </w:p>
    <w:p w14:paraId="170FA20E" w14:textId="77777777" w:rsidR="00341E3E" w:rsidRPr="00F03354" w:rsidRDefault="00341E3E" w:rsidP="00341E3E">
      <w:pPr>
        <w:spacing w:before="77" w:line="230" w:lineRule="exact"/>
        <w:textAlignment w:val="baseline"/>
        <w:rPr>
          <w:rFonts w:ascii="VIC" w:eastAsia="Arial" w:hAnsi="VIC"/>
          <w:color w:val="000000"/>
          <w:sz w:val="20"/>
        </w:rPr>
      </w:pPr>
      <w:r w:rsidRPr="00F03354">
        <w:rPr>
          <w:rFonts w:ascii="VIC" w:eastAsia="Arial" w:hAnsi="VIC"/>
          <w:color w:val="000000"/>
          <w:sz w:val="20"/>
        </w:rPr>
        <w:t>St Vincent's Hospital</w:t>
      </w:r>
    </w:p>
    <w:p w14:paraId="4DC8B206"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 xml:space="preserve">The Austin </w:t>
      </w:r>
      <w:r w:rsidRPr="00F03354">
        <w:rPr>
          <w:rFonts w:ascii="VIC" w:eastAsia="Arial" w:hAnsi="VIC"/>
          <w:color w:val="000000"/>
          <w:sz w:val="19"/>
        </w:rPr>
        <w:t xml:space="preserve">– </w:t>
      </w:r>
      <w:r w:rsidRPr="00F03354">
        <w:rPr>
          <w:rFonts w:ascii="VIC" w:eastAsia="Arial" w:hAnsi="VIC"/>
          <w:color w:val="000000"/>
          <w:sz w:val="20"/>
        </w:rPr>
        <w:t>Austin Health</w:t>
      </w:r>
    </w:p>
    <w:p w14:paraId="27628033" w14:textId="77777777" w:rsidR="00341E3E" w:rsidRPr="00F03354" w:rsidRDefault="00341E3E" w:rsidP="00341E3E">
      <w:pPr>
        <w:spacing w:before="77" w:line="230" w:lineRule="exact"/>
        <w:textAlignment w:val="baseline"/>
        <w:rPr>
          <w:rFonts w:ascii="VIC" w:eastAsia="Arial" w:hAnsi="VIC"/>
          <w:color w:val="000000"/>
          <w:sz w:val="20"/>
        </w:rPr>
      </w:pPr>
      <w:r w:rsidRPr="00F03354">
        <w:rPr>
          <w:rFonts w:ascii="VIC" w:eastAsia="Arial" w:hAnsi="VIC"/>
          <w:color w:val="000000"/>
          <w:sz w:val="20"/>
        </w:rPr>
        <w:t xml:space="preserve">Monash Medical Centre [Clayton] </w:t>
      </w:r>
      <w:r w:rsidRPr="00F03354">
        <w:rPr>
          <w:rFonts w:ascii="VIC" w:eastAsia="Arial" w:hAnsi="VIC"/>
          <w:color w:val="000000"/>
          <w:sz w:val="19"/>
        </w:rPr>
        <w:t xml:space="preserve">– </w:t>
      </w:r>
      <w:r w:rsidRPr="00F03354">
        <w:rPr>
          <w:rFonts w:ascii="VIC" w:eastAsia="Arial" w:hAnsi="VIC"/>
          <w:color w:val="000000"/>
          <w:sz w:val="20"/>
        </w:rPr>
        <w:t>Monash Health</w:t>
      </w:r>
    </w:p>
    <w:p w14:paraId="08DCED36" w14:textId="77777777" w:rsidR="00341E3E" w:rsidRPr="00F03354" w:rsidRDefault="00341E3E" w:rsidP="00341E3E">
      <w:pPr>
        <w:spacing w:before="82" w:after="10553" w:line="230" w:lineRule="exact"/>
        <w:textAlignment w:val="baseline"/>
        <w:rPr>
          <w:rFonts w:ascii="VIC" w:eastAsia="Arial" w:hAnsi="VIC"/>
          <w:color w:val="000000"/>
          <w:sz w:val="20"/>
        </w:rPr>
      </w:pPr>
      <w:r w:rsidRPr="00F03354">
        <w:rPr>
          <w:rFonts w:ascii="VIC" w:eastAsia="Arial" w:hAnsi="VIC"/>
          <w:color w:val="000000"/>
          <w:sz w:val="20"/>
        </w:rPr>
        <w:t xml:space="preserve">University Hospital Geelong </w:t>
      </w:r>
      <w:r w:rsidRPr="00F03354">
        <w:rPr>
          <w:rFonts w:ascii="VIC" w:eastAsia="Arial" w:hAnsi="VIC"/>
          <w:color w:val="000000"/>
          <w:sz w:val="19"/>
        </w:rPr>
        <w:t xml:space="preserve">– </w:t>
      </w:r>
      <w:r w:rsidRPr="00F03354">
        <w:rPr>
          <w:rFonts w:ascii="VIC" w:eastAsia="Arial" w:hAnsi="VIC"/>
          <w:color w:val="000000"/>
          <w:sz w:val="20"/>
        </w:rPr>
        <w:t>Barwon Health</w:t>
      </w:r>
    </w:p>
    <w:p w14:paraId="1E84EB70" w14:textId="77777777" w:rsidR="00341E3E" w:rsidRPr="00F03354" w:rsidRDefault="00341E3E" w:rsidP="00341E3E">
      <w:pPr>
        <w:spacing w:before="18" w:after="384" w:line="504" w:lineRule="exact"/>
        <w:ind w:left="72" w:right="72"/>
        <w:textAlignment w:val="baseline"/>
        <w:rPr>
          <w:rFonts w:ascii="VIC" w:eastAsia="Arial" w:hAnsi="VIC"/>
          <w:color w:val="004EA8"/>
          <w:sz w:val="36"/>
          <w:szCs w:val="18"/>
        </w:rPr>
      </w:pPr>
      <w:r w:rsidRPr="00F03354">
        <w:rPr>
          <w:rFonts w:ascii="VIC" w:eastAsia="Arial" w:hAnsi="VIC"/>
          <w:color w:val="004EA8"/>
          <w:sz w:val="36"/>
          <w:szCs w:val="18"/>
        </w:rPr>
        <w:lastRenderedPageBreak/>
        <w:t>Attachment B: List of health services/campuses required to report Hip Replacement surgical site infections</w:t>
      </w:r>
    </w:p>
    <w:p w14:paraId="6C48F1B7" w14:textId="77777777" w:rsidR="00341E3E" w:rsidRPr="00F03354" w:rsidRDefault="00341E3E" w:rsidP="00341E3E">
      <w:pPr>
        <w:spacing w:before="80" w:line="230" w:lineRule="exact"/>
        <w:ind w:left="72"/>
        <w:textAlignment w:val="baseline"/>
        <w:rPr>
          <w:rFonts w:ascii="VIC" w:eastAsia="Arial" w:hAnsi="VIC"/>
          <w:color w:val="000000"/>
          <w:spacing w:val="-1"/>
          <w:sz w:val="20"/>
        </w:rPr>
      </w:pPr>
      <w:r w:rsidRPr="00F03354">
        <w:rPr>
          <w:rFonts w:ascii="VIC" w:eastAsia="Arial" w:hAnsi="VIC"/>
          <w:color w:val="000000"/>
          <w:spacing w:val="-1"/>
          <w:sz w:val="20"/>
        </w:rPr>
        <w:t>Ballarat Health</w:t>
      </w:r>
    </w:p>
    <w:p w14:paraId="456DE501" w14:textId="77777777" w:rsidR="00341E3E" w:rsidRPr="00F03354" w:rsidRDefault="00341E3E" w:rsidP="00341E3E">
      <w:pPr>
        <w:spacing w:before="82" w:line="230" w:lineRule="exact"/>
        <w:ind w:left="72"/>
        <w:textAlignment w:val="baseline"/>
        <w:rPr>
          <w:rFonts w:ascii="VIC" w:eastAsia="Arial" w:hAnsi="VIC"/>
          <w:color w:val="000000"/>
          <w:spacing w:val="-1"/>
          <w:sz w:val="20"/>
        </w:rPr>
      </w:pPr>
      <w:r w:rsidRPr="00F03354">
        <w:rPr>
          <w:rFonts w:ascii="VIC" w:eastAsia="Arial" w:hAnsi="VIC"/>
          <w:color w:val="000000"/>
          <w:spacing w:val="-1"/>
          <w:sz w:val="20"/>
        </w:rPr>
        <w:t>Bendigo Hospital, The</w:t>
      </w:r>
    </w:p>
    <w:p w14:paraId="23F72404" w14:textId="77777777" w:rsidR="00341E3E" w:rsidRPr="00F03354" w:rsidRDefault="00341E3E" w:rsidP="00341E3E">
      <w:pPr>
        <w:spacing w:before="77" w:line="230" w:lineRule="exact"/>
        <w:ind w:left="72"/>
        <w:textAlignment w:val="baseline"/>
        <w:rPr>
          <w:rFonts w:ascii="VIC" w:eastAsia="Arial" w:hAnsi="VIC"/>
          <w:color w:val="000000"/>
          <w:sz w:val="20"/>
        </w:rPr>
      </w:pPr>
      <w:r w:rsidRPr="00F03354">
        <w:rPr>
          <w:rFonts w:ascii="VIC" w:eastAsia="Arial" w:hAnsi="VIC"/>
          <w:color w:val="000000"/>
          <w:sz w:val="20"/>
        </w:rPr>
        <w:t>Box Hill Hospital – Eastern Health</w:t>
      </w:r>
    </w:p>
    <w:p w14:paraId="5B2D8053"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Dandenong Hospital – Monash Health</w:t>
      </w:r>
    </w:p>
    <w:p w14:paraId="7BA0C5F1" w14:textId="77777777" w:rsidR="00341E3E" w:rsidRPr="00F03354" w:rsidRDefault="00341E3E" w:rsidP="00341E3E">
      <w:pPr>
        <w:spacing w:before="77" w:line="230" w:lineRule="exact"/>
        <w:ind w:left="72"/>
        <w:textAlignment w:val="baseline"/>
        <w:rPr>
          <w:rFonts w:ascii="VIC" w:eastAsia="Arial" w:hAnsi="VIC"/>
          <w:color w:val="000000"/>
          <w:spacing w:val="-1"/>
          <w:sz w:val="20"/>
        </w:rPr>
      </w:pPr>
      <w:r w:rsidRPr="00F03354">
        <w:rPr>
          <w:rFonts w:ascii="VIC" w:eastAsia="Arial" w:hAnsi="VIC"/>
          <w:color w:val="000000"/>
          <w:spacing w:val="-1"/>
          <w:sz w:val="20"/>
        </w:rPr>
        <w:t>Echuca Regional Health</w:t>
      </w:r>
    </w:p>
    <w:p w14:paraId="61D6ADED"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Footscray Hospital – Western Health</w:t>
      </w:r>
    </w:p>
    <w:p w14:paraId="03DB5536"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Frankston Hospital – Peninsula Health</w:t>
      </w:r>
    </w:p>
    <w:p w14:paraId="1060B29D" w14:textId="77777777" w:rsidR="00341E3E" w:rsidRPr="00F03354" w:rsidRDefault="00341E3E" w:rsidP="00341E3E">
      <w:pPr>
        <w:spacing w:before="78" w:line="230" w:lineRule="exact"/>
        <w:ind w:left="72"/>
        <w:textAlignment w:val="baseline"/>
        <w:rPr>
          <w:rFonts w:ascii="VIC" w:eastAsia="Arial" w:hAnsi="VIC"/>
          <w:color w:val="000000"/>
          <w:spacing w:val="-1"/>
          <w:sz w:val="20"/>
        </w:rPr>
      </w:pPr>
      <w:r w:rsidRPr="00F03354">
        <w:rPr>
          <w:rFonts w:ascii="VIC" w:eastAsia="Arial" w:hAnsi="VIC"/>
          <w:color w:val="000000"/>
          <w:spacing w:val="-1"/>
          <w:sz w:val="20"/>
        </w:rPr>
        <w:t>Hamilton Base Hospital</w:t>
      </w:r>
    </w:p>
    <w:p w14:paraId="68B0FB23"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Heidelberg Repatriation Hospital – Austin Health</w:t>
      </w:r>
    </w:p>
    <w:p w14:paraId="689F6034" w14:textId="77777777" w:rsidR="00341E3E" w:rsidRPr="00F03354" w:rsidRDefault="00341E3E" w:rsidP="00341E3E">
      <w:pPr>
        <w:spacing w:before="77" w:line="230" w:lineRule="exact"/>
        <w:ind w:left="72"/>
        <w:textAlignment w:val="baseline"/>
        <w:rPr>
          <w:rFonts w:ascii="VIC" w:eastAsia="Arial" w:hAnsi="VIC"/>
          <w:color w:val="000000"/>
          <w:spacing w:val="-1"/>
          <w:sz w:val="20"/>
        </w:rPr>
      </w:pPr>
      <w:r w:rsidRPr="00F03354">
        <w:rPr>
          <w:rFonts w:ascii="VIC" w:eastAsia="Arial" w:hAnsi="VIC"/>
          <w:color w:val="000000"/>
          <w:spacing w:val="-1"/>
          <w:sz w:val="20"/>
        </w:rPr>
        <w:t>Latrobe Regional Hospital</w:t>
      </w:r>
    </w:p>
    <w:p w14:paraId="453A99B6"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Maroondah Hospital – Eastern Health</w:t>
      </w:r>
    </w:p>
    <w:p w14:paraId="7427A764" w14:textId="77777777" w:rsidR="00341E3E" w:rsidRPr="00F03354" w:rsidRDefault="00341E3E" w:rsidP="00341E3E">
      <w:pPr>
        <w:spacing w:before="77" w:line="230" w:lineRule="exact"/>
        <w:ind w:left="72"/>
        <w:textAlignment w:val="baseline"/>
        <w:rPr>
          <w:rFonts w:ascii="VIC" w:eastAsia="Arial" w:hAnsi="VIC"/>
          <w:color w:val="000000"/>
          <w:spacing w:val="-1"/>
          <w:sz w:val="20"/>
        </w:rPr>
      </w:pPr>
      <w:r w:rsidRPr="00F03354">
        <w:rPr>
          <w:rFonts w:ascii="VIC" w:eastAsia="Arial" w:hAnsi="VIC"/>
          <w:color w:val="000000"/>
          <w:spacing w:val="-1"/>
          <w:sz w:val="20"/>
        </w:rPr>
        <w:t>Mildura Base Hospital</w:t>
      </w:r>
    </w:p>
    <w:p w14:paraId="304DA416"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Monash Medical Centre [Moorabbin] – Monash Health</w:t>
      </w:r>
    </w:p>
    <w:p w14:paraId="2D9CA41A"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Royal Melbourne Hospital – Melbourne Health</w:t>
      </w:r>
    </w:p>
    <w:p w14:paraId="6D50578E" w14:textId="77777777" w:rsidR="00341E3E" w:rsidRPr="00F03354" w:rsidRDefault="00341E3E" w:rsidP="00341E3E">
      <w:pPr>
        <w:spacing w:before="77" w:line="230" w:lineRule="exact"/>
        <w:ind w:left="72"/>
        <w:textAlignment w:val="baseline"/>
        <w:rPr>
          <w:rFonts w:ascii="VIC" w:eastAsia="Arial" w:hAnsi="VIC"/>
          <w:color w:val="000000"/>
          <w:sz w:val="20"/>
        </w:rPr>
      </w:pPr>
      <w:r w:rsidRPr="00F03354">
        <w:rPr>
          <w:rFonts w:ascii="VIC" w:eastAsia="Arial" w:hAnsi="VIC"/>
          <w:color w:val="000000"/>
          <w:sz w:val="20"/>
        </w:rPr>
        <w:t>Sandringham &amp; District Memorial – The Alfred</w:t>
      </w:r>
    </w:p>
    <w:p w14:paraId="3E3BC1D2"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Shepparton – Goulburn Valley Health</w:t>
      </w:r>
    </w:p>
    <w:p w14:paraId="15876A09" w14:textId="77777777" w:rsidR="00341E3E" w:rsidRPr="00F03354" w:rsidRDefault="00341E3E" w:rsidP="00341E3E">
      <w:pPr>
        <w:spacing w:before="77" w:line="230" w:lineRule="exact"/>
        <w:ind w:left="72"/>
        <w:textAlignment w:val="baseline"/>
        <w:rPr>
          <w:rFonts w:ascii="VIC" w:eastAsia="Arial" w:hAnsi="VIC"/>
          <w:color w:val="000000"/>
          <w:sz w:val="20"/>
        </w:rPr>
      </w:pPr>
      <w:r w:rsidRPr="00F03354">
        <w:rPr>
          <w:rFonts w:ascii="VIC" w:eastAsia="Arial" w:hAnsi="VIC"/>
          <w:color w:val="000000"/>
          <w:sz w:val="20"/>
        </w:rPr>
        <w:t>St Vincent’s Hospital</w:t>
      </w:r>
    </w:p>
    <w:p w14:paraId="06FB9F75"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The Alfred – Alfred Health</w:t>
      </w:r>
    </w:p>
    <w:p w14:paraId="7E210A37"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The Austin – Austin Health</w:t>
      </w:r>
    </w:p>
    <w:p w14:paraId="5491E175" w14:textId="77777777" w:rsidR="00341E3E" w:rsidRPr="00F03354" w:rsidRDefault="00341E3E" w:rsidP="00341E3E">
      <w:pPr>
        <w:spacing w:before="78" w:line="230" w:lineRule="exact"/>
        <w:ind w:left="72"/>
        <w:textAlignment w:val="baseline"/>
        <w:rPr>
          <w:rFonts w:ascii="VIC" w:eastAsia="Arial" w:hAnsi="VIC"/>
          <w:color w:val="000000"/>
          <w:sz w:val="20"/>
        </w:rPr>
      </w:pPr>
      <w:r w:rsidRPr="00F03354">
        <w:rPr>
          <w:rFonts w:ascii="VIC" w:eastAsia="Arial" w:hAnsi="VIC"/>
          <w:color w:val="000000"/>
          <w:sz w:val="20"/>
        </w:rPr>
        <w:t>The Northern – Northern Health</w:t>
      </w:r>
    </w:p>
    <w:p w14:paraId="7B831A8B"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University Hospital Geelong – Barwon Health</w:t>
      </w:r>
    </w:p>
    <w:p w14:paraId="6F9E4CEA" w14:textId="77777777" w:rsidR="00341E3E" w:rsidRPr="00F03354" w:rsidRDefault="00341E3E" w:rsidP="00341E3E">
      <w:pPr>
        <w:spacing w:before="77" w:line="230" w:lineRule="exact"/>
        <w:ind w:left="72"/>
        <w:textAlignment w:val="baseline"/>
        <w:rPr>
          <w:rFonts w:ascii="VIC" w:eastAsia="Arial" w:hAnsi="VIC"/>
          <w:color w:val="000000"/>
          <w:sz w:val="20"/>
        </w:rPr>
      </w:pPr>
      <w:r w:rsidRPr="00F03354">
        <w:rPr>
          <w:rFonts w:ascii="VIC" w:eastAsia="Arial" w:hAnsi="VIC"/>
          <w:color w:val="000000"/>
          <w:sz w:val="20"/>
        </w:rPr>
        <w:t>Wangaratta – Northeast Health</w:t>
      </w:r>
    </w:p>
    <w:p w14:paraId="26F9A81E" w14:textId="77777777" w:rsidR="00341E3E" w:rsidRPr="00F03354" w:rsidRDefault="00341E3E" w:rsidP="00341E3E">
      <w:pPr>
        <w:spacing w:before="82" w:line="230" w:lineRule="exact"/>
        <w:ind w:left="72"/>
        <w:textAlignment w:val="baseline"/>
        <w:rPr>
          <w:rFonts w:ascii="VIC" w:eastAsia="Arial" w:hAnsi="VIC"/>
          <w:color w:val="000000"/>
          <w:sz w:val="20"/>
        </w:rPr>
      </w:pPr>
      <w:r w:rsidRPr="00F03354">
        <w:rPr>
          <w:rFonts w:ascii="VIC" w:eastAsia="Arial" w:hAnsi="VIC"/>
          <w:color w:val="000000"/>
          <w:sz w:val="20"/>
        </w:rPr>
        <w:t>Warragul – West Gippsland Health</w:t>
      </w:r>
    </w:p>
    <w:p w14:paraId="52B34B28" w14:textId="77777777" w:rsidR="00341E3E" w:rsidRPr="00F03354" w:rsidRDefault="00341E3E" w:rsidP="00341E3E">
      <w:pPr>
        <w:spacing w:before="77" w:line="230" w:lineRule="exact"/>
        <w:ind w:left="72"/>
        <w:textAlignment w:val="baseline"/>
        <w:rPr>
          <w:rFonts w:ascii="VIC" w:eastAsia="Arial" w:hAnsi="VIC"/>
          <w:color w:val="000000"/>
          <w:sz w:val="20"/>
        </w:rPr>
      </w:pPr>
      <w:r w:rsidRPr="00F03354">
        <w:rPr>
          <w:rFonts w:ascii="VIC" w:eastAsia="Arial" w:hAnsi="VIC"/>
          <w:color w:val="000000"/>
          <w:sz w:val="20"/>
        </w:rPr>
        <w:t>Warrnambool – South West Healthcare</w:t>
      </w:r>
    </w:p>
    <w:p w14:paraId="43572994" w14:textId="77777777" w:rsidR="00341E3E" w:rsidRPr="00F03354" w:rsidRDefault="00341E3E" w:rsidP="00341E3E">
      <w:pPr>
        <w:spacing w:before="82" w:after="4750" w:line="230" w:lineRule="exact"/>
        <w:ind w:left="72"/>
        <w:textAlignment w:val="baseline"/>
        <w:rPr>
          <w:rFonts w:ascii="VIC" w:eastAsia="Arial" w:hAnsi="VIC"/>
          <w:color w:val="000000"/>
          <w:sz w:val="20"/>
        </w:rPr>
      </w:pPr>
      <w:r w:rsidRPr="00F03354">
        <w:rPr>
          <w:rFonts w:ascii="VIC" w:eastAsia="Arial" w:hAnsi="VIC"/>
          <w:color w:val="000000"/>
          <w:sz w:val="20"/>
        </w:rPr>
        <w:t>Williamstown Hospital – Western Health</w:t>
      </w:r>
    </w:p>
    <w:p w14:paraId="01E2E9C3" w14:textId="77777777" w:rsidR="00341E3E" w:rsidRPr="00F03354" w:rsidRDefault="00341E3E" w:rsidP="00341E3E">
      <w:pPr>
        <w:spacing w:before="18" w:after="384" w:line="504" w:lineRule="exact"/>
        <w:ind w:right="72"/>
        <w:textAlignment w:val="baseline"/>
        <w:rPr>
          <w:rFonts w:ascii="VIC" w:eastAsia="Arial" w:hAnsi="VIC"/>
          <w:color w:val="004EA8"/>
          <w:w w:val="90"/>
          <w:sz w:val="36"/>
          <w:szCs w:val="18"/>
        </w:rPr>
      </w:pPr>
      <w:r w:rsidRPr="00F03354">
        <w:rPr>
          <w:rFonts w:ascii="VIC" w:eastAsia="Arial" w:hAnsi="VIC"/>
          <w:color w:val="004EA8"/>
          <w:w w:val="90"/>
          <w:sz w:val="36"/>
          <w:szCs w:val="18"/>
        </w:rPr>
        <w:lastRenderedPageBreak/>
        <w:t>Attachment C: List of health services/campuses required to report Knee Replacement surgical site infections</w:t>
      </w:r>
    </w:p>
    <w:p w14:paraId="792E8CE4" w14:textId="7FC9982C" w:rsidR="00341E3E" w:rsidRPr="00F03354" w:rsidRDefault="00341E3E" w:rsidP="00341E3E">
      <w:pPr>
        <w:spacing w:before="81" w:line="230" w:lineRule="exact"/>
        <w:textAlignment w:val="baseline"/>
        <w:rPr>
          <w:rFonts w:ascii="VIC" w:eastAsia="Arial" w:hAnsi="VIC"/>
          <w:color w:val="000000"/>
          <w:spacing w:val="-6"/>
          <w:sz w:val="20"/>
        </w:rPr>
      </w:pPr>
      <w:r w:rsidRPr="00F03354">
        <w:rPr>
          <w:rFonts w:ascii="VIC" w:eastAsia="Arial" w:hAnsi="VIC"/>
          <w:color w:val="000000"/>
          <w:spacing w:val="-6"/>
          <w:sz w:val="20"/>
        </w:rPr>
        <w:t>Ararat – East Grampians Health</w:t>
      </w:r>
    </w:p>
    <w:p w14:paraId="09E009BC" w14:textId="26F4D6DE" w:rsidR="00341E3E" w:rsidRPr="00F03354" w:rsidRDefault="00341E3E" w:rsidP="00341E3E">
      <w:pPr>
        <w:spacing w:before="81" w:line="230" w:lineRule="exact"/>
        <w:textAlignment w:val="baseline"/>
        <w:rPr>
          <w:rFonts w:ascii="VIC" w:eastAsia="Arial" w:hAnsi="VIC"/>
          <w:color w:val="000000"/>
          <w:spacing w:val="-6"/>
          <w:sz w:val="20"/>
        </w:rPr>
      </w:pPr>
      <w:r w:rsidRPr="00F03354">
        <w:rPr>
          <w:rFonts w:ascii="VIC" w:eastAsia="Arial" w:hAnsi="VIC"/>
          <w:color w:val="000000"/>
          <w:spacing w:val="-6"/>
          <w:sz w:val="20"/>
        </w:rPr>
        <w:t>Bacchus Marsh</w:t>
      </w:r>
    </w:p>
    <w:p w14:paraId="72E221EC" w14:textId="77777777" w:rsidR="00341E3E" w:rsidRPr="00F03354" w:rsidRDefault="00341E3E" w:rsidP="00341E3E">
      <w:pPr>
        <w:spacing w:before="82" w:line="230" w:lineRule="exact"/>
        <w:textAlignment w:val="baseline"/>
        <w:rPr>
          <w:rFonts w:ascii="VIC" w:eastAsia="Arial" w:hAnsi="VIC"/>
          <w:color w:val="000000"/>
          <w:spacing w:val="-7"/>
          <w:sz w:val="20"/>
        </w:rPr>
      </w:pPr>
      <w:r w:rsidRPr="00F03354">
        <w:rPr>
          <w:rFonts w:ascii="VIC" w:eastAsia="Arial" w:hAnsi="VIC"/>
          <w:color w:val="000000"/>
          <w:spacing w:val="-7"/>
          <w:sz w:val="20"/>
        </w:rPr>
        <w:t>Ballarat Health</w:t>
      </w:r>
    </w:p>
    <w:p w14:paraId="683C5684" w14:textId="77777777" w:rsidR="00341E3E" w:rsidRPr="00F03354" w:rsidRDefault="00341E3E" w:rsidP="00341E3E">
      <w:pPr>
        <w:spacing w:before="77" w:line="230" w:lineRule="exact"/>
        <w:textAlignment w:val="baseline"/>
        <w:rPr>
          <w:rFonts w:ascii="VIC" w:eastAsia="Arial" w:hAnsi="VIC"/>
          <w:color w:val="000000"/>
          <w:spacing w:val="-7"/>
          <w:sz w:val="20"/>
        </w:rPr>
      </w:pPr>
      <w:r w:rsidRPr="00F03354">
        <w:rPr>
          <w:rFonts w:ascii="VIC" w:eastAsia="Arial" w:hAnsi="VIC"/>
          <w:color w:val="000000"/>
          <w:spacing w:val="-7"/>
          <w:sz w:val="20"/>
        </w:rPr>
        <w:t>Bendigo Hospital</w:t>
      </w:r>
    </w:p>
    <w:p w14:paraId="6DCFE27D" w14:textId="77777777" w:rsidR="00341E3E" w:rsidRPr="00F03354" w:rsidRDefault="00341E3E" w:rsidP="00341E3E">
      <w:pPr>
        <w:spacing w:before="82" w:line="230" w:lineRule="exact"/>
        <w:textAlignment w:val="baseline"/>
        <w:rPr>
          <w:rFonts w:ascii="VIC" w:eastAsia="Arial" w:hAnsi="VIC"/>
          <w:color w:val="000000"/>
          <w:spacing w:val="-6"/>
          <w:sz w:val="20"/>
        </w:rPr>
      </w:pPr>
      <w:r w:rsidRPr="00F03354">
        <w:rPr>
          <w:rFonts w:ascii="VIC" w:eastAsia="Arial" w:hAnsi="VIC"/>
          <w:color w:val="000000"/>
          <w:spacing w:val="-6"/>
          <w:sz w:val="20"/>
        </w:rPr>
        <w:t>Box Hill Hospital – Eastern Health</w:t>
      </w:r>
    </w:p>
    <w:p w14:paraId="5B30BBC3" w14:textId="5DE7D3F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Broadmeadows Hospital – Northern Health</w:t>
      </w:r>
    </w:p>
    <w:p w14:paraId="77A00679"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Dandenong Hospital – Monash Health</w:t>
      </w:r>
    </w:p>
    <w:p w14:paraId="5125399B" w14:textId="77777777" w:rsidR="00341E3E" w:rsidRPr="00F03354" w:rsidRDefault="00341E3E" w:rsidP="00341E3E">
      <w:pPr>
        <w:spacing w:before="82" w:line="230" w:lineRule="exact"/>
        <w:textAlignment w:val="baseline"/>
        <w:rPr>
          <w:rFonts w:ascii="VIC" w:eastAsia="Arial" w:hAnsi="VIC"/>
          <w:color w:val="000000"/>
          <w:spacing w:val="-6"/>
          <w:sz w:val="20"/>
        </w:rPr>
      </w:pPr>
      <w:r w:rsidRPr="00F03354">
        <w:rPr>
          <w:rFonts w:ascii="VIC" w:eastAsia="Arial" w:hAnsi="VIC"/>
          <w:color w:val="000000"/>
          <w:spacing w:val="-6"/>
          <w:sz w:val="20"/>
        </w:rPr>
        <w:t>Echuca Regional Health</w:t>
      </w:r>
    </w:p>
    <w:p w14:paraId="1C1FCDA5" w14:textId="77777777" w:rsidR="00341E3E" w:rsidRPr="00F03354" w:rsidRDefault="00341E3E" w:rsidP="00341E3E">
      <w:pPr>
        <w:spacing w:before="82" w:line="230" w:lineRule="exact"/>
        <w:textAlignment w:val="baseline"/>
        <w:rPr>
          <w:rFonts w:ascii="VIC" w:eastAsia="Arial" w:hAnsi="VIC"/>
          <w:color w:val="000000"/>
          <w:spacing w:val="-6"/>
          <w:sz w:val="20"/>
        </w:rPr>
      </w:pPr>
      <w:r w:rsidRPr="00F03354">
        <w:rPr>
          <w:rFonts w:ascii="VIC" w:eastAsia="Arial" w:hAnsi="VIC"/>
          <w:color w:val="000000"/>
          <w:spacing w:val="-6"/>
          <w:sz w:val="20"/>
        </w:rPr>
        <w:t>Footscray Hospital – Western Health</w:t>
      </w:r>
    </w:p>
    <w:p w14:paraId="0B2100B8" w14:textId="77777777" w:rsidR="00341E3E" w:rsidRPr="00F03354" w:rsidRDefault="00341E3E" w:rsidP="00341E3E">
      <w:pPr>
        <w:spacing w:before="78" w:line="230" w:lineRule="exact"/>
        <w:textAlignment w:val="baseline"/>
        <w:rPr>
          <w:rFonts w:ascii="VIC" w:eastAsia="Arial" w:hAnsi="VIC"/>
          <w:color w:val="000000"/>
          <w:spacing w:val="-6"/>
          <w:sz w:val="20"/>
        </w:rPr>
      </w:pPr>
      <w:r w:rsidRPr="00F03354">
        <w:rPr>
          <w:rFonts w:ascii="VIC" w:eastAsia="Arial" w:hAnsi="VIC"/>
          <w:color w:val="000000"/>
          <w:spacing w:val="-6"/>
          <w:sz w:val="20"/>
        </w:rPr>
        <w:t>Frankston Hospital – Peninsula Health</w:t>
      </w:r>
    </w:p>
    <w:p w14:paraId="0C255B27" w14:textId="77777777" w:rsidR="00341E3E" w:rsidRPr="00F03354" w:rsidRDefault="00341E3E" w:rsidP="00341E3E">
      <w:pPr>
        <w:spacing w:before="82" w:line="230" w:lineRule="exact"/>
        <w:textAlignment w:val="baseline"/>
        <w:rPr>
          <w:rFonts w:ascii="VIC" w:eastAsia="Arial" w:hAnsi="VIC"/>
          <w:color w:val="000000"/>
          <w:spacing w:val="-7"/>
          <w:sz w:val="20"/>
        </w:rPr>
      </w:pPr>
      <w:r w:rsidRPr="00F03354">
        <w:rPr>
          <w:rFonts w:ascii="VIC" w:eastAsia="Arial" w:hAnsi="VIC"/>
          <w:color w:val="000000"/>
          <w:spacing w:val="-7"/>
          <w:sz w:val="20"/>
        </w:rPr>
        <w:t>Hamilton Base Hospital</w:t>
      </w:r>
    </w:p>
    <w:p w14:paraId="1026A583"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Heidelberg Repatriation Hospital – Austin Health</w:t>
      </w:r>
    </w:p>
    <w:p w14:paraId="35A84ADD" w14:textId="77777777" w:rsidR="00341E3E" w:rsidRPr="00F03354" w:rsidRDefault="00341E3E" w:rsidP="00341E3E">
      <w:pPr>
        <w:spacing w:before="82" w:line="230" w:lineRule="exact"/>
        <w:textAlignment w:val="baseline"/>
        <w:rPr>
          <w:rFonts w:ascii="VIC" w:eastAsia="Arial" w:hAnsi="VIC"/>
          <w:color w:val="000000"/>
          <w:spacing w:val="-5"/>
          <w:sz w:val="20"/>
        </w:rPr>
      </w:pPr>
      <w:r w:rsidRPr="00F03354">
        <w:rPr>
          <w:rFonts w:ascii="VIC" w:eastAsia="Arial" w:hAnsi="VIC"/>
          <w:color w:val="000000"/>
          <w:spacing w:val="-5"/>
          <w:sz w:val="20"/>
        </w:rPr>
        <w:t>Horsham – Wimmera Health Care</w:t>
      </w:r>
    </w:p>
    <w:p w14:paraId="144CC393" w14:textId="23EC7227" w:rsidR="00341E3E" w:rsidRPr="00F03354" w:rsidRDefault="00341E3E" w:rsidP="00341E3E">
      <w:pPr>
        <w:spacing w:before="82" w:line="230" w:lineRule="exact"/>
        <w:textAlignment w:val="baseline"/>
        <w:rPr>
          <w:rFonts w:ascii="VIC" w:eastAsia="Arial" w:hAnsi="VIC"/>
          <w:color w:val="000000"/>
          <w:spacing w:val="-5"/>
          <w:sz w:val="20"/>
        </w:rPr>
      </w:pPr>
      <w:r w:rsidRPr="00F03354">
        <w:rPr>
          <w:rFonts w:ascii="VIC" w:eastAsia="Arial" w:hAnsi="VIC"/>
          <w:color w:val="000000"/>
          <w:spacing w:val="-5"/>
          <w:sz w:val="20"/>
        </w:rPr>
        <w:t>Kyabram and District Health</w:t>
      </w:r>
    </w:p>
    <w:p w14:paraId="5FF79639" w14:textId="77777777" w:rsidR="00341E3E" w:rsidRPr="00F03354" w:rsidRDefault="00341E3E" w:rsidP="00341E3E">
      <w:pPr>
        <w:spacing w:before="77" w:line="230" w:lineRule="exact"/>
        <w:textAlignment w:val="baseline"/>
        <w:rPr>
          <w:rFonts w:ascii="VIC" w:eastAsia="Arial" w:hAnsi="VIC"/>
          <w:color w:val="000000"/>
          <w:spacing w:val="-7"/>
          <w:sz w:val="20"/>
        </w:rPr>
      </w:pPr>
      <w:r w:rsidRPr="00F03354">
        <w:rPr>
          <w:rFonts w:ascii="VIC" w:eastAsia="Arial" w:hAnsi="VIC"/>
          <w:color w:val="000000"/>
          <w:spacing w:val="-7"/>
          <w:sz w:val="20"/>
        </w:rPr>
        <w:t>Latrobe Regional Hospital</w:t>
      </w:r>
    </w:p>
    <w:p w14:paraId="1FDF99F3" w14:textId="77777777" w:rsidR="00341E3E" w:rsidRPr="00F03354" w:rsidRDefault="00341E3E" w:rsidP="00341E3E">
      <w:pPr>
        <w:spacing w:before="82" w:line="230" w:lineRule="exact"/>
        <w:textAlignment w:val="baseline"/>
        <w:rPr>
          <w:rFonts w:ascii="VIC" w:eastAsia="Arial" w:hAnsi="VIC"/>
          <w:color w:val="000000"/>
          <w:spacing w:val="-7"/>
          <w:sz w:val="20"/>
        </w:rPr>
      </w:pPr>
      <w:r w:rsidRPr="00F03354">
        <w:rPr>
          <w:rFonts w:ascii="VIC" w:eastAsia="Arial" w:hAnsi="VIC"/>
          <w:color w:val="000000"/>
          <w:spacing w:val="-7"/>
          <w:sz w:val="20"/>
        </w:rPr>
        <w:t>Maroonda Hospital – Eastern Health</w:t>
      </w:r>
    </w:p>
    <w:p w14:paraId="2DBC3132" w14:textId="669FE9F7" w:rsidR="00341E3E" w:rsidRPr="00F03354" w:rsidRDefault="00341E3E" w:rsidP="00341E3E">
      <w:pPr>
        <w:spacing w:before="82" w:line="230" w:lineRule="exact"/>
        <w:textAlignment w:val="baseline"/>
        <w:rPr>
          <w:rFonts w:ascii="VIC" w:eastAsia="Arial" w:hAnsi="VIC"/>
          <w:color w:val="000000"/>
          <w:spacing w:val="-7"/>
          <w:sz w:val="20"/>
        </w:rPr>
      </w:pPr>
      <w:r w:rsidRPr="00F03354">
        <w:rPr>
          <w:rFonts w:ascii="VIC" w:eastAsia="Arial" w:hAnsi="VIC"/>
          <w:color w:val="000000"/>
          <w:spacing w:val="-7"/>
          <w:sz w:val="20"/>
        </w:rPr>
        <w:t>Mildura Base Hospital</w:t>
      </w:r>
    </w:p>
    <w:p w14:paraId="27B808C2" w14:textId="77777777" w:rsidR="00341E3E" w:rsidRPr="00F03354" w:rsidRDefault="00341E3E" w:rsidP="00341E3E">
      <w:pPr>
        <w:spacing w:before="82" w:line="230" w:lineRule="exact"/>
        <w:textAlignment w:val="baseline"/>
        <w:rPr>
          <w:rFonts w:ascii="VIC" w:eastAsia="Arial" w:hAnsi="VIC"/>
          <w:color w:val="000000"/>
          <w:spacing w:val="-6"/>
          <w:sz w:val="20"/>
        </w:rPr>
      </w:pPr>
      <w:r w:rsidRPr="00F03354">
        <w:rPr>
          <w:rFonts w:ascii="VIC" w:eastAsia="Arial" w:hAnsi="VIC"/>
          <w:color w:val="000000"/>
          <w:spacing w:val="-6"/>
          <w:sz w:val="20"/>
        </w:rPr>
        <w:t>Monash Medical Centre [Moorabbin] – Monash Health</w:t>
      </w:r>
    </w:p>
    <w:p w14:paraId="5A34B9CA" w14:textId="77777777" w:rsidR="00341E3E" w:rsidRPr="00F03354" w:rsidRDefault="00341E3E" w:rsidP="00341E3E">
      <w:pPr>
        <w:spacing w:before="77" w:line="230" w:lineRule="exact"/>
        <w:textAlignment w:val="baseline"/>
        <w:rPr>
          <w:rFonts w:ascii="VIC" w:eastAsia="Arial" w:hAnsi="VIC"/>
          <w:color w:val="000000"/>
          <w:spacing w:val="-7"/>
          <w:sz w:val="20"/>
        </w:rPr>
      </w:pPr>
      <w:r w:rsidRPr="00F03354">
        <w:rPr>
          <w:rFonts w:ascii="VIC" w:eastAsia="Arial" w:hAnsi="VIC"/>
          <w:color w:val="000000"/>
          <w:spacing w:val="-7"/>
          <w:sz w:val="20"/>
        </w:rPr>
        <w:t>Portland District Health</w:t>
      </w:r>
    </w:p>
    <w:p w14:paraId="33C866E1" w14:textId="77777777" w:rsidR="00341E3E" w:rsidRPr="00F03354" w:rsidRDefault="00341E3E" w:rsidP="00341E3E">
      <w:pPr>
        <w:spacing w:before="82" w:line="230" w:lineRule="exact"/>
        <w:textAlignment w:val="baseline"/>
        <w:rPr>
          <w:rFonts w:ascii="VIC" w:eastAsia="Arial" w:hAnsi="VIC"/>
          <w:color w:val="000000"/>
          <w:spacing w:val="-6"/>
          <w:sz w:val="20"/>
        </w:rPr>
      </w:pPr>
      <w:r w:rsidRPr="00F03354">
        <w:rPr>
          <w:rFonts w:ascii="VIC" w:eastAsia="Arial" w:hAnsi="VIC"/>
          <w:color w:val="000000"/>
          <w:spacing w:val="-6"/>
          <w:sz w:val="20"/>
        </w:rPr>
        <w:t>Royal Melbourne Hospital – Melbourne Health</w:t>
      </w:r>
    </w:p>
    <w:p w14:paraId="2A1FA02E"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Sandringham &amp; District Memorial – The Alfred</w:t>
      </w:r>
    </w:p>
    <w:p w14:paraId="1A50C168" w14:textId="77777777" w:rsidR="00341E3E" w:rsidRPr="00F03354" w:rsidRDefault="00341E3E" w:rsidP="00341E3E">
      <w:pPr>
        <w:spacing w:before="82" w:line="230" w:lineRule="exact"/>
        <w:textAlignment w:val="baseline"/>
        <w:rPr>
          <w:rFonts w:ascii="VIC" w:eastAsia="Arial" w:hAnsi="VIC"/>
          <w:color w:val="000000"/>
          <w:spacing w:val="-6"/>
          <w:sz w:val="20"/>
        </w:rPr>
      </w:pPr>
      <w:r w:rsidRPr="00F03354">
        <w:rPr>
          <w:rFonts w:ascii="VIC" w:eastAsia="Arial" w:hAnsi="VIC"/>
          <w:color w:val="000000"/>
          <w:spacing w:val="-6"/>
          <w:sz w:val="20"/>
        </w:rPr>
        <w:t>Shepparton – Goulburn Valley Health</w:t>
      </w:r>
    </w:p>
    <w:p w14:paraId="27186B34" w14:textId="77777777" w:rsidR="00341E3E" w:rsidRPr="00F03354" w:rsidRDefault="00341E3E" w:rsidP="00341E3E">
      <w:pPr>
        <w:spacing w:before="82" w:line="230" w:lineRule="exact"/>
        <w:textAlignment w:val="baseline"/>
        <w:rPr>
          <w:rFonts w:ascii="VIC" w:eastAsia="Arial" w:hAnsi="VIC"/>
          <w:color w:val="000000"/>
          <w:spacing w:val="-7"/>
          <w:sz w:val="20"/>
        </w:rPr>
      </w:pPr>
      <w:r w:rsidRPr="00F03354">
        <w:rPr>
          <w:rFonts w:ascii="VIC" w:eastAsia="Arial" w:hAnsi="VIC"/>
          <w:color w:val="000000"/>
          <w:spacing w:val="-7"/>
          <w:sz w:val="20"/>
        </w:rPr>
        <w:t>St Vincent’s Hospital</w:t>
      </w:r>
    </w:p>
    <w:p w14:paraId="6ED57B1C" w14:textId="77777777" w:rsidR="00341E3E" w:rsidRPr="00F03354" w:rsidRDefault="00341E3E" w:rsidP="00341E3E">
      <w:pPr>
        <w:spacing w:before="78" w:line="230" w:lineRule="exact"/>
        <w:textAlignment w:val="baseline"/>
        <w:rPr>
          <w:rFonts w:ascii="VIC" w:eastAsia="Arial" w:hAnsi="VIC"/>
          <w:color w:val="000000"/>
          <w:spacing w:val="-6"/>
          <w:sz w:val="20"/>
        </w:rPr>
      </w:pPr>
      <w:r w:rsidRPr="00F03354">
        <w:rPr>
          <w:rFonts w:ascii="VIC" w:eastAsia="Arial" w:hAnsi="VIC"/>
          <w:color w:val="000000"/>
          <w:spacing w:val="-6"/>
          <w:sz w:val="20"/>
        </w:rPr>
        <w:t>Stawell Regional Health</w:t>
      </w:r>
    </w:p>
    <w:p w14:paraId="0EE0DD7B" w14:textId="77777777" w:rsidR="00341E3E" w:rsidRPr="00F03354" w:rsidRDefault="00341E3E" w:rsidP="00341E3E">
      <w:pPr>
        <w:spacing w:before="82" w:line="230" w:lineRule="exact"/>
        <w:textAlignment w:val="baseline"/>
        <w:rPr>
          <w:rFonts w:ascii="VIC" w:eastAsia="Arial" w:hAnsi="VIC"/>
          <w:color w:val="000000"/>
          <w:spacing w:val="-6"/>
          <w:sz w:val="20"/>
        </w:rPr>
      </w:pPr>
      <w:r w:rsidRPr="00F03354">
        <w:rPr>
          <w:rFonts w:ascii="VIC" w:eastAsia="Arial" w:hAnsi="VIC"/>
          <w:color w:val="000000"/>
          <w:spacing w:val="-6"/>
          <w:sz w:val="20"/>
        </w:rPr>
        <w:t>The Alfred – Alfred Health</w:t>
      </w:r>
    </w:p>
    <w:p w14:paraId="639D7858" w14:textId="77777777" w:rsidR="00341E3E" w:rsidRPr="00F03354" w:rsidRDefault="00341E3E" w:rsidP="00341E3E">
      <w:pPr>
        <w:spacing w:before="77" w:line="230" w:lineRule="exact"/>
        <w:textAlignment w:val="baseline"/>
        <w:rPr>
          <w:rFonts w:ascii="VIC" w:eastAsia="Arial" w:hAnsi="VIC"/>
          <w:color w:val="000000"/>
          <w:spacing w:val="-7"/>
          <w:sz w:val="20"/>
        </w:rPr>
      </w:pPr>
      <w:r w:rsidRPr="00F03354">
        <w:rPr>
          <w:rFonts w:ascii="VIC" w:eastAsia="Arial" w:hAnsi="VIC"/>
          <w:color w:val="000000"/>
          <w:spacing w:val="-7"/>
          <w:sz w:val="20"/>
        </w:rPr>
        <w:t>The Austin – Austin Health</w:t>
      </w:r>
    </w:p>
    <w:p w14:paraId="2B1EBECE" w14:textId="77777777" w:rsidR="00341E3E" w:rsidRPr="00F03354" w:rsidRDefault="00341E3E" w:rsidP="00341E3E">
      <w:pPr>
        <w:spacing w:before="82" w:line="230" w:lineRule="exact"/>
        <w:textAlignment w:val="baseline"/>
        <w:rPr>
          <w:rFonts w:ascii="VIC" w:eastAsia="Arial" w:hAnsi="VIC"/>
          <w:color w:val="000000"/>
          <w:spacing w:val="-6"/>
          <w:sz w:val="20"/>
        </w:rPr>
      </w:pPr>
      <w:r w:rsidRPr="00F03354">
        <w:rPr>
          <w:rFonts w:ascii="VIC" w:eastAsia="Arial" w:hAnsi="VIC"/>
          <w:color w:val="000000"/>
          <w:spacing w:val="-6"/>
          <w:sz w:val="20"/>
        </w:rPr>
        <w:t>The Northern – Northern Health</w:t>
      </w:r>
    </w:p>
    <w:p w14:paraId="558AC1D2"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University Hospital Geelong – Barwon Health</w:t>
      </w:r>
    </w:p>
    <w:p w14:paraId="473A7F16" w14:textId="77777777" w:rsidR="00341E3E" w:rsidRPr="00F03354" w:rsidRDefault="00341E3E" w:rsidP="00341E3E">
      <w:pPr>
        <w:spacing w:before="82" w:line="230" w:lineRule="exact"/>
        <w:textAlignment w:val="baseline"/>
        <w:rPr>
          <w:rFonts w:ascii="VIC" w:eastAsia="Arial" w:hAnsi="VIC"/>
          <w:color w:val="000000"/>
          <w:spacing w:val="-5"/>
          <w:sz w:val="20"/>
        </w:rPr>
      </w:pPr>
      <w:r w:rsidRPr="00F03354">
        <w:rPr>
          <w:rFonts w:ascii="VIC" w:eastAsia="Arial" w:hAnsi="VIC"/>
          <w:color w:val="000000"/>
          <w:spacing w:val="-5"/>
          <w:sz w:val="20"/>
        </w:rPr>
        <w:t>Wangaratta – Northeast Health</w:t>
      </w:r>
    </w:p>
    <w:p w14:paraId="2A2A5B1E" w14:textId="77777777" w:rsidR="00341E3E" w:rsidRPr="00F03354" w:rsidRDefault="00341E3E" w:rsidP="00341E3E">
      <w:pPr>
        <w:spacing w:before="82" w:line="230" w:lineRule="exact"/>
        <w:textAlignment w:val="baseline"/>
        <w:rPr>
          <w:rFonts w:ascii="VIC" w:eastAsia="Arial" w:hAnsi="VIC"/>
          <w:color w:val="000000"/>
          <w:spacing w:val="-6"/>
          <w:sz w:val="20"/>
        </w:rPr>
      </w:pPr>
      <w:r w:rsidRPr="00F03354">
        <w:rPr>
          <w:rFonts w:ascii="VIC" w:eastAsia="Arial" w:hAnsi="VIC"/>
          <w:color w:val="000000"/>
          <w:spacing w:val="-6"/>
          <w:sz w:val="20"/>
        </w:rPr>
        <w:t>Warragul – West Gippsland Health</w:t>
      </w:r>
    </w:p>
    <w:p w14:paraId="35F6457F"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Warrnambool – South West Healthcare</w:t>
      </w:r>
    </w:p>
    <w:p w14:paraId="43D4EA6F" w14:textId="77777777" w:rsidR="00341E3E" w:rsidRPr="00F03354" w:rsidRDefault="00341E3E" w:rsidP="00341E3E">
      <w:pPr>
        <w:spacing w:before="82" w:after="3819" w:line="230" w:lineRule="exact"/>
        <w:textAlignment w:val="baseline"/>
        <w:rPr>
          <w:rFonts w:ascii="VIC" w:eastAsia="Arial" w:hAnsi="VIC"/>
          <w:color w:val="000000"/>
          <w:spacing w:val="-6"/>
          <w:sz w:val="20"/>
        </w:rPr>
      </w:pPr>
      <w:r w:rsidRPr="00F03354">
        <w:rPr>
          <w:rFonts w:ascii="VIC" w:eastAsia="Arial" w:hAnsi="VIC"/>
          <w:color w:val="000000"/>
          <w:spacing w:val="-6"/>
          <w:sz w:val="20"/>
        </w:rPr>
        <w:t>Williamstown Hospital – Western Health</w:t>
      </w:r>
    </w:p>
    <w:p w14:paraId="5A32813C" w14:textId="77777777" w:rsidR="00341E3E" w:rsidRPr="00F03354" w:rsidRDefault="00341E3E" w:rsidP="00341E3E">
      <w:pPr>
        <w:spacing w:before="18" w:after="384" w:line="504" w:lineRule="exact"/>
        <w:ind w:right="72"/>
        <w:textAlignment w:val="baseline"/>
        <w:rPr>
          <w:rFonts w:ascii="VIC" w:eastAsia="Arial" w:hAnsi="VIC"/>
          <w:color w:val="004EA8"/>
          <w:sz w:val="36"/>
          <w:szCs w:val="18"/>
        </w:rPr>
      </w:pPr>
      <w:r w:rsidRPr="00F03354">
        <w:rPr>
          <w:rFonts w:ascii="VIC" w:eastAsia="Arial" w:hAnsi="VIC"/>
          <w:color w:val="004EA8"/>
          <w:sz w:val="36"/>
          <w:szCs w:val="18"/>
        </w:rPr>
        <w:lastRenderedPageBreak/>
        <w:t>Attachment D: List of health services/campuses required to report Caesarean sections surgical site infections</w:t>
      </w:r>
    </w:p>
    <w:p w14:paraId="5E94BDA0" w14:textId="77777777" w:rsidR="00341E3E" w:rsidRPr="00F03354" w:rsidRDefault="00341E3E" w:rsidP="00341E3E">
      <w:pPr>
        <w:spacing w:before="80" w:line="230" w:lineRule="exact"/>
        <w:textAlignment w:val="baseline"/>
        <w:rPr>
          <w:rFonts w:ascii="VIC" w:eastAsia="Arial" w:hAnsi="VIC"/>
          <w:color w:val="000000"/>
          <w:sz w:val="20"/>
        </w:rPr>
      </w:pPr>
      <w:r w:rsidRPr="00F03354">
        <w:rPr>
          <w:rFonts w:ascii="VIC" w:eastAsia="Arial" w:hAnsi="VIC"/>
          <w:color w:val="000000"/>
          <w:sz w:val="20"/>
        </w:rPr>
        <w:t>Angliss – Eastern Health</w:t>
      </w:r>
    </w:p>
    <w:p w14:paraId="0B3B935F" w14:textId="29FBEB30"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Bacchus Marsh</w:t>
      </w:r>
    </w:p>
    <w:p w14:paraId="07915ABD" w14:textId="77777777" w:rsidR="00341E3E" w:rsidRPr="00F03354" w:rsidRDefault="00341E3E" w:rsidP="00341E3E">
      <w:pPr>
        <w:spacing w:before="77" w:line="230" w:lineRule="exact"/>
        <w:textAlignment w:val="baseline"/>
        <w:rPr>
          <w:rFonts w:ascii="VIC" w:eastAsia="Arial" w:hAnsi="VIC"/>
          <w:color w:val="000000"/>
          <w:spacing w:val="-1"/>
          <w:sz w:val="20"/>
        </w:rPr>
      </w:pPr>
      <w:r w:rsidRPr="00F03354">
        <w:rPr>
          <w:rFonts w:ascii="VIC" w:eastAsia="Arial" w:hAnsi="VIC"/>
          <w:color w:val="000000"/>
          <w:spacing w:val="-1"/>
          <w:sz w:val="20"/>
        </w:rPr>
        <w:t>Ballarat Health</w:t>
      </w:r>
    </w:p>
    <w:p w14:paraId="6E52B31D"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Bendigo Health Care Group</w:t>
      </w:r>
    </w:p>
    <w:p w14:paraId="75AE510C" w14:textId="77777777" w:rsidR="00341E3E" w:rsidRPr="00F03354" w:rsidRDefault="00341E3E" w:rsidP="00341E3E">
      <w:pPr>
        <w:spacing w:before="77" w:line="230" w:lineRule="exact"/>
        <w:textAlignment w:val="baseline"/>
        <w:rPr>
          <w:rFonts w:ascii="VIC" w:eastAsia="Arial" w:hAnsi="VIC"/>
          <w:color w:val="000000"/>
          <w:sz w:val="20"/>
        </w:rPr>
      </w:pPr>
      <w:r w:rsidRPr="00F03354">
        <w:rPr>
          <w:rFonts w:ascii="VIC" w:eastAsia="Arial" w:hAnsi="VIC"/>
          <w:color w:val="000000"/>
          <w:sz w:val="20"/>
        </w:rPr>
        <w:t>Box Hill – Eastern Health</w:t>
      </w:r>
    </w:p>
    <w:p w14:paraId="3B6840C1" w14:textId="77777777" w:rsidR="00341E3E" w:rsidRPr="00F03354" w:rsidRDefault="00341E3E" w:rsidP="00341E3E">
      <w:pPr>
        <w:spacing w:before="82" w:line="230" w:lineRule="exact"/>
        <w:textAlignment w:val="baseline"/>
        <w:rPr>
          <w:rFonts w:ascii="VIC" w:eastAsia="Arial" w:hAnsi="VIC"/>
          <w:color w:val="000000"/>
          <w:spacing w:val="-1"/>
          <w:sz w:val="20"/>
        </w:rPr>
      </w:pPr>
      <w:r w:rsidRPr="00F03354">
        <w:rPr>
          <w:rFonts w:ascii="VIC" w:eastAsia="Arial" w:hAnsi="VIC"/>
          <w:color w:val="000000"/>
          <w:spacing w:val="-1"/>
          <w:sz w:val="20"/>
        </w:rPr>
        <w:t>Casey – Monash Health</w:t>
      </w:r>
    </w:p>
    <w:p w14:paraId="29890EA5"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Clayton – Monash Health</w:t>
      </w:r>
    </w:p>
    <w:p w14:paraId="0A03A450" w14:textId="77777777" w:rsidR="00341E3E" w:rsidRPr="00F03354" w:rsidRDefault="00341E3E" w:rsidP="00341E3E">
      <w:pPr>
        <w:spacing w:before="78" w:line="230" w:lineRule="exact"/>
        <w:textAlignment w:val="baseline"/>
        <w:rPr>
          <w:rFonts w:ascii="VIC" w:eastAsia="Arial" w:hAnsi="VIC"/>
          <w:color w:val="000000"/>
          <w:spacing w:val="-1"/>
          <w:sz w:val="20"/>
        </w:rPr>
      </w:pPr>
      <w:r w:rsidRPr="00F03354">
        <w:rPr>
          <w:rFonts w:ascii="VIC" w:eastAsia="Arial" w:hAnsi="VIC"/>
          <w:color w:val="000000"/>
          <w:spacing w:val="-1"/>
          <w:sz w:val="20"/>
        </w:rPr>
        <w:t>Dandenong – Monash Health</w:t>
      </w:r>
    </w:p>
    <w:p w14:paraId="48C358C5" w14:textId="77777777" w:rsidR="00341E3E" w:rsidRPr="00F03354" w:rsidRDefault="00341E3E" w:rsidP="00341E3E">
      <w:pPr>
        <w:spacing w:before="82" w:line="230" w:lineRule="exact"/>
        <w:textAlignment w:val="baseline"/>
        <w:rPr>
          <w:rFonts w:ascii="VIC" w:eastAsia="Arial" w:hAnsi="VIC"/>
          <w:color w:val="000000"/>
          <w:spacing w:val="-1"/>
          <w:sz w:val="20"/>
        </w:rPr>
      </w:pPr>
      <w:r w:rsidRPr="00F03354">
        <w:rPr>
          <w:rFonts w:ascii="VIC" w:eastAsia="Arial" w:hAnsi="VIC"/>
          <w:color w:val="000000"/>
          <w:spacing w:val="-1"/>
          <w:sz w:val="20"/>
        </w:rPr>
        <w:t>Echuca Regional Health</w:t>
      </w:r>
    </w:p>
    <w:p w14:paraId="093150E4" w14:textId="77777777" w:rsidR="00341E3E" w:rsidRPr="00F03354" w:rsidRDefault="00341E3E" w:rsidP="00341E3E">
      <w:pPr>
        <w:spacing w:before="77" w:line="230" w:lineRule="exact"/>
        <w:textAlignment w:val="baseline"/>
        <w:rPr>
          <w:rFonts w:ascii="VIC" w:eastAsia="Arial" w:hAnsi="VIC"/>
          <w:color w:val="000000"/>
          <w:sz w:val="20"/>
        </w:rPr>
      </w:pPr>
      <w:r w:rsidRPr="00F03354">
        <w:rPr>
          <w:rFonts w:ascii="VIC" w:eastAsia="Arial" w:hAnsi="VIC"/>
          <w:color w:val="000000"/>
          <w:sz w:val="20"/>
        </w:rPr>
        <w:t>Frankston – Peninsula Health</w:t>
      </w:r>
    </w:p>
    <w:p w14:paraId="43F8EDB4"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Heidelberg Women’s – Mercy Health</w:t>
      </w:r>
    </w:p>
    <w:p w14:paraId="3FC3F90B" w14:textId="77777777" w:rsidR="00341E3E" w:rsidRPr="00F03354" w:rsidRDefault="00341E3E" w:rsidP="00341E3E">
      <w:pPr>
        <w:spacing w:before="77" w:line="230" w:lineRule="exact"/>
        <w:textAlignment w:val="baseline"/>
        <w:rPr>
          <w:rFonts w:ascii="VIC" w:eastAsia="Arial" w:hAnsi="VIC"/>
          <w:color w:val="000000"/>
          <w:spacing w:val="-1"/>
          <w:sz w:val="20"/>
        </w:rPr>
      </w:pPr>
      <w:r w:rsidRPr="00F03354">
        <w:rPr>
          <w:rFonts w:ascii="VIC" w:eastAsia="Arial" w:hAnsi="VIC"/>
          <w:color w:val="000000"/>
          <w:spacing w:val="-1"/>
          <w:sz w:val="20"/>
        </w:rPr>
        <w:t>Latrobe Regional Hospital</w:t>
      </w:r>
    </w:p>
    <w:p w14:paraId="5C35EEFD" w14:textId="77777777" w:rsidR="00341E3E" w:rsidRPr="00F03354" w:rsidRDefault="00341E3E" w:rsidP="00341E3E">
      <w:pPr>
        <w:spacing w:before="82" w:line="230" w:lineRule="exact"/>
        <w:textAlignment w:val="baseline"/>
        <w:rPr>
          <w:rFonts w:ascii="VIC" w:eastAsia="Arial" w:hAnsi="VIC"/>
          <w:color w:val="000000"/>
          <w:spacing w:val="-1"/>
          <w:sz w:val="20"/>
        </w:rPr>
      </w:pPr>
      <w:r w:rsidRPr="00F03354">
        <w:rPr>
          <w:rFonts w:ascii="VIC" w:eastAsia="Arial" w:hAnsi="VIC"/>
          <w:color w:val="000000"/>
          <w:spacing w:val="-1"/>
          <w:sz w:val="20"/>
        </w:rPr>
        <w:t>Mildura Base Hospital</w:t>
      </w:r>
    </w:p>
    <w:p w14:paraId="1C1E5181"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The Northern – Northern Health</w:t>
      </w:r>
    </w:p>
    <w:p w14:paraId="5229836D" w14:textId="77777777" w:rsidR="00341E3E" w:rsidRPr="00F03354" w:rsidRDefault="00341E3E" w:rsidP="00341E3E">
      <w:pPr>
        <w:spacing w:before="77" w:line="230" w:lineRule="exact"/>
        <w:textAlignment w:val="baseline"/>
        <w:rPr>
          <w:rFonts w:ascii="VIC" w:eastAsia="Arial" w:hAnsi="VIC"/>
          <w:color w:val="000000"/>
          <w:sz w:val="20"/>
        </w:rPr>
      </w:pPr>
      <w:r w:rsidRPr="00F03354">
        <w:rPr>
          <w:rFonts w:ascii="VIC" w:eastAsia="Arial" w:hAnsi="VIC"/>
          <w:color w:val="000000"/>
          <w:sz w:val="20"/>
        </w:rPr>
        <w:t>Royal Women’s Hospital (Carlton)</w:t>
      </w:r>
    </w:p>
    <w:p w14:paraId="1DA3C3F7"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Sale – Central Gippsland Health</w:t>
      </w:r>
    </w:p>
    <w:p w14:paraId="2EA1ACA1" w14:textId="77777777" w:rsidR="00341E3E" w:rsidRPr="00F03354" w:rsidRDefault="00341E3E" w:rsidP="00341E3E">
      <w:pPr>
        <w:spacing w:before="77" w:line="230" w:lineRule="exact"/>
        <w:textAlignment w:val="baseline"/>
        <w:rPr>
          <w:rFonts w:ascii="VIC" w:eastAsia="Arial" w:hAnsi="VIC"/>
          <w:color w:val="000000"/>
          <w:sz w:val="20"/>
        </w:rPr>
      </w:pPr>
      <w:r w:rsidRPr="00F03354">
        <w:rPr>
          <w:rFonts w:ascii="VIC" w:eastAsia="Arial" w:hAnsi="VIC"/>
          <w:color w:val="000000"/>
          <w:sz w:val="20"/>
        </w:rPr>
        <w:t>Sandringham – Royal Women’ Hospital</w:t>
      </w:r>
    </w:p>
    <w:p w14:paraId="0B68646C"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Shepparton – Goulburn Valley Health</w:t>
      </w:r>
    </w:p>
    <w:p w14:paraId="3EE14519"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Sunshine – Western Health</w:t>
      </w:r>
    </w:p>
    <w:p w14:paraId="63249CF5" w14:textId="77777777" w:rsidR="00341E3E" w:rsidRPr="00F03354" w:rsidRDefault="00341E3E" w:rsidP="00341E3E">
      <w:pPr>
        <w:spacing w:before="78" w:line="230" w:lineRule="exact"/>
        <w:textAlignment w:val="baseline"/>
        <w:rPr>
          <w:rFonts w:ascii="VIC" w:eastAsia="Arial" w:hAnsi="VIC"/>
          <w:color w:val="000000"/>
          <w:sz w:val="20"/>
        </w:rPr>
      </w:pPr>
      <w:r w:rsidRPr="00F03354">
        <w:rPr>
          <w:rFonts w:ascii="VIC" w:eastAsia="Arial" w:hAnsi="VIC"/>
          <w:color w:val="000000"/>
          <w:sz w:val="20"/>
        </w:rPr>
        <w:t>Wangaratta – Northeast Health</w:t>
      </w:r>
    </w:p>
    <w:p w14:paraId="0EA64AC8"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Warragul – West Gippsland Health</w:t>
      </w:r>
    </w:p>
    <w:p w14:paraId="1C8FA417" w14:textId="77777777" w:rsidR="00341E3E" w:rsidRPr="00F03354" w:rsidRDefault="00341E3E" w:rsidP="00341E3E">
      <w:pPr>
        <w:spacing w:before="77" w:line="230" w:lineRule="exact"/>
        <w:textAlignment w:val="baseline"/>
        <w:rPr>
          <w:rFonts w:ascii="VIC" w:eastAsia="Arial" w:hAnsi="VIC"/>
          <w:color w:val="000000"/>
          <w:sz w:val="20"/>
        </w:rPr>
      </w:pPr>
      <w:r w:rsidRPr="00F03354">
        <w:rPr>
          <w:rFonts w:ascii="VIC" w:eastAsia="Arial" w:hAnsi="VIC"/>
          <w:color w:val="000000"/>
          <w:sz w:val="20"/>
        </w:rPr>
        <w:t>Warrnambool – South West Health</w:t>
      </w:r>
    </w:p>
    <w:p w14:paraId="4D96BA21" w14:textId="77777777" w:rsidR="00341E3E" w:rsidRPr="00F03354" w:rsidRDefault="00341E3E" w:rsidP="00341E3E">
      <w:pPr>
        <w:spacing w:before="82" w:line="230" w:lineRule="exact"/>
        <w:textAlignment w:val="baseline"/>
        <w:rPr>
          <w:rFonts w:ascii="VIC" w:eastAsia="Arial" w:hAnsi="VIC"/>
          <w:color w:val="000000"/>
          <w:sz w:val="20"/>
        </w:rPr>
      </w:pPr>
      <w:r w:rsidRPr="00F03354">
        <w:rPr>
          <w:rFonts w:ascii="VIC" w:eastAsia="Arial" w:hAnsi="VIC"/>
          <w:color w:val="000000"/>
          <w:sz w:val="20"/>
        </w:rPr>
        <w:t>Werribee – Mercy Health</w:t>
      </w:r>
    </w:p>
    <w:p w14:paraId="2A6F7189" w14:textId="77777777" w:rsidR="00341E3E" w:rsidRPr="00F03354" w:rsidRDefault="00341E3E" w:rsidP="00341E3E">
      <w:pPr>
        <w:spacing w:before="77" w:line="230" w:lineRule="exact"/>
        <w:textAlignment w:val="baseline"/>
        <w:rPr>
          <w:rFonts w:ascii="VIC" w:eastAsia="Arial" w:hAnsi="VIC"/>
          <w:color w:val="000000"/>
          <w:sz w:val="20"/>
        </w:rPr>
      </w:pPr>
      <w:r w:rsidRPr="00F03354">
        <w:rPr>
          <w:rFonts w:ascii="VIC" w:eastAsia="Arial" w:hAnsi="VIC"/>
          <w:color w:val="000000"/>
          <w:sz w:val="20"/>
        </w:rPr>
        <w:t>Wodonga – Albury/Wodonga Health</w:t>
      </w:r>
    </w:p>
    <w:p w14:paraId="10635DAE" w14:textId="77777777" w:rsidR="00341E3E" w:rsidRPr="00F03354" w:rsidRDefault="00341E3E" w:rsidP="00341E3E">
      <w:pPr>
        <w:spacing w:before="82" w:after="4750" w:line="230" w:lineRule="exact"/>
        <w:textAlignment w:val="baseline"/>
        <w:rPr>
          <w:rFonts w:ascii="VIC" w:eastAsia="Arial" w:hAnsi="VIC"/>
          <w:color w:val="000000"/>
          <w:sz w:val="20"/>
        </w:rPr>
      </w:pPr>
      <w:r w:rsidRPr="00F03354">
        <w:rPr>
          <w:rFonts w:ascii="VIC" w:eastAsia="Arial" w:hAnsi="VIC"/>
          <w:color w:val="000000"/>
          <w:sz w:val="20"/>
        </w:rPr>
        <w:t xml:space="preserve">University Hospital Geelong – Barwon </w:t>
      </w:r>
    </w:p>
    <w:p w14:paraId="4F0D8592" w14:textId="77777777" w:rsidR="00341E3E" w:rsidRPr="00F03354" w:rsidRDefault="00341E3E" w:rsidP="00341E3E">
      <w:pPr>
        <w:spacing w:before="18" w:after="384" w:line="504" w:lineRule="exact"/>
        <w:ind w:right="72"/>
        <w:textAlignment w:val="baseline"/>
        <w:rPr>
          <w:rFonts w:ascii="VIC" w:eastAsia="Arial" w:hAnsi="VIC"/>
          <w:color w:val="004EA8"/>
          <w:sz w:val="36"/>
          <w:szCs w:val="18"/>
        </w:rPr>
      </w:pPr>
      <w:r w:rsidRPr="00F03354">
        <w:rPr>
          <w:rFonts w:ascii="VIC" w:eastAsia="Arial" w:hAnsi="VIC"/>
          <w:color w:val="004EA8"/>
          <w:sz w:val="36"/>
          <w:szCs w:val="18"/>
        </w:rPr>
        <w:lastRenderedPageBreak/>
        <w:t>Attachment E: List of health services/campuses required to report Colorectal surgical site infections</w:t>
      </w:r>
    </w:p>
    <w:p w14:paraId="54CA1611"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The Alfred – Alfred Health</w:t>
      </w:r>
    </w:p>
    <w:p w14:paraId="67BD76D2"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Austin Hospital – Austin Health</w:t>
      </w:r>
    </w:p>
    <w:p w14:paraId="6A843EA9"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Ballarat Health</w:t>
      </w:r>
    </w:p>
    <w:p w14:paraId="6E64DA92"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Bendigo Health Care Group</w:t>
      </w:r>
    </w:p>
    <w:p w14:paraId="2E21F293"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Box Hill – Eastern Health</w:t>
      </w:r>
    </w:p>
    <w:p w14:paraId="6763BBA7"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Clayton – Monash Health</w:t>
      </w:r>
    </w:p>
    <w:p w14:paraId="7822F618"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Dandenong – Monash Health</w:t>
      </w:r>
    </w:p>
    <w:p w14:paraId="7047DD4B"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Footscray – Western Health</w:t>
      </w:r>
    </w:p>
    <w:p w14:paraId="100179B7"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Frankston – Peninsula Health</w:t>
      </w:r>
    </w:p>
    <w:p w14:paraId="23A71183"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Latrobe Regional Hospital</w:t>
      </w:r>
    </w:p>
    <w:p w14:paraId="5B5792A0"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Mildura Base Hospital</w:t>
      </w:r>
    </w:p>
    <w:p w14:paraId="49A0DB44"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Wangaratta – Northeast Health</w:t>
      </w:r>
    </w:p>
    <w:p w14:paraId="3B08A30F"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The Northern – Northern Health</w:t>
      </w:r>
    </w:p>
    <w:p w14:paraId="55644ABE"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Peter MacCallum Cancer Institute</w:t>
      </w:r>
    </w:p>
    <w:p w14:paraId="03944221"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Royal Children’s Hospital [Parkville]</w:t>
      </w:r>
    </w:p>
    <w:p w14:paraId="69B99D10"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Royal Melbourne Hospital</w:t>
      </w:r>
    </w:p>
    <w:p w14:paraId="10CB6E0B"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Shepparton – Goulburn Valley Health</w:t>
      </w:r>
    </w:p>
    <w:p w14:paraId="67495FCE"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Warrnambool – South West Health</w:t>
      </w:r>
    </w:p>
    <w:p w14:paraId="04ED4A71"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St Vincent’s Hospital</w:t>
      </w:r>
    </w:p>
    <w:p w14:paraId="1E4D740B" w14:textId="77777777" w:rsidR="00341E3E" w:rsidRPr="00F03354" w:rsidRDefault="00341E3E" w:rsidP="00341E3E">
      <w:pPr>
        <w:spacing w:before="77" w:line="230" w:lineRule="exact"/>
        <w:textAlignment w:val="baseline"/>
        <w:rPr>
          <w:rFonts w:ascii="VIC" w:eastAsia="Arial" w:hAnsi="VIC"/>
          <w:color w:val="000000"/>
          <w:spacing w:val="-6"/>
          <w:sz w:val="20"/>
        </w:rPr>
      </w:pPr>
      <w:r w:rsidRPr="00F03354">
        <w:rPr>
          <w:rFonts w:ascii="VIC" w:eastAsia="Arial" w:hAnsi="VIC"/>
          <w:color w:val="000000"/>
          <w:spacing w:val="-6"/>
          <w:sz w:val="20"/>
        </w:rPr>
        <w:t>University Hospital Geelong – Barwon Health</w:t>
      </w:r>
    </w:p>
    <w:p w14:paraId="1C699D2B" w14:textId="012057C7" w:rsidR="00341E3E" w:rsidRPr="00341E3E" w:rsidRDefault="5B6DD72D" w:rsidP="6BF3BDE6">
      <w:pPr>
        <w:spacing w:before="77" w:line="230" w:lineRule="exact"/>
        <w:textAlignment w:val="baseline"/>
        <w:rPr>
          <w:rFonts w:ascii="VIC" w:eastAsia="Arial" w:hAnsi="VIC"/>
          <w:color w:val="000000"/>
          <w:spacing w:val="-6"/>
          <w:sz w:val="20"/>
          <w:szCs w:val="20"/>
        </w:rPr>
      </w:pPr>
      <w:r w:rsidRPr="00F03354">
        <w:rPr>
          <w:rFonts w:ascii="VIC" w:eastAsia="Arial" w:hAnsi="VIC"/>
          <w:color w:val="000000"/>
          <w:spacing w:val="-6"/>
          <w:sz w:val="20"/>
          <w:szCs w:val="20"/>
        </w:rPr>
        <w:t>Werribee Hospital – Mercy Health</w:t>
      </w:r>
    </w:p>
    <w:p w14:paraId="4F21A557" w14:textId="43EF4045" w:rsidR="6BF3BDE6" w:rsidRDefault="6BF3BDE6" w:rsidP="6BF3BDE6">
      <w:pPr>
        <w:spacing w:before="77" w:line="230" w:lineRule="exact"/>
        <w:rPr>
          <w:rFonts w:ascii="VIC" w:eastAsia="Arial" w:hAnsi="VIC"/>
          <w:color w:val="000000" w:themeColor="text1"/>
          <w:sz w:val="20"/>
          <w:szCs w:val="20"/>
        </w:rPr>
      </w:pPr>
    </w:p>
    <w:p w14:paraId="29841358" w14:textId="14F2C24D" w:rsidR="6BF3BDE6" w:rsidRDefault="6BF3BDE6" w:rsidP="387D0BC8">
      <w:pPr>
        <w:spacing w:before="77" w:line="230" w:lineRule="exact"/>
        <w:rPr>
          <w:rFonts w:ascii="VIC" w:eastAsia="Arial" w:hAnsi="VIC"/>
          <w:color w:val="000000" w:themeColor="text1"/>
          <w:sz w:val="20"/>
          <w:szCs w:val="20"/>
        </w:rPr>
      </w:pPr>
    </w:p>
    <w:p w14:paraId="067DD3C6" w14:textId="7C0DBAC5" w:rsidR="6BF3BDE6" w:rsidRDefault="6BF3BDE6" w:rsidP="387D0BC8">
      <w:pPr>
        <w:spacing w:before="77" w:line="230" w:lineRule="exact"/>
        <w:rPr>
          <w:rFonts w:ascii="VIC" w:eastAsia="Arial" w:hAnsi="VIC"/>
          <w:color w:val="000000" w:themeColor="text1"/>
          <w:sz w:val="20"/>
          <w:szCs w:val="20"/>
        </w:rPr>
      </w:pPr>
    </w:p>
    <w:p w14:paraId="3E9F1980" w14:textId="3DB25A34" w:rsidR="00280F65" w:rsidRPr="00341E3E" w:rsidRDefault="00280F65" w:rsidP="43E0E1C9">
      <w:pPr>
        <w:spacing w:before="77" w:line="230" w:lineRule="exact"/>
        <w:rPr>
          <w:rFonts w:ascii="VIC" w:eastAsia="Arial" w:hAnsi="VIC"/>
          <w:color w:val="000000" w:themeColor="text1"/>
          <w:sz w:val="20"/>
          <w:szCs w:val="20"/>
        </w:rPr>
      </w:pPr>
    </w:p>
    <w:sectPr w:rsidR="00280F65" w:rsidRPr="00341E3E" w:rsidSect="004572E9">
      <w:headerReference w:type="even" r:id="rId22"/>
      <w:headerReference w:type="default" r:id="rId23"/>
      <w:footerReference w:type="even" r:id="rId24"/>
      <w:footerReference w:type="default" r:id="rId25"/>
      <w:headerReference w:type="first" r:id="rId26"/>
      <w:footerReference w:type="first" r:id="rId27"/>
      <w:pgSz w:w="11906" w:h="16838"/>
      <w:pgMar w:top="1134" w:right="1700" w:bottom="1134" w:left="907" w:header="709" w:footer="7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2815" w14:textId="77777777" w:rsidR="00077E19" w:rsidRDefault="00077E19" w:rsidP="004C79B6">
      <w:pPr>
        <w:spacing w:after="0" w:line="240" w:lineRule="auto"/>
      </w:pPr>
      <w:r>
        <w:separator/>
      </w:r>
    </w:p>
  </w:endnote>
  <w:endnote w:type="continuationSeparator" w:id="0">
    <w:p w14:paraId="5D993DE2" w14:textId="77777777" w:rsidR="00077E19" w:rsidRDefault="00077E19" w:rsidP="004C79B6">
      <w:pPr>
        <w:spacing w:after="0" w:line="240" w:lineRule="auto"/>
      </w:pPr>
      <w:r>
        <w:continuationSeparator/>
      </w:r>
    </w:p>
  </w:endnote>
  <w:endnote w:type="continuationNotice" w:id="1">
    <w:p w14:paraId="0D1A8A50" w14:textId="77777777" w:rsidR="00077E19" w:rsidRDefault="00077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C9D0" w14:textId="1B593B3C" w:rsidR="00477BA5" w:rsidRPr="001D56FF" w:rsidRDefault="00477BA5">
    <w:pPr>
      <w:pStyle w:val="Footer"/>
      <w:rPr>
        <w:rFonts w:ascii="VIC" w:hAnsi="VIC"/>
        <w:color w:val="004EA8"/>
        <w:sz w:val="18"/>
        <w:szCs w:val="18"/>
      </w:rPr>
    </w:pPr>
    <w:r>
      <w:rPr>
        <w:rFonts w:ascii="VIC SemiBold" w:hAnsi="VIC SemiBold"/>
        <w:noProof/>
        <w:color w:val="004EA8"/>
        <w:sz w:val="18"/>
        <w:szCs w:val="18"/>
      </w:rPr>
      <mc:AlternateContent>
        <mc:Choice Requires="wps">
          <w:drawing>
            <wp:anchor distT="0" distB="0" distL="114300" distR="114300" simplePos="0" relativeHeight="251672576" behindDoc="0" locked="0" layoutInCell="0" allowOverlap="1" wp14:anchorId="4942340E" wp14:editId="47AAC33F">
              <wp:simplePos x="0" y="0"/>
              <wp:positionH relativeFrom="page">
                <wp:posOffset>0</wp:posOffset>
              </wp:positionH>
              <wp:positionV relativeFrom="page">
                <wp:posOffset>10189210</wp:posOffset>
              </wp:positionV>
              <wp:extent cx="7560310" cy="311785"/>
              <wp:effectExtent l="0" t="0" r="0" b="12065"/>
              <wp:wrapNone/>
              <wp:docPr id="15" name="MSIPCM5b004db098264a50ff6602b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134280" w14:textId="4DE8C32B"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42340E" id="_x0000_t202" coordsize="21600,21600" o:spt="202" path="m,l,21600r21600,l21600,xe">
              <v:stroke joinstyle="miter"/>
              <v:path gradientshapeok="t" o:connecttype="rect"/>
            </v:shapetype>
            <v:shape id="MSIPCM5b004db098264a50ff6602b2" o:spid="_x0000_s1027" type="#_x0000_t202" alt="{&quot;HashCode&quot;:904758361,&quot;Height&quot;:841.0,&quot;Width&quot;:595.0,&quot;Placement&quot;:&quot;Footer&quot;,&quot;Index&quot;:&quot;OddAndEven&quot;,&quot;Section&quot;:1,&quot;Top&quot;:0.0,&quot;Left&quot;:0.0}" style="position:absolute;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6134280" w14:textId="4DE8C32B"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v:textbox>
              <w10:wrap anchorx="page" anchory="page"/>
            </v:shape>
          </w:pict>
        </mc:Fallback>
      </mc:AlternateContent>
    </w:r>
    <w:r w:rsidRPr="001D56FF">
      <w:rPr>
        <w:rFonts w:ascii="VIC SemiBold" w:hAnsi="VIC SemiBold"/>
        <w:color w:val="004EA8"/>
        <w:sz w:val="18"/>
        <w:szCs w:val="18"/>
      </w:rPr>
      <w:fldChar w:fldCharType="begin"/>
    </w:r>
    <w:r w:rsidRPr="001D56FF">
      <w:rPr>
        <w:rFonts w:ascii="VIC SemiBold" w:hAnsi="VIC SemiBold"/>
        <w:color w:val="004EA8"/>
        <w:sz w:val="18"/>
        <w:szCs w:val="18"/>
      </w:rPr>
      <w:instrText xml:space="preserve"> PAGE   \* MERGEFORMAT </w:instrText>
    </w:r>
    <w:r w:rsidRPr="001D56FF">
      <w:rPr>
        <w:rFonts w:ascii="VIC SemiBold" w:hAnsi="VIC SemiBold"/>
        <w:color w:val="004EA8"/>
        <w:sz w:val="18"/>
        <w:szCs w:val="18"/>
      </w:rPr>
      <w:fldChar w:fldCharType="separate"/>
    </w:r>
    <w:r w:rsidRPr="001D56FF">
      <w:rPr>
        <w:rFonts w:ascii="VIC SemiBold" w:hAnsi="VIC SemiBold"/>
        <w:noProof/>
        <w:color w:val="004EA8"/>
        <w:sz w:val="18"/>
        <w:szCs w:val="18"/>
      </w:rPr>
      <w:t>1</w:t>
    </w:r>
    <w:r w:rsidRPr="001D56FF">
      <w:rPr>
        <w:rFonts w:ascii="VIC SemiBold" w:hAnsi="VIC SemiBold"/>
        <w:noProof/>
        <w:color w:val="004EA8"/>
        <w:sz w:val="18"/>
        <w:szCs w:val="18"/>
      </w:rPr>
      <w:fldChar w:fldCharType="end"/>
    </w:r>
    <w:r w:rsidRPr="001D56FF">
      <w:rPr>
        <w:rFonts w:ascii="VIC SemiBold" w:hAnsi="VIC SemiBold"/>
        <w:noProof/>
        <w:color w:val="004EA8"/>
        <w:sz w:val="18"/>
        <w:szCs w:val="18"/>
      </w:rPr>
      <w:t xml:space="preserve">   </w:t>
    </w:r>
    <w:r w:rsidRPr="001D56FF">
      <w:rPr>
        <w:rFonts w:ascii="VIC" w:hAnsi="VIC"/>
        <w:noProof/>
        <w:sz w:val="18"/>
        <w:szCs w:val="18"/>
      </w:rPr>
      <w:t>Victorian Agency for Health Information |</w:t>
    </w:r>
    <w:r>
      <w:rPr>
        <w:rFonts w:ascii="VIC" w:hAnsi="VIC"/>
        <w:noProof/>
        <w:sz w:val="18"/>
        <w:szCs w:val="18"/>
      </w:rPr>
      <w:t xml:space="preserve"> Department of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6704" w14:textId="4C23748C" w:rsidR="00477BA5" w:rsidRPr="001D56FF" w:rsidRDefault="00477BA5" w:rsidP="00C754E1">
    <w:pPr>
      <w:pStyle w:val="Footer"/>
      <w:tabs>
        <w:tab w:val="clear" w:pos="4513"/>
        <w:tab w:val="clear" w:pos="9026"/>
        <w:tab w:val="right" w:pos="9498"/>
      </w:tabs>
      <w:rPr>
        <w:rFonts w:ascii="VIC" w:hAnsi="VIC"/>
        <w:sz w:val="18"/>
        <w:szCs w:val="18"/>
      </w:rPr>
    </w:pPr>
    <w:r>
      <w:rPr>
        <w:rFonts w:ascii="VIC SemiBold" w:hAnsi="VIC SemiBold"/>
        <w:noProof/>
        <w:color w:val="004EA8"/>
        <w:sz w:val="18"/>
        <w:szCs w:val="18"/>
      </w:rPr>
      <mc:AlternateContent>
        <mc:Choice Requires="wps">
          <w:drawing>
            <wp:anchor distT="0" distB="0" distL="114300" distR="114300" simplePos="0" relativeHeight="251660288" behindDoc="0" locked="0" layoutInCell="0" allowOverlap="1" wp14:anchorId="665B2AFE" wp14:editId="4638B7FD">
              <wp:simplePos x="0" y="0"/>
              <wp:positionH relativeFrom="page">
                <wp:posOffset>0</wp:posOffset>
              </wp:positionH>
              <wp:positionV relativeFrom="page">
                <wp:posOffset>10189210</wp:posOffset>
              </wp:positionV>
              <wp:extent cx="7560310" cy="311785"/>
              <wp:effectExtent l="0" t="0" r="0" b="12065"/>
              <wp:wrapNone/>
              <wp:docPr id="1" name="MSIPCM32544db2ae4b0c42b545aaf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7F4D5" w14:textId="2B3EE8F3"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5B2AFE" id="_x0000_t202" coordsize="21600,21600" o:spt="202" path="m,l,21600r21600,l21600,xe">
              <v:stroke joinstyle="miter"/>
              <v:path gradientshapeok="t" o:connecttype="rect"/>
            </v:shapetype>
            <v:shape id="MSIPCM32544db2ae4b0c42b545aaf3"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127F4D5" w14:textId="2B3EE8F3"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v:textbox>
              <w10:wrap anchorx="page" anchory="page"/>
            </v:shape>
          </w:pict>
        </mc:Fallback>
      </mc:AlternateContent>
    </w:r>
    <w:r w:rsidRPr="001D56FF">
      <w:rPr>
        <w:rFonts w:ascii="VIC SemiBold" w:hAnsi="VIC SemiBold"/>
        <w:color w:val="004EA8"/>
        <w:sz w:val="18"/>
        <w:szCs w:val="18"/>
      </w:rPr>
      <w:tab/>
    </w:r>
    <w:r>
      <w:rPr>
        <w:rFonts w:ascii="VIC" w:hAnsi="VIC"/>
        <w:noProof/>
        <w:sz w:val="18"/>
        <w:szCs w:val="18"/>
      </w:rPr>
      <w:t>202</w:t>
    </w:r>
    <w:r w:rsidR="00BA6FD4">
      <w:rPr>
        <w:rFonts w:ascii="VIC" w:hAnsi="VIC"/>
        <w:noProof/>
        <w:sz w:val="18"/>
        <w:szCs w:val="18"/>
      </w:rPr>
      <w:t>2</w:t>
    </w:r>
    <w:r>
      <w:rPr>
        <w:rFonts w:ascii="VIC" w:hAnsi="VIC"/>
        <w:noProof/>
        <w:sz w:val="18"/>
        <w:szCs w:val="18"/>
      </w:rPr>
      <w:t>-2</w:t>
    </w:r>
    <w:r w:rsidR="00BA6FD4">
      <w:rPr>
        <w:rFonts w:ascii="VIC" w:hAnsi="VIC"/>
        <w:noProof/>
        <w:sz w:val="18"/>
        <w:szCs w:val="18"/>
      </w:rPr>
      <w:t>3</w:t>
    </w:r>
    <w:r>
      <w:rPr>
        <w:rFonts w:ascii="VIC" w:hAnsi="VIC"/>
        <w:noProof/>
        <w:sz w:val="18"/>
        <w:szCs w:val="18"/>
      </w:rPr>
      <w:t xml:space="preserve"> PMF Business Rules</w:t>
    </w:r>
    <w:r w:rsidRPr="001D56FF">
      <w:rPr>
        <w:rFonts w:ascii="VIC" w:hAnsi="VIC"/>
        <w:noProof/>
        <w:sz w:val="18"/>
        <w:szCs w:val="18"/>
      </w:rPr>
      <w:t xml:space="preserve">   </w:t>
    </w:r>
    <w:r w:rsidRPr="001D56FF">
      <w:rPr>
        <w:rFonts w:ascii="VIC SemiBold" w:hAnsi="VIC SemiBold"/>
        <w:color w:val="004EA8"/>
        <w:sz w:val="18"/>
        <w:szCs w:val="18"/>
      </w:rPr>
      <w:fldChar w:fldCharType="begin"/>
    </w:r>
    <w:r w:rsidRPr="001D56FF">
      <w:rPr>
        <w:rFonts w:ascii="VIC SemiBold" w:hAnsi="VIC SemiBold"/>
        <w:color w:val="004EA8"/>
        <w:sz w:val="18"/>
        <w:szCs w:val="18"/>
      </w:rPr>
      <w:instrText xml:space="preserve"> PAGE   \* MERGEFORMAT </w:instrText>
    </w:r>
    <w:r w:rsidRPr="001D56FF">
      <w:rPr>
        <w:rFonts w:ascii="VIC SemiBold" w:hAnsi="VIC SemiBold"/>
        <w:color w:val="004EA8"/>
        <w:sz w:val="18"/>
        <w:szCs w:val="18"/>
      </w:rPr>
      <w:fldChar w:fldCharType="separate"/>
    </w:r>
    <w:r w:rsidRPr="001D56FF">
      <w:rPr>
        <w:rFonts w:ascii="VIC SemiBold" w:hAnsi="VIC SemiBold"/>
        <w:color w:val="004EA8"/>
        <w:sz w:val="18"/>
        <w:szCs w:val="18"/>
      </w:rPr>
      <w:t>3</w:t>
    </w:r>
    <w:r w:rsidRPr="001D56FF">
      <w:rPr>
        <w:rFonts w:ascii="VIC SemiBold" w:hAnsi="VIC SemiBold"/>
        <w:noProof/>
        <w:color w:val="004EA8"/>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5DAF" w14:textId="11686F54" w:rsidR="00477BA5" w:rsidRDefault="00477BA5">
    <w:pPr>
      <w:pStyle w:val="Footer"/>
    </w:pPr>
    <w:r>
      <w:rPr>
        <w:noProof/>
      </w:rPr>
      <mc:AlternateContent>
        <mc:Choice Requires="wps">
          <w:drawing>
            <wp:anchor distT="0" distB="0" distL="114300" distR="114300" simplePos="0" relativeHeight="251666432" behindDoc="0" locked="0" layoutInCell="0" allowOverlap="1" wp14:anchorId="6E83A7B4" wp14:editId="09A0D589">
              <wp:simplePos x="0" y="0"/>
              <wp:positionH relativeFrom="page">
                <wp:posOffset>0</wp:posOffset>
              </wp:positionH>
              <wp:positionV relativeFrom="page">
                <wp:posOffset>10189210</wp:posOffset>
              </wp:positionV>
              <wp:extent cx="7560310" cy="311785"/>
              <wp:effectExtent l="0" t="0" r="0" b="12065"/>
              <wp:wrapNone/>
              <wp:docPr id="4" name="MSIPCMcffc4195a07ca56c3f8d783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3696D" w14:textId="347E4A15"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83A7B4" id="_x0000_t202" coordsize="21600,21600" o:spt="202" path="m,l,21600r21600,l21600,xe">
              <v:stroke joinstyle="miter"/>
              <v:path gradientshapeok="t" o:connecttype="rect"/>
            </v:shapetype>
            <v:shape id="MSIPCMcffc4195a07ca56c3f8d7839"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663696D" w14:textId="347E4A15" w:rsidR="00477BA5" w:rsidRPr="005D5D4D" w:rsidRDefault="00477BA5" w:rsidP="005D5D4D">
                    <w:pPr>
                      <w:spacing w:after="0"/>
                      <w:jc w:val="center"/>
                      <w:rPr>
                        <w:rFonts w:ascii="Arial Black" w:hAnsi="Arial Black"/>
                        <w:color w:val="000000"/>
                        <w:sz w:val="20"/>
                      </w:rPr>
                    </w:pPr>
                    <w:r w:rsidRPr="005D5D4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3F07" w14:textId="77777777" w:rsidR="00077E19" w:rsidRDefault="00077E19" w:rsidP="004C79B6">
      <w:pPr>
        <w:spacing w:after="0" w:line="240" w:lineRule="auto"/>
      </w:pPr>
      <w:r>
        <w:separator/>
      </w:r>
    </w:p>
  </w:footnote>
  <w:footnote w:type="continuationSeparator" w:id="0">
    <w:p w14:paraId="596B157B" w14:textId="77777777" w:rsidR="00077E19" w:rsidRDefault="00077E19" w:rsidP="004C79B6">
      <w:pPr>
        <w:spacing w:after="0" w:line="240" w:lineRule="auto"/>
      </w:pPr>
      <w:r>
        <w:continuationSeparator/>
      </w:r>
    </w:p>
  </w:footnote>
  <w:footnote w:type="continuationNotice" w:id="1">
    <w:p w14:paraId="0A5D98DD" w14:textId="77777777" w:rsidR="00077E19" w:rsidRDefault="00077E19">
      <w:pPr>
        <w:spacing w:after="0" w:line="240" w:lineRule="auto"/>
      </w:pPr>
    </w:p>
  </w:footnote>
  <w:footnote w:id="2">
    <w:p w14:paraId="26931671" w14:textId="28402066" w:rsidR="00CA7F5F" w:rsidRDefault="00CA7F5F">
      <w:pPr>
        <w:pStyle w:val="FootnoteText"/>
      </w:pPr>
      <w:r>
        <w:rPr>
          <w:rStyle w:val="FootnoteReference"/>
        </w:rPr>
        <w:footnoteRef/>
      </w:r>
      <w:r w:rsidR="001F1E14" w:rsidRPr="00CA7F5F">
        <w:t>Further work will be undertaken on leave event measures terminology that better captures patient experience and Aboriginal community’s holistic understanding of health and wellbeing.</w:t>
      </w:r>
    </w:p>
  </w:footnote>
  <w:footnote w:id="3">
    <w:p w14:paraId="17564009" w14:textId="77777777" w:rsidR="00477BA5" w:rsidRDefault="00477BA5" w:rsidP="00280F65">
      <w:pPr>
        <w:pStyle w:val="FootnoteText"/>
      </w:pPr>
      <w:r>
        <w:rPr>
          <w:rStyle w:val="FootnoteReference"/>
        </w:rPr>
        <w:footnoteRef/>
      </w:r>
      <w:r>
        <w:t xml:space="preserve"> </w:t>
      </w:r>
      <w:r w:rsidRPr="00DA7E21">
        <w:t>Also captured in Forensicare SOP/Monitor</w:t>
      </w:r>
    </w:p>
  </w:footnote>
  <w:footnote w:id="4">
    <w:p w14:paraId="62E368B1" w14:textId="77777777" w:rsidR="00477BA5" w:rsidRDefault="00477BA5" w:rsidP="00280F65">
      <w:pPr>
        <w:pStyle w:val="FootnoteText"/>
      </w:pPr>
      <w:r>
        <w:rPr>
          <w:rStyle w:val="FootnoteReference"/>
        </w:rPr>
        <w:footnoteRef/>
      </w:r>
      <w:r>
        <w:t xml:space="preserve"> Also captured in Ambulance Victoria’s SOP/Monitor</w:t>
      </w:r>
    </w:p>
  </w:footnote>
  <w:footnote w:id="5">
    <w:p w14:paraId="2E1D5C82" w14:textId="77777777" w:rsidR="00B61E4A" w:rsidRDefault="00B61E4A">
      <w:pPr>
        <w:pStyle w:val="FootnoteText"/>
      </w:pPr>
      <w:r>
        <w:rPr>
          <w:rStyle w:val="FootnoteReference"/>
        </w:rPr>
        <w:footnoteRef/>
      </w:r>
      <w:r w:rsidRPr="00CA7F5F">
        <w:t>Further work will be undertaken on leave event measures terminology that better captures patient experience and Aboriginal community’s holistic understanding of health and wellbeing.</w:t>
      </w:r>
    </w:p>
  </w:footnote>
  <w:footnote w:id="6">
    <w:p w14:paraId="49343CD2" w14:textId="77777777" w:rsidR="00477BA5" w:rsidRDefault="00477BA5" w:rsidP="00280F65">
      <w:pPr>
        <w:pStyle w:val="FootnoteText"/>
      </w:pPr>
      <w:r>
        <w:rPr>
          <w:rStyle w:val="FootnoteReference"/>
        </w:rPr>
        <w:footnoteRef/>
      </w:r>
      <w:r>
        <w:t xml:space="preserve"> Also captured in Forensicare SOP/Monitor  </w:t>
      </w:r>
    </w:p>
  </w:footnote>
  <w:footnote w:id="7">
    <w:p w14:paraId="740E1B0E" w14:textId="77777777" w:rsidR="00477BA5" w:rsidRDefault="00477BA5" w:rsidP="00280F65">
      <w:pPr>
        <w:pStyle w:val="FootnoteText"/>
      </w:pPr>
      <w:r>
        <w:rPr>
          <w:rStyle w:val="FootnoteReference"/>
        </w:rPr>
        <w:footnoteRef/>
      </w:r>
      <w:r>
        <w:t xml:space="preserve"> Also captured in Ambulance Victoria’s SOP/Monitor  </w:t>
      </w:r>
    </w:p>
  </w:footnote>
  <w:footnote w:id="8">
    <w:p w14:paraId="5C30CEF6" w14:textId="77777777" w:rsidR="00477BA5" w:rsidRDefault="00477BA5" w:rsidP="00280F65">
      <w:pPr>
        <w:pStyle w:val="FootnoteText"/>
      </w:pPr>
      <w:r>
        <w:rPr>
          <w:rStyle w:val="FootnoteReference"/>
        </w:rPr>
        <w:footnoteRef/>
      </w:r>
      <w:r>
        <w:t xml:space="preserve"> Also captured in Ambulance Victoria’s SOP/Monitor  </w:t>
      </w:r>
    </w:p>
  </w:footnote>
  <w:footnote w:id="9">
    <w:p w14:paraId="2B517E72" w14:textId="77777777" w:rsidR="00953644" w:rsidRDefault="00953644" w:rsidP="00953644">
      <w:pPr>
        <w:pStyle w:val="FootnoteText"/>
      </w:pPr>
      <w:r>
        <w:rPr>
          <w:rStyle w:val="FootnoteReference"/>
        </w:rPr>
        <w:footnoteRef/>
      </w:r>
      <w:r>
        <w:t xml:space="preserve"> Also captured in Forensicare SOP/Monitor  </w:t>
      </w:r>
    </w:p>
  </w:footnote>
  <w:footnote w:id="10">
    <w:p w14:paraId="706CA0B8" w14:textId="77777777" w:rsidR="00953644" w:rsidRDefault="00953644" w:rsidP="00953644">
      <w:pPr>
        <w:pStyle w:val="FootnoteText"/>
      </w:pPr>
      <w:r>
        <w:rPr>
          <w:rStyle w:val="FootnoteReference"/>
        </w:rPr>
        <w:footnoteRef/>
      </w:r>
      <w:r>
        <w:t xml:space="preserve"> Also captured in Ambulance Victoria’s SOP/Monitor  </w:t>
      </w:r>
    </w:p>
  </w:footnote>
  <w:footnote w:id="11">
    <w:p w14:paraId="3E8F96A1" w14:textId="77777777" w:rsidR="6BF3BDE6" w:rsidRDefault="6BF3BDE6" w:rsidP="6BF3BDE6">
      <w:pPr>
        <w:pStyle w:val="FootnoteText"/>
      </w:pPr>
      <w:r w:rsidRPr="6BF3BDE6">
        <w:rPr>
          <w:rStyle w:val="FootnoteReference"/>
        </w:rPr>
        <w:footnoteRef/>
      </w:r>
      <w:r>
        <w:t xml:space="preserve"> Also captured in Forensicare SOP/Monitor  </w:t>
      </w:r>
    </w:p>
  </w:footnote>
  <w:footnote w:id="12">
    <w:p w14:paraId="45EBECFE" w14:textId="77777777" w:rsidR="6BF3BDE6" w:rsidRDefault="6BF3BDE6" w:rsidP="6BF3BDE6">
      <w:pPr>
        <w:pStyle w:val="FootnoteText"/>
      </w:pPr>
      <w:r w:rsidRPr="6BF3BDE6">
        <w:rPr>
          <w:rStyle w:val="FootnoteReference"/>
        </w:rPr>
        <w:footnoteRef/>
      </w:r>
      <w:r>
        <w:t xml:space="preserve"> Also captured in Ambulance Victoria’s SOP/Monitor  </w:t>
      </w:r>
    </w:p>
  </w:footnote>
  <w:footnote w:id="13">
    <w:p w14:paraId="5CBD990F" w14:textId="77777777" w:rsidR="00477BA5" w:rsidRDefault="00477BA5" w:rsidP="00280F65">
      <w:pPr>
        <w:pStyle w:val="FootnoteText"/>
      </w:pPr>
      <w:r>
        <w:rPr>
          <w:rStyle w:val="FootnoteReference"/>
        </w:rPr>
        <w:footnoteRef/>
      </w:r>
      <w:r>
        <w:t xml:space="preserve"> </w:t>
      </w:r>
      <w:r w:rsidRPr="00ED55E8">
        <w:t xml:space="preserve">Type of Visit code </w:t>
      </w:r>
      <w:r>
        <w:t xml:space="preserve">19 </w:t>
      </w:r>
      <w:r w:rsidRPr="00ED55E8">
        <w:t>was introduced in March 2020</w:t>
      </w:r>
      <w:r>
        <w:t>.</w:t>
      </w:r>
    </w:p>
  </w:footnote>
  <w:footnote w:id="14">
    <w:p w14:paraId="70A5ADFC" w14:textId="77777777" w:rsidR="00477BA5" w:rsidRDefault="00477BA5" w:rsidP="00280F65">
      <w:pPr>
        <w:pStyle w:val="FootnoteText"/>
      </w:pPr>
      <w:r>
        <w:rPr>
          <w:rStyle w:val="FootnoteReference"/>
        </w:rPr>
        <w:footnoteRef/>
      </w:r>
      <w:r>
        <w:t xml:space="preserve"> </w:t>
      </w:r>
      <w:r w:rsidRPr="00ED55E8">
        <w:t xml:space="preserve">Type of Visit code </w:t>
      </w:r>
      <w:r>
        <w:t xml:space="preserve">19 </w:t>
      </w:r>
      <w:r w:rsidRPr="00ED55E8">
        <w:t>was introduced in March 2020</w:t>
      </w:r>
      <w:r>
        <w:t>.</w:t>
      </w:r>
    </w:p>
  </w:footnote>
  <w:footnote w:id="15">
    <w:p w14:paraId="1F109F13" w14:textId="77777777" w:rsidR="00477BA5" w:rsidRDefault="00477BA5" w:rsidP="00280F65">
      <w:pPr>
        <w:pStyle w:val="FootnoteText"/>
      </w:pPr>
      <w:r>
        <w:rPr>
          <w:rStyle w:val="FootnoteReference"/>
        </w:rPr>
        <w:footnoteRef/>
      </w:r>
      <w:r>
        <w:t xml:space="preserve"> </w:t>
      </w:r>
      <w:r w:rsidRPr="00ED55E8">
        <w:t xml:space="preserve">Type of Visit code </w:t>
      </w:r>
      <w:r>
        <w:t xml:space="preserve">19 </w:t>
      </w:r>
      <w:r w:rsidRPr="00ED55E8">
        <w:t>was introduced in March 2020</w:t>
      </w:r>
      <w:r>
        <w:t>.</w:t>
      </w:r>
    </w:p>
  </w:footnote>
  <w:footnote w:id="16">
    <w:p w14:paraId="5BB35F90" w14:textId="77777777" w:rsidR="00477BA5" w:rsidRDefault="00477BA5" w:rsidP="00280F65">
      <w:pPr>
        <w:pStyle w:val="FootnoteText"/>
      </w:pPr>
      <w:r>
        <w:rPr>
          <w:rStyle w:val="FootnoteReference"/>
        </w:rPr>
        <w:footnoteRef/>
      </w:r>
      <w:r>
        <w:t xml:space="preserve"> </w:t>
      </w:r>
      <w:r w:rsidRPr="00ED55E8">
        <w:t xml:space="preserve">Type of Visit code </w:t>
      </w:r>
      <w:r>
        <w:t xml:space="preserve">19 </w:t>
      </w:r>
      <w:r w:rsidRPr="00ED55E8">
        <w:t>was introduced in March 2020</w:t>
      </w:r>
      <w:r>
        <w:t>.</w:t>
      </w:r>
    </w:p>
  </w:footnote>
  <w:footnote w:id="17">
    <w:p w14:paraId="0B65F1FB" w14:textId="77777777" w:rsidR="00477BA5" w:rsidRDefault="00477BA5" w:rsidP="00280F65">
      <w:pPr>
        <w:pStyle w:val="FootnoteText"/>
      </w:pPr>
      <w:r>
        <w:rPr>
          <w:rStyle w:val="FootnoteReference"/>
        </w:rPr>
        <w:footnoteRef/>
      </w:r>
      <w:r>
        <w:t xml:space="preserve"> </w:t>
      </w:r>
      <w:r w:rsidRPr="00ED55E8">
        <w:t xml:space="preserve">Type of Visit code </w:t>
      </w:r>
      <w:r>
        <w:t xml:space="preserve">19 </w:t>
      </w:r>
      <w:r w:rsidRPr="00ED55E8">
        <w:t>was introduced in March 2020</w:t>
      </w:r>
      <w:r>
        <w:t>.</w:t>
      </w:r>
    </w:p>
  </w:footnote>
  <w:footnote w:id="18">
    <w:p w14:paraId="6100D56A" w14:textId="77777777" w:rsidR="00477BA5" w:rsidRPr="00701083"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19">
    <w:p w14:paraId="78083C4A" w14:textId="77777777" w:rsidR="00477BA5" w:rsidRPr="00701083"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20">
    <w:p w14:paraId="1BDE21AD" w14:textId="77777777" w:rsidR="00477BA5" w:rsidRPr="009D46B4"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21">
    <w:p w14:paraId="6E6AF22D" w14:textId="77777777" w:rsidR="387D0BC8" w:rsidRDefault="387D0BC8" w:rsidP="387D0BC8">
      <w:pPr>
        <w:pStyle w:val="FootnoteText"/>
        <w:rPr>
          <w:lang w:val="en-US"/>
        </w:rPr>
      </w:pPr>
      <w:r w:rsidRPr="387D0BC8">
        <w:rPr>
          <w:rStyle w:val="FootnoteReference"/>
        </w:rPr>
        <w:footnoteRef/>
      </w:r>
      <w:r>
        <w:t xml:space="preserve"> Principal Prescribed Procedure (PPP) codes of less than 500 are accepted for episodes that were registered before 1 July 2019.</w:t>
      </w:r>
    </w:p>
  </w:footnote>
  <w:footnote w:id="22">
    <w:p w14:paraId="33BE9A07" w14:textId="77777777" w:rsidR="00477BA5" w:rsidRPr="009D46B4"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23">
    <w:p w14:paraId="3227D084" w14:textId="77777777" w:rsidR="00477BA5" w:rsidRPr="009D46B4" w:rsidRDefault="00477BA5" w:rsidP="00280F65">
      <w:pPr>
        <w:pStyle w:val="FootnoteText"/>
        <w:rPr>
          <w:lang w:val="en-US"/>
        </w:rPr>
      </w:pPr>
      <w:r>
        <w:rPr>
          <w:rStyle w:val="FootnoteReference"/>
        </w:rPr>
        <w:footnoteRef/>
      </w:r>
      <w:r>
        <w:t xml:space="preserve"> P</w:t>
      </w:r>
      <w:r w:rsidRPr="0098470E">
        <w:t xml:space="preserve">rincipal </w:t>
      </w:r>
      <w:r>
        <w:t>P</w:t>
      </w:r>
      <w:r w:rsidRPr="0098470E">
        <w:t xml:space="preserve">rescribed </w:t>
      </w:r>
      <w:r>
        <w:t>P</w:t>
      </w:r>
      <w:r w:rsidRPr="0098470E">
        <w:t>rocedure</w:t>
      </w:r>
      <w:r>
        <w:t xml:space="preserve"> (PPP)</w:t>
      </w:r>
      <w:r w:rsidRPr="0098470E">
        <w:t xml:space="preserve"> code</w:t>
      </w:r>
      <w:r>
        <w:t>s</w:t>
      </w:r>
      <w:r w:rsidRPr="0098470E">
        <w:t xml:space="preserve"> of less than 500</w:t>
      </w:r>
      <w:r>
        <w:t xml:space="preserve"> are accepted for episodes that were registered before 1 July 2019.</w:t>
      </w:r>
    </w:p>
  </w:footnote>
  <w:footnote w:id="24">
    <w:p w14:paraId="3C7726DA" w14:textId="77777777" w:rsidR="00477BA5" w:rsidRDefault="00477BA5" w:rsidP="00280F65">
      <w:pPr>
        <w:pStyle w:val="FootnoteText"/>
      </w:pPr>
      <w:r>
        <w:rPr>
          <w:rStyle w:val="FootnoteReference"/>
        </w:rPr>
        <w:footnoteRef/>
      </w:r>
      <w:r>
        <w:t xml:space="preserve"> This policy is currently being refreshed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00AB" w14:textId="77777777" w:rsidR="00672DBD" w:rsidRDefault="0067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B18" w14:textId="77777777" w:rsidR="00672DBD" w:rsidRDefault="00672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CA3F" w14:textId="787FC543" w:rsidR="00477BA5" w:rsidRDefault="007B4733">
    <w:pPr>
      <w:pStyle w:val="Header"/>
    </w:pPr>
    <w:r>
      <w:rPr>
        <w:noProof/>
      </w:rPr>
      <w:drawing>
        <wp:anchor distT="0" distB="0" distL="114300" distR="114300" simplePos="0" relativeHeight="251641856" behindDoc="1" locked="0" layoutInCell="1" allowOverlap="1" wp14:anchorId="1A5CD526" wp14:editId="30C816C7">
          <wp:simplePos x="0" y="0"/>
          <wp:positionH relativeFrom="page">
            <wp:align>right</wp:align>
          </wp:positionH>
          <wp:positionV relativeFrom="margin">
            <wp:align>top</wp:align>
          </wp:positionV>
          <wp:extent cx="7664823" cy="10097483"/>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64823" cy="10097483"/>
                  </a:xfrm>
                  <a:prstGeom prst="rect">
                    <a:avLst/>
                  </a:prstGeom>
                </pic:spPr>
              </pic:pic>
            </a:graphicData>
          </a:graphic>
          <wp14:sizeRelH relativeFrom="page">
            <wp14:pctWidth>0</wp14:pctWidth>
          </wp14:sizeRelH>
          <wp14:sizeRelV relativeFrom="page">
            <wp14:pctHeight>0</wp14:pctHeight>
          </wp14:sizeRelV>
        </wp:anchor>
      </w:drawing>
    </w:r>
    <w:r w:rsidR="009E18C9">
      <w:rPr>
        <w:noProof/>
      </w:rPr>
      <mc:AlternateContent>
        <mc:Choice Requires="wps">
          <w:drawing>
            <wp:anchor distT="0" distB="0" distL="114300" distR="114300" simplePos="0" relativeHeight="251678720" behindDoc="1" locked="0" layoutInCell="0" allowOverlap="1" wp14:anchorId="10380A51" wp14:editId="41A20CCE">
              <wp:simplePos x="0" y="0"/>
              <wp:positionH relativeFrom="margin">
                <wp:align>center</wp:align>
              </wp:positionH>
              <wp:positionV relativeFrom="margin">
                <wp:align>center</wp:align>
              </wp:positionV>
              <wp:extent cx="7096125" cy="2686050"/>
              <wp:effectExtent l="0" t="0" r="0" b="0"/>
              <wp:wrapNone/>
              <wp:docPr id="2" name="PowerPlusWaterMarkObject110169578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96125" cy="2686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2A2DFE" w14:textId="706D101F" w:rsidR="009E18C9" w:rsidRDefault="009E18C9" w:rsidP="009E18C9">
                          <w:pPr>
                            <w:jc w:val="center"/>
                            <w:rPr>
                              <w:rFonts w:ascii="Arial Black" w:hAnsi="Arial Black" w:cs="Arial Black"/>
                              <w:color w:val="A6A6A6" w:themeColor="background1" w:themeShade="A6"/>
                              <w:sz w:val="16"/>
                              <w:szCs w:val="16"/>
                              <w:lang w:val="en-GB"/>
                              <w14:textFill>
                                <w14:solidFill>
                                  <w14:schemeClr w14:val="bg1">
                                    <w14:alpha w14:val="50000"/>
                                    <w14:lumMod w14:val="65000"/>
                                  </w14:scheme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0380A51" id="_x0000_t202" coordsize="21600,21600" o:spt="202" path="m,l,21600r21600,l21600,xe">
              <v:stroke joinstyle="miter"/>
              <v:path gradientshapeok="t" o:connecttype="rect"/>
            </v:shapetype>
            <v:shape id="PowerPlusWaterMarkObject1101695781" o:spid="_x0000_s1029" type="#_x0000_t202" style="position:absolute;margin-left:0;margin-top:0;width:558.75pt;height:211.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" o:allowincell="f" filled="f" stroked="f">
              <v:stroke joinstyle="round"/>
              <o:lock v:ext="edit" rotation="t" aspectratio="t" verticies="t" adjusthandles="t" grouping="t" shapetype="t"/>
              <v:textbox>
                <w:txbxContent>
                  <w:p w14:paraId="0E2A2DFE" w14:textId="706D101F" w:rsidR="009E18C9" w:rsidRDefault="009E18C9" w:rsidP="009E18C9">
                    <w:pPr>
                      <w:jc w:val="center"/>
                      <w:rPr>
                        <w:rFonts w:ascii="Arial Black" w:hAnsi="Arial Black" w:cs="Arial Black"/>
                        <w:color w:val="A6A6A6" w:themeColor="background1" w:themeShade="A6"/>
                        <w:sz w:val="16"/>
                        <w:szCs w:val="16"/>
                        <w:lang w:val="en-GB"/>
                        <w14:textFill>
                          <w14:solidFill>
                            <w14:schemeClr w14:val="bg1">
                              <w14:alpha w14:val="50000"/>
                              <w14:lumMod w14:val="65000"/>
                            </w14:schemeClr>
                          </w14:solidFill>
                        </w14:textFill>
                      </w:rPr>
                    </w:pPr>
                  </w:p>
                </w:txbxContent>
              </v:textbox>
              <w10:wrap anchorx="margin" anchory="margin"/>
            </v:shape>
          </w:pict>
        </mc:Fallback>
      </mc:AlternateContent>
    </w:r>
    <w:r w:rsidR="00477BA5">
      <w:rPr>
        <w:noProof/>
      </w:rPr>
      <w:drawing>
        <wp:anchor distT="0" distB="0" distL="114300" distR="114300" simplePos="0" relativeHeight="251654144" behindDoc="0" locked="0" layoutInCell="1" allowOverlap="1" wp14:anchorId="34E47516" wp14:editId="35B44ECF">
          <wp:simplePos x="0" y="0"/>
          <wp:positionH relativeFrom="column">
            <wp:posOffset>-434886</wp:posOffset>
          </wp:positionH>
          <wp:positionV relativeFrom="paragraph">
            <wp:posOffset>-295741</wp:posOffset>
          </wp:positionV>
          <wp:extent cx="1896502" cy="811369"/>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2" cstate="screen">
                    <a:extLst>
                      <a:ext uri="{28A0092B-C50C-407E-A947-70E740481C1C}">
                        <a14:useLocalDpi xmlns:a14="http://schemas.microsoft.com/office/drawing/2010/main"/>
                      </a:ext>
                    </a:extLst>
                  </a:blip>
                  <a:srcRect l="14471" t="24362" r="14589" b="23833"/>
                  <a:stretch/>
                </pic:blipFill>
                <pic:spPr bwMode="auto">
                  <a:xfrm>
                    <a:off x="0" y="0"/>
                    <a:ext cx="1896502" cy="8113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7BA5">
      <w:rPr>
        <w:noProof/>
      </w:rPr>
      <mc:AlternateContent>
        <mc:Choice Requires="wps">
          <w:drawing>
            <wp:anchor distT="0" distB="0" distL="114300" distR="114300" simplePos="0" relativeHeight="251648000" behindDoc="0" locked="0" layoutInCell="1" allowOverlap="1" wp14:anchorId="2C68EDE9" wp14:editId="18011D6C">
              <wp:simplePos x="0" y="0"/>
              <wp:positionH relativeFrom="column">
                <wp:posOffset>-344125</wp:posOffset>
              </wp:positionH>
              <wp:positionV relativeFrom="paragraph">
                <wp:posOffset>515700</wp:posOffset>
              </wp:positionV>
              <wp:extent cx="1918952" cy="978795"/>
              <wp:effectExtent l="0" t="0" r="5715" b="0"/>
              <wp:wrapNone/>
              <wp:docPr id="12" name="Rectangle 12"/>
              <wp:cNvGraphicFramePr/>
              <a:graphic xmlns:a="http://schemas.openxmlformats.org/drawingml/2006/main">
                <a:graphicData uri="http://schemas.microsoft.com/office/word/2010/wordprocessingShape">
                  <wps:wsp>
                    <wps:cNvSpPr/>
                    <wps:spPr>
                      <a:xfrm>
                        <a:off x="0" y="0"/>
                        <a:ext cx="1918952" cy="9787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8BBBB" id="Rectangle 12" o:spid="_x0000_s1026" style="position:absolute;margin-left:-27.1pt;margin-top:40.6pt;width:151.1pt;height:77.0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5A50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D651D"/>
    <w:multiLevelType w:val="hybridMultilevel"/>
    <w:tmpl w:val="5674313E"/>
    <w:lvl w:ilvl="0" w:tplc="1E748B72">
      <w:start w:val="14"/>
      <w:numFmt w:val="bullet"/>
      <w:lvlText w:val="-"/>
      <w:lvlJc w:val="left"/>
      <w:pPr>
        <w:tabs>
          <w:tab w:val="num" w:pos="2835"/>
        </w:tabs>
        <w:ind w:left="284" w:hanging="284"/>
      </w:pPr>
      <w:rPr>
        <w:rFonts w:ascii="Arial" w:eastAsia="Calibri" w:hAnsi="Arial" w:hint="default"/>
      </w:rPr>
    </w:lvl>
    <w:lvl w:ilvl="1" w:tplc="90C2E9C2">
      <w:start w:val="1"/>
      <w:numFmt w:val="bullet"/>
      <w:lvlText w:val="o"/>
      <w:lvlJc w:val="left"/>
      <w:pPr>
        <w:tabs>
          <w:tab w:val="num" w:pos="567"/>
        </w:tabs>
        <w:ind w:left="567" w:hanging="283"/>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76DD3"/>
    <w:multiLevelType w:val="hybridMultilevel"/>
    <w:tmpl w:val="BC4C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70DAB"/>
    <w:multiLevelType w:val="hybridMultilevel"/>
    <w:tmpl w:val="140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37B3A"/>
    <w:multiLevelType w:val="hybridMultilevel"/>
    <w:tmpl w:val="571A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6C6020"/>
    <w:multiLevelType w:val="hybridMultilevel"/>
    <w:tmpl w:val="CDEC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C1B1D91"/>
    <w:multiLevelType w:val="multilevel"/>
    <w:tmpl w:val="A670A8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3A3718"/>
    <w:multiLevelType w:val="hybridMultilevel"/>
    <w:tmpl w:val="50F2C8AC"/>
    <w:lvl w:ilvl="0" w:tplc="F554326C">
      <w:start w:val="1"/>
      <w:numFmt w:val="upperLetter"/>
      <w:lvlText w:val="%1)"/>
      <w:lvlJc w:val="left"/>
      <w:pPr>
        <w:ind w:left="720" w:hanging="360"/>
      </w:pPr>
    </w:lvl>
    <w:lvl w:ilvl="1" w:tplc="CD5CE7C6">
      <w:start w:val="1"/>
      <w:numFmt w:val="lowerLetter"/>
      <w:lvlText w:val="%2."/>
      <w:lvlJc w:val="left"/>
      <w:pPr>
        <w:ind w:left="1440" w:hanging="360"/>
      </w:pPr>
    </w:lvl>
    <w:lvl w:ilvl="2" w:tplc="4E2C437E">
      <w:start w:val="1"/>
      <w:numFmt w:val="lowerRoman"/>
      <w:lvlText w:val="%3."/>
      <w:lvlJc w:val="right"/>
      <w:pPr>
        <w:ind w:left="2160" w:hanging="180"/>
      </w:pPr>
    </w:lvl>
    <w:lvl w:ilvl="3" w:tplc="CB3C6892">
      <w:start w:val="1"/>
      <w:numFmt w:val="decimal"/>
      <w:lvlText w:val="%4."/>
      <w:lvlJc w:val="left"/>
      <w:pPr>
        <w:ind w:left="2880" w:hanging="360"/>
      </w:pPr>
    </w:lvl>
    <w:lvl w:ilvl="4" w:tplc="488ECFE0">
      <w:start w:val="1"/>
      <w:numFmt w:val="lowerLetter"/>
      <w:lvlText w:val="%5."/>
      <w:lvlJc w:val="left"/>
      <w:pPr>
        <w:ind w:left="3600" w:hanging="360"/>
      </w:pPr>
    </w:lvl>
    <w:lvl w:ilvl="5" w:tplc="7BA87854">
      <w:start w:val="1"/>
      <w:numFmt w:val="lowerRoman"/>
      <w:lvlText w:val="%6."/>
      <w:lvlJc w:val="right"/>
      <w:pPr>
        <w:ind w:left="4320" w:hanging="180"/>
      </w:pPr>
    </w:lvl>
    <w:lvl w:ilvl="6" w:tplc="9320E14E">
      <w:start w:val="1"/>
      <w:numFmt w:val="decimal"/>
      <w:lvlText w:val="%7."/>
      <w:lvlJc w:val="left"/>
      <w:pPr>
        <w:ind w:left="5040" w:hanging="360"/>
      </w:pPr>
    </w:lvl>
    <w:lvl w:ilvl="7" w:tplc="10C6E33E">
      <w:start w:val="1"/>
      <w:numFmt w:val="lowerLetter"/>
      <w:lvlText w:val="%8."/>
      <w:lvlJc w:val="left"/>
      <w:pPr>
        <w:ind w:left="5760" w:hanging="360"/>
      </w:pPr>
    </w:lvl>
    <w:lvl w:ilvl="8" w:tplc="5D6A43B0">
      <w:start w:val="1"/>
      <w:numFmt w:val="lowerRoman"/>
      <w:lvlText w:val="%9."/>
      <w:lvlJc w:val="right"/>
      <w:pPr>
        <w:ind w:left="6480" w:hanging="180"/>
      </w:pPr>
    </w:lvl>
  </w:abstractNum>
  <w:abstractNum w:abstractNumId="9" w15:restartNumberingAfterBreak="0">
    <w:nsid w:val="19405250"/>
    <w:multiLevelType w:val="hybridMultilevel"/>
    <w:tmpl w:val="19588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0BE77"/>
    <w:multiLevelType w:val="hybridMultilevel"/>
    <w:tmpl w:val="B1AE0F62"/>
    <w:lvl w:ilvl="0" w:tplc="A54605A6">
      <w:start w:val="1"/>
      <w:numFmt w:val="bullet"/>
      <w:lvlText w:val=""/>
      <w:lvlJc w:val="left"/>
      <w:pPr>
        <w:ind w:left="720" w:hanging="360"/>
      </w:pPr>
      <w:rPr>
        <w:rFonts w:ascii="Symbol" w:hAnsi="Symbol" w:hint="default"/>
      </w:rPr>
    </w:lvl>
    <w:lvl w:ilvl="1" w:tplc="F698BEEC">
      <w:start w:val="1"/>
      <w:numFmt w:val="bullet"/>
      <w:lvlText w:val="o"/>
      <w:lvlJc w:val="left"/>
      <w:pPr>
        <w:ind w:left="1440" w:hanging="360"/>
      </w:pPr>
      <w:rPr>
        <w:rFonts w:ascii="Courier New" w:hAnsi="Courier New" w:hint="default"/>
      </w:rPr>
    </w:lvl>
    <w:lvl w:ilvl="2" w:tplc="E968FCC8">
      <w:start w:val="1"/>
      <w:numFmt w:val="bullet"/>
      <w:lvlText w:val=""/>
      <w:lvlJc w:val="left"/>
      <w:pPr>
        <w:ind w:left="2160" w:hanging="360"/>
      </w:pPr>
      <w:rPr>
        <w:rFonts w:ascii="Wingdings" w:hAnsi="Wingdings" w:hint="default"/>
      </w:rPr>
    </w:lvl>
    <w:lvl w:ilvl="3" w:tplc="2A4288AE">
      <w:start w:val="1"/>
      <w:numFmt w:val="bullet"/>
      <w:lvlText w:val=""/>
      <w:lvlJc w:val="left"/>
      <w:pPr>
        <w:ind w:left="2880" w:hanging="360"/>
      </w:pPr>
      <w:rPr>
        <w:rFonts w:ascii="Symbol" w:hAnsi="Symbol" w:hint="default"/>
      </w:rPr>
    </w:lvl>
    <w:lvl w:ilvl="4" w:tplc="0DBAE7BA">
      <w:start w:val="1"/>
      <w:numFmt w:val="bullet"/>
      <w:lvlText w:val="o"/>
      <w:lvlJc w:val="left"/>
      <w:pPr>
        <w:ind w:left="3600" w:hanging="360"/>
      </w:pPr>
      <w:rPr>
        <w:rFonts w:ascii="Courier New" w:hAnsi="Courier New" w:hint="default"/>
      </w:rPr>
    </w:lvl>
    <w:lvl w:ilvl="5" w:tplc="6A329402">
      <w:start w:val="1"/>
      <w:numFmt w:val="bullet"/>
      <w:lvlText w:val=""/>
      <w:lvlJc w:val="left"/>
      <w:pPr>
        <w:ind w:left="4320" w:hanging="360"/>
      </w:pPr>
      <w:rPr>
        <w:rFonts w:ascii="Wingdings" w:hAnsi="Wingdings" w:hint="default"/>
      </w:rPr>
    </w:lvl>
    <w:lvl w:ilvl="6" w:tplc="AF2EFE2C">
      <w:start w:val="1"/>
      <w:numFmt w:val="bullet"/>
      <w:lvlText w:val=""/>
      <w:lvlJc w:val="left"/>
      <w:pPr>
        <w:ind w:left="5040" w:hanging="360"/>
      </w:pPr>
      <w:rPr>
        <w:rFonts w:ascii="Symbol" w:hAnsi="Symbol" w:hint="default"/>
      </w:rPr>
    </w:lvl>
    <w:lvl w:ilvl="7" w:tplc="78A23C52">
      <w:start w:val="1"/>
      <w:numFmt w:val="bullet"/>
      <w:lvlText w:val="o"/>
      <w:lvlJc w:val="left"/>
      <w:pPr>
        <w:ind w:left="5760" w:hanging="360"/>
      </w:pPr>
      <w:rPr>
        <w:rFonts w:ascii="Courier New" w:hAnsi="Courier New" w:hint="default"/>
      </w:rPr>
    </w:lvl>
    <w:lvl w:ilvl="8" w:tplc="75827650">
      <w:start w:val="1"/>
      <w:numFmt w:val="bullet"/>
      <w:lvlText w:val=""/>
      <w:lvlJc w:val="left"/>
      <w:pPr>
        <w:ind w:left="6480" w:hanging="360"/>
      </w:pPr>
      <w:rPr>
        <w:rFonts w:ascii="Wingdings" w:hAnsi="Wingdings" w:hint="default"/>
      </w:rPr>
    </w:lvl>
  </w:abstractNum>
  <w:abstractNum w:abstractNumId="11" w15:restartNumberingAfterBreak="0">
    <w:nsid w:val="27286E0D"/>
    <w:multiLevelType w:val="hybridMultilevel"/>
    <w:tmpl w:val="7438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615D2"/>
    <w:multiLevelType w:val="hybridMultilevel"/>
    <w:tmpl w:val="788A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41D27"/>
    <w:multiLevelType w:val="hybridMultilevel"/>
    <w:tmpl w:val="2B7CB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7879E4"/>
    <w:multiLevelType w:val="hybridMultilevel"/>
    <w:tmpl w:val="C07C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36306"/>
    <w:multiLevelType w:val="hybridMultilevel"/>
    <w:tmpl w:val="51E07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D34C5"/>
    <w:multiLevelType w:val="multilevel"/>
    <w:tmpl w:val="ED3A81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BC9AFEF6"/>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D9D7742"/>
    <w:multiLevelType w:val="hybridMultilevel"/>
    <w:tmpl w:val="59AA2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B033C5"/>
    <w:multiLevelType w:val="multilevel"/>
    <w:tmpl w:val="A670A8CC"/>
    <w:styleLink w:val="Style1"/>
    <w:lvl w:ilvl="0">
      <w:start w:val="1"/>
      <w:numFmt w:val="decimal"/>
      <w:lvlText w:val="%1."/>
      <w:lvlJc w:val="left"/>
      <w:pPr>
        <w:ind w:left="360" w:hanging="360"/>
      </w:pPr>
      <w:rPr>
        <w:rFonts w:ascii="Arial" w:eastAsia="Times New Roman" w:hAnsi="Arial"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6B375EA"/>
    <w:multiLevelType w:val="multilevel"/>
    <w:tmpl w:val="D6CA8B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89587E"/>
    <w:multiLevelType w:val="hybridMultilevel"/>
    <w:tmpl w:val="DA708B80"/>
    <w:lvl w:ilvl="0" w:tplc="CA70D2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A10354"/>
    <w:multiLevelType w:val="hybridMultilevel"/>
    <w:tmpl w:val="E960844C"/>
    <w:lvl w:ilvl="0" w:tplc="F3DAB8A2">
      <w:start w:val="1"/>
      <w:numFmt w:val="decimal"/>
      <w:lvlText w:val="%1."/>
      <w:lvlJc w:val="left"/>
      <w:pPr>
        <w:ind w:left="720" w:hanging="360"/>
      </w:pPr>
    </w:lvl>
    <w:lvl w:ilvl="1" w:tplc="C46C1D0A">
      <w:start w:val="1"/>
      <w:numFmt w:val="lowerLetter"/>
      <w:lvlText w:val="%2."/>
      <w:lvlJc w:val="left"/>
      <w:pPr>
        <w:ind w:left="1440" w:hanging="360"/>
      </w:pPr>
    </w:lvl>
    <w:lvl w:ilvl="2" w:tplc="7084EA92">
      <w:start w:val="1"/>
      <w:numFmt w:val="lowerRoman"/>
      <w:lvlText w:val="%3."/>
      <w:lvlJc w:val="right"/>
      <w:pPr>
        <w:ind w:left="2160" w:hanging="180"/>
      </w:pPr>
    </w:lvl>
    <w:lvl w:ilvl="3" w:tplc="8916B33E">
      <w:start w:val="1"/>
      <w:numFmt w:val="decimal"/>
      <w:lvlText w:val="%4."/>
      <w:lvlJc w:val="left"/>
      <w:pPr>
        <w:ind w:left="2880" w:hanging="360"/>
      </w:pPr>
    </w:lvl>
    <w:lvl w:ilvl="4" w:tplc="F28221FC">
      <w:start w:val="1"/>
      <w:numFmt w:val="lowerLetter"/>
      <w:lvlText w:val="%5."/>
      <w:lvlJc w:val="left"/>
      <w:pPr>
        <w:ind w:left="3600" w:hanging="360"/>
      </w:pPr>
    </w:lvl>
    <w:lvl w:ilvl="5" w:tplc="12C8038E">
      <w:start w:val="1"/>
      <w:numFmt w:val="lowerRoman"/>
      <w:lvlText w:val="%6."/>
      <w:lvlJc w:val="right"/>
      <w:pPr>
        <w:ind w:left="4320" w:hanging="180"/>
      </w:pPr>
    </w:lvl>
    <w:lvl w:ilvl="6" w:tplc="B126B4E4">
      <w:start w:val="1"/>
      <w:numFmt w:val="decimal"/>
      <w:lvlText w:val="%7."/>
      <w:lvlJc w:val="left"/>
      <w:pPr>
        <w:ind w:left="5040" w:hanging="360"/>
      </w:pPr>
    </w:lvl>
    <w:lvl w:ilvl="7" w:tplc="32D812F2">
      <w:start w:val="1"/>
      <w:numFmt w:val="lowerLetter"/>
      <w:lvlText w:val="%8."/>
      <w:lvlJc w:val="left"/>
      <w:pPr>
        <w:ind w:left="5760" w:hanging="360"/>
      </w:pPr>
    </w:lvl>
    <w:lvl w:ilvl="8" w:tplc="2F1A7324">
      <w:start w:val="1"/>
      <w:numFmt w:val="lowerRoman"/>
      <w:lvlText w:val="%9."/>
      <w:lvlJc w:val="right"/>
      <w:pPr>
        <w:ind w:left="6480" w:hanging="180"/>
      </w:pPr>
    </w:lvl>
  </w:abstractNum>
  <w:abstractNum w:abstractNumId="26" w15:restartNumberingAfterBreak="0">
    <w:nsid w:val="4AF8540D"/>
    <w:multiLevelType w:val="multilevel"/>
    <w:tmpl w:val="A670A8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A23DAC"/>
    <w:multiLevelType w:val="multilevel"/>
    <w:tmpl w:val="EF74F930"/>
    <w:styleLink w:val="Bullets"/>
    <w:lvl w:ilvl="0">
      <w:start w:val="1"/>
      <w:numFmt w:val="bullet"/>
      <w:lvlText w:val=""/>
      <w:lvlJc w:val="left"/>
      <w:pPr>
        <w:ind w:left="284" w:hanging="284"/>
      </w:pPr>
      <w:rPr>
        <w:rFonts w:ascii="Symbol" w:hAnsi="Symbol" w:hint="default"/>
      </w:rPr>
    </w:lvl>
    <w:lvl w:ilvl="1">
      <w:start w:val="1"/>
      <w:numFmt w:val="bullet"/>
      <w:lvlText w:val="o"/>
      <w:lvlJc w:val="left"/>
      <w:pPr>
        <w:ind w:left="3120" w:hanging="284"/>
      </w:pPr>
      <w:rPr>
        <w:rFonts w:ascii="Courier New" w:hAnsi="Courier New" w:cs="Courier New"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bullet"/>
      <w:lvlRestart w:val="0"/>
      <w:lvlText w:val="–"/>
      <w:lvlJc w:val="left"/>
      <w:pPr>
        <w:ind w:left="454" w:hanging="227"/>
      </w:pPr>
      <w:rPr>
        <w:rFonts w:ascii="Arial" w:hAnsi="Arial" w:cs="Times New Roman" w:hint="default"/>
      </w:rPr>
    </w:lvl>
    <w:lvl w:ilvl="8">
      <w:start w:val="1"/>
      <w:numFmt w:val="none"/>
      <w:lvlRestart w:val="0"/>
      <w:lvlText w:val=""/>
      <w:lvlJc w:val="left"/>
      <w:pPr>
        <w:ind w:left="0" w:firstLine="0"/>
      </w:pPr>
    </w:lvl>
  </w:abstractNum>
  <w:abstractNum w:abstractNumId="28" w15:restartNumberingAfterBreak="0">
    <w:nsid w:val="4EFB4061"/>
    <w:multiLevelType w:val="hybridMultilevel"/>
    <w:tmpl w:val="0906A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5B1962"/>
    <w:multiLevelType w:val="hybridMultilevel"/>
    <w:tmpl w:val="00B0E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599280C"/>
    <w:multiLevelType w:val="multilevel"/>
    <w:tmpl w:val="ED3A8116"/>
    <w:styleLink w:val="Style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A0C4B6A"/>
    <w:multiLevelType w:val="hybridMultilevel"/>
    <w:tmpl w:val="DF58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BE4D2F"/>
    <w:multiLevelType w:val="hybridMultilevel"/>
    <w:tmpl w:val="7190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E34D6F"/>
    <w:multiLevelType w:val="multilevel"/>
    <w:tmpl w:val="DAB86D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C67F1D"/>
    <w:multiLevelType w:val="hybridMultilevel"/>
    <w:tmpl w:val="99EEC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2E3624"/>
    <w:multiLevelType w:val="hybridMultilevel"/>
    <w:tmpl w:val="3CC021F4"/>
    <w:lvl w:ilvl="0" w:tplc="E0F23DE4">
      <w:start w:val="1"/>
      <w:numFmt w:val="upperLetter"/>
      <w:lvlText w:val="%1)"/>
      <w:lvlJc w:val="left"/>
      <w:pPr>
        <w:ind w:left="720" w:hanging="360"/>
      </w:pPr>
    </w:lvl>
    <w:lvl w:ilvl="1" w:tplc="AE06D2EE">
      <w:start w:val="1"/>
      <w:numFmt w:val="lowerLetter"/>
      <w:lvlText w:val="%2."/>
      <w:lvlJc w:val="left"/>
      <w:pPr>
        <w:ind w:left="1440" w:hanging="360"/>
      </w:pPr>
    </w:lvl>
    <w:lvl w:ilvl="2" w:tplc="8084BE72">
      <w:start w:val="1"/>
      <w:numFmt w:val="lowerRoman"/>
      <w:lvlText w:val="%3."/>
      <w:lvlJc w:val="right"/>
      <w:pPr>
        <w:ind w:left="2160" w:hanging="180"/>
      </w:pPr>
    </w:lvl>
    <w:lvl w:ilvl="3" w:tplc="9F4A6336">
      <w:start w:val="1"/>
      <w:numFmt w:val="decimal"/>
      <w:lvlText w:val="%4."/>
      <w:lvlJc w:val="left"/>
      <w:pPr>
        <w:ind w:left="2880" w:hanging="360"/>
      </w:pPr>
    </w:lvl>
    <w:lvl w:ilvl="4" w:tplc="67CC537A">
      <w:start w:val="1"/>
      <w:numFmt w:val="lowerLetter"/>
      <w:lvlText w:val="%5."/>
      <w:lvlJc w:val="left"/>
      <w:pPr>
        <w:ind w:left="3600" w:hanging="360"/>
      </w:pPr>
    </w:lvl>
    <w:lvl w:ilvl="5" w:tplc="EBD84394">
      <w:start w:val="1"/>
      <w:numFmt w:val="lowerRoman"/>
      <w:lvlText w:val="%6."/>
      <w:lvlJc w:val="right"/>
      <w:pPr>
        <w:ind w:left="4320" w:hanging="180"/>
      </w:pPr>
    </w:lvl>
    <w:lvl w:ilvl="6" w:tplc="16400604">
      <w:start w:val="1"/>
      <w:numFmt w:val="decimal"/>
      <w:lvlText w:val="%7."/>
      <w:lvlJc w:val="left"/>
      <w:pPr>
        <w:ind w:left="5040" w:hanging="360"/>
      </w:pPr>
    </w:lvl>
    <w:lvl w:ilvl="7" w:tplc="1690D5F2">
      <w:start w:val="1"/>
      <w:numFmt w:val="lowerLetter"/>
      <w:lvlText w:val="%8."/>
      <w:lvlJc w:val="left"/>
      <w:pPr>
        <w:ind w:left="5760" w:hanging="360"/>
      </w:pPr>
    </w:lvl>
    <w:lvl w:ilvl="8" w:tplc="330A7068">
      <w:start w:val="1"/>
      <w:numFmt w:val="lowerRoman"/>
      <w:lvlText w:val="%9."/>
      <w:lvlJc w:val="right"/>
      <w:pPr>
        <w:ind w:left="6480" w:hanging="180"/>
      </w:pPr>
    </w:lvl>
  </w:abstractNum>
  <w:abstractNum w:abstractNumId="38" w15:restartNumberingAfterBreak="0">
    <w:nsid w:val="6DA825C7"/>
    <w:multiLevelType w:val="multilevel"/>
    <w:tmpl w:val="ED3A8116"/>
    <w:numStyleLink w:val="Style3"/>
  </w:abstractNum>
  <w:abstractNum w:abstractNumId="39" w15:restartNumberingAfterBreak="0">
    <w:nsid w:val="6F207153"/>
    <w:multiLevelType w:val="multilevel"/>
    <w:tmpl w:val="A670A8CC"/>
    <w:numStyleLink w:val="Style1"/>
  </w:abstractNum>
  <w:abstractNum w:abstractNumId="40" w15:restartNumberingAfterBreak="0">
    <w:nsid w:val="710819E1"/>
    <w:multiLevelType w:val="hybridMultilevel"/>
    <w:tmpl w:val="ECE0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30FD1"/>
    <w:multiLevelType w:val="multilevel"/>
    <w:tmpl w:val="577C881E"/>
    <w:styleLink w:val="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42" w15:restartNumberingAfterBreak="0">
    <w:nsid w:val="75D715D8"/>
    <w:multiLevelType w:val="multilevel"/>
    <w:tmpl w:val="A670A8CC"/>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9D7E96"/>
    <w:multiLevelType w:val="hybridMultilevel"/>
    <w:tmpl w:val="06C8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192688"/>
    <w:multiLevelType w:val="hybridMultilevel"/>
    <w:tmpl w:val="DA5A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4900765">
    <w:abstractNumId w:val="10"/>
  </w:num>
  <w:num w:numId="2" w16cid:durableId="1090196384">
    <w:abstractNumId w:val="8"/>
  </w:num>
  <w:num w:numId="3" w16cid:durableId="2140145240">
    <w:abstractNumId w:val="37"/>
  </w:num>
  <w:num w:numId="4" w16cid:durableId="1038775792">
    <w:abstractNumId w:val="25"/>
  </w:num>
  <w:num w:numId="5" w16cid:durableId="1918398365">
    <w:abstractNumId w:val="31"/>
  </w:num>
  <w:num w:numId="6" w16cid:durableId="230308719">
    <w:abstractNumId w:val="18"/>
  </w:num>
  <w:num w:numId="7" w16cid:durableId="747650999">
    <w:abstractNumId w:val="0"/>
  </w:num>
  <w:num w:numId="8" w16cid:durableId="83311064">
    <w:abstractNumId w:val="27"/>
  </w:num>
  <w:num w:numId="9" w16cid:durableId="678502026">
    <w:abstractNumId w:val="41"/>
  </w:num>
  <w:num w:numId="10" w16cid:durableId="2032874232">
    <w:abstractNumId w:val="26"/>
  </w:num>
  <w:num w:numId="11" w16cid:durableId="784038484">
    <w:abstractNumId w:val="7"/>
  </w:num>
  <w:num w:numId="12" w16cid:durableId="2058967968">
    <w:abstractNumId w:val="21"/>
  </w:num>
  <w:num w:numId="13" w16cid:durableId="697007127">
    <w:abstractNumId w:val="39"/>
  </w:num>
  <w:num w:numId="14" w16cid:durableId="747196330">
    <w:abstractNumId w:val="42"/>
  </w:num>
  <w:num w:numId="15" w16cid:durableId="18704160">
    <w:abstractNumId w:val="16"/>
  </w:num>
  <w:num w:numId="16" w16cid:durableId="1782264568">
    <w:abstractNumId w:val="32"/>
  </w:num>
  <w:num w:numId="17" w16cid:durableId="701521339">
    <w:abstractNumId w:val="38"/>
  </w:num>
  <w:num w:numId="18" w16cid:durableId="1319306817">
    <w:abstractNumId w:val="35"/>
  </w:num>
  <w:num w:numId="19" w16cid:durableId="1312368563">
    <w:abstractNumId w:val="23"/>
  </w:num>
  <w:num w:numId="20" w16cid:durableId="1758595450">
    <w:abstractNumId w:val="20"/>
  </w:num>
  <w:num w:numId="21" w16cid:durableId="101730589">
    <w:abstractNumId w:val="17"/>
  </w:num>
  <w:num w:numId="22" w16cid:durableId="1841574966">
    <w:abstractNumId w:val="6"/>
  </w:num>
  <w:num w:numId="23" w16cid:durableId="1818255854">
    <w:abstractNumId w:val="22"/>
  </w:num>
  <w:num w:numId="24" w16cid:durableId="31074882">
    <w:abstractNumId w:val="30"/>
  </w:num>
  <w:num w:numId="25" w16cid:durableId="218127677">
    <w:abstractNumId w:val="24"/>
  </w:num>
  <w:num w:numId="26" w16cid:durableId="1841459641">
    <w:abstractNumId w:val="1"/>
  </w:num>
  <w:num w:numId="27" w16cid:durableId="474638096">
    <w:abstractNumId w:val="13"/>
  </w:num>
  <w:num w:numId="28" w16cid:durableId="1980188686">
    <w:abstractNumId w:val="9"/>
  </w:num>
  <w:num w:numId="29" w16cid:durableId="665858">
    <w:abstractNumId w:val="33"/>
  </w:num>
  <w:num w:numId="30" w16cid:durableId="451438482">
    <w:abstractNumId w:val="40"/>
  </w:num>
  <w:num w:numId="31" w16cid:durableId="296297750">
    <w:abstractNumId w:val="36"/>
  </w:num>
  <w:num w:numId="32" w16cid:durableId="1381242356">
    <w:abstractNumId w:val="2"/>
  </w:num>
  <w:num w:numId="33" w16cid:durableId="279459061">
    <w:abstractNumId w:val="28"/>
  </w:num>
  <w:num w:numId="34" w16cid:durableId="81075711">
    <w:abstractNumId w:val="43"/>
  </w:num>
  <w:num w:numId="35" w16cid:durableId="2050838770">
    <w:abstractNumId w:val="14"/>
  </w:num>
  <w:num w:numId="36" w16cid:durableId="1936789891">
    <w:abstractNumId w:val="15"/>
  </w:num>
  <w:num w:numId="37" w16cid:durableId="1440680768">
    <w:abstractNumId w:val="44"/>
  </w:num>
  <w:num w:numId="38" w16cid:durableId="563488442">
    <w:abstractNumId w:val="4"/>
  </w:num>
  <w:num w:numId="39" w16cid:durableId="1312054223">
    <w:abstractNumId w:val="34"/>
  </w:num>
  <w:num w:numId="40" w16cid:durableId="1473523554">
    <w:abstractNumId w:val="5"/>
  </w:num>
  <w:num w:numId="41" w16cid:durableId="2082873088">
    <w:abstractNumId w:val="12"/>
  </w:num>
  <w:num w:numId="42" w16cid:durableId="701713002">
    <w:abstractNumId w:val="11"/>
  </w:num>
  <w:num w:numId="43" w16cid:durableId="855265091">
    <w:abstractNumId w:val="19"/>
  </w:num>
  <w:num w:numId="44" w16cid:durableId="1258750390">
    <w:abstractNumId w:val="29"/>
  </w:num>
  <w:num w:numId="45" w16cid:durableId="189834824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B6"/>
    <w:rsid w:val="00000F31"/>
    <w:rsid w:val="000015A8"/>
    <w:rsid w:val="00004954"/>
    <w:rsid w:val="00011538"/>
    <w:rsid w:val="00015A42"/>
    <w:rsid w:val="00017150"/>
    <w:rsid w:val="000227AF"/>
    <w:rsid w:val="00042794"/>
    <w:rsid w:val="00043F90"/>
    <w:rsid w:val="000475D9"/>
    <w:rsid w:val="00047A44"/>
    <w:rsid w:val="00056EA7"/>
    <w:rsid w:val="000611D1"/>
    <w:rsid w:val="00061F05"/>
    <w:rsid w:val="00064EA8"/>
    <w:rsid w:val="0006581B"/>
    <w:rsid w:val="00066671"/>
    <w:rsid w:val="00070088"/>
    <w:rsid w:val="000731EB"/>
    <w:rsid w:val="00077E19"/>
    <w:rsid w:val="000805CA"/>
    <w:rsid w:val="00081A71"/>
    <w:rsid w:val="00093BB8"/>
    <w:rsid w:val="00097E76"/>
    <w:rsid w:val="000A480E"/>
    <w:rsid w:val="000B0DB6"/>
    <w:rsid w:val="000B187D"/>
    <w:rsid w:val="000B1C56"/>
    <w:rsid w:val="000B4DE3"/>
    <w:rsid w:val="000B553B"/>
    <w:rsid w:val="000B5FE3"/>
    <w:rsid w:val="000B78A2"/>
    <w:rsid w:val="000C09A2"/>
    <w:rsid w:val="000C702C"/>
    <w:rsid w:val="000D4487"/>
    <w:rsid w:val="000E00F2"/>
    <w:rsid w:val="000E1C6B"/>
    <w:rsid w:val="000E531E"/>
    <w:rsid w:val="00102CB0"/>
    <w:rsid w:val="00104C6C"/>
    <w:rsid w:val="00106111"/>
    <w:rsid w:val="00112931"/>
    <w:rsid w:val="00122548"/>
    <w:rsid w:val="00122F87"/>
    <w:rsid w:val="00130633"/>
    <w:rsid w:val="00137005"/>
    <w:rsid w:val="00137F3B"/>
    <w:rsid w:val="00142659"/>
    <w:rsid w:val="00142738"/>
    <w:rsid w:val="00142AAD"/>
    <w:rsid w:val="00152E33"/>
    <w:rsid w:val="00155ECE"/>
    <w:rsid w:val="00157ACA"/>
    <w:rsid w:val="00165307"/>
    <w:rsid w:val="00166C67"/>
    <w:rsid w:val="0016AFE9"/>
    <w:rsid w:val="001730BC"/>
    <w:rsid w:val="00174CB6"/>
    <w:rsid w:val="00176D18"/>
    <w:rsid w:val="001770AF"/>
    <w:rsid w:val="0018142B"/>
    <w:rsid w:val="00181818"/>
    <w:rsid w:val="00183AE1"/>
    <w:rsid w:val="00184FCB"/>
    <w:rsid w:val="001877B1"/>
    <w:rsid w:val="00187D62"/>
    <w:rsid w:val="00190A61"/>
    <w:rsid w:val="001925ED"/>
    <w:rsid w:val="00195BFD"/>
    <w:rsid w:val="00195C17"/>
    <w:rsid w:val="00196CFD"/>
    <w:rsid w:val="001A4849"/>
    <w:rsid w:val="001A50D6"/>
    <w:rsid w:val="001A584B"/>
    <w:rsid w:val="001A74BC"/>
    <w:rsid w:val="001B0C14"/>
    <w:rsid w:val="001B395C"/>
    <w:rsid w:val="001B3B3D"/>
    <w:rsid w:val="001B6DFA"/>
    <w:rsid w:val="001B7F32"/>
    <w:rsid w:val="001C0FBA"/>
    <w:rsid w:val="001C22F9"/>
    <w:rsid w:val="001D1E36"/>
    <w:rsid w:val="001D2818"/>
    <w:rsid w:val="001D56FF"/>
    <w:rsid w:val="001D5848"/>
    <w:rsid w:val="001E7796"/>
    <w:rsid w:val="001F1E14"/>
    <w:rsid w:val="001F3269"/>
    <w:rsid w:val="001F34E0"/>
    <w:rsid w:val="001F736C"/>
    <w:rsid w:val="00205D5B"/>
    <w:rsid w:val="002064DF"/>
    <w:rsid w:val="002119F6"/>
    <w:rsid w:val="002134D4"/>
    <w:rsid w:val="00213D78"/>
    <w:rsid w:val="00220340"/>
    <w:rsid w:val="00220EBA"/>
    <w:rsid w:val="00221B40"/>
    <w:rsid w:val="00222C11"/>
    <w:rsid w:val="00223CF5"/>
    <w:rsid w:val="00234516"/>
    <w:rsid w:val="00236DF5"/>
    <w:rsid w:val="00237482"/>
    <w:rsid w:val="002503E8"/>
    <w:rsid w:val="00251357"/>
    <w:rsid w:val="0025403A"/>
    <w:rsid w:val="00262143"/>
    <w:rsid w:val="00272429"/>
    <w:rsid w:val="00272C95"/>
    <w:rsid w:val="00273742"/>
    <w:rsid w:val="00280F65"/>
    <w:rsid w:val="00286FCF"/>
    <w:rsid w:val="002874DE"/>
    <w:rsid w:val="00294262"/>
    <w:rsid w:val="00296904"/>
    <w:rsid w:val="002A2C9F"/>
    <w:rsid w:val="002A5293"/>
    <w:rsid w:val="002B37BE"/>
    <w:rsid w:val="002B47CC"/>
    <w:rsid w:val="002B63A5"/>
    <w:rsid w:val="002B6E5C"/>
    <w:rsid w:val="002C0A96"/>
    <w:rsid w:val="002C3ABC"/>
    <w:rsid w:val="002D2769"/>
    <w:rsid w:val="002D5E3C"/>
    <w:rsid w:val="002E0AA7"/>
    <w:rsid w:val="002E7190"/>
    <w:rsid w:val="003045A0"/>
    <w:rsid w:val="003055EF"/>
    <w:rsid w:val="00305D64"/>
    <w:rsid w:val="00306039"/>
    <w:rsid w:val="00312F7E"/>
    <w:rsid w:val="00324A4A"/>
    <w:rsid w:val="003320BC"/>
    <w:rsid w:val="003402A4"/>
    <w:rsid w:val="00341E3E"/>
    <w:rsid w:val="00342C86"/>
    <w:rsid w:val="00343182"/>
    <w:rsid w:val="003445E8"/>
    <w:rsid w:val="00347CC1"/>
    <w:rsid w:val="00350632"/>
    <w:rsid w:val="0035264A"/>
    <w:rsid w:val="00354935"/>
    <w:rsid w:val="00354ED0"/>
    <w:rsid w:val="003661DC"/>
    <w:rsid w:val="00371178"/>
    <w:rsid w:val="003717B0"/>
    <w:rsid w:val="00376C51"/>
    <w:rsid w:val="00377ECF"/>
    <w:rsid w:val="00381515"/>
    <w:rsid w:val="00386E6F"/>
    <w:rsid w:val="00387B54"/>
    <w:rsid w:val="0039676E"/>
    <w:rsid w:val="00397707"/>
    <w:rsid w:val="003A13F5"/>
    <w:rsid w:val="003B3BA8"/>
    <w:rsid w:val="003B571F"/>
    <w:rsid w:val="003B739F"/>
    <w:rsid w:val="003C1865"/>
    <w:rsid w:val="003C3DBD"/>
    <w:rsid w:val="003C65CD"/>
    <w:rsid w:val="003D2D45"/>
    <w:rsid w:val="003D3C5E"/>
    <w:rsid w:val="003D6B65"/>
    <w:rsid w:val="003D7AEB"/>
    <w:rsid w:val="003E5497"/>
    <w:rsid w:val="003E5D28"/>
    <w:rsid w:val="003E69EB"/>
    <w:rsid w:val="003E6F62"/>
    <w:rsid w:val="00406236"/>
    <w:rsid w:val="004065FE"/>
    <w:rsid w:val="00411667"/>
    <w:rsid w:val="00417CF9"/>
    <w:rsid w:val="0043210D"/>
    <w:rsid w:val="004435CB"/>
    <w:rsid w:val="0045375C"/>
    <w:rsid w:val="0045409F"/>
    <w:rsid w:val="004572E9"/>
    <w:rsid w:val="00471820"/>
    <w:rsid w:val="0047399B"/>
    <w:rsid w:val="00474CC8"/>
    <w:rsid w:val="00474E14"/>
    <w:rsid w:val="00477BA5"/>
    <w:rsid w:val="00482593"/>
    <w:rsid w:val="00487F95"/>
    <w:rsid w:val="00492585"/>
    <w:rsid w:val="00496665"/>
    <w:rsid w:val="00497E7D"/>
    <w:rsid w:val="004A38A4"/>
    <w:rsid w:val="004A3BEE"/>
    <w:rsid w:val="004A5C77"/>
    <w:rsid w:val="004B078E"/>
    <w:rsid w:val="004B2419"/>
    <w:rsid w:val="004B78C8"/>
    <w:rsid w:val="004C2B08"/>
    <w:rsid w:val="004C3179"/>
    <w:rsid w:val="004C47B7"/>
    <w:rsid w:val="004C79B6"/>
    <w:rsid w:val="004D0908"/>
    <w:rsid w:val="004D17B8"/>
    <w:rsid w:val="004D62D8"/>
    <w:rsid w:val="004D74CA"/>
    <w:rsid w:val="004E17BE"/>
    <w:rsid w:val="004E6DF0"/>
    <w:rsid w:val="004F04DB"/>
    <w:rsid w:val="004F0F8E"/>
    <w:rsid w:val="00500722"/>
    <w:rsid w:val="00522713"/>
    <w:rsid w:val="00530DD5"/>
    <w:rsid w:val="00532726"/>
    <w:rsid w:val="00533258"/>
    <w:rsid w:val="00535355"/>
    <w:rsid w:val="00535834"/>
    <w:rsid w:val="00535B71"/>
    <w:rsid w:val="00540118"/>
    <w:rsid w:val="00540E96"/>
    <w:rsid w:val="0054478F"/>
    <w:rsid w:val="00545266"/>
    <w:rsid w:val="00555AF2"/>
    <w:rsid w:val="005636BE"/>
    <w:rsid w:val="00564F6F"/>
    <w:rsid w:val="0056784E"/>
    <w:rsid w:val="00572EE2"/>
    <w:rsid w:val="00574A6B"/>
    <w:rsid w:val="00575D45"/>
    <w:rsid w:val="00582C7A"/>
    <w:rsid w:val="0058520C"/>
    <w:rsid w:val="00586B6B"/>
    <w:rsid w:val="00587D69"/>
    <w:rsid w:val="00591BD5"/>
    <w:rsid w:val="0059331F"/>
    <w:rsid w:val="005A3CE8"/>
    <w:rsid w:val="005A4810"/>
    <w:rsid w:val="005B0F75"/>
    <w:rsid w:val="005C4BA7"/>
    <w:rsid w:val="005C5E94"/>
    <w:rsid w:val="005C7563"/>
    <w:rsid w:val="005D019D"/>
    <w:rsid w:val="005D5D4D"/>
    <w:rsid w:val="005D74EC"/>
    <w:rsid w:val="005E5F56"/>
    <w:rsid w:val="005F1177"/>
    <w:rsid w:val="005F1AD8"/>
    <w:rsid w:val="005F1DDC"/>
    <w:rsid w:val="005F6246"/>
    <w:rsid w:val="005F7607"/>
    <w:rsid w:val="0060196F"/>
    <w:rsid w:val="006036BE"/>
    <w:rsid w:val="00603DBE"/>
    <w:rsid w:val="00604338"/>
    <w:rsid w:val="00604E72"/>
    <w:rsid w:val="0061267F"/>
    <w:rsid w:val="00616804"/>
    <w:rsid w:val="00620153"/>
    <w:rsid w:val="00623631"/>
    <w:rsid w:val="0062379D"/>
    <w:rsid w:val="00624395"/>
    <w:rsid w:val="00624C0A"/>
    <w:rsid w:val="00624ED7"/>
    <w:rsid w:val="00631319"/>
    <w:rsid w:val="00631E6C"/>
    <w:rsid w:val="006320A1"/>
    <w:rsid w:val="00643A65"/>
    <w:rsid w:val="00652B1A"/>
    <w:rsid w:val="006577EA"/>
    <w:rsid w:val="00657F0F"/>
    <w:rsid w:val="006717B4"/>
    <w:rsid w:val="006720E1"/>
    <w:rsid w:val="00672C31"/>
    <w:rsid w:val="00672DBD"/>
    <w:rsid w:val="00676962"/>
    <w:rsid w:val="00680436"/>
    <w:rsid w:val="00683782"/>
    <w:rsid w:val="006839B5"/>
    <w:rsid w:val="00685451"/>
    <w:rsid w:val="0068764F"/>
    <w:rsid w:val="00690928"/>
    <w:rsid w:val="0069465C"/>
    <w:rsid w:val="00695906"/>
    <w:rsid w:val="00695C49"/>
    <w:rsid w:val="006A2132"/>
    <w:rsid w:val="006A4D37"/>
    <w:rsid w:val="006B1F8C"/>
    <w:rsid w:val="006B3DA6"/>
    <w:rsid w:val="006B5E6B"/>
    <w:rsid w:val="006B68E8"/>
    <w:rsid w:val="006C607E"/>
    <w:rsid w:val="006E3D11"/>
    <w:rsid w:val="006E3F8B"/>
    <w:rsid w:val="006F6C83"/>
    <w:rsid w:val="006F6FA3"/>
    <w:rsid w:val="00705E69"/>
    <w:rsid w:val="00713A49"/>
    <w:rsid w:val="00714F70"/>
    <w:rsid w:val="007154F5"/>
    <w:rsid w:val="00715865"/>
    <w:rsid w:val="00715CB5"/>
    <w:rsid w:val="007201E3"/>
    <w:rsid w:val="0072082A"/>
    <w:rsid w:val="00720AB7"/>
    <w:rsid w:val="00721332"/>
    <w:rsid w:val="00721921"/>
    <w:rsid w:val="0072561C"/>
    <w:rsid w:val="007277A7"/>
    <w:rsid w:val="00733482"/>
    <w:rsid w:val="00736167"/>
    <w:rsid w:val="00737470"/>
    <w:rsid w:val="0074128B"/>
    <w:rsid w:val="00750E67"/>
    <w:rsid w:val="00754176"/>
    <w:rsid w:val="007550F9"/>
    <w:rsid w:val="00757E09"/>
    <w:rsid w:val="00764B7D"/>
    <w:rsid w:val="007770AA"/>
    <w:rsid w:val="00791084"/>
    <w:rsid w:val="007A04C6"/>
    <w:rsid w:val="007A4C92"/>
    <w:rsid w:val="007B211C"/>
    <w:rsid w:val="007B3ECF"/>
    <w:rsid w:val="007B4733"/>
    <w:rsid w:val="007B7E74"/>
    <w:rsid w:val="007C7407"/>
    <w:rsid w:val="007C75C3"/>
    <w:rsid w:val="007C7F21"/>
    <w:rsid w:val="007D3C22"/>
    <w:rsid w:val="007D65D0"/>
    <w:rsid w:val="007E0D0C"/>
    <w:rsid w:val="007E5F76"/>
    <w:rsid w:val="007F2469"/>
    <w:rsid w:val="007F47F5"/>
    <w:rsid w:val="007F5E59"/>
    <w:rsid w:val="008033D1"/>
    <w:rsid w:val="00806A82"/>
    <w:rsid w:val="0081045E"/>
    <w:rsid w:val="00817895"/>
    <w:rsid w:val="00821435"/>
    <w:rsid w:val="00821AEF"/>
    <w:rsid w:val="00824246"/>
    <w:rsid w:val="00835353"/>
    <w:rsid w:val="00841202"/>
    <w:rsid w:val="00843749"/>
    <w:rsid w:val="00843817"/>
    <w:rsid w:val="00844C90"/>
    <w:rsid w:val="00844E09"/>
    <w:rsid w:val="00854C00"/>
    <w:rsid w:val="008561DF"/>
    <w:rsid w:val="00857257"/>
    <w:rsid w:val="00861736"/>
    <w:rsid w:val="00863165"/>
    <w:rsid w:val="00865F1F"/>
    <w:rsid w:val="00875104"/>
    <w:rsid w:val="00876C99"/>
    <w:rsid w:val="0088177F"/>
    <w:rsid w:val="00882831"/>
    <w:rsid w:val="0089279C"/>
    <w:rsid w:val="00892896"/>
    <w:rsid w:val="008954A0"/>
    <w:rsid w:val="008B10B2"/>
    <w:rsid w:val="008B406F"/>
    <w:rsid w:val="008B4D71"/>
    <w:rsid w:val="008B5859"/>
    <w:rsid w:val="008D6440"/>
    <w:rsid w:val="008E162A"/>
    <w:rsid w:val="008E1A6D"/>
    <w:rsid w:val="008E4082"/>
    <w:rsid w:val="00904D98"/>
    <w:rsid w:val="009102FA"/>
    <w:rsid w:val="0091053A"/>
    <w:rsid w:val="0091698B"/>
    <w:rsid w:val="00916BD4"/>
    <w:rsid w:val="00921FF3"/>
    <w:rsid w:val="009249EA"/>
    <w:rsid w:val="00931384"/>
    <w:rsid w:val="009319BC"/>
    <w:rsid w:val="00942A68"/>
    <w:rsid w:val="00943C86"/>
    <w:rsid w:val="00953008"/>
    <w:rsid w:val="00953644"/>
    <w:rsid w:val="0095471B"/>
    <w:rsid w:val="00954EF7"/>
    <w:rsid w:val="00957C69"/>
    <w:rsid w:val="00960104"/>
    <w:rsid w:val="00961C2A"/>
    <w:rsid w:val="009633CC"/>
    <w:rsid w:val="00965131"/>
    <w:rsid w:val="00967FD1"/>
    <w:rsid w:val="009730BA"/>
    <w:rsid w:val="009756C0"/>
    <w:rsid w:val="00982245"/>
    <w:rsid w:val="009925F7"/>
    <w:rsid w:val="009A31A3"/>
    <w:rsid w:val="009B136A"/>
    <w:rsid w:val="009B4AF1"/>
    <w:rsid w:val="009B5203"/>
    <w:rsid w:val="009B635E"/>
    <w:rsid w:val="009C20D3"/>
    <w:rsid w:val="009C704F"/>
    <w:rsid w:val="009C7D31"/>
    <w:rsid w:val="009D2E23"/>
    <w:rsid w:val="009D4CE1"/>
    <w:rsid w:val="009D6FF9"/>
    <w:rsid w:val="009E18C9"/>
    <w:rsid w:val="009E3F3A"/>
    <w:rsid w:val="009F05EF"/>
    <w:rsid w:val="009F177E"/>
    <w:rsid w:val="009F2871"/>
    <w:rsid w:val="009F6862"/>
    <w:rsid w:val="00A05077"/>
    <w:rsid w:val="00A145E3"/>
    <w:rsid w:val="00A16E65"/>
    <w:rsid w:val="00A20792"/>
    <w:rsid w:val="00A42AE6"/>
    <w:rsid w:val="00A430E5"/>
    <w:rsid w:val="00A5079F"/>
    <w:rsid w:val="00A53624"/>
    <w:rsid w:val="00A63A52"/>
    <w:rsid w:val="00A65DB0"/>
    <w:rsid w:val="00A66554"/>
    <w:rsid w:val="00A70093"/>
    <w:rsid w:val="00A7017E"/>
    <w:rsid w:val="00A7619B"/>
    <w:rsid w:val="00A762A5"/>
    <w:rsid w:val="00A859C8"/>
    <w:rsid w:val="00A90919"/>
    <w:rsid w:val="00A93FE3"/>
    <w:rsid w:val="00A94D9C"/>
    <w:rsid w:val="00A96375"/>
    <w:rsid w:val="00AA02E6"/>
    <w:rsid w:val="00AA1429"/>
    <w:rsid w:val="00AA4751"/>
    <w:rsid w:val="00AA588A"/>
    <w:rsid w:val="00AB19EA"/>
    <w:rsid w:val="00AB246B"/>
    <w:rsid w:val="00AC3FC0"/>
    <w:rsid w:val="00AC43A2"/>
    <w:rsid w:val="00AC4736"/>
    <w:rsid w:val="00AE20FB"/>
    <w:rsid w:val="00AE4356"/>
    <w:rsid w:val="00AE4FE8"/>
    <w:rsid w:val="00B0646C"/>
    <w:rsid w:val="00B07139"/>
    <w:rsid w:val="00B074C9"/>
    <w:rsid w:val="00B10D0A"/>
    <w:rsid w:val="00B1375E"/>
    <w:rsid w:val="00B224CD"/>
    <w:rsid w:val="00B27F0E"/>
    <w:rsid w:val="00B40D3A"/>
    <w:rsid w:val="00B464DE"/>
    <w:rsid w:val="00B55E82"/>
    <w:rsid w:val="00B570D0"/>
    <w:rsid w:val="00B60A37"/>
    <w:rsid w:val="00B61E4A"/>
    <w:rsid w:val="00B642E9"/>
    <w:rsid w:val="00B76C1B"/>
    <w:rsid w:val="00B80B03"/>
    <w:rsid w:val="00B83597"/>
    <w:rsid w:val="00B84EE9"/>
    <w:rsid w:val="00B94ACD"/>
    <w:rsid w:val="00B94D94"/>
    <w:rsid w:val="00BA073D"/>
    <w:rsid w:val="00BA6FD4"/>
    <w:rsid w:val="00BB20F8"/>
    <w:rsid w:val="00BB4561"/>
    <w:rsid w:val="00BB6037"/>
    <w:rsid w:val="00BC4FBE"/>
    <w:rsid w:val="00BC6902"/>
    <w:rsid w:val="00BC6DFC"/>
    <w:rsid w:val="00BC7B4C"/>
    <w:rsid w:val="00BF4DED"/>
    <w:rsid w:val="00BF5DD9"/>
    <w:rsid w:val="00BF6520"/>
    <w:rsid w:val="00C02E67"/>
    <w:rsid w:val="00C07DDD"/>
    <w:rsid w:val="00C13F9E"/>
    <w:rsid w:val="00C16549"/>
    <w:rsid w:val="00C24172"/>
    <w:rsid w:val="00C34ED7"/>
    <w:rsid w:val="00C3591D"/>
    <w:rsid w:val="00C54768"/>
    <w:rsid w:val="00C621DC"/>
    <w:rsid w:val="00C646AC"/>
    <w:rsid w:val="00C64CD7"/>
    <w:rsid w:val="00C74351"/>
    <w:rsid w:val="00C754E1"/>
    <w:rsid w:val="00C765C8"/>
    <w:rsid w:val="00C86B19"/>
    <w:rsid w:val="00C86D65"/>
    <w:rsid w:val="00CA396B"/>
    <w:rsid w:val="00CA7F5F"/>
    <w:rsid w:val="00CB2241"/>
    <w:rsid w:val="00CB2F31"/>
    <w:rsid w:val="00CC5F31"/>
    <w:rsid w:val="00CD3F0C"/>
    <w:rsid w:val="00CD640F"/>
    <w:rsid w:val="00CE1E6B"/>
    <w:rsid w:val="00CE3438"/>
    <w:rsid w:val="00CE65DB"/>
    <w:rsid w:val="00CE75FB"/>
    <w:rsid w:val="00D07642"/>
    <w:rsid w:val="00D10716"/>
    <w:rsid w:val="00D1617F"/>
    <w:rsid w:val="00D2586F"/>
    <w:rsid w:val="00D30401"/>
    <w:rsid w:val="00D333FB"/>
    <w:rsid w:val="00D41279"/>
    <w:rsid w:val="00D42E1D"/>
    <w:rsid w:val="00D54F5E"/>
    <w:rsid w:val="00D5652C"/>
    <w:rsid w:val="00D629C7"/>
    <w:rsid w:val="00D63E84"/>
    <w:rsid w:val="00D65821"/>
    <w:rsid w:val="00D66102"/>
    <w:rsid w:val="00D66B90"/>
    <w:rsid w:val="00D70555"/>
    <w:rsid w:val="00D7364A"/>
    <w:rsid w:val="00D814AB"/>
    <w:rsid w:val="00D87D1F"/>
    <w:rsid w:val="00D91B37"/>
    <w:rsid w:val="00D92BE8"/>
    <w:rsid w:val="00D96789"/>
    <w:rsid w:val="00DA24E5"/>
    <w:rsid w:val="00DA3FCE"/>
    <w:rsid w:val="00DA7AF7"/>
    <w:rsid w:val="00DB501B"/>
    <w:rsid w:val="00DB6023"/>
    <w:rsid w:val="00DC2949"/>
    <w:rsid w:val="00DC4153"/>
    <w:rsid w:val="00DD1D31"/>
    <w:rsid w:val="00DD37A8"/>
    <w:rsid w:val="00DD5D54"/>
    <w:rsid w:val="00DDD1F5"/>
    <w:rsid w:val="00DE41F9"/>
    <w:rsid w:val="00DE4ACC"/>
    <w:rsid w:val="00DF4643"/>
    <w:rsid w:val="00E003CE"/>
    <w:rsid w:val="00E103BF"/>
    <w:rsid w:val="00E10E3D"/>
    <w:rsid w:val="00E14013"/>
    <w:rsid w:val="00E14E38"/>
    <w:rsid w:val="00E36531"/>
    <w:rsid w:val="00E42268"/>
    <w:rsid w:val="00E52DBF"/>
    <w:rsid w:val="00E55565"/>
    <w:rsid w:val="00E64310"/>
    <w:rsid w:val="00E66F29"/>
    <w:rsid w:val="00E67596"/>
    <w:rsid w:val="00E67DE2"/>
    <w:rsid w:val="00E75DDC"/>
    <w:rsid w:val="00E81D96"/>
    <w:rsid w:val="00E81FBF"/>
    <w:rsid w:val="00E903DC"/>
    <w:rsid w:val="00E94D46"/>
    <w:rsid w:val="00E96149"/>
    <w:rsid w:val="00EA3962"/>
    <w:rsid w:val="00EB0469"/>
    <w:rsid w:val="00EC0A88"/>
    <w:rsid w:val="00EC3B0F"/>
    <w:rsid w:val="00EC6230"/>
    <w:rsid w:val="00ED0C35"/>
    <w:rsid w:val="00ED5AFF"/>
    <w:rsid w:val="00ED6D37"/>
    <w:rsid w:val="00EF0616"/>
    <w:rsid w:val="00EF7754"/>
    <w:rsid w:val="00F00BCA"/>
    <w:rsid w:val="00F03354"/>
    <w:rsid w:val="00F03CAA"/>
    <w:rsid w:val="00F07D78"/>
    <w:rsid w:val="00F12ECC"/>
    <w:rsid w:val="00F13BE9"/>
    <w:rsid w:val="00F15DDD"/>
    <w:rsid w:val="00F274C2"/>
    <w:rsid w:val="00F301CC"/>
    <w:rsid w:val="00F323EF"/>
    <w:rsid w:val="00F43F63"/>
    <w:rsid w:val="00F51ACA"/>
    <w:rsid w:val="00F537B7"/>
    <w:rsid w:val="00F65E00"/>
    <w:rsid w:val="00F70558"/>
    <w:rsid w:val="00F73C0E"/>
    <w:rsid w:val="00F7665E"/>
    <w:rsid w:val="00F84DB0"/>
    <w:rsid w:val="00F902AA"/>
    <w:rsid w:val="00F95108"/>
    <w:rsid w:val="00F96F4A"/>
    <w:rsid w:val="00FA3AB8"/>
    <w:rsid w:val="00FA66A0"/>
    <w:rsid w:val="00FB40FF"/>
    <w:rsid w:val="00FC6CE7"/>
    <w:rsid w:val="00FD5E21"/>
    <w:rsid w:val="00FE2B0E"/>
    <w:rsid w:val="00FE5667"/>
    <w:rsid w:val="00FE717B"/>
    <w:rsid w:val="00FF0497"/>
    <w:rsid w:val="00FF23CD"/>
    <w:rsid w:val="00FF2462"/>
    <w:rsid w:val="00FF6960"/>
    <w:rsid w:val="00FF7044"/>
    <w:rsid w:val="00FF782F"/>
    <w:rsid w:val="00FF7DFC"/>
    <w:rsid w:val="01AE4C88"/>
    <w:rsid w:val="01CA1143"/>
    <w:rsid w:val="01D4261C"/>
    <w:rsid w:val="0243D71A"/>
    <w:rsid w:val="026DF2D6"/>
    <w:rsid w:val="0359CD7D"/>
    <w:rsid w:val="046C9E3E"/>
    <w:rsid w:val="047EDABC"/>
    <w:rsid w:val="050D31AC"/>
    <w:rsid w:val="05ADD0EE"/>
    <w:rsid w:val="05C4A8C8"/>
    <w:rsid w:val="061A7438"/>
    <w:rsid w:val="06483549"/>
    <w:rsid w:val="068AFB4B"/>
    <w:rsid w:val="06B5F495"/>
    <w:rsid w:val="06DDF7EE"/>
    <w:rsid w:val="0700F453"/>
    <w:rsid w:val="0710C3A9"/>
    <w:rsid w:val="074CB74F"/>
    <w:rsid w:val="07BB0081"/>
    <w:rsid w:val="07DC10F7"/>
    <w:rsid w:val="080EE0C2"/>
    <w:rsid w:val="084D64FE"/>
    <w:rsid w:val="085E7897"/>
    <w:rsid w:val="08A8CF77"/>
    <w:rsid w:val="08C97828"/>
    <w:rsid w:val="08E887B0"/>
    <w:rsid w:val="09067336"/>
    <w:rsid w:val="0963297D"/>
    <w:rsid w:val="09ADFEAB"/>
    <w:rsid w:val="09D9A532"/>
    <w:rsid w:val="0A3144CD"/>
    <w:rsid w:val="0A57CEC9"/>
    <w:rsid w:val="0A79B6A8"/>
    <w:rsid w:val="0AA37905"/>
    <w:rsid w:val="0AD4F3E3"/>
    <w:rsid w:val="0B2E0EEB"/>
    <w:rsid w:val="0B686D76"/>
    <w:rsid w:val="0B81C455"/>
    <w:rsid w:val="0BA35502"/>
    <w:rsid w:val="0BBD22FF"/>
    <w:rsid w:val="0BF516AB"/>
    <w:rsid w:val="0C474C19"/>
    <w:rsid w:val="0C82ECCB"/>
    <w:rsid w:val="0C9899C7"/>
    <w:rsid w:val="0C99E3F9"/>
    <w:rsid w:val="0D0655C8"/>
    <w:rsid w:val="0D1BFB0A"/>
    <w:rsid w:val="0D3D00CF"/>
    <w:rsid w:val="0D75C652"/>
    <w:rsid w:val="0DDB19C7"/>
    <w:rsid w:val="0E1EBD2C"/>
    <w:rsid w:val="0E9B394F"/>
    <w:rsid w:val="0EB7D4D4"/>
    <w:rsid w:val="0EBD6DC5"/>
    <w:rsid w:val="0EC747C7"/>
    <w:rsid w:val="0ECD6D37"/>
    <w:rsid w:val="0F29F809"/>
    <w:rsid w:val="0FBBF65B"/>
    <w:rsid w:val="102AD26E"/>
    <w:rsid w:val="1057C776"/>
    <w:rsid w:val="114CA854"/>
    <w:rsid w:val="11BDEF25"/>
    <w:rsid w:val="122B925F"/>
    <w:rsid w:val="1251B4AA"/>
    <w:rsid w:val="12DB12A4"/>
    <w:rsid w:val="12E05959"/>
    <w:rsid w:val="1349A706"/>
    <w:rsid w:val="135E85DE"/>
    <w:rsid w:val="1399152C"/>
    <w:rsid w:val="1450D94E"/>
    <w:rsid w:val="1470E0D2"/>
    <w:rsid w:val="147CC771"/>
    <w:rsid w:val="149E1627"/>
    <w:rsid w:val="15B0A62D"/>
    <w:rsid w:val="161EB8B1"/>
    <w:rsid w:val="1645931C"/>
    <w:rsid w:val="16532139"/>
    <w:rsid w:val="166D9710"/>
    <w:rsid w:val="16E2B6D1"/>
    <w:rsid w:val="171A8F41"/>
    <w:rsid w:val="1763B444"/>
    <w:rsid w:val="17C61AC7"/>
    <w:rsid w:val="17CF6C67"/>
    <w:rsid w:val="180822F0"/>
    <w:rsid w:val="182AE371"/>
    <w:rsid w:val="1832346A"/>
    <w:rsid w:val="188D6695"/>
    <w:rsid w:val="18D157F4"/>
    <w:rsid w:val="1952D73D"/>
    <w:rsid w:val="197CD41A"/>
    <w:rsid w:val="19F8C847"/>
    <w:rsid w:val="1A29E1E2"/>
    <w:rsid w:val="1A46BDE6"/>
    <w:rsid w:val="1A56CD0D"/>
    <w:rsid w:val="1AE35DD5"/>
    <w:rsid w:val="1AEEC7B0"/>
    <w:rsid w:val="1AF86F41"/>
    <w:rsid w:val="1B0BE8DE"/>
    <w:rsid w:val="1B0D1CE6"/>
    <w:rsid w:val="1B412D63"/>
    <w:rsid w:val="1B4B07F9"/>
    <w:rsid w:val="1C03E6C2"/>
    <w:rsid w:val="1C5CCA5E"/>
    <w:rsid w:val="1C67F209"/>
    <w:rsid w:val="1C7DBB7D"/>
    <w:rsid w:val="1CA78641"/>
    <w:rsid w:val="1CEBCC70"/>
    <w:rsid w:val="1D1F0A58"/>
    <w:rsid w:val="1D1F0A70"/>
    <w:rsid w:val="1D60D7B8"/>
    <w:rsid w:val="1DA6BBEE"/>
    <w:rsid w:val="1E0F129A"/>
    <w:rsid w:val="1E10D2AC"/>
    <w:rsid w:val="1E1AEF32"/>
    <w:rsid w:val="1E1BBCB1"/>
    <w:rsid w:val="1E3E650B"/>
    <w:rsid w:val="1E84DC01"/>
    <w:rsid w:val="1EB41B7F"/>
    <w:rsid w:val="1EFD5305"/>
    <w:rsid w:val="2048E3BE"/>
    <w:rsid w:val="2056AB1A"/>
    <w:rsid w:val="209410A4"/>
    <w:rsid w:val="20992366"/>
    <w:rsid w:val="20BE7337"/>
    <w:rsid w:val="20EBF6E2"/>
    <w:rsid w:val="2135B91A"/>
    <w:rsid w:val="2155A4F2"/>
    <w:rsid w:val="2157579B"/>
    <w:rsid w:val="21732455"/>
    <w:rsid w:val="21D2B229"/>
    <w:rsid w:val="2241582E"/>
    <w:rsid w:val="22A0BCBA"/>
    <w:rsid w:val="22B4196F"/>
    <w:rsid w:val="238DE735"/>
    <w:rsid w:val="23CA53A3"/>
    <w:rsid w:val="23DA877A"/>
    <w:rsid w:val="23DD288F"/>
    <w:rsid w:val="248989BA"/>
    <w:rsid w:val="249E6CCC"/>
    <w:rsid w:val="24CF6D18"/>
    <w:rsid w:val="257505EE"/>
    <w:rsid w:val="257684F0"/>
    <w:rsid w:val="260C6E35"/>
    <w:rsid w:val="260C88E5"/>
    <w:rsid w:val="2623A0EE"/>
    <w:rsid w:val="2660C889"/>
    <w:rsid w:val="2663A6F2"/>
    <w:rsid w:val="26B82542"/>
    <w:rsid w:val="272FD2EC"/>
    <w:rsid w:val="274027A9"/>
    <w:rsid w:val="2761C61D"/>
    <w:rsid w:val="277FA2F2"/>
    <w:rsid w:val="27ACDC62"/>
    <w:rsid w:val="27B6846A"/>
    <w:rsid w:val="27D60D8E"/>
    <w:rsid w:val="2886C0FD"/>
    <w:rsid w:val="28DEF453"/>
    <w:rsid w:val="28EDC648"/>
    <w:rsid w:val="298BC11F"/>
    <w:rsid w:val="29E07786"/>
    <w:rsid w:val="29E2ACCF"/>
    <w:rsid w:val="2A474846"/>
    <w:rsid w:val="2B29D692"/>
    <w:rsid w:val="2B36ABE6"/>
    <w:rsid w:val="2BBDD73D"/>
    <w:rsid w:val="2BC54456"/>
    <w:rsid w:val="2BD0E0B6"/>
    <w:rsid w:val="2BF198C7"/>
    <w:rsid w:val="2C0A7BEB"/>
    <w:rsid w:val="2C49271A"/>
    <w:rsid w:val="2CB7EFC4"/>
    <w:rsid w:val="2D23A4CC"/>
    <w:rsid w:val="2D35F86B"/>
    <w:rsid w:val="2D6DE997"/>
    <w:rsid w:val="2D88F0F2"/>
    <w:rsid w:val="2DDB1556"/>
    <w:rsid w:val="2DE074D2"/>
    <w:rsid w:val="2E4396DE"/>
    <w:rsid w:val="2EE6AAA2"/>
    <w:rsid w:val="2EE8836C"/>
    <w:rsid w:val="2F70FAC3"/>
    <w:rsid w:val="30BBAB97"/>
    <w:rsid w:val="30D3506B"/>
    <w:rsid w:val="30E5524F"/>
    <w:rsid w:val="3239DCBA"/>
    <w:rsid w:val="32530517"/>
    <w:rsid w:val="32913996"/>
    <w:rsid w:val="33274A7F"/>
    <w:rsid w:val="334DE5EC"/>
    <w:rsid w:val="33AC7DEC"/>
    <w:rsid w:val="33DDBB61"/>
    <w:rsid w:val="344C8096"/>
    <w:rsid w:val="34BD3697"/>
    <w:rsid w:val="34BE4A87"/>
    <w:rsid w:val="34D4E46A"/>
    <w:rsid w:val="354C1BA8"/>
    <w:rsid w:val="3554029D"/>
    <w:rsid w:val="35717D7C"/>
    <w:rsid w:val="35B7AA88"/>
    <w:rsid w:val="36BF1B74"/>
    <w:rsid w:val="36DFABAA"/>
    <w:rsid w:val="37155C23"/>
    <w:rsid w:val="374DCBF0"/>
    <w:rsid w:val="377B8DA0"/>
    <w:rsid w:val="37869347"/>
    <w:rsid w:val="38651F0E"/>
    <w:rsid w:val="3875B4E1"/>
    <w:rsid w:val="387D0BC8"/>
    <w:rsid w:val="3A324BB3"/>
    <w:rsid w:val="3A5E16FC"/>
    <w:rsid w:val="3A5F66AF"/>
    <w:rsid w:val="3ABBBE98"/>
    <w:rsid w:val="3AF4E993"/>
    <w:rsid w:val="3AF96074"/>
    <w:rsid w:val="3B5FAF23"/>
    <w:rsid w:val="3BADDE17"/>
    <w:rsid w:val="3BB1BAB8"/>
    <w:rsid w:val="3C057F4E"/>
    <w:rsid w:val="3C4CF1F5"/>
    <w:rsid w:val="3C63955A"/>
    <w:rsid w:val="3C7BF89B"/>
    <w:rsid w:val="3C80DED7"/>
    <w:rsid w:val="3CA4C1EA"/>
    <w:rsid w:val="3D51EB93"/>
    <w:rsid w:val="3DA6955C"/>
    <w:rsid w:val="3DE1CD15"/>
    <w:rsid w:val="3DF6AEB0"/>
    <w:rsid w:val="3E873716"/>
    <w:rsid w:val="3EB36E4A"/>
    <w:rsid w:val="3EFBDE61"/>
    <w:rsid w:val="3F24C429"/>
    <w:rsid w:val="3F276E0E"/>
    <w:rsid w:val="3FD19AB1"/>
    <w:rsid w:val="3FFDC4AA"/>
    <w:rsid w:val="4026A7FE"/>
    <w:rsid w:val="407ABB1B"/>
    <w:rsid w:val="4097AEC2"/>
    <w:rsid w:val="417A0D48"/>
    <w:rsid w:val="41A6BDF1"/>
    <w:rsid w:val="41B8D6F9"/>
    <w:rsid w:val="41C961D2"/>
    <w:rsid w:val="420F7D51"/>
    <w:rsid w:val="42904F7F"/>
    <w:rsid w:val="43DAB6CE"/>
    <w:rsid w:val="43E0E1C9"/>
    <w:rsid w:val="4462C48A"/>
    <w:rsid w:val="44CAE25C"/>
    <w:rsid w:val="4544C453"/>
    <w:rsid w:val="456874C3"/>
    <w:rsid w:val="45A396C2"/>
    <w:rsid w:val="45EC1D25"/>
    <w:rsid w:val="45F5D3BD"/>
    <w:rsid w:val="4611F63E"/>
    <w:rsid w:val="4645D87B"/>
    <w:rsid w:val="46644D08"/>
    <w:rsid w:val="467B6439"/>
    <w:rsid w:val="468CD36D"/>
    <w:rsid w:val="46FF7D65"/>
    <w:rsid w:val="4703132F"/>
    <w:rsid w:val="477BE88B"/>
    <w:rsid w:val="47904C04"/>
    <w:rsid w:val="47991586"/>
    <w:rsid w:val="47E7A96C"/>
    <w:rsid w:val="47ED4677"/>
    <w:rsid w:val="47F31F64"/>
    <w:rsid w:val="48CFE143"/>
    <w:rsid w:val="49317AF6"/>
    <w:rsid w:val="494B0D7A"/>
    <w:rsid w:val="499E537F"/>
    <w:rsid w:val="49D4731E"/>
    <w:rsid w:val="49EECF46"/>
    <w:rsid w:val="4A30DEB2"/>
    <w:rsid w:val="4B1CFF7A"/>
    <w:rsid w:val="4C82CDA3"/>
    <w:rsid w:val="4CF8D8C3"/>
    <w:rsid w:val="4DAEA8A7"/>
    <w:rsid w:val="4DDD4D8A"/>
    <w:rsid w:val="4DE268D9"/>
    <w:rsid w:val="4E15E5F6"/>
    <w:rsid w:val="4E22E8E7"/>
    <w:rsid w:val="4E49DE95"/>
    <w:rsid w:val="4EA3059D"/>
    <w:rsid w:val="4EFB39CC"/>
    <w:rsid w:val="4F6A0276"/>
    <w:rsid w:val="501ABF0B"/>
    <w:rsid w:val="5079C7F8"/>
    <w:rsid w:val="50CB26A0"/>
    <w:rsid w:val="50E513FB"/>
    <w:rsid w:val="50FC476E"/>
    <w:rsid w:val="5120EF6F"/>
    <w:rsid w:val="51AD183A"/>
    <w:rsid w:val="51F8106E"/>
    <w:rsid w:val="528A536B"/>
    <w:rsid w:val="52CA7FE8"/>
    <w:rsid w:val="5309444A"/>
    <w:rsid w:val="534535C5"/>
    <w:rsid w:val="53BA7668"/>
    <w:rsid w:val="53E9B75E"/>
    <w:rsid w:val="53E9DAD3"/>
    <w:rsid w:val="5443D4D8"/>
    <w:rsid w:val="54A7D592"/>
    <w:rsid w:val="54DBE459"/>
    <w:rsid w:val="54F5B7A2"/>
    <w:rsid w:val="552FB130"/>
    <w:rsid w:val="55CFB891"/>
    <w:rsid w:val="56274BD4"/>
    <w:rsid w:val="565AEDB9"/>
    <w:rsid w:val="56785A27"/>
    <w:rsid w:val="5685105A"/>
    <w:rsid w:val="568692AC"/>
    <w:rsid w:val="568A7D94"/>
    <w:rsid w:val="56CE8A95"/>
    <w:rsid w:val="56FF4E23"/>
    <w:rsid w:val="5701068B"/>
    <w:rsid w:val="57250196"/>
    <w:rsid w:val="57439C62"/>
    <w:rsid w:val="575B31B5"/>
    <w:rsid w:val="580F0639"/>
    <w:rsid w:val="582E08D3"/>
    <w:rsid w:val="58625736"/>
    <w:rsid w:val="5902850F"/>
    <w:rsid w:val="590F739C"/>
    <w:rsid w:val="59633DBE"/>
    <w:rsid w:val="5994733D"/>
    <w:rsid w:val="599F8A26"/>
    <w:rsid w:val="5A0A6C45"/>
    <w:rsid w:val="5A1891B4"/>
    <w:rsid w:val="5A18A55F"/>
    <w:rsid w:val="5A507137"/>
    <w:rsid w:val="5B15367F"/>
    <w:rsid w:val="5B6DD72D"/>
    <w:rsid w:val="5CC225C5"/>
    <w:rsid w:val="5D97039A"/>
    <w:rsid w:val="5DC30CD7"/>
    <w:rsid w:val="5E5B9F08"/>
    <w:rsid w:val="5EADE46C"/>
    <w:rsid w:val="5EB488A1"/>
    <w:rsid w:val="5FB5D9E7"/>
    <w:rsid w:val="5FBD4D24"/>
    <w:rsid w:val="602BA653"/>
    <w:rsid w:val="6099D55F"/>
    <w:rsid w:val="61C051E1"/>
    <w:rsid w:val="623A7097"/>
    <w:rsid w:val="62699B34"/>
    <w:rsid w:val="62A232EF"/>
    <w:rsid w:val="62A8DA67"/>
    <w:rsid w:val="62DB3887"/>
    <w:rsid w:val="62FF4D6F"/>
    <w:rsid w:val="630A56A2"/>
    <w:rsid w:val="63273846"/>
    <w:rsid w:val="632F3AF6"/>
    <w:rsid w:val="636CA568"/>
    <w:rsid w:val="6407507D"/>
    <w:rsid w:val="640D3FA8"/>
    <w:rsid w:val="643D3045"/>
    <w:rsid w:val="649B6562"/>
    <w:rsid w:val="64EF63B1"/>
    <w:rsid w:val="64FAA095"/>
    <w:rsid w:val="653293C4"/>
    <w:rsid w:val="66CD6C64"/>
    <w:rsid w:val="677D2C85"/>
    <w:rsid w:val="67CA56BE"/>
    <w:rsid w:val="681E2750"/>
    <w:rsid w:val="6831966B"/>
    <w:rsid w:val="6880EF53"/>
    <w:rsid w:val="688D13FE"/>
    <w:rsid w:val="68D86709"/>
    <w:rsid w:val="68EC9BE6"/>
    <w:rsid w:val="6963B0ED"/>
    <w:rsid w:val="6A32830B"/>
    <w:rsid w:val="6A3AAD40"/>
    <w:rsid w:val="6A41C8BC"/>
    <w:rsid w:val="6BF3BDE6"/>
    <w:rsid w:val="6C119819"/>
    <w:rsid w:val="6C3F4DAC"/>
    <w:rsid w:val="6C43E308"/>
    <w:rsid w:val="6CF8BBF8"/>
    <w:rsid w:val="6D2444CF"/>
    <w:rsid w:val="6D616288"/>
    <w:rsid w:val="6DDFB369"/>
    <w:rsid w:val="6DF9BA66"/>
    <w:rsid w:val="6E5169BE"/>
    <w:rsid w:val="6E54F1F5"/>
    <w:rsid w:val="6E7F738A"/>
    <w:rsid w:val="6EFBB8E7"/>
    <w:rsid w:val="6F08EC71"/>
    <w:rsid w:val="6F96ECFC"/>
    <w:rsid w:val="6F98DF60"/>
    <w:rsid w:val="6FAF1415"/>
    <w:rsid w:val="703EA2EF"/>
    <w:rsid w:val="704E01C6"/>
    <w:rsid w:val="70631F47"/>
    <w:rsid w:val="70A8F246"/>
    <w:rsid w:val="70BF647A"/>
    <w:rsid w:val="70BFC0A4"/>
    <w:rsid w:val="70C77B7E"/>
    <w:rsid w:val="70F639F7"/>
    <w:rsid w:val="7117A5A7"/>
    <w:rsid w:val="71A28953"/>
    <w:rsid w:val="722096DC"/>
    <w:rsid w:val="722D8830"/>
    <w:rsid w:val="72801D5B"/>
    <w:rsid w:val="72C3E76A"/>
    <w:rsid w:val="72D9C404"/>
    <w:rsid w:val="73D8BFD4"/>
    <w:rsid w:val="742667BE"/>
    <w:rsid w:val="745404EA"/>
    <w:rsid w:val="74726504"/>
    <w:rsid w:val="74819A9C"/>
    <w:rsid w:val="748D8088"/>
    <w:rsid w:val="74DA2A15"/>
    <w:rsid w:val="758D155A"/>
    <w:rsid w:val="75A8982A"/>
    <w:rsid w:val="75AC0DD7"/>
    <w:rsid w:val="75CA2619"/>
    <w:rsid w:val="760DE450"/>
    <w:rsid w:val="76C88A3C"/>
    <w:rsid w:val="771EB982"/>
    <w:rsid w:val="7739D524"/>
    <w:rsid w:val="775C8FB4"/>
    <w:rsid w:val="776CA407"/>
    <w:rsid w:val="7778D14B"/>
    <w:rsid w:val="777C17FC"/>
    <w:rsid w:val="77861430"/>
    <w:rsid w:val="785942BF"/>
    <w:rsid w:val="78D8353E"/>
    <w:rsid w:val="78F266F3"/>
    <w:rsid w:val="794F1A4D"/>
    <w:rsid w:val="7A16B194"/>
    <w:rsid w:val="7A33EB30"/>
    <w:rsid w:val="7C0DD744"/>
    <w:rsid w:val="7C1C18A9"/>
    <w:rsid w:val="7C3A198B"/>
    <w:rsid w:val="7C9BEF1A"/>
    <w:rsid w:val="7CB09237"/>
    <w:rsid w:val="7CC025FE"/>
    <w:rsid w:val="7CD889F4"/>
    <w:rsid w:val="7CDDA922"/>
    <w:rsid w:val="7CF6363E"/>
    <w:rsid w:val="7D58537B"/>
    <w:rsid w:val="7DCC70D1"/>
    <w:rsid w:val="7E1308D4"/>
    <w:rsid w:val="7E5149F1"/>
    <w:rsid w:val="7E51770A"/>
    <w:rsid w:val="7FE5DF8E"/>
    <w:rsid w:val="7FF620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D552"/>
  <w15:chartTrackingRefBased/>
  <w15:docId w15:val="{5F15DB75-C213-42EF-8886-AC3CC170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DHHSbody"/>
    <w:link w:val="Heading1Char"/>
    <w:qFormat/>
    <w:rsid w:val="00280F65"/>
    <w:pPr>
      <w:keepNext/>
      <w:keepLines/>
      <w:spacing w:before="2640" w:after="440" w:line="440" w:lineRule="atLeast"/>
      <w:ind w:left="1701"/>
      <w:outlineLvl w:val="0"/>
    </w:pPr>
    <w:rPr>
      <w:rFonts w:ascii="Arial" w:eastAsia="Times New Roman" w:hAnsi="Arial" w:cs="Times New Roman"/>
      <w:bCs/>
      <w:color w:val="201547"/>
      <w:sz w:val="44"/>
      <w:szCs w:val="44"/>
    </w:rPr>
  </w:style>
  <w:style w:type="paragraph" w:styleId="Heading2">
    <w:name w:val="heading 2"/>
    <w:next w:val="DHHSbody"/>
    <w:link w:val="Heading2Char"/>
    <w:uiPriority w:val="1"/>
    <w:qFormat/>
    <w:rsid w:val="00280F65"/>
    <w:pPr>
      <w:keepNext/>
      <w:keepLines/>
      <w:pageBreakBefore/>
      <w:spacing w:after="440" w:line="440" w:lineRule="atLeast"/>
      <w:outlineLvl w:val="1"/>
    </w:pPr>
    <w:rPr>
      <w:rFonts w:ascii="Arial" w:eastAsia="Times New Roman" w:hAnsi="Arial" w:cs="Arial"/>
      <w:color w:val="201547"/>
      <w:sz w:val="44"/>
      <w:szCs w:val="28"/>
    </w:rPr>
  </w:style>
  <w:style w:type="paragraph" w:styleId="Heading3">
    <w:name w:val="heading 3"/>
    <w:next w:val="DHHSbody"/>
    <w:link w:val="Heading3Char"/>
    <w:uiPriority w:val="1"/>
    <w:qFormat/>
    <w:rsid w:val="00280F65"/>
    <w:pPr>
      <w:keepNext/>
      <w:keepLines/>
      <w:spacing w:before="240" w:after="90" w:line="320" w:lineRule="atLeast"/>
      <w:outlineLvl w:val="2"/>
    </w:pPr>
    <w:rPr>
      <w:rFonts w:ascii="Arial" w:eastAsia="MS Gothic" w:hAnsi="Arial" w:cs="Arial"/>
      <w:b/>
      <w:bCs/>
      <w:color w:val="201547"/>
      <w:sz w:val="28"/>
      <w:szCs w:val="26"/>
    </w:rPr>
  </w:style>
  <w:style w:type="paragraph" w:styleId="Heading4">
    <w:name w:val="heading 4"/>
    <w:next w:val="DHHSbody"/>
    <w:link w:val="Heading4Char"/>
    <w:uiPriority w:val="1"/>
    <w:qFormat/>
    <w:rsid w:val="00280F65"/>
    <w:pPr>
      <w:keepNext/>
      <w:keepLines/>
      <w:spacing w:before="240" w:after="120" w:line="280" w:lineRule="atLeast"/>
      <w:outlineLvl w:val="3"/>
    </w:pPr>
    <w:rPr>
      <w:rFonts w:ascii="Arial" w:eastAsia="MS Mincho" w:hAnsi="Arial" w:cs="Arial"/>
      <w:b/>
      <w:bCs/>
      <w:sz w:val="24"/>
      <w:szCs w:val="20"/>
    </w:rPr>
  </w:style>
  <w:style w:type="paragraph" w:styleId="Heading5">
    <w:name w:val="heading 5"/>
    <w:next w:val="DHHSbody"/>
    <w:link w:val="Heading5Char"/>
    <w:uiPriority w:val="9"/>
    <w:qFormat/>
    <w:rsid w:val="00280F65"/>
    <w:pPr>
      <w:keepNext/>
      <w:keepLines/>
      <w:suppressAutoHyphens/>
      <w:spacing w:before="160" w:after="60" w:line="240" w:lineRule="atLeast"/>
      <w:outlineLvl w:val="4"/>
    </w:pPr>
    <w:rPr>
      <w:rFonts w:ascii="Arial" w:eastAsia="MS Mincho" w:hAnsi="Arial" w:cs="Times New Roman"/>
      <w:b/>
      <w:bCs/>
      <w:sz w:val="20"/>
      <w:szCs w:val="20"/>
    </w:rPr>
  </w:style>
  <w:style w:type="paragraph" w:styleId="Heading6">
    <w:name w:val="heading 6"/>
    <w:basedOn w:val="Normal"/>
    <w:next w:val="Normal"/>
    <w:link w:val="Heading6Char"/>
    <w:uiPriority w:val="9"/>
    <w:qFormat/>
    <w:rsid w:val="00280F65"/>
    <w:pPr>
      <w:keepNext/>
      <w:keepLines/>
      <w:spacing w:before="160" w:after="60" w:line="240" w:lineRule="auto"/>
      <w:outlineLvl w:val="5"/>
    </w:pPr>
    <w:rPr>
      <w:rFonts w:ascii="Arial" w:eastAsia="Times New Roman" w:hAnsi="Arial" w:cs="Arial"/>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9B6"/>
  </w:style>
  <w:style w:type="paragraph" w:styleId="Footer">
    <w:name w:val="footer"/>
    <w:basedOn w:val="Normal"/>
    <w:link w:val="FooterChar"/>
    <w:uiPriority w:val="99"/>
    <w:unhideWhenUsed/>
    <w:rsid w:val="004C7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9B6"/>
  </w:style>
  <w:style w:type="table" w:styleId="TableGrid">
    <w:name w:val="Table Grid"/>
    <w:basedOn w:val="TableNormal"/>
    <w:uiPriority w:val="39"/>
    <w:rsid w:val="00BB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2593"/>
    <w:rPr>
      <w:color w:val="0563C1" w:themeColor="hyperlink"/>
      <w:u w:val="single"/>
    </w:rPr>
  </w:style>
  <w:style w:type="character" w:styleId="UnresolvedMention">
    <w:name w:val="Unresolved Mention"/>
    <w:basedOn w:val="DefaultParagraphFont"/>
    <w:uiPriority w:val="99"/>
    <w:semiHidden/>
    <w:unhideWhenUsed/>
    <w:rsid w:val="00482593"/>
    <w:rPr>
      <w:color w:val="605E5C"/>
      <w:shd w:val="clear" w:color="auto" w:fill="E1DFDD"/>
    </w:rPr>
  </w:style>
  <w:style w:type="paragraph" w:styleId="ListParagraph">
    <w:name w:val="List Paragraph"/>
    <w:aliases w:val="Body text indented,dot point 1,List Paragraph1,Recommendation"/>
    <w:basedOn w:val="Normal"/>
    <w:link w:val="ListParagraphChar"/>
    <w:uiPriority w:val="34"/>
    <w:qFormat/>
    <w:rsid w:val="00AC3FC0"/>
    <w:pPr>
      <w:ind w:left="720"/>
      <w:contextualSpacing/>
    </w:pPr>
  </w:style>
  <w:style w:type="paragraph" w:styleId="BalloonText">
    <w:name w:val="Balloon Text"/>
    <w:basedOn w:val="Normal"/>
    <w:link w:val="BalloonTextChar"/>
    <w:uiPriority w:val="99"/>
    <w:semiHidden/>
    <w:unhideWhenUsed/>
    <w:rsid w:val="004B7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C8"/>
    <w:rPr>
      <w:rFonts w:ascii="Segoe UI" w:hAnsi="Segoe UI" w:cs="Segoe UI"/>
      <w:sz w:val="18"/>
      <w:szCs w:val="18"/>
    </w:rPr>
  </w:style>
  <w:style w:type="table" w:customStyle="1" w:styleId="TableGrid1">
    <w:name w:val="Table Grid1"/>
    <w:basedOn w:val="TableNormal"/>
    <w:next w:val="TableGrid"/>
    <w:rsid w:val="00683782"/>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F65"/>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80F65"/>
    <w:pPr>
      <w:spacing w:after="0" w:line="240" w:lineRule="auto"/>
    </w:pPr>
    <w:rPr>
      <w:sz w:val="20"/>
      <w:szCs w:val="20"/>
    </w:rPr>
  </w:style>
  <w:style w:type="character" w:customStyle="1" w:styleId="FootnoteTextChar">
    <w:name w:val="Footnote Text Char"/>
    <w:basedOn w:val="DefaultParagraphFont"/>
    <w:link w:val="FootnoteText"/>
    <w:uiPriority w:val="99"/>
    <w:rsid w:val="00280F65"/>
    <w:rPr>
      <w:sz w:val="20"/>
      <w:szCs w:val="20"/>
    </w:rPr>
  </w:style>
  <w:style w:type="table" w:customStyle="1" w:styleId="TableGrid3">
    <w:name w:val="Table Grid3"/>
    <w:basedOn w:val="TableNormal"/>
    <w:next w:val="TableGrid"/>
    <w:rsid w:val="00280F65"/>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280F65"/>
    <w:rPr>
      <w:vertAlign w:val="superscript"/>
    </w:rPr>
  </w:style>
  <w:style w:type="character" w:customStyle="1" w:styleId="Heading1Char">
    <w:name w:val="Heading 1 Char"/>
    <w:basedOn w:val="DefaultParagraphFont"/>
    <w:link w:val="Heading1"/>
    <w:rsid w:val="00280F65"/>
    <w:rPr>
      <w:rFonts w:ascii="Arial" w:eastAsia="Times New Roman" w:hAnsi="Arial" w:cs="Times New Roman"/>
      <w:bCs/>
      <w:color w:val="201547"/>
      <w:sz w:val="44"/>
      <w:szCs w:val="44"/>
    </w:rPr>
  </w:style>
  <w:style w:type="character" w:customStyle="1" w:styleId="Heading2Char">
    <w:name w:val="Heading 2 Char"/>
    <w:basedOn w:val="DefaultParagraphFont"/>
    <w:link w:val="Heading2"/>
    <w:uiPriority w:val="1"/>
    <w:rsid w:val="00280F65"/>
    <w:rPr>
      <w:rFonts w:ascii="Arial" w:eastAsia="Times New Roman" w:hAnsi="Arial" w:cs="Arial"/>
      <w:color w:val="201547"/>
      <w:sz w:val="44"/>
      <w:szCs w:val="28"/>
    </w:rPr>
  </w:style>
  <w:style w:type="character" w:customStyle="1" w:styleId="Heading3Char">
    <w:name w:val="Heading 3 Char"/>
    <w:basedOn w:val="DefaultParagraphFont"/>
    <w:link w:val="Heading3"/>
    <w:uiPriority w:val="1"/>
    <w:rsid w:val="00280F65"/>
    <w:rPr>
      <w:rFonts w:ascii="Arial" w:eastAsia="MS Gothic" w:hAnsi="Arial" w:cs="Arial"/>
      <w:b/>
      <w:bCs/>
      <w:color w:val="201547"/>
      <w:sz w:val="28"/>
      <w:szCs w:val="26"/>
    </w:rPr>
  </w:style>
  <w:style w:type="character" w:customStyle="1" w:styleId="Heading4Char">
    <w:name w:val="Heading 4 Char"/>
    <w:basedOn w:val="DefaultParagraphFont"/>
    <w:link w:val="Heading4"/>
    <w:uiPriority w:val="1"/>
    <w:rsid w:val="00280F65"/>
    <w:rPr>
      <w:rFonts w:ascii="Arial" w:eastAsia="MS Mincho" w:hAnsi="Arial" w:cs="Arial"/>
      <w:b/>
      <w:bCs/>
      <w:sz w:val="24"/>
      <w:szCs w:val="20"/>
    </w:rPr>
  </w:style>
  <w:style w:type="character" w:customStyle="1" w:styleId="Heading5Char">
    <w:name w:val="Heading 5 Char"/>
    <w:basedOn w:val="DefaultParagraphFont"/>
    <w:link w:val="Heading5"/>
    <w:uiPriority w:val="9"/>
    <w:rsid w:val="00280F65"/>
    <w:rPr>
      <w:rFonts w:ascii="Arial" w:eastAsia="MS Mincho" w:hAnsi="Arial" w:cs="Times New Roman"/>
      <w:b/>
      <w:bCs/>
      <w:sz w:val="20"/>
      <w:szCs w:val="20"/>
    </w:rPr>
  </w:style>
  <w:style w:type="character" w:customStyle="1" w:styleId="Heading6Char">
    <w:name w:val="Heading 6 Char"/>
    <w:basedOn w:val="DefaultParagraphFont"/>
    <w:link w:val="Heading6"/>
    <w:uiPriority w:val="9"/>
    <w:rsid w:val="00280F65"/>
    <w:rPr>
      <w:rFonts w:ascii="Arial" w:eastAsia="Times New Roman" w:hAnsi="Arial" w:cs="Arial"/>
      <w:bCs/>
      <w:i/>
      <w:sz w:val="20"/>
      <w:szCs w:val="20"/>
    </w:rPr>
  </w:style>
  <w:style w:type="table" w:customStyle="1" w:styleId="TableGrid4">
    <w:name w:val="Table Grid4"/>
    <w:basedOn w:val="TableNormal"/>
    <w:next w:val="TableGrid"/>
    <w:rsid w:val="00280F65"/>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qFormat/>
    <w:rsid w:val="00280F65"/>
    <w:pPr>
      <w:spacing w:after="120" w:line="270" w:lineRule="atLeast"/>
    </w:pPr>
    <w:rPr>
      <w:rFonts w:ascii="Arial" w:eastAsia="Times" w:hAnsi="Arial" w:cs="Times New Roman"/>
      <w:sz w:val="20"/>
      <w:szCs w:val="20"/>
    </w:rPr>
  </w:style>
  <w:style w:type="paragraph" w:customStyle="1" w:styleId="DHHStablefigurenote">
    <w:name w:val="DHHS table/figure note"/>
    <w:uiPriority w:val="4"/>
    <w:rsid w:val="00280F65"/>
    <w:pPr>
      <w:spacing w:before="60" w:after="60" w:line="240" w:lineRule="exact"/>
    </w:pPr>
    <w:rPr>
      <w:rFonts w:ascii="Arial" w:eastAsia="Times New Roman" w:hAnsi="Arial" w:cs="Times New Roman"/>
      <w:sz w:val="18"/>
      <w:szCs w:val="20"/>
    </w:rPr>
  </w:style>
  <w:style w:type="paragraph" w:customStyle="1" w:styleId="DHHStabletext">
    <w:name w:val="DHHS table text"/>
    <w:uiPriority w:val="3"/>
    <w:qFormat/>
    <w:rsid w:val="00280F65"/>
    <w:pPr>
      <w:spacing w:before="80" w:after="60" w:line="240" w:lineRule="auto"/>
    </w:pPr>
    <w:rPr>
      <w:rFonts w:ascii="Arial" w:eastAsia="Times New Roman" w:hAnsi="Arial" w:cs="Times New Roman"/>
      <w:sz w:val="20"/>
      <w:szCs w:val="20"/>
    </w:rPr>
  </w:style>
  <w:style w:type="paragraph" w:customStyle="1" w:styleId="DHHStablecolhead">
    <w:name w:val="DHHS table col head"/>
    <w:uiPriority w:val="3"/>
    <w:qFormat/>
    <w:rsid w:val="00280F65"/>
    <w:pPr>
      <w:spacing w:before="80" w:after="60" w:line="240" w:lineRule="auto"/>
    </w:pPr>
    <w:rPr>
      <w:rFonts w:ascii="Arial" w:eastAsia="Times New Roman" w:hAnsi="Arial" w:cs="Times New Roman"/>
      <w:b/>
      <w:color w:val="FFFFFF" w:themeColor="background1"/>
      <w:sz w:val="20"/>
      <w:szCs w:val="20"/>
    </w:rPr>
  </w:style>
  <w:style w:type="character" w:styleId="CommentReference">
    <w:name w:val="annotation reference"/>
    <w:uiPriority w:val="99"/>
    <w:semiHidden/>
    <w:unhideWhenUsed/>
    <w:rsid w:val="00280F65"/>
    <w:rPr>
      <w:sz w:val="16"/>
      <w:szCs w:val="16"/>
    </w:rPr>
  </w:style>
  <w:style w:type="paragraph" w:styleId="CommentText">
    <w:name w:val="annotation text"/>
    <w:basedOn w:val="Normal"/>
    <w:link w:val="CommentTextChar"/>
    <w:uiPriority w:val="99"/>
    <w:unhideWhenUsed/>
    <w:rsid w:val="00280F65"/>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280F65"/>
    <w:rPr>
      <w:rFonts w:ascii="Cambria" w:eastAsia="Times New Roman" w:hAnsi="Cambria" w:cs="Times New Roman"/>
      <w:sz w:val="20"/>
      <w:szCs w:val="20"/>
    </w:rPr>
  </w:style>
  <w:style w:type="character" w:styleId="FollowedHyperlink">
    <w:name w:val="FollowedHyperlink"/>
    <w:uiPriority w:val="99"/>
    <w:rsid w:val="00280F65"/>
    <w:rPr>
      <w:color w:val="6633CC"/>
      <w:u w:val="dotted"/>
    </w:rPr>
  </w:style>
  <w:style w:type="paragraph" w:customStyle="1" w:styleId="DHHStabletext6pt">
    <w:name w:val="DHHS table text + 6pt"/>
    <w:basedOn w:val="DHHStabletext"/>
    <w:rsid w:val="00280F65"/>
    <w:pPr>
      <w:spacing w:after="120"/>
    </w:pPr>
  </w:style>
  <w:style w:type="paragraph" w:styleId="Subtitle">
    <w:name w:val="Subtitle"/>
    <w:basedOn w:val="Normal"/>
    <w:next w:val="Normal"/>
    <w:link w:val="SubtitleChar"/>
    <w:uiPriority w:val="11"/>
    <w:qFormat/>
    <w:rsid w:val="00280F65"/>
    <w:pPr>
      <w:spacing w:after="60" w:line="240" w:lineRule="auto"/>
      <w:jc w:val="center"/>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280F65"/>
    <w:rPr>
      <w:rFonts w:ascii="Calibri Light" w:eastAsia="Times New Roman" w:hAnsi="Calibri Light" w:cs="Times New Roman"/>
      <w:sz w:val="24"/>
      <w:szCs w:val="24"/>
    </w:rPr>
  </w:style>
  <w:style w:type="paragraph" w:styleId="EndnoteText">
    <w:name w:val="endnote text"/>
    <w:basedOn w:val="Normal"/>
    <w:link w:val="EndnoteTextChar"/>
    <w:uiPriority w:val="99"/>
    <w:semiHidden/>
    <w:rsid w:val="00280F65"/>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uiPriority w:val="99"/>
    <w:semiHidden/>
    <w:rsid w:val="00280F65"/>
    <w:rPr>
      <w:rFonts w:ascii="Cambria" w:eastAsia="Times New Roman" w:hAnsi="Cambria" w:cs="Times New Roman"/>
      <w:sz w:val="24"/>
      <w:szCs w:val="24"/>
    </w:rPr>
  </w:style>
  <w:style w:type="character" w:styleId="EndnoteReference">
    <w:name w:val="endnote reference"/>
    <w:semiHidden/>
    <w:rsid w:val="00280F65"/>
    <w:rPr>
      <w:rFonts w:ascii="Arial" w:hAnsi="Arial"/>
      <w:sz w:val="20"/>
      <w:vertAlign w:val="superscript"/>
    </w:rPr>
  </w:style>
  <w:style w:type="character" w:styleId="PageNumber">
    <w:name w:val="page number"/>
    <w:basedOn w:val="DefaultParagraphFont"/>
    <w:semiHidden/>
    <w:rsid w:val="00280F65"/>
  </w:style>
  <w:style w:type="paragraph" w:customStyle="1" w:styleId="DHHSreportsubtitle">
    <w:name w:val="DHHS report subtitle"/>
    <w:basedOn w:val="Normal"/>
    <w:uiPriority w:val="4"/>
    <w:rsid w:val="00280F65"/>
    <w:pPr>
      <w:spacing w:after="120" w:line="380" w:lineRule="atLeast"/>
    </w:pPr>
    <w:rPr>
      <w:rFonts w:ascii="Arial" w:eastAsia="Times New Roman" w:hAnsi="Arial" w:cs="Times New Roman"/>
      <w:color w:val="000000"/>
      <w:sz w:val="30"/>
      <w:szCs w:val="30"/>
    </w:rPr>
  </w:style>
  <w:style w:type="paragraph" w:customStyle="1" w:styleId="DHHSreportmaintitle">
    <w:name w:val="DHHS report main title"/>
    <w:uiPriority w:val="4"/>
    <w:rsid w:val="00280F65"/>
    <w:pPr>
      <w:keepLines/>
      <w:spacing w:after="240" w:line="580" w:lineRule="atLeast"/>
    </w:pPr>
    <w:rPr>
      <w:rFonts w:ascii="Arial" w:eastAsia="Times New Roman" w:hAnsi="Arial" w:cs="Times New Roman"/>
      <w:color w:val="201547"/>
      <w:sz w:val="50"/>
      <w:szCs w:val="24"/>
    </w:rPr>
  </w:style>
  <w:style w:type="paragraph" w:styleId="TOC1">
    <w:name w:val="toc 1"/>
    <w:basedOn w:val="Normal"/>
    <w:next w:val="Normal"/>
    <w:uiPriority w:val="39"/>
    <w:rsid w:val="00280F65"/>
    <w:pPr>
      <w:tabs>
        <w:tab w:val="right" w:leader="dot" w:pos="9299"/>
      </w:tabs>
      <w:spacing w:before="240" w:after="60" w:line="270" w:lineRule="atLeast"/>
      <w:ind w:right="680"/>
    </w:pPr>
    <w:rPr>
      <w:rFonts w:ascii="Arial" w:eastAsia="Times New Roman" w:hAnsi="Arial" w:cs="Times New Roman"/>
      <w:b/>
      <w:caps/>
      <w:noProof/>
      <w:sz w:val="20"/>
      <w:szCs w:val="20"/>
    </w:rPr>
  </w:style>
  <w:style w:type="paragraph" w:styleId="TOC2">
    <w:name w:val="toc 2"/>
    <w:basedOn w:val="Normal"/>
    <w:next w:val="Normal"/>
    <w:uiPriority w:val="39"/>
    <w:rsid w:val="00280F65"/>
    <w:pPr>
      <w:tabs>
        <w:tab w:val="right" w:leader="dot" w:pos="9299"/>
      </w:tabs>
      <w:spacing w:before="120" w:after="60" w:line="270" w:lineRule="atLeast"/>
      <w:ind w:right="680"/>
    </w:pPr>
    <w:rPr>
      <w:rFonts w:ascii="Arial" w:eastAsia="Times New Roman" w:hAnsi="Arial" w:cs="Times New Roman"/>
      <w:b/>
      <w:noProof/>
      <w:sz w:val="20"/>
      <w:szCs w:val="20"/>
    </w:rPr>
  </w:style>
  <w:style w:type="paragraph" w:styleId="TOC3">
    <w:name w:val="toc 3"/>
    <w:basedOn w:val="Normal"/>
    <w:next w:val="Normal"/>
    <w:uiPriority w:val="39"/>
    <w:rsid w:val="00280F65"/>
    <w:pPr>
      <w:tabs>
        <w:tab w:val="right" w:leader="dot" w:pos="9299"/>
      </w:tabs>
      <w:spacing w:after="60" w:line="270" w:lineRule="atLeast"/>
      <w:ind w:right="680"/>
    </w:pPr>
    <w:rPr>
      <w:rFonts w:ascii="Arial" w:eastAsia="Times New Roman" w:hAnsi="Arial" w:cs="Arial"/>
      <w:sz w:val="20"/>
      <w:szCs w:val="20"/>
    </w:rPr>
  </w:style>
  <w:style w:type="paragraph" w:styleId="TOC4">
    <w:name w:val="toc 4"/>
    <w:basedOn w:val="Normal"/>
    <w:next w:val="Normal"/>
    <w:uiPriority w:val="39"/>
    <w:rsid w:val="00280F65"/>
    <w:pPr>
      <w:keepLines/>
      <w:tabs>
        <w:tab w:val="right" w:leader="dot" w:pos="9299"/>
      </w:tabs>
      <w:spacing w:after="60" w:line="270" w:lineRule="atLeast"/>
      <w:ind w:left="567" w:right="680"/>
    </w:pPr>
    <w:rPr>
      <w:rFonts w:ascii="Arial" w:eastAsia="Times New Roman" w:hAnsi="Arial" w:cs="Arial"/>
      <w:sz w:val="18"/>
      <w:szCs w:val="20"/>
    </w:rPr>
  </w:style>
  <w:style w:type="paragraph" w:styleId="TOC5">
    <w:name w:val="toc 5"/>
    <w:basedOn w:val="Normal"/>
    <w:next w:val="Normal"/>
    <w:autoRedefine/>
    <w:uiPriority w:val="39"/>
    <w:semiHidden/>
    <w:rsid w:val="00280F65"/>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80F65"/>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80F65"/>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80F65"/>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80F65"/>
    <w:pPr>
      <w:spacing w:after="0" w:line="240" w:lineRule="auto"/>
      <w:ind w:left="1600"/>
    </w:pPr>
    <w:rPr>
      <w:rFonts w:ascii="Cambria" w:eastAsia="Times New Roman" w:hAnsi="Cambria" w:cs="Times New Roman"/>
      <w:sz w:val="20"/>
      <w:szCs w:val="20"/>
    </w:rPr>
  </w:style>
  <w:style w:type="paragraph" w:customStyle="1" w:styleId="DHHSreportmaintitlewhite">
    <w:name w:val="DHHS report main title white"/>
    <w:uiPriority w:val="4"/>
    <w:rsid w:val="00280F65"/>
    <w:pPr>
      <w:keepLines/>
      <w:spacing w:after="240" w:line="580" w:lineRule="atLeast"/>
    </w:pPr>
    <w:rPr>
      <w:rFonts w:ascii="Arial" w:eastAsia="Times New Roman" w:hAnsi="Arial" w:cs="Times New Roman"/>
      <w:bCs/>
      <w:color w:val="FFFFFF"/>
      <w:sz w:val="50"/>
      <w:szCs w:val="50"/>
    </w:rPr>
  </w:style>
  <w:style w:type="paragraph" w:customStyle="1" w:styleId="DHHSreportsubtitlewhite">
    <w:name w:val="DHHS report subtitle white"/>
    <w:uiPriority w:val="4"/>
    <w:rsid w:val="00280F65"/>
    <w:pPr>
      <w:spacing w:after="120" w:line="380" w:lineRule="atLeast"/>
    </w:pPr>
    <w:rPr>
      <w:rFonts w:ascii="Arial" w:eastAsia="Times New Roman" w:hAnsi="Arial" w:cs="Times New Roman"/>
      <w:bCs/>
      <w:color w:val="FFFFFF"/>
      <w:sz w:val="30"/>
      <w:szCs w:val="30"/>
    </w:rPr>
  </w:style>
  <w:style w:type="paragraph" w:customStyle="1" w:styleId="Coverinstructions">
    <w:name w:val="Cover instructions"/>
    <w:uiPriority w:val="99"/>
    <w:rsid w:val="00280F65"/>
    <w:pPr>
      <w:spacing w:after="200" w:line="320" w:lineRule="atLeast"/>
    </w:pPr>
    <w:rPr>
      <w:rFonts w:ascii="Arial" w:eastAsia="Times New Roman" w:hAnsi="Arial" w:cs="Times New Roman"/>
      <w:color w:val="FFFFFF"/>
      <w:sz w:val="24"/>
      <w:szCs w:val="20"/>
    </w:rPr>
  </w:style>
  <w:style w:type="paragraph" w:styleId="DocumentMap">
    <w:name w:val="Document Map"/>
    <w:basedOn w:val="Normal"/>
    <w:link w:val="DocumentMapChar"/>
    <w:uiPriority w:val="99"/>
    <w:semiHidden/>
    <w:unhideWhenUsed/>
    <w:rsid w:val="00280F65"/>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280F65"/>
    <w:rPr>
      <w:rFonts w:ascii="Lucida Grande" w:eastAsia="Times New Roman" w:hAnsi="Lucida Grande" w:cs="Lucida Grande"/>
      <w:sz w:val="24"/>
      <w:szCs w:val="24"/>
    </w:rPr>
  </w:style>
  <w:style w:type="paragraph" w:customStyle="1" w:styleId="DHHSbullet1">
    <w:name w:val="DHHS bullet 1"/>
    <w:basedOn w:val="DHHSbody"/>
    <w:qFormat/>
    <w:rsid w:val="00280F65"/>
    <w:pPr>
      <w:numPr>
        <w:numId w:val="5"/>
      </w:numPr>
      <w:spacing w:after="40"/>
    </w:pPr>
  </w:style>
  <w:style w:type="paragraph" w:customStyle="1" w:styleId="DHHSnumberloweralpha">
    <w:name w:val="DHHS number lower alpha"/>
    <w:basedOn w:val="DHHSbody"/>
    <w:uiPriority w:val="3"/>
    <w:rsid w:val="00280F65"/>
    <w:pPr>
      <w:numPr>
        <w:numId w:val="22"/>
      </w:numPr>
    </w:pPr>
  </w:style>
  <w:style w:type="paragraph" w:customStyle="1" w:styleId="DHHSnumberloweralphaindent">
    <w:name w:val="DHHS number lower alpha indent"/>
    <w:basedOn w:val="DHHSbody"/>
    <w:uiPriority w:val="3"/>
    <w:rsid w:val="00280F65"/>
    <w:pPr>
      <w:numPr>
        <w:ilvl w:val="1"/>
        <w:numId w:val="22"/>
      </w:numPr>
    </w:pPr>
  </w:style>
  <w:style w:type="paragraph" w:customStyle="1" w:styleId="DHHStablecaption">
    <w:name w:val="DHHS table caption"/>
    <w:next w:val="DHHSbody"/>
    <w:uiPriority w:val="3"/>
    <w:qFormat/>
    <w:rsid w:val="00280F65"/>
    <w:pPr>
      <w:keepNext/>
      <w:keepLines/>
      <w:spacing w:before="240" w:after="120" w:line="240" w:lineRule="atLeast"/>
    </w:pPr>
    <w:rPr>
      <w:rFonts w:ascii="Arial" w:eastAsia="Times New Roman" w:hAnsi="Arial" w:cs="Times New Roman"/>
      <w:b/>
      <w:sz w:val="20"/>
      <w:szCs w:val="20"/>
    </w:rPr>
  </w:style>
  <w:style w:type="paragraph" w:customStyle="1" w:styleId="DHHSfigurecaption">
    <w:name w:val="DHHS figure caption"/>
    <w:next w:val="DHHSbody"/>
    <w:link w:val="DHHSfigurecaptionChar"/>
    <w:uiPriority w:val="4"/>
    <w:rsid w:val="00280F65"/>
    <w:pPr>
      <w:keepNext/>
      <w:keepLines/>
      <w:spacing w:before="240" w:after="120" w:line="240" w:lineRule="auto"/>
    </w:pPr>
    <w:rPr>
      <w:rFonts w:ascii="Arial" w:eastAsia="Times New Roman" w:hAnsi="Arial" w:cs="Times New Roman"/>
      <w:b/>
      <w:sz w:val="20"/>
      <w:szCs w:val="20"/>
    </w:rPr>
  </w:style>
  <w:style w:type="paragraph" w:customStyle="1" w:styleId="DHHSfooter">
    <w:name w:val="DHHS footer"/>
    <w:uiPriority w:val="11"/>
    <w:rsid w:val="00280F65"/>
    <w:pPr>
      <w:tabs>
        <w:tab w:val="right" w:pos="9299"/>
      </w:tabs>
      <w:spacing w:after="0" w:line="240" w:lineRule="auto"/>
    </w:pPr>
    <w:rPr>
      <w:rFonts w:ascii="Arial" w:eastAsia="Times New Roman" w:hAnsi="Arial" w:cs="Arial"/>
      <w:sz w:val="18"/>
      <w:szCs w:val="18"/>
    </w:rPr>
  </w:style>
  <w:style w:type="paragraph" w:customStyle="1" w:styleId="DHHSbullet2">
    <w:name w:val="DHHS bullet 2"/>
    <w:basedOn w:val="DHHSbody"/>
    <w:uiPriority w:val="2"/>
    <w:qFormat/>
    <w:rsid w:val="00280F65"/>
    <w:pPr>
      <w:numPr>
        <w:ilvl w:val="1"/>
        <w:numId w:val="5"/>
      </w:numPr>
      <w:spacing w:after="40"/>
    </w:pPr>
  </w:style>
  <w:style w:type="paragraph" w:customStyle="1" w:styleId="DHHSheader">
    <w:name w:val="DHHS header"/>
    <w:basedOn w:val="DHHSfooter"/>
    <w:uiPriority w:val="11"/>
    <w:rsid w:val="00280F65"/>
  </w:style>
  <w:style w:type="character" w:styleId="Strong">
    <w:name w:val="Strong"/>
    <w:uiPriority w:val="22"/>
    <w:qFormat/>
    <w:rsid w:val="00280F65"/>
    <w:rPr>
      <w:b/>
      <w:bCs/>
    </w:rPr>
  </w:style>
  <w:style w:type="paragraph" w:customStyle="1" w:styleId="DHHSnumberdigit">
    <w:name w:val="DHHS number digit"/>
    <w:basedOn w:val="DHHSbody"/>
    <w:uiPriority w:val="2"/>
    <w:rsid w:val="00280F65"/>
    <w:pPr>
      <w:numPr>
        <w:numId w:val="21"/>
      </w:numPr>
    </w:pPr>
  </w:style>
  <w:style w:type="paragraph" w:customStyle="1" w:styleId="DHHSbodyaftertablefigure">
    <w:name w:val="DHHS body after table/figure"/>
    <w:basedOn w:val="DHHSbody"/>
    <w:next w:val="DHHSbody"/>
    <w:uiPriority w:val="99"/>
    <w:rsid w:val="00280F65"/>
    <w:pPr>
      <w:spacing w:before="240"/>
    </w:pPr>
  </w:style>
  <w:style w:type="paragraph" w:customStyle="1" w:styleId="DHHSTOCheadingreport">
    <w:name w:val="DHHS TOC heading report"/>
    <w:basedOn w:val="Heading1"/>
    <w:link w:val="DHHSTOCheadingreportChar"/>
    <w:uiPriority w:val="5"/>
    <w:rsid w:val="00280F65"/>
    <w:pPr>
      <w:spacing w:before="0"/>
      <w:ind w:left="0"/>
      <w:outlineLvl w:val="9"/>
    </w:pPr>
  </w:style>
  <w:style w:type="character" w:customStyle="1" w:styleId="DHHSTOCheadingreportChar">
    <w:name w:val="DHHS TOC heading report Char"/>
    <w:link w:val="DHHSTOCheadingreport"/>
    <w:uiPriority w:val="5"/>
    <w:rsid w:val="00280F65"/>
    <w:rPr>
      <w:rFonts w:ascii="Arial" w:eastAsia="Times New Roman" w:hAnsi="Arial" w:cs="Times New Roman"/>
      <w:bCs/>
      <w:color w:val="201547"/>
      <w:sz w:val="44"/>
      <w:szCs w:val="44"/>
    </w:rPr>
  </w:style>
  <w:style w:type="paragraph" w:customStyle="1" w:styleId="DHHSaccessibilitypara">
    <w:name w:val="DHHS accessibility para"/>
    <w:uiPriority w:val="8"/>
    <w:rsid w:val="00280F65"/>
    <w:pPr>
      <w:spacing w:after="300" w:line="300" w:lineRule="atLeast"/>
    </w:pPr>
    <w:rPr>
      <w:rFonts w:ascii="Arial" w:eastAsia="Times" w:hAnsi="Arial" w:cs="Times New Roman"/>
      <w:sz w:val="24"/>
      <w:szCs w:val="19"/>
    </w:rPr>
  </w:style>
  <w:style w:type="paragraph" w:customStyle="1" w:styleId="DHHSbodynospace">
    <w:name w:val="DHHS body no space"/>
    <w:basedOn w:val="DHHSbody"/>
    <w:uiPriority w:val="3"/>
    <w:qFormat/>
    <w:rsid w:val="00280F65"/>
    <w:pPr>
      <w:spacing w:after="0"/>
    </w:pPr>
  </w:style>
  <w:style w:type="paragraph" w:customStyle="1" w:styleId="DHHSquote">
    <w:name w:val="DHHS quote"/>
    <w:basedOn w:val="DHHSbody"/>
    <w:uiPriority w:val="4"/>
    <w:rsid w:val="00280F65"/>
    <w:pPr>
      <w:ind w:left="397"/>
    </w:pPr>
    <w:rPr>
      <w:szCs w:val="18"/>
    </w:rPr>
  </w:style>
  <w:style w:type="numbering" w:customStyle="1" w:styleId="ZZBullets">
    <w:name w:val="ZZ Bullets"/>
    <w:rsid w:val="00280F65"/>
    <w:pPr>
      <w:numPr>
        <w:numId w:val="5"/>
      </w:numPr>
    </w:pPr>
  </w:style>
  <w:style w:type="numbering" w:customStyle="1" w:styleId="ZZNumbers">
    <w:name w:val="ZZ Numbers"/>
    <w:rsid w:val="00280F65"/>
    <w:pPr>
      <w:numPr>
        <w:numId w:val="6"/>
      </w:numPr>
    </w:pPr>
  </w:style>
  <w:style w:type="paragraph" w:customStyle="1" w:styleId="DHHSnumberlowerroman">
    <w:name w:val="DHHS number lower roman"/>
    <w:basedOn w:val="DHHSbody"/>
    <w:uiPriority w:val="3"/>
    <w:rsid w:val="00280F65"/>
    <w:pPr>
      <w:numPr>
        <w:numId w:val="23"/>
      </w:numPr>
    </w:pPr>
  </w:style>
  <w:style w:type="paragraph" w:customStyle="1" w:styleId="DHHSnumberlowerromanindent">
    <w:name w:val="DHHS number lower roman indent"/>
    <w:basedOn w:val="DHHSbody"/>
    <w:uiPriority w:val="3"/>
    <w:rsid w:val="00280F65"/>
    <w:pPr>
      <w:numPr>
        <w:ilvl w:val="1"/>
        <w:numId w:val="23"/>
      </w:numPr>
    </w:pPr>
  </w:style>
  <w:style w:type="paragraph" w:customStyle="1" w:styleId="DHHSnumberdigitindent">
    <w:name w:val="DHHS number digit indent"/>
    <w:basedOn w:val="DHHSnumberloweralphaindent"/>
    <w:uiPriority w:val="3"/>
    <w:rsid w:val="00280F65"/>
  </w:style>
  <w:style w:type="paragraph" w:styleId="Title">
    <w:name w:val="Title"/>
    <w:basedOn w:val="Normal"/>
    <w:next w:val="Normal"/>
    <w:link w:val="TitleChar"/>
    <w:uiPriority w:val="10"/>
    <w:qFormat/>
    <w:rsid w:val="00280F65"/>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280F65"/>
    <w:rPr>
      <w:rFonts w:ascii="Calibri Light" w:eastAsia="Times New Roman" w:hAnsi="Calibri Light" w:cs="Times New Roman"/>
      <w:b/>
      <w:bCs/>
      <w:kern w:val="28"/>
      <w:sz w:val="32"/>
      <w:szCs w:val="32"/>
    </w:rPr>
  </w:style>
  <w:style w:type="paragraph" w:styleId="Revision">
    <w:name w:val="Revision"/>
    <w:hidden/>
    <w:uiPriority w:val="99"/>
    <w:rsid w:val="00280F65"/>
    <w:pPr>
      <w:spacing w:after="0" w:line="240" w:lineRule="auto"/>
    </w:pPr>
    <w:rPr>
      <w:rFonts w:ascii="Cambria" w:eastAsia="Times New Roman" w:hAnsi="Cambria" w:cs="Times New Roman"/>
      <w:sz w:val="20"/>
      <w:szCs w:val="20"/>
    </w:rPr>
  </w:style>
  <w:style w:type="paragraph" w:customStyle="1" w:styleId="zreportaddinfo">
    <w:name w:val="zreport addinfo"/>
    <w:basedOn w:val="Normal"/>
    <w:semiHidden/>
    <w:rsid w:val="00280F65"/>
    <w:pPr>
      <w:framePr w:wrap="around" w:hAnchor="margin" w:xAlign="center" w:yAlign="bottom"/>
      <w:spacing w:after="0" w:line="240" w:lineRule="exact"/>
      <w:jc w:val="center"/>
    </w:pPr>
    <w:rPr>
      <w:rFonts w:ascii="Times New Roman" w:eastAsia="Times New Roman" w:hAnsi="Times New Roman" w:cs="Times New Roman"/>
      <w:noProof/>
      <w:sz w:val="20"/>
      <w:szCs w:val="20"/>
    </w:rPr>
  </w:style>
  <w:style w:type="paragraph" w:customStyle="1" w:styleId="DHHSbodylargespace">
    <w:name w:val="DHHS body large space"/>
    <w:basedOn w:val="DHHSbody"/>
    <w:rsid w:val="00280F65"/>
    <w:pPr>
      <w:spacing w:after="300"/>
    </w:pPr>
  </w:style>
  <w:style w:type="paragraph" w:styleId="CommentSubject">
    <w:name w:val="annotation subject"/>
    <w:basedOn w:val="CommentText"/>
    <w:next w:val="CommentText"/>
    <w:link w:val="CommentSubjectChar"/>
    <w:uiPriority w:val="99"/>
    <w:semiHidden/>
    <w:unhideWhenUsed/>
    <w:rsid w:val="00280F65"/>
    <w:rPr>
      <w:b/>
      <w:bCs/>
    </w:rPr>
  </w:style>
  <w:style w:type="character" w:customStyle="1" w:styleId="CommentSubjectChar">
    <w:name w:val="Comment Subject Char"/>
    <w:basedOn w:val="CommentTextChar"/>
    <w:link w:val="CommentSubject"/>
    <w:uiPriority w:val="99"/>
    <w:semiHidden/>
    <w:rsid w:val="00280F65"/>
    <w:rPr>
      <w:rFonts w:ascii="Cambria" w:eastAsia="Times New Roman" w:hAnsi="Cambria" w:cs="Times New Roman"/>
      <w:b/>
      <w:bCs/>
      <w:sz w:val="20"/>
      <w:szCs w:val="20"/>
    </w:rPr>
  </w:style>
  <w:style w:type="paragraph" w:styleId="BodyText">
    <w:name w:val="Body Text"/>
    <w:basedOn w:val="Normal"/>
    <w:link w:val="BodyTextChar"/>
    <w:uiPriority w:val="99"/>
    <w:unhideWhenUsed/>
    <w:rsid w:val="00280F65"/>
    <w:pPr>
      <w:spacing w:after="120" w:line="240" w:lineRule="auto"/>
    </w:pPr>
    <w:rPr>
      <w:rFonts w:ascii="Cambria" w:eastAsia="Times New Roman" w:hAnsi="Cambria" w:cs="Times New Roman"/>
      <w:sz w:val="20"/>
      <w:szCs w:val="20"/>
    </w:rPr>
  </w:style>
  <w:style w:type="character" w:customStyle="1" w:styleId="BodyTextChar">
    <w:name w:val="Body Text Char"/>
    <w:basedOn w:val="DefaultParagraphFont"/>
    <w:link w:val="BodyText"/>
    <w:uiPriority w:val="99"/>
    <w:rsid w:val="00280F65"/>
    <w:rPr>
      <w:rFonts w:ascii="Cambria" w:eastAsia="Times New Roman" w:hAnsi="Cambria" w:cs="Times New Roman"/>
      <w:sz w:val="20"/>
      <w:szCs w:val="20"/>
    </w:rPr>
  </w:style>
  <w:style w:type="paragraph" w:styleId="NormalWeb">
    <w:name w:val="Normal (Web)"/>
    <w:basedOn w:val="Normal"/>
    <w:uiPriority w:val="99"/>
    <w:semiHidden/>
    <w:unhideWhenUsed/>
    <w:rsid w:val="00280F65"/>
    <w:pPr>
      <w:spacing w:before="100" w:beforeAutospacing="1" w:after="100" w:afterAutospacing="1" w:line="240" w:lineRule="auto"/>
    </w:pPr>
    <w:rPr>
      <w:rFonts w:ascii="Verdana" w:eastAsia="Times New Roman" w:hAnsi="Verdana" w:cs="Times New Roman"/>
      <w:color w:val="000000"/>
      <w:sz w:val="18"/>
      <w:szCs w:val="24"/>
    </w:rPr>
  </w:style>
  <w:style w:type="paragraph" w:styleId="ListBullet">
    <w:name w:val="List Bullet"/>
    <w:basedOn w:val="Normal"/>
    <w:uiPriority w:val="99"/>
    <w:semiHidden/>
    <w:unhideWhenUsed/>
    <w:rsid w:val="00280F65"/>
    <w:pPr>
      <w:numPr>
        <w:numId w:val="7"/>
      </w:numPr>
      <w:spacing w:after="0" w:line="240" w:lineRule="auto"/>
      <w:contextualSpacing/>
    </w:pPr>
    <w:rPr>
      <w:rFonts w:ascii="Calibri" w:eastAsia="Times New Roman" w:hAnsi="Calibri" w:cs="Times New Roman"/>
      <w:sz w:val="24"/>
      <w:szCs w:val="24"/>
      <w:lang w:val="en-US"/>
    </w:rPr>
  </w:style>
  <w:style w:type="character" w:styleId="Emphasis">
    <w:name w:val="Emphasis"/>
    <w:uiPriority w:val="20"/>
    <w:qFormat/>
    <w:rsid w:val="00280F65"/>
    <w:rPr>
      <w:i/>
      <w:iCs/>
    </w:rPr>
  </w:style>
  <w:style w:type="character" w:customStyle="1" w:styleId="DHHSfootnoteChar">
    <w:name w:val="DHHS footnote Char"/>
    <w:link w:val="DHHSfootnote"/>
    <w:uiPriority w:val="4"/>
    <w:locked/>
    <w:rsid w:val="00280F65"/>
    <w:rPr>
      <w:rFonts w:ascii="Arial" w:hAnsi="Arial" w:cs="Arial"/>
      <w:sz w:val="16"/>
      <w:szCs w:val="16"/>
    </w:rPr>
  </w:style>
  <w:style w:type="paragraph" w:customStyle="1" w:styleId="DHHSfootnote">
    <w:name w:val="DHHS footnote"/>
    <w:link w:val="DHHSfootnoteChar"/>
    <w:uiPriority w:val="4"/>
    <w:rsid w:val="00280F65"/>
    <w:pPr>
      <w:spacing w:before="60" w:after="60" w:line="200" w:lineRule="atLeast"/>
    </w:pPr>
    <w:rPr>
      <w:rFonts w:ascii="Arial" w:hAnsi="Arial" w:cs="Arial"/>
      <w:sz w:val="16"/>
      <w:szCs w:val="16"/>
    </w:rPr>
  </w:style>
  <w:style w:type="character" w:customStyle="1" w:styleId="DHHSfigurecaptionChar">
    <w:name w:val="DHHS figure caption Char"/>
    <w:link w:val="DHHSfigurecaption"/>
    <w:uiPriority w:val="4"/>
    <w:locked/>
    <w:rsid w:val="00280F65"/>
    <w:rPr>
      <w:rFonts w:ascii="Arial" w:eastAsia="Times New Roman" w:hAnsi="Arial" w:cs="Times New Roman"/>
      <w:b/>
      <w:sz w:val="20"/>
      <w:szCs w:val="20"/>
    </w:rPr>
  </w:style>
  <w:style w:type="character" w:customStyle="1" w:styleId="HealthbodyChar">
    <w:name w:val="Health body Char"/>
    <w:link w:val="Healthbody"/>
    <w:uiPriority w:val="99"/>
    <w:locked/>
    <w:rsid w:val="00280F65"/>
    <w:rPr>
      <w:rFonts w:ascii="Arial" w:hAnsi="Arial" w:cs="Arial"/>
    </w:rPr>
  </w:style>
  <w:style w:type="paragraph" w:customStyle="1" w:styleId="Healthbody">
    <w:name w:val="Health body"/>
    <w:link w:val="HealthbodyChar"/>
    <w:uiPriority w:val="99"/>
    <w:rsid w:val="00280F65"/>
    <w:pPr>
      <w:spacing w:after="120" w:line="270" w:lineRule="atLeast"/>
    </w:pPr>
    <w:rPr>
      <w:rFonts w:ascii="Arial" w:hAnsi="Arial" w:cs="Arial"/>
    </w:rPr>
  </w:style>
  <w:style w:type="paragraph" w:customStyle="1" w:styleId="DHHStablebullet2">
    <w:name w:val="DHHS table bullet 2"/>
    <w:basedOn w:val="DHHStabletext"/>
    <w:uiPriority w:val="11"/>
    <w:rsid w:val="00280F65"/>
    <w:pPr>
      <w:numPr>
        <w:ilvl w:val="1"/>
        <w:numId w:val="24"/>
      </w:numPr>
    </w:pPr>
  </w:style>
  <w:style w:type="character" w:customStyle="1" w:styleId="CommentTextChar1">
    <w:name w:val="Comment Text Char1"/>
    <w:uiPriority w:val="99"/>
    <w:semiHidden/>
    <w:rsid w:val="00280F65"/>
    <w:rPr>
      <w:rFonts w:ascii="Calibri" w:eastAsia="Times New Roman" w:hAnsi="Calibri" w:hint="default"/>
      <w:lang w:val="en-US" w:eastAsia="en-US"/>
    </w:rPr>
  </w:style>
  <w:style w:type="numbering" w:customStyle="1" w:styleId="Bullets">
    <w:name w:val="Bullets"/>
    <w:rsid w:val="00280F65"/>
    <w:pPr>
      <w:numPr>
        <w:numId w:val="8"/>
      </w:numPr>
    </w:pPr>
  </w:style>
  <w:style w:type="numbering" w:customStyle="1" w:styleId="Numbers">
    <w:name w:val="Numbers"/>
    <w:rsid w:val="00280F65"/>
    <w:pPr>
      <w:numPr>
        <w:numId w:val="9"/>
      </w:numPr>
    </w:pPr>
  </w:style>
  <w:style w:type="character" w:customStyle="1" w:styleId="valuetext1">
    <w:name w:val="valuetext1"/>
    <w:basedOn w:val="DefaultParagraphFont"/>
    <w:rsid w:val="00280F65"/>
    <w:rPr>
      <w:color w:val="0000CD"/>
    </w:rPr>
  </w:style>
  <w:style w:type="paragraph" w:customStyle="1" w:styleId="Default">
    <w:name w:val="Default"/>
    <w:rsid w:val="00280F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lthtablebody">
    <w:name w:val="Health table body"/>
    <w:link w:val="HealthtablebodyChar"/>
    <w:rsid w:val="00280F65"/>
    <w:pPr>
      <w:spacing w:after="40" w:line="220" w:lineRule="atLeast"/>
    </w:pPr>
    <w:rPr>
      <w:rFonts w:ascii="Arial" w:eastAsia="MS Mincho" w:hAnsi="Arial" w:cs="Times New Roman"/>
      <w:sz w:val="18"/>
      <w:szCs w:val="24"/>
    </w:rPr>
  </w:style>
  <w:style w:type="character" w:customStyle="1" w:styleId="HealthtablebodyChar">
    <w:name w:val="Health table body Char"/>
    <w:link w:val="Healthtablebody"/>
    <w:rsid w:val="00280F65"/>
    <w:rPr>
      <w:rFonts w:ascii="Arial" w:eastAsia="MS Mincho" w:hAnsi="Arial" w:cs="Times New Roman"/>
      <w:sz w:val="18"/>
      <w:szCs w:val="24"/>
    </w:rPr>
  </w:style>
  <w:style w:type="numbering" w:customStyle="1" w:styleId="Style1">
    <w:name w:val="Style1"/>
    <w:uiPriority w:val="99"/>
    <w:rsid w:val="00280F65"/>
    <w:pPr>
      <w:numPr>
        <w:numId w:val="12"/>
      </w:numPr>
    </w:pPr>
  </w:style>
  <w:style w:type="numbering" w:customStyle="1" w:styleId="Style2">
    <w:name w:val="Style2"/>
    <w:uiPriority w:val="99"/>
    <w:rsid w:val="00280F65"/>
    <w:pPr>
      <w:numPr>
        <w:numId w:val="14"/>
      </w:numPr>
    </w:pPr>
  </w:style>
  <w:style w:type="numbering" w:customStyle="1" w:styleId="Style3">
    <w:name w:val="Style3"/>
    <w:uiPriority w:val="99"/>
    <w:rsid w:val="00280F65"/>
    <w:pPr>
      <w:numPr>
        <w:numId w:val="16"/>
      </w:numPr>
    </w:pPr>
  </w:style>
  <w:style w:type="paragraph" w:customStyle="1" w:styleId="DHHSbodyafterbullets">
    <w:name w:val="DHHS body after bullets"/>
    <w:basedOn w:val="DHHSbody"/>
    <w:rsid w:val="00280F65"/>
    <w:pPr>
      <w:spacing w:before="120"/>
    </w:pPr>
    <w:rPr>
      <w:rFonts w:ascii="Helv" w:hAnsi="Helv" w:cs="Helv"/>
      <w:color w:val="000000"/>
      <w:lang w:eastAsia="en-AU"/>
    </w:rPr>
  </w:style>
  <w:style w:type="table" w:customStyle="1" w:styleId="Highlighttable">
    <w:name w:val="Highlight table"/>
    <w:basedOn w:val="TableNormal"/>
    <w:uiPriority w:val="99"/>
    <w:rsid w:val="00280F65"/>
    <w:pPr>
      <w:spacing w:after="0" w:line="240" w:lineRule="auto"/>
    </w:pPr>
    <w:rPr>
      <w:rFonts w:ascii="Times New Roman" w:eastAsia="Times New Roman" w:hAnsi="Times New Roman" w:cs="Times New Roman"/>
      <w:sz w:val="20"/>
      <w:szCs w:val="20"/>
      <w:lang w:eastAsia="en-AU"/>
    </w:rPr>
    <w:tblPr>
      <w:tblInd w:w="170" w:type="dxa"/>
      <w:tblBorders>
        <w:top w:val="single" w:sz="4" w:space="0" w:color="CCF1F2"/>
        <w:left w:val="single" w:sz="4" w:space="0" w:color="CCF1F2"/>
        <w:bottom w:val="single" w:sz="4" w:space="0" w:color="CCF1F2"/>
        <w:right w:val="single" w:sz="4" w:space="0" w:color="CCF1F2"/>
      </w:tblBorders>
      <w:tblCellMar>
        <w:top w:w="113" w:type="dxa"/>
        <w:left w:w="170" w:type="dxa"/>
        <w:bottom w:w="57" w:type="dxa"/>
        <w:right w:w="170" w:type="dxa"/>
      </w:tblCellMar>
    </w:tblPr>
    <w:tcPr>
      <w:shd w:val="clear" w:color="auto" w:fill="CCF1F2"/>
    </w:tcPr>
  </w:style>
  <w:style w:type="paragraph" w:customStyle="1" w:styleId="DHHSicon">
    <w:name w:val="DHHS icon"/>
    <w:basedOn w:val="DHHSbody"/>
    <w:rsid w:val="00280F65"/>
    <w:pPr>
      <w:spacing w:before="240"/>
    </w:pPr>
  </w:style>
  <w:style w:type="paragraph" w:customStyle="1" w:styleId="DHHSbulletafternumbers1">
    <w:name w:val="DHHS bullet after numbers 1"/>
    <w:basedOn w:val="DHHSbody"/>
    <w:uiPriority w:val="4"/>
    <w:rsid w:val="00280F65"/>
    <w:pPr>
      <w:numPr>
        <w:ilvl w:val="2"/>
        <w:numId w:val="20"/>
      </w:numPr>
    </w:pPr>
  </w:style>
  <w:style w:type="paragraph" w:customStyle="1" w:styleId="DHHSbulletafternumbers2">
    <w:name w:val="DHHS bullet after numbers 2"/>
    <w:basedOn w:val="DHHSbody"/>
    <w:rsid w:val="00280F65"/>
    <w:pPr>
      <w:numPr>
        <w:ilvl w:val="3"/>
        <w:numId w:val="20"/>
      </w:numPr>
    </w:pPr>
  </w:style>
  <w:style w:type="paragraph" w:customStyle="1" w:styleId="DHHStablebullet1">
    <w:name w:val="DHHS table bullet 1"/>
    <w:basedOn w:val="DHHStabletext"/>
    <w:uiPriority w:val="3"/>
    <w:qFormat/>
    <w:rsid w:val="00280F65"/>
    <w:pPr>
      <w:numPr>
        <w:numId w:val="24"/>
      </w:numPr>
    </w:pPr>
  </w:style>
  <w:style w:type="numbering" w:customStyle="1" w:styleId="ZZNumbersdigit">
    <w:name w:val="ZZ Numbers digit"/>
    <w:rsid w:val="00280F65"/>
    <w:pPr>
      <w:numPr>
        <w:numId w:val="20"/>
      </w:numPr>
    </w:pPr>
  </w:style>
  <w:style w:type="numbering" w:customStyle="1" w:styleId="ZZNumbersloweralpha">
    <w:name w:val="ZZ Numbers lower alpha"/>
    <w:basedOn w:val="NoList"/>
    <w:rsid w:val="00280F65"/>
    <w:pPr>
      <w:numPr>
        <w:numId w:val="22"/>
      </w:numPr>
    </w:pPr>
  </w:style>
  <w:style w:type="numbering" w:customStyle="1" w:styleId="ZZNumberslowerroman">
    <w:name w:val="ZZ Numbers lower roman"/>
    <w:basedOn w:val="NoList"/>
    <w:rsid w:val="00280F65"/>
    <w:pPr>
      <w:numPr>
        <w:numId w:val="23"/>
      </w:numPr>
    </w:pPr>
  </w:style>
  <w:style w:type="numbering" w:customStyle="1" w:styleId="ZZTablebullets">
    <w:name w:val="ZZ Table bullets"/>
    <w:basedOn w:val="NoList"/>
    <w:rsid w:val="00280F65"/>
    <w:pPr>
      <w:numPr>
        <w:numId w:val="24"/>
      </w:numPr>
    </w:pPr>
  </w:style>
  <w:style w:type="paragraph" w:customStyle="1" w:styleId="DHHStabletextsubhead">
    <w:name w:val="DHHS table text subhead"/>
    <w:basedOn w:val="DHHStabletext"/>
    <w:rsid w:val="00280F65"/>
    <w:pPr>
      <w:spacing w:before="120"/>
    </w:pPr>
    <w:rPr>
      <w:b/>
    </w:rPr>
  </w:style>
  <w:style w:type="character" w:customStyle="1" w:styleId="apple-converted-space">
    <w:name w:val="apple-converted-space"/>
    <w:basedOn w:val="DefaultParagraphFont"/>
    <w:rsid w:val="00280F65"/>
  </w:style>
  <w:style w:type="paragraph" w:customStyle="1" w:styleId="DHHStabletextboldnavy">
    <w:name w:val="DHHS table text bold navy"/>
    <w:basedOn w:val="Normal"/>
    <w:rsid w:val="00280F65"/>
    <w:pPr>
      <w:spacing w:before="80" w:after="60" w:line="240" w:lineRule="auto"/>
    </w:pPr>
    <w:rPr>
      <w:rFonts w:ascii="Arial" w:eastAsia="Times New Roman" w:hAnsi="Arial" w:cs="Times New Roman"/>
      <w:b/>
      <w:color w:val="201547"/>
      <w:sz w:val="20"/>
      <w:szCs w:val="20"/>
    </w:rPr>
  </w:style>
  <w:style w:type="character" w:customStyle="1" w:styleId="ListParagraphChar">
    <w:name w:val="List Paragraph Char"/>
    <w:aliases w:val="Body text indented Char,dot point 1 Char,List Paragraph1 Char,Recommendation Char"/>
    <w:basedOn w:val="DefaultParagraphFont"/>
    <w:link w:val="ListParagraph"/>
    <w:uiPriority w:val="34"/>
    <w:rsid w:val="00280F65"/>
  </w:style>
  <w:style w:type="paragraph" w:customStyle="1" w:styleId="Normal61">
    <w:name w:val="Normal_61"/>
    <w:qFormat/>
    <w:rsid w:val="00280F65"/>
    <w:pPr>
      <w:spacing w:after="210" w:line="276" w:lineRule="auto"/>
    </w:pPr>
    <w:rPr>
      <w:rFonts w:ascii="Arial" w:eastAsia="Arial" w:hAnsi="Arial" w:cs="Arial"/>
      <w:sz w:val="20"/>
      <w:szCs w:val="24"/>
    </w:rPr>
  </w:style>
  <w:style w:type="character" w:styleId="SubtleReference">
    <w:name w:val="Subtle Reference"/>
    <w:basedOn w:val="DefaultParagraphFont"/>
    <w:uiPriority w:val="31"/>
    <w:qFormat/>
    <w:rsid w:val="00280F65"/>
    <w:rPr>
      <w:smallCaps/>
      <w:color w:val="5A5A5A" w:themeColor="text1" w:themeTint="A5"/>
    </w:rPr>
  </w:style>
  <w:style w:type="paragraph" w:customStyle="1" w:styleId="DHHSbody0">
    <w:name w:val="DHHS body_0"/>
    <w:qFormat/>
    <w:rsid w:val="00280F65"/>
    <w:pPr>
      <w:spacing w:after="120" w:line="270" w:lineRule="atLeas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063">
      <w:bodyDiv w:val="1"/>
      <w:marLeft w:val="0"/>
      <w:marRight w:val="0"/>
      <w:marTop w:val="0"/>
      <w:marBottom w:val="0"/>
      <w:divBdr>
        <w:top w:val="none" w:sz="0" w:space="0" w:color="auto"/>
        <w:left w:val="none" w:sz="0" w:space="0" w:color="auto"/>
        <w:bottom w:val="none" w:sz="0" w:space="0" w:color="auto"/>
        <w:right w:val="none" w:sz="0" w:space="0" w:color="auto"/>
      </w:divBdr>
    </w:div>
    <w:div w:id="19358427">
      <w:bodyDiv w:val="1"/>
      <w:marLeft w:val="0"/>
      <w:marRight w:val="0"/>
      <w:marTop w:val="0"/>
      <w:marBottom w:val="0"/>
      <w:divBdr>
        <w:top w:val="none" w:sz="0" w:space="0" w:color="auto"/>
        <w:left w:val="none" w:sz="0" w:space="0" w:color="auto"/>
        <w:bottom w:val="none" w:sz="0" w:space="0" w:color="auto"/>
        <w:right w:val="none" w:sz="0" w:space="0" w:color="auto"/>
      </w:divBdr>
    </w:div>
    <w:div w:id="690104009">
      <w:bodyDiv w:val="1"/>
      <w:marLeft w:val="0"/>
      <w:marRight w:val="0"/>
      <w:marTop w:val="0"/>
      <w:marBottom w:val="0"/>
      <w:divBdr>
        <w:top w:val="none" w:sz="0" w:space="0" w:color="auto"/>
        <w:left w:val="none" w:sz="0" w:space="0" w:color="auto"/>
        <w:bottom w:val="none" w:sz="0" w:space="0" w:color="auto"/>
        <w:right w:val="none" w:sz="0" w:space="0" w:color="auto"/>
      </w:divBdr>
    </w:div>
    <w:div w:id="1439905460">
      <w:bodyDiv w:val="1"/>
      <w:marLeft w:val="0"/>
      <w:marRight w:val="0"/>
      <w:marTop w:val="0"/>
      <w:marBottom w:val="0"/>
      <w:divBdr>
        <w:top w:val="none" w:sz="0" w:space="0" w:color="auto"/>
        <w:left w:val="none" w:sz="0" w:space="0" w:color="auto"/>
        <w:bottom w:val="none" w:sz="0" w:space="0" w:color="auto"/>
        <w:right w:val="none" w:sz="0" w:space="0" w:color="auto"/>
      </w:divBdr>
    </w:div>
    <w:div w:id="1724326303">
      <w:bodyDiv w:val="1"/>
      <w:marLeft w:val="0"/>
      <w:marRight w:val="0"/>
      <w:marTop w:val="0"/>
      <w:marBottom w:val="0"/>
      <w:divBdr>
        <w:top w:val="none" w:sz="0" w:space="0" w:color="auto"/>
        <w:left w:val="none" w:sz="0" w:space="0" w:color="auto"/>
        <w:bottom w:val="none" w:sz="0" w:space="0" w:color="auto"/>
        <w:right w:val="none" w:sz="0" w:space="0" w:color="auto"/>
      </w:divBdr>
    </w:div>
    <w:div w:id="21082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cniss.org.au" TargetMode="External"/><Relationship Id="rId18" Type="http://schemas.openxmlformats.org/officeDocument/2006/relationships/hyperlink" Target="https://www2.health.vic.gov.au/health-workforce/education-and-training/building-a-quality-health-workforce/bpcle-framewor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alth.vic.gov.au/data-reporting/victorian-integrated-non-admitted-health-vinah-dataset" TargetMode="External"/><Relationship Id="rId7" Type="http://schemas.openxmlformats.org/officeDocument/2006/relationships/settings" Target="settings.xml"/><Relationship Id="rId12" Type="http://schemas.openxmlformats.org/officeDocument/2006/relationships/hyperlink" Target="http://www.hha.org.au" TargetMode="External"/><Relationship Id="rId17" Type="http://schemas.openxmlformats.org/officeDocument/2006/relationships/hyperlink" Target="https://www2.health.vic.gov.au/hospitals-and-health-services/quality-safety-service/clinical-networks/clinical-network-stroke/stroke-statewide-framework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vicniss.org.au" TargetMode="External"/><Relationship Id="rId20" Type="http://schemas.openxmlformats.org/officeDocument/2006/relationships/hyperlink" Target="https://www.health.vic.gov.au/policy-and-funding-guidelines-for-health-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hi@vahi.vic.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vicniss.org.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ealth.vic.gov.au/surgery/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health.vic.gov.au/about/key-staff/chief-psychiatrist/chief-psychiatrist-guidelines/working-together-with-families-and-carers"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1" ma:contentTypeDescription="Create a new document." ma:contentTypeScope="" ma:versionID="7ef7ca28f9bb1d398df86a29b0d10265">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fe6383d1d8c0eff721b9631c2de51e6e"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2B80F-43B1-4552-B12A-0FDA2FE5C677}">
  <ds:schemaRefs>
    <ds:schemaRef ds:uri="http://purl.org/dc/terms/"/>
    <ds:schemaRef ds:uri="http://schemas.openxmlformats.org/package/2006/metadata/core-properties"/>
    <ds:schemaRef ds:uri="fa2310a6-bbba-42df-97d4-fdd9085cfb05"/>
    <ds:schemaRef ds:uri="http://schemas.microsoft.com/office/2006/documentManagement/types"/>
    <ds:schemaRef ds:uri="f6005034-34e4-44ed-9116-8e8166eeccd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E79285-EBB6-4DC6-BC09-CA0D57508A5B}">
  <ds:schemaRefs>
    <ds:schemaRef ds:uri="http://schemas.microsoft.com/sharepoint/v3/contenttype/forms"/>
  </ds:schemaRefs>
</ds:datastoreItem>
</file>

<file path=customXml/itemProps3.xml><?xml version="1.0" encoding="utf-8"?>
<ds:datastoreItem xmlns:ds="http://schemas.openxmlformats.org/officeDocument/2006/customXml" ds:itemID="{2DF3E042-8BC3-4EA9-85D8-D5D174625EF6}">
  <ds:schemaRefs>
    <ds:schemaRef ds:uri="http://schemas.openxmlformats.org/officeDocument/2006/bibliography"/>
  </ds:schemaRefs>
</ds:datastoreItem>
</file>

<file path=customXml/itemProps4.xml><?xml version="1.0" encoding="utf-8"?>
<ds:datastoreItem xmlns:ds="http://schemas.openxmlformats.org/officeDocument/2006/customXml" ds:itemID="{8C942FE4-2736-48F6-AEDE-5FDD888CF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34736</Words>
  <Characters>198000</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Business Rules</dc:title>
  <dc:subject/>
  <cp:keywords>Performance Monitoring Framework</cp:keywords>
  <dc:description/>
  <cp:revision>2</cp:revision>
  <cp:lastPrinted>2022-04-15T20:59:00Z</cp:lastPrinted>
  <dcterms:created xsi:type="dcterms:W3CDTF">2023-01-31T02:11:00Z</dcterms:created>
  <dcterms:modified xsi:type="dcterms:W3CDTF">2023-01-31T02:11:00Z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0x01010075D93CC960831D43BCE240AB9FD170A2</vt:lpwstr>
  </property>
  <property fmtid="{D5CDD505-2E9C-101B-9397-08002B2CF9AE}" pid="3" name="MediaServiceImageTags">
    <vt:lpwstr/>
  </property>
  <property fmtid="{D5CDD505-2E9C-101B-9397-08002B2CF9AE}" pid="4" name="lcf76f155ced4ddcb4097134ff3c332f">
    <vt:lpwstr/>
  </property>
  <property fmtid="{D5CDD505-2E9C-101B-9397-08002B2CF9AE}" pid="5" name="Order">
    <vt:r8>351500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43e64453-338c-4f93-8a4d-0039a0a41f2a_Enabled">
    <vt:lpwstr>true</vt:lpwstr>
  </property>
  <property fmtid="{D5CDD505-2E9C-101B-9397-08002B2CF9AE}" pid="13" name="MSIP_Label_43e64453-338c-4f93-8a4d-0039a0a41f2a_SetDate">
    <vt:lpwstr>2023-01-31T02:11:52Z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42c3966f-3d55-4848-be1e-050e272db2a7</vt:lpwstr>
  </property>
  <property fmtid="{D5CDD505-2E9C-101B-9397-08002B2CF9AE}" pid="18" name="MSIP_Label_43e64453-338c-4f93-8a4d-0039a0a41f2a_ContentBits">
    <vt:lpwstr>2</vt:lpwstr>
  </property>
</Properties>
</file>