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86A2" w14:textId="77777777" w:rsidR="00EC715D" w:rsidRPr="005A199B" w:rsidRDefault="00EC715D" w:rsidP="00451711">
      <w:pPr>
        <w:pStyle w:val="Documenttitle"/>
        <w:spacing w:after="0" w:line="200" w:lineRule="atLeast"/>
        <w:jc w:val="center"/>
        <w:rPr>
          <w:sz w:val="18"/>
          <w:szCs w:val="18"/>
        </w:rPr>
      </w:pPr>
    </w:p>
    <w:p w14:paraId="166435BA" w14:textId="77777777" w:rsidR="00591D4D" w:rsidRDefault="00591D4D" w:rsidP="004A3467">
      <w:pPr>
        <w:rPr>
          <w:rFonts w:ascii="Arial" w:eastAsia="Times New Roman" w:hAnsi="Arial" w:cs="Times New Roman"/>
          <w:b/>
          <w:color w:val="AF272F"/>
          <w:sz w:val="40"/>
          <w:szCs w:val="40"/>
        </w:rPr>
      </w:pPr>
    </w:p>
    <w:p w14:paraId="541EFDFB" w14:textId="71B0B549" w:rsidR="00C53BDB" w:rsidRPr="00591D4D" w:rsidRDefault="004A3467" w:rsidP="56C53FBB">
      <w:pPr>
        <w:rPr>
          <w:sz w:val="40"/>
          <w:szCs w:val="40"/>
        </w:rPr>
      </w:pPr>
      <w:r w:rsidRPr="004A3467">
        <w:rPr>
          <w:rFonts w:ascii="Arial" w:eastAsia="Times New Roman" w:hAnsi="Arial" w:cs="Times New Roman"/>
          <w:b/>
          <w:color w:val="AF272F"/>
          <w:sz w:val="40"/>
          <w:szCs w:val="40"/>
        </w:rPr>
        <w:t xml:space="preserve">Department of Health - </w:t>
      </w:r>
      <w:r w:rsidR="007075E8" w:rsidRPr="004A3467">
        <w:rPr>
          <w:rFonts w:ascii="Arial" w:eastAsia="Times New Roman" w:hAnsi="Arial" w:cs="Times New Roman"/>
          <w:b/>
          <w:color w:val="AF272F"/>
          <w:sz w:val="40"/>
          <w:szCs w:val="40"/>
        </w:rPr>
        <w:t xml:space="preserve">Executive </w:t>
      </w:r>
      <w:r w:rsidR="00AF4B7A" w:rsidRPr="004A3467">
        <w:rPr>
          <w:rFonts w:ascii="Arial" w:eastAsia="Times New Roman" w:hAnsi="Arial" w:cs="Times New Roman"/>
          <w:b/>
          <w:color w:val="AF272F"/>
          <w:sz w:val="40"/>
          <w:szCs w:val="40"/>
        </w:rPr>
        <w:t>Gender</w:t>
      </w:r>
      <w:r w:rsidR="006D146C" w:rsidRPr="004A3467">
        <w:rPr>
          <w:rFonts w:ascii="Arial" w:eastAsia="Times New Roman" w:hAnsi="Arial" w:cs="Times New Roman"/>
          <w:b/>
          <w:color w:val="AF272F"/>
          <w:sz w:val="40"/>
          <w:szCs w:val="40"/>
        </w:rPr>
        <w:t xml:space="preserve"> Pay Gap</w:t>
      </w:r>
      <w:r w:rsidR="006D146C" w:rsidRPr="004A3467">
        <w:rPr>
          <w:sz w:val="40"/>
          <w:szCs w:val="40"/>
        </w:rPr>
        <w:t xml:space="preserve"> </w:t>
      </w:r>
    </w:p>
    <w:p w14:paraId="2725E099" w14:textId="77777777" w:rsidR="001D2A77" w:rsidRDefault="000974C2" w:rsidP="56C53FBB">
      <w:pPr>
        <w:rPr>
          <w:rFonts w:ascii="Arial" w:hAnsi="Arial" w:cs="Arial"/>
          <w:sz w:val="20"/>
          <w:szCs w:val="20"/>
        </w:rPr>
      </w:pPr>
      <w:r w:rsidRPr="56C53FBB">
        <w:rPr>
          <w:rFonts w:ascii="Arial" w:hAnsi="Arial" w:cs="Arial"/>
          <w:sz w:val="20"/>
          <w:szCs w:val="20"/>
        </w:rPr>
        <w:t xml:space="preserve">The </w:t>
      </w:r>
      <w:r>
        <w:rPr>
          <w:rFonts w:ascii="Arial" w:hAnsi="Arial" w:cs="Arial"/>
          <w:sz w:val="20"/>
          <w:szCs w:val="20"/>
        </w:rPr>
        <w:t>D</w:t>
      </w:r>
      <w:r w:rsidRPr="56C53FBB">
        <w:rPr>
          <w:rFonts w:ascii="Arial" w:hAnsi="Arial" w:cs="Arial"/>
          <w:sz w:val="20"/>
          <w:szCs w:val="20"/>
        </w:rPr>
        <w:t>epartment</w:t>
      </w:r>
      <w:r>
        <w:rPr>
          <w:rFonts w:ascii="Arial" w:hAnsi="Arial" w:cs="Arial"/>
          <w:sz w:val="20"/>
          <w:szCs w:val="20"/>
        </w:rPr>
        <w:t xml:space="preserve"> </w:t>
      </w:r>
      <w:r w:rsidR="00B16D21">
        <w:rPr>
          <w:rFonts w:ascii="Arial" w:hAnsi="Arial" w:cs="Arial"/>
          <w:sz w:val="20"/>
          <w:szCs w:val="20"/>
        </w:rPr>
        <w:t>o</w:t>
      </w:r>
      <w:r>
        <w:rPr>
          <w:rFonts w:ascii="Arial" w:hAnsi="Arial" w:cs="Arial"/>
          <w:sz w:val="20"/>
          <w:szCs w:val="20"/>
        </w:rPr>
        <w:t>f Health</w:t>
      </w:r>
      <w:r w:rsidRPr="56C53FBB">
        <w:rPr>
          <w:rFonts w:ascii="Arial" w:hAnsi="Arial" w:cs="Arial"/>
          <w:sz w:val="20"/>
          <w:szCs w:val="20"/>
        </w:rPr>
        <w:t xml:space="preserve"> has a strong commitment to improving inclusion and equality in the workplace.</w:t>
      </w:r>
    </w:p>
    <w:p w14:paraId="3AE65E40" w14:textId="51C19B37" w:rsidR="004359DB" w:rsidRPr="001764DC" w:rsidRDefault="00E82271" w:rsidP="56C53FBB">
      <w:pPr>
        <w:rPr>
          <w:rFonts w:ascii="Arial" w:hAnsi="Arial" w:cs="Arial"/>
          <w:sz w:val="20"/>
          <w:szCs w:val="20"/>
        </w:rPr>
      </w:pPr>
      <w:r w:rsidRPr="3124C86E">
        <w:rPr>
          <w:rFonts w:ascii="Arial" w:hAnsi="Arial" w:cs="Arial"/>
          <w:sz w:val="20"/>
          <w:szCs w:val="20"/>
        </w:rPr>
        <w:t xml:space="preserve">The department’s </w:t>
      </w:r>
      <w:hyperlink r:id="rId10">
        <w:r w:rsidRPr="3124C86E">
          <w:rPr>
            <w:rStyle w:val="Hyperlink"/>
            <w:rFonts w:ascii="Arial" w:hAnsi="Arial" w:cs="Arial"/>
            <w:i/>
            <w:iCs/>
            <w:sz w:val="20"/>
            <w:szCs w:val="20"/>
          </w:rPr>
          <w:t>Gender Equality Action Plan 2022-25</w:t>
        </w:r>
      </w:hyperlink>
      <w:r w:rsidRPr="3124C86E">
        <w:rPr>
          <w:rFonts w:ascii="Arial" w:hAnsi="Arial" w:cs="Arial"/>
          <w:sz w:val="20"/>
          <w:szCs w:val="20"/>
        </w:rPr>
        <w:t xml:space="preserve"> commits to reducing the gender pay gap as one of its </w:t>
      </w:r>
      <w:r w:rsidR="03C215CE" w:rsidRPr="3124C86E">
        <w:rPr>
          <w:rFonts w:ascii="Arial" w:hAnsi="Arial" w:cs="Arial"/>
          <w:sz w:val="20"/>
          <w:szCs w:val="20"/>
        </w:rPr>
        <w:t>five</w:t>
      </w:r>
      <w:r w:rsidRPr="3124C86E">
        <w:rPr>
          <w:rFonts w:ascii="Arial" w:hAnsi="Arial" w:cs="Arial"/>
          <w:sz w:val="20"/>
          <w:szCs w:val="20"/>
        </w:rPr>
        <w:t xml:space="preserve"> strategic focus area</w:t>
      </w:r>
      <w:r w:rsidR="00873B56" w:rsidRPr="3124C86E">
        <w:rPr>
          <w:rFonts w:ascii="Arial" w:hAnsi="Arial" w:cs="Arial"/>
          <w:sz w:val="20"/>
          <w:szCs w:val="20"/>
        </w:rPr>
        <w:t>s</w:t>
      </w:r>
      <w:r w:rsidRPr="3124C86E">
        <w:rPr>
          <w:rFonts w:ascii="Arial" w:hAnsi="Arial" w:cs="Arial"/>
          <w:sz w:val="20"/>
          <w:szCs w:val="20"/>
        </w:rPr>
        <w:t>.</w:t>
      </w:r>
      <w:r w:rsidR="001764DC">
        <w:rPr>
          <w:rFonts w:ascii="Arial" w:hAnsi="Arial" w:cs="Arial"/>
          <w:sz w:val="20"/>
          <w:szCs w:val="20"/>
        </w:rPr>
        <w:t xml:space="preserve"> </w:t>
      </w:r>
      <w:r w:rsidR="00286EEF" w:rsidRPr="56C53FBB">
        <w:rPr>
          <w:rFonts w:ascii="Arial" w:hAnsi="Arial" w:cs="Arial"/>
          <w:sz w:val="20"/>
          <w:szCs w:val="20"/>
        </w:rPr>
        <w:t xml:space="preserve">As part </w:t>
      </w:r>
      <w:r w:rsidR="000533A2">
        <w:rPr>
          <w:rFonts w:ascii="Arial" w:hAnsi="Arial" w:cs="Arial"/>
          <w:sz w:val="20"/>
          <w:szCs w:val="20"/>
        </w:rPr>
        <w:t>of</w:t>
      </w:r>
      <w:r w:rsidR="00286EEF" w:rsidRPr="56C53FBB">
        <w:rPr>
          <w:rFonts w:ascii="Arial" w:hAnsi="Arial" w:cs="Arial"/>
          <w:sz w:val="20"/>
          <w:szCs w:val="20"/>
        </w:rPr>
        <w:t xml:space="preserve"> </w:t>
      </w:r>
      <w:r w:rsidR="00F94524">
        <w:rPr>
          <w:rFonts w:ascii="Arial" w:hAnsi="Arial" w:cs="Arial"/>
          <w:sz w:val="20"/>
          <w:szCs w:val="20"/>
        </w:rPr>
        <w:t>this commitment</w:t>
      </w:r>
      <w:r w:rsidR="00286EEF" w:rsidRPr="56C53FBB">
        <w:rPr>
          <w:rFonts w:ascii="Arial" w:hAnsi="Arial" w:cs="Arial"/>
          <w:sz w:val="20"/>
          <w:szCs w:val="20"/>
        </w:rPr>
        <w:t>, the department</w:t>
      </w:r>
      <w:r w:rsidR="004359DB" w:rsidRPr="56C53FBB">
        <w:rPr>
          <w:rFonts w:ascii="Arial" w:hAnsi="Arial" w:cs="Arial"/>
          <w:sz w:val="20"/>
          <w:szCs w:val="20"/>
        </w:rPr>
        <w:t xml:space="preserve"> monitors workforce gender pay gap</w:t>
      </w:r>
      <w:r w:rsidR="00D23BE3" w:rsidRPr="56C53FBB">
        <w:rPr>
          <w:rFonts w:ascii="Arial" w:hAnsi="Arial" w:cs="Arial"/>
          <w:sz w:val="20"/>
          <w:szCs w:val="20"/>
        </w:rPr>
        <w:t>s</w:t>
      </w:r>
      <w:r w:rsidR="004359DB" w:rsidRPr="56C53FBB">
        <w:rPr>
          <w:rFonts w:ascii="Arial" w:hAnsi="Arial" w:cs="Arial"/>
          <w:sz w:val="20"/>
          <w:szCs w:val="20"/>
        </w:rPr>
        <w:t xml:space="preserve"> and reviews new executive remuneration determinations through a gender equity lens.</w:t>
      </w:r>
      <w:r w:rsidR="005C4D0C" w:rsidRPr="56C53FBB">
        <w:rPr>
          <w:rFonts w:ascii="Arial" w:hAnsi="Arial" w:cs="Arial"/>
          <w:sz w:val="20"/>
          <w:szCs w:val="20"/>
        </w:rPr>
        <w:t xml:space="preserve"> </w:t>
      </w:r>
    </w:p>
    <w:p w14:paraId="168AA072" w14:textId="264BF5A8" w:rsidR="00C8316E" w:rsidRPr="004359DB" w:rsidRDefault="007A4434" w:rsidP="004359DB">
      <w:pPr>
        <w:rPr>
          <w:rFonts w:ascii="Arial" w:hAnsi="Arial" w:cs="Arial"/>
          <w:sz w:val="20"/>
          <w:szCs w:val="20"/>
        </w:rPr>
      </w:pPr>
      <w:r w:rsidRPr="3124C86E">
        <w:rPr>
          <w:rFonts w:ascii="Arial" w:hAnsi="Arial" w:cs="Arial"/>
          <w:sz w:val="20"/>
          <w:szCs w:val="20"/>
        </w:rPr>
        <w:t>The department c</w:t>
      </w:r>
      <w:r w:rsidR="00286EEF" w:rsidRPr="3124C86E">
        <w:rPr>
          <w:rFonts w:ascii="Arial" w:hAnsi="Arial" w:cs="Arial"/>
          <w:sz w:val="20"/>
          <w:szCs w:val="20"/>
        </w:rPr>
        <w:t>onducts</w:t>
      </w:r>
      <w:r w:rsidR="000F1B6A" w:rsidRPr="3124C86E">
        <w:rPr>
          <w:rFonts w:ascii="Arial" w:hAnsi="Arial" w:cs="Arial"/>
          <w:sz w:val="20"/>
          <w:szCs w:val="20"/>
        </w:rPr>
        <w:t xml:space="preserve"> workplace </w:t>
      </w:r>
      <w:r w:rsidR="004359DB" w:rsidRPr="3124C86E">
        <w:rPr>
          <w:rFonts w:ascii="Arial" w:hAnsi="Arial" w:cs="Arial"/>
          <w:sz w:val="20"/>
          <w:szCs w:val="20"/>
        </w:rPr>
        <w:t xml:space="preserve">gender </w:t>
      </w:r>
      <w:r w:rsidR="000F1B6A" w:rsidRPr="3124C86E">
        <w:rPr>
          <w:rFonts w:ascii="Arial" w:hAnsi="Arial" w:cs="Arial"/>
          <w:sz w:val="20"/>
          <w:szCs w:val="20"/>
        </w:rPr>
        <w:t xml:space="preserve">equality </w:t>
      </w:r>
      <w:r w:rsidR="004359DB" w:rsidRPr="3124C86E">
        <w:rPr>
          <w:rFonts w:ascii="Arial" w:hAnsi="Arial" w:cs="Arial"/>
          <w:sz w:val="20"/>
          <w:szCs w:val="20"/>
        </w:rPr>
        <w:t xml:space="preserve">audits </w:t>
      </w:r>
      <w:r w:rsidR="000F1B6A" w:rsidRPr="3124C86E">
        <w:rPr>
          <w:rFonts w:ascii="Arial" w:hAnsi="Arial" w:cs="Arial"/>
          <w:sz w:val="20"/>
          <w:szCs w:val="20"/>
        </w:rPr>
        <w:t xml:space="preserve">(including gender pay gap) </w:t>
      </w:r>
      <w:r w:rsidR="001C062C" w:rsidRPr="3124C86E">
        <w:rPr>
          <w:rFonts w:ascii="Arial" w:hAnsi="Arial" w:cs="Arial"/>
          <w:sz w:val="20"/>
          <w:szCs w:val="20"/>
        </w:rPr>
        <w:t xml:space="preserve">as </w:t>
      </w:r>
      <w:r w:rsidR="00F94524">
        <w:rPr>
          <w:rFonts w:ascii="Arial" w:hAnsi="Arial" w:cs="Arial"/>
          <w:sz w:val="20"/>
          <w:szCs w:val="20"/>
        </w:rPr>
        <w:t>required</w:t>
      </w:r>
      <w:r w:rsidR="00286EEF" w:rsidRPr="3124C86E">
        <w:rPr>
          <w:rFonts w:ascii="Arial" w:hAnsi="Arial" w:cs="Arial"/>
          <w:sz w:val="20"/>
          <w:szCs w:val="20"/>
        </w:rPr>
        <w:t xml:space="preserve"> under</w:t>
      </w:r>
      <w:r w:rsidR="004359DB" w:rsidRPr="3124C86E">
        <w:rPr>
          <w:rFonts w:ascii="Arial" w:hAnsi="Arial" w:cs="Arial"/>
          <w:sz w:val="20"/>
          <w:szCs w:val="20"/>
        </w:rPr>
        <w:t xml:space="preserve"> the </w:t>
      </w:r>
      <w:r w:rsidR="004359DB" w:rsidRPr="3124C86E">
        <w:rPr>
          <w:rFonts w:ascii="Arial" w:hAnsi="Arial" w:cs="Arial"/>
          <w:i/>
          <w:iCs/>
          <w:sz w:val="20"/>
          <w:szCs w:val="20"/>
        </w:rPr>
        <w:t>Gender Equality Act 2020</w:t>
      </w:r>
      <w:r w:rsidR="000F1B6A" w:rsidRPr="3124C86E">
        <w:rPr>
          <w:rFonts w:ascii="Arial" w:hAnsi="Arial" w:cs="Arial"/>
          <w:sz w:val="20"/>
          <w:szCs w:val="20"/>
        </w:rPr>
        <w:t>.</w:t>
      </w:r>
      <w:r w:rsidR="00B16D21">
        <w:rPr>
          <w:rFonts w:ascii="Arial" w:hAnsi="Arial" w:cs="Arial"/>
          <w:sz w:val="20"/>
          <w:szCs w:val="20"/>
        </w:rPr>
        <w:t xml:space="preserve"> </w:t>
      </w:r>
    </w:p>
    <w:p w14:paraId="2B766335" w14:textId="20A1FDA8" w:rsidR="006D7E7C" w:rsidRPr="00591D4D" w:rsidRDefault="006D7E7C" w:rsidP="006D7E7C">
      <w:pPr>
        <w:rPr>
          <w:rFonts w:ascii="Arial" w:eastAsia="Times New Roman" w:hAnsi="Arial" w:cs="Times New Roman"/>
          <w:b/>
          <w:color w:val="53565A"/>
          <w:sz w:val="24"/>
          <w:szCs w:val="24"/>
        </w:rPr>
      </w:pPr>
      <w:r w:rsidRPr="00591D4D">
        <w:rPr>
          <w:rFonts w:ascii="Arial" w:eastAsia="Times New Roman" w:hAnsi="Arial" w:cs="Times New Roman"/>
          <w:b/>
          <w:color w:val="53565A"/>
          <w:sz w:val="24"/>
          <w:szCs w:val="24"/>
        </w:rPr>
        <w:t xml:space="preserve">Executive </w:t>
      </w:r>
      <w:r w:rsidR="008E48EF" w:rsidRPr="00591D4D">
        <w:rPr>
          <w:rFonts w:ascii="Arial" w:eastAsia="Times New Roman" w:hAnsi="Arial" w:cs="Times New Roman"/>
          <w:b/>
          <w:color w:val="53565A"/>
          <w:sz w:val="24"/>
          <w:szCs w:val="24"/>
        </w:rPr>
        <w:t>gr</w:t>
      </w:r>
      <w:r w:rsidRPr="00591D4D">
        <w:rPr>
          <w:rFonts w:ascii="Arial" w:eastAsia="Times New Roman" w:hAnsi="Arial" w:cs="Times New Roman"/>
          <w:b/>
          <w:color w:val="53565A"/>
          <w:sz w:val="24"/>
          <w:szCs w:val="24"/>
        </w:rPr>
        <w:t>oup gender pay gap</w:t>
      </w:r>
      <w:r w:rsidR="008E48EF" w:rsidRPr="00591D4D">
        <w:rPr>
          <w:rFonts w:ascii="Arial" w:eastAsia="Times New Roman" w:hAnsi="Arial" w:cs="Times New Roman"/>
          <w:b/>
          <w:color w:val="53565A"/>
          <w:sz w:val="24"/>
          <w:szCs w:val="24"/>
        </w:rPr>
        <w:t xml:space="preserve"> by mid-point and average</w:t>
      </w:r>
    </w:p>
    <w:p w14:paraId="135A46DD" w14:textId="77777777" w:rsidR="00103E90" w:rsidRDefault="006D7E7C" w:rsidP="006D7E7C">
      <w:pPr>
        <w:rPr>
          <w:rFonts w:ascii="Arial" w:hAnsi="Arial" w:cs="Arial"/>
          <w:sz w:val="20"/>
          <w:szCs w:val="20"/>
        </w:rPr>
      </w:pPr>
      <w:r w:rsidRPr="3124C86E">
        <w:rPr>
          <w:rFonts w:ascii="Arial" w:hAnsi="Arial" w:cs="Arial"/>
          <w:b/>
          <w:bCs/>
          <w:sz w:val="20"/>
          <w:szCs w:val="20"/>
        </w:rPr>
        <w:t>Table 1</w:t>
      </w:r>
      <w:r w:rsidRPr="3124C86E">
        <w:rPr>
          <w:rFonts w:ascii="Arial" w:hAnsi="Arial" w:cs="Arial"/>
          <w:sz w:val="20"/>
          <w:szCs w:val="20"/>
        </w:rPr>
        <w:t xml:space="preserve"> shows the department’s median (mid-point) executive pay gap by </w:t>
      </w:r>
      <w:r w:rsidR="00750F74">
        <w:rPr>
          <w:rFonts w:ascii="Arial" w:hAnsi="Arial" w:cs="Arial"/>
          <w:sz w:val="20"/>
          <w:szCs w:val="20"/>
        </w:rPr>
        <w:t xml:space="preserve">Executive </w:t>
      </w:r>
      <w:r w:rsidRPr="3124C86E">
        <w:rPr>
          <w:rFonts w:ascii="Arial" w:hAnsi="Arial" w:cs="Arial"/>
          <w:sz w:val="20"/>
          <w:szCs w:val="20"/>
        </w:rPr>
        <w:t>classifications and for the combined executive group.</w:t>
      </w:r>
    </w:p>
    <w:p w14:paraId="671F1A30" w14:textId="41D494B9" w:rsidR="006D7E7C" w:rsidRDefault="006D7E7C" w:rsidP="006D7E7C">
      <w:pPr>
        <w:rPr>
          <w:rFonts w:ascii="Arial" w:hAnsi="Arial" w:cs="Arial"/>
          <w:sz w:val="20"/>
          <w:szCs w:val="20"/>
        </w:rPr>
      </w:pPr>
      <w:r w:rsidRPr="3124C86E">
        <w:rPr>
          <w:rFonts w:ascii="Arial" w:hAnsi="Arial" w:cs="Arial"/>
          <w:sz w:val="20"/>
          <w:szCs w:val="20"/>
        </w:rPr>
        <w:t xml:space="preserve">As at 2 October 2022, the overall median gender pay gap for the department’s executive group was 3.0 per cent, the SES2 median gender pay gap was 9.5 per cent, while SES1 and SES3 classifications had median pay gaps in favour of women, -2.2 per cent, and -2.3 per cent, respectively. </w:t>
      </w:r>
    </w:p>
    <w:p w14:paraId="2F3C975A" w14:textId="540FE8EE" w:rsidR="006D7E7C" w:rsidRPr="00591D4D" w:rsidRDefault="006D7E7C" w:rsidP="006D7E7C">
      <w:pPr>
        <w:pStyle w:val="Heading2"/>
        <w:spacing w:before="120"/>
        <w:rPr>
          <w:sz w:val="22"/>
          <w:szCs w:val="20"/>
        </w:rPr>
      </w:pPr>
      <w:r w:rsidRPr="00591D4D">
        <w:rPr>
          <w:sz w:val="22"/>
          <w:szCs w:val="20"/>
        </w:rPr>
        <w:t xml:space="preserve">Table 1: Median </w:t>
      </w:r>
      <w:r w:rsidR="000F1A01" w:rsidRPr="00591D4D">
        <w:rPr>
          <w:sz w:val="22"/>
          <w:szCs w:val="20"/>
        </w:rPr>
        <w:t xml:space="preserve">(Mid-Point) </w:t>
      </w:r>
      <w:r w:rsidRPr="00591D4D">
        <w:rPr>
          <w:sz w:val="22"/>
          <w:szCs w:val="20"/>
        </w:rPr>
        <w:t>pay gaps (%), D</w:t>
      </w:r>
      <w:r w:rsidR="000F1A01" w:rsidRPr="00591D4D">
        <w:rPr>
          <w:sz w:val="22"/>
          <w:szCs w:val="20"/>
        </w:rPr>
        <w:t xml:space="preserve">ept of </w:t>
      </w:r>
      <w:r w:rsidRPr="00591D4D">
        <w:rPr>
          <w:sz w:val="22"/>
          <w:szCs w:val="20"/>
        </w:rPr>
        <w:t>H</w:t>
      </w:r>
      <w:r w:rsidR="000F1A01" w:rsidRPr="00591D4D">
        <w:rPr>
          <w:sz w:val="22"/>
          <w:szCs w:val="20"/>
        </w:rPr>
        <w:t>ealth</w:t>
      </w:r>
      <w:r w:rsidRPr="00591D4D">
        <w:rPr>
          <w:sz w:val="22"/>
          <w:szCs w:val="20"/>
        </w:rPr>
        <w:t xml:space="preserve"> executives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4"/>
        <w:gridCol w:w="2277"/>
        <w:gridCol w:w="2127"/>
      </w:tblGrid>
      <w:tr w:rsidR="006D7E7C" w:rsidRPr="00AD6467" w14:paraId="7E22EB12" w14:textId="77777777" w:rsidTr="001635F9">
        <w:tc>
          <w:tcPr>
            <w:tcW w:w="2254" w:type="dxa"/>
          </w:tcPr>
          <w:p w14:paraId="42873176" w14:textId="77777777" w:rsidR="006D7E7C" w:rsidRPr="00150223" w:rsidRDefault="006D7E7C" w:rsidP="001635F9">
            <w:pPr>
              <w:jc w:val="center"/>
              <w:rPr>
                <w:rFonts w:ascii="Arial" w:hAnsi="Arial" w:cs="Arial"/>
                <w:color w:val="4472C4" w:themeColor="accent1"/>
                <w:sz w:val="20"/>
                <w:szCs w:val="20"/>
              </w:rPr>
            </w:pPr>
            <w:r w:rsidRPr="00150223">
              <w:rPr>
                <w:rFonts w:ascii="Arial" w:hAnsi="Arial" w:cs="Arial"/>
                <w:color w:val="4472C4" w:themeColor="accent1"/>
                <w:sz w:val="20"/>
                <w:szCs w:val="20"/>
              </w:rPr>
              <w:t>Effective Date of reporting</w:t>
            </w:r>
          </w:p>
        </w:tc>
        <w:tc>
          <w:tcPr>
            <w:tcW w:w="2277" w:type="dxa"/>
          </w:tcPr>
          <w:p w14:paraId="57814692" w14:textId="77777777" w:rsidR="006D7E7C" w:rsidRPr="00150223" w:rsidRDefault="006D7E7C" w:rsidP="001635F9">
            <w:pPr>
              <w:jc w:val="center"/>
              <w:rPr>
                <w:rFonts w:ascii="Arial" w:hAnsi="Arial" w:cs="Arial"/>
                <w:color w:val="4472C4" w:themeColor="accent1"/>
                <w:sz w:val="20"/>
                <w:szCs w:val="20"/>
              </w:rPr>
            </w:pPr>
            <w:r w:rsidRPr="00150223">
              <w:rPr>
                <w:rFonts w:ascii="Arial" w:hAnsi="Arial" w:cs="Arial"/>
                <w:color w:val="4472C4" w:themeColor="accent1"/>
                <w:sz w:val="20"/>
                <w:szCs w:val="20"/>
              </w:rPr>
              <w:t>2 July 2022</w:t>
            </w:r>
          </w:p>
        </w:tc>
        <w:tc>
          <w:tcPr>
            <w:tcW w:w="2127" w:type="dxa"/>
          </w:tcPr>
          <w:p w14:paraId="157D2C8D" w14:textId="77777777" w:rsidR="006D7E7C" w:rsidRPr="00150223" w:rsidRDefault="006D7E7C" w:rsidP="001635F9">
            <w:pPr>
              <w:jc w:val="center"/>
              <w:rPr>
                <w:rFonts w:ascii="Arial" w:hAnsi="Arial" w:cs="Arial"/>
                <w:color w:val="4472C4" w:themeColor="accent1"/>
                <w:sz w:val="20"/>
                <w:szCs w:val="20"/>
              </w:rPr>
            </w:pPr>
            <w:r>
              <w:rPr>
                <w:rFonts w:ascii="Arial" w:hAnsi="Arial" w:cs="Arial"/>
                <w:color w:val="4472C4" w:themeColor="accent1"/>
                <w:sz w:val="20"/>
                <w:szCs w:val="20"/>
              </w:rPr>
              <w:t>2 Oct</w:t>
            </w:r>
            <w:r w:rsidRPr="00150223">
              <w:rPr>
                <w:rFonts w:ascii="Arial" w:hAnsi="Arial" w:cs="Arial"/>
                <w:color w:val="4472C4" w:themeColor="accent1"/>
                <w:sz w:val="20"/>
                <w:szCs w:val="20"/>
              </w:rPr>
              <w:t>ober 2022</w:t>
            </w:r>
          </w:p>
        </w:tc>
      </w:tr>
      <w:tr w:rsidR="006D7E7C" w:rsidRPr="00AD6467" w14:paraId="21969EB5" w14:textId="77777777" w:rsidTr="001635F9">
        <w:tc>
          <w:tcPr>
            <w:tcW w:w="2254" w:type="dxa"/>
          </w:tcPr>
          <w:p w14:paraId="1CA1072E" w14:textId="77777777" w:rsidR="006D7E7C" w:rsidRPr="00AD6467" w:rsidRDefault="006D7E7C" w:rsidP="001635F9">
            <w:pPr>
              <w:spacing w:line="276" w:lineRule="auto"/>
              <w:jc w:val="center"/>
              <w:rPr>
                <w:rFonts w:ascii="Arial" w:hAnsi="Arial" w:cs="Arial"/>
                <w:color w:val="4472C4" w:themeColor="accent1"/>
                <w:sz w:val="20"/>
                <w:szCs w:val="20"/>
              </w:rPr>
            </w:pPr>
            <w:r>
              <w:rPr>
                <w:rFonts w:ascii="Arial" w:hAnsi="Arial" w:cs="Arial"/>
                <w:color w:val="4472C4" w:themeColor="accent1"/>
                <w:sz w:val="20"/>
                <w:szCs w:val="20"/>
              </w:rPr>
              <w:t>Quarter</w:t>
            </w:r>
          </w:p>
        </w:tc>
        <w:tc>
          <w:tcPr>
            <w:tcW w:w="2277" w:type="dxa"/>
          </w:tcPr>
          <w:p w14:paraId="689D2A14" w14:textId="77777777" w:rsidR="006D7E7C" w:rsidRDefault="006D7E7C" w:rsidP="001635F9">
            <w:pPr>
              <w:spacing w:line="276" w:lineRule="auto"/>
              <w:jc w:val="center"/>
              <w:rPr>
                <w:rFonts w:ascii="Arial" w:hAnsi="Arial" w:cs="Arial"/>
                <w:color w:val="4472C4" w:themeColor="accent1"/>
                <w:sz w:val="20"/>
                <w:szCs w:val="20"/>
              </w:rPr>
            </w:pPr>
            <w:r>
              <w:rPr>
                <w:rFonts w:ascii="Arial" w:hAnsi="Arial" w:cs="Arial"/>
                <w:color w:val="4472C4" w:themeColor="accent1"/>
                <w:sz w:val="20"/>
                <w:szCs w:val="20"/>
              </w:rPr>
              <w:t>Q4 2021-22</w:t>
            </w:r>
          </w:p>
          <w:p w14:paraId="70642E35" w14:textId="77777777" w:rsidR="006D7E7C" w:rsidRPr="00AD6467" w:rsidRDefault="006D7E7C" w:rsidP="001635F9">
            <w:pPr>
              <w:spacing w:line="276" w:lineRule="auto"/>
              <w:jc w:val="center"/>
              <w:rPr>
                <w:rFonts w:ascii="Arial" w:hAnsi="Arial" w:cs="Arial"/>
                <w:color w:val="4472C4" w:themeColor="accent1"/>
                <w:sz w:val="20"/>
                <w:szCs w:val="20"/>
              </w:rPr>
            </w:pPr>
            <w:r>
              <w:rPr>
                <w:rFonts w:ascii="Arial" w:hAnsi="Arial" w:cs="Arial"/>
                <w:color w:val="4472C4" w:themeColor="accent1"/>
                <w:sz w:val="20"/>
                <w:szCs w:val="20"/>
              </w:rPr>
              <w:t>EOFY 2021-22</w:t>
            </w:r>
          </w:p>
        </w:tc>
        <w:tc>
          <w:tcPr>
            <w:tcW w:w="2127" w:type="dxa"/>
          </w:tcPr>
          <w:p w14:paraId="4E4DAB80" w14:textId="77777777" w:rsidR="006D7E7C" w:rsidRDefault="006D7E7C" w:rsidP="001635F9">
            <w:pPr>
              <w:spacing w:line="276" w:lineRule="auto"/>
              <w:jc w:val="center"/>
              <w:rPr>
                <w:rFonts w:ascii="Arial" w:hAnsi="Arial" w:cs="Arial"/>
                <w:color w:val="4472C4" w:themeColor="accent1"/>
                <w:sz w:val="20"/>
                <w:szCs w:val="20"/>
              </w:rPr>
            </w:pPr>
            <w:r w:rsidRPr="31309773">
              <w:rPr>
                <w:rFonts w:ascii="Arial" w:hAnsi="Arial" w:cs="Arial"/>
                <w:color w:val="4472C4" w:themeColor="accent1"/>
                <w:sz w:val="20"/>
                <w:szCs w:val="20"/>
              </w:rPr>
              <w:t>Completion of</w:t>
            </w:r>
          </w:p>
          <w:p w14:paraId="14B93E45" w14:textId="77777777" w:rsidR="006D7E7C" w:rsidRPr="00AD6467" w:rsidRDefault="006D7E7C" w:rsidP="001635F9">
            <w:pPr>
              <w:spacing w:line="276" w:lineRule="auto"/>
              <w:jc w:val="center"/>
              <w:rPr>
                <w:rFonts w:ascii="Arial" w:hAnsi="Arial" w:cs="Arial"/>
                <w:color w:val="4472C4" w:themeColor="accent1"/>
                <w:sz w:val="20"/>
                <w:szCs w:val="20"/>
              </w:rPr>
            </w:pPr>
            <w:r>
              <w:rPr>
                <w:rFonts w:ascii="Arial" w:hAnsi="Arial" w:cs="Arial"/>
                <w:color w:val="4472C4" w:themeColor="accent1"/>
                <w:sz w:val="20"/>
                <w:szCs w:val="20"/>
              </w:rPr>
              <w:t>Q1 2022-23</w:t>
            </w:r>
          </w:p>
        </w:tc>
      </w:tr>
      <w:tr w:rsidR="006D7E7C" w:rsidRPr="00AD6467" w14:paraId="64073DEB" w14:textId="77777777" w:rsidTr="00591D4D">
        <w:trPr>
          <w:trHeight w:val="418"/>
        </w:trPr>
        <w:tc>
          <w:tcPr>
            <w:tcW w:w="2254" w:type="dxa"/>
          </w:tcPr>
          <w:p w14:paraId="2A533DBA"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SES1</w:t>
            </w:r>
          </w:p>
        </w:tc>
        <w:tc>
          <w:tcPr>
            <w:tcW w:w="2277" w:type="dxa"/>
          </w:tcPr>
          <w:p w14:paraId="5673D658" w14:textId="77777777" w:rsidR="006D7E7C" w:rsidRPr="00FB641C" w:rsidRDefault="006D7E7C" w:rsidP="001635F9">
            <w:pPr>
              <w:spacing w:line="480" w:lineRule="auto"/>
              <w:jc w:val="center"/>
              <w:rPr>
                <w:rFonts w:ascii="Arial" w:hAnsi="Arial" w:cs="Arial"/>
                <w:color w:val="FF0000"/>
                <w:sz w:val="20"/>
                <w:szCs w:val="20"/>
              </w:rPr>
            </w:pPr>
            <w:r w:rsidRPr="00FB641C">
              <w:rPr>
                <w:rFonts w:ascii="Arial" w:hAnsi="Arial" w:cs="Arial"/>
                <w:color w:val="FF0000"/>
                <w:sz w:val="20"/>
                <w:szCs w:val="20"/>
              </w:rPr>
              <w:t>-1.9</w:t>
            </w:r>
          </w:p>
        </w:tc>
        <w:tc>
          <w:tcPr>
            <w:tcW w:w="2127" w:type="dxa"/>
          </w:tcPr>
          <w:p w14:paraId="34F2DCA4" w14:textId="77777777" w:rsidR="006D7E7C" w:rsidRPr="00FB641C" w:rsidRDefault="006D7E7C" w:rsidP="001635F9">
            <w:pPr>
              <w:spacing w:line="480" w:lineRule="auto"/>
              <w:jc w:val="center"/>
              <w:rPr>
                <w:rFonts w:ascii="Arial" w:hAnsi="Arial" w:cs="Arial"/>
                <w:color w:val="FF0000"/>
                <w:sz w:val="20"/>
                <w:szCs w:val="20"/>
              </w:rPr>
            </w:pPr>
            <w:r w:rsidRPr="00FB641C">
              <w:rPr>
                <w:rFonts w:ascii="Arial" w:hAnsi="Arial" w:cs="Arial"/>
                <w:color w:val="FF0000"/>
                <w:sz w:val="20"/>
                <w:szCs w:val="20"/>
              </w:rPr>
              <w:t>-2.2</w:t>
            </w:r>
          </w:p>
        </w:tc>
      </w:tr>
      <w:tr w:rsidR="006D7E7C" w:rsidRPr="00AD6467" w14:paraId="29999BA2" w14:textId="77777777" w:rsidTr="00591D4D">
        <w:trPr>
          <w:trHeight w:val="227"/>
        </w:trPr>
        <w:tc>
          <w:tcPr>
            <w:tcW w:w="2254" w:type="dxa"/>
          </w:tcPr>
          <w:p w14:paraId="04DF3F02"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SES2</w:t>
            </w:r>
          </w:p>
        </w:tc>
        <w:tc>
          <w:tcPr>
            <w:tcW w:w="2277" w:type="dxa"/>
          </w:tcPr>
          <w:p w14:paraId="0380F304"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6.3</w:t>
            </w:r>
          </w:p>
        </w:tc>
        <w:tc>
          <w:tcPr>
            <w:tcW w:w="2127" w:type="dxa"/>
          </w:tcPr>
          <w:p w14:paraId="04F79847"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9.5</w:t>
            </w:r>
          </w:p>
        </w:tc>
      </w:tr>
      <w:tr w:rsidR="006D7E7C" w:rsidRPr="00AD6467" w14:paraId="2821D8EA" w14:textId="77777777" w:rsidTr="001635F9">
        <w:tc>
          <w:tcPr>
            <w:tcW w:w="2254" w:type="dxa"/>
          </w:tcPr>
          <w:p w14:paraId="04F46667"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SES3</w:t>
            </w:r>
          </w:p>
        </w:tc>
        <w:tc>
          <w:tcPr>
            <w:tcW w:w="2277" w:type="dxa"/>
          </w:tcPr>
          <w:p w14:paraId="2F093B03"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3.5</w:t>
            </w:r>
          </w:p>
        </w:tc>
        <w:tc>
          <w:tcPr>
            <w:tcW w:w="2127" w:type="dxa"/>
          </w:tcPr>
          <w:p w14:paraId="1029A168" w14:textId="77777777" w:rsidR="006D7E7C" w:rsidRPr="00AD6467" w:rsidRDefault="006D7E7C" w:rsidP="001635F9">
            <w:pPr>
              <w:spacing w:line="480" w:lineRule="auto"/>
              <w:jc w:val="center"/>
              <w:rPr>
                <w:rFonts w:ascii="Arial" w:hAnsi="Arial" w:cs="Arial"/>
                <w:sz w:val="20"/>
                <w:szCs w:val="20"/>
              </w:rPr>
            </w:pPr>
            <w:r w:rsidRPr="00FB641C">
              <w:rPr>
                <w:rFonts w:ascii="Arial" w:hAnsi="Arial" w:cs="Arial"/>
                <w:color w:val="FF0000"/>
                <w:sz w:val="20"/>
                <w:szCs w:val="20"/>
              </w:rPr>
              <w:t>-2.3</w:t>
            </w:r>
          </w:p>
        </w:tc>
      </w:tr>
      <w:tr w:rsidR="006D7E7C" w:rsidRPr="00AD6467" w14:paraId="065D3377" w14:textId="77777777" w:rsidTr="001635F9">
        <w:tc>
          <w:tcPr>
            <w:tcW w:w="2254" w:type="dxa"/>
          </w:tcPr>
          <w:p w14:paraId="358B6372" w14:textId="77777777" w:rsidR="006D7E7C" w:rsidRPr="00FB641C" w:rsidRDefault="006D7E7C" w:rsidP="001635F9">
            <w:pPr>
              <w:spacing w:line="480" w:lineRule="auto"/>
              <w:jc w:val="center"/>
              <w:rPr>
                <w:rFonts w:ascii="Arial" w:hAnsi="Arial" w:cs="Arial"/>
                <w:b/>
                <w:bCs/>
                <w:sz w:val="20"/>
                <w:szCs w:val="20"/>
              </w:rPr>
            </w:pPr>
            <w:r w:rsidRPr="00FB641C">
              <w:rPr>
                <w:rFonts w:ascii="Arial" w:hAnsi="Arial" w:cs="Arial"/>
                <w:b/>
                <w:bCs/>
                <w:sz w:val="20"/>
                <w:szCs w:val="20"/>
              </w:rPr>
              <w:t>Total</w:t>
            </w:r>
          </w:p>
        </w:tc>
        <w:tc>
          <w:tcPr>
            <w:tcW w:w="2277" w:type="dxa"/>
          </w:tcPr>
          <w:p w14:paraId="3F72EF78" w14:textId="77777777" w:rsidR="006D7E7C" w:rsidRPr="00FB641C" w:rsidRDefault="006D7E7C" w:rsidP="001635F9">
            <w:pPr>
              <w:spacing w:line="480" w:lineRule="auto"/>
              <w:jc w:val="center"/>
              <w:rPr>
                <w:rFonts w:ascii="Arial" w:hAnsi="Arial" w:cs="Arial"/>
                <w:b/>
                <w:bCs/>
                <w:sz w:val="20"/>
                <w:szCs w:val="20"/>
              </w:rPr>
            </w:pPr>
            <w:r w:rsidRPr="00FB641C">
              <w:rPr>
                <w:rFonts w:ascii="Arial" w:hAnsi="Arial" w:cs="Arial"/>
                <w:b/>
                <w:bCs/>
                <w:sz w:val="20"/>
                <w:szCs w:val="20"/>
              </w:rPr>
              <w:t>4.0</w:t>
            </w:r>
          </w:p>
        </w:tc>
        <w:tc>
          <w:tcPr>
            <w:tcW w:w="2127" w:type="dxa"/>
          </w:tcPr>
          <w:p w14:paraId="3759AD61" w14:textId="77777777" w:rsidR="006D7E7C" w:rsidRPr="00FB641C" w:rsidRDefault="006D7E7C" w:rsidP="001635F9">
            <w:pPr>
              <w:spacing w:line="480" w:lineRule="auto"/>
              <w:jc w:val="center"/>
              <w:rPr>
                <w:rFonts w:ascii="Arial" w:hAnsi="Arial" w:cs="Arial"/>
                <w:b/>
                <w:bCs/>
                <w:sz w:val="20"/>
                <w:szCs w:val="20"/>
              </w:rPr>
            </w:pPr>
            <w:r w:rsidRPr="00FB641C">
              <w:rPr>
                <w:rFonts w:ascii="Arial" w:hAnsi="Arial" w:cs="Arial"/>
                <w:b/>
                <w:bCs/>
                <w:sz w:val="20"/>
                <w:szCs w:val="20"/>
              </w:rPr>
              <w:t>3.0</w:t>
            </w:r>
          </w:p>
        </w:tc>
      </w:tr>
    </w:tbl>
    <w:p w14:paraId="07B68813" w14:textId="77777777" w:rsidR="006D7E7C" w:rsidRDefault="006D7E7C" w:rsidP="006D7E7C">
      <w:pPr>
        <w:rPr>
          <w:rFonts w:ascii="Arial" w:hAnsi="Arial" w:cs="Arial"/>
          <w:b/>
          <w:bCs/>
          <w:sz w:val="20"/>
          <w:szCs w:val="20"/>
        </w:rPr>
      </w:pPr>
    </w:p>
    <w:p w14:paraId="5172A309" w14:textId="77777777" w:rsidR="00103E90" w:rsidRDefault="006D7E7C" w:rsidP="006D7E7C">
      <w:pPr>
        <w:rPr>
          <w:rFonts w:ascii="Arial" w:hAnsi="Arial" w:cs="Arial"/>
          <w:sz w:val="20"/>
          <w:szCs w:val="20"/>
        </w:rPr>
      </w:pPr>
      <w:r w:rsidRPr="3124C86E">
        <w:rPr>
          <w:rFonts w:ascii="Arial" w:hAnsi="Arial" w:cs="Arial"/>
          <w:b/>
          <w:bCs/>
          <w:sz w:val="20"/>
          <w:szCs w:val="20"/>
        </w:rPr>
        <w:t>Table 2</w:t>
      </w:r>
      <w:r w:rsidRPr="3124C86E">
        <w:rPr>
          <w:rFonts w:ascii="Arial" w:hAnsi="Arial" w:cs="Arial"/>
          <w:sz w:val="20"/>
          <w:szCs w:val="20"/>
        </w:rPr>
        <w:t xml:space="preserve"> shows the department’s mean (average) executive gender pay gap by </w:t>
      </w:r>
      <w:r w:rsidR="000F1A01">
        <w:rPr>
          <w:rFonts w:ascii="Arial" w:hAnsi="Arial" w:cs="Arial"/>
          <w:sz w:val="20"/>
          <w:szCs w:val="20"/>
        </w:rPr>
        <w:t xml:space="preserve">Executive </w:t>
      </w:r>
      <w:r w:rsidRPr="3124C86E">
        <w:rPr>
          <w:rFonts w:ascii="Arial" w:hAnsi="Arial" w:cs="Arial"/>
          <w:sz w:val="20"/>
          <w:szCs w:val="20"/>
        </w:rPr>
        <w:t>classification and for the combined executive group.</w:t>
      </w:r>
    </w:p>
    <w:p w14:paraId="47593A31" w14:textId="5C9168E9" w:rsidR="006D7E7C" w:rsidRPr="006D7E7C" w:rsidRDefault="006D7E7C" w:rsidP="006D7E7C">
      <w:pPr>
        <w:rPr>
          <w:rFonts w:ascii="Arial" w:hAnsi="Arial" w:cs="Arial"/>
          <w:sz w:val="20"/>
          <w:szCs w:val="20"/>
        </w:rPr>
      </w:pPr>
      <w:r w:rsidRPr="3124C86E">
        <w:rPr>
          <w:rFonts w:ascii="Arial" w:hAnsi="Arial" w:cs="Arial"/>
          <w:sz w:val="20"/>
          <w:szCs w:val="20"/>
        </w:rPr>
        <w:t xml:space="preserve">As at 2 October 2022, the overall mean gender pay gap for the department’s executive group was 2.9 per cent, the SES2 mean pay gap was 6.9 per cent and the SES1 mean pay gap was 1.1 per cent. The SES3 mean pay gap was -3.2 per cent in favour of women. </w:t>
      </w:r>
    </w:p>
    <w:p w14:paraId="41B1D1F0" w14:textId="777635E3" w:rsidR="006D7E7C" w:rsidRPr="00A55622" w:rsidRDefault="006D7E7C" w:rsidP="006D7E7C">
      <w:pPr>
        <w:pStyle w:val="Heading2"/>
        <w:rPr>
          <w:sz w:val="24"/>
          <w:szCs w:val="22"/>
        </w:rPr>
      </w:pPr>
      <w:r w:rsidRPr="00A55622">
        <w:rPr>
          <w:sz w:val="24"/>
          <w:szCs w:val="22"/>
        </w:rPr>
        <w:t xml:space="preserve">Table 2: % Mean </w:t>
      </w:r>
      <w:r w:rsidR="008E48EF">
        <w:rPr>
          <w:sz w:val="24"/>
          <w:szCs w:val="22"/>
        </w:rPr>
        <w:t xml:space="preserve">(Average) </w:t>
      </w:r>
      <w:r w:rsidRPr="00A55622">
        <w:rPr>
          <w:sz w:val="24"/>
          <w:szCs w:val="22"/>
        </w:rPr>
        <w:t>pay gaps, D</w:t>
      </w:r>
      <w:r w:rsidR="008E48EF">
        <w:rPr>
          <w:sz w:val="24"/>
          <w:szCs w:val="22"/>
        </w:rPr>
        <w:t xml:space="preserve">ept of </w:t>
      </w:r>
      <w:r w:rsidRPr="00A55622">
        <w:rPr>
          <w:sz w:val="24"/>
          <w:szCs w:val="22"/>
        </w:rPr>
        <w:t>H</w:t>
      </w:r>
      <w:r w:rsidR="008E48EF">
        <w:rPr>
          <w:sz w:val="24"/>
          <w:szCs w:val="22"/>
        </w:rPr>
        <w:t>ealth</w:t>
      </w:r>
      <w:r w:rsidRPr="00A55622">
        <w:rPr>
          <w:sz w:val="24"/>
          <w:szCs w:val="22"/>
        </w:rPr>
        <w:t xml:space="preserve"> executive</w:t>
      </w:r>
      <w:r>
        <w:rPr>
          <w:sz w:val="24"/>
          <w:szCs w:val="22"/>
        </w:rPr>
        <w: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3"/>
        <w:gridCol w:w="2243"/>
        <w:gridCol w:w="2243"/>
      </w:tblGrid>
      <w:tr w:rsidR="006D7E7C" w:rsidRPr="00AD6467" w14:paraId="0C46531B" w14:textId="77777777" w:rsidTr="0047219C">
        <w:trPr>
          <w:trHeight w:val="391"/>
        </w:trPr>
        <w:tc>
          <w:tcPr>
            <w:tcW w:w="2243" w:type="dxa"/>
          </w:tcPr>
          <w:p w14:paraId="5DCFCD4F" w14:textId="77777777" w:rsidR="006D7E7C" w:rsidRPr="00150223" w:rsidRDefault="006D7E7C" w:rsidP="001635F9">
            <w:pPr>
              <w:jc w:val="center"/>
              <w:rPr>
                <w:rFonts w:ascii="Arial" w:hAnsi="Arial" w:cs="Arial"/>
                <w:color w:val="4472C4" w:themeColor="accent1"/>
                <w:sz w:val="20"/>
                <w:szCs w:val="20"/>
              </w:rPr>
            </w:pPr>
            <w:r w:rsidRPr="00150223">
              <w:rPr>
                <w:rFonts w:ascii="Arial" w:hAnsi="Arial" w:cs="Arial"/>
                <w:color w:val="4472C4" w:themeColor="accent1"/>
                <w:sz w:val="20"/>
                <w:szCs w:val="20"/>
              </w:rPr>
              <w:t>Effective Date of reporting</w:t>
            </w:r>
          </w:p>
        </w:tc>
        <w:tc>
          <w:tcPr>
            <w:tcW w:w="2243" w:type="dxa"/>
          </w:tcPr>
          <w:p w14:paraId="080449D6" w14:textId="77777777" w:rsidR="006D7E7C" w:rsidRPr="00150223" w:rsidRDefault="006D7E7C" w:rsidP="001635F9">
            <w:pPr>
              <w:jc w:val="center"/>
              <w:rPr>
                <w:rFonts w:ascii="Arial" w:hAnsi="Arial" w:cs="Arial"/>
                <w:color w:val="4472C4" w:themeColor="accent1"/>
                <w:sz w:val="20"/>
                <w:szCs w:val="20"/>
              </w:rPr>
            </w:pPr>
            <w:r w:rsidRPr="00150223">
              <w:rPr>
                <w:rFonts w:ascii="Arial" w:hAnsi="Arial" w:cs="Arial"/>
                <w:color w:val="4472C4" w:themeColor="accent1"/>
                <w:sz w:val="20"/>
                <w:szCs w:val="20"/>
              </w:rPr>
              <w:t>2 July 2022</w:t>
            </w:r>
          </w:p>
        </w:tc>
        <w:tc>
          <w:tcPr>
            <w:tcW w:w="2243" w:type="dxa"/>
          </w:tcPr>
          <w:p w14:paraId="27914D11" w14:textId="77777777" w:rsidR="006D7E7C" w:rsidRPr="00150223" w:rsidRDefault="006D7E7C" w:rsidP="001635F9">
            <w:pPr>
              <w:jc w:val="center"/>
              <w:rPr>
                <w:rFonts w:ascii="Arial" w:hAnsi="Arial" w:cs="Arial"/>
                <w:color w:val="4472C4" w:themeColor="accent1"/>
                <w:sz w:val="20"/>
                <w:szCs w:val="20"/>
              </w:rPr>
            </w:pPr>
            <w:r w:rsidRPr="00150223">
              <w:rPr>
                <w:rFonts w:ascii="Arial" w:hAnsi="Arial" w:cs="Arial"/>
                <w:color w:val="4472C4" w:themeColor="accent1"/>
                <w:sz w:val="20"/>
                <w:szCs w:val="20"/>
              </w:rPr>
              <w:t xml:space="preserve">2 </w:t>
            </w:r>
            <w:r>
              <w:rPr>
                <w:rFonts w:ascii="Arial" w:hAnsi="Arial" w:cs="Arial"/>
                <w:color w:val="4472C4" w:themeColor="accent1"/>
                <w:sz w:val="20"/>
                <w:szCs w:val="20"/>
              </w:rPr>
              <w:t>Octo</w:t>
            </w:r>
            <w:r w:rsidRPr="00150223">
              <w:rPr>
                <w:rFonts w:ascii="Arial" w:hAnsi="Arial" w:cs="Arial"/>
                <w:color w:val="4472C4" w:themeColor="accent1"/>
                <w:sz w:val="20"/>
                <w:szCs w:val="20"/>
              </w:rPr>
              <w:t>ber 2022</w:t>
            </w:r>
          </w:p>
        </w:tc>
      </w:tr>
      <w:tr w:rsidR="006D7E7C" w:rsidRPr="00AD6467" w14:paraId="0F2B975B" w14:textId="77777777" w:rsidTr="0047219C">
        <w:trPr>
          <w:trHeight w:val="458"/>
        </w:trPr>
        <w:tc>
          <w:tcPr>
            <w:tcW w:w="2243" w:type="dxa"/>
          </w:tcPr>
          <w:p w14:paraId="00EEE2B1" w14:textId="77777777" w:rsidR="006D7E7C" w:rsidRPr="00AD6467" w:rsidRDefault="006D7E7C" w:rsidP="001635F9">
            <w:pPr>
              <w:spacing w:line="276" w:lineRule="auto"/>
              <w:jc w:val="center"/>
              <w:rPr>
                <w:rFonts w:ascii="Arial" w:hAnsi="Arial" w:cs="Arial"/>
                <w:sz w:val="20"/>
                <w:szCs w:val="20"/>
              </w:rPr>
            </w:pPr>
            <w:r>
              <w:rPr>
                <w:rFonts w:ascii="Arial" w:hAnsi="Arial" w:cs="Arial"/>
                <w:color w:val="4472C4" w:themeColor="accent1"/>
                <w:sz w:val="20"/>
                <w:szCs w:val="20"/>
              </w:rPr>
              <w:t>Quarter</w:t>
            </w:r>
          </w:p>
        </w:tc>
        <w:tc>
          <w:tcPr>
            <w:tcW w:w="2243" w:type="dxa"/>
          </w:tcPr>
          <w:p w14:paraId="677B5666" w14:textId="77777777" w:rsidR="006D7E7C" w:rsidRDefault="006D7E7C" w:rsidP="001635F9">
            <w:pPr>
              <w:spacing w:line="276" w:lineRule="auto"/>
              <w:jc w:val="center"/>
              <w:rPr>
                <w:rFonts w:ascii="Arial" w:hAnsi="Arial" w:cs="Arial"/>
                <w:color w:val="4472C4" w:themeColor="accent1"/>
                <w:sz w:val="20"/>
                <w:szCs w:val="20"/>
              </w:rPr>
            </w:pPr>
            <w:r>
              <w:rPr>
                <w:rFonts w:ascii="Arial" w:hAnsi="Arial" w:cs="Arial"/>
                <w:color w:val="4472C4" w:themeColor="accent1"/>
                <w:sz w:val="20"/>
                <w:szCs w:val="20"/>
              </w:rPr>
              <w:t>Q4 2021-22</w:t>
            </w:r>
          </w:p>
          <w:p w14:paraId="01AE6672" w14:textId="77777777" w:rsidR="006D7E7C" w:rsidRPr="00AD6467" w:rsidRDefault="006D7E7C" w:rsidP="001635F9">
            <w:pPr>
              <w:spacing w:line="276" w:lineRule="auto"/>
              <w:jc w:val="center"/>
              <w:rPr>
                <w:rFonts w:ascii="Arial" w:hAnsi="Arial" w:cs="Arial"/>
                <w:sz w:val="20"/>
                <w:szCs w:val="20"/>
              </w:rPr>
            </w:pPr>
            <w:r>
              <w:rPr>
                <w:rFonts w:ascii="Arial" w:hAnsi="Arial" w:cs="Arial"/>
                <w:color w:val="4472C4" w:themeColor="accent1"/>
                <w:sz w:val="20"/>
                <w:szCs w:val="20"/>
              </w:rPr>
              <w:t>EOFY 2021-22</w:t>
            </w:r>
          </w:p>
        </w:tc>
        <w:tc>
          <w:tcPr>
            <w:tcW w:w="2243" w:type="dxa"/>
          </w:tcPr>
          <w:p w14:paraId="1A9CC4C3" w14:textId="77777777" w:rsidR="006D7E7C" w:rsidRPr="00AD6467" w:rsidRDefault="006D7E7C" w:rsidP="001635F9">
            <w:pPr>
              <w:spacing w:line="276" w:lineRule="auto"/>
              <w:jc w:val="center"/>
              <w:rPr>
                <w:rFonts w:ascii="Arial" w:hAnsi="Arial" w:cs="Arial"/>
                <w:color w:val="4472C4" w:themeColor="accent1"/>
                <w:sz w:val="20"/>
                <w:szCs w:val="20"/>
              </w:rPr>
            </w:pPr>
            <w:r w:rsidRPr="31309773">
              <w:rPr>
                <w:rFonts w:ascii="Arial" w:hAnsi="Arial" w:cs="Arial"/>
                <w:color w:val="4472C4" w:themeColor="accent1"/>
                <w:sz w:val="20"/>
                <w:szCs w:val="20"/>
              </w:rPr>
              <w:t xml:space="preserve">Completion of </w:t>
            </w:r>
          </w:p>
          <w:p w14:paraId="0B3519CD" w14:textId="77777777" w:rsidR="006D7E7C" w:rsidRPr="00AD6467" w:rsidRDefault="006D7E7C" w:rsidP="001635F9">
            <w:pPr>
              <w:spacing w:line="276" w:lineRule="auto"/>
              <w:jc w:val="center"/>
              <w:rPr>
                <w:rFonts w:ascii="Arial" w:hAnsi="Arial" w:cs="Arial"/>
                <w:sz w:val="20"/>
                <w:szCs w:val="20"/>
              </w:rPr>
            </w:pPr>
            <w:r w:rsidRPr="31309773">
              <w:rPr>
                <w:rFonts w:ascii="Arial" w:hAnsi="Arial" w:cs="Arial"/>
                <w:color w:val="4472C4" w:themeColor="accent1"/>
                <w:sz w:val="20"/>
                <w:szCs w:val="20"/>
              </w:rPr>
              <w:t>Q1 2022-23</w:t>
            </w:r>
          </w:p>
        </w:tc>
      </w:tr>
      <w:tr w:rsidR="006D7E7C" w:rsidRPr="00AD6467" w14:paraId="2175E56B" w14:textId="77777777" w:rsidTr="0047219C">
        <w:trPr>
          <w:trHeight w:val="400"/>
        </w:trPr>
        <w:tc>
          <w:tcPr>
            <w:tcW w:w="2243" w:type="dxa"/>
          </w:tcPr>
          <w:p w14:paraId="165A3549"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SES1</w:t>
            </w:r>
          </w:p>
        </w:tc>
        <w:tc>
          <w:tcPr>
            <w:tcW w:w="2243" w:type="dxa"/>
          </w:tcPr>
          <w:p w14:paraId="1DBADFFA"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1.6</w:t>
            </w:r>
          </w:p>
        </w:tc>
        <w:tc>
          <w:tcPr>
            <w:tcW w:w="2243" w:type="dxa"/>
          </w:tcPr>
          <w:p w14:paraId="252F44FA"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1.1</w:t>
            </w:r>
          </w:p>
        </w:tc>
      </w:tr>
      <w:tr w:rsidR="006D7E7C" w:rsidRPr="00AD6467" w14:paraId="632F4ACC" w14:textId="77777777" w:rsidTr="0047219C">
        <w:trPr>
          <w:trHeight w:val="391"/>
        </w:trPr>
        <w:tc>
          <w:tcPr>
            <w:tcW w:w="2243" w:type="dxa"/>
          </w:tcPr>
          <w:p w14:paraId="42EEEEFF"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SES2</w:t>
            </w:r>
          </w:p>
        </w:tc>
        <w:tc>
          <w:tcPr>
            <w:tcW w:w="2243" w:type="dxa"/>
          </w:tcPr>
          <w:p w14:paraId="63537E28"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6.7</w:t>
            </w:r>
          </w:p>
        </w:tc>
        <w:tc>
          <w:tcPr>
            <w:tcW w:w="2243" w:type="dxa"/>
          </w:tcPr>
          <w:p w14:paraId="151BB65A"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6.9</w:t>
            </w:r>
          </w:p>
        </w:tc>
      </w:tr>
      <w:tr w:rsidR="006D7E7C" w:rsidRPr="00AD6467" w14:paraId="73A0F916" w14:textId="77777777" w:rsidTr="0047219C">
        <w:trPr>
          <w:trHeight w:val="391"/>
        </w:trPr>
        <w:tc>
          <w:tcPr>
            <w:tcW w:w="2243" w:type="dxa"/>
          </w:tcPr>
          <w:p w14:paraId="2855657A"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SES3</w:t>
            </w:r>
          </w:p>
        </w:tc>
        <w:tc>
          <w:tcPr>
            <w:tcW w:w="2243" w:type="dxa"/>
          </w:tcPr>
          <w:p w14:paraId="6F22CC57" w14:textId="77777777" w:rsidR="006D7E7C" w:rsidRPr="00AD6467" w:rsidRDefault="006D7E7C" w:rsidP="001635F9">
            <w:pPr>
              <w:spacing w:line="480" w:lineRule="auto"/>
              <w:jc w:val="center"/>
              <w:rPr>
                <w:rFonts w:ascii="Arial" w:hAnsi="Arial" w:cs="Arial"/>
                <w:sz w:val="20"/>
                <w:szCs w:val="20"/>
              </w:rPr>
            </w:pPr>
            <w:r w:rsidRPr="00AD6467">
              <w:rPr>
                <w:rFonts w:ascii="Arial" w:hAnsi="Arial" w:cs="Arial"/>
                <w:sz w:val="20"/>
                <w:szCs w:val="20"/>
              </w:rPr>
              <w:t>0.0</w:t>
            </w:r>
          </w:p>
        </w:tc>
        <w:tc>
          <w:tcPr>
            <w:tcW w:w="2243" w:type="dxa"/>
          </w:tcPr>
          <w:p w14:paraId="25060956" w14:textId="77777777" w:rsidR="006D7E7C" w:rsidRPr="00AD6467" w:rsidRDefault="006D7E7C" w:rsidP="001635F9">
            <w:pPr>
              <w:spacing w:line="480" w:lineRule="auto"/>
              <w:jc w:val="center"/>
              <w:rPr>
                <w:rFonts w:ascii="Arial" w:hAnsi="Arial" w:cs="Arial"/>
                <w:sz w:val="20"/>
                <w:szCs w:val="20"/>
              </w:rPr>
            </w:pPr>
            <w:r w:rsidRPr="00FB641C">
              <w:rPr>
                <w:rFonts w:ascii="Arial" w:hAnsi="Arial" w:cs="Arial"/>
                <w:color w:val="FF0000"/>
                <w:sz w:val="20"/>
                <w:szCs w:val="20"/>
              </w:rPr>
              <w:t>-3.2</w:t>
            </w:r>
          </w:p>
        </w:tc>
      </w:tr>
      <w:tr w:rsidR="006D7E7C" w:rsidRPr="00AD6467" w14:paraId="54E55FCF" w14:textId="77777777" w:rsidTr="0047219C">
        <w:trPr>
          <w:trHeight w:val="400"/>
        </w:trPr>
        <w:tc>
          <w:tcPr>
            <w:tcW w:w="2243" w:type="dxa"/>
          </w:tcPr>
          <w:p w14:paraId="0180C0D3" w14:textId="77777777" w:rsidR="006D7E7C" w:rsidRPr="00FB641C" w:rsidRDefault="006D7E7C" w:rsidP="001635F9">
            <w:pPr>
              <w:spacing w:line="480" w:lineRule="auto"/>
              <w:jc w:val="center"/>
              <w:rPr>
                <w:rFonts w:ascii="Arial" w:hAnsi="Arial" w:cs="Arial"/>
                <w:b/>
                <w:bCs/>
                <w:sz w:val="20"/>
                <w:szCs w:val="20"/>
              </w:rPr>
            </w:pPr>
            <w:r w:rsidRPr="00FB641C">
              <w:rPr>
                <w:rFonts w:ascii="Arial" w:hAnsi="Arial" w:cs="Arial"/>
                <w:b/>
                <w:bCs/>
                <w:sz w:val="20"/>
                <w:szCs w:val="20"/>
              </w:rPr>
              <w:t>Total</w:t>
            </w:r>
          </w:p>
        </w:tc>
        <w:tc>
          <w:tcPr>
            <w:tcW w:w="2243" w:type="dxa"/>
          </w:tcPr>
          <w:p w14:paraId="43720DA2" w14:textId="77777777" w:rsidR="006D7E7C" w:rsidRPr="00FB641C" w:rsidRDefault="006D7E7C" w:rsidP="001635F9">
            <w:pPr>
              <w:spacing w:line="480" w:lineRule="auto"/>
              <w:jc w:val="center"/>
              <w:rPr>
                <w:rFonts w:ascii="Arial" w:hAnsi="Arial" w:cs="Arial"/>
                <w:b/>
                <w:bCs/>
                <w:sz w:val="20"/>
                <w:szCs w:val="20"/>
              </w:rPr>
            </w:pPr>
            <w:r w:rsidRPr="00FB641C">
              <w:rPr>
                <w:rFonts w:ascii="Arial" w:hAnsi="Arial" w:cs="Arial"/>
                <w:b/>
                <w:bCs/>
                <w:sz w:val="20"/>
                <w:szCs w:val="20"/>
              </w:rPr>
              <w:t>3.2</w:t>
            </w:r>
          </w:p>
        </w:tc>
        <w:tc>
          <w:tcPr>
            <w:tcW w:w="2243" w:type="dxa"/>
          </w:tcPr>
          <w:p w14:paraId="0981D56D" w14:textId="77777777" w:rsidR="006D7E7C" w:rsidRPr="00FB641C" w:rsidRDefault="006D7E7C" w:rsidP="001635F9">
            <w:pPr>
              <w:spacing w:line="480" w:lineRule="auto"/>
              <w:jc w:val="center"/>
              <w:rPr>
                <w:rFonts w:ascii="Arial" w:hAnsi="Arial" w:cs="Arial"/>
                <w:b/>
                <w:bCs/>
                <w:sz w:val="20"/>
                <w:szCs w:val="20"/>
              </w:rPr>
            </w:pPr>
            <w:r w:rsidRPr="00FB641C">
              <w:rPr>
                <w:rFonts w:ascii="Arial" w:hAnsi="Arial" w:cs="Arial"/>
                <w:b/>
                <w:bCs/>
                <w:sz w:val="20"/>
                <w:szCs w:val="20"/>
              </w:rPr>
              <w:t>2.9</w:t>
            </w:r>
          </w:p>
        </w:tc>
      </w:tr>
    </w:tbl>
    <w:p w14:paraId="7440D34B" w14:textId="77777777" w:rsidR="0047219C" w:rsidRDefault="0047219C" w:rsidP="00BC26E0">
      <w:pPr>
        <w:rPr>
          <w:rFonts w:ascii="Arial" w:hAnsi="Arial" w:cs="Arial"/>
          <w:i/>
          <w:iCs/>
          <w:sz w:val="20"/>
          <w:szCs w:val="20"/>
        </w:rPr>
      </w:pPr>
    </w:p>
    <w:p w14:paraId="13116768" w14:textId="5A3D4AA1" w:rsidR="007075E8" w:rsidRDefault="00BC26E0" w:rsidP="00424407">
      <w:pPr>
        <w:rPr>
          <w:rFonts w:ascii="Arial" w:hAnsi="Arial" w:cs="Arial"/>
          <w:i/>
          <w:iCs/>
          <w:sz w:val="20"/>
          <w:szCs w:val="20"/>
        </w:rPr>
      </w:pPr>
      <w:r w:rsidRPr="0047219C">
        <w:rPr>
          <w:rFonts w:ascii="Arial" w:hAnsi="Arial" w:cs="Arial"/>
          <w:i/>
          <w:iCs/>
          <w:sz w:val="20"/>
          <w:szCs w:val="20"/>
        </w:rPr>
        <w:t xml:space="preserve">For further information about </w:t>
      </w:r>
      <w:r w:rsidR="0047219C" w:rsidRPr="0047219C">
        <w:rPr>
          <w:rFonts w:ascii="Arial" w:hAnsi="Arial" w:cs="Arial"/>
          <w:i/>
          <w:iCs/>
          <w:sz w:val="20"/>
          <w:szCs w:val="20"/>
        </w:rPr>
        <w:t>gender equality in the department</w:t>
      </w:r>
      <w:r w:rsidRPr="0047219C">
        <w:rPr>
          <w:rFonts w:ascii="Arial" w:hAnsi="Arial" w:cs="Arial"/>
          <w:i/>
          <w:iCs/>
          <w:sz w:val="20"/>
          <w:szCs w:val="20"/>
        </w:rPr>
        <w:t xml:space="preserve">, please contact </w:t>
      </w:r>
      <w:hyperlink r:id="rId11" w:history="1">
        <w:r w:rsidRPr="0047219C">
          <w:rPr>
            <w:rStyle w:val="Hyperlink"/>
            <w:rFonts w:ascii="Arial" w:hAnsi="Arial" w:cs="Arial"/>
            <w:i/>
            <w:iCs/>
            <w:sz w:val="20"/>
            <w:szCs w:val="20"/>
          </w:rPr>
          <w:t>inclusion@health.vic.gov.au</w:t>
        </w:r>
      </w:hyperlink>
      <w:r w:rsidRPr="0047219C">
        <w:rPr>
          <w:rFonts w:ascii="Arial" w:hAnsi="Arial" w:cs="Arial"/>
          <w:i/>
          <w:iCs/>
          <w:sz w:val="20"/>
          <w:szCs w:val="20"/>
        </w:rPr>
        <w:t xml:space="preserve"> </w:t>
      </w:r>
    </w:p>
    <w:p w14:paraId="009E8C16" w14:textId="1E8AF972" w:rsidR="00706DEA" w:rsidRPr="0055119B" w:rsidRDefault="00706DEA" w:rsidP="00706DEA">
      <w:pPr>
        <w:pStyle w:val="Accessibilitypara"/>
      </w:pPr>
      <w:r w:rsidRPr="0055119B">
        <w:lastRenderedPageBreak/>
        <w:t xml:space="preserve">To receive this document in another format </w:t>
      </w:r>
      <w:hyperlink r:id="rId12" w:history="1">
        <w:r w:rsidRPr="003E3CE9">
          <w:rPr>
            <w:rStyle w:val="Hyperlink"/>
          </w:rPr>
          <w:t xml:space="preserve">email </w:t>
        </w:r>
        <w:r w:rsidR="009C1C23" w:rsidRPr="003E3CE9">
          <w:rPr>
            <w:rStyle w:val="Hyperlink"/>
          </w:rPr>
          <w:t xml:space="preserve">the </w:t>
        </w:r>
        <w:r w:rsidR="00C07B79" w:rsidRPr="003E3CE9">
          <w:rPr>
            <w:rStyle w:val="Hyperlink"/>
          </w:rPr>
          <w:t>i</w:t>
        </w:r>
        <w:r w:rsidR="009C1C23" w:rsidRPr="003E3CE9">
          <w:rPr>
            <w:rStyle w:val="Hyperlink"/>
          </w:rPr>
          <w:t>nclusion unit</w:t>
        </w:r>
      </w:hyperlink>
      <w:r w:rsidRPr="0055119B">
        <w:rPr>
          <w:color w:val="004C97"/>
        </w:rPr>
        <w:t xml:space="preserve"> </w:t>
      </w:r>
      <w:r w:rsidRPr="0055119B">
        <w:t>&lt;</w:t>
      </w:r>
      <w:r w:rsidR="009C1C23" w:rsidRPr="003E3CE9">
        <w:t>inclusion@health.vic.gov.au</w:t>
      </w:r>
      <w:r w:rsidRPr="0055119B">
        <w:t>&gt;.</w:t>
      </w:r>
    </w:p>
    <w:p w14:paraId="5D70DC97" w14:textId="77777777" w:rsidR="00706DEA" w:rsidRPr="0055119B" w:rsidRDefault="00706DEA" w:rsidP="00706DEA">
      <w:pPr>
        <w:pStyle w:val="Imprint"/>
      </w:pPr>
      <w:r w:rsidRPr="0055119B">
        <w:t>Authorised and published by the Victorian Government, 1 Treasury Place, Melbourne.</w:t>
      </w:r>
    </w:p>
    <w:p w14:paraId="0846AB7A" w14:textId="34A251BC" w:rsidR="00706DEA" w:rsidRPr="0055119B" w:rsidRDefault="00706DEA" w:rsidP="00706DEA">
      <w:pPr>
        <w:pStyle w:val="Imprint"/>
      </w:pPr>
      <w:r w:rsidRPr="0055119B">
        <w:t xml:space="preserve">© State of Victoria, Australia, </w:t>
      </w:r>
      <w:r w:rsidRPr="001E2A36">
        <w:t>Department of Health</w:t>
      </w:r>
      <w:r w:rsidRPr="0055119B">
        <w:t xml:space="preserve">, </w:t>
      </w:r>
      <w:r>
        <w:t>January 2023</w:t>
      </w:r>
      <w:r w:rsidRPr="0055119B">
        <w:t>.</w:t>
      </w:r>
      <w:r>
        <w:t xml:space="preserve"> (</w:t>
      </w:r>
      <w:r w:rsidRPr="0055119B">
        <w:t xml:space="preserve">Word) </w:t>
      </w:r>
    </w:p>
    <w:p w14:paraId="7C64EE75" w14:textId="3E3BD76C" w:rsidR="00706DEA" w:rsidRPr="00706DEA" w:rsidRDefault="00706DEA" w:rsidP="00706DEA">
      <w:pPr>
        <w:pStyle w:val="Imprint"/>
      </w:pPr>
      <w:r w:rsidRPr="0055119B">
        <w:t xml:space="preserve">Available at </w:t>
      </w:r>
      <w:hyperlink r:id="rId13" w:history="1">
        <w:r w:rsidRPr="006977C9">
          <w:rPr>
            <w:rStyle w:val="Hyperlink"/>
          </w:rPr>
          <w:t>https://www.health.vic.gov.au/publications/gender-equality-action-plan-2022-2025</w:t>
        </w:r>
      </w:hyperlink>
      <w:r>
        <w:t xml:space="preserve"> </w:t>
      </w:r>
      <w:r w:rsidRPr="0055119B">
        <w:t>&lt;</w:t>
      </w:r>
      <w:r>
        <w:t>www.health.vic.gov.au/gender-equality-action-pla</w:t>
      </w:r>
      <w:r w:rsidR="003E3CE9">
        <w:t>n</w:t>
      </w:r>
      <w:r>
        <w:t>-2022-2025</w:t>
      </w:r>
      <w:r w:rsidRPr="0055119B">
        <w:t>&gt;</w:t>
      </w:r>
    </w:p>
    <w:sectPr w:rsidR="00706DEA" w:rsidRPr="00706DEA" w:rsidSect="00451711">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98E3" w14:textId="77777777" w:rsidR="00950A0A" w:rsidRDefault="00950A0A" w:rsidP="00FB641C">
      <w:pPr>
        <w:spacing w:after="0" w:line="240" w:lineRule="auto"/>
      </w:pPr>
      <w:r>
        <w:separator/>
      </w:r>
    </w:p>
  </w:endnote>
  <w:endnote w:type="continuationSeparator" w:id="0">
    <w:p w14:paraId="4D4BD20B" w14:textId="77777777" w:rsidR="00950A0A" w:rsidRDefault="00950A0A" w:rsidP="00FB641C">
      <w:pPr>
        <w:spacing w:after="0" w:line="240" w:lineRule="auto"/>
      </w:pPr>
      <w:r>
        <w:continuationSeparator/>
      </w:r>
    </w:p>
  </w:endnote>
  <w:endnote w:type="continuationNotice" w:id="1">
    <w:p w14:paraId="6E728D32" w14:textId="77777777" w:rsidR="00950A0A" w:rsidRDefault="00950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018495"/>
      <w:docPartObj>
        <w:docPartGallery w:val="Page Numbers (Bottom of Page)"/>
        <w:docPartUnique/>
      </w:docPartObj>
    </w:sdtPr>
    <w:sdtEndPr>
      <w:rPr>
        <w:noProof/>
      </w:rPr>
    </w:sdtEndPr>
    <w:sdtContent>
      <w:p w14:paraId="14DDB1A3" w14:textId="2728C9D6" w:rsidR="003E3CE9" w:rsidRDefault="003E3CE9">
        <w:pPr>
          <w:pStyle w:val="Footer"/>
          <w:jc w:val="right"/>
        </w:pPr>
        <w:r>
          <w:rPr>
            <w:noProof/>
          </w:rPr>
          <w:pict w14:anchorId="62D3DD66">
            <v:shapetype id="_x0000_t202" coordsize="21600,21600" o:spt="202" path="m,l,21600r21600,l21600,xe">
              <v:stroke joinstyle="miter"/>
              <v:path gradientshapeok="t" o:connecttype="rect"/>
            </v:shapetype>
            <v:shape id="MSIPCM18754b329a9a0f61b2f3edd4" o:spid="_x0000_s1030"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64384;mso-wrap-style:square;mso-position-horizontal:absolute;mso-position-horizontal-relative:page;mso-position-vertical:absolute;mso-position-vertical-relative:page;v-text-anchor:bottom" o:allowincell="f" filled="f" stroked="f">
              <v:textbox inset=",0,,0">
                <w:txbxContent>
                  <w:p w14:paraId="74E176E8" w14:textId="089B8EDB" w:rsidR="003E3CE9" w:rsidRPr="003E3CE9" w:rsidRDefault="003E3CE9" w:rsidP="003E3CE9">
                    <w:pPr>
                      <w:spacing w:after="0"/>
                      <w:jc w:val="center"/>
                      <w:rPr>
                        <w:rFonts w:ascii="Arial Black" w:hAnsi="Arial Black"/>
                        <w:color w:val="000000"/>
                        <w:sz w:val="20"/>
                      </w:rPr>
                    </w:pPr>
                    <w:r w:rsidRPr="003E3CE9">
                      <w:rPr>
                        <w:rFonts w:ascii="Arial Black" w:hAnsi="Arial Black"/>
                        <w:color w:val="000000"/>
                        <w:sz w:val="20"/>
                      </w:rPr>
                      <w:t>OFFICIAL</w:t>
                    </w:r>
                  </w:p>
                </w:txbxContent>
              </v:textbox>
              <w10:wrap anchorx="page" anchory="page"/>
            </v:shape>
          </w:pict>
        </w:r>
        <w:r>
          <w:fldChar w:fldCharType="begin"/>
        </w:r>
        <w:r>
          <w:instrText xml:space="preserve"> PAGE   \* MERGEFORMAT </w:instrText>
        </w:r>
        <w:r>
          <w:fldChar w:fldCharType="separate"/>
        </w:r>
        <w:r>
          <w:rPr>
            <w:noProof/>
          </w:rPr>
          <w:t>2</w:t>
        </w:r>
        <w:r>
          <w:rPr>
            <w:noProof/>
          </w:rPr>
          <w:fldChar w:fldCharType="end"/>
        </w:r>
      </w:p>
    </w:sdtContent>
  </w:sdt>
  <w:p w14:paraId="580C99EB" w14:textId="77777777" w:rsidR="003E3CE9" w:rsidRPr="00F96BEC" w:rsidRDefault="003E3CE9" w:rsidP="003E3CE9">
    <w:pPr>
      <w:spacing w:after="0"/>
      <w:jc w:val="center"/>
      <w:rPr>
        <w:rFonts w:ascii="Arial Black" w:hAnsi="Arial Black"/>
        <w:color w:val="000000"/>
        <w:sz w:val="20"/>
      </w:rPr>
    </w:pPr>
    <w:r w:rsidRPr="00F96BEC">
      <w:rPr>
        <w:rFonts w:ascii="Arial Black" w:hAnsi="Arial Black"/>
        <w:color w:val="000000"/>
        <w:sz w:val="20"/>
      </w:rPr>
      <w:t>OFFICIAL</w:t>
    </w:r>
  </w:p>
  <w:p w14:paraId="49B73C16" w14:textId="2B1D0F38" w:rsidR="00495BA5" w:rsidRDefault="00495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2EAC" w14:textId="67410822" w:rsidR="00FB641C" w:rsidRDefault="003E3CE9">
    <w:pPr>
      <w:pStyle w:val="Footer"/>
    </w:pPr>
    <w:r>
      <w:rPr>
        <w:noProof/>
      </w:rPr>
      <w:pict w14:anchorId="464BDBEE">
        <v:shapetype id="_x0000_t202" coordsize="21600,21600" o:spt="202" path="m,l,21600r21600,l21600,xe">
          <v:stroke joinstyle="miter"/>
          <v:path gradientshapeok="t" o:connecttype="rect"/>
        </v:shapetype>
        <v:shape id="MSIPCM65114344823e8fb5725ed08c" o:spid="_x0000_s1025"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position-horizontal-relative:page;mso-position-vertical-relative:page;v-text-anchor:bottom" o:allowincell="f" filled="f" stroked="f" strokeweight=".5pt">
          <v:textbox style="mso-next-textbox:#MSIPCM65114344823e8fb5725ed08c" inset=",0,,0">
            <w:txbxContent>
              <w:p w14:paraId="62A859E2" w14:textId="0AF349ED" w:rsidR="00FB641C" w:rsidRPr="00F96BEC" w:rsidRDefault="00F96BEC" w:rsidP="00F96BEC">
                <w:pPr>
                  <w:spacing w:after="0"/>
                  <w:jc w:val="center"/>
                  <w:rPr>
                    <w:rFonts w:ascii="Arial Black" w:hAnsi="Arial Black"/>
                    <w:color w:val="000000"/>
                    <w:sz w:val="20"/>
                  </w:rPr>
                </w:pPr>
                <w:r w:rsidRPr="00F96BEC">
                  <w:rPr>
                    <w:rFonts w:ascii="Arial Black" w:hAnsi="Arial Black"/>
                    <w:color w:val="000000"/>
                    <w:sz w:val="2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78D2" w14:textId="77777777" w:rsidR="003E3CE9" w:rsidRDefault="003E3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3528" w14:textId="77777777" w:rsidR="00950A0A" w:rsidRDefault="00950A0A" w:rsidP="00FB641C">
      <w:pPr>
        <w:spacing w:after="0" w:line="240" w:lineRule="auto"/>
      </w:pPr>
      <w:r>
        <w:separator/>
      </w:r>
    </w:p>
  </w:footnote>
  <w:footnote w:type="continuationSeparator" w:id="0">
    <w:p w14:paraId="3BAF647A" w14:textId="77777777" w:rsidR="00950A0A" w:rsidRDefault="00950A0A" w:rsidP="00FB641C">
      <w:pPr>
        <w:spacing w:after="0" w:line="240" w:lineRule="auto"/>
      </w:pPr>
      <w:r>
        <w:continuationSeparator/>
      </w:r>
    </w:p>
  </w:footnote>
  <w:footnote w:type="continuationNotice" w:id="1">
    <w:p w14:paraId="0A53D06E" w14:textId="77777777" w:rsidR="00950A0A" w:rsidRDefault="00950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88442"/>
      <w:docPartObj>
        <w:docPartGallery w:val="Page Numbers (Top of Page)"/>
        <w:docPartUnique/>
      </w:docPartObj>
    </w:sdtPr>
    <w:sdtEndPr>
      <w:rPr>
        <w:noProof/>
      </w:rPr>
    </w:sdtEndPr>
    <w:sdtContent>
      <w:p w14:paraId="23F42D03" w14:textId="77803832" w:rsidR="003E3CE9" w:rsidRDefault="003E3C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102AEA" w14:textId="77777777" w:rsidR="00C07B79" w:rsidRDefault="00C07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9C3E" w14:textId="715161FB" w:rsidR="00AF4B7A" w:rsidRDefault="00AF4B7A">
    <w:pPr>
      <w:pStyle w:val="Header"/>
    </w:pPr>
    <w:r>
      <w:rPr>
        <w:noProof/>
      </w:rPr>
      <w:drawing>
        <wp:anchor distT="0" distB="0" distL="114300" distR="114300" simplePos="0" relativeHeight="251658240" behindDoc="1" locked="1" layoutInCell="1" allowOverlap="0" wp14:anchorId="5A28BED0" wp14:editId="47E40248">
          <wp:simplePos x="0" y="0"/>
          <wp:positionH relativeFrom="page">
            <wp:align>left</wp:align>
          </wp:positionH>
          <wp:positionV relativeFrom="page">
            <wp:align>top</wp:align>
          </wp:positionV>
          <wp:extent cx="7555865" cy="136017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19E9" w14:textId="77777777" w:rsidR="003E3CE9" w:rsidRDefault="003E3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1322"/>
    <w:multiLevelType w:val="hybridMultilevel"/>
    <w:tmpl w:val="5916FC38"/>
    <w:lvl w:ilvl="0" w:tplc="9056E052">
      <w:start w:val="1"/>
      <w:numFmt w:val="bullet"/>
      <w:lvlText w:val=""/>
      <w:lvlJc w:val="left"/>
      <w:pPr>
        <w:ind w:left="720" w:hanging="360"/>
      </w:pPr>
      <w:rPr>
        <w:rFonts w:ascii="Symbol" w:hAnsi="Symbol" w:hint="default"/>
      </w:rPr>
    </w:lvl>
    <w:lvl w:ilvl="1" w:tplc="6012F292">
      <w:start w:val="1"/>
      <w:numFmt w:val="bullet"/>
      <w:lvlText w:val="o"/>
      <w:lvlJc w:val="left"/>
      <w:pPr>
        <w:ind w:left="1440" w:hanging="360"/>
      </w:pPr>
      <w:rPr>
        <w:rFonts w:ascii="Courier New" w:hAnsi="Courier New" w:hint="default"/>
      </w:rPr>
    </w:lvl>
    <w:lvl w:ilvl="2" w:tplc="922079C4">
      <w:start w:val="1"/>
      <w:numFmt w:val="bullet"/>
      <w:lvlText w:val=""/>
      <w:lvlJc w:val="left"/>
      <w:pPr>
        <w:ind w:left="2160" w:hanging="360"/>
      </w:pPr>
      <w:rPr>
        <w:rFonts w:ascii="Wingdings" w:hAnsi="Wingdings" w:hint="default"/>
      </w:rPr>
    </w:lvl>
    <w:lvl w:ilvl="3" w:tplc="E9924834">
      <w:start w:val="1"/>
      <w:numFmt w:val="bullet"/>
      <w:lvlText w:val=""/>
      <w:lvlJc w:val="left"/>
      <w:pPr>
        <w:ind w:left="2880" w:hanging="360"/>
      </w:pPr>
      <w:rPr>
        <w:rFonts w:ascii="Symbol" w:hAnsi="Symbol" w:hint="default"/>
      </w:rPr>
    </w:lvl>
    <w:lvl w:ilvl="4" w:tplc="40046BB2">
      <w:start w:val="1"/>
      <w:numFmt w:val="bullet"/>
      <w:lvlText w:val="o"/>
      <w:lvlJc w:val="left"/>
      <w:pPr>
        <w:ind w:left="3600" w:hanging="360"/>
      </w:pPr>
      <w:rPr>
        <w:rFonts w:ascii="Courier New" w:hAnsi="Courier New" w:hint="default"/>
      </w:rPr>
    </w:lvl>
    <w:lvl w:ilvl="5" w:tplc="241A7396">
      <w:start w:val="1"/>
      <w:numFmt w:val="bullet"/>
      <w:lvlText w:val=""/>
      <w:lvlJc w:val="left"/>
      <w:pPr>
        <w:ind w:left="4320" w:hanging="360"/>
      </w:pPr>
      <w:rPr>
        <w:rFonts w:ascii="Wingdings" w:hAnsi="Wingdings" w:hint="default"/>
      </w:rPr>
    </w:lvl>
    <w:lvl w:ilvl="6" w:tplc="C2B637CC">
      <w:start w:val="1"/>
      <w:numFmt w:val="bullet"/>
      <w:lvlText w:val=""/>
      <w:lvlJc w:val="left"/>
      <w:pPr>
        <w:ind w:left="5040" w:hanging="360"/>
      </w:pPr>
      <w:rPr>
        <w:rFonts w:ascii="Symbol" w:hAnsi="Symbol" w:hint="default"/>
      </w:rPr>
    </w:lvl>
    <w:lvl w:ilvl="7" w:tplc="E52A0FE6">
      <w:start w:val="1"/>
      <w:numFmt w:val="bullet"/>
      <w:lvlText w:val="o"/>
      <w:lvlJc w:val="left"/>
      <w:pPr>
        <w:ind w:left="5760" w:hanging="360"/>
      </w:pPr>
      <w:rPr>
        <w:rFonts w:ascii="Courier New" w:hAnsi="Courier New" w:hint="default"/>
      </w:rPr>
    </w:lvl>
    <w:lvl w:ilvl="8" w:tplc="608EA74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3371C"/>
    <w:rsid w:val="000061A7"/>
    <w:rsid w:val="00012C9C"/>
    <w:rsid w:val="000507BD"/>
    <w:rsid w:val="000533A2"/>
    <w:rsid w:val="00076F3E"/>
    <w:rsid w:val="0008393C"/>
    <w:rsid w:val="000974C2"/>
    <w:rsid w:val="000A551B"/>
    <w:rsid w:val="000F1A01"/>
    <w:rsid w:val="000F1B6A"/>
    <w:rsid w:val="00103E90"/>
    <w:rsid w:val="00116381"/>
    <w:rsid w:val="00120610"/>
    <w:rsid w:val="0014139E"/>
    <w:rsid w:val="00150223"/>
    <w:rsid w:val="001635F9"/>
    <w:rsid w:val="001764DC"/>
    <w:rsid w:val="0018CA80"/>
    <w:rsid w:val="001979F9"/>
    <w:rsid w:val="001B32E9"/>
    <w:rsid w:val="001C062C"/>
    <w:rsid w:val="001C4D35"/>
    <w:rsid w:val="001D2A77"/>
    <w:rsid w:val="002142B7"/>
    <w:rsid w:val="0022751D"/>
    <w:rsid w:val="00246548"/>
    <w:rsid w:val="002734B6"/>
    <w:rsid w:val="002825D1"/>
    <w:rsid w:val="00286EEF"/>
    <w:rsid w:val="002967EE"/>
    <w:rsid w:val="002C42E1"/>
    <w:rsid w:val="002C7CD2"/>
    <w:rsid w:val="002D660C"/>
    <w:rsid w:val="00334BF6"/>
    <w:rsid w:val="00340771"/>
    <w:rsid w:val="003B7449"/>
    <w:rsid w:val="003D38A3"/>
    <w:rsid w:val="003D5784"/>
    <w:rsid w:val="003E3CE9"/>
    <w:rsid w:val="00410A8A"/>
    <w:rsid w:val="00424407"/>
    <w:rsid w:val="004359DB"/>
    <w:rsid w:val="00451711"/>
    <w:rsid w:val="0046466B"/>
    <w:rsid w:val="0047219C"/>
    <w:rsid w:val="00480AC4"/>
    <w:rsid w:val="00485836"/>
    <w:rsid w:val="00495BA5"/>
    <w:rsid w:val="0049615F"/>
    <w:rsid w:val="004A3467"/>
    <w:rsid w:val="005735DE"/>
    <w:rsid w:val="00591D4D"/>
    <w:rsid w:val="005A199B"/>
    <w:rsid w:val="005C4D0C"/>
    <w:rsid w:val="005E6AE8"/>
    <w:rsid w:val="00612190"/>
    <w:rsid w:val="00632568"/>
    <w:rsid w:val="0063371C"/>
    <w:rsid w:val="00633E94"/>
    <w:rsid w:val="00637005"/>
    <w:rsid w:val="00640F37"/>
    <w:rsid w:val="006633EC"/>
    <w:rsid w:val="006656FE"/>
    <w:rsid w:val="006D146C"/>
    <w:rsid w:val="006D7E7C"/>
    <w:rsid w:val="006E6009"/>
    <w:rsid w:val="00706DEA"/>
    <w:rsid w:val="007075E8"/>
    <w:rsid w:val="00742C16"/>
    <w:rsid w:val="00750F74"/>
    <w:rsid w:val="00760613"/>
    <w:rsid w:val="00763D48"/>
    <w:rsid w:val="0076411F"/>
    <w:rsid w:val="00795405"/>
    <w:rsid w:val="007A05DF"/>
    <w:rsid w:val="007A4434"/>
    <w:rsid w:val="008027CD"/>
    <w:rsid w:val="00812C29"/>
    <w:rsid w:val="00841B86"/>
    <w:rsid w:val="0084336A"/>
    <w:rsid w:val="00873B56"/>
    <w:rsid w:val="00896988"/>
    <w:rsid w:val="008C3AFA"/>
    <w:rsid w:val="008D1642"/>
    <w:rsid w:val="008D5899"/>
    <w:rsid w:val="008E48EF"/>
    <w:rsid w:val="008E61D3"/>
    <w:rsid w:val="008E7F21"/>
    <w:rsid w:val="008F08AA"/>
    <w:rsid w:val="00950A0A"/>
    <w:rsid w:val="00954D38"/>
    <w:rsid w:val="009C1C23"/>
    <w:rsid w:val="009F20D9"/>
    <w:rsid w:val="00A14C25"/>
    <w:rsid w:val="00A47C17"/>
    <w:rsid w:val="00A55622"/>
    <w:rsid w:val="00A6042F"/>
    <w:rsid w:val="00AC2EC2"/>
    <w:rsid w:val="00AD6467"/>
    <w:rsid w:val="00AF24BD"/>
    <w:rsid w:val="00AF4B7A"/>
    <w:rsid w:val="00B1493A"/>
    <w:rsid w:val="00B16D21"/>
    <w:rsid w:val="00B22993"/>
    <w:rsid w:val="00B25F3F"/>
    <w:rsid w:val="00B60316"/>
    <w:rsid w:val="00B8778E"/>
    <w:rsid w:val="00BA225E"/>
    <w:rsid w:val="00BB09D8"/>
    <w:rsid w:val="00BB4697"/>
    <w:rsid w:val="00BC26E0"/>
    <w:rsid w:val="00BC796E"/>
    <w:rsid w:val="00BD0282"/>
    <w:rsid w:val="00C0309D"/>
    <w:rsid w:val="00C07B79"/>
    <w:rsid w:val="00C33A00"/>
    <w:rsid w:val="00C35F9A"/>
    <w:rsid w:val="00C44790"/>
    <w:rsid w:val="00C511E3"/>
    <w:rsid w:val="00C53BDB"/>
    <w:rsid w:val="00C65959"/>
    <w:rsid w:val="00C8316E"/>
    <w:rsid w:val="00CA5945"/>
    <w:rsid w:val="00CF0A5F"/>
    <w:rsid w:val="00D12034"/>
    <w:rsid w:val="00D23BE3"/>
    <w:rsid w:val="00D42D8D"/>
    <w:rsid w:val="00D43BE2"/>
    <w:rsid w:val="00D43F1D"/>
    <w:rsid w:val="00D74ABC"/>
    <w:rsid w:val="00DB1DDB"/>
    <w:rsid w:val="00DC0E1D"/>
    <w:rsid w:val="00E1191D"/>
    <w:rsid w:val="00E67A8D"/>
    <w:rsid w:val="00E70E08"/>
    <w:rsid w:val="00E7682D"/>
    <w:rsid w:val="00E82271"/>
    <w:rsid w:val="00EA0F45"/>
    <w:rsid w:val="00EA76EB"/>
    <w:rsid w:val="00EB4636"/>
    <w:rsid w:val="00EC715D"/>
    <w:rsid w:val="00EF044C"/>
    <w:rsid w:val="00EF6CE6"/>
    <w:rsid w:val="00F07A83"/>
    <w:rsid w:val="00F11FB3"/>
    <w:rsid w:val="00F14F58"/>
    <w:rsid w:val="00F264DD"/>
    <w:rsid w:val="00F350FE"/>
    <w:rsid w:val="00F35F43"/>
    <w:rsid w:val="00F37052"/>
    <w:rsid w:val="00F7311C"/>
    <w:rsid w:val="00F94524"/>
    <w:rsid w:val="00F96BEC"/>
    <w:rsid w:val="00FB1A56"/>
    <w:rsid w:val="00FB3BFB"/>
    <w:rsid w:val="00FB54E7"/>
    <w:rsid w:val="00FB641C"/>
    <w:rsid w:val="00FE6E47"/>
    <w:rsid w:val="029AD2A6"/>
    <w:rsid w:val="03C215CE"/>
    <w:rsid w:val="04B3CD5B"/>
    <w:rsid w:val="04E702A2"/>
    <w:rsid w:val="0543E884"/>
    <w:rsid w:val="0593C63F"/>
    <w:rsid w:val="05B9E18C"/>
    <w:rsid w:val="06F75D15"/>
    <w:rsid w:val="07C32205"/>
    <w:rsid w:val="0EBF5139"/>
    <w:rsid w:val="0F4CA695"/>
    <w:rsid w:val="1698F6CD"/>
    <w:rsid w:val="183CB4B4"/>
    <w:rsid w:val="19A87B45"/>
    <w:rsid w:val="1AC45A82"/>
    <w:rsid w:val="1B072DE2"/>
    <w:rsid w:val="1B80BF10"/>
    <w:rsid w:val="1EABF638"/>
    <w:rsid w:val="20974461"/>
    <w:rsid w:val="2299CC4E"/>
    <w:rsid w:val="233B404E"/>
    <w:rsid w:val="237F675B"/>
    <w:rsid w:val="251B37BC"/>
    <w:rsid w:val="29EEA8DF"/>
    <w:rsid w:val="2AC155EF"/>
    <w:rsid w:val="2C19F30E"/>
    <w:rsid w:val="2E00E437"/>
    <w:rsid w:val="3124C86E"/>
    <w:rsid w:val="31309773"/>
    <w:rsid w:val="33A85013"/>
    <w:rsid w:val="34E99D72"/>
    <w:rsid w:val="35BA6DCB"/>
    <w:rsid w:val="360BF61C"/>
    <w:rsid w:val="3771E5D3"/>
    <w:rsid w:val="3793F3D2"/>
    <w:rsid w:val="394396DE"/>
    <w:rsid w:val="3A2F6C4B"/>
    <w:rsid w:val="3A5CE241"/>
    <w:rsid w:val="3E55770B"/>
    <w:rsid w:val="3F173AB2"/>
    <w:rsid w:val="3FC21DCF"/>
    <w:rsid w:val="41CECA21"/>
    <w:rsid w:val="452F9DDE"/>
    <w:rsid w:val="4697FA96"/>
    <w:rsid w:val="4819C44D"/>
    <w:rsid w:val="489884DD"/>
    <w:rsid w:val="4C0465D0"/>
    <w:rsid w:val="4D6BF600"/>
    <w:rsid w:val="508FA766"/>
    <w:rsid w:val="50EC48D1"/>
    <w:rsid w:val="52868BA3"/>
    <w:rsid w:val="5427BC27"/>
    <w:rsid w:val="56C53FBB"/>
    <w:rsid w:val="59E4D2D3"/>
    <w:rsid w:val="5EB3F6DA"/>
    <w:rsid w:val="5EC88209"/>
    <w:rsid w:val="60114877"/>
    <w:rsid w:val="60DB548D"/>
    <w:rsid w:val="6296D339"/>
    <w:rsid w:val="62DA50A9"/>
    <w:rsid w:val="648F5260"/>
    <w:rsid w:val="64E105C2"/>
    <w:rsid w:val="65908646"/>
    <w:rsid w:val="674587FD"/>
    <w:rsid w:val="6B2A5F7C"/>
    <w:rsid w:val="6D03D375"/>
    <w:rsid w:val="7644B840"/>
    <w:rsid w:val="773EE36A"/>
    <w:rsid w:val="7A955E68"/>
    <w:rsid w:val="7F64B4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1697F"/>
  <w15:docId w15:val="{276597B2-7550-4609-8483-2353DE4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7C"/>
  </w:style>
  <w:style w:type="paragraph" w:styleId="Heading1">
    <w:name w:val="heading 1"/>
    <w:basedOn w:val="Normal"/>
    <w:next w:val="Normal"/>
    <w:link w:val="Heading1Char"/>
    <w:uiPriority w:val="9"/>
    <w:qFormat/>
    <w:rsid w:val="006D1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1"/>
    <w:qFormat/>
    <w:rsid w:val="00246548"/>
    <w:pPr>
      <w:keepNext/>
      <w:keepLines/>
      <w:spacing w:before="240" w:after="90" w:line="340" w:lineRule="atLeast"/>
      <w:outlineLvl w:val="1"/>
    </w:pPr>
    <w:rPr>
      <w:rFonts w:ascii="Arial" w:eastAsia="Times New Roman" w:hAnsi="Arial" w:cs="Times New Roman"/>
      <w:b/>
      <w:color w:val="53565A"/>
      <w:sz w:val="32"/>
      <w:szCs w:val="28"/>
    </w:rPr>
  </w:style>
  <w:style w:type="paragraph" w:styleId="Heading3">
    <w:name w:val="heading 3"/>
    <w:basedOn w:val="Normal"/>
    <w:next w:val="Normal"/>
    <w:link w:val="Heading3Char"/>
    <w:uiPriority w:val="9"/>
    <w:unhideWhenUsed/>
    <w:qFormat/>
    <w:rsid w:val="00A604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64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D6467"/>
    <w:rPr>
      <w:i/>
      <w:iCs/>
    </w:rPr>
  </w:style>
  <w:style w:type="paragraph" w:styleId="Header">
    <w:name w:val="header"/>
    <w:basedOn w:val="Normal"/>
    <w:link w:val="HeaderChar"/>
    <w:uiPriority w:val="99"/>
    <w:unhideWhenUsed/>
    <w:rsid w:val="00FB6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1C"/>
  </w:style>
  <w:style w:type="paragraph" w:styleId="Footer">
    <w:name w:val="footer"/>
    <w:basedOn w:val="Normal"/>
    <w:link w:val="FooterChar"/>
    <w:uiPriority w:val="99"/>
    <w:unhideWhenUsed/>
    <w:rsid w:val="00FB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1C"/>
  </w:style>
  <w:style w:type="character" w:customStyle="1" w:styleId="Heading1Char">
    <w:name w:val="Heading 1 Char"/>
    <w:basedOn w:val="DefaultParagraphFont"/>
    <w:link w:val="Heading1"/>
    <w:uiPriority w:val="9"/>
    <w:rsid w:val="006D146C"/>
    <w:rPr>
      <w:rFonts w:asciiTheme="majorHAnsi" w:eastAsiaTheme="majorEastAsia" w:hAnsiTheme="majorHAnsi" w:cstheme="majorBidi"/>
      <w:color w:val="2F5496" w:themeColor="accent1" w:themeShade="BF"/>
      <w:sz w:val="32"/>
      <w:szCs w:val="32"/>
    </w:rPr>
  </w:style>
  <w:style w:type="paragraph" w:customStyle="1" w:styleId="Documenttitle">
    <w:name w:val="Document title"/>
    <w:uiPriority w:val="8"/>
    <w:rsid w:val="00EC715D"/>
    <w:pPr>
      <w:spacing w:after="240" w:line="560" w:lineRule="atLeast"/>
    </w:pPr>
    <w:rPr>
      <w:rFonts w:ascii="Arial" w:eastAsia="Times New Roman" w:hAnsi="Arial" w:cs="Times New Roman"/>
      <w:b/>
      <w:color w:val="AF272F"/>
      <w:sz w:val="48"/>
      <w:szCs w:val="50"/>
    </w:rPr>
  </w:style>
  <w:style w:type="character" w:customStyle="1" w:styleId="Heading2Char">
    <w:name w:val="Heading 2 Char"/>
    <w:basedOn w:val="DefaultParagraphFont"/>
    <w:link w:val="Heading2"/>
    <w:uiPriority w:val="1"/>
    <w:rsid w:val="00246548"/>
    <w:rPr>
      <w:rFonts w:ascii="Arial" w:eastAsia="Times New Roman" w:hAnsi="Arial" w:cs="Times New Roman"/>
      <w:b/>
      <w:color w:val="53565A"/>
      <w:sz w:val="32"/>
      <w:szCs w:val="28"/>
    </w:rPr>
  </w:style>
  <w:style w:type="character" w:styleId="Hyperlink">
    <w:name w:val="Hyperlink"/>
    <w:basedOn w:val="DefaultParagraphFont"/>
    <w:uiPriority w:val="99"/>
    <w:unhideWhenUsed/>
    <w:rsid w:val="00F14F58"/>
    <w:rPr>
      <w:color w:val="0563C1" w:themeColor="hyperlink"/>
      <w:u w:val="single"/>
    </w:rPr>
  </w:style>
  <w:style w:type="character" w:styleId="UnresolvedMention">
    <w:name w:val="Unresolved Mention"/>
    <w:basedOn w:val="DefaultParagraphFont"/>
    <w:uiPriority w:val="99"/>
    <w:semiHidden/>
    <w:unhideWhenUsed/>
    <w:rsid w:val="00F14F58"/>
    <w:rPr>
      <w:color w:val="605E5C"/>
      <w:shd w:val="clear" w:color="auto" w:fill="E1DFDD"/>
    </w:rPr>
  </w:style>
  <w:style w:type="character" w:styleId="CommentReference">
    <w:name w:val="annotation reference"/>
    <w:basedOn w:val="DefaultParagraphFont"/>
    <w:uiPriority w:val="99"/>
    <w:semiHidden/>
    <w:unhideWhenUsed/>
    <w:rsid w:val="000F1B6A"/>
    <w:rPr>
      <w:sz w:val="16"/>
      <w:szCs w:val="16"/>
    </w:rPr>
  </w:style>
  <w:style w:type="paragraph" w:styleId="CommentText">
    <w:name w:val="annotation text"/>
    <w:basedOn w:val="Normal"/>
    <w:link w:val="CommentTextChar"/>
    <w:uiPriority w:val="99"/>
    <w:semiHidden/>
    <w:unhideWhenUsed/>
    <w:rsid w:val="000F1B6A"/>
    <w:pPr>
      <w:spacing w:line="240" w:lineRule="auto"/>
    </w:pPr>
    <w:rPr>
      <w:sz w:val="20"/>
      <w:szCs w:val="20"/>
    </w:rPr>
  </w:style>
  <w:style w:type="character" w:customStyle="1" w:styleId="CommentTextChar">
    <w:name w:val="Comment Text Char"/>
    <w:basedOn w:val="DefaultParagraphFont"/>
    <w:link w:val="CommentText"/>
    <w:uiPriority w:val="99"/>
    <w:semiHidden/>
    <w:rsid w:val="000F1B6A"/>
    <w:rPr>
      <w:sz w:val="20"/>
      <w:szCs w:val="20"/>
    </w:rPr>
  </w:style>
  <w:style w:type="paragraph" w:styleId="CommentSubject">
    <w:name w:val="annotation subject"/>
    <w:basedOn w:val="CommentText"/>
    <w:next w:val="CommentText"/>
    <w:link w:val="CommentSubjectChar"/>
    <w:uiPriority w:val="99"/>
    <w:semiHidden/>
    <w:unhideWhenUsed/>
    <w:rsid w:val="000F1B6A"/>
    <w:rPr>
      <w:b/>
      <w:bCs/>
    </w:rPr>
  </w:style>
  <w:style w:type="character" w:customStyle="1" w:styleId="CommentSubjectChar">
    <w:name w:val="Comment Subject Char"/>
    <w:basedOn w:val="CommentTextChar"/>
    <w:link w:val="CommentSubject"/>
    <w:uiPriority w:val="99"/>
    <w:semiHidden/>
    <w:rsid w:val="000F1B6A"/>
    <w:rPr>
      <w:b/>
      <w:bCs/>
      <w:sz w:val="20"/>
      <w:szCs w:val="20"/>
    </w:rPr>
  </w:style>
  <w:style w:type="character" w:customStyle="1" w:styleId="Heading3Char">
    <w:name w:val="Heading 3 Char"/>
    <w:basedOn w:val="DefaultParagraphFont"/>
    <w:link w:val="Heading3"/>
    <w:uiPriority w:val="9"/>
    <w:rsid w:val="00A6042F"/>
    <w:rPr>
      <w:rFonts w:asciiTheme="majorHAnsi" w:eastAsiaTheme="majorEastAsia" w:hAnsiTheme="majorHAnsi" w:cstheme="majorBidi"/>
      <w:color w:val="1F3763" w:themeColor="accent1" w:themeShade="7F"/>
      <w:sz w:val="24"/>
      <w:szCs w:val="24"/>
    </w:rPr>
  </w:style>
  <w:style w:type="paragraph" w:customStyle="1" w:styleId="Accessibilitypara">
    <w:name w:val="Accessibility para"/>
    <w:uiPriority w:val="8"/>
    <w:rsid w:val="00706DEA"/>
    <w:pPr>
      <w:spacing w:before="240" w:after="200" w:line="300" w:lineRule="atLeast"/>
    </w:pPr>
    <w:rPr>
      <w:rFonts w:ascii="Arial" w:eastAsia="Times" w:hAnsi="Arial" w:cs="Times New Roman"/>
      <w:sz w:val="24"/>
      <w:szCs w:val="19"/>
    </w:rPr>
  </w:style>
  <w:style w:type="paragraph" w:customStyle="1" w:styleId="Imprint">
    <w:name w:val="Imprint"/>
    <w:basedOn w:val="Normal"/>
    <w:uiPriority w:val="11"/>
    <w:rsid w:val="00706DEA"/>
    <w:pPr>
      <w:spacing w:after="60" w:line="270" w:lineRule="atLeast"/>
    </w:pPr>
    <w:rPr>
      <w:rFonts w:ascii="Arial" w:eastAsia="Times" w:hAnsi="Arial"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99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vic.gov.au/publications/gender-equality-action-plan-2022-202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clusion@health.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lusion@health.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health.vic.gov.au/publications/gender-equality-action-plan-2022-2025"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800C5A38DC2488B0DA36049F51BA1" ma:contentTypeVersion="15" ma:contentTypeDescription="Create a new document." ma:contentTypeScope="" ma:versionID="f3c05f57aa19100f13c11e72bc8e82eb">
  <xsd:schema xmlns:xsd="http://www.w3.org/2001/XMLSchema" xmlns:xs="http://www.w3.org/2001/XMLSchema" xmlns:p="http://schemas.microsoft.com/office/2006/metadata/properties" xmlns:ns2="c378ccb1-c36c-45a5-a9da-958dfb7ff67d" xmlns:ns3="9c874936-1b7e-4ddd-8e84-d13757395ce1" xmlns:ns4="5ce0f2b5-5be5-4508-bce9-d7011ece0659" targetNamespace="http://schemas.microsoft.com/office/2006/metadata/properties" ma:root="true" ma:fieldsID="1e86375527282c37c122d8e540eb6fca" ns2:_="" ns3:_="" ns4:_="">
    <xsd:import namespace="c378ccb1-c36c-45a5-a9da-958dfb7ff67d"/>
    <xsd:import namespace="9c874936-1b7e-4ddd-8e84-d13757395ce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ccb1-c36c-45a5-a9da-958dfb7f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74936-1b7e-4ddd-8e84-d13757395c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77be2c-b095-4937-b27d-b5869f3284a9}" ma:internalName="TaxCatchAll" ma:showField="CatchAllData" ma:web="9c874936-1b7e-4ddd-8e84-d13757395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c378ccb1-c36c-45a5-a9da-958dfb7ff67d">
      <Terms xmlns="http://schemas.microsoft.com/office/infopath/2007/PartnerControls"/>
    </lcf76f155ced4ddcb4097134ff3c332f>
    <SharedWithUsers xmlns="9c874936-1b7e-4ddd-8e84-d13757395ce1">
      <UserInfo>
        <DisplayName>Michael Robinson (Health)</DisplayName>
        <AccountId>55</AccountId>
        <AccountType/>
      </UserInfo>
      <UserInfo>
        <DisplayName>Damian Oliver (Health)</DisplayName>
        <AccountId>62</AccountId>
        <AccountType/>
      </UserInfo>
      <UserInfo>
        <DisplayName>Renee Bertolus (Health)</DisplayName>
        <AccountId>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D6AAE-5526-4A9D-9C71-21E3702C2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ccb1-c36c-45a5-a9da-958dfb7ff67d"/>
    <ds:schemaRef ds:uri="9c874936-1b7e-4ddd-8e84-d13757395ce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888F8-7495-4C5F-9446-BE10282635B1}">
  <ds:schemaRefs>
    <ds:schemaRef ds:uri="http://schemas.microsoft.com/office/2006/metadata/properties"/>
    <ds:schemaRef ds:uri="http://schemas.microsoft.com/office/infopath/2007/PartnerControls"/>
    <ds:schemaRef ds:uri="5ce0f2b5-5be5-4508-bce9-d7011ece0659"/>
    <ds:schemaRef ds:uri="c378ccb1-c36c-45a5-a9da-958dfb7ff67d"/>
    <ds:schemaRef ds:uri="9c874936-1b7e-4ddd-8e84-d13757395ce1"/>
  </ds:schemaRefs>
</ds:datastoreItem>
</file>

<file path=customXml/itemProps3.xml><?xml version="1.0" encoding="utf-8"?>
<ds:datastoreItem xmlns:ds="http://schemas.openxmlformats.org/officeDocument/2006/customXml" ds:itemID="{BED190FA-40B5-4B74-9616-1C4A130A9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Victorian State Government, Department of Health</Company>
  <LinksUpToDate>false</LinksUpToDate>
  <CharactersWithSpaces>2747</CharactersWithSpaces>
  <SharedDoc>false</SharedDoc>
  <HLinks>
    <vt:vector size="12" baseType="variant">
      <vt:variant>
        <vt:i4>3801104</vt:i4>
      </vt:variant>
      <vt:variant>
        <vt:i4>3</vt:i4>
      </vt:variant>
      <vt:variant>
        <vt:i4>0</vt:i4>
      </vt:variant>
      <vt:variant>
        <vt:i4>5</vt:i4>
      </vt:variant>
      <vt:variant>
        <vt:lpwstr>mailto:inclusion@health.vic.gov.au</vt:lpwstr>
      </vt:variant>
      <vt:variant>
        <vt:lpwstr/>
      </vt:variant>
      <vt:variant>
        <vt:i4>5046366</vt:i4>
      </vt:variant>
      <vt:variant>
        <vt:i4>0</vt:i4>
      </vt:variant>
      <vt:variant>
        <vt:i4>0</vt:i4>
      </vt:variant>
      <vt:variant>
        <vt:i4>5</vt:i4>
      </vt:variant>
      <vt:variant>
        <vt:lpwstr>https://www.health.vic.gov.au/publications/gender-equality-action-plan-2022-2025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executive gender pay gap information sheet</dc:title>
  <dc:subject>Department of health executive gender pay gap information sheet</dc:subject>
  <dc:creator>People and culture</dc:creator>
  <cp:keywords/>
  <dc:description/>
  <cp:lastModifiedBy>Miriam Hagan (Health)</cp:lastModifiedBy>
  <cp:revision>5</cp:revision>
  <dcterms:created xsi:type="dcterms:W3CDTF">2023-01-19T01:40:00Z</dcterms:created>
  <dcterms:modified xsi:type="dcterms:W3CDTF">2023-01-19T02:50:00Z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0x0101004AF800C5A38DC2488B0DA36049F51BA1</vt:lpwstr>
  </property>
  <property fmtid="{D5CDD505-2E9C-101B-9397-08002B2CF9AE}" pid="3" name="TaxKeyword">
    <vt:lpwstr/>
  </property>
  <property fmtid="{D5CDD505-2E9C-101B-9397-08002B2CF9AE}" pid="4" name="Metadata">
    <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2023-01-19T02:50:36Z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e5ed4b50-cb11-4a56-9789-799a2e3f05a6</vt:lpwstr>
  </property>
  <property fmtid="{D5CDD505-2E9C-101B-9397-08002B2CF9AE}" pid="12" name="MSIP_Label_43e64453-338c-4f93-8a4d-0039a0a41f2a_ContentBits">
    <vt:lpwstr>2</vt:lpwstr>
  </property>
</Properties>
</file>