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3D01" w14:textId="5C82992F" w:rsidR="00AC0C3B" w:rsidRPr="003072C6" w:rsidRDefault="00081EF4" w:rsidP="00081EF4">
      <w:r>
        <w:rPr>
          <w:noProof/>
        </w:rPr>
        <w:drawing>
          <wp:anchor distT="0" distB="0" distL="114300" distR="114300" simplePos="0" relativeHeight="251658256" behindDoc="1" locked="1" layoutInCell="1" allowOverlap="0" wp14:anchorId="68B71E22" wp14:editId="4FB432EE">
            <wp:simplePos x="0" y="0"/>
            <wp:positionH relativeFrom="page">
              <wp:posOffset>6985</wp:posOffset>
            </wp:positionH>
            <wp:positionV relativeFrom="page">
              <wp:align>top</wp:align>
            </wp:positionV>
            <wp:extent cx="7555865" cy="10674350"/>
            <wp:effectExtent l="0" t="0" r="6985" b="0"/>
            <wp:wrapNone/>
            <wp:docPr id="18" name="Picture 1"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674350"/>
                    </a:xfrm>
                    <a:prstGeom prst="rect">
                      <a:avLst/>
                    </a:prstGeom>
                  </pic:spPr>
                </pic:pic>
              </a:graphicData>
            </a:graphic>
            <wp14:sizeRelH relativeFrom="margin">
              <wp14:pctWidth>0</wp14:pctWidth>
            </wp14:sizeRelH>
            <wp14:sizeRelV relativeFrom="margin">
              <wp14:pctHeight>0</wp14:pctHeight>
            </wp14:sizeRelV>
          </wp:anchor>
        </w:drawing>
      </w:r>
      <w:r w:rsidR="00BE59FD">
        <w:rPr>
          <w:noProof/>
          <w:lang w:eastAsia="en-AU"/>
        </w:rPr>
        <mc:AlternateContent>
          <mc:Choice Requires="wps">
            <w:drawing>
              <wp:anchor distT="0" distB="0" distL="114300" distR="114300" simplePos="0" relativeHeight="251658240" behindDoc="0" locked="0" layoutInCell="1" allowOverlap="1" wp14:anchorId="5F5BCCC2" wp14:editId="5FCB24F0">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6704B" w14:textId="7D7BB391" w:rsidR="00B22E55" w:rsidRDefault="00F932F4" w:rsidP="00AC0C3B">
                            <w:pPr>
                              <w:jc w:val="right"/>
                            </w:pPr>
                            <w:r>
                              <w:rPr>
                                <w:rFonts w:cs="Arial"/>
                                <w:color w:val="808080"/>
                                <w:sz w:val="22"/>
                                <w:szCs w:val="22"/>
                              </w:rPr>
                              <w:t>Department</w:t>
                            </w:r>
                            <w:r w:rsidR="00B22E55" w:rsidRPr="000147AF">
                              <w:rPr>
                                <w:rFonts w:cs="Arial"/>
                                <w:color w:val="808080"/>
                                <w:sz w:val="22"/>
                                <w:szCs w:val="22"/>
                              </w:rPr>
                              <w:t xml:space="preserve">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BCCC2"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0A76704B" w14:textId="7D7BB391" w:rsidR="00B22E55" w:rsidRDefault="00F932F4" w:rsidP="00AC0C3B">
                      <w:pPr>
                        <w:jc w:val="right"/>
                      </w:pPr>
                      <w:r>
                        <w:rPr>
                          <w:rFonts w:cs="Arial"/>
                          <w:color w:val="808080"/>
                          <w:sz w:val="22"/>
                          <w:szCs w:val="22"/>
                        </w:rPr>
                        <w:t>Department</w:t>
                      </w:r>
                      <w:r w:rsidR="00B22E55" w:rsidRPr="000147AF">
                        <w:rPr>
                          <w:rFonts w:cs="Arial"/>
                          <w:color w:val="808080"/>
                          <w:sz w:val="22"/>
                          <w:szCs w:val="22"/>
                        </w:rPr>
                        <w:t xml:space="preserve"> of Health</w:t>
                      </w:r>
                    </w:p>
                  </w:txbxContent>
                </v:textbox>
              </v:shape>
            </w:pict>
          </mc:Fallback>
        </mc:AlternateContent>
      </w:r>
    </w:p>
    <w:tbl>
      <w:tblPr>
        <w:tblW w:w="0" w:type="auto"/>
        <w:tblCellMar>
          <w:left w:w="0" w:type="dxa"/>
          <w:right w:w="0" w:type="dxa"/>
        </w:tblCellMar>
        <w:tblLook w:val="04A0" w:firstRow="1" w:lastRow="0" w:firstColumn="1" w:lastColumn="0" w:noHBand="0" w:noVBand="1"/>
      </w:tblPr>
      <w:tblGrid>
        <w:gridCol w:w="7597"/>
      </w:tblGrid>
      <w:tr w:rsidR="00DE24E6" w:rsidRPr="003072C6" w14:paraId="7301E85F" w14:textId="77777777" w:rsidTr="41FD14AD">
        <w:trPr>
          <w:trHeight w:val="7402"/>
        </w:trPr>
        <w:tc>
          <w:tcPr>
            <w:tcW w:w="7597" w:type="dxa"/>
            <w:shd w:val="clear" w:color="auto" w:fill="auto"/>
            <w:vAlign w:val="center"/>
          </w:tcPr>
          <w:p w14:paraId="491208FC" w14:textId="77777777" w:rsidR="00DD783B" w:rsidRDefault="00DD783B" w:rsidP="00636934">
            <w:pPr>
              <w:pStyle w:val="DHHSreportmaintitle"/>
            </w:pPr>
            <w:r>
              <w:t>Policy for minimising harm caused by medic</w:t>
            </w:r>
            <w:r w:rsidR="001D4209">
              <w:t>ine</w:t>
            </w:r>
            <w:r>
              <w:t>s</w:t>
            </w:r>
          </w:p>
          <w:p w14:paraId="53EF792C" w14:textId="77777777" w:rsidR="00F53CFD" w:rsidRPr="00DD783B" w:rsidRDefault="00DD783B" w:rsidP="00636934">
            <w:pPr>
              <w:pStyle w:val="DHHSreportmaintitle"/>
              <w:rPr>
                <w:sz w:val="30"/>
                <w:szCs w:val="30"/>
              </w:rPr>
            </w:pPr>
            <w:r w:rsidRPr="00DD783B">
              <w:rPr>
                <w:sz w:val="30"/>
                <w:szCs w:val="30"/>
              </w:rPr>
              <w:t xml:space="preserve">A </w:t>
            </w:r>
            <w:r w:rsidR="00622919">
              <w:rPr>
                <w:sz w:val="30"/>
                <w:szCs w:val="30"/>
              </w:rPr>
              <w:t>regulatory</w:t>
            </w:r>
            <w:r w:rsidRPr="00DD783B">
              <w:rPr>
                <w:sz w:val="30"/>
                <w:szCs w:val="30"/>
              </w:rPr>
              <w:t xml:space="preserve"> approach</w:t>
            </w:r>
          </w:p>
          <w:p w14:paraId="25086DB8" w14:textId="4FE4D63C" w:rsidR="00BB47D7" w:rsidRDefault="00934EAE" w:rsidP="00630937">
            <w:pPr>
              <w:pStyle w:val="DHHSreportsubtitle"/>
            </w:pPr>
            <w:r>
              <w:t xml:space="preserve">Medicines </w:t>
            </w:r>
            <w:r w:rsidR="005A401F">
              <w:t xml:space="preserve">and Poisons Regulation </w:t>
            </w:r>
            <w:r w:rsidR="00970919">
              <w:t>Branch</w:t>
            </w:r>
            <w:r w:rsidR="006C7A6E">
              <w:t xml:space="preserve">, </w:t>
            </w:r>
            <w:r w:rsidR="00875B9E">
              <w:t>Department of Health</w:t>
            </w:r>
          </w:p>
          <w:p w14:paraId="4F65F26D" w14:textId="77777777" w:rsidR="00186689" w:rsidRDefault="00186689" w:rsidP="00630937">
            <w:pPr>
              <w:pStyle w:val="DHHSreportsubtitle"/>
              <w:rPr>
                <w:b/>
              </w:rPr>
            </w:pPr>
          </w:p>
          <w:p w14:paraId="15121D7C" w14:textId="593C0DE4" w:rsidR="00D61E08" w:rsidRPr="00DD783B" w:rsidRDefault="00C415B2" w:rsidP="00E53C62">
            <w:pPr>
              <w:pStyle w:val="DHHSreportsubtitle"/>
            </w:pPr>
            <w:r>
              <w:rPr>
                <w:sz w:val="24"/>
                <w:szCs w:val="24"/>
              </w:rPr>
              <w:t>October</w:t>
            </w:r>
            <w:r w:rsidR="00A55155" w:rsidRPr="41FD14AD">
              <w:rPr>
                <w:sz w:val="24"/>
                <w:szCs w:val="24"/>
              </w:rPr>
              <w:t xml:space="preserve"> </w:t>
            </w:r>
            <w:r w:rsidR="00B931AF" w:rsidRPr="41FD14AD">
              <w:rPr>
                <w:sz w:val="24"/>
                <w:szCs w:val="24"/>
              </w:rPr>
              <w:t>2022</w:t>
            </w:r>
          </w:p>
        </w:tc>
      </w:tr>
      <w:tr w:rsidR="009906C7" w:rsidRPr="003072C6" w14:paraId="4CD025D0" w14:textId="77777777" w:rsidTr="41FD14AD">
        <w:tc>
          <w:tcPr>
            <w:tcW w:w="7597" w:type="dxa"/>
            <w:shd w:val="clear" w:color="auto" w:fill="auto"/>
            <w:vAlign w:val="center"/>
          </w:tcPr>
          <w:p w14:paraId="2B3C8BE9" w14:textId="77777777" w:rsidR="009906C7" w:rsidRPr="003072C6" w:rsidRDefault="009906C7" w:rsidP="009906C7">
            <w:pPr>
              <w:pStyle w:val="DHHSbody"/>
            </w:pPr>
          </w:p>
        </w:tc>
      </w:tr>
    </w:tbl>
    <w:p w14:paraId="684770EE" w14:textId="77777777" w:rsidR="00CA6D4E" w:rsidRPr="003072C6" w:rsidRDefault="00CA6D4E" w:rsidP="00CA6D4E">
      <w:pPr>
        <w:pStyle w:val="DHHSbodynospace"/>
      </w:pPr>
    </w:p>
    <w:p w14:paraId="17C44889" w14:textId="79E84286" w:rsidR="00AC0C3B" w:rsidRPr="003072C6" w:rsidRDefault="00C81BA6" w:rsidP="00081EF4">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E3524D0" w14:textId="77777777" w:rsidTr="41FD14AD">
        <w:trPr>
          <w:trHeight w:val="4313"/>
        </w:trPr>
        <w:tc>
          <w:tcPr>
            <w:tcW w:w="9401" w:type="dxa"/>
          </w:tcPr>
          <w:p w14:paraId="601F5CBA" w14:textId="77777777" w:rsidR="00564E8F" w:rsidRPr="00605B5B" w:rsidRDefault="00564E8F" w:rsidP="00031263">
            <w:pPr>
              <w:pStyle w:val="DHHSbody"/>
              <w:rPr>
                <w:i/>
                <w:color w:val="008950"/>
                <w:sz w:val="26"/>
                <w:szCs w:val="26"/>
              </w:rPr>
            </w:pPr>
          </w:p>
        </w:tc>
      </w:tr>
      <w:tr w:rsidR="00564E8F" w:rsidRPr="003072C6" w14:paraId="7F349BF5" w14:textId="77777777" w:rsidTr="41FD14AD">
        <w:trPr>
          <w:trHeight w:val="6336"/>
        </w:trPr>
        <w:tc>
          <w:tcPr>
            <w:tcW w:w="9401" w:type="dxa"/>
            <w:vAlign w:val="bottom"/>
          </w:tcPr>
          <w:p w14:paraId="47D1FFDA" w14:textId="5EB11D46" w:rsidR="00605B5B" w:rsidRDefault="172FA14A" w:rsidP="00605B5B">
            <w:pPr>
              <w:spacing w:after="200" w:line="300" w:lineRule="atLeast"/>
              <w:rPr>
                <w:rStyle w:val="Hyperlink"/>
                <w:rFonts w:eastAsia="Times"/>
                <w:sz w:val="24"/>
                <w:szCs w:val="24"/>
              </w:rPr>
            </w:pPr>
            <w:r w:rsidRPr="41FD14AD">
              <w:rPr>
                <w:rFonts w:eastAsia="Times"/>
                <w:sz w:val="24"/>
                <w:szCs w:val="24"/>
              </w:rPr>
              <w:t xml:space="preserve">To receive this publication in an accessible format </w:t>
            </w:r>
            <w:r w:rsidR="51F3AF53" w:rsidRPr="41FD14AD">
              <w:rPr>
                <w:rFonts w:eastAsia="Times"/>
                <w:sz w:val="24"/>
                <w:szCs w:val="24"/>
              </w:rPr>
              <w:t>tele</w:t>
            </w:r>
            <w:r w:rsidRPr="41FD14AD">
              <w:rPr>
                <w:rFonts w:eastAsia="Times"/>
                <w:sz w:val="24"/>
                <w:szCs w:val="24"/>
              </w:rPr>
              <w:t xml:space="preserve">phone </w:t>
            </w:r>
            <w:r w:rsidR="6B2A94C4" w:rsidRPr="41FD14AD">
              <w:rPr>
                <w:rFonts w:eastAsia="Times"/>
                <w:color w:val="000000" w:themeColor="text1"/>
                <w:sz w:val="24"/>
                <w:szCs w:val="24"/>
              </w:rPr>
              <w:t>1300 650 172</w:t>
            </w:r>
            <w:r w:rsidRPr="41FD14AD">
              <w:rPr>
                <w:rFonts w:eastAsia="Times"/>
                <w:color w:val="000000" w:themeColor="text1"/>
                <w:sz w:val="24"/>
                <w:szCs w:val="24"/>
              </w:rPr>
              <w:t xml:space="preserve"> using the </w:t>
            </w:r>
            <w:r w:rsidRPr="41FD14AD">
              <w:rPr>
                <w:rFonts w:eastAsia="Times"/>
                <w:sz w:val="24"/>
                <w:szCs w:val="24"/>
              </w:rPr>
              <w:t xml:space="preserve">National Relay Service 13 36 77 if required, or email </w:t>
            </w:r>
            <w:r w:rsidR="6A3539CE" w:rsidRPr="41FD14AD">
              <w:rPr>
                <w:rStyle w:val="Hyperlink"/>
                <w:rFonts w:eastAsia="Times"/>
                <w:sz w:val="24"/>
                <w:szCs w:val="24"/>
              </w:rPr>
              <w:t>dp</w:t>
            </w:r>
            <w:r w:rsidR="413AEBA7" w:rsidRPr="41FD14AD">
              <w:rPr>
                <w:rStyle w:val="Hyperlink"/>
                <w:rFonts w:eastAsia="Times"/>
                <w:sz w:val="24"/>
                <w:szCs w:val="24"/>
              </w:rPr>
              <w:t>cs</w:t>
            </w:r>
            <w:r w:rsidR="6A3539CE" w:rsidRPr="41FD14AD">
              <w:rPr>
                <w:rStyle w:val="Hyperlink"/>
                <w:rFonts w:eastAsia="Times"/>
                <w:sz w:val="24"/>
                <w:szCs w:val="24"/>
              </w:rPr>
              <w:t>@health.vic.gov.au</w:t>
            </w:r>
          </w:p>
          <w:p w14:paraId="12FB5568" w14:textId="77777777" w:rsidR="00B931AF" w:rsidRDefault="00B931AF" w:rsidP="00605B5B">
            <w:pPr>
              <w:spacing w:after="200" w:line="300" w:lineRule="atLeast"/>
              <w:rPr>
                <w:rFonts w:eastAsia="Times"/>
                <w:color w:val="000000" w:themeColor="text1"/>
                <w:sz w:val="24"/>
                <w:szCs w:val="19"/>
              </w:rPr>
            </w:pPr>
          </w:p>
          <w:p w14:paraId="5E512230" w14:textId="77777777" w:rsidR="00605B5B" w:rsidRPr="00596E63" w:rsidRDefault="00605B5B" w:rsidP="00605B5B">
            <w:pPr>
              <w:spacing w:after="120" w:line="270" w:lineRule="atLeast"/>
              <w:rPr>
                <w:rFonts w:eastAsia="Times"/>
                <w:color w:val="000000" w:themeColor="text1"/>
              </w:rPr>
            </w:pPr>
            <w:r w:rsidRPr="00605B5B">
              <w:rPr>
                <w:rFonts w:eastAsia="Times"/>
              </w:rPr>
              <w:t>Authorised and published by the Victorian Governmen</w:t>
            </w:r>
            <w:r>
              <w:rPr>
                <w:rFonts w:eastAsia="Times"/>
              </w:rPr>
              <w:t xml:space="preserve">t, 1 </w:t>
            </w:r>
            <w:r w:rsidRPr="00596E63">
              <w:rPr>
                <w:rFonts w:eastAsia="Times"/>
                <w:color w:val="000000" w:themeColor="text1"/>
              </w:rPr>
              <w:t>Treasury Place, Melbourne.</w:t>
            </w:r>
          </w:p>
          <w:p w14:paraId="69997D07" w14:textId="693C9246" w:rsidR="00605B5B" w:rsidRPr="00596E63" w:rsidRDefault="0E604AA6" w:rsidP="00605B5B">
            <w:pPr>
              <w:spacing w:after="120" w:line="270" w:lineRule="atLeast"/>
              <w:rPr>
                <w:rFonts w:eastAsia="Times"/>
                <w:color w:val="000000" w:themeColor="text1"/>
              </w:rPr>
            </w:pPr>
            <w:r w:rsidRPr="41FD14AD">
              <w:rPr>
                <w:rFonts w:eastAsia="Times"/>
                <w:color w:val="000000" w:themeColor="text1"/>
              </w:rPr>
              <w:t xml:space="preserve">© State of Victoria, Department of Health </w:t>
            </w:r>
            <w:r w:rsidR="02DF085C" w:rsidRPr="41FD14AD">
              <w:rPr>
                <w:rFonts w:eastAsia="Times"/>
                <w:color w:val="000000" w:themeColor="text1"/>
              </w:rPr>
              <w:t xml:space="preserve">         </w:t>
            </w:r>
            <w:r w:rsidR="00C415B2">
              <w:rPr>
                <w:rFonts w:eastAsia="Times"/>
                <w:color w:val="000000" w:themeColor="text1"/>
              </w:rPr>
              <w:t>October</w:t>
            </w:r>
            <w:r w:rsidR="615B2F29" w:rsidRPr="41FD14AD">
              <w:rPr>
                <w:rFonts w:eastAsia="Times"/>
                <w:color w:val="000000" w:themeColor="text1"/>
              </w:rPr>
              <w:t xml:space="preserve"> </w:t>
            </w:r>
            <w:r w:rsidR="00B931AF" w:rsidRPr="41FD14AD">
              <w:rPr>
                <w:rFonts w:eastAsia="Times"/>
                <w:color w:val="000000" w:themeColor="text1"/>
              </w:rPr>
              <w:t>2022</w:t>
            </w:r>
            <w:r w:rsidR="615B2F29" w:rsidRPr="41FD14AD">
              <w:rPr>
                <w:rFonts w:eastAsia="Times"/>
                <w:color w:val="000000" w:themeColor="text1"/>
              </w:rPr>
              <w:t>.</w:t>
            </w:r>
          </w:p>
          <w:p w14:paraId="405E5D78" w14:textId="77777777" w:rsidR="00564E8F" w:rsidRPr="003072C6" w:rsidRDefault="00564E8F" w:rsidP="00596E63">
            <w:pPr>
              <w:spacing w:after="120" w:line="270" w:lineRule="atLeast"/>
            </w:pPr>
          </w:p>
        </w:tc>
      </w:tr>
      <w:tr w:rsidR="009906C7" w:rsidRPr="003072C6" w14:paraId="37DA3EB6" w14:textId="77777777" w:rsidTr="41FD14AD">
        <w:tc>
          <w:tcPr>
            <w:tcW w:w="9401" w:type="dxa"/>
            <w:vAlign w:val="bottom"/>
          </w:tcPr>
          <w:p w14:paraId="204FFE44" w14:textId="77777777" w:rsidR="009906C7" w:rsidRPr="003072C6" w:rsidRDefault="009906C7" w:rsidP="009906C7">
            <w:pPr>
              <w:pStyle w:val="DHHSbody"/>
            </w:pPr>
          </w:p>
        </w:tc>
      </w:tr>
    </w:tbl>
    <w:p w14:paraId="4AA494F2" w14:textId="77777777" w:rsidR="00ED4D17" w:rsidRPr="003072C6" w:rsidRDefault="00ED4D17" w:rsidP="003072C6">
      <w:pPr>
        <w:pStyle w:val="DHHSbody"/>
      </w:pPr>
    </w:p>
    <w:p w14:paraId="26F2F709" w14:textId="77777777" w:rsidR="00AC0C3B" w:rsidRPr="00040F27" w:rsidRDefault="00AC0C3B" w:rsidP="00040F27">
      <w:pPr>
        <w:pStyle w:val="Heading3"/>
      </w:pPr>
      <w:r w:rsidRPr="00040F27">
        <w:lastRenderedPageBreak/>
        <w:t>Contents</w:t>
      </w:r>
    </w:p>
    <w:p w14:paraId="675DE54C" w14:textId="2ABFBAC4" w:rsidR="006C361B" w:rsidRDefault="0047366B">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"1-1" \h \z </w:instrText>
      </w:r>
      <w:r>
        <w:rPr>
          <w:b w:val="0"/>
        </w:rPr>
        <w:fldChar w:fldCharType="separate"/>
      </w:r>
      <w:hyperlink w:anchor="_Toc115884448" w:history="1">
        <w:r w:rsidR="006C361B" w:rsidRPr="004F67FD">
          <w:rPr>
            <w:rStyle w:val="Hyperlink"/>
          </w:rPr>
          <w:t>Glossary</w:t>
        </w:r>
        <w:r w:rsidR="006C361B">
          <w:rPr>
            <w:webHidden/>
          </w:rPr>
          <w:tab/>
        </w:r>
        <w:r w:rsidR="006C361B">
          <w:rPr>
            <w:webHidden/>
          </w:rPr>
          <w:fldChar w:fldCharType="begin"/>
        </w:r>
        <w:r w:rsidR="006C361B">
          <w:rPr>
            <w:webHidden/>
          </w:rPr>
          <w:instrText xml:space="preserve"> PAGEREF _Toc115884448 \h </w:instrText>
        </w:r>
        <w:r w:rsidR="006C361B">
          <w:rPr>
            <w:webHidden/>
          </w:rPr>
        </w:r>
        <w:r w:rsidR="006C361B">
          <w:rPr>
            <w:webHidden/>
          </w:rPr>
          <w:fldChar w:fldCharType="separate"/>
        </w:r>
        <w:r w:rsidR="006C361B">
          <w:rPr>
            <w:webHidden/>
          </w:rPr>
          <w:t>1</w:t>
        </w:r>
        <w:r w:rsidR="006C361B">
          <w:rPr>
            <w:webHidden/>
          </w:rPr>
          <w:fldChar w:fldCharType="end"/>
        </w:r>
      </w:hyperlink>
    </w:p>
    <w:p w14:paraId="18327652" w14:textId="52886304"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49" w:history="1">
        <w:r w:rsidRPr="004F67FD">
          <w:rPr>
            <w:rStyle w:val="Hyperlink"/>
          </w:rPr>
          <w:t>1</w:t>
        </w:r>
        <w:r>
          <w:rPr>
            <w:rFonts w:asciiTheme="minorHAnsi" w:eastAsiaTheme="minorEastAsia" w:hAnsiTheme="minorHAnsi" w:cstheme="minorBidi"/>
            <w:b w:val="0"/>
            <w:sz w:val="22"/>
            <w:szCs w:val="22"/>
            <w:lang w:eastAsia="en-AU"/>
          </w:rPr>
          <w:tab/>
        </w:r>
        <w:r w:rsidRPr="004F67FD">
          <w:rPr>
            <w:rStyle w:val="Hyperlink"/>
          </w:rPr>
          <w:t>Background and purpose</w:t>
        </w:r>
        <w:r>
          <w:rPr>
            <w:webHidden/>
          </w:rPr>
          <w:tab/>
        </w:r>
        <w:r>
          <w:rPr>
            <w:webHidden/>
          </w:rPr>
          <w:fldChar w:fldCharType="begin"/>
        </w:r>
        <w:r>
          <w:rPr>
            <w:webHidden/>
          </w:rPr>
          <w:instrText xml:space="preserve"> PAGEREF _Toc115884449 \h </w:instrText>
        </w:r>
        <w:r>
          <w:rPr>
            <w:webHidden/>
          </w:rPr>
        </w:r>
        <w:r>
          <w:rPr>
            <w:webHidden/>
          </w:rPr>
          <w:fldChar w:fldCharType="separate"/>
        </w:r>
        <w:r>
          <w:rPr>
            <w:webHidden/>
          </w:rPr>
          <w:t>2</w:t>
        </w:r>
        <w:r>
          <w:rPr>
            <w:webHidden/>
          </w:rPr>
          <w:fldChar w:fldCharType="end"/>
        </w:r>
      </w:hyperlink>
    </w:p>
    <w:p w14:paraId="62F1D5DE" w14:textId="57111DCB"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0" w:history="1">
        <w:r w:rsidRPr="004F67FD">
          <w:rPr>
            <w:rStyle w:val="Hyperlink"/>
          </w:rPr>
          <w:t>2</w:t>
        </w:r>
        <w:r>
          <w:rPr>
            <w:rFonts w:asciiTheme="minorHAnsi" w:eastAsiaTheme="minorEastAsia" w:hAnsiTheme="minorHAnsi" w:cstheme="minorBidi"/>
            <w:b w:val="0"/>
            <w:sz w:val="22"/>
            <w:szCs w:val="22"/>
            <w:lang w:eastAsia="en-AU"/>
          </w:rPr>
          <w:tab/>
        </w:r>
        <w:r w:rsidRPr="004F67FD">
          <w:rPr>
            <w:rStyle w:val="Hyperlink"/>
          </w:rPr>
          <w:t>Expectations and guiding principles</w:t>
        </w:r>
        <w:r>
          <w:rPr>
            <w:webHidden/>
          </w:rPr>
          <w:tab/>
        </w:r>
        <w:r>
          <w:rPr>
            <w:webHidden/>
          </w:rPr>
          <w:fldChar w:fldCharType="begin"/>
        </w:r>
        <w:r>
          <w:rPr>
            <w:webHidden/>
          </w:rPr>
          <w:instrText xml:space="preserve"> PAGEREF _Toc115884450 \h </w:instrText>
        </w:r>
        <w:r>
          <w:rPr>
            <w:webHidden/>
          </w:rPr>
        </w:r>
        <w:r>
          <w:rPr>
            <w:webHidden/>
          </w:rPr>
          <w:fldChar w:fldCharType="separate"/>
        </w:r>
        <w:r>
          <w:rPr>
            <w:webHidden/>
          </w:rPr>
          <w:t>4</w:t>
        </w:r>
        <w:r>
          <w:rPr>
            <w:webHidden/>
          </w:rPr>
          <w:fldChar w:fldCharType="end"/>
        </w:r>
      </w:hyperlink>
    </w:p>
    <w:p w14:paraId="72A69AAF" w14:textId="6BE3BED6"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1" w:history="1">
        <w:r w:rsidRPr="004F67FD">
          <w:rPr>
            <w:rStyle w:val="Hyperlink"/>
          </w:rPr>
          <w:t>3</w:t>
        </w:r>
        <w:r>
          <w:rPr>
            <w:rFonts w:asciiTheme="minorHAnsi" w:eastAsiaTheme="minorEastAsia" w:hAnsiTheme="minorHAnsi" w:cstheme="minorBidi"/>
            <w:b w:val="0"/>
            <w:sz w:val="22"/>
            <w:szCs w:val="22"/>
            <w:lang w:eastAsia="en-AU"/>
          </w:rPr>
          <w:tab/>
        </w:r>
        <w:r w:rsidRPr="004F67FD">
          <w:rPr>
            <w:rStyle w:val="Hyperlink"/>
          </w:rPr>
          <w:t>A changing landscape</w:t>
        </w:r>
        <w:r>
          <w:rPr>
            <w:webHidden/>
          </w:rPr>
          <w:tab/>
        </w:r>
        <w:r>
          <w:rPr>
            <w:webHidden/>
          </w:rPr>
          <w:fldChar w:fldCharType="begin"/>
        </w:r>
        <w:r>
          <w:rPr>
            <w:webHidden/>
          </w:rPr>
          <w:instrText xml:space="preserve"> PAGEREF _Toc115884451 \h </w:instrText>
        </w:r>
        <w:r>
          <w:rPr>
            <w:webHidden/>
          </w:rPr>
        </w:r>
        <w:r>
          <w:rPr>
            <w:webHidden/>
          </w:rPr>
          <w:fldChar w:fldCharType="separate"/>
        </w:r>
        <w:r>
          <w:rPr>
            <w:webHidden/>
          </w:rPr>
          <w:t>7</w:t>
        </w:r>
        <w:r>
          <w:rPr>
            <w:webHidden/>
          </w:rPr>
          <w:fldChar w:fldCharType="end"/>
        </w:r>
      </w:hyperlink>
    </w:p>
    <w:p w14:paraId="7C892122" w14:textId="24A063D8"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2" w:history="1">
        <w:r w:rsidRPr="004F67FD">
          <w:rPr>
            <w:rStyle w:val="Hyperlink"/>
          </w:rPr>
          <w:t>4</w:t>
        </w:r>
        <w:r>
          <w:rPr>
            <w:rFonts w:asciiTheme="minorHAnsi" w:eastAsiaTheme="minorEastAsia" w:hAnsiTheme="minorHAnsi" w:cstheme="minorBidi"/>
            <w:b w:val="0"/>
            <w:sz w:val="22"/>
            <w:szCs w:val="22"/>
            <w:lang w:eastAsia="en-AU"/>
          </w:rPr>
          <w:tab/>
        </w:r>
        <w:r w:rsidRPr="004F67FD">
          <w:rPr>
            <w:rStyle w:val="Hyperlink"/>
          </w:rPr>
          <w:t>Applying a risk-based approach</w:t>
        </w:r>
        <w:r>
          <w:rPr>
            <w:webHidden/>
          </w:rPr>
          <w:tab/>
        </w:r>
        <w:r>
          <w:rPr>
            <w:webHidden/>
          </w:rPr>
          <w:fldChar w:fldCharType="begin"/>
        </w:r>
        <w:r>
          <w:rPr>
            <w:webHidden/>
          </w:rPr>
          <w:instrText xml:space="preserve"> PAGEREF _Toc115884452 \h </w:instrText>
        </w:r>
        <w:r>
          <w:rPr>
            <w:webHidden/>
          </w:rPr>
        </w:r>
        <w:r>
          <w:rPr>
            <w:webHidden/>
          </w:rPr>
          <w:fldChar w:fldCharType="separate"/>
        </w:r>
        <w:r>
          <w:rPr>
            <w:webHidden/>
          </w:rPr>
          <w:t>8</w:t>
        </w:r>
        <w:r>
          <w:rPr>
            <w:webHidden/>
          </w:rPr>
          <w:fldChar w:fldCharType="end"/>
        </w:r>
      </w:hyperlink>
    </w:p>
    <w:p w14:paraId="33C91568" w14:textId="56FBF347"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3" w:history="1">
        <w:r w:rsidRPr="004F67FD">
          <w:rPr>
            <w:rStyle w:val="Hyperlink"/>
            <w:rFonts w:eastAsia="Times"/>
          </w:rPr>
          <w:t>5</w:t>
        </w:r>
        <w:r>
          <w:rPr>
            <w:rFonts w:asciiTheme="minorHAnsi" w:eastAsiaTheme="minorEastAsia" w:hAnsiTheme="minorHAnsi" w:cstheme="minorBidi"/>
            <w:b w:val="0"/>
            <w:sz w:val="22"/>
            <w:szCs w:val="22"/>
            <w:lang w:eastAsia="en-AU"/>
          </w:rPr>
          <w:tab/>
        </w:r>
        <w:r w:rsidRPr="004F67FD">
          <w:rPr>
            <w:rStyle w:val="Hyperlink"/>
          </w:rPr>
          <w:t>Our harms-based educational approach</w:t>
        </w:r>
        <w:r>
          <w:rPr>
            <w:webHidden/>
          </w:rPr>
          <w:tab/>
        </w:r>
        <w:r>
          <w:rPr>
            <w:webHidden/>
          </w:rPr>
          <w:fldChar w:fldCharType="begin"/>
        </w:r>
        <w:r>
          <w:rPr>
            <w:webHidden/>
          </w:rPr>
          <w:instrText xml:space="preserve"> PAGEREF _Toc115884453 \h </w:instrText>
        </w:r>
        <w:r>
          <w:rPr>
            <w:webHidden/>
          </w:rPr>
        </w:r>
        <w:r>
          <w:rPr>
            <w:webHidden/>
          </w:rPr>
          <w:fldChar w:fldCharType="separate"/>
        </w:r>
        <w:r>
          <w:rPr>
            <w:webHidden/>
          </w:rPr>
          <w:t>9</w:t>
        </w:r>
        <w:r>
          <w:rPr>
            <w:webHidden/>
          </w:rPr>
          <w:fldChar w:fldCharType="end"/>
        </w:r>
      </w:hyperlink>
    </w:p>
    <w:p w14:paraId="4446FA97" w14:textId="7D6D04B5"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4" w:history="1">
        <w:r w:rsidRPr="004F67FD">
          <w:rPr>
            <w:rStyle w:val="Hyperlink"/>
          </w:rPr>
          <w:t>6</w:t>
        </w:r>
        <w:r>
          <w:rPr>
            <w:rFonts w:asciiTheme="minorHAnsi" w:eastAsiaTheme="minorEastAsia" w:hAnsiTheme="minorHAnsi" w:cstheme="minorBidi"/>
            <w:b w:val="0"/>
            <w:sz w:val="22"/>
            <w:szCs w:val="22"/>
            <w:lang w:eastAsia="en-AU"/>
          </w:rPr>
          <w:tab/>
        </w:r>
        <w:r w:rsidRPr="004F67FD">
          <w:rPr>
            <w:rStyle w:val="Hyperlink"/>
          </w:rPr>
          <w:t>Monitoring, detecting and investigating non-compliance</w:t>
        </w:r>
        <w:r>
          <w:rPr>
            <w:webHidden/>
          </w:rPr>
          <w:tab/>
        </w:r>
        <w:r>
          <w:rPr>
            <w:webHidden/>
          </w:rPr>
          <w:fldChar w:fldCharType="begin"/>
        </w:r>
        <w:r>
          <w:rPr>
            <w:webHidden/>
          </w:rPr>
          <w:instrText xml:space="preserve"> PAGEREF _Toc115884454 \h </w:instrText>
        </w:r>
        <w:r>
          <w:rPr>
            <w:webHidden/>
          </w:rPr>
        </w:r>
        <w:r>
          <w:rPr>
            <w:webHidden/>
          </w:rPr>
          <w:fldChar w:fldCharType="separate"/>
        </w:r>
        <w:r>
          <w:rPr>
            <w:webHidden/>
          </w:rPr>
          <w:t>11</w:t>
        </w:r>
        <w:r>
          <w:rPr>
            <w:webHidden/>
          </w:rPr>
          <w:fldChar w:fldCharType="end"/>
        </w:r>
      </w:hyperlink>
    </w:p>
    <w:p w14:paraId="72085B74" w14:textId="59D98607"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5" w:history="1">
        <w:r w:rsidRPr="004F67FD">
          <w:rPr>
            <w:rStyle w:val="Hyperlink"/>
          </w:rPr>
          <w:t>7</w:t>
        </w:r>
        <w:r>
          <w:rPr>
            <w:rFonts w:asciiTheme="minorHAnsi" w:eastAsiaTheme="minorEastAsia" w:hAnsiTheme="minorHAnsi" w:cstheme="minorBidi"/>
            <w:b w:val="0"/>
            <w:sz w:val="22"/>
            <w:szCs w:val="22"/>
            <w:lang w:eastAsia="en-AU"/>
          </w:rPr>
          <w:tab/>
        </w:r>
        <w:r w:rsidRPr="004F67FD">
          <w:rPr>
            <w:rStyle w:val="Hyperlink"/>
          </w:rPr>
          <w:t>Actions and sanctions</w:t>
        </w:r>
        <w:r>
          <w:rPr>
            <w:webHidden/>
          </w:rPr>
          <w:tab/>
        </w:r>
        <w:r>
          <w:rPr>
            <w:webHidden/>
          </w:rPr>
          <w:fldChar w:fldCharType="begin"/>
        </w:r>
        <w:r>
          <w:rPr>
            <w:webHidden/>
          </w:rPr>
          <w:instrText xml:space="preserve"> PAGEREF _Toc115884455 \h </w:instrText>
        </w:r>
        <w:r>
          <w:rPr>
            <w:webHidden/>
          </w:rPr>
        </w:r>
        <w:r>
          <w:rPr>
            <w:webHidden/>
          </w:rPr>
          <w:fldChar w:fldCharType="separate"/>
        </w:r>
        <w:r>
          <w:rPr>
            <w:webHidden/>
          </w:rPr>
          <w:t>13</w:t>
        </w:r>
        <w:r>
          <w:rPr>
            <w:webHidden/>
          </w:rPr>
          <w:fldChar w:fldCharType="end"/>
        </w:r>
      </w:hyperlink>
    </w:p>
    <w:p w14:paraId="45A960DC" w14:textId="02BBE1B2" w:rsidR="006C361B" w:rsidRDefault="006C361B">
      <w:pPr>
        <w:pStyle w:val="TOC1"/>
        <w:tabs>
          <w:tab w:val="left" w:pos="567"/>
        </w:tabs>
        <w:rPr>
          <w:rFonts w:asciiTheme="minorHAnsi" w:eastAsiaTheme="minorEastAsia" w:hAnsiTheme="minorHAnsi" w:cstheme="minorBidi"/>
          <w:b w:val="0"/>
          <w:sz w:val="22"/>
          <w:szCs w:val="22"/>
          <w:lang w:eastAsia="en-AU"/>
        </w:rPr>
      </w:pPr>
      <w:hyperlink w:anchor="_Toc115884456" w:history="1">
        <w:r w:rsidRPr="004F67FD">
          <w:rPr>
            <w:rStyle w:val="Hyperlink"/>
          </w:rPr>
          <w:t>8</w:t>
        </w:r>
        <w:r>
          <w:rPr>
            <w:rFonts w:asciiTheme="minorHAnsi" w:eastAsiaTheme="minorEastAsia" w:hAnsiTheme="minorHAnsi" w:cstheme="minorBidi"/>
            <w:b w:val="0"/>
            <w:sz w:val="22"/>
            <w:szCs w:val="22"/>
            <w:lang w:eastAsia="en-AU"/>
          </w:rPr>
          <w:tab/>
        </w:r>
        <w:r w:rsidRPr="004F67FD">
          <w:rPr>
            <w:rStyle w:val="Hyperlink"/>
          </w:rPr>
          <w:t>Case studies</w:t>
        </w:r>
        <w:r>
          <w:rPr>
            <w:webHidden/>
          </w:rPr>
          <w:tab/>
        </w:r>
        <w:r>
          <w:rPr>
            <w:webHidden/>
          </w:rPr>
          <w:fldChar w:fldCharType="begin"/>
        </w:r>
        <w:r>
          <w:rPr>
            <w:webHidden/>
          </w:rPr>
          <w:instrText xml:space="preserve"> PAGEREF _Toc115884456 \h </w:instrText>
        </w:r>
        <w:r>
          <w:rPr>
            <w:webHidden/>
          </w:rPr>
        </w:r>
        <w:r>
          <w:rPr>
            <w:webHidden/>
          </w:rPr>
          <w:fldChar w:fldCharType="separate"/>
        </w:r>
        <w:r>
          <w:rPr>
            <w:webHidden/>
          </w:rPr>
          <w:t>16</w:t>
        </w:r>
        <w:r>
          <w:rPr>
            <w:webHidden/>
          </w:rPr>
          <w:fldChar w:fldCharType="end"/>
        </w:r>
      </w:hyperlink>
    </w:p>
    <w:p w14:paraId="22C5D0A8" w14:textId="0DF5AB2C" w:rsidR="00186689" w:rsidRPr="00D61E08" w:rsidRDefault="0047366B" w:rsidP="00B53013">
      <w:pPr>
        <w:pStyle w:val="BodyText"/>
        <w:sectPr w:rsidR="00186689" w:rsidRPr="00D61E08" w:rsidSect="00186689">
          <w:headerReference w:type="even" r:id="rId12"/>
          <w:headerReference w:type="default" r:id="rId13"/>
          <w:footerReference w:type="even" r:id="rId14"/>
          <w:footerReference w:type="default" r:id="rId15"/>
          <w:headerReference w:type="first" r:id="rId16"/>
          <w:footerReference w:type="first" r:id="rId17"/>
          <w:pgSz w:w="11906" w:h="16838"/>
          <w:pgMar w:top="1701" w:right="1304" w:bottom="1134" w:left="1304" w:header="454" w:footer="510" w:gutter="0"/>
          <w:pgNumType w:fmt="lowerRoman" w:start="1"/>
          <w:cols w:space="720"/>
          <w:docGrid w:linePitch="360"/>
        </w:sectPr>
      </w:pPr>
      <w:r>
        <w:rPr>
          <w:b/>
        </w:rPr>
        <w:fldChar w:fldCharType="end"/>
      </w:r>
    </w:p>
    <w:p w14:paraId="19E2730F" w14:textId="77777777" w:rsidR="00323DF0" w:rsidRDefault="00323DF0" w:rsidP="0047366B">
      <w:pPr>
        <w:pStyle w:val="Heading1NoNumber"/>
      </w:pPr>
      <w:bookmarkStart w:id="0" w:name="_Toc115884448"/>
      <w:r>
        <w:lastRenderedPageBreak/>
        <w:t>Glossary</w:t>
      </w:r>
      <w:bookmarkStart w:id="1" w:name="glossary"/>
      <w:bookmarkEnd w:id="1"/>
      <w:bookmarkEnd w:id="0"/>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48"/>
        <w:gridCol w:w="7532"/>
      </w:tblGrid>
      <w:tr w:rsidR="00323DF0" w:rsidRPr="00906B70" w14:paraId="02C7A50A" w14:textId="77777777" w:rsidTr="41FD14AD">
        <w:trPr>
          <w:tblHeader/>
        </w:trPr>
        <w:tc>
          <w:tcPr>
            <w:tcW w:w="1648" w:type="dxa"/>
            <w:shd w:val="clear" w:color="auto" w:fill="FFFFFF" w:themeFill="background1"/>
            <w:vAlign w:val="center"/>
          </w:tcPr>
          <w:p w14:paraId="1F64B881" w14:textId="77777777" w:rsidR="00323DF0" w:rsidRPr="00906B70" w:rsidRDefault="00323DF0" w:rsidP="00472DF3">
            <w:pPr>
              <w:pStyle w:val="DHHStablecolhead"/>
            </w:pPr>
            <w:r>
              <w:t>Term</w:t>
            </w:r>
          </w:p>
        </w:tc>
        <w:tc>
          <w:tcPr>
            <w:tcW w:w="7532" w:type="dxa"/>
            <w:shd w:val="clear" w:color="auto" w:fill="FFFFFF" w:themeFill="background1"/>
          </w:tcPr>
          <w:p w14:paraId="7606ED39" w14:textId="77777777" w:rsidR="00323DF0" w:rsidRPr="00906B70" w:rsidRDefault="00323DF0" w:rsidP="00472DF3">
            <w:pPr>
              <w:pStyle w:val="DHHStablecolhead"/>
            </w:pPr>
            <w:r>
              <w:t>Definition</w:t>
            </w:r>
          </w:p>
        </w:tc>
      </w:tr>
      <w:tr w:rsidR="332AA67E" w14:paraId="0F481762" w14:textId="77777777" w:rsidTr="41FD14AD">
        <w:trPr>
          <w:trHeight w:val="675"/>
        </w:trPr>
        <w:tc>
          <w:tcPr>
            <w:tcW w:w="1648" w:type="dxa"/>
            <w:shd w:val="clear" w:color="auto" w:fill="auto"/>
          </w:tcPr>
          <w:p w14:paraId="055BCD45" w14:textId="41F1CFBD" w:rsidR="1B7B34CA" w:rsidRDefault="1B7B34CA" w:rsidP="00946BF5">
            <w:pPr>
              <w:spacing w:before="80" w:after="60" w:line="259" w:lineRule="auto"/>
              <w:rPr>
                <w:b/>
                <w:bCs/>
                <w:sz w:val="16"/>
                <w:szCs w:val="16"/>
              </w:rPr>
            </w:pPr>
            <w:r w:rsidRPr="41FD14AD">
              <w:rPr>
                <w:b/>
                <w:bCs/>
                <w:sz w:val="16"/>
                <w:szCs w:val="16"/>
              </w:rPr>
              <w:t>Better Regulatory Practice Framework</w:t>
            </w:r>
          </w:p>
        </w:tc>
        <w:tc>
          <w:tcPr>
            <w:tcW w:w="7532" w:type="dxa"/>
          </w:tcPr>
          <w:p w14:paraId="66D85B34" w14:textId="59B79BBB" w:rsidR="332AA67E" w:rsidRDefault="6A95509E" w:rsidP="00946BF5">
            <w:pPr>
              <w:pStyle w:val="DHHSbody"/>
              <w:rPr>
                <w:sz w:val="16"/>
                <w:szCs w:val="16"/>
              </w:rPr>
            </w:pPr>
            <w:r w:rsidRPr="41FD14AD">
              <w:rPr>
                <w:sz w:val="16"/>
                <w:szCs w:val="16"/>
              </w:rPr>
              <w:t>The framework that sets o</w:t>
            </w:r>
            <w:r w:rsidR="2F1C9A12" w:rsidRPr="41FD14AD">
              <w:rPr>
                <w:sz w:val="16"/>
                <w:szCs w:val="16"/>
              </w:rPr>
              <w:t>ut</w:t>
            </w:r>
            <w:r w:rsidRPr="41FD14AD">
              <w:rPr>
                <w:sz w:val="16"/>
                <w:szCs w:val="16"/>
              </w:rPr>
              <w:t xml:space="preserve"> the principles that the Department’s regulator</w:t>
            </w:r>
            <w:r w:rsidR="1BB0C190" w:rsidRPr="41FD14AD">
              <w:rPr>
                <w:sz w:val="16"/>
                <w:szCs w:val="16"/>
              </w:rPr>
              <w:t>s</w:t>
            </w:r>
            <w:r w:rsidRPr="41FD14AD">
              <w:rPr>
                <w:sz w:val="16"/>
                <w:szCs w:val="16"/>
              </w:rPr>
              <w:t xml:space="preserve"> use to </w:t>
            </w:r>
            <w:r w:rsidR="54A37DB9" w:rsidRPr="41FD14AD">
              <w:rPr>
                <w:sz w:val="16"/>
                <w:szCs w:val="16"/>
              </w:rPr>
              <w:t xml:space="preserve">achieve their Outcomes. </w:t>
            </w:r>
            <w:hyperlink r:id="rId18" w:history="1">
              <w:r w:rsidR="54A37DB9" w:rsidRPr="41FD14AD">
                <w:rPr>
                  <w:rStyle w:val="Hyperlink"/>
                  <w:sz w:val="16"/>
                  <w:szCs w:val="16"/>
                </w:rPr>
                <w:t>https://dhhs.vic.gov.au/better-regulatory-practice-framework</w:t>
              </w:r>
            </w:hyperlink>
          </w:p>
        </w:tc>
      </w:tr>
      <w:tr w:rsidR="00546081" w:rsidRPr="00906B70" w14:paraId="6F3214F9" w14:textId="77777777" w:rsidTr="41FD14AD">
        <w:trPr>
          <w:trHeight w:val="675"/>
        </w:trPr>
        <w:tc>
          <w:tcPr>
            <w:tcW w:w="1648" w:type="dxa"/>
            <w:shd w:val="clear" w:color="auto" w:fill="auto"/>
          </w:tcPr>
          <w:p w14:paraId="40131187" w14:textId="77777777" w:rsidR="00546081" w:rsidRPr="00906B70" w:rsidRDefault="00546081" w:rsidP="00472DF3">
            <w:pPr>
              <w:spacing w:before="80" w:after="60"/>
              <w:rPr>
                <w:b/>
                <w:sz w:val="16"/>
              </w:rPr>
            </w:pPr>
            <w:r>
              <w:rPr>
                <w:b/>
                <w:sz w:val="16"/>
              </w:rPr>
              <w:t>Co-regulator</w:t>
            </w:r>
          </w:p>
        </w:tc>
        <w:tc>
          <w:tcPr>
            <w:tcW w:w="7532" w:type="dxa"/>
          </w:tcPr>
          <w:p w14:paraId="369437EB" w14:textId="77777777" w:rsidR="00546081" w:rsidRPr="00EA3BB1" w:rsidRDefault="00546081" w:rsidP="000229BE">
            <w:pPr>
              <w:pStyle w:val="DHHSbody"/>
              <w:rPr>
                <w:sz w:val="16"/>
              </w:rPr>
            </w:pPr>
            <w:r>
              <w:rPr>
                <w:sz w:val="16"/>
              </w:rPr>
              <w:t xml:space="preserve">Any national, other State or Territory, or Victorian regulator that has complementary objectives or functions, and/or the same regulated entities. For example, the </w:t>
            </w:r>
            <w:r w:rsidRPr="009E5609">
              <w:rPr>
                <w:sz w:val="16"/>
              </w:rPr>
              <w:t>Australian Health Practitioner Regulation Agency</w:t>
            </w:r>
            <w:r w:rsidR="00201149">
              <w:rPr>
                <w:sz w:val="16"/>
              </w:rPr>
              <w:t>, the Health Complaints Commissioner</w:t>
            </w:r>
            <w:r>
              <w:rPr>
                <w:sz w:val="16"/>
              </w:rPr>
              <w:t xml:space="preserve"> or Victoria Police.</w:t>
            </w:r>
          </w:p>
        </w:tc>
      </w:tr>
      <w:tr w:rsidR="00546081" w:rsidRPr="00906B70" w14:paraId="36173053" w14:textId="77777777" w:rsidTr="41FD14AD">
        <w:trPr>
          <w:trHeight w:val="195"/>
        </w:trPr>
        <w:tc>
          <w:tcPr>
            <w:tcW w:w="1648" w:type="dxa"/>
            <w:shd w:val="clear" w:color="auto" w:fill="auto"/>
          </w:tcPr>
          <w:p w14:paraId="6F5B9628" w14:textId="77777777" w:rsidR="00546081" w:rsidRDefault="00546081" w:rsidP="00472DF3">
            <w:pPr>
              <w:spacing w:before="80" w:after="60"/>
              <w:rPr>
                <w:b/>
                <w:sz w:val="16"/>
              </w:rPr>
            </w:pPr>
            <w:r>
              <w:rPr>
                <w:b/>
                <w:sz w:val="16"/>
              </w:rPr>
              <w:t>Compliance</w:t>
            </w:r>
          </w:p>
        </w:tc>
        <w:tc>
          <w:tcPr>
            <w:tcW w:w="7532" w:type="dxa"/>
          </w:tcPr>
          <w:p w14:paraId="279C668E" w14:textId="0AC21A14" w:rsidR="00546081" w:rsidRDefault="225DCAAF" w:rsidP="3B23E3B6">
            <w:pPr>
              <w:pStyle w:val="DHHSbody"/>
              <w:rPr>
                <w:sz w:val="16"/>
                <w:szCs w:val="16"/>
              </w:rPr>
            </w:pPr>
            <w:r w:rsidRPr="41FD14AD">
              <w:rPr>
                <w:sz w:val="16"/>
                <w:szCs w:val="16"/>
              </w:rPr>
              <w:t>The act of conforming to a rule (e.g. policy, standard or law).</w:t>
            </w:r>
          </w:p>
        </w:tc>
      </w:tr>
      <w:tr w:rsidR="00546081" w:rsidRPr="00906B70" w14:paraId="5C191329" w14:textId="77777777" w:rsidTr="41FD14AD">
        <w:tc>
          <w:tcPr>
            <w:tcW w:w="1648" w:type="dxa"/>
            <w:shd w:val="clear" w:color="auto" w:fill="auto"/>
          </w:tcPr>
          <w:p w14:paraId="32A5B8B8" w14:textId="77777777" w:rsidR="00546081" w:rsidRDefault="00546081" w:rsidP="00472DF3">
            <w:pPr>
              <w:spacing w:before="80" w:after="60"/>
              <w:rPr>
                <w:b/>
                <w:sz w:val="16"/>
              </w:rPr>
            </w:pPr>
            <w:r w:rsidRPr="009E5609">
              <w:rPr>
                <w:b/>
                <w:sz w:val="16"/>
              </w:rPr>
              <w:t>Drug of dependence</w:t>
            </w:r>
          </w:p>
        </w:tc>
        <w:tc>
          <w:tcPr>
            <w:tcW w:w="7532" w:type="dxa"/>
          </w:tcPr>
          <w:p w14:paraId="1AAC3925" w14:textId="77777777" w:rsidR="00546081" w:rsidRDefault="40CAF736" w:rsidP="41FD14AD">
            <w:pPr>
              <w:pStyle w:val="DHHSbody"/>
              <w:rPr>
                <w:sz w:val="16"/>
                <w:szCs w:val="16"/>
              </w:rPr>
            </w:pPr>
            <w:r w:rsidRPr="41FD14AD">
              <w:rPr>
                <w:sz w:val="16"/>
                <w:szCs w:val="16"/>
              </w:rPr>
              <w:t xml:space="preserve">In Victoria, the term ‘drug of dependence’ is used to describe substances, listed in Schedule 11 to the </w:t>
            </w:r>
            <w:r w:rsidRPr="41FD14AD">
              <w:rPr>
                <w:i/>
                <w:iCs/>
                <w:sz w:val="16"/>
                <w:szCs w:val="16"/>
              </w:rPr>
              <w:t>Drugs, Poisons and Controlled Substances Act 1981</w:t>
            </w:r>
            <w:r w:rsidRPr="41FD14AD">
              <w:rPr>
                <w:sz w:val="16"/>
                <w:szCs w:val="16"/>
              </w:rPr>
              <w:t xml:space="preserve">, which are known to be subject to misuse and trafficking. The term is not limited to Schedule 8 poisons as some Schedule 4 poisons (e.g. benzodiazepines, pseudoephedrine, testosterone and other anabolic steroids) are also classified as drugs of dependence. </w:t>
            </w:r>
          </w:p>
        </w:tc>
      </w:tr>
      <w:tr w:rsidR="00546081" w:rsidRPr="00906B70" w14:paraId="0F393BBF" w14:textId="77777777" w:rsidTr="41FD14AD">
        <w:tc>
          <w:tcPr>
            <w:tcW w:w="1648" w:type="dxa"/>
            <w:shd w:val="clear" w:color="auto" w:fill="auto"/>
          </w:tcPr>
          <w:p w14:paraId="4900FA1D" w14:textId="77777777" w:rsidR="00546081" w:rsidRDefault="00546081" w:rsidP="00472DF3">
            <w:pPr>
              <w:spacing w:before="80" w:after="60"/>
              <w:rPr>
                <w:b/>
                <w:sz w:val="16"/>
              </w:rPr>
            </w:pPr>
            <w:r>
              <w:rPr>
                <w:b/>
                <w:sz w:val="16"/>
              </w:rPr>
              <w:t>Enforcement</w:t>
            </w:r>
          </w:p>
        </w:tc>
        <w:tc>
          <w:tcPr>
            <w:tcW w:w="7532" w:type="dxa"/>
          </w:tcPr>
          <w:p w14:paraId="45880BCB" w14:textId="77777777" w:rsidR="00546081" w:rsidRDefault="00546081" w:rsidP="000229BE">
            <w:pPr>
              <w:pStyle w:val="DHHSbody"/>
              <w:rPr>
                <w:sz w:val="16"/>
              </w:rPr>
            </w:pPr>
            <w:r w:rsidRPr="000229BE">
              <w:rPr>
                <w:sz w:val="16"/>
              </w:rPr>
              <w:t>The actions or resources that regulators use in order to manage or respond to risk (for example a warning letter or undertaking inspections).</w:t>
            </w:r>
          </w:p>
        </w:tc>
      </w:tr>
      <w:tr w:rsidR="000669ED" w:rsidRPr="00906B70" w14:paraId="6A55CA9A" w14:textId="77777777" w:rsidTr="41FD14AD">
        <w:tc>
          <w:tcPr>
            <w:tcW w:w="1648" w:type="dxa"/>
            <w:shd w:val="clear" w:color="auto" w:fill="auto"/>
          </w:tcPr>
          <w:p w14:paraId="21B5CF6D" w14:textId="77777777" w:rsidR="000669ED" w:rsidRPr="004409A2" w:rsidRDefault="000669ED" w:rsidP="000669ED">
            <w:pPr>
              <w:spacing w:before="80" w:after="60"/>
              <w:rPr>
                <w:b/>
                <w:sz w:val="16"/>
              </w:rPr>
            </w:pPr>
            <w:r w:rsidRPr="004409A2">
              <w:rPr>
                <w:b/>
                <w:sz w:val="16"/>
              </w:rPr>
              <w:t>Monitored poisons</w:t>
            </w:r>
          </w:p>
        </w:tc>
        <w:tc>
          <w:tcPr>
            <w:tcW w:w="7532" w:type="dxa"/>
          </w:tcPr>
          <w:p w14:paraId="56E3558C" w14:textId="7C71A277" w:rsidR="000669ED" w:rsidRPr="004409A2" w:rsidRDefault="3D434969" w:rsidP="3B23E3B6">
            <w:pPr>
              <w:pStyle w:val="DHHSbody"/>
              <w:rPr>
                <w:sz w:val="16"/>
                <w:szCs w:val="16"/>
              </w:rPr>
            </w:pPr>
            <w:r w:rsidRPr="41FD14AD">
              <w:rPr>
                <w:sz w:val="16"/>
                <w:szCs w:val="16"/>
              </w:rPr>
              <w:t xml:space="preserve">High risk medicines for which records relating to their </w:t>
            </w:r>
            <w:r w:rsidR="5B6688A9" w:rsidRPr="41FD14AD">
              <w:rPr>
                <w:sz w:val="16"/>
                <w:szCs w:val="16"/>
              </w:rPr>
              <w:t xml:space="preserve">prescribing or </w:t>
            </w:r>
            <w:r w:rsidRPr="41FD14AD">
              <w:rPr>
                <w:sz w:val="16"/>
                <w:szCs w:val="16"/>
              </w:rPr>
              <w:t>supply are included in SafeScript</w:t>
            </w:r>
            <w:r w:rsidR="0010208C">
              <w:rPr>
                <w:sz w:val="16"/>
                <w:szCs w:val="16"/>
              </w:rPr>
              <w:t xml:space="preserve">. The medicines </w:t>
            </w:r>
            <w:r w:rsidRPr="41FD14AD">
              <w:rPr>
                <w:sz w:val="16"/>
                <w:szCs w:val="16"/>
              </w:rPr>
              <w:t xml:space="preserve">are </w:t>
            </w:r>
            <w:r w:rsidR="792DFFAC" w:rsidRPr="41FD14AD">
              <w:rPr>
                <w:sz w:val="16"/>
                <w:szCs w:val="16"/>
              </w:rPr>
              <w:t xml:space="preserve">listed in Schedule 5 of </w:t>
            </w:r>
            <w:r w:rsidR="792DFFAC" w:rsidRPr="00713F59">
              <w:rPr>
                <w:sz w:val="16"/>
                <w:szCs w:val="16"/>
              </w:rPr>
              <w:t>the Drugs, Poisons and Controlled Substances Regulations 2017.</w:t>
            </w:r>
            <w:r w:rsidR="792DFFAC" w:rsidRPr="41FD14AD">
              <w:rPr>
                <w:sz w:val="16"/>
                <w:szCs w:val="16"/>
              </w:rPr>
              <w:t xml:space="preserve"> </w:t>
            </w:r>
          </w:p>
        </w:tc>
      </w:tr>
      <w:tr w:rsidR="000669ED" w:rsidRPr="00906B70" w14:paraId="1E8208AC" w14:textId="77777777" w:rsidTr="41FD14AD">
        <w:tc>
          <w:tcPr>
            <w:tcW w:w="1648" w:type="dxa"/>
            <w:shd w:val="clear" w:color="auto" w:fill="auto"/>
          </w:tcPr>
          <w:p w14:paraId="784A619D" w14:textId="77777777" w:rsidR="000669ED" w:rsidRPr="004409A2" w:rsidRDefault="000669ED" w:rsidP="00472DF3">
            <w:pPr>
              <w:spacing w:before="80" w:after="60"/>
              <w:rPr>
                <w:b/>
                <w:sz w:val="16"/>
              </w:rPr>
            </w:pPr>
            <w:r w:rsidRPr="004409A2">
              <w:rPr>
                <w:b/>
                <w:sz w:val="16"/>
              </w:rPr>
              <w:t>Monitored supply poisons</w:t>
            </w:r>
          </w:p>
        </w:tc>
        <w:tc>
          <w:tcPr>
            <w:tcW w:w="7532" w:type="dxa"/>
          </w:tcPr>
          <w:p w14:paraId="588FC4E9" w14:textId="3D6240C7" w:rsidR="000669ED" w:rsidRPr="004409A2" w:rsidRDefault="26840033" w:rsidP="41FD14AD">
            <w:pPr>
              <w:pStyle w:val="DHHSbody"/>
              <w:rPr>
                <w:sz w:val="16"/>
                <w:szCs w:val="16"/>
              </w:rPr>
            </w:pPr>
            <w:r w:rsidRPr="41FD14AD">
              <w:rPr>
                <w:sz w:val="16"/>
                <w:szCs w:val="16"/>
              </w:rPr>
              <w:t xml:space="preserve">Medicines where prescribers and pharmacists are required to </w:t>
            </w:r>
            <w:r w:rsidR="2AC2075D" w:rsidRPr="41FD14AD">
              <w:rPr>
                <w:sz w:val="16"/>
                <w:szCs w:val="16"/>
              </w:rPr>
              <w:t xml:space="preserve">take all reasonable steps to </w:t>
            </w:r>
            <w:r w:rsidRPr="41FD14AD">
              <w:rPr>
                <w:sz w:val="16"/>
                <w:szCs w:val="16"/>
              </w:rPr>
              <w:t>check SafeScript prior to their prescribing or supply</w:t>
            </w:r>
            <w:r w:rsidR="0010208C">
              <w:rPr>
                <w:sz w:val="16"/>
                <w:szCs w:val="16"/>
              </w:rPr>
              <w:t>. The medicin</w:t>
            </w:r>
            <w:r w:rsidR="0010208C" w:rsidRPr="00713F59">
              <w:rPr>
                <w:sz w:val="16"/>
                <w:szCs w:val="16"/>
              </w:rPr>
              <w:t xml:space="preserve">es </w:t>
            </w:r>
            <w:r w:rsidRPr="00713F59">
              <w:rPr>
                <w:sz w:val="16"/>
                <w:szCs w:val="16"/>
              </w:rPr>
              <w:t>are listed in Schedule 6 of the Drugs, Poisons and Controlled Substances Regulations 2017.</w:t>
            </w:r>
          </w:p>
        </w:tc>
      </w:tr>
      <w:tr w:rsidR="00546081" w:rsidRPr="00906B70" w14:paraId="5F6FA1E5" w14:textId="77777777" w:rsidTr="41FD14AD">
        <w:tc>
          <w:tcPr>
            <w:tcW w:w="1648" w:type="dxa"/>
            <w:shd w:val="clear" w:color="auto" w:fill="auto"/>
          </w:tcPr>
          <w:p w14:paraId="7D9362C8" w14:textId="77777777" w:rsidR="00546081" w:rsidRPr="004409A2" w:rsidRDefault="00546081" w:rsidP="00472DF3">
            <w:pPr>
              <w:spacing w:before="80" w:after="60"/>
              <w:rPr>
                <w:b/>
                <w:sz w:val="16"/>
              </w:rPr>
            </w:pPr>
            <w:r w:rsidRPr="004409A2">
              <w:rPr>
                <w:b/>
                <w:sz w:val="16"/>
              </w:rPr>
              <w:t>Risk-based</w:t>
            </w:r>
          </w:p>
        </w:tc>
        <w:tc>
          <w:tcPr>
            <w:tcW w:w="7532" w:type="dxa"/>
          </w:tcPr>
          <w:p w14:paraId="1A418A9E" w14:textId="7AAFC239" w:rsidR="00546081" w:rsidRPr="004409A2" w:rsidRDefault="225DCAAF" w:rsidP="3B23E3B6">
            <w:pPr>
              <w:pStyle w:val="DHHSbody"/>
              <w:rPr>
                <w:sz w:val="16"/>
                <w:szCs w:val="16"/>
              </w:rPr>
            </w:pPr>
            <w:r w:rsidRPr="41FD14AD">
              <w:rPr>
                <w:sz w:val="16"/>
                <w:szCs w:val="16"/>
              </w:rPr>
              <w:t>An approach to regulation that is proactive in identifying, assessing and responding to risk, prioritising and targeting resources toward specific groups or behaviours that pose the greatest risk to Outcomes.</w:t>
            </w:r>
          </w:p>
        </w:tc>
      </w:tr>
      <w:tr w:rsidR="00546081" w:rsidRPr="00906B70" w14:paraId="05A37DED" w14:textId="77777777" w:rsidTr="41FD14AD">
        <w:tc>
          <w:tcPr>
            <w:tcW w:w="1648" w:type="dxa"/>
            <w:shd w:val="clear" w:color="auto" w:fill="auto"/>
          </w:tcPr>
          <w:p w14:paraId="58A2A781" w14:textId="77777777" w:rsidR="00546081" w:rsidRPr="004409A2" w:rsidRDefault="225DCAAF" w:rsidP="3B23E3B6">
            <w:pPr>
              <w:spacing w:before="80" w:after="60"/>
              <w:rPr>
                <w:b/>
                <w:bCs/>
                <w:sz w:val="16"/>
                <w:szCs w:val="16"/>
              </w:rPr>
            </w:pPr>
            <w:r w:rsidRPr="41FD14AD">
              <w:rPr>
                <w:b/>
                <w:bCs/>
                <w:sz w:val="16"/>
                <w:szCs w:val="16"/>
              </w:rPr>
              <w:t>Outcomes</w:t>
            </w:r>
          </w:p>
        </w:tc>
        <w:tc>
          <w:tcPr>
            <w:tcW w:w="7532" w:type="dxa"/>
          </w:tcPr>
          <w:p w14:paraId="7300ED7B" w14:textId="77777777" w:rsidR="00546081" w:rsidRPr="004409A2" w:rsidRDefault="00546081" w:rsidP="00472DF3">
            <w:pPr>
              <w:pStyle w:val="DHHSbody"/>
              <w:rPr>
                <w:sz w:val="16"/>
              </w:rPr>
            </w:pPr>
            <w:r w:rsidRPr="004409A2">
              <w:rPr>
                <w:sz w:val="16"/>
              </w:rPr>
              <w:t>The change in the community that the regulator is seeking to achieve, which should be specifically related to harms (including physical harms, emotional harms, economic or financial harms, psychological harms, environmental harms and social harms).</w:t>
            </w:r>
          </w:p>
        </w:tc>
      </w:tr>
      <w:tr w:rsidR="00196A98" w:rsidRPr="00906B70" w14:paraId="7E8863FE" w14:textId="77777777" w:rsidTr="41FD14AD">
        <w:tc>
          <w:tcPr>
            <w:tcW w:w="1648" w:type="dxa"/>
            <w:shd w:val="clear" w:color="auto" w:fill="auto"/>
          </w:tcPr>
          <w:p w14:paraId="6C22927C" w14:textId="77777777" w:rsidR="00196A98" w:rsidRPr="004409A2" w:rsidRDefault="00196A98" w:rsidP="00472DF3">
            <w:pPr>
              <w:spacing w:before="80" w:after="60"/>
              <w:rPr>
                <w:b/>
                <w:sz w:val="16"/>
              </w:rPr>
            </w:pPr>
            <w:r w:rsidRPr="004409A2">
              <w:rPr>
                <w:b/>
                <w:sz w:val="16"/>
              </w:rPr>
              <w:t>SafeScript</w:t>
            </w:r>
          </w:p>
        </w:tc>
        <w:tc>
          <w:tcPr>
            <w:tcW w:w="7532" w:type="dxa"/>
          </w:tcPr>
          <w:p w14:paraId="055A9164" w14:textId="44DD0806" w:rsidR="00196A98" w:rsidRPr="004409A2" w:rsidRDefault="2582CC4D" w:rsidP="3B23E3B6">
            <w:pPr>
              <w:pStyle w:val="DHHSbody"/>
              <w:rPr>
                <w:sz w:val="16"/>
                <w:szCs w:val="16"/>
              </w:rPr>
            </w:pPr>
            <w:r w:rsidRPr="41FD14AD">
              <w:rPr>
                <w:sz w:val="16"/>
                <w:szCs w:val="16"/>
              </w:rPr>
              <w:t>SafeScript is</w:t>
            </w:r>
            <w:r w:rsidR="1C239DE0" w:rsidRPr="41FD14AD">
              <w:rPr>
                <w:sz w:val="16"/>
                <w:szCs w:val="16"/>
              </w:rPr>
              <w:t xml:space="preserve"> a</w:t>
            </w:r>
            <w:r w:rsidR="4A52CD13" w:rsidRPr="41FD14AD">
              <w:rPr>
                <w:sz w:val="16"/>
                <w:szCs w:val="16"/>
              </w:rPr>
              <w:t xml:space="preserve"> real-time centralised </w:t>
            </w:r>
            <w:r w:rsidR="0010208C">
              <w:rPr>
                <w:sz w:val="16"/>
                <w:szCs w:val="16"/>
              </w:rPr>
              <w:t>IT system</w:t>
            </w:r>
            <w:r w:rsidRPr="41FD14AD">
              <w:rPr>
                <w:sz w:val="16"/>
                <w:szCs w:val="16"/>
              </w:rPr>
              <w:t xml:space="preserve"> that </w:t>
            </w:r>
            <w:r w:rsidR="385C2EC1" w:rsidRPr="41FD14AD">
              <w:rPr>
                <w:sz w:val="16"/>
                <w:szCs w:val="16"/>
              </w:rPr>
              <w:t xml:space="preserve">contains </w:t>
            </w:r>
            <w:r w:rsidRPr="41FD14AD">
              <w:rPr>
                <w:sz w:val="16"/>
                <w:szCs w:val="16"/>
              </w:rPr>
              <w:t>prescri</w:t>
            </w:r>
            <w:r w:rsidR="0010208C">
              <w:rPr>
                <w:sz w:val="16"/>
                <w:szCs w:val="16"/>
              </w:rPr>
              <w:t>bing and dispensing</w:t>
            </w:r>
            <w:r w:rsidRPr="41FD14AD">
              <w:rPr>
                <w:sz w:val="16"/>
                <w:szCs w:val="16"/>
              </w:rPr>
              <w:t xml:space="preserve"> records for </w:t>
            </w:r>
            <w:r w:rsidR="3501EEA8" w:rsidRPr="41FD14AD">
              <w:rPr>
                <w:sz w:val="16"/>
                <w:szCs w:val="16"/>
              </w:rPr>
              <w:t>Monitored</w:t>
            </w:r>
            <w:r w:rsidR="04FF1175" w:rsidRPr="41FD14AD">
              <w:rPr>
                <w:sz w:val="16"/>
                <w:szCs w:val="16"/>
              </w:rPr>
              <w:t xml:space="preserve"> poisons</w:t>
            </w:r>
            <w:r w:rsidR="3501EEA8" w:rsidRPr="41FD14AD">
              <w:rPr>
                <w:sz w:val="16"/>
                <w:szCs w:val="16"/>
              </w:rPr>
              <w:t xml:space="preserve"> </w:t>
            </w:r>
            <w:r w:rsidRPr="41FD14AD">
              <w:rPr>
                <w:sz w:val="16"/>
                <w:szCs w:val="16"/>
              </w:rPr>
              <w:t xml:space="preserve">transmitted in real-time which can then be accessed by </w:t>
            </w:r>
            <w:r w:rsidR="40785A3A" w:rsidRPr="41FD14AD">
              <w:rPr>
                <w:sz w:val="16"/>
                <w:szCs w:val="16"/>
              </w:rPr>
              <w:t xml:space="preserve">medical practitioners, nurse practitioners </w:t>
            </w:r>
            <w:r w:rsidRPr="41FD14AD">
              <w:rPr>
                <w:sz w:val="16"/>
                <w:szCs w:val="16"/>
              </w:rPr>
              <w:t>and pharmacists during a consultation.</w:t>
            </w:r>
          </w:p>
        </w:tc>
      </w:tr>
      <w:tr w:rsidR="00546081" w:rsidRPr="00906B70" w14:paraId="39C5CED5" w14:textId="77777777" w:rsidTr="41FD14AD">
        <w:tc>
          <w:tcPr>
            <w:tcW w:w="1648" w:type="dxa"/>
            <w:shd w:val="clear" w:color="auto" w:fill="auto"/>
          </w:tcPr>
          <w:p w14:paraId="51711017" w14:textId="77777777" w:rsidR="00546081" w:rsidRPr="004409A2" w:rsidRDefault="00546081" w:rsidP="00472DF3">
            <w:pPr>
              <w:spacing w:before="80" w:after="60"/>
              <w:rPr>
                <w:b/>
                <w:sz w:val="16"/>
              </w:rPr>
            </w:pPr>
            <w:r w:rsidRPr="004409A2">
              <w:rPr>
                <w:b/>
                <w:sz w:val="16"/>
              </w:rPr>
              <w:t>Schedule 4 medicines</w:t>
            </w:r>
          </w:p>
        </w:tc>
        <w:tc>
          <w:tcPr>
            <w:tcW w:w="7532" w:type="dxa"/>
          </w:tcPr>
          <w:p w14:paraId="79833644" w14:textId="2C94D871" w:rsidR="00546081" w:rsidRPr="004409A2" w:rsidRDefault="225DCAAF" w:rsidP="3B23E3B6">
            <w:pPr>
              <w:pStyle w:val="DHHSbody"/>
              <w:rPr>
                <w:sz w:val="16"/>
                <w:szCs w:val="16"/>
              </w:rPr>
            </w:pPr>
            <w:r w:rsidRPr="41FD14AD">
              <w:rPr>
                <w:sz w:val="16"/>
                <w:szCs w:val="16"/>
              </w:rPr>
              <w:t xml:space="preserve">Substances listed in </w:t>
            </w:r>
            <w:r w:rsidR="40785A3A" w:rsidRPr="41FD14AD">
              <w:rPr>
                <w:sz w:val="16"/>
                <w:szCs w:val="16"/>
              </w:rPr>
              <w:t xml:space="preserve">schedule 4 </w:t>
            </w:r>
            <w:r w:rsidRPr="41FD14AD">
              <w:rPr>
                <w:sz w:val="16"/>
                <w:szCs w:val="16"/>
              </w:rPr>
              <w:t xml:space="preserve">of the Poisons Standard. They include a </w:t>
            </w:r>
            <w:r w:rsidR="32BEC1BF" w:rsidRPr="41FD14AD">
              <w:rPr>
                <w:sz w:val="16"/>
                <w:szCs w:val="16"/>
              </w:rPr>
              <w:t xml:space="preserve">broad </w:t>
            </w:r>
            <w:r w:rsidRPr="41FD14AD">
              <w:rPr>
                <w:sz w:val="16"/>
                <w:szCs w:val="16"/>
              </w:rPr>
              <w:t xml:space="preserve">array of medicines available with a medical prescription. They also include a number of specified high-risk medicines </w:t>
            </w:r>
            <w:r w:rsidR="3EA63F4E" w:rsidRPr="41FD14AD">
              <w:rPr>
                <w:sz w:val="16"/>
                <w:szCs w:val="16"/>
              </w:rPr>
              <w:t>that</w:t>
            </w:r>
            <w:r w:rsidRPr="41FD14AD">
              <w:rPr>
                <w:sz w:val="16"/>
                <w:szCs w:val="16"/>
              </w:rPr>
              <w:t xml:space="preserve"> a specialist health practitioner </w:t>
            </w:r>
            <w:r w:rsidR="3EA63F4E" w:rsidRPr="41FD14AD">
              <w:rPr>
                <w:sz w:val="16"/>
                <w:szCs w:val="16"/>
              </w:rPr>
              <w:t>must</w:t>
            </w:r>
            <w:r w:rsidRPr="41FD14AD">
              <w:rPr>
                <w:sz w:val="16"/>
                <w:szCs w:val="16"/>
              </w:rPr>
              <w:t xml:space="preserve"> apply </w:t>
            </w:r>
            <w:r w:rsidR="3EA63F4E" w:rsidRPr="41FD14AD">
              <w:rPr>
                <w:sz w:val="16"/>
                <w:szCs w:val="16"/>
              </w:rPr>
              <w:t>to the department for a warrant to prescribe.</w:t>
            </w:r>
            <w:r w:rsidRPr="41FD14AD">
              <w:rPr>
                <w:sz w:val="16"/>
                <w:szCs w:val="16"/>
              </w:rPr>
              <w:t xml:space="preserve"> </w:t>
            </w:r>
            <w:r w:rsidR="3EA63F4E" w:rsidRPr="41FD14AD">
              <w:rPr>
                <w:sz w:val="16"/>
                <w:szCs w:val="16"/>
              </w:rPr>
              <w:t xml:space="preserve">They are labelled as </w:t>
            </w:r>
            <w:r w:rsidRPr="41FD14AD">
              <w:rPr>
                <w:sz w:val="16"/>
                <w:szCs w:val="16"/>
              </w:rPr>
              <w:t xml:space="preserve">‘Prescription Only Medicine’ or </w:t>
            </w:r>
            <w:r w:rsidR="52B50C69" w:rsidRPr="41FD14AD">
              <w:rPr>
                <w:sz w:val="16"/>
                <w:szCs w:val="16"/>
              </w:rPr>
              <w:t>‘</w:t>
            </w:r>
            <w:r w:rsidRPr="41FD14AD">
              <w:rPr>
                <w:sz w:val="16"/>
                <w:szCs w:val="16"/>
              </w:rPr>
              <w:t>Prescription Animal Remedy’.</w:t>
            </w:r>
          </w:p>
        </w:tc>
      </w:tr>
      <w:tr w:rsidR="00546081" w:rsidRPr="00906B70" w14:paraId="432809DC" w14:textId="77777777" w:rsidTr="41FD14AD">
        <w:tc>
          <w:tcPr>
            <w:tcW w:w="1648" w:type="dxa"/>
            <w:shd w:val="clear" w:color="auto" w:fill="auto"/>
          </w:tcPr>
          <w:p w14:paraId="749C8C3B" w14:textId="77777777" w:rsidR="00546081" w:rsidRPr="004409A2" w:rsidRDefault="00546081" w:rsidP="00472DF3">
            <w:pPr>
              <w:spacing w:before="80" w:after="60"/>
              <w:rPr>
                <w:b/>
                <w:sz w:val="16"/>
              </w:rPr>
            </w:pPr>
            <w:r w:rsidRPr="004409A2">
              <w:rPr>
                <w:b/>
                <w:sz w:val="16"/>
              </w:rPr>
              <w:t>Schedule 8 medicines</w:t>
            </w:r>
          </w:p>
        </w:tc>
        <w:tc>
          <w:tcPr>
            <w:tcW w:w="7532" w:type="dxa"/>
          </w:tcPr>
          <w:p w14:paraId="34BC9EE2" w14:textId="7592A25E" w:rsidR="00546081" w:rsidRPr="004409A2" w:rsidRDefault="225DCAAF" w:rsidP="3B23E3B6">
            <w:pPr>
              <w:pStyle w:val="DHHSbody"/>
              <w:rPr>
                <w:sz w:val="16"/>
                <w:szCs w:val="16"/>
              </w:rPr>
            </w:pPr>
            <w:r w:rsidRPr="41FD14AD">
              <w:rPr>
                <w:sz w:val="16"/>
                <w:szCs w:val="16"/>
              </w:rPr>
              <w:t xml:space="preserve"> Substances listed in Schedule 8 of the </w:t>
            </w:r>
            <w:r w:rsidR="40785A3A" w:rsidRPr="41FD14AD">
              <w:rPr>
                <w:sz w:val="16"/>
                <w:szCs w:val="16"/>
              </w:rPr>
              <w:t xml:space="preserve"> </w:t>
            </w:r>
            <w:r w:rsidRPr="41FD14AD">
              <w:rPr>
                <w:sz w:val="16"/>
                <w:szCs w:val="16"/>
              </w:rPr>
              <w:t>Poisons Standard. They are the most strictly regulated prescription medicines. Schedule 8 includes opioid analgesics, like oxycodone and fentanyl, and opioid replacement therapies such as methadone.</w:t>
            </w:r>
            <w:r w:rsidR="3EA63F4E" w:rsidRPr="41FD14AD">
              <w:rPr>
                <w:sz w:val="16"/>
                <w:szCs w:val="16"/>
              </w:rPr>
              <w:t xml:space="preserve"> They are labelled as</w:t>
            </w:r>
            <w:r w:rsidRPr="41FD14AD">
              <w:rPr>
                <w:sz w:val="16"/>
                <w:szCs w:val="16"/>
              </w:rPr>
              <w:t xml:space="preserve"> ‘Controlled Drugs’.</w:t>
            </w:r>
          </w:p>
        </w:tc>
      </w:tr>
      <w:tr w:rsidR="009479F6" w:rsidRPr="00906B70" w14:paraId="0319230B" w14:textId="77777777" w:rsidTr="41FD14AD">
        <w:tc>
          <w:tcPr>
            <w:tcW w:w="1648" w:type="dxa"/>
            <w:shd w:val="clear" w:color="auto" w:fill="auto"/>
          </w:tcPr>
          <w:p w14:paraId="720F1AE1" w14:textId="77777777" w:rsidR="009479F6" w:rsidRPr="00F771EB" w:rsidRDefault="00F771EB" w:rsidP="00472DF3">
            <w:pPr>
              <w:spacing w:before="80" w:after="60"/>
              <w:rPr>
                <w:b/>
                <w:sz w:val="16"/>
              </w:rPr>
            </w:pPr>
            <w:r w:rsidRPr="00F771EB">
              <w:rPr>
                <w:b/>
                <w:sz w:val="16"/>
              </w:rPr>
              <w:t>Standard for the Uniform Scheduling of Medicines and Poisons</w:t>
            </w:r>
          </w:p>
        </w:tc>
        <w:tc>
          <w:tcPr>
            <w:tcW w:w="7532" w:type="dxa"/>
          </w:tcPr>
          <w:p w14:paraId="48872166" w14:textId="507F499B" w:rsidR="009479F6" w:rsidRDefault="357C27BA" w:rsidP="3B23E3B6">
            <w:pPr>
              <w:pStyle w:val="DHHSbody"/>
              <w:rPr>
                <w:sz w:val="16"/>
                <w:szCs w:val="16"/>
              </w:rPr>
            </w:pPr>
            <w:r w:rsidRPr="41FD14AD">
              <w:rPr>
                <w:sz w:val="16"/>
                <w:szCs w:val="16"/>
              </w:rPr>
              <w:t xml:space="preserve">The Commonwealth Standard for the Uniform Scheduling of Medicines and Poisons or ‘Poisons Standard’ lists medicines and poisons into </w:t>
            </w:r>
            <w:r w:rsidR="40785A3A" w:rsidRPr="41FD14AD">
              <w:rPr>
                <w:sz w:val="16"/>
                <w:szCs w:val="16"/>
              </w:rPr>
              <w:t xml:space="preserve">schedules </w:t>
            </w:r>
            <w:r w:rsidR="26C09671" w:rsidRPr="41FD14AD">
              <w:rPr>
                <w:sz w:val="16"/>
                <w:szCs w:val="16"/>
              </w:rPr>
              <w:t xml:space="preserve">for inclusion in </w:t>
            </w:r>
            <w:r w:rsidR="2F2827B4" w:rsidRPr="41FD14AD">
              <w:rPr>
                <w:sz w:val="16"/>
                <w:szCs w:val="16"/>
              </w:rPr>
              <w:t>state and territory</w:t>
            </w:r>
            <w:r w:rsidR="26C09671" w:rsidRPr="41FD14AD">
              <w:rPr>
                <w:sz w:val="16"/>
                <w:szCs w:val="16"/>
              </w:rPr>
              <w:t xml:space="preserve"> drugs and poisons legislation.  </w:t>
            </w:r>
          </w:p>
        </w:tc>
      </w:tr>
    </w:tbl>
    <w:p w14:paraId="7662206E" w14:textId="77777777" w:rsidR="00E30414" w:rsidRPr="00AB50C1" w:rsidRDefault="007A3A76" w:rsidP="003455C0">
      <w:pPr>
        <w:pStyle w:val="Heading1"/>
      </w:pPr>
      <w:bookmarkStart w:id="2" w:name="_Toc514764379"/>
      <w:bookmarkStart w:id="3" w:name="_Toc514766884"/>
      <w:bookmarkStart w:id="4" w:name="_Toc514766974"/>
      <w:bookmarkStart w:id="5" w:name="_Toc514764380"/>
      <w:bookmarkStart w:id="6" w:name="_Toc514766885"/>
      <w:bookmarkStart w:id="7" w:name="_Toc514766975"/>
      <w:bookmarkStart w:id="8" w:name="_Toc115884449"/>
      <w:bookmarkEnd w:id="2"/>
      <w:bookmarkEnd w:id="3"/>
      <w:bookmarkEnd w:id="4"/>
      <w:bookmarkEnd w:id="5"/>
      <w:bookmarkEnd w:id="6"/>
      <w:bookmarkEnd w:id="7"/>
      <w:r>
        <w:lastRenderedPageBreak/>
        <w:t>Background and p</w:t>
      </w:r>
      <w:r w:rsidR="005A401F">
        <w:t>urpose</w:t>
      </w:r>
      <w:bookmarkEnd w:id="8"/>
    </w:p>
    <w:p w14:paraId="2D830816" w14:textId="77777777" w:rsidR="007A3A76" w:rsidRDefault="007A3A76" w:rsidP="0010467E">
      <w:pPr>
        <w:pStyle w:val="Heading2"/>
      </w:pPr>
      <w:r>
        <w:t>Background</w:t>
      </w:r>
    </w:p>
    <w:p w14:paraId="16DA0298" w14:textId="2704E936" w:rsidR="006D10E3" w:rsidRDefault="4751F446" w:rsidP="3B23E3B6">
      <w:pPr>
        <w:pStyle w:val="DHHSbody"/>
        <w:rPr>
          <w:b/>
          <w:bCs/>
        </w:rPr>
      </w:pPr>
      <w:r w:rsidRPr="41FD14AD">
        <w:rPr>
          <w:b/>
          <w:bCs/>
        </w:rPr>
        <w:t xml:space="preserve">The increasing harmful use of prescription medicines is a major public health concern, </w:t>
      </w:r>
      <w:r w:rsidR="74E9CE28" w:rsidRPr="41FD14AD">
        <w:rPr>
          <w:b/>
          <w:bCs/>
        </w:rPr>
        <w:t xml:space="preserve">with more Victorians dying from prescription </w:t>
      </w:r>
      <w:r w:rsidR="5DEDE676" w:rsidRPr="41FD14AD">
        <w:rPr>
          <w:b/>
          <w:bCs/>
        </w:rPr>
        <w:t>medicine</w:t>
      </w:r>
      <w:r w:rsidR="74E9CE28" w:rsidRPr="41FD14AD">
        <w:rPr>
          <w:b/>
          <w:bCs/>
        </w:rPr>
        <w:t xml:space="preserve"> overdose than </w:t>
      </w:r>
      <w:r w:rsidR="1ABE2E38" w:rsidRPr="41FD14AD">
        <w:rPr>
          <w:b/>
          <w:bCs/>
        </w:rPr>
        <w:t>on Victorian roads</w:t>
      </w:r>
      <w:r w:rsidR="74E9CE28" w:rsidRPr="41FD14AD">
        <w:rPr>
          <w:b/>
          <w:bCs/>
        </w:rPr>
        <w:t xml:space="preserve">. The </w:t>
      </w:r>
      <w:r w:rsidR="5DEDE676" w:rsidRPr="41FD14AD">
        <w:rPr>
          <w:b/>
          <w:bCs/>
        </w:rPr>
        <w:t>Medicines</w:t>
      </w:r>
      <w:r w:rsidR="74E9CE28" w:rsidRPr="41FD14AD">
        <w:rPr>
          <w:b/>
          <w:bCs/>
        </w:rPr>
        <w:t xml:space="preserve"> and Poisons Regulation Branch, within the Department of Health (the department), seeks to prevent over prescribing, accidental poisoning, deliberate poisoning and diversion for abuse or manufacture of substances of abuse. </w:t>
      </w:r>
    </w:p>
    <w:p w14:paraId="44A24973" w14:textId="19FF91C4" w:rsidR="00835F10" w:rsidRDefault="350FB525" w:rsidP="00DC19D8">
      <w:pPr>
        <w:pStyle w:val="DHHSbody"/>
      </w:pPr>
      <w:r>
        <w:t xml:space="preserve">The </w:t>
      </w:r>
      <w:r w:rsidR="002A6E11">
        <w:t>department</w:t>
      </w:r>
      <w:r>
        <w:t xml:space="preserve"> seeks to achieve this by assessing and monitoring key points of the medicine</w:t>
      </w:r>
      <w:r w:rsidR="00646038">
        <w:t>s</w:t>
      </w:r>
      <w:r>
        <w:t xml:space="preserve"> </w:t>
      </w:r>
      <w:r w:rsidR="00773863">
        <w:t xml:space="preserve">and poisons </w:t>
      </w:r>
      <w:r>
        <w:t>supply chain, including</w:t>
      </w:r>
      <w:r w:rsidR="3DD57FF1">
        <w:t xml:space="preserve"> the point</w:t>
      </w:r>
      <w:r w:rsidR="57C41DA5">
        <w:t>s</w:t>
      </w:r>
      <w:r w:rsidR="3DD57FF1">
        <w:t xml:space="preserve"> of manufacture</w:t>
      </w:r>
      <w:r w:rsidR="57C41DA5">
        <w:t>, wholesale</w:t>
      </w:r>
      <w:r w:rsidR="00D40656">
        <w:t>, prescribing</w:t>
      </w:r>
      <w:r w:rsidR="57C41DA5">
        <w:t xml:space="preserve"> </w:t>
      </w:r>
      <w:r w:rsidR="3DD57FF1">
        <w:t xml:space="preserve">and </w:t>
      </w:r>
      <w:r w:rsidR="00D40656">
        <w:t>dispensing</w:t>
      </w:r>
      <w:r>
        <w:t xml:space="preserve"> to patient</w:t>
      </w:r>
      <w:r w:rsidR="57C41DA5">
        <w:t>s</w:t>
      </w:r>
      <w:r>
        <w:t>.</w:t>
      </w:r>
      <w:r w:rsidR="5C4ECD50">
        <w:t xml:space="preserve"> The </w:t>
      </w:r>
      <w:r w:rsidR="002A6E11">
        <w:t>department</w:t>
      </w:r>
      <w:r w:rsidR="5C4ECD50">
        <w:t xml:space="preserve"> also promotes evidence-based prescribing practices through </w:t>
      </w:r>
      <w:r w:rsidR="74E9CE28">
        <w:t>it</w:t>
      </w:r>
      <w:r w:rsidR="7E3D6941">
        <w:t>s</w:t>
      </w:r>
      <w:r w:rsidR="74E9CE28">
        <w:t xml:space="preserve"> policies for issuing </w:t>
      </w:r>
      <w:r w:rsidR="5C4ECD50">
        <w:t>Schedule 8</w:t>
      </w:r>
      <w:r w:rsidR="74E9CE28">
        <w:t xml:space="preserve"> permits</w:t>
      </w:r>
      <w:r w:rsidR="5C4ECD50">
        <w:t>.</w:t>
      </w:r>
    </w:p>
    <w:p w14:paraId="20E89E84" w14:textId="01D964F8" w:rsidR="00D00859" w:rsidRDefault="00B4353F" w:rsidP="00DC19D8">
      <w:pPr>
        <w:pStyle w:val="DHHSbody"/>
      </w:pPr>
      <w:r>
        <w:t xml:space="preserve">The </w:t>
      </w:r>
      <w:r w:rsidR="002A6E11">
        <w:t>department</w:t>
      </w:r>
      <w:r>
        <w:t xml:space="preserve">’s </w:t>
      </w:r>
      <w:r w:rsidRPr="009E0B12">
        <w:t>regulatory</w:t>
      </w:r>
      <w:r>
        <w:t xml:space="preserve"> framework is established in the </w:t>
      </w:r>
      <w:r w:rsidRPr="00B4353F">
        <w:rPr>
          <w:i/>
        </w:rPr>
        <w:t>Drugs, Poisons and Controlled Substances Act 1981</w:t>
      </w:r>
      <w:r>
        <w:t xml:space="preserve">, </w:t>
      </w:r>
      <w:r w:rsidRPr="00713F59">
        <w:t>the Drugs, Poisons and Controlled Substances Regulations 2017 and</w:t>
      </w:r>
      <w:r>
        <w:t xml:space="preserve"> the </w:t>
      </w:r>
      <w:r w:rsidRPr="00B4353F">
        <w:rPr>
          <w:i/>
        </w:rPr>
        <w:t>Therapeutic Goods (Victoria) Act</w:t>
      </w:r>
      <w:r>
        <w:t xml:space="preserve"> 2010.</w:t>
      </w:r>
      <w:r w:rsidR="001A786A">
        <w:t xml:space="preserve"> The framework recognises that certain substances should only be made available with appropriate controls and oversight. The framework also places a responsibility on organisations and individuals to meet the various regulatory requireme</w:t>
      </w:r>
      <w:r w:rsidR="00FE0A1C">
        <w:t>nts.</w:t>
      </w:r>
    </w:p>
    <w:p w14:paraId="3AFE32EC" w14:textId="717A80BF" w:rsidR="00DF12D2" w:rsidRDefault="36F8A320" w:rsidP="3B23E3B6">
      <w:pPr>
        <w:pStyle w:val="DHHSbody"/>
      </w:pPr>
      <w:r>
        <w:t xml:space="preserve">As a risk-based and Outcomes-focused regulator, the </w:t>
      </w:r>
      <w:r w:rsidR="002A6E11">
        <w:t>department</w:t>
      </w:r>
      <w:r>
        <w:t xml:space="preserve"> exercises a combination of formal </w:t>
      </w:r>
      <w:r w:rsidR="09BC483D">
        <w:t xml:space="preserve">powers and functions </w:t>
      </w:r>
      <w:r w:rsidR="3B23E3B6" w:rsidRPr="41FD14AD">
        <w:rPr>
          <w:rFonts w:eastAsia="Arial" w:cs="Arial"/>
        </w:rPr>
        <w:t xml:space="preserve">conferred on them through legislation as well as other regulatory tools to achieve intended Outcomes. </w:t>
      </w:r>
    </w:p>
    <w:p w14:paraId="32CE5754" w14:textId="2D5CDE44" w:rsidR="00DF12D2" w:rsidRDefault="0A9143B2" w:rsidP="3B23E3B6">
      <w:pPr>
        <w:pStyle w:val="DHHSbody"/>
      </w:pPr>
      <w:r>
        <w:t xml:space="preserve">The policy aims to set out </w:t>
      </w:r>
      <w:r w:rsidR="3B23E3B6">
        <w:t xml:space="preserve">a clear and transparent statement about how the </w:t>
      </w:r>
      <w:r w:rsidR="002A6E11">
        <w:t>department</w:t>
      </w:r>
      <w:r w:rsidR="3B23E3B6">
        <w:t xml:space="preserve"> will bring a systemic, risk-based, Outcome focused and intelligence-led approach to its regulatory activities.</w:t>
      </w:r>
      <w:r>
        <w:t xml:space="preserve"> </w:t>
      </w:r>
      <w:r w:rsidR="3B23E3B6">
        <w:t xml:space="preserve">This policy draws on better regulatory practice approaches from the department’s </w:t>
      </w:r>
      <w:r w:rsidR="3B23E3B6" w:rsidRPr="41FD14AD">
        <w:rPr>
          <w:i/>
          <w:iCs/>
        </w:rPr>
        <w:t>Better Regulatory Practice Framework</w:t>
      </w:r>
      <w:r w:rsidR="3C298C08" w:rsidRPr="41FD14AD">
        <w:rPr>
          <w:i/>
          <w:iCs/>
        </w:rPr>
        <w:t>,</w:t>
      </w:r>
      <w:r w:rsidR="3B23E3B6" w:rsidRPr="41FD14AD">
        <w:rPr>
          <w:i/>
          <w:iCs/>
        </w:rPr>
        <w:t xml:space="preserve"> </w:t>
      </w:r>
      <w:r w:rsidR="3B23E3B6">
        <w:t>which applies to all of the department’s regulators</w:t>
      </w:r>
      <w:r w:rsidR="7AB50196">
        <w:t>,</w:t>
      </w:r>
      <w:r w:rsidR="3B23E3B6">
        <w:t xml:space="preserve"> to bring a clear and consistent approach by the department’s regulators. </w:t>
      </w:r>
    </w:p>
    <w:p w14:paraId="4DFEC619" w14:textId="7ABCCCE3" w:rsidR="00DF12D2" w:rsidRPr="00946BF5" w:rsidRDefault="3B23E3B6" w:rsidP="00946BF5">
      <w:pPr>
        <w:spacing w:line="259" w:lineRule="auto"/>
        <w:rPr>
          <w:rFonts w:eastAsia="Times"/>
        </w:rPr>
      </w:pPr>
      <w:r w:rsidRPr="41FD14AD">
        <w:rPr>
          <w:rFonts w:eastAsia="Times"/>
        </w:rPr>
        <w:t xml:space="preserve">The policy has been developed in accordance with the Minister for Health’s </w:t>
      </w:r>
      <w:r w:rsidRPr="41FD14AD">
        <w:rPr>
          <w:rFonts w:eastAsia="Times"/>
          <w:i/>
          <w:iCs/>
        </w:rPr>
        <w:t>Statement of Expectations Framework for Regulators.</w:t>
      </w:r>
      <w:r w:rsidRPr="41FD14AD">
        <w:rPr>
          <w:rFonts w:eastAsia="Times"/>
        </w:rPr>
        <w:t xml:space="preserve"> The Victorian Government’s Statement of Expectations Framework for Regulators requires each </w:t>
      </w:r>
      <w:r w:rsidR="007D7F7F" w:rsidRPr="41FD14AD">
        <w:rPr>
          <w:rFonts w:eastAsia="Times"/>
        </w:rPr>
        <w:t>M</w:t>
      </w:r>
      <w:r w:rsidRPr="41FD14AD">
        <w:rPr>
          <w:rFonts w:eastAsia="Times"/>
        </w:rPr>
        <w:t>inister to establish clear expectations for regulator performance within their respective Ministerial portfolio. The statements are important in driving continuous improvement in regulatory processes and practices.</w:t>
      </w:r>
    </w:p>
    <w:p w14:paraId="1715EA59" w14:textId="20457117" w:rsidR="00DF12D2" w:rsidRDefault="00DF12D2" w:rsidP="3B23E3B6"/>
    <w:p w14:paraId="3ECC1B3E" w14:textId="77777777" w:rsidR="007A3A76" w:rsidRPr="0010467E" w:rsidRDefault="007A3A76" w:rsidP="0010467E">
      <w:pPr>
        <w:pStyle w:val="Heading2"/>
      </w:pPr>
      <w:r w:rsidRPr="0010467E">
        <w:t>Purpose</w:t>
      </w:r>
    </w:p>
    <w:p w14:paraId="373DFB3B" w14:textId="395CB6E3" w:rsidR="00B7649E" w:rsidRPr="00EE66AE" w:rsidRDefault="4D611CCC" w:rsidP="001C5DE1">
      <w:pPr>
        <w:pStyle w:val="DHHSbody"/>
      </w:pPr>
      <w:r>
        <w:t xml:space="preserve">The </w:t>
      </w:r>
      <w:r w:rsidR="7EB3082B">
        <w:t xml:space="preserve">purpose of this policy is to outline how the </w:t>
      </w:r>
      <w:r w:rsidR="002A6E11">
        <w:t>department</w:t>
      </w:r>
      <w:r w:rsidR="29FFE7E2">
        <w:t xml:space="preserve"> applies it</w:t>
      </w:r>
      <w:r w:rsidR="1C1253EB">
        <w:t>s</w:t>
      </w:r>
      <w:r w:rsidR="29FFE7E2">
        <w:t xml:space="preserve"> resources and regulatory tools to minimise the potential </w:t>
      </w:r>
      <w:r w:rsidR="084C3ECD">
        <w:t>risks</w:t>
      </w:r>
      <w:r w:rsidR="29FFE7E2">
        <w:t xml:space="preserve"> caused by </w:t>
      </w:r>
      <w:r w:rsidR="1745E1C9">
        <w:t>medicines</w:t>
      </w:r>
      <w:r w:rsidR="1C1253EB">
        <w:t xml:space="preserve"> and poisons</w:t>
      </w:r>
      <w:r w:rsidR="29FFE7E2">
        <w:t xml:space="preserve">. The policy outlines how the </w:t>
      </w:r>
      <w:r w:rsidR="002A6E11">
        <w:t>department</w:t>
      </w:r>
      <w:r w:rsidR="29FFE7E2">
        <w:t xml:space="preserve"> works with and supports </w:t>
      </w:r>
      <w:r w:rsidR="4437C0CD">
        <w:t xml:space="preserve">health </w:t>
      </w:r>
      <w:r w:rsidR="29FFE7E2">
        <w:t xml:space="preserve">practitioners </w:t>
      </w:r>
      <w:r w:rsidR="0F8EADEA">
        <w:t xml:space="preserve">to </w:t>
      </w:r>
      <w:r w:rsidR="29FFE7E2">
        <w:t xml:space="preserve">promote safer prescribing </w:t>
      </w:r>
      <w:r w:rsidR="4437C0CD">
        <w:t>and supply of medic</w:t>
      </w:r>
      <w:r w:rsidR="2E7B7DCF">
        <w:t>ine</w:t>
      </w:r>
      <w:r w:rsidR="4437C0CD">
        <w:t xml:space="preserve">s </w:t>
      </w:r>
      <w:r w:rsidR="29FFE7E2">
        <w:t xml:space="preserve">as well as how it </w:t>
      </w:r>
      <w:r w:rsidR="7EB3082B">
        <w:t xml:space="preserve">applies its compliance and enforcement functions. Practitioners within the scope of this policy include </w:t>
      </w:r>
      <w:r w:rsidR="6CBEDC3F">
        <w:t xml:space="preserve">medical practitioners, nurses, midwives, nurse practitioners, </w:t>
      </w:r>
      <w:r w:rsidR="3D0C8729">
        <w:t xml:space="preserve">podiatrists, </w:t>
      </w:r>
      <w:r w:rsidR="0F8EADEA">
        <w:t xml:space="preserve">optometrists, orthoptists, </w:t>
      </w:r>
      <w:r w:rsidR="332AA67E">
        <w:t xml:space="preserve">Aboriginal and Torres Strait Islander </w:t>
      </w:r>
      <w:r w:rsidR="329DF75D">
        <w:t>h</w:t>
      </w:r>
      <w:r w:rsidR="332AA67E">
        <w:t xml:space="preserve">ealth </w:t>
      </w:r>
      <w:r w:rsidR="0D39C103">
        <w:t>p</w:t>
      </w:r>
      <w:r w:rsidR="332AA67E">
        <w:t xml:space="preserve">ractitioners, </w:t>
      </w:r>
      <w:r w:rsidR="6CBEDC3F">
        <w:t>pharmacists, dentists, dental hygienists, dental therapists</w:t>
      </w:r>
      <w:r w:rsidR="084C3ECD">
        <w:t xml:space="preserve">, </w:t>
      </w:r>
      <w:r w:rsidR="6CBEDC3F">
        <w:t>and oral health therapists and veterinary practitioners.</w:t>
      </w:r>
      <w:r w:rsidR="3540FF2B">
        <w:t xml:space="preserve"> </w:t>
      </w:r>
    </w:p>
    <w:p w14:paraId="1068B86B" w14:textId="356FF731" w:rsidR="007E59CB" w:rsidRDefault="00640040" w:rsidP="00DC19D8">
      <w:pPr>
        <w:pStyle w:val="DHHSbody"/>
      </w:pPr>
      <w:r>
        <w:t xml:space="preserve">In preparing this policy, the </w:t>
      </w:r>
      <w:r w:rsidR="002A6E11">
        <w:t>department</w:t>
      </w:r>
      <w:r>
        <w:t xml:space="preserve"> is seeking to:</w:t>
      </w:r>
    </w:p>
    <w:p w14:paraId="1C7789B6" w14:textId="317C15A4" w:rsidR="00640040" w:rsidRDefault="00640040" w:rsidP="00640040">
      <w:pPr>
        <w:pStyle w:val="DHHSbullet1"/>
      </w:pPr>
      <w:r>
        <w:t>document a risk-based co</w:t>
      </w:r>
      <w:r w:rsidR="00EE66AE">
        <w:t>mpliance and enforcement policy</w:t>
      </w:r>
    </w:p>
    <w:p w14:paraId="30EABE5F" w14:textId="4802B1BF" w:rsidR="00640040" w:rsidRDefault="00640040" w:rsidP="00640040">
      <w:pPr>
        <w:pStyle w:val="DHHSbullet1"/>
      </w:pPr>
      <w:r>
        <w:t>establish a clear, transparent and adaptable framework that will inform the allocati</w:t>
      </w:r>
      <w:r w:rsidR="00186689">
        <w:t xml:space="preserve">on of resources </w:t>
      </w:r>
      <w:r w:rsidR="00EE66AE">
        <w:t>and effort</w:t>
      </w:r>
      <w:r w:rsidR="00202E68">
        <w:t>; and,</w:t>
      </w:r>
    </w:p>
    <w:p w14:paraId="3895FF48" w14:textId="77777777" w:rsidR="00640040" w:rsidRDefault="00640040" w:rsidP="00640040">
      <w:pPr>
        <w:pStyle w:val="DHHSbullet1"/>
      </w:pPr>
      <w:r>
        <w:t xml:space="preserve">inform stakeholders of </w:t>
      </w:r>
      <w:r w:rsidR="00F771EB">
        <w:t>its</w:t>
      </w:r>
      <w:r>
        <w:t xml:space="preserve"> compliance and enforcement approaches. </w:t>
      </w:r>
    </w:p>
    <w:p w14:paraId="6D6F2C8B" w14:textId="77777777" w:rsidR="00F67B9C" w:rsidRDefault="00F67B9C" w:rsidP="00DC19D8">
      <w:pPr>
        <w:pStyle w:val="DHHSbody"/>
      </w:pPr>
    </w:p>
    <w:p w14:paraId="5D0CC3F6" w14:textId="55CEDABA" w:rsidR="00640040" w:rsidRPr="0099687A" w:rsidRDefault="0844483D" w:rsidP="00DC19D8">
      <w:pPr>
        <w:pStyle w:val="DHHSbody"/>
      </w:pPr>
      <w:r>
        <w:lastRenderedPageBreak/>
        <w:t>The following diagram outlines how this policy fits with</w:t>
      </w:r>
      <w:r w:rsidR="486850A3">
        <w:t>in</w:t>
      </w:r>
      <w:r>
        <w:t xml:space="preserve"> the legislative framework, the </w:t>
      </w:r>
      <w:r w:rsidR="29B15587">
        <w:t>department’s</w:t>
      </w:r>
      <w:r>
        <w:t xml:space="preserve"> </w:t>
      </w:r>
      <w:r w:rsidR="78E375A4" w:rsidRPr="00946BF5">
        <w:rPr>
          <w:i/>
          <w:iCs/>
        </w:rPr>
        <w:t>Better R</w:t>
      </w:r>
      <w:r w:rsidRPr="00946BF5">
        <w:rPr>
          <w:i/>
          <w:iCs/>
        </w:rPr>
        <w:t>egulatory</w:t>
      </w:r>
      <w:r w:rsidR="78E375A4" w:rsidRPr="00946BF5">
        <w:rPr>
          <w:i/>
          <w:iCs/>
        </w:rPr>
        <w:t xml:space="preserve"> Practice </w:t>
      </w:r>
      <w:r w:rsidR="7FD89FEB" w:rsidRPr="00946BF5">
        <w:rPr>
          <w:i/>
          <w:iCs/>
        </w:rPr>
        <w:t>F</w:t>
      </w:r>
      <w:r w:rsidRPr="00946BF5">
        <w:rPr>
          <w:i/>
          <w:iCs/>
        </w:rPr>
        <w:t>ramework</w:t>
      </w:r>
      <w:r>
        <w:t xml:space="preserve"> and the </w:t>
      </w:r>
      <w:r w:rsidR="002A6E11">
        <w:t>department</w:t>
      </w:r>
      <w:r>
        <w:t>’s other policies and operating procedures.</w:t>
      </w:r>
      <w:r w:rsidR="78E375A4">
        <w:t xml:space="preserve"> </w:t>
      </w:r>
    </w:p>
    <w:p w14:paraId="4DC68AC2" w14:textId="5CB4F49A" w:rsidR="00B544CD" w:rsidRDefault="00B544CD" w:rsidP="00B544CD">
      <w:pPr>
        <w:pStyle w:val="DHHStablecaption"/>
      </w:pPr>
      <w:r>
        <w:t>Figure 1: How this policy fits within the legislative framework and other key requirements</w:t>
      </w:r>
    </w:p>
    <w:p w14:paraId="54C61EE0" w14:textId="6CD50006" w:rsidR="00640040" w:rsidRDefault="332AA67E" w:rsidP="332AA67E">
      <w:pPr>
        <w:pStyle w:val="DHHSbody"/>
      </w:pPr>
      <w:r>
        <w:rPr>
          <w:noProof/>
        </w:rPr>
        <w:drawing>
          <wp:inline distT="0" distB="0" distL="0" distR="0" wp14:anchorId="0EA5AB58" wp14:editId="1B9AC2BB">
            <wp:extent cx="4962525" cy="2388215"/>
            <wp:effectExtent l="0" t="0" r="0" b="0"/>
            <wp:docPr id="179238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962525" cy="2388215"/>
                    </a:xfrm>
                    <a:prstGeom prst="rect">
                      <a:avLst/>
                    </a:prstGeom>
                  </pic:spPr>
                </pic:pic>
              </a:graphicData>
            </a:graphic>
          </wp:inline>
        </w:drawing>
      </w:r>
    </w:p>
    <w:p w14:paraId="4F9B4E84" w14:textId="77777777" w:rsidR="00835F10" w:rsidRPr="00EB56A9" w:rsidRDefault="00953636" w:rsidP="00DC19D8">
      <w:pPr>
        <w:pStyle w:val="DHHSbody"/>
      </w:pPr>
      <w:r w:rsidRPr="00EB56A9">
        <w:t>The remainder of this p</w:t>
      </w:r>
      <w:r w:rsidR="00835F10" w:rsidRPr="00EB56A9">
        <w:t xml:space="preserve">olicy is divided into the following </w:t>
      </w:r>
      <w:r w:rsidR="00546081">
        <w:t xml:space="preserve">key </w:t>
      </w:r>
      <w:r w:rsidR="00835F10" w:rsidRPr="00EB56A9">
        <w:t>sections:</w:t>
      </w:r>
    </w:p>
    <w:p w14:paraId="14200150" w14:textId="71EADC22" w:rsidR="002E38F1" w:rsidRPr="002E38F1" w:rsidRDefault="2F822334" w:rsidP="001C5DE1">
      <w:pPr>
        <w:pStyle w:val="DHHSbullet1"/>
      </w:pPr>
      <w:r w:rsidRPr="41FD14AD">
        <w:rPr>
          <w:b/>
          <w:bCs/>
        </w:rPr>
        <w:t>Expectations</w:t>
      </w:r>
      <w:r w:rsidR="225DCAAF" w:rsidRPr="41FD14AD">
        <w:rPr>
          <w:b/>
          <w:bCs/>
        </w:rPr>
        <w:t xml:space="preserve"> and guiding principles </w:t>
      </w:r>
      <w:r>
        <w:t xml:space="preserve">– </w:t>
      </w:r>
      <w:r w:rsidR="225DCAAF">
        <w:t xml:space="preserve">these sections </w:t>
      </w:r>
      <w:r>
        <w:t xml:space="preserve">outline what key stakeholders can expect of the </w:t>
      </w:r>
      <w:r w:rsidR="002A6E11">
        <w:t>department</w:t>
      </w:r>
      <w:r>
        <w:t xml:space="preserve"> when applying this policy</w:t>
      </w:r>
      <w:r w:rsidR="225DCAAF">
        <w:t xml:space="preserve"> and how the department’s better practice regulatory principles guide the compliance and enforcement practices of the </w:t>
      </w:r>
      <w:r w:rsidR="002A6E11">
        <w:t>department</w:t>
      </w:r>
      <w:r w:rsidR="00202E68">
        <w:t>;</w:t>
      </w:r>
    </w:p>
    <w:p w14:paraId="2ADF07FF" w14:textId="28F2473A" w:rsidR="00835F10" w:rsidRPr="00EB56A9" w:rsidRDefault="6CBEDC3F" w:rsidP="00835F10">
      <w:pPr>
        <w:pStyle w:val="DHHSbullet1"/>
      </w:pPr>
      <w:r w:rsidRPr="41FD14AD">
        <w:rPr>
          <w:b/>
          <w:bCs/>
        </w:rPr>
        <w:t xml:space="preserve">A changing landscape </w:t>
      </w:r>
      <w:r>
        <w:t xml:space="preserve">– </w:t>
      </w:r>
      <w:r w:rsidR="7374FE54">
        <w:t xml:space="preserve">outlines that this policy is </w:t>
      </w:r>
      <w:r w:rsidR="113E8091">
        <w:t>in place</w:t>
      </w:r>
      <w:r w:rsidR="7374FE54">
        <w:t xml:space="preserve"> at a time of significant change </w:t>
      </w:r>
      <w:r w:rsidR="113E8091">
        <w:t xml:space="preserve">following </w:t>
      </w:r>
      <w:r w:rsidR="7374FE54">
        <w:t>the introduction of the real-time prescription monitoring</w:t>
      </w:r>
      <w:r w:rsidR="5A4B985A">
        <w:t xml:space="preserve"> </w:t>
      </w:r>
      <w:r w:rsidR="6551EBED">
        <w:t>in late</w:t>
      </w:r>
      <w:r w:rsidR="5A4B985A">
        <w:t xml:space="preserve"> 2018</w:t>
      </w:r>
      <w:r w:rsidR="7374FE54">
        <w:t>, known as SafeScript</w:t>
      </w:r>
      <w:r w:rsidR="00202E68">
        <w:t>;</w:t>
      </w:r>
      <w:r w:rsidR="7374FE54">
        <w:t xml:space="preserve"> </w:t>
      </w:r>
    </w:p>
    <w:p w14:paraId="49428260" w14:textId="421ECD82" w:rsidR="00835F10" w:rsidRPr="00EB56A9" w:rsidRDefault="09BC483D">
      <w:pPr>
        <w:pStyle w:val="DHHSbullet1"/>
        <w:rPr>
          <w:rFonts w:eastAsia="Arial" w:cs="Arial"/>
          <w:b/>
          <w:bCs/>
        </w:rPr>
      </w:pPr>
      <w:r w:rsidRPr="41FD14AD">
        <w:rPr>
          <w:b/>
          <w:bCs/>
        </w:rPr>
        <w:t>Applying a risk</w:t>
      </w:r>
      <w:r w:rsidR="157EA000" w:rsidRPr="41FD14AD">
        <w:rPr>
          <w:b/>
          <w:bCs/>
        </w:rPr>
        <w:t>-</w:t>
      </w:r>
      <w:r w:rsidRPr="41FD14AD">
        <w:rPr>
          <w:b/>
          <w:bCs/>
        </w:rPr>
        <w:t>based approach</w:t>
      </w:r>
      <w:r w:rsidR="7374FE54">
        <w:t xml:space="preserve"> – outlines how</w:t>
      </w:r>
      <w:r w:rsidR="5CFC26D2">
        <w:t xml:space="preserve"> </w:t>
      </w:r>
      <w:r w:rsidR="5A3F5E16">
        <w:t xml:space="preserve">the </w:t>
      </w:r>
      <w:r w:rsidR="5CFC26D2">
        <w:t xml:space="preserve">level of </w:t>
      </w:r>
      <w:r w:rsidR="7374FE54">
        <w:t xml:space="preserve">risk is used to </w:t>
      </w:r>
      <w:r w:rsidR="3B23E3B6">
        <w:t xml:space="preserve"> prioritise and target resources toward specific groups or behaviours that pose the greatest risk</w:t>
      </w:r>
      <w:r w:rsidR="00202E68">
        <w:t>;</w:t>
      </w:r>
    </w:p>
    <w:p w14:paraId="17907452" w14:textId="16F8714A" w:rsidR="007E59CB" w:rsidRPr="00EB56A9" w:rsidRDefault="09BC483D" w:rsidP="3B23E3B6">
      <w:pPr>
        <w:pStyle w:val="DHHSbullet1"/>
        <w:rPr>
          <w:rFonts w:eastAsia="Arial" w:cs="Arial"/>
        </w:rPr>
      </w:pPr>
      <w:r w:rsidRPr="41FD14AD">
        <w:rPr>
          <w:b/>
          <w:bCs/>
        </w:rPr>
        <w:t>The compliance</w:t>
      </w:r>
      <w:r w:rsidR="7374FE54" w:rsidRPr="41FD14AD">
        <w:rPr>
          <w:b/>
          <w:bCs/>
        </w:rPr>
        <w:t xml:space="preserve"> and enforcement</w:t>
      </w:r>
      <w:r w:rsidRPr="41FD14AD">
        <w:rPr>
          <w:b/>
          <w:bCs/>
        </w:rPr>
        <w:t xml:space="preserve"> approach</w:t>
      </w:r>
      <w:r w:rsidR="7374FE54">
        <w:t xml:space="preserve"> – provides a summary of the </w:t>
      </w:r>
      <w:r w:rsidR="7FD89FEB">
        <w:t xml:space="preserve">approach applied by the </w:t>
      </w:r>
      <w:r w:rsidR="002A6E11">
        <w:t>department</w:t>
      </w:r>
      <w:r w:rsidR="7FD89FEB">
        <w:t xml:space="preserve"> to </w:t>
      </w:r>
      <w:r w:rsidR="3B23E3B6" w:rsidRPr="41FD14AD">
        <w:rPr>
          <w:color w:val="000000" w:themeColor="text1"/>
        </w:rPr>
        <w:t>manage a particular risk, its choice of regulatory tools and enforcement activities.</w:t>
      </w:r>
      <w:r w:rsidR="00202E68">
        <w:rPr>
          <w:color w:val="000000" w:themeColor="text1"/>
        </w:rPr>
        <w:t>;</w:t>
      </w:r>
    </w:p>
    <w:p w14:paraId="1BCB204B" w14:textId="3E6993E5" w:rsidR="007E59CB" w:rsidRPr="00EB56A9" w:rsidRDefault="007E59CB" w:rsidP="00835F10">
      <w:pPr>
        <w:pStyle w:val="DHHSbullet1"/>
      </w:pPr>
      <w:r w:rsidRPr="00EB56A9">
        <w:rPr>
          <w:b/>
        </w:rPr>
        <w:t>Monitoring, detecting and investigating non-compliance</w:t>
      </w:r>
      <w:r w:rsidR="00EB56A9" w:rsidRPr="00EB56A9">
        <w:t xml:space="preserve"> </w:t>
      </w:r>
      <w:r w:rsidR="00323DF0">
        <w:t>–</w:t>
      </w:r>
      <w:r w:rsidR="00EB56A9" w:rsidRPr="00EB56A9">
        <w:t xml:space="preserve"> </w:t>
      </w:r>
      <w:r w:rsidR="00323DF0">
        <w:t xml:space="preserve">outlines how the </w:t>
      </w:r>
      <w:r w:rsidR="002A6E11">
        <w:t>department</w:t>
      </w:r>
      <w:r w:rsidR="00323DF0">
        <w:t xml:space="preserve"> monitors and detects non-compliance</w:t>
      </w:r>
      <w:r w:rsidR="00202E68">
        <w:t>;</w:t>
      </w:r>
    </w:p>
    <w:p w14:paraId="5AA2A10E" w14:textId="1BECA3D9" w:rsidR="00953636" w:rsidRPr="00323DF0" w:rsidRDefault="00953636" w:rsidP="00953636">
      <w:pPr>
        <w:pStyle w:val="DHHSbullet1"/>
      </w:pPr>
      <w:r w:rsidRPr="00323DF0">
        <w:rPr>
          <w:b/>
        </w:rPr>
        <w:t>Actions and sanctions</w:t>
      </w:r>
      <w:r w:rsidR="00323DF0" w:rsidRPr="00323DF0">
        <w:t xml:space="preserve"> – outlines how the </w:t>
      </w:r>
      <w:r w:rsidR="002A6E11">
        <w:t>department</w:t>
      </w:r>
      <w:r w:rsidR="00323DF0" w:rsidRPr="00323DF0">
        <w:t xml:space="preserve"> </w:t>
      </w:r>
      <w:r w:rsidR="000707DB">
        <w:t>responds</w:t>
      </w:r>
      <w:r w:rsidR="005F63D2" w:rsidRPr="00323DF0">
        <w:t xml:space="preserve"> </w:t>
      </w:r>
      <w:r w:rsidR="00323DF0" w:rsidRPr="00323DF0">
        <w:t>to incidents of non</w:t>
      </w:r>
      <w:r w:rsidR="005F63D2">
        <w:noBreakHyphen/>
      </w:r>
      <w:r w:rsidR="00323DF0" w:rsidRPr="00323DF0">
        <w:t>compliance</w:t>
      </w:r>
      <w:r w:rsidR="00202E68">
        <w:t>; and,</w:t>
      </w:r>
    </w:p>
    <w:p w14:paraId="2C097EB0" w14:textId="2235F841" w:rsidR="00E00F8A" w:rsidRPr="00E00F8A" w:rsidRDefault="00E00F8A" w:rsidP="00953636">
      <w:pPr>
        <w:pStyle w:val="DHHSbullet1"/>
      </w:pPr>
      <w:r w:rsidRPr="00E00F8A">
        <w:rPr>
          <w:b/>
        </w:rPr>
        <w:t>Decision making</w:t>
      </w:r>
      <w:r>
        <w:t xml:space="preserve"> – outlines how decisions are made in relation to monitoring non-compliance and taking action</w:t>
      </w:r>
      <w:r w:rsidR="00202E68">
        <w:t>.</w:t>
      </w:r>
    </w:p>
    <w:p w14:paraId="5FE1E36A" w14:textId="77777777" w:rsidR="001A66F7" w:rsidRPr="005F63D2" w:rsidRDefault="001A66F7" w:rsidP="005F63D2">
      <w:pPr>
        <w:pStyle w:val="DHHSbody"/>
      </w:pPr>
      <w:r w:rsidRPr="005F63D2">
        <w:br w:type="page"/>
      </w:r>
    </w:p>
    <w:p w14:paraId="77DE4B2C" w14:textId="77777777" w:rsidR="001A66F7" w:rsidRDefault="001A66F7" w:rsidP="004950DB">
      <w:pPr>
        <w:pStyle w:val="Heading1"/>
      </w:pPr>
      <w:bookmarkStart w:id="9" w:name="_Toc115884450"/>
      <w:r>
        <w:lastRenderedPageBreak/>
        <w:t>Expectations</w:t>
      </w:r>
      <w:r w:rsidR="00A75A25">
        <w:t xml:space="preserve"> and guiding principles</w:t>
      </w:r>
      <w:bookmarkEnd w:id="9"/>
    </w:p>
    <w:p w14:paraId="25F6DCE2" w14:textId="2E4407ED" w:rsidR="00A75A25" w:rsidRDefault="4A99AD09" w:rsidP="3B23E3B6">
      <w:pPr>
        <w:pStyle w:val="DHHSbody"/>
        <w:rPr>
          <w:b/>
          <w:bCs/>
        </w:rPr>
      </w:pPr>
      <w:r w:rsidRPr="41FD14AD">
        <w:rPr>
          <w:b/>
          <w:bCs/>
        </w:rPr>
        <w:t xml:space="preserve">The </w:t>
      </w:r>
      <w:r w:rsidR="002A6E11">
        <w:rPr>
          <w:b/>
          <w:bCs/>
        </w:rPr>
        <w:t>department</w:t>
      </w:r>
      <w:r w:rsidRPr="41FD14AD">
        <w:rPr>
          <w:b/>
          <w:bCs/>
        </w:rPr>
        <w:t xml:space="preserve"> understands that </w:t>
      </w:r>
      <w:r w:rsidR="5A4B985A" w:rsidRPr="41FD14AD">
        <w:rPr>
          <w:b/>
          <w:bCs/>
        </w:rPr>
        <w:t>stakeholder</w:t>
      </w:r>
      <w:r w:rsidR="27ED25E2" w:rsidRPr="41FD14AD">
        <w:rPr>
          <w:b/>
          <w:bCs/>
        </w:rPr>
        <w:t>s</w:t>
      </w:r>
      <w:r w:rsidR="5A4B985A" w:rsidRPr="41FD14AD">
        <w:rPr>
          <w:b/>
          <w:bCs/>
        </w:rPr>
        <w:t xml:space="preserve"> will </w:t>
      </w:r>
      <w:r w:rsidR="1D411953" w:rsidRPr="41FD14AD">
        <w:rPr>
          <w:b/>
          <w:bCs/>
        </w:rPr>
        <w:t>have different expectations</w:t>
      </w:r>
      <w:r w:rsidR="27ED25E2" w:rsidRPr="41FD14AD">
        <w:rPr>
          <w:b/>
          <w:bCs/>
        </w:rPr>
        <w:t xml:space="preserve"> of the department’s regulatory activities depending on the impact they have on their lives and work and how effective they are in achieving the intended Outcomes</w:t>
      </w:r>
      <w:r w:rsidRPr="41FD14AD">
        <w:rPr>
          <w:b/>
          <w:bCs/>
        </w:rPr>
        <w:t xml:space="preserve">. </w:t>
      </w:r>
      <w:r w:rsidR="1B7B34CA" w:rsidRPr="41FD14AD">
        <w:rPr>
          <w:b/>
          <w:bCs/>
        </w:rPr>
        <w:t xml:space="preserve">To deliver on these expectations the </w:t>
      </w:r>
      <w:r w:rsidR="002A6E11">
        <w:rPr>
          <w:b/>
          <w:bCs/>
        </w:rPr>
        <w:t>department</w:t>
      </w:r>
      <w:r w:rsidR="1B7B34CA" w:rsidRPr="41FD14AD">
        <w:rPr>
          <w:b/>
          <w:bCs/>
        </w:rPr>
        <w:t xml:space="preserve"> will actively apply this policy and the department’s Better Regulatory Practice Framework principles. </w:t>
      </w:r>
    </w:p>
    <w:p w14:paraId="0A84945C" w14:textId="77777777" w:rsidR="00A75A25" w:rsidRPr="00A75A25" w:rsidRDefault="00A75A25" w:rsidP="00A75A25">
      <w:pPr>
        <w:pStyle w:val="Heading2"/>
      </w:pPr>
      <w:r w:rsidRPr="00A75A25">
        <w:t>Expectations</w:t>
      </w:r>
    </w:p>
    <w:p w14:paraId="1B3C4120" w14:textId="77777777" w:rsidR="002376EF" w:rsidRPr="00A75A25" w:rsidRDefault="001A66F7" w:rsidP="001A66F7">
      <w:pPr>
        <w:pStyle w:val="DHHSbody"/>
      </w:pPr>
      <w:r w:rsidRPr="00A75A25">
        <w:t>The following diagram outlines ‘what good looks like’ as a result of implementing this policy.</w:t>
      </w:r>
    </w:p>
    <w:p w14:paraId="719B28D6" w14:textId="77777777" w:rsidR="00681C46" w:rsidRDefault="00681C46" w:rsidP="001A66F7">
      <w:pPr>
        <w:pStyle w:val="DHHSbody"/>
        <w:rPr>
          <w:b/>
        </w:rPr>
      </w:pPr>
      <w:r>
        <w:rPr>
          <w:b/>
        </w:rPr>
        <w:t xml:space="preserve">Figure 2: </w:t>
      </w:r>
      <w:r w:rsidR="00406C35">
        <w:rPr>
          <w:b/>
        </w:rPr>
        <w:t xml:space="preserve">What good looks like </w:t>
      </w:r>
    </w:p>
    <w:p w14:paraId="687A8D21" w14:textId="77777777" w:rsidR="001A66F7" w:rsidRPr="001A66F7" w:rsidRDefault="00A75A25" w:rsidP="001A66F7">
      <w:pPr>
        <w:pStyle w:val="DHHSbody"/>
        <w:rPr>
          <w:b/>
        </w:rPr>
      </w:pPr>
      <w:r w:rsidRPr="00A75A25">
        <w:rPr>
          <w:b/>
          <w:noProof/>
          <w:lang w:eastAsia="en-AU"/>
        </w:rPr>
        <mc:AlternateContent>
          <mc:Choice Requires="wps">
            <w:drawing>
              <wp:anchor distT="0" distB="0" distL="114300" distR="114300" simplePos="0" relativeHeight="251691008" behindDoc="0" locked="0" layoutInCell="1" allowOverlap="1" wp14:anchorId="66465AA3" wp14:editId="34100EC9">
                <wp:simplePos x="0" y="0"/>
                <wp:positionH relativeFrom="column">
                  <wp:posOffset>1078230</wp:posOffset>
                </wp:positionH>
                <wp:positionV relativeFrom="paragraph">
                  <wp:posOffset>2962659</wp:posOffset>
                </wp:positionV>
                <wp:extent cx="966158" cy="1117377"/>
                <wp:effectExtent l="0" t="0" r="5715" b="6985"/>
                <wp:wrapNone/>
                <wp:docPr id="1067" name="Freeform 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966158" cy="1117377"/>
                        </a:xfrm>
                        <a:custGeom>
                          <a:avLst/>
                          <a:gdLst>
                            <a:gd name="T0" fmla="*/ 2997 w 5074"/>
                            <a:gd name="T1" fmla="*/ 4626 h 5872"/>
                            <a:gd name="T2" fmla="*/ 3300 w 5074"/>
                            <a:gd name="T3" fmla="*/ 3685 h 5872"/>
                            <a:gd name="T4" fmla="*/ 3300 w 5074"/>
                            <a:gd name="T5" fmla="*/ 3685 h 5872"/>
                            <a:gd name="T6" fmla="*/ 3002 w 5074"/>
                            <a:gd name="T7" fmla="*/ 3673 h 5872"/>
                            <a:gd name="T8" fmla="*/ 915 w 5074"/>
                            <a:gd name="T9" fmla="*/ 2422 h 5872"/>
                            <a:gd name="T10" fmla="*/ 915 w 5074"/>
                            <a:gd name="T11" fmla="*/ 2719 h 5872"/>
                            <a:gd name="T12" fmla="*/ 4766 w 5074"/>
                            <a:gd name="T13" fmla="*/ 2803 h 5872"/>
                            <a:gd name="T14" fmla="*/ 4085 w 5074"/>
                            <a:gd name="T15" fmla="*/ 2384 h 5872"/>
                            <a:gd name="T16" fmla="*/ 3638 w 5074"/>
                            <a:gd name="T17" fmla="*/ 2874 h 5872"/>
                            <a:gd name="T18" fmla="*/ 4677 w 5074"/>
                            <a:gd name="T19" fmla="*/ 1810 h 5872"/>
                            <a:gd name="T20" fmla="*/ 4834 w 5074"/>
                            <a:gd name="T21" fmla="*/ 1861 h 5872"/>
                            <a:gd name="T22" fmla="*/ 4992 w 5074"/>
                            <a:gd name="T23" fmla="*/ 1979 h 5872"/>
                            <a:gd name="T24" fmla="*/ 5065 w 5074"/>
                            <a:gd name="T25" fmla="*/ 2123 h 5872"/>
                            <a:gd name="T26" fmla="*/ 5065 w 5074"/>
                            <a:gd name="T27" fmla="*/ 2283 h 5872"/>
                            <a:gd name="T28" fmla="*/ 4852 w 5074"/>
                            <a:gd name="T29" fmla="*/ 2666 h 5872"/>
                            <a:gd name="T30" fmla="*/ 4337 w 5074"/>
                            <a:gd name="T31" fmla="*/ 2349 h 5872"/>
                            <a:gd name="T32" fmla="*/ 4355 w 5074"/>
                            <a:gd name="T33" fmla="*/ 1975 h 5872"/>
                            <a:gd name="T34" fmla="*/ 4471 w 5074"/>
                            <a:gd name="T35" fmla="*/ 1859 h 5872"/>
                            <a:gd name="T36" fmla="*/ 4624 w 5074"/>
                            <a:gd name="T37" fmla="*/ 1810 h 5872"/>
                            <a:gd name="T38" fmla="*/ 3011 w 5074"/>
                            <a:gd name="T39" fmla="*/ 1093 h 5872"/>
                            <a:gd name="T40" fmla="*/ 3054 w 5074"/>
                            <a:gd name="T41" fmla="*/ 1288 h 5872"/>
                            <a:gd name="T42" fmla="*/ 3172 w 5074"/>
                            <a:gd name="T43" fmla="*/ 1443 h 5872"/>
                            <a:gd name="T44" fmla="*/ 3342 w 5074"/>
                            <a:gd name="T45" fmla="*/ 1537 h 5872"/>
                            <a:gd name="T46" fmla="*/ 3860 w 5074"/>
                            <a:gd name="T47" fmla="*/ 1557 h 5872"/>
                            <a:gd name="T48" fmla="*/ 881 w 5074"/>
                            <a:gd name="T49" fmla="*/ 0 h 5872"/>
                            <a:gd name="T50" fmla="*/ 4476 w 5074"/>
                            <a:gd name="T51" fmla="*/ 1673 h 5872"/>
                            <a:gd name="T52" fmla="*/ 4300 w 5074"/>
                            <a:gd name="T53" fmla="*/ 1779 h 5872"/>
                            <a:gd name="T54" fmla="*/ 4154 w 5074"/>
                            <a:gd name="T55" fmla="*/ 1982 h 5872"/>
                            <a:gd name="T56" fmla="*/ 3382 w 5074"/>
                            <a:gd name="T57" fmla="*/ 1968 h 5872"/>
                            <a:gd name="T58" fmla="*/ 3113 w 5074"/>
                            <a:gd name="T59" fmla="*/ 1893 h 5872"/>
                            <a:gd name="T60" fmla="*/ 2887 w 5074"/>
                            <a:gd name="T61" fmla="*/ 1746 h 5872"/>
                            <a:gd name="T62" fmla="*/ 2716 w 5074"/>
                            <a:gd name="T63" fmla="*/ 1536 h 5872"/>
                            <a:gd name="T64" fmla="*/ 2616 w 5074"/>
                            <a:gd name="T65" fmla="*/ 1281 h 5872"/>
                            <a:gd name="T66" fmla="*/ 2597 w 5074"/>
                            <a:gd name="T67" fmla="*/ 416 h 5872"/>
                            <a:gd name="T68" fmla="*/ 748 w 5074"/>
                            <a:gd name="T69" fmla="*/ 436 h 5872"/>
                            <a:gd name="T70" fmla="*/ 577 w 5074"/>
                            <a:gd name="T71" fmla="*/ 530 h 5872"/>
                            <a:gd name="T72" fmla="*/ 459 w 5074"/>
                            <a:gd name="T73" fmla="*/ 685 h 5872"/>
                            <a:gd name="T74" fmla="*/ 417 w 5074"/>
                            <a:gd name="T75" fmla="*/ 881 h 5872"/>
                            <a:gd name="T76" fmla="*/ 436 w 5074"/>
                            <a:gd name="T77" fmla="*/ 5125 h 5872"/>
                            <a:gd name="T78" fmla="*/ 531 w 5074"/>
                            <a:gd name="T79" fmla="*/ 5297 h 5872"/>
                            <a:gd name="T80" fmla="*/ 685 w 5074"/>
                            <a:gd name="T81" fmla="*/ 5413 h 5872"/>
                            <a:gd name="T82" fmla="*/ 881 w 5074"/>
                            <a:gd name="T83" fmla="*/ 5457 h 5872"/>
                            <a:gd name="T84" fmla="*/ 3821 w 5074"/>
                            <a:gd name="T85" fmla="*/ 5438 h 5872"/>
                            <a:gd name="T86" fmla="*/ 3992 w 5074"/>
                            <a:gd name="T87" fmla="*/ 5342 h 5872"/>
                            <a:gd name="T88" fmla="*/ 4109 w 5074"/>
                            <a:gd name="T89" fmla="*/ 5187 h 5872"/>
                            <a:gd name="T90" fmla="*/ 4154 w 5074"/>
                            <a:gd name="T91" fmla="*/ 4991 h 5872"/>
                            <a:gd name="T92" fmla="*/ 4569 w 5074"/>
                            <a:gd name="T93" fmla="*/ 3468 h 5872"/>
                            <a:gd name="T94" fmla="*/ 4547 w 5074"/>
                            <a:gd name="T95" fmla="*/ 5180 h 5872"/>
                            <a:gd name="T96" fmla="*/ 4448 w 5074"/>
                            <a:gd name="T97" fmla="*/ 5436 h 5872"/>
                            <a:gd name="T98" fmla="*/ 4277 w 5074"/>
                            <a:gd name="T99" fmla="*/ 5644 h 5872"/>
                            <a:gd name="T100" fmla="*/ 4051 w 5074"/>
                            <a:gd name="T101" fmla="*/ 5794 h 5872"/>
                            <a:gd name="T102" fmla="*/ 3784 w 5074"/>
                            <a:gd name="T103" fmla="*/ 5867 h 5872"/>
                            <a:gd name="T104" fmla="*/ 785 w 5074"/>
                            <a:gd name="T105" fmla="*/ 5867 h 5872"/>
                            <a:gd name="T106" fmla="*/ 518 w 5074"/>
                            <a:gd name="T107" fmla="*/ 5794 h 5872"/>
                            <a:gd name="T108" fmla="*/ 292 w 5074"/>
                            <a:gd name="T109" fmla="*/ 5644 h 5872"/>
                            <a:gd name="T110" fmla="*/ 121 w 5074"/>
                            <a:gd name="T111" fmla="*/ 5436 h 5872"/>
                            <a:gd name="T112" fmla="*/ 22 w 5074"/>
                            <a:gd name="T113" fmla="*/ 5180 h 5872"/>
                            <a:gd name="T114" fmla="*/ 0 w 5074"/>
                            <a:gd name="T115" fmla="*/ 881 h 5872"/>
                            <a:gd name="T116" fmla="*/ 46 w 5074"/>
                            <a:gd name="T117" fmla="*/ 603 h 5872"/>
                            <a:gd name="T118" fmla="*/ 171 w 5074"/>
                            <a:gd name="T119" fmla="*/ 361 h 5872"/>
                            <a:gd name="T120" fmla="*/ 361 w 5074"/>
                            <a:gd name="T121" fmla="*/ 171 h 5872"/>
                            <a:gd name="T122" fmla="*/ 604 w 5074"/>
                            <a:gd name="T123" fmla="*/ 46 h 5872"/>
                            <a:gd name="T124" fmla="*/ 881 w 5074"/>
                            <a:gd name="T125" fmla="*/ 0 h 5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074" h="5872">
                              <a:moveTo>
                                <a:pt x="2088" y="4329"/>
                              </a:moveTo>
                              <a:lnTo>
                                <a:pt x="2999" y="4329"/>
                              </a:lnTo>
                              <a:lnTo>
                                <a:pt x="2997" y="4626"/>
                              </a:lnTo>
                              <a:lnTo>
                                <a:pt x="2088" y="4626"/>
                              </a:lnTo>
                              <a:lnTo>
                                <a:pt x="2088" y="4329"/>
                              </a:lnTo>
                              <a:close/>
                              <a:moveTo>
                                <a:pt x="3300" y="3685"/>
                              </a:moveTo>
                              <a:lnTo>
                                <a:pt x="3980" y="4103"/>
                              </a:lnTo>
                              <a:lnTo>
                                <a:pt x="3200" y="4596"/>
                              </a:lnTo>
                              <a:lnTo>
                                <a:pt x="3300" y="3685"/>
                              </a:lnTo>
                              <a:close/>
                              <a:moveTo>
                                <a:pt x="915" y="3376"/>
                              </a:moveTo>
                              <a:lnTo>
                                <a:pt x="3004" y="3376"/>
                              </a:lnTo>
                              <a:lnTo>
                                <a:pt x="3002" y="3673"/>
                              </a:lnTo>
                              <a:lnTo>
                                <a:pt x="915" y="3673"/>
                              </a:lnTo>
                              <a:lnTo>
                                <a:pt x="915" y="3376"/>
                              </a:lnTo>
                              <a:close/>
                              <a:moveTo>
                                <a:pt x="915" y="2422"/>
                              </a:moveTo>
                              <a:lnTo>
                                <a:pt x="3259" y="2422"/>
                              </a:lnTo>
                              <a:lnTo>
                                <a:pt x="3259" y="2719"/>
                              </a:lnTo>
                              <a:lnTo>
                                <a:pt x="915" y="2719"/>
                              </a:lnTo>
                              <a:lnTo>
                                <a:pt x="915" y="2422"/>
                              </a:lnTo>
                              <a:close/>
                              <a:moveTo>
                                <a:pt x="4085" y="2384"/>
                              </a:moveTo>
                              <a:lnTo>
                                <a:pt x="4766" y="2803"/>
                              </a:lnTo>
                              <a:lnTo>
                                <a:pt x="4076" y="3961"/>
                              </a:lnTo>
                              <a:lnTo>
                                <a:pt x="3394" y="3539"/>
                              </a:lnTo>
                              <a:lnTo>
                                <a:pt x="4085" y="2384"/>
                              </a:lnTo>
                              <a:close/>
                              <a:moveTo>
                                <a:pt x="3819" y="2221"/>
                              </a:moveTo>
                              <a:lnTo>
                                <a:pt x="3971" y="2315"/>
                              </a:lnTo>
                              <a:lnTo>
                                <a:pt x="3638" y="2874"/>
                              </a:lnTo>
                              <a:lnTo>
                                <a:pt x="3488" y="2778"/>
                              </a:lnTo>
                              <a:lnTo>
                                <a:pt x="3819" y="2221"/>
                              </a:lnTo>
                              <a:close/>
                              <a:moveTo>
                                <a:pt x="4677" y="1810"/>
                              </a:moveTo>
                              <a:lnTo>
                                <a:pt x="4731" y="1819"/>
                              </a:lnTo>
                              <a:lnTo>
                                <a:pt x="4784" y="1835"/>
                              </a:lnTo>
                              <a:lnTo>
                                <a:pt x="4834" y="1861"/>
                              </a:lnTo>
                              <a:lnTo>
                                <a:pt x="4908" y="1908"/>
                              </a:lnTo>
                              <a:lnTo>
                                <a:pt x="4955" y="1940"/>
                              </a:lnTo>
                              <a:lnTo>
                                <a:pt x="4992" y="1979"/>
                              </a:lnTo>
                              <a:lnTo>
                                <a:pt x="5024" y="2023"/>
                              </a:lnTo>
                              <a:lnTo>
                                <a:pt x="5049" y="2071"/>
                              </a:lnTo>
                              <a:lnTo>
                                <a:pt x="5065" y="2123"/>
                              </a:lnTo>
                              <a:lnTo>
                                <a:pt x="5074" y="2176"/>
                              </a:lnTo>
                              <a:lnTo>
                                <a:pt x="5074" y="2230"/>
                              </a:lnTo>
                              <a:lnTo>
                                <a:pt x="5065" y="2283"/>
                              </a:lnTo>
                              <a:lnTo>
                                <a:pt x="5049" y="2336"/>
                              </a:lnTo>
                              <a:lnTo>
                                <a:pt x="5022" y="2386"/>
                              </a:lnTo>
                              <a:lnTo>
                                <a:pt x="4852" y="2666"/>
                              </a:lnTo>
                              <a:lnTo>
                                <a:pt x="4485" y="2440"/>
                              </a:lnTo>
                              <a:lnTo>
                                <a:pt x="4453" y="2420"/>
                              </a:lnTo>
                              <a:lnTo>
                                <a:pt x="4337" y="2349"/>
                              </a:lnTo>
                              <a:lnTo>
                                <a:pt x="4307" y="2329"/>
                              </a:lnTo>
                              <a:lnTo>
                                <a:pt x="4182" y="2254"/>
                              </a:lnTo>
                              <a:lnTo>
                                <a:pt x="4355" y="1975"/>
                              </a:lnTo>
                              <a:lnTo>
                                <a:pt x="4387" y="1931"/>
                              </a:lnTo>
                              <a:lnTo>
                                <a:pt x="4428" y="1891"/>
                              </a:lnTo>
                              <a:lnTo>
                                <a:pt x="4471" y="1859"/>
                              </a:lnTo>
                              <a:lnTo>
                                <a:pt x="4519" y="1835"/>
                              </a:lnTo>
                              <a:lnTo>
                                <a:pt x="4570" y="1819"/>
                              </a:lnTo>
                              <a:lnTo>
                                <a:pt x="4624" y="1810"/>
                              </a:lnTo>
                              <a:lnTo>
                                <a:pt x="4677" y="1810"/>
                              </a:lnTo>
                              <a:close/>
                              <a:moveTo>
                                <a:pt x="3011" y="710"/>
                              </a:moveTo>
                              <a:lnTo>
                                <a:pt x="3011" y="1093"/>
                              </a:lnTo>
                              <a:lnTo>
                                <a:pt x="3017" y="1160"/>
                              </a:lnTo>
                              <a:lnTo>
                                <a:pt x="3031" y="1226"/>
                              </a:lnTo>
                              <a:lnTo>
                                <a:pt x="3054" y="1288"/>
                              </a:lnTo>
                              <a:lnTo>
                                <a:pt x="3086" y="1345"/>
                              </a:lnTo>
                              <a:lnTo>
                                <a:pt x="3125" y="1397"/>
                              </a:lnTo>
                              <a:lnTo>
                                <a:pt x="3172" y="1443"/>
                              </a:lnTo>
                              <a:lnTo>
                                <a:pt x="3223" y="1482"/>
                              </a:lnTo>
                              <a:lnTo>
                                <a:pt x="3280" y="1514"/>
                              </a:lnTo>
                              <a:lnTo>
                                <a:pt x="3342" y="1537"/>
                              </a:lnTo>
                              <a:lnTo>
                                <a:pt x="3408" y="1552"/>
                              </a:lnTo>
                              <a:lnTo>
                                <a:pt x="3478" y="1557"/>
                              </a:lnTo>
                              <a:lnTo>
                                <a:pt x="3860" y="1557"/>
                              </a:lnTo>
                              <a:lnTo>
                                <a:pt x="3435" y="1133"/>
                              </a:lnTo>
                              <a:lnTo>
                                <a:pt x="3011" y="710"/>
                              </a:lnTo>
                              <a:close/>
                              <a:moveTo>
                                <a:pt x="881" y="0"/>
                              </a:moveTo>
                              <a:lnTo>
                                <a:pt x="2889" y="0"/>
                              </a:lnTo>
                              <a:lnTo>
                                <a:pt x="4542" y="1653"/>
                              </a:lnTo>
                              <a:lnTo>
                                <a:pt x="4476" y="1673"/>
                              </a:lnTo>
                              <a:lnTo>
                                <a:pt x="4412" y="1699"/>
                              </a:lnTo>
                              <a:lnTo>
                                <a:pt x="4353" y="1735"/>
                              </a:lnTo>
                              <a:lnTo>
                                <a:pt x="4300" y="1779"/>
                              </a:lnTo>
                              <a:lnTo>
                                <a:pt x="4252" y="1829"/>
                              </a:lnTo>
                              <a:lnTo>
                                <a:pt x="4211" y="1888"/>
                              </a:lnTo>
                              <a:lnTo>
                                <a:pt x="4154" y="1982"/>
                              </a:lnTo>
                              <a:lnTo>
                                <a:pt x="4154" y="1973"/>
                              </a:lnTo>
                              <a:lnTo>
                                <a:pt x="3478" y="1973"/>
                              </a:lnTo>
                              <a:lnTo>
                                <a:pt x="3382" y="1968"/>
                              </a:lnTo>
                              <a:lnTo>
                                <a:pt x="3287" y="1952"/>
                              </a:lnTo>
                              <a:lnTo>
                                <a:pt x="3198" y="1927"/>
                              </a:lnTo>
                              <a:lnTo>
                                <a:pt x="3113" y="1893"/>
                              </a:lnTo>
                              <a:lnTo>
                                <a:pt x="3033" y="1852"/>
                              </a:lnTo>
                              <a:lnTo>
                                <a:pt x="2956" y="1803"/>
                              </a:lnTo>
                              <a:lnTo>
                                <a:pt x="2887" y="1746"/>
                              </a:lnTo>
                              <a:lnTo>
                                <a:pt x="2823" y="1682"/>
                              </a:lnTo>
                              <a:lnTo>
                                <a:pt x="2766" y="1612"/>
                              </a:lnTo>
                              <a:lnTo>
                                <a:pt x="2716" y="1536"/>
                              </a:lnTo>
                              <a:lnTo>
                                <a:pt x="2675" y="1456"/>
                              </a:lnTo>
                              <a:lnTo>
                                <a:pt x="2641" y="1370"/>
                              </a:lnTo>
                              <a:lnTo>
                                <a:pt x="2616" y="1281"/>
                              </a:lnTo>
                              <a:lnTo>
                                <a:pt x="2600" y="1187"/>
                              </a:lnTo>
                              <a:lnTo>
                                <a:pt x="2597" y="1093"/>
                              </a:lnTo>
                              <a:lnTo>
                                <a:pt x="2597" y="416"/>
                              </a:lnTo>
                              <a:lnTo>
                                <a:pt x="881" y="416"/>
                              </a:lnTo>
                              <a:lnTo>
                                <a:pt x="814" y="420"/>
                              </a:lnTo>
                              <a:lnTo>
                                <a:pt x="748" y="436"/>
                              </a:lnTo>
                              <a:lnTo>
                                <a:pt x="685" y="459"/>
                              </a:lnTo>
                              <a:lnTo>
                                <a:pt x="628" y="491"/>
                              </a:lnTo>
                              <a:lnTo>
                                <a:pt x="577" y="530"/>
                              </a:lnTo>
                              <a:lnTo>
                                <a:pt x="531" y="577"/>
                              </a:lnTo>
                              <a:lnTo>
                                <a:pt x="491" y="628"/>
                              </a:lnTo>
                              <a:lnTo>
                                <a:pt x="459" y="685"/>
                              </a:lnTo>
                              <a:lnTo>
                                <a:pt x="436" y="747"/>
                              </a:lnTo>
                              <a:lnTo>
                                <a:pt x="420" y="813"/>
                              </a:lnTo>
                              <a:lnTo>
                                <a:pt x="417" y="881"/>
                              </a:lnTo>
                              <a:lnTo>
                                <a:pt x="417" y="4991"/>
                              </a:lnTo>
                              <a:lnTo>
                                <a:pt x="420" y="5061"/>
                              </a:lnTo>
                              <a:lnTo>
                                <a:pt x="436" y="5125"/>
                              </a:lnTo>
                              <a:lnTo>
                                <a:pt x="459" y="5187"/>
                              </a:lnTo>
                              <a:lnTo>
                                <a:pt x="491" y="5244"/>
                              </a:lnTo>
                              <a:lnTo>
                                <a:pt x="531" y="5297"/>
                              </a:lnTo>
                              <a:lnTo>
                                <a:pt x="577" y="5342"/>
                              </a:lnTo>
                              <a:lnTo>
                                <a:pt x="628" y="5381"/>
                              </a:lnTo>
                              <a:lnTo>
                                <a:pt x="685" y="5413"/>
                              </a:lnTo>
                              <a:lnTo>
                                <a:pt x="748" y="5438"/>
                              </a:lnTo>
                              <a:lnTo>
                                <a:pt x="814" y="5452"/>
                              </a:lnTo>
                              <a:lnTo>
                                <a:pt x="881" y="5457"/>
                              </a:lnTo>
                              <a:lnTo>
                                <a:pt x="3688" y="5457"/>
                              </a:lnTo>
                              <a:lnTo>
                                <a:pt x="3755" y="5452"/>
                              </a:lnTo>
                              <a:lnTo>
                                <a:pt x="3821" y="5438"/>
                              </a:lnTo>
                              <a:lnTo>
                                <a:pt x="3883" y="5413"/>
                              </a:lnTo>
                              <a:lnTo>
                                <a:pt x="3940" y="5381"/>
                              </a:lnTo>
                              <a:lnTo>
                                <a:pt x="3992" y="5342"/>
                              </a:lnTo>
                              <a:lnTo>
                                <a:pt x="4038" y="5297"/>
                              </a:lnTo>
                              <a:lnTo>
                                <a:pt x="4077" y="5244"/>
                              </a:lnTo>
                              <a:lnTo>
                                <a:pt x="4109" y="5187"/>
                              </a:lnTo>
                              <a:lnTo>
                                <a:pt x="4133" y="5125"/>
                              </a:lnTo>
                              <a:lnTo>
                                <a:pt x="4149" y="5061"/>
                              </a:lnTo>
                              <a:lnTo>
                                <a:pt x="4154" y="4991"/>
                              </a:lnTo>
                              <a:lnTo>
                                <a:pt x="4154" y="4158"/>
                              </a:lnTo>
                              <a:lnTo>
                                <a:pt x="4163" y="4153"/>
                              </a:lnTo>
                              <a:lnTo>
                                <a:pt x="4569" y="3468"/>
                              </a:lnTo>
                              <a:lnTo>
                                <a:pt x="4569" y="4991"/>
                              </a:lnTo>
                              <a:lnTo>
                                <a:pt x="4563" y="5087"/>
                              </a:lnTo>
                              <a:lnTo>
                                <a:pt x="4547" y="5180"/>
                              </a:lnTo>
                              <a:lnTo>
                                <a:pt x="4524" y="5269"/>
                              </a:lnTo>
                              <a:lnTo>
                                <a:pt x="4490" y="5354"/>
                              </a:lnTo>
                              <a:lnTo>
                                <a:pt x="4448" y="5436"/>
                              </a:lnTo>
                              <a:lnTo>
                                <a:pt x="4398" y="5511"/>
                              </a:lnTo>
                              <a:lnTo>
                                <a:pt x="4341" y="5580"/>
                              </a:lnTo>
                              <a:lnTo>
                                <a:pt x="4277" y="5644"/>
                              </a:lnTo>
                              <a:lnTo>
                                <a:pt x="4207" y="5701"/>
                              </a:lnTo>
                              <a:lnTo>
                                <a:pt x="4131" y="5751"/>
                              </a:lnTo>
                              <a:lnTo>
                                <a:pt x="4051" y="5794"/>
                              </a:lnTo>
                              <a:lnTo>
                                <a:pt x="3965" y="5828"/>
                              </a:lnTo>
                              <a:lnTo>
                                <a:pt x="3876" y="5852"/>
                              </a:lnTo>
                              <a:lnTo>
                                <a:pt x="3784" y="5867"/>
                              </a:lnTo>
                              <a:lnTo>
                                <a:pt x="3688" y="5872"/>
                              </a:lnTo>
                              <a:lnTo>
                                <a:pt x="881" y="5872"/>
                              </a:lnTo>
                              <a:lnTo>
                                <a:pt x="785" y="5867"/>
                              </a:lnTo>
                              <a:lnTo>
                                <a:pt x="693" y="5852"/>
                              </a:lnTo>
                              <a:lnTo>
                                <a:pt x="604" y="5828"/>
                              </a:lnTo>
                              <a:lnTo>
                                <a:pt x="518" y="5794"/>
                              </a:lnTo>
                              <a:lnTo>
                                <a:pt x="438" y="5751"/>
                              </a:lnTo>
                              <a:lnTo>
                                <a:pt x="361" y="5701"/>
                              </a:lnTo>
                              <a:lnTo>
                                <a:pt x="292" y="5644"/>
                              </a:lnTo>
                              <a:lnTo>
                                <a:pt x="228" y="5580"/>
                              </a:lnTo>
                              <a:lnTo>
                                <a:pt x="171" y="5511"/>
                              </a:lnTo>
                              <a:lnTo>
                                <a:pt x="121" y="5436"/>
                              </a:lnTo>
                              <a:lnTo>
                                <a:pt x="79" y="5354"/>
                              </a:lnTo>
                              <a:lnTo>
                                <a:pt x="46" y="5269"/>
                              </a:lnTo>
                              <a:lnTo>
                                <a:pt x="22" y="5180"/>
                              </a:lnTo>
                              <a:lnTo>
                                <a:pt x="6" y="5087"/>
                              </a:lnTo>
                              <a:lnTo>
                                <a:pt x="0" y="4991"/>
                              </a:lnTo>
                              <a:lnTo>
                                <a:pt x="0" y="881"/>
                              </a:lnTo>
                              <a:lnTo>
                                <a:pt x="6" y="785"/>
                              </a:lnTo>
                              <a:lnTo>
                                <a:pt x="22" y="692"/>
                              </a:lnTo>
                              <a:lnTo>
                                <a:pt x="46" y="603"/>
                              </a:lnTo>
                              <a:lnTo>
                                <a:pt x="79" y="518"/>
                              </a:lnTo>
                              <a:lnTo>
                                <a:pt x="121" y="438"/>
                              </a:lnTo>
                              <a:lnTo>
                                <a:pt x="171" y="361"/>
                              </a:lnTo>
                              <a:lnTo>
                                <a:pt x="228" y="292"/>
                              </a:lnTo>
                              <a:lnTo>
                                <a:pt x="292" y="228"/>
                              </a:lnTo>
                              <a:lnTo>
                                <a:pt x="361" y="171"/>
                              </a:lnTo>
                              <a:lnTo>
                                <a:pt x="438" y="121"/>
                              </a:lnTo>
                              <a:lnTo>
                                <a:pt x="518" y="78"/>
                              </a:lnTo>
                              <a:lnTo>
                                <a:pt x="604" y="46"/>
                              </a:lnTo>
                              <a:lnTo>
                                <a:pt x="693" y="21"/>
                              </a:lnTo>
                              <a:lnTo>
                                <a:pt x="785" y="5"/>
                              </a:lnTo>
                              <a:lnTo>
                                <a:pt x="881" y="0"/>
                              </a:lnTo>
                              <a:close/>
                            </a:path>
                          </a:pathLst>
                        </a:custGeom>
                        <a:solidFill>
                          <a:srgbClr val="00338D"/>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8566A3" id="Freeform 278" o:spid="_x0000_s1026" style="position:absolute;margin-left:84.9pt;margin-top:233.3pt;width:76.1pt;height: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074,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" path="m2088,4329r911,l2997,4626r-909,l2088,4329xm3300,3685r680,418l3200,4596r100,-911xm915,3376r2089,l3002,3673r-2087,l915,3376xm915,2422r2344,l3259,2719r-2344,l915,2422xm4085,2384r681,419l4076,3961,3394,3539,4085,2384xm3819,2221r152,94l3638,2874r-150,-96l3819,2221xm4677,1810r54,9l4784,1835r50,26l4908,1908r47,32l4992,1979r32,44l5049,2071r16,52l5074,2176r,54l5065,2283r-16,53l5022,2386r-170,280l4485,2440r-32,-20l4337,2349r-30,-20l4182,2254r173,-279l4387,1931r41,-40l4471,1859r48,-24l4570,1819r54,-9l4677,1810xm3011,710r,383l3017,1160r14,66l3054,1288r32,57l3125,1397r47,46l3223,1482r57,32l3342,1537r66,15l3478,1557r382,l3435,1133,3011,710xm881,l2889,,4542,1653r-66,20l4412,1699r-59,36l4300,1779r-48,50l4211,1888r-57,94l4154,1973r-676,l3382,1968r-95,-16l3198,1927r-85,-34l3033,1852r-77,-49l2887,1746r-64,-64l2766,1612r-50,-76l2675,1456r-34,-86l2616,1281r-16,-94l2597,1093r,-677l881,416r-67,4l748,436r-63,23l628,491r-51,39l531,577r-40,51l459,685r-23,62l420,813r-3,68l417,4991r3,70l436,5125r23,62l491,5244r40,53l577,5342r51,39l685,5413r63,25l814,5452r67,5l3688,5457r67,-5l3821,5438r62,-25l3940,5381r52,-39l4038,5297r39,-53l4109,5187r24,-62l4149,5061r5,-70l4154,4158r9,-5l4569,3468r,1523l4563,5087r-16,93l4524,5269r-34,85l4448,5436r-50,75l4341,5580r-64,64l4207,5701r-76,50l4051,5794r-86,34l3876,5852r-92,15l3688,5872r-2807,l785,5867r-92,-15l604,5828r-86,-34l438,5751r-77,-50l292,5644r-64,-64l171,5511r-50,-75l79,5354,46,5269,22,5180,6,5087,,4991,,881,6,785,22,692,46,603,79,518r42,-80l171,361r57,-69l292,228r69,-57l438,121,518,78,604,46,693,21,785,5,881,xe" fillcolor="#00338d" stroked="f" strokeweight="0">
                <v:path arrowok="t" o:connecttype="custom" o:connectlocs="570669,880277;628364,701215;628364,701215;571621,698931;174228,460880;174228,517396;907511,533380;777839,453649;692724,546891;890564,344423;920459,354128;950544,376582;964444,403984;964444,434430;923886,507310;825823,446989;829251,375821;851339,353747;880472,344423;573335,207986;581523,245092;603992,274587;636362,292474;734996,296280;167754,0;852291,318353;818778,338524;790978,377153;643978,374489;592757,360217;549724,332245;517163,292284;498122,243760;494504,79160;142429,82966;109869,100853;87400,130348;79402,167645;83020,975231;101110,1007961;130433,1030034;167754,1038407;727570,1034792;760131,1016524;782409,987029;790978,949732;869999,659922;865810,985697;846959,1034411;814398,1073991;771365,1102534;720525,1116426;149475,1116426;98634,1102534;55601,1073991;23040,1034411;4189,985697;0,167645;8759,114744;32561,68694;68739,32539;115010,8753;167754,0" o:connectangles="0,0,0,0,0,0,0,0,0,0,0,0,0,0,0,0,0,0,0,0,0,0,0,0,0,0,0,0,0,0,0,0,0,0,0,0,0,0,0,0,0,0,0,0,0,0,0,0,0,0,0,0,0,0,0,0,0,0,0,0,0,0,0"/>
                <o:lock v:ext="edit" aspectratio="t" verticies="t"/>
              </v:shape>
            </w:pict>
          </mc:Fallback>
        </mc:AlternateContent>
      </w:r>
      <w:r w:rsidRPr="00A75A25">
        <w:rPr>
          <w:b/>
          <w:noProof/>
          <w:lang w:eastAsia="en-AU"/>
        </w:rPr>
        <mc:AlternateContent>
          <mc:Choice Requires="wps">
            <w:drawing>
              <wp:anchor distT="0" distB="0" distL="114300" distR="114300" simplePos="0" relativeHeight="251687936" behindDoc="0" locked="0" layoutInCell="1" allowOverlap="1" wp14:anchorId="6713FA40" wp14:editId="0474632A">
                <wp:simplePos x="0" y="0"/>
                <wp:positionH relativeFrom="column">
                  <wp:posOffset>3517529</wp:posOffset>
                </wp:positionH>
                <wp:positionV relativeFrom="paragraph">
                  <wp:posOffset>1759585</wp:posOffset>
                </wp:positionV>
                <wp:extent cx="1119268" cy="767751"/>
                <wp:effectExtent l="0" t="0" r="5080" b="0"/>
                <wp:wrapNone/>
                <wp:docPr id="860"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19268" cy="767751"/>
                        </a:xfrm>
                        <a:custGeom>
                          <a:avLst/>
                          <a:gdLst>
                            <a:gd name="T0" fmla="*/ 88 w 128"/>
                            <a:gd name="T1" fmla="*/ 68 h 88"/>
                            <a:gd name="T2" fmla="*/ 60 w 128"/>
                            <a:gd name="T3" fmla="*/ 53 h 88"/>
                            <a:gd name="T4" fmla="*/ 60 w 128"/>
                            <a:gd name="T5" fmla="*/ 38 h 88"/>
                            <a:gd name="T6" fmla="*/ 64 w 128"/>
                            <a:gd name="T7" fmla="*/ 29 h 88"/>
                            <a:gd name="T8" fmla="*/ 64 w 128"/>
                            <a:gd name="T9" fmla="*/ 18 h 88"/>
                            <a:gd name="T10" fmla="*/ 46 w 128"/>
                            <a:gd name="T11" fmla="*/ 0 h 88"/>
                            <a:gd name="T12" fmla="*/ 28 w 128"/>
                            <a:gd name="T13" fmla="*/ 18 h 88"/>
                            <a:gd name="T14" fmla="*/ 28 w 128"/>
                            <a:gd name="T15" fmla="*/ 29 h 88"/>
                            <a:gd name="T16" fmla="*/ 32 w 128"/>
                            <a:gd name="T17" fmla="*/ 38 h 88"/>
                            <a:gd name="T18" fmla="*/ 32 w 128"/>
                            <a:gd name="T19" fmla="*/ 53 h 88"/>
                            <a:gd name="T20" fmla="*/ 4 w 128"/>
                            <a:gd name="T21" fmla="*/ 68 h 88"/>
                            <a:gd name="T22" fmla="*/ 0 w 128"/>
                            <a:gd name="T23" fmla="*/ 76 h 88"/>
                            <a:gd name="T24" fmla="*/ 0 w 128"/>
                            <a:gd name="T25" fmla="*/ 86 h 88"/>
                            <a:gd name="T26" fmla="*/ 2 w 128"/>
                            <a:gd name="T27" fmla="*/ 88 h 88"/>
                            <a:gd name="T28" fmla="*/ 90 w 128"/>
                            <a:gd name="T29" fmla="*/ 88 h 88"/>
                            <a:gd name="T30" fmla="*/ 92 w 128"/>
                            <a:gd name="T31" fmla="*/ 86 h 88"/>
                            <a:gd name="T32" fmla="*/ 92 w 128"/>
                            <a:gd name="T33" fmla="*/ 76 h 88"/>
                            <a:gd name="T34" fmla="*/ 88 w 128"/>
                            <a:gd name="T35" fmla="*/ 68 h 88"/>
                            <a:gd name="T36" fmla="*/ 124 w 128"/>
                            <a:gd name="T37" fmla="*/ 76 h 88"/>
                            <a:gd name="T38" fmla="*/ 104 w 128"/>
                            <a:gd name="T39" fmla="*/ 66 h 88"/>
                            <a:gd name="T40" fmla="*/ 104 w 128"/>
                            <a:gd name="T41" fmla="*/ 58 h 88"/>
                            <a:gd name="T42" fmla="*/ 119 w 128"/>
                            <a:gd name="T43" fmla="*/ 51 h 88"/>
                            <a:gd name="T44" fmla="*/ 114 w 128"/>
                            <a:gd name="T45" fmla="*/ 43 h 88"/>
                            <a:gd name="T46" fmla="*/ 110 w 128"/>
                            <a:gd name="T47" fmla="*/ 27 h 88"/>
                            <a:gd name="T48" fmla="*/ 94 w 128"/>
                            <a:gd name="T49" fmla="*/ 12 h 88"/>
                            <a:gd name="T50" fmla="*/ 79 w 128"/>
                            <a:gd name="T51" fmla="*/ 27 h 88"/>
                            <a:gd name="T52" fmla="*/ 74 w 128"/>
                            <a:gd name="T53" fmla="*/ 43 h 88"/>
                            <a:gd name="T54" fmla="*/ 69 w 128"/>
                            <a:gd name="T55" fmla="*/ 51 h 88"/>
                            <a:gd name="T56" fmla="*/ 72 w 128"/>
                            <a:gd name="T57" fmla="*/ 54 h 88"/>
                            <a:gd name="T58" fmla="*/ 77 w 128"/>
                            <a:gd name="T59" fmla="*/ 57 h 88"/>
                            <a:gd name="T60" fmla="*/ 84 w 128"/>
                            <a:gd name="T61" fmla="*/ 58 h 88"/>
                            <a:gd name="T62" fmla="*/ 84 w 128"/>
                            <a:gd name="T63" fmla="*/ 60 h 88"/>
                            <a:gd name="T64" fmla="*/ 89 w 128"/>
                            <a:gd name="T65" fmla="*/ 63 h 88"/>
                            <a:gd name="T66" fmla="*/ 96 w 128"/>
                            <a:gd name="T67" fmla="*/ 74 h 88"/>
                            <a:gd name="T68" fmla="*/ 96 w 128"/>
                            <a:gd name="T69" fmla="*/ 88 h 88"/>
                            <a:gd name="T70" fmla="*/ 126 w 128"/>
                            <a:gd name="T71" fmla="*/ 88 h 88"/>
                            <a:gd name="T72" fmla="*/ 128 w 128"/>
                            <a:gd name="T73" fmla="*/ 86 h 88"/>
                            <a:gd name="T74" fmla="*/ 128 w 128"/>
                            <a:gd name="T75" fmla="*/ 82 h 88"/>
                            <a:gd name="T76" fmla="*/ 124 w 128"/>
                            <a:gd name="T77" fmla="*/ 7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8" h="88">
                              <a:moveTo>
                                <a:pt x="88" y="68"/>
                              </a:moveTo>
                              <a:cubicBezTo>
                                <a:pt x="85" y="67"/>
                                <a:pt x="68" y="57"/>
                                <a:pt x="60" y="53"/>
                              </a:cubicBezTo>
                              <a:cubicBezTo>
                                <a:pt x="60" y="38"/>
                                <a:pt x="60" y="38"/>
                                <a:pt x="60" y="38"/>
                              </a:cubicBezTo>
                              <a:cubicBezTo>
                                <a:pt x="62" y="37"/>
                                <a:pt x="64" y="34"/>
                                <a:pt x="64" y="29"/>
                              </a:cubicBezTo>
                              <a:cubicBezTo>
                                <a:pt x="64" y="18"/>
                                <a:pt x="64" y="18"/>
                                <a:pt x="64" y="18"/>
                              </a:cubicBezTo>
                              <a:cubicBezTo>
                                <a:pt x="64" y="8"/>
                                <a:pt x="58" y="0"/>
                                <a:pt x="46" y="0"/>
                              </a:cubicBezTo>
                              <a:cubicBezTo>
                                <a:pt x="34" y="0"/>
                                <a:pt x="28" y="8"/>
                                <a:pt x="28" y="18"/>
                              </a:cubicBezTo>
                              <a:cubicBezTo>
                                <a:pt x="28" y="18"/>
                                <a:pt x="28" y="19"/>
                                <a:pt x="28" y="29"/>
                              </a:cubicBezTo>
                              <a:cubicBezTo>
                                <a:pt x="28" y="34"/>
                                <a:pt x="29" y="37"/>
                                <a:pt x="32" y="38"/>
                              </a:cubicBezTo>
                              <a:cubicBezTo>
                                <a:pt x="32" y="53"/>
                                <a:pt x="32" y="53"/>
                                <a:pt x="32" y="53"/>
                              </a:cubicBezTo>
                              <a:cubicBezTo>
                                <a:pt x="24" y="57"/>
                                <a:pt x="6" y="67"/>
                                <a:pt x="4" y="68"/>
                              </a:cubicBezTo>
                              <a:cubicBezTo>
                                <a:pt x="1" y="70"/>
                                <a:pt x="0" y="72"/>
                                <a:pt x="0" y="76"/>
                              </a:cubicBezTo>
                              <a:cubicBezTo>
                                <a:pt x="0" y="78"/>
                                <a:pt x="0" y="86"/>
                                <a:pt x="0" y="86"/>
                              </a:cubicBezTo>
                              <a:cubicBezTo>
                                <a:pt x="0" y="87"/>
                                <a:pt x="1" y="88"/>
                                <a:pt x="2" y="88"/>
                              </a:cubicBezTo>
                              <a:cubicBezTo>
                                <a:pt x="90" y="88"/>
                                <a:pt x="90" y="88"/>
                                <a:pt x="90" y="88"/>
                              </a:cubicBezTo>
                              <a:cubicBezTo>
                                <a:pt x="91" y="88"/>
                                <a:pt x="92" y="87"/>
                                <a:pt x="92" y="86"/>
                              </a:cubicBezTo>
                              <a:cubicBezTo>
                                <a:pt x="92" y="86"/>
                                <a:pt x="92" y="78"/>
                                <a:pt x="92" y="76"/>
                              </a:cubicBezTo>
                              <a:cubicBezTo>
                                <a:pt x="92" y="72"/>
                                <a:pt x="91" y="70"/>
                                <a:pt x="88" y="68"/>
                              </a:cubicBezTo>
                              <a:close/>
                              <a:moveTo>
                                <a:pt x="124" y="76"/>
                              </a:moveTo>
                              <a:cubicBezTo>
                                <a:pt x="121" y="74"/>
                                <a:pt x="112" y="70"/>
                                <a:pt x="104" y="66"/>
                              </a:cubicBezTo>
                              <a:cubicBezTo>
                                <a:pt x="104" y="66"/>
                                <a:pt x="104" y="61"/>
                                <a:pt x="104" y="58"/>
                              </a:cubicBezTo>
                              <a:cubicBezTo>
                                <a:pt x="112" y="58"/>
                                <a:pt x="117" y="54"/>
                                <a:pt x="119" y="51"/>
                              </a:cubicBezTo>
                              <a:cubicBezTo>
                                <a:pt x="122" y="49"/>
                                <a:pt x="117" y="47"/>
                                <a:pt x="114" y="43"/>
                              </a:cubicBezTo>
                              <a:cubicBezTo>
                                <a:pt x="111" y="39"/>
                                <a:pt x="110" y="35"/>
                                <a:pt x="110" y="27"/>
                              </a:cubicBezTo>
                              <a:cubicBezTo>
                                <a:pt x="110" y="20"/>
                                <a:pt x="104" y="12"/>
                                <a:pt x="94" y="12"/>
                              </a:cubicBezTo>
                              <a:cubicBezTo>
                                <a:pt x="85" y="12"/>
                                <a:pt x="79" y="20"/>
                                <a:pt x="79" y="27"/>
                              </a:cubicBezTo>
                              <a:cubicBezTo>
                                <a:pt x="79" y="35"/>
                                <a:pt x="78" y="39"/>
                                <a:pt x="74" y="43"/>
                              </a:cubicBezTo>
                              <a:cubicBezTo>
                                <a:pt x="71" y="47"/>
                                <a:pt x="66" y="49"/>
                                <a:pt x="69" y="51"/>
                              </a:cubicBezTo>
                              <a:cubicBezTo>
                                <a:pt x="69" y="52"/>
                                <a:pt x="70" y="53"/>
                                <a:pt x="72" y="54"/>
                              </a:cubicBezTo>
                              <a:cubicBezTo>
                                <a:pt x="74" y="55"/>
                                <a:pt x="75" y="56"/>
                                <a:pt x="77" y="57"/>
                              </a:cubicBezTo>
                              <a:cubicBezTo>
                                <a:pt x="79" y="58"/>
                                <a:pt x="81" y="58"/>
                                <a:pt x="84" y="58"/>
                              </a:cubicBezTo>
                              <a:cubicBezTo>
                                <a:pt x="84" y="59"/>
                                <a:pt x="84" y="59"/>
                                <a:pt x="84" y="60"/>
                              </a:cubicBezTo>
                              <a:cubicBezTo>
                                <a:pt x="86" y="61"/>
                                <a:pt x="87" y="62"/>
                                <a:pt x="89" y="63"/>
                              </a:cubicBezTo>
                              <a:cubicBezTo>
                                <a:pt x="95" y="66"/>
                                <a:pt x="96" y="69"/>
                                <a:pt x="96" y="74"/>
                              </a:cubicBezTo>
                              <a:cubicBezTo>
                                <a:pt x="96" y="88"/>
                                <a:pt x="96" y="88"/>
                                <a:pt x="96" y="88"/>
                              </a:cubicBezTo>
                              <a:cubicBezTo>
                                <a:pt x="126" y="88"/>
                                <a:pt x="126" y="88"/>
                                <a:pt x="126" y="88"/>
                              </a:cubicBezTo>
                              <a:cubicBezTo>
                                <a:pt x="127" y="88"/>
                                <a:pt x="128" y="87"/>
                                <a:pt x="128" y="86"/>
                              </a:cubicBezTo>
                              <a:cubicBezTo>
                                <a:pt x="128" y="82"/>
                                <a:pt x="128" y="82"/>
                                <a:pt x="128" y="82"/>
                              </a:cubicBezTo>
                              <a:cubicBezTo>
                                <a:pt x="128" y="79"/>
                                <a:pt x="126" y="77"/>
                                <a:pt x="124" y="76"/>
                              </a:cubicBezTo>
                              <a:close/>
                            </a:path>
                          </a:pathLst>
                        </a:custGeom>
                        <a:solidFill>
                          <a:srgbClr val="00338D"/>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2D14B1" id="Freeform 750" o:spid="_x0000_s1026" style="position:absolute;margin-left:276.95pt;margin-top:138.55pt;width:88.15pt;height:6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" path="m88,68c85,67,68,57,60,53v,-15,,-15,,-15c62,37,64,34,64,29v,-11,,-11,,-11c64,8,58,,46,,34,,28,8,28,18v,,,1,,11c28,34,29,37,32,38v,15,,15,,15c24,57,6,67,4,68,1,70,,72,,76v,2,,10,,10c,87,1,88,2,88v88,,88,,88,c91,88,92,87,92,86v,,,-8,,-10c92,72,91,70,88,68xm124,76c121,74,112,70,104,66v,,,-5,,-8c112,58,117,54,119,51v3,-2,-2,-4,-5,-8c111,39,110,35,110,27v,-7,-6,-15,-16,-15c85,12,79,20,79,27v,8,-1,12,-5,16c71,47,66,49,69,51v,1,1,2,3,3c74,55,75,56,77,57v2,1,4,1,7,1c84,59,84,59,84,60v2,1,3,2,5,3c95,66,96,69,96,74v,14,,14,,14c126,88,126,88,126,88v1,,2,-1,2,-2c128,82,128,82,128,82v,-3,-2,-5,-4,-6xe" fillcolor="#00338d" stroked="f">
                <v:path arrowok="t" o:connecttype="custom" o:connectlocs="769497,593262;524657,462395;524657,331529;559634,253009;559634,157040;402237,0;244840,157040;244840,253009;279817,331529;279817,462395;34977,593262;0,663058;0,750302;17489,767751;786985,767751;804474,750302;804474,663058;769497,593262;1084291,663058;909405,575813;909405,506018;1040569,444947;996848,375151;961871,235560;821962,104693;690798,235560;647077,375151;603355,444947;629588,471120;673310,497293;734520,506018;734520,523467;778241,549640;839451,645609;839451,767751;1101779,767751;1119268,750302;1119268,715404;1084291,663058" o:connectangles="0,0,0,0,0,0,0,0,0,0,0,0,0,0,0,0,0,0,0,0,0,0,0,0,0,0,0,0,0,0,0,0,0,0,0,0,0,0,0"/>
                <o:lock v:ext="edit" verticies="t"/>
              </v:shape>
            </w:pict>
          </mc:Fallback>
        </mc:AlternateContent>
      </w:r>
      <w:r w:rsidR="002D26D4" w:rsidRPr="002D26D4">
        <w:rPr>
          <w:b/>
          <w:noProof/>
          <w:lang w:eastAsia="en-AU"/>
        </w:rPr>
        <mc:AlternateContent>
          <mc:Choice Requires="wpg">
            <w:drawing>
              <wp:anchor distT="0" distB="0" distL="114300" distR="114300" simplePos="0" relativeHeight="251684864" behindDoc="0" locked="0" layoutInCell="1" allowOverlap="1" wp14:anchorId="000CE3AE" wp14:editId="09873E24">
                <wp:simplePos x="0" y="0"/>
                <wp:positionH relativeFrom="column">
                  <wp:posOffset>3862206</wp:posOffset>
                </wp:positionH>
                <wp:positionV relativeFrom="paragraph">
                  <wp:posOffset>4692075</wp:posOffset>
                </wp:positionV>
                <wp:extent cx="627021" cy="1214853"/>
                <wp:effectExtent l="0" t="0" r="1905" b="4445"/>
                <wp:wrapNone/>
                <wp:docPr id="16" name="Group 1115"/>
                <wp:cNvGraphicFramePr/>
                <a:graphic xmlns:a="http://schemas.openxmlformats.org/drawingml/2006/main">
                  <a:graphicData uri="http://schemas.microsoft.com/office/word/2010/wordprocessingGroup">
                    <wpg:wgp>
                      <wpg:cNvGrpSpPr/>
                      <wpg:grpSpPr>
                        <a:xfrm>
                          <a:off x="0" y="0"/>
                          <a:ext cx="627021" cy="1214853"/>
                          <a:chOff x="0" y="0"/>
                          <a:chExt cx="165100" cy="319087"/>
                        </a:xfrm>
                        <a:solidFill>
                          <a:srgbClr val="00338D"/>
                        </a:solidFill>
                      </wpg:grpSpPr>
                      <wps:wsp>
                        <wps:cNvPr id="17" name="Freeform 17"/>
                        <wps:cNvSpPr>
                          <a:spLocks/>
                        </wps:cNvSpPr>
                        <wps:spPr bwMode="auto">
                          <a:xfrm>
                            <a:off x="19050" y="153987"/>
                            <a:ext cx="123825" cy="165100"/>
                          </a:xfrm>
                          <a:custGeom>
                            <a:avLst/>
                            <a:gdLst>
                              <a:gd name="T0" fmla="*/ 78 w 78"/>
                              <a:gd name="T1" fmla="*/ 0 h 104"/>
                              <a:gd name="T2" fmla="*/ 0 w 78"/>
                              <a:gd name="T3" fmla="*/ 0 h 104"/>
                              <a:gd name="T4" fmla="*/ 19 w 78"/>
                              <a:gd name="T5" fmla="*/ 104 h 104"/>
                              <a:gd name="T6" fmla="*/ 59 w 78"/>
                              <a:gd name="T7" fmla="*/ 104 h 104"/>
                              <a:gd name="T8" fmla="*/ 78 w 78"/>
                              <a:gd name="T9" fmla="*/ 0 h 104"/>
                            </a:gdLst>
                            <a:ahLst/>
                            <a:cxnLst>
                              <a:cxn ang="0">
                                <a:pos x="T0" y="T1"/>
                              </a:cxn>
                              <a:cxn ang="0">
                                <a:pos x="T2" y="T3"/>
                              </a:cxn>
                              <a:cxn ang="0">
                                <a:pos x="T4" y="T5"/>
                              </a:cxn>
                              <a:cxn ang="0">
                                <a:pos x="T6" y="T7"/>
                              </a:cxn>
                              <a:cxn ang="0">
                                <a:pos x="T8" y="T9"/>
                              </a:cxn>
                            </a:cxnLst>
                            <a:rect l="0" t="0" r="r" b="b"/>
                            <a:pathLst>
                              <a:path w="78" h="104">
                                <a:moveTo>
                                  <a:pt x="78" y="0"/>
                                </a:moveTo>
                                <a:lnTo>
                                  <a:pt x="0" y="0"/>
                                </a:lnTo>
                                <a:lnTo>
                                  <a:pt x="19" y="104"/>
                                </a:lnTo>
                                <a:lnTo>
                                  <a:pt x="59" y="104"/>
                                </a:lnTo>
                                <a:lnTo>
                                  <a:pt x="7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 name="Rectangle 224"/>
                        <wps:cNvSpPr>
                          <a:spLocks noChangeArrowheads="1"/>
                        </wps:cNvSpPr>
                        <wps:spPr bwMode="auto">
                          <a:xfrm>
                            <a:off x="0" y="123825"/>
                            <a:ext cx="165100" cy="254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5" name="Oval 225"/>
                        <wps:cNvSpPr>
                          <a:spLocks noChangeArrowheads="1"/>
                        </wps:cNvSpPr>
                        <wps:spPr bwMode="auto">
                          <a:xfrm>
                            <a:off x="55562" y="0"/>
                            <a:ext cx="53975" cy="49213"/>
                          </a:xfrm>
                          <a:prstGeom prst="ellipse">
                            <a:avLst/>
                          </a:pr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 name="Freeform 226"/>
                        <wps:cNvSpPr>
                          <a:spLocks/>
                        </wps:cNvSpPr>
                        <wps:spPr bwMode="auto">
                          <a:xfrm>
                            <a:off x="19050" y="55562"/>
                            <a:ext cx="123825" cy="63500"/>
                          </a:xfrm>
                          <a:custGeom>
                            <a:avLst/>
                            <a:gdLst>
                              <a:gd name="T0" fmla="*/ 23 w 33"/>
                              <a:gd name="T1" fmla="*/ 0 h 17"/>
                              <a:gd name="T2" fmla="*/ 19 w 33"/>
                              <a:gd name="T3" fmla="*/ 0 h 17"/>
                              <a:gd name="T4" fmla="*/ 17 w 33"/>
                              <a:gd name="T5" fmla="*/ 3 h 17"/>
                              <a:gd name="T6" fmla="*/ 15 w 33"/>
                              <a:gd name="T7" fmla="*/ 0 h 17"/>
                              <a:gd name="T8" fmla="*/ 10 w 33"/>
                              <a:gd name="T9" fmla="*/ 0 h 17"/>
                              <a:gd name="T10" fmla="*/ 1 w 33"/>
                              <a:gd name="T11" fmla="*/ 8 h 17"/>
                              <a:gd name="T12" fmla="*/ 1 w 33"/>
                              <a:gd name="T13" fmla="*/ 17 h 17"/>
                              <a:gd name="T14" fmla="*/ 6 w 33"/>
                              <a:gd name="T15" fmla="*/ 17 h 17"/>
                              <a:gd name="T16" fmla="*/ 6 w 33"/>
                              <a:gd name="T17" fmla="*/ 9 h 17"/>
                              <a:gd name="T18" fmla="*/ 8 w 33"/>
                              <a:gd name="T19" fmla="*/ 9 h 17"/>
                              <a:gd name="T20" fmla="*/ 8 w 33"/>
                              <a:gd name="T21" fmla="*/ 17 h 17"/>
                              <a:gd name="T22" fmla="*/ 25 w 33"/>
                              <a:gd name="T23" fmla="*/ 17 h 17"/>
                              <a:gd name="T24" fmla="*/ 25 w 33"/>
                              <a:gd name="T25" fmla="*/ 9 h 17"/>
                              <a:gd name="T26" fmla="*/ 27 w 33"/>
                              <a:gd name="T27" fmla="*/ 9 h 17"/>
                              <a:gd name="T28" fmla="*/ 27 w 33"/>
                              <a:gd name="T29" fmla="*/ 17 h 17"/>
                              <a:gd name="T30" fmla="*/ 33 w 33"/>
                              <a:gd name="T31" fmla="*/ 17 h 17"/>
                              <a:gd name="T32" fmla="*/ 33 w 33"/>
                              <a:gd name="T33" fmla="*/ 8 h 17"/>
                              <a:gd name="T34" fmla="*/ 23 w 33"/>
                              <a:gd name="T35"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 h="17">
                                <a:moveTo>
                                  <a:pt x="23" y="0"/>
                                </a:moveTo>
                                <a:cubicBezTo>
                                  <a:pt x="19" y="0"/>
                                  <a:pt x="19" y="0"/>
                                  <a:pt x="19" y="0"/>
                                </a:cubicBezTo>
                                <a:cubicBezTo>
                                  <a:pt x="17" y="3"/>
                                  <a:pt x="17" y="3"/>
                                  <a:pt x="17" y="3"/>
                                </a:cubicBezTo>
                                <a:cubicBezTo>
                                  <a:pt x="15" y="0"/>
                                  <a:pt x="15" y="0"/>
                                  <a:pt x="15" y="0"/>
                                </a:cubicBezTo>
                                <a:cubicBezTo>
                                  <a:pt x="10" y="0"/>
                                  <a:pt x="10" y="0"/>
                                  <a:pt x="10" y="0"/>
                                </a:cubicBezTo>
                                <a:cubicBezTo>
                                  <a:pt x="0" y="1"/>
                                  <a:pt x="1" y="8"/>
                                  <a:pt x="1" y="8"/>
                                </a:cubicBezTo>
                                <a:cubicBezTo>
                                  <a:pt x="1" y="17"/>
                                  <a:pt x="1" y="17"/>
                                  <a:pt x="1" y="17"/>
                                </a:cubicBezTo>
                                <a:cubicBezTo>
                                  <a:pt x="6" y="17"/>
                                  <a:pt x="6" y="17"/>
                                  <a:pt x="6" y="17"/>
                                </a:cubicBezTo>
                                <a:cubicBezTo>
                                  <a:pt x="6" y="9"/>
                                  <a:pt x="6" y="9"/>
                                  <a:pt x="6" y="9"/>
                                </a:cubicBezTo>
                                <a:cubicBezTo>
                                  <a:pt x="8" y="9"/>
                                  <a:pt x="8" y="9"/>
                                  <a:pt x="8" y="9"/>
                                </a:cubicBezTo>
                                <a:cubicBezTo>
                                  <a:pt x="8" y="17"/>
                                  <a:pt x="8" y="17"/>
                                  <a:pt x="8" y="17"/>
                                </a:cubicBezTo>
                                <a:cubicBezTo>
                                  <a:pt x="25" y="17"/>
                                  <a:pt x="25" y="17"/>
                                  <a:pt x="25" y="17"/>
                                </a:cubicBezTo>
                                <a:cubicBezTo>
                                  <a:pt x="25" y="9"/>
                                  <a:pt x="25" y="9"/>
                                  <a:pt x="25" y="9"/>
                                </a:cubicBezTo>
                                <a:cubicBezTo>
                                  <a:pt x="27" y="9"/>
                                  <a:pt x="27" y="9"/>
                                  <a:pt x="27" y="9"/>
                                </a:cubicBezTo>
                                <a:cubicBezTo>
                                  <a:pt x="27" y="17"/>
                                  <a:pt x="27" y="17"/>
                                  <a:pt x="27" y="17"/>
                                </a:cubicBezTo>
                                <a:cubicBezTo>
                                  <a:pt x="33" y="17"/>
                                  <a:pt x="33" y="17"/>
                                  <a:pt x="33" y="17"/>
                                </a:cubicBezTo>
                                <a:cubicBezTo>
                                  <a:pt x="33" y="8"/>
                                  <a:pt x="33" y="8"/>
                                  <a:pt x="33" y="8"/>
                                </a:cubicBezTo>
                                <a:cubicBezTo>
                                  <a:pt x="32" y="0"/>
                                  <a:pt x="23"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CB3207F" id="Group 1115" o:spid="_x0000_s1026" style="position:absolute;margin-left:304.1pt;margin-top:369.45pt;width:49.35pt;height:95.65pt;z-index:251684864;mso-width-relative:margin;mso-height-relative:margin" coordsize="165100,31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">
                <v:shape id="Freeform 17" o:spid="_x0000_s1027" style="position:absolute;left:19050;top:153987;width:123825;height:165100;visibility:visible;mso-wrap-style:square;v-text-anchor:top" coordsize="7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" path="m78,l,,19,104r40,l78,xe" filled="f" stroked="f">
                  <v:path arrowok="t" o:connecttype="custom" o:connectlocs="123825,0;0,0;30163,165100;93663,165100;123825,0" o:connectangles="0,0,0,0,0"/>
                </v:shape>
                <v:rect id="Rectangle 224" o:spid="_x0000_s1028" style="position:absolute;top:123825;width:165100;height:2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ANxQAAANwAAAAPAAAAZHJzL2Rvd25yZXYueG1sRI/dasJA&#10;FITvC77DcoTeFN0YSp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DB2aANxQAAANwAAAAP&#10;AAAAAAAAAAAAAAAAAAcCAABkcnMvZG93bnJldi54bWxQSwUGAAAAAAMAAwC3AAAA+QIAAAAA&#10;" filled="f" stroked="f"/>
                <v:oval id="Oval 225" o:spid="_x0000_s1029" style="position:absolute;left:55562;width:53975;height:49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" filled="f" stroked="f"/>
                <v:shape id="Freeform 226" o:spid="_x0000_s1030" style="position:absolute;left:19050;top:55562;width:123825;height:63500;visibility:visible;mso-wrap-style:square;v-text-anchor:top" coordsize="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" path="m23,c19,,19,,19,,17,3,17,3,17,3,15,,15,,15,,10,,10,,10,,,1,1,8,1,8v,9,,9,,9c6,17,6,17,6,17,6,9,6,9,6,9v2,,2,,2,c8,17,8,17,8,17v17,,17,,17,c25,9,25,9,25,9v2,,2,,2,c27,17,27,17,27,17v6,,6,,6,c33,8,33,8,33,8,32,,23,,23,xe" filled="f" stroked="f">
                  <v:path arrowok="t" o:connecttype="custom" o:connectlocs="86302,0;71293,0;63789,11206;56284,0;37523,0;3752,29882;3752,63500;22514,63500;22514,33618;30018,33618;30018,63500;93807,63500;93807,33618;101311,33618;101311,63500;123825,63500;123825,29882;86302,0" o:connectangles="0,0,0,0,0,0,0,0,0,0,0,0,0,0,0,0,0,0"/>
                </v:shape>
              </v:group>
            </w:pict>
          </mc:Fallback>
        </mc:AlternateContent>
      </w:r>
      <w:r w:rsidR="002D26D4" w:rsidRPr="002D26D4">
        <w:rPr>
          <w:b/>
          <w:noProof/>
          <w:lang w:eastAsia="en-AU"/>
        </w:rPr>
        <mc:AlternateContent>
          <mc:Choice Requires="wps">
            <w:drawing>
              <wp:anchor distT="0" distB="0" distL="114300" distR="114300" simplePos="0" relativeHeight="251681792" behindDoc="0" locked="0" layoutInCell="1" allowOverlap="1" wp14:anchorId="246799D6" wp14:editId="35857510">
                <wp:simplePos x="0" y="0"/>
                <wp:positionH relativeFrom="column">
                  <wp:posOffset>896991</wp:posOffset>
                </wp:positionH>
                <wp:positionV relativeFrom="paragraph">
                  <wp:posOffset>102798</wp:posOffset>
                </wp:positionV>
                <wp:extent cx="1018719" cy="1036080"/>
                <wp:effectExtent l="0" t="0" r="0" b="0"/>
                <wp:wrapNone/>
                <wp:docPr id="227"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18719" cy="1036080"/>
                        </a:xfrm>
                        <a:custGeom>
                          <a:avLst/>
                          <a:gdLst>
                            <a:gd name="T0" fmla="*/ 96 w 96"/>
                            <a:gd name="T1" fmla="*/ 10 h 96"/>
                            <a:gd name="T2" fmla="*/ 86 w 96"/>
                            <a:gd name="T3" fmla="*/ 0 h 96"/>
                            <a:gd name="T4" fmla="*/ 10 w 96"/>
                            <a:gd name="T5" fmla="*/ 0 h 96"/>
                            <a:gd name="T6" fmla="*/ 0 w 96"/>
                            <a:gd name="T7" fmla="*/ 10 h 96"/>
                            <a:gd name="T8" fmla="*/ 0 w 96"/>
                            <a:gd name="T9" fmla="*/ 86 h 96"/>
                            <a:gd name="T10" fmla="*/ 10 w 96"/>
                            <a:gd name="T11" fmla="*/ 96 h 96"/>
                            <a:gd name="T12" fmla="*/ 86 w 96"/>
                            <a:gd name="T13" fmla="*/ 96 h 96"/>
                            <a:gd name="T14" fmla="*/ 96 w 96"/>
                            <a:gd name="T15" fmla="*/ 86 h 96"/>
                            <a:gd name="T16" fmla="*/ 96 w 96"/>
                            <a:gd name="T17" fmla="*/ 10 h 96"/>
                            <a:gd name="T18" fmla="*/ 84 w 96"/>
                            <a:gd name="T19" fmla="*/ 60 h 96"/>
                            <a:gd name="T20" fmla="*/ 60 w 96"/>
                            <a:gd name="T21" fmla="*/ 60 h 96"/>
                            <a:gd name="T22" fmla="*/ 60 w 96"/>
                            <a:gd name="T23" fmla="*/ 84 h 96"/>
                            <a:gd name="T24" fmla="*/ 36 w 96"/>
                            <a:gd name="T25" fmla="*/ 84 h 96"/>
                            <a:gd name="T26" fmla="*/ 36 w 96"/>
                            <a:gd name="T27" fmla="*/ 60 h 96"/>
                            <a:gd name="T28" fmla="*/ 12 w 96"/>
                            <a:gd name="T29" fmla="*/ 60 h 96"/>
                            <a:gd name="T30" fmla="*/ 12 w 96"/>
                            <a:gd name="T31" fmla="*/ 36 h 96"/>
                            <a:gd name="T32" fmla="*/ 36 w 96"/>
                            <a:gd name="T33" fmla="*/ 36 h 96"/>
                            <a:gd name="T34" fmla="*/ 36 w 96"/>
                            <a:gd name="T35" fmla="*/ 12 h 96"/>
                            <a:gd name="T36" fmla="*/ 60 w 96"/>
                            <a:gd name="T37" fmla="*/ 12 h 96"/>
                            <a:gd name="T38" fmla="*/ 60 w 96"/>
                            <a:gd name="T39" fmla="*/ 36 h 96"/>
                            <a:gd name="T40" fmla="*/ 84 w 96"/>
                            <a:gd name="T41" fmla="*/ 36 h 96"/>
                            <a:gd name="T42" fmla="*/ 84 w 96"/>
                            <a:gd name="T43" fmla="*/ 6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 h="96">
                              <a:moveTo>
                                <a:pt x="96" y="10"/>
                              </a:moveTo>
                              <a:cubicBezTo>
                                <a:pt x="96" y="4"/>
                                <a:pt x="91" y="0"/>
                                <a:pt x="86" y="0"/>
                              </a:cubicBezTo>
                              <a:cubicBezTo>
                                <a:pt x="10" y="0"/>
                                <a:pt x="10" y="0"/>
                                <a:pt x="10" y="0"/>
                              </a:cubicBezTo>
                              <a:cubicBezTo>
                                <a:pt x="4" y="0"/>
                                <a:pt x="0" y="4"/>
                                <a:pt x="0" y="10"/>
                              </a:cubicBezTo>
                              <a:cubicBezTo>
                                <a:pt x="0" y="86"/>
                                <a:pt x="0" y="86"/>
                                <a:pt x="0" y="86"/>
                              </a:cubicBezTo>
                              <a:cubicBezTo>
                                <a:pt x="0" y="91"/>
                                <a:pt x="4" y="96"/>
                                <a:pt x="10" y="96"/>
                              </a:cubicBezTo>
                              <a:cubicBezTo>
                                <a:pt x="86" y="96"/>
                                <a:pt x="86" y="96"/>
                                <a:pt x="86" y="96"/>
                              </a:cubicBezTo>
                              <a:cubicBezTo>
                                <a:pt x="91" y="96"/>
                                <a:pt x="96" y="91"/>
                                <a:pt x="96" y="86"/>
                              </a:cubicBezTo>
                              <a:lnTo>
                                <a:pt x="96" y="10"/>
                              </a:lnTo>
                              <a:close/>
                              <a:moveTo>
                                <a:pt x="84" y="60"/>
                              </a:moveTo>
                              <a:cubicBezTo>
                                <a:pt x="60" y="60"/>
                                <a:pt x="60" y="60"/>
                                <a:pt x="60" y="60"/>
                              </a:cubicBezTo>
                              <a:cubicBezTo>
                                <a:pt x="60" y="84"/>
                                <a:pt x="60" y="84"/>
                                <a:pt x="60" y="84"/>
                              </a:cubicBezTo>
                              <a:cubicBezTo>
                                <a:pt x="36" y="84"/>
                                <a:pt x="36" y="84"/>
                                <a:pt x="36" y="84"/>
                              </a:cubicBezTo>
                              <a:cubicBezTo>
                                <a:pt x="36" y="60"/>
                                <a:pt x="36" y="60"/>
                                <a:pt x="36" y="60"/>
                              </a:cubicBezTo>
                              <a:cubicBezTo>
                                <a:pt x="12" y="60"/>
                                <a:pt x="12" y="60"/>
                                <a:pt x="12" y="60"/>
                              </a:cubicBezTo>
                              <a:cubicBezTo>
                                <a:pt x="12" y="36"/>
                                <a:pt x="12" y="36"/>
                                <a:pt x="12" y="36"/>
                              </a:cubicBezTo>
                              <a:cubicBezTo>
                                <a:pt x="36" y="36"/>
                                <a:pt x="36" y="36"/>
                                <a:pt x="36" y="36"/>
                              </a:cubicBezTo>
                              <a:cubicBezTo>
                                <a:pt x="36" y="12"/>
                                <a:pt x="36" y="12"/>
                                <a:pt x="36" y="12"/>
                              </a:cubicBezTo>
                              <a:cubicBezTo>
                                <a:pt x="60" y="12"/>
                                <a:pt x="60" y="12"/>
                                <a:pt x="60" y="12"/>
                              </a:cubicBezTo>
                              <a:cubicBezTo>
                                <a:pt x="60" y="36"/>
                                <a:pt x="60" y="36"/>
                                <a:pt x="60" y="36"/>
                              </a:cubicBezTo>
                              <a:cubicBezTo>
                                <a:pt x="84" y="36"/>
                                <a:pt x="84" y="36"/>
                                <a:pt x="84" y="36"/>
                              </a:cubicBezTo>
                              <a:lnTo>
                                <a:pt x="84" y="60"/>
                              </a:lnTo>
                              <a:close/>
                            </a:path>
                          </a:pathLst>
                        </a:custGeom>
                        <a:solidFill>
                          <a:srgbClr val="00338D"/>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CB236C" id="Freeform 247" o:spid="_x0000_s1026" style="position:absolute;margin-left:70.65pt;margin-top:8.1pt;width:80.2pt;height:8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" path="m96,10c96,4,91,,86,,10,,10,,10,,4,,,4,,10,,86,,86,,86v,5,4,10,10,10c86,96,86,96,86,96v5,,10,-5,10,-10l96,10xm84,60v-24,,-24,,-24,c60,84,60,84,60,84v-24,,-24,,-24,c36,60,36,60,36,60v-24,,-24,,-24,c12,36,12,36,12,36v24,,24,,24,c36,12,36,12,36,12v24,,24,,24,c60,36,60,36,60,36v24,,24,,24,l84,60xe" fillcolor="#00338d" stroked="f">
                <v:path arrowok="t" o:connecttype="custom" o:connectlocs="1018719,107925;912602,0;106117,0;0,107925;0,928155;106117,1036080;912602,1036080;1018719,928155;1018719,107925;891379,647550;636699,647550;636699,906570;382020,906570;382020,647550;127340,647550;127340,388530;382020,388530;382020,129510;636699,129510;636699,388530;891379,388530;891379,647550" o:connectangles="0,0,0,0,0,0,0,0,0,0,0,0,0,0,0,0,0,0,0,0,0,0"/>
                <o:lock v:ext="edit" verticies="t"/>
              </v:shape>
            </w:pict>
          </mc:Fallback>
        </mc:AlternateContent>
      </w:r>
      <w:r w:rsidR="00677D6D">
        <w:rPr>
          <w:rFonts w:eastAsia="Times New Roman"/>
          <w:bCs/>
          <w:noProof/>
          <w:color w:val="004EA8"/>
          <w:sz w:val="44"/>
          <w:szCs w:val="44"/>
          <w:lang w:eastAsia="en-AU"/>
        </w:rPr>
        <mc:AlternateContent>
          <mc:Choice Requires="wps">
            <w:drawing>
              <wp:anchor distT="0" distB="0" distL="114300" distR="114300" simplePos="0" relativeHeight="251678720" behindDoc="0" locked="0" layoutInCell="1" allowOverlap="1" wp14:anchorId="5BE8B1AA" wp14:editId="08F4B235">
                <wp:simplePos x="0" y="0"/>
                <wp:positionH relativeFrom="column">
                  <wp:posOffset>126117</wp:posOffset>
                </wp:positionH>
                <wp:positionV relativeFrom="paragraph">
                  <wp:posOffset>4797315</wp:posOffset>
                </wp:positionV>
                <wp:extent cx="3200400" cy="1435100"/>
                <wp:effectExtent l="0" t="0" r="323850" b="0"/>
                <wp:wrapNone/>
                <wp:docPr id="31" name="Rounded Rectangular Callout 31"/>
                <wp:cNvGraphicFramePr/>
                <a:graphic xmlns:a="http://schemas.openxmlformats.org/drawingml/2006/main">
                  <a:graphicData uri="http://schemas.microsoft.com/office/word/2010/wordprocessingShape">
                    <wps:wsp>
                      <wps:cNvSpPr/>
                      <wps:spPr>
                        <a:xfrm>
                          <a:off x="0" y="0"/>
                          <a:ext cx="3200400" cy="1435100"/>
                        </a:xfrm>
                        <a:prstGeom prst="wedgeRoundRectCallout">
                          <a:avLst>
                            <a:gd name="adj1" fmla="val 59618"/>
                            <a:gd name="adj2" fmla="val -21114"/>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10E6E" w14:textId="77777777"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Deaths and harms as a result of medicines and poisons</w:t>
                            </w:r>
                            <w:r>
                              <w:rPr>
                                <w:rFonts w:cs="Arial"/>
                                <w:color w:val="000000" w:themeColor="text1"/>
                                <w:sz w:val="18"/>
                                <w:szCs w:val="18"/>
                              </w:rPr>
                              <w:t xml:space="preserve"> are reducing.”</w:t>
                            </w:r>
                          </w:p>
                          <w:p w14:paraId="4FB35339" w14:textId="77777777" w:rsidR="00B22E55" w:rsidRPr="00CC32C3" w:rsidRDefault="00B22E55" w:rsidP="00CC32C3">
                            <w:pPr>
                              <w:rPr>
                                <w:rFonts w:cs="Arial"/>
                                <w:color w:val="000000" w:themeColor="text1"/>
                                <w:sz w:val="18"/>
                                <w:szCs w:val="18"/>
                              </w:rPr>
                            </w:pPr>
                          </w:p>
                          <w:p w14:paraId="2D8C9391" w14:textId="4377FC24"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We are making a difference. Our investment in SafeScript is paying off and helping us focus</w:t>
                            </w:r>
                            <w:r>
                              <w:rPr>
                                <w:rFonts w:cs="Arial"/>
                                <w:color w:val="000000" w:themeColor="text1"/>
                                <w:sz w:val="18"/>
                                <w:szCs w:val="18"/>
                              </w:rPr>
                              <w:t xml:space="preserve"> on</w:t>
                            </w:r>
                            <w:r w:rsidRPr="00CC32C3">
                              <w:rPr>
                                <w:rFonts w:cs="Arial"/>
                                <w:color w:val="000000" w:themeColor="text1"/>
                                <w:sz w:val="18"/>
                                <w:szCs w:val="18"/>
                              </w:rPr>
                              <w:t xml:space="preserve"> the high</w:t>
                            </w:r>
                            <w:r w:rsidR="0072673A">
                              <w:rPr>
                                <w:rFonts w:cs="Arial"/>
                                <w:color w:val="000000" w:themeColor="text1"/>
                                <w:sz w:val="18"/>
                                <w:szCs w:val="18"/>
                              </w:rPr>
                              <w:t>-</w:t>
                            </w:r>
                            <w:r w:rsidRPr="00CC32C3">
                              <w:rPr>
                                <w:rFonts w:cs="Arial"/>
                                <w:color w:val="000000" w:themeColor="text1"/>
                                <w:sz w:val="18"/>
                                <w:szCs w:val="18"/>
                              </w:rPr>
                              <w:t>risk issues</w:t>
                            </w:r>
                            <w:r>
                              <w:rPr>
                                <w:rFonts w:cs="Arial"/>
                                <w:color w:val="000000" w:themeColor="text1"/>
                                <w:sz w:val="18"/>
                                <w:szCs w:val="18"/>
                              </w:rPr>
                              <w:t>.”</w:t>
                            </w:r>
                          </w:p>
                          <w:p w14:paraId="0505DDB3" w14:textId="77777777" w:rsidR="00B22E55" w:rsidRPr="00CC32C3" w:rsidRDefault="00B22E55" w:rsidP="00CC32C3">
                            <w:pPr>
                              <w:rPr>
                                <w:rFonts w:cs="Arial"/>
                                <w:color w:val="000000" w:themeColor="text1"/>
                                <w:sz w:val="18"/>
                                <w:szCs w:val="18"/>
                              </w:rPr>
                            </w:pPr>
                          </w:p>
                          <w:p w14:paraId="4D16BC19" w14:textId="1A641B6F"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 xml:space="preserve">We help those in the sector </w:t>
                            </w:r>
                            <w:r w:rsidR="0077340E">
                              <w:rPr>
                                <w:rFonts w:cs="Arial"/>
                                <w:color w:val="000000" w:themeColor="text1"/>
                                <w:sz w:val="18"/>
                                <w:szCs w:val="18"/>
                              </w:rPr>
                              <w:t>who</w:t>
                            </w:r>
                            <w:r w:rsidRPr="00CC32C3">
                              <w:rPr>
                                <w:rFonts w:cs="Arial"/>
                                <w:color w:val="000000" w:themeColor="text1"/>
                                <w:sz w:val="18"/>
                                <w:szCs w:val="18"/>
                              </w:rPr>
                              <w:t xml:space="preserve"> want to do the right thing and </w:t>
                            </w:r>
                            <w:r>
                              <w:rPr>
                                <w:rFonts w:cs="Arial"/>
                                <w:color w:val="000000" w:themeColor="text1"/>
                                <w:sz w:val="18"/>
                                <w:szCs w:val="18"/>
                              </w:rPr>
                              <w:t xml:space="preserve">take action against those </w:t>
                            </w:r>
                            <w:r w:rsidR="008D3FC5">
                              <w:rPr>
                                <w:rFonts w:cs="Arial"/>
                                <w:color w:val="000000" w:themeColor="text1"/>
                                <w:sz w:val="18"/>
                                <w:szCs w:val="18"/>
                              </w:rPr>
                              <w:t>who</w:t>
                            </w:r>
                            <w:r>
                              <w:rPr>
                                <w:rFonts w:cs="Arial"/>
                                <w:color w:val="000000" w:themeColor="text1"/>
                                <w:sz w:val="18"/>
                                <w:szCs w:val="18"/>
                              </w:rPr>
                              <w:t xml:space="preserve"> don’t.”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8B1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1" o:spid="_x0000_s1027" type="#_x0000_t62" style="position:absolute;margin-left:9.95pt;margin-top:377.75pt;width:252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" adj="23677,6239" fillcolor="#dbe5f1 [660]" stroked="f" strokeweight="2pt">
                <v:textbox>
                  <w:txbxContent>
                    <w:p w14:paraId="3AA10E6E" w14:textId="77777777"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Deaths and harms as a result of medicines and poisons</w:t>
                      </w:r>
                      <w:r>
                        <w:rPr>
                          <w:rFonts w:cs="Arial"/>
                          <w:color w:val="000000" w:themeColor="text1"/>
                          <w:sz w:val="18"/>
                          <w:szCs w:val="18"/>
                        </w:rPr>
                        <w:t xml:space="preserve"> are reducing.”</w:t>
                      </w:r>
                    </w:p>
                    <w:p w14:paraId="4FB35339" w14:textId="77777777" w:rsidR="00B22E55" w:rsidRPr="00CC32C3" w:rsidRDefault="00B22E55" w:rsidP="00CC32C3">
                      <w:pPr>
                        <w:rPr>
                          <w:rFonts w:cs="Arial"/>
                          <w:color w:val="000000" w:themeColor="text1"/>
                          <w:sz w:val="18"/>
                          <w:szCs w:val="18"/>
                        </w:rPr>
                      </w:pPr>
                    </w:p>
                    <w:p w14:paraId="2D8C9391" w14:textId="4377FC24"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We are making a difference. Our investment in SafeScript is paying off and helping us focus</w:t>
                      </w:r>
                      <w:r>
                        <w:rPr>
                          <w:rFonts w:cs="Arial"/>
                          <w:color w:val="000000" w:themeColor="text1"/>
                          <w:sz w:val="18"/>
                          <w:szCs w:val="18"/>
                        </w:rPr>
                        <w:t xml:space="preserve"> on</w:t>
                      </w:r>
                      <w:r w:rsidRPr="00CC32C3">
                        <w:rPr>
                          <w:rFonts w:cs="Arial"/>
                          <w:color w:val="000000" w:themeColor="text1"/>
                          <w:sz w:val="18"/>
                          <w:szCs w:val="18"/>
                        </w:rPr>
                        <w:t xml:space="preserve"> the high</w:t>
                      </w:r>
                      <w:r w:rsidR="0072673A">
                        <w:rPr>
                          <w:rFonts w:cs="Arial"/>
                          <w:color w:val="000000" w:themeColor="text1"/>
                          <w:sz w:val="18"/>
                          <w:szCs w:val="18"/>
                        </w:rPr>
                        <w:t>-</w:t>
                      </w:r>
                      <w:r w:rsidRPr="00CC32C3">
                        <w:rPr>
                          <w:rFonts w:cs="Arial"/>
                          <w:color w:val="000000" w:themeColor="text1"/>
                          <w:sz w:val="18"/>
                          <w:szCs w:val="18"/>
                        </w:rPr>
                        <w:t>risk issues</w:t>
                      </w:r>
                      <w:r>
                        <w:rPr>
                          <w:rFonts w:cs="Arial"/>
                          <w:color w:val="000000" w:themeColor="text1"/>
                          <w:sz w:val="18"/>
                          <w:szCs w:val="18"/>
                        </w:rPr>
                        <w:t>.”</w:t>
                      </w:r>
                    </w:p>
                    <w:p w14:paraId="0505DDB3" w14:textId="77777777" w:rsidR="00B22E55" w:rsidRPr="00CC32C3" w:rsidRDefault="00B22E55" w:rsidP="00CC32C3">
                      <w:pPr>
                        <w:rPr>
                          <w:rFonts w:cs="Arial"/>
                          <w:color w:val="000000" w:themeColor="text1"/>
                          <w:sz w:val="18"/>
                          <w:szCs w:val="18"/>
                        </w:rPr>
                      </w:pPr>
                    </w:p>
                    <w:p w14:paraId="4D16BC19" w14:textId="1A641B6F"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 xml:space="preserve">We help those in the sector </w:t>
                      </w:r>
                      <w:r w:rsidR="0077340E">
                        <w:rPr>
                          <w:rFonts w:cs="Arial"/>
                          <w:color w:val="000000" w:themeColor="text1"/>
                          <w:sz w:val="18"/>
                          <w:szCs w:val="18"/>
                        </w:rPr>
                        <w:t>who</w:t>
                      </w:r>
                      <w:r w:rsidRPr="00CC32C3">
                        <w:rPr>
                          <w:rFonts w:cs="Arial"/>
                          <w:color w:val="000000" w:themeColor="text1"/>
                          <w:sz w:val="18"/>
                          <w:szCs w:val="18"/>
                        </w:rPr>
                        <w:t xml:space="preserve"> want to do the right thing and </w:t>
                      </w:r>
                      <w:r>
                        <w:rPr>
                          <w:rFonts w:cs="Arial"/>
                          <w:color w:val="000000" w:themeColor="text1"/>
                          <w:sz w:val="18"/>
                          <w:szCs w:val="18"/>
                        </w:rPr>
                        <w:t xml:space="preserve">take action against those </w:t>
                      </w:r>
                      <w:r w:rsidR="008D3FC5">
                        <w:rPr>
                          <w:rFonts w:cs="Arial"/>
                          <w:color w:val="000000" w:themeColor="text1"/>
                          <w:sz w:val="18"/>
                          <w:szCs w:val="18"/>
                        </w:rPr>
                        <w:t>who</w:t>
                      </w:r>
                      <w:r>
                        <w:rPr>
                          <w:rFonts w:cs="Arial"/>
                          <w:color w:val="000000" w:themeColor="text1"/>
                          <w:sz w:val="18"/>
                          <w:szCs w:val="18"/>
                        </w:rPr>
                        <w:t xml:space="preserve"> don’t.”</w:t>
                      </w:r>
                    </w:p>
                  </w:txbxContent>
                </v:textbox>
              </v:shape>
            </w:pict>
          </mc:Fallback>
        </mc:AlternateContent>
      </w:r>
      <w:r w:rsidR="00677D6D" w:rsidRPr="002376EF">
        <w:rPr>
          <w:b/>
          <w:noProof/>
          <w:lang w:eastAsia="en-AU"/>
        </w:rPr>
        <mc:AlternateContent>
          <mc:Choice Requires="wps">
            <w:drawing>
              <wp:anchor distT="0" distB="0" distL="114300" distR="114300" simplePos="0" relativeHeight="251675648" behindDoc="0" locked="0" layoutInCell="1" allowOverlap="1" wp14:anchorId="2E6560DD" wp14:editId="0241CE50">
                <wp:simplePos x="0" y="0"/>
                <wp:positionH relativeFrom="column">
                  <wp:posOffset>3447746</wp:posOffset>
                </wp:positionH>
                <wp:positionV relativeFrom="paragraph">
                  <wp:posOffset>5975350</wp:posOffset>
                </wp:positionV>
                <wp:extent cx="1446530" cy="262255"/>
                <wp:effectExtent l="0" t="0" r="1270" b="4445"/>
                <wp:wrapNone/>
                <wp:docPr id="30" name="Text Box 3"/>
                <wp:cNvGraphicFramePr/>
                <a:graphic xmlns:a="http://schemas.openxmlformats.org/drawingml/2006/main">
                  <a:graphicData uri="http://schemas.microsoft.com/office/word/2010/wordprocessingShape">
                    <wps:wsp>
                      <wps:cNvSpPr txBox="1"/>
                      <wps:spPr>
                        <a:xfrm>
                          <a:off x="0" y="0"/>
                          <a:ext cx="1446530" cy="26225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78F19479" w14:textId="77777777" w:rsidR="00B22E55" w:rsidRPr="00C465C9" w:rsidRDefault="00B22E55" w:rsidP="002376EF">
                            <w:pPr>
                              <w:jc w:val="center"/>
                              <w:rPr>
                                <w:rFonts w:cs="Arial"/>
                                <w:sz w:val="16"/>
                              </w:rPr>
                            </w:pPr>
                            <w:r>
                              <w:rPr>
                                <w:rFonts w:cs="Arial"/>
                                <w:sz w:val="16"/>
                              </w:rPr>
                              <w:t>Policy makers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560DD" id="Text Box 3" o:spid="_x0000_s1028" type="#_x0000_t202" style="position:absolute;margin-left:271.5pt;margin-top:470.5pt;width:113.9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" fillcolor="white [3201]" stroked="f" strokeweight="0">
                <v:textbox>
                  <w:txbxContent>
                    <w:p w14:paraId="78F19479" w14:textId="77777777" w:rsidR="00B22E55" w:rsidRPr="00C465C9" w:rsidRDefault="00B22E55" w:rsidP="002376EF">
                      <w:pPr>
                        <w:jc w:val="center"/>
                        <w:rPr>
                          <w:rFonts w:cs="Arial"/>
                          <w:sz w:val="16"/>
                        </w:rPr>
                      </w:pPr>
                      <w:r>
                        <w:rPr>
                          <w:rFonts w:cs="Arial"/>
                          <w:sz w:val="16"/>
                        </w:rPr>
                        <w:t>Policy makers</w:t>
                      </w:r>
                    </w:p>
                  </w:txbxContent>
                </v:textbox>
              </v:shape>
            </w:pict>
          </mc:Fallback>
        </mc:AlternateContent>
      </w:r>
      <w:r w:rsidR="00677D6D">
        <w:rPr>
          <w:rFonts w:eastAsia="Times New Roman"/>
          <w:bCs/>
          <w:noProof/>
          <w:color w:val="004EA8"/>
          <w:sz w:val="44"/>
          <w:szCs w:val="44"/>
          <w:lang w:eastAsia="en-AU"/>
        </w:rPr>
        <mc:AlternateContent>
          <mc:Choice Requires="wps">
            <w:drawing>
              <wp:anchor distT="0" distB="0" distL="114300" distR="114300" simplePos="0" relativeHeight="251645952" behindDoc="0" locked="0" layoutInCell="1" allowOverlap="1" wp14:anchorId="3194863D" wp14:editId="29EEAE53">
                <wp:simplePos x="0" y="0"/>
                <wp:positionH relativeFrom="column">
                  <wp:posOffset>2383790</wp:posOffset>
                </wp:positionH>
                <wp:positionV relativeFrom="paragraph">
                  <wp:posOffset>106045</wp:posOffset>
                </wp:positionV>
                <wp:extent cx="3092450" cy="1311910"/>
                <wp:effectExtent l="304800" t="0" r="0" b="2540"/>
                <wp:wrapNone/>
                <wp:docPr id="22" name="Rounded Rectangular Callout 22"/>
                <wp:cNvGraphicFramePr/>
                <a:graphic xmlns:a="http://schemas.openxmlformats.org/drawingml/2006/main">
                  <a:graphicData uri="http://schemas.microsoft.com/office/word/2010/wordprocessingShape">
                    <wps:wsp>
                      <wps:cNvSpPr/>
                      <wps:spPr>
                        <a:xfrm>
                          <a:off x="0" y="0"/>
                          <a:ext cx="3092450" cy="1311910"/>
                        </a:xfrm>
                        <a:prstGeom prst="wedgeRoundRectCallout">
                          <a:avLst>
                            <a:gd name="adj1" fmla="val -59459"/>
                            <a:gd name="adj2" fmla="val -8971"/>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C7943" w14:textId="77777777" w:rsidR="00B22E55" w:rsidRDefault="00B22E55" w:rsidP="00677D6D">
                            <w:pPr>
                              <w:rPr>
                                <w:rFonts w:cs="Arial"/>
                                <w:color w:val="000000" w:themeColor="text1"/>
                                <w:sz w:val="18"/>
                                <w:szCs w:val="18"/>
                              </w:rPr>
                            </w:pPr>
                            <w:r>
                              <w:rPr>
                                <w:rFonts w:cs="Arial"/>
                                <w:color w:val="000000" w:themeColor="text1"/>
                                <w:sz w:val="18"/>
                                <w:szCs w:val="18"/>
                              </w:rPr>
                              <w:t>“The regulatory system is easy to understand and helps me provide the best care to my patients.”</w:t>
                            </w:r>
                          </w:p>
                          <w:p w14:paraId="63A4CE50" w14:textId="77777777" w:rsidR="00B22E55" w:rsidRDefault="00B22E55" w:rsidP="00677D6D">
                            <w:pPr>
                              <w:rPr>
                                <w:rFonts w:cs="Arial"/>
                                <w:color w:val="000000" w:themeColor="text1"/>
                                <w:sz w:val="18"/>
                                <w:szCs w:val="18"/>
                              </w:rPr>
                            </w:pPr>
                          </w:p>
                          <w:p w14:paraId="448BBE23" w14:textId="77777777" w:rsidR="00B22E55" w:rsidRPr="00677D6D" w:rsidRDefault="00B22E55" w:rsidP="00677D6D">
                            <w:pPr>
                              <w:rPr>
                                <w:rFonts w:cs="Arial"/>
                                <w:color w:val="000000" w:themeColor="text1"/>
                                <w:sz w:val="18"/>
                                <w:szCs w:val="18"/>
                              </w:rPr>
                            </w:pPr>
                            <w:r>
                              <w:rPr>
                                <w:rFonts w:cs="Arial"/>
                                <w:color w:val="000000" w:themeColor="text1"/>
                                <w:sz w:val="18"/>
                                <w:szCs w:val="18"/>
                              </w:rPr>
                              <w:t xml:space="preserve">“I know what is expected of me and what happens if I don’t do it. My </w:t>
                            </w:r>
                            <w:r w:rsidRPr="00677D6D">
                              <w:rPr>
                                <w:rFonts w:cs="Arial"/>
                                <w:color w:val="000000" w:themeColor="text1"/>
                                <w:sz w:val="18"/>
                                <w:szCs w:val="18"/>
                              </w:rPr>
                              <w:t>good behaviours are recognised</w:t>
                            </w:r>
                            <w:r>
                              <w:rPr>
                                <w:rFonts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4863D" id="Rounded Rectangular Callout 22" o:spid="_x0000_s1029" type="#_x0000_t62" style="position:absolute;margin-left:187.7pt;margin-top:8.35pt;width:243.5pt;height:103.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" adj="-2043,8862" fillcolor="#dbe5f1 [660]" stroked="f" strokeweight="2pt">
                <v:textbox>
                  <w:txbxContent>
                    <w:p w14:paraId="515C7943" w14:textId="77777777" w:rsidR="00B22E55" w:rsidRDefault="00B22E55" w:rsidP="00677D6D">
                      <w:pPr>
                        <w:rPr>
                          <w:rFonts w:cs="Arial"/>
                          <w:color w:val="000000" w:themeColor="text1"/>
                          <w:sz w:val="18"/>
                          <w:szCs w:val="18"/>
                        </w:rPr>
                      </w:pPr>
                      <w:r>
                        <w:rPr>
                          <w:rFonts w:cs="Arial"/>
                          <w:color w:val="000000" w:themeColor="text1"/>
                          <w:sz w:val="18"/>
                          <w:szCs w:val="18"/>
                        </w:rPr>
                        <w:t>“The regulatory system is easy to understand and helps me provide the best care to my patients.”</w:t>
                      </w:r>
                    </w:p>
                    <w:p w14:paraId="63A4CE50" w14:textId="77777777" w:rsidR="00B22E55" w:rsidRDefault="00B22E55" w:rsidP="00677D6D">
                      <w:pPr>
                        <w:rPr>
                          <w:rFonts w:cs="Arial"/>
                          <w:color w:val="000000" w:themeColor="text1"/>
                          <w:sz w:val="18"/>
                          <w:szCs w:val="18"/>
                        </w:rPr>
                      </w:pPr>
                    </w:p>
                    <w:p w14:paraId="448BBE23" w14:textId="77777777" w:rsidR="00B22E55" w:rsidRPr="00677D6D" w:rsidRDefault="00B22E55" w:rsidP="00677D6D">
                      <w:pPr>
                        <w:rPr>
                          <w:rFonts w:cs="Arial"/>
                          <w:color w:val="000000" w:themeColor="text1"/>
                          <w:sz w:val="18"/>
                          <w:szCs w:val="18"/>
                        </w:rPr>
                      </w:pPr>
                      <w:r>
                        <w:rPr>
                          <w:rFonts w:cs="Arial"/>
                          <w:color w:val="000000" w:themeColor="text1"/>
                          <w:sz w:val="18"/>
                          <w:szCs w:val="18"/>
                        </w:rPr>
                        <w:t xml:space="preserve">“I know what is expected of me and what happens if I don’t do it. My </w:t>
                      </w:r>
                      <w:r w:rsidRPr="00677D6D">
                        <w:rPr>
                          <w:rFonts w:cs="Arial"/>
                          <w:color w:val="000000" w:themeColor="text1"/>
                          <w:sz w:val="18"/>
                          <w:szCs w:val="18"/>
                        </w:rPr>
                        <w:t>good behaviours are recognised</w:t>
                      </w:r>
                      <w:r>
                        <w:rPr>
                          <w:rFonts w:cs="Arial"/>
                          <w:color w:val="000000" w:themeColor="text1"/>
                          <w:sz w:val="18"/>
                          <w:szCs w:val="18"/>
                        </w:rPr>
                        <w:t>.”</w:t>
                      </w:r>
                    </w:p>
                  </w:txbxContent>
                </v:textbox>
              </v:shape>
            </w:pict>
          </mc:Fallback>
        </mc:AlternateContent>
      </w:r>
      <w:r w:rsidR="00677D6D">
        <w:rPr>
          <w:rFonts w:eastAsia="Times New Roman"/>
          <w:bCs/>
          <w:noProof/>
          <w:color w:val="004EA8"/>
          <w:sz w:val="44"/>
          <w:szCs w:val="44"/>
          <w:lang w:eastAsia="en-AU"/>
        </w:rPr>
        <mc:AlternateContent>
          <mc:Choice Requires="wps">
            <w:drawing>
              <wp:anchor distT="0" distB="0" distL="114300" distR="114300" simplePos="0" relativeHeight="251672576" behindDoc="0" locked="0" layoutInCell="1" allowOverlap="1" wp14:anchorId="44A280AA" wp14:editId="292EE3C8">
                <wp:simplePos x="0" y="0"/>
                <wp:positionH relativeFrom="column">
                  <wp:posOffset>2575118</wp:posOffset>
                </wp:positionH>
                <wp:positionV relativeFrom="paragraph">
                  <wp:posOffset>3215005</wp:posOffset>
                </wp:positionV>
                <wp:extent cx="2901950" cy="1296063"/>
                <wp:effectExtent l="361950" t="0" r="0" b="0"/>
                <wp:wrapNone/>
                <wp:docPr id="29" name="Rounded Rectangular Callout 29"/>
                <wp:cNvGraphicFramePr/>
                <a:graphic xmlns:a="http://schemas.openxmlformats.org/drawingml/2006/main">
                  <a:graphicData uri="http://schemas.microsoft.com/office/word/2010/wordprocessingShape">
                    <wps:wsp>
                      <wps:cNvSpPr/>
                      <wps:spPr>
                        <a:xfrm>
                          <a:off x="0" y="0"/>
                          <a:ext cx="2901950" cy="1296063"/>
                        </a:xfrm>
                        <a:prstGeom prst="wedgeRoundRectCallout">
                          <a:avLst>
                            <a:gd name="adj1" fmla="val -62009"/>
                            <a:gd name="adj2" fmla="val -30098"/>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1FC19" w14:textId="77777777" w:rsidR="00B22E55" w:rsidRDefault="00B22E55" w:rsidP="00677D6D">
                            <w:pPr>
                              <w:rPr>
                                <w:rFonts w:cs="Arial"/>
                                <w:color w:val="000000" w:themeColor="text1"/>
                                <w:sz w:val="18"/>
                                <w:szCs w:val="18"/>
                              </w:rPr>
                            </w:pPr>
                            <w:r>
                              <w:rPr>
                                <w:rFonts w:cs="Arial"/>
                                <w:color w:val="000000" w:themeColor="text1"/>
                                <w:sz w:val="18"/>
                                <w:szCs w:val="18"/>
                              </w:rPr>
                              <w:t>“</w:t>
                            </w:r>
                            <w:r w:rsidRPr="00677D6D">
                              <w:rPr>
                                <w:rFonts w:cs="Arial"/>
                                <w:color w:val="000000" w:themeColor="text1"/>
                                <w:sz w:val="18"/>
                                <w:szCs w:val="18"/>
                              </w:rPr>
                              <w:t>The Victorian regulator helps us do our job more effectively</w:t>
                            </w:r>
                            <w:r>
                              <w:rPr>
                                <w:rFonts w:cs="Arial"/>
                                <w:color w:val="000000" w:themeColor="text1"/>
                                <w:sz w:val="18"/>
                                <w:szCs w:val="18"/>
                              </w:rPr>
                              <w:t xml:space="preserve">, and with their input we can protect the public and maintain the integrity of the </w:t>
                            </w:r>
                            <w:r w:rsidRPr="009E0B12">
                              <w:rPr>
                                <w:rFonts w:cs="Arial"/>
                                <w:color w:val="000000" w:themeColor="text1"/>
                                <w:sz w:val="18"/>
                                <w:szCs w:val="18"/>
                              </w:rPr>
                              <w:t>regulatory</w:t>
                            </w:r>
                            <w:r>
                              <w:rPr>
                                <w:rFonts w:cs="Arial"/>
                                <w:color w:val="000000" w:themeColor="text1"/>
                                <w:sz w:val="18"/>
                                <w:szCs w:val="18"/>
                              </w:rPr>
                              <w:t xml:space="preserve"> system</w:t>
                            </w:r>
                            <w:r w:rsidRPr="00677D6D">
                              <w:rPr>
                                <w:rFonts w:cs="Arial"/>
                                <w:color w:val="000000" w:themeColor="text1"/>
                                <w:sz w:val="18"/>
                                <w:szCs w:val="18"/>
                              </w:rPr>
                              <w:t>.</w:t>
                            </w:r>
                            <w:r>
                              <w:rPr>
                                <w:rFonts w:cs="Arial"/>
                                <w:color w:val="000000" w:themeColor="text1"/>
                                <w:sz w:val="18"/>
                                <w:szCs w:val="18"/>
                              </w:rPr>
                              <w:t>”</w:t>
                            </w:r>
                          </w:p>
                          <w:p w14:paraId="18F122C0" w14:textId="77777777" w:rsidR="00B22E55" w:rsidRDefault="00B22E55" w:rsidP="00677D6D">
                            <w:pPr>
                              <w:rPr>
                                <w:rFonts w:cs="Arial"/>
                                <w:color w:val="000000" w:themeColor="text1"/>
                                <w:sz w:val="18"/>
                                <w:szCs w:val="18"/>
                              </w:rPr>
                            </w:pPr>
                          </w:p>
                          <w:p w14:paraId="75CEE727" w14:textId="6DF635F7" w:rsidR="00B22E55" w:rsidRPr="00677D6D" w:rsidRDefault="00B22E55" w:rsidP="00677D6D">
                            <w:pPr>
                              <w:rPr>
                                <w:rFonts w:cs="Arial"/>
                                <w:color w:val="000000" w:themeColor="text1"/>
                                <w:sz w:val="18"/>
                                <w:szCs w:val="18"/>
                              </w:rPr>
                            </w:pPr>
                            <w:r>
                              <w:rPr>
                                <w:rFonts w:cs="Arial"/>
                                <w:color w:val="000000" w:themeColor="text1"/>
                                <w:sz w:val="18"/>
                                <w:szCs w:val="18"/>
                              </w:rPr>
                              <w:t>“</w:t>
                            </w:r>
                            <w:r w:rsidRPr="00677D6D">
                              <w:rPr>
                                <w:rFonts w:cs="Arial"/>
                                <w:color w:val="000000" w:themeColor="text1"/>
                                <w:sz w:val="18"/>
                                <w:szCs w:val="18"/>
                              </w:rPr>
                              <w:t xml:space="preserve">The </w:t>
                            </w:r>
                            <w:r w:rsidR="002A6E11">
                              <w:rPr>
                                <w:rFonts w:cs="Arial"/>
                                <w:color w:val="000000" w:themeColor="text1"/>
                                <w:sz w:val="18"/>
                                <w:szCs w:val="18"/>
                              </w:rPr>
                              <w:t>department</w:t>
                            </w:r>
                            <w:r w:rsidRPr="00677D6D">
                              <w:rPr>
                                <w:rFonts w:cs="Arial"/>
                                <w:color w:val="000000" w:themeColor="text1"/>
                                <w:sz w:val="18"/>
                                <w:szCs w:val="18"/>
                              </w:rPr>
                              <w:t xml:space="preserve"> is a valuable, timely and accurate source of information.</w:t>
                            </w:r>
                            <w:r>
                              <w:rPr>
                                <w:rFonts w:cs="Arial"/>
                                <w:color w:val="000000" w:themeColor="text1"/>
                                <w:sz w:val="18"/>
                                <w:szCs w:val="18"/>
                              </w:rPr>
                              <w:t xml:space="preserve"> </w:t>
                            </w:r>
                            <w:r w:rsidRPr="00677D6D">
                              <w:rPr>
                                <w:rFonts w:cs="Arial"/>
                                <w:color w:val="000000" w:themeColor="text1"/>
                                <w:sz w:val="18"/>
                                <w:szCs w:val="18"/>
                              </w:rPr>
                              <w:t>We enjoy working with them.</w:t>
                            </w:r>
                            <w:r>
                              <w:rPr>
                                <w:rFonts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80AA" id="Rounded Rectangular Callout 29" o:spid="_x0000_s1030" type="#_x0000_t62" style="position:absolute;margin-left:202.75pt;margin-top:253.15pt;width:228.5pt;height:10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" adj="-2594,4299" fillcolor="#dbe5f1 [660]" stroked="f" strokeweight="2pt">
                <v:textbox>
                  <w:txbxContent>
                    <w:p w14:paraId="5CC1FC19" w14:textId="77777777" w:rsidR="00B22E55" w:rsidRDefault="00B22E55" w:rsidP="00677D6D">
                      <w:pPr>
                        <w:rPr>
                          <w:rFonts w:cs="Arial"/>
                          <w:color w:val="000000" w:themeColor="text1"/>
                          <w:sz w:val="18"/>
                          <w:szCs w:val="18"/>
                        </w:rPr>
                      </w:pPr>
                      <w:r>
                        <w:rPr>
                          <w:rFonts w:cs="Arial"/>
                          <w:color w:val="000000" w:themeColor="text1"/>
                          <w:sz w:val="18"/>
                          <w:szCs w:val="18"/>
                        </w:rPr>
                        <w:t>“</w:t>
                      </w:r>
                      <w:r w:rsidRPr="00677D6D">
                        <w:rPr>
                          <w:rFonts w:cs="Arial"/>
                          <w:color w:val="000000" w:themeColor="text1"/>
                          <w:sz w:val="18"/>
                          <w:szCs w:val="18"/>
                        </w:rPr>
                        <w:t>The Victorian regulator helps us do our job more effectively</w:t>
                      </w:r>
                      <w:r>
                        <w:rPr>
                          <w:rFonts w:cs="Arial"/>
                          <w:color w:val="000000" w:themeColor="text1"/>
                          <w:sz w:val="18"/>
                          <w:szCs w:val="18"/>
                        </w:rPr>
                        <w:t xml:space="preserve">, and with their input we can protect the public and maintain the integrity of the </w:t>
                      </w:r>
                      <w:r w:rsidRPr="009E0B12">
                        <w:rPr>
                          <w:rFonts w:cs="Arial"/>
                          <w:color w:val="000000" w:themeColor="text1"/>
                          <w:sz w:val="18"/>
                          <w:szCs w:val="18"/>
                        </w:rPr>
                        <w:t>regulatory</w:t>
                      </w:r>
                      <w:r>
                        <w:rPr>
                          <w:rFonts w:cs="Arial"/>
                          <w:color w:val="000000" w:themeColor="text1"/>
                          <w:sz w:val="18"/>
                          <w:szCs w:val="18"/>
                        </w:rPr>
                        <w:t xml:space="preserve"> system</w:t>
                      </w:r>
                      <w:r w:rsidRPr="00677D6D">
                        <w:rPr>
                          <w:rFonts w:cs="Arial"/>
                          <w:color w:val="000000" w:themeColor="text1"/>
                          <w:sz w:val="18"/>
                          <w:szCs w:val="18"/>
                        </w:rPr>
                        <w:t>.</w:t>
                      </w:r>
                      <w:r>
                        <w:rPr>
                          <w:rFonts w:cs="Arial"/>
                          <w:color w:val="000000" w:themeColor="text1"/>
                          <w:sz w:val="18"/>
                          <w:szCs w:val="18"/>
                        </w:rPr>
                        <w:t>”</w:t>
                      </w:r>
                    </w:p>
                    <w:p w14:paraId="18F122C0" w14:textId="77777777" w:rsidR="00B22E55" w:rsidRDefault="00B22E55" w:rsidP="00677D6D">
                      <w:pPr>
                        <w:rPr>
                          <w:rFonts w:cs="Arial"/>
                          <w:color w:val="000000" w:themeColor="text1"/>
                          <w:sz w:val="18"/>
                          <w:szCs w:val="18"/>
                        </w:rPr>
                      </w:pPr>
                    </w:p>
                    <w:p w14:paraId="75CEE727" w14:textId="6DF635F7" w:rsidR="00B22E55" w:rsidRPr="00677D6D" w:rsidRDefault="00B22E55" w:rsidP="00677D6D">
                      <w:pPr>
                        <w:rPr>
                          <w:rFonts w:cs="Arial"/>
                          <w:color w:val="000000" w:themeColor="text1"/>
                          <w:sz w:val="18"/>
                          <w:szCs w:val="18"/>
                        </w:rPr>
                      </w:pPr>
                      <w:r>
                        <w:rPr>
                          <w:rFonts w:cs="Arial"/>
                          <w:color w:val="000000" w:themeColor="text1"/>
                          <w:sz w:val="18"/>
                          <w:szCs w:val="18"/>
                        </w:rPr>
                        <w:t>“</w:t>
                      </w:r>
                      <w:r w:rsidRPr="00677D6D">
                        <w:rPr>
                          <w:rFonts w:cs="Arial"/>
                          <w:color w:val="000000" w:themeColor="text1"/>
                          <w:sz w:val="18"/>
                          <w:szCs w:val="18"/>
                        </w:rPr>
                        <w:t xml:space="preserve">The </w:t>
                      </w:r>
                      <w:r w:rsidR="002A6E11">
                        <w:rPr>
                          <w:rFonts w:cs="Arial"/>
                          <w:color w:val="000000" w:themeColor="text1"/>
                          <w:sz w:val="18"/>
                          <w:szCs w:val="18"/>
                        </w:rPr>
                        <w:t>department</w:t>
                      </w:r>
                      <w:r w:rsidRPr="00677D6D">
                        <w:rPr>
                          <w:rFonts w:cs="Arial"/>
                          <w:color w:val="000000" w:themeColor="text1"/>
                          <w:sz w:val="18"/>
                          <w:szCs w:val="18"/>
                        </w:rPr>
                        <w:t xml:space="preserve"> is a valuable, timely and accurate source of information.</w:t>
                      </w:r>
                      <w:r>
                        <w:rPr>
                          <w:rFonts w:cs="Arial"/>
                          <w:color w:val="000000" w:themeColor="text1"/>
                          <w:sz w:val="18"/>
                          <w:szCs w:val="18"/>
                        </w:rPr>
                        <w:t xml:space="preserve"> </w:t>
                      </w:r>
                      <w:r w:rsidRPr="00677D6D">
                        <w:rPr>
                          <w:rFonts w:cs="Arial"/>
                          <w:color w:val="000000" w:themeColor="text1"/>
                          <w:sz w:val="18"/>
                          <w:szCs w:val="18"/>
                        </w:rPr>
                        <w:t>We enjoy working with them.</w:t>
                      </w:r>
                      <w:r>
                        <w:rPr>
                          <w:rFonts w:cs="Arial"/>
                          <w:color w:val="000000" w:themeColor="text1"/>
                          <w:sz w:val="18"/>
                          <w:szCs w:val="18"/>
                        </w:rPr>
                        <w:t>”</w:t>
                      </w:r>
                    </w:p>
                  </w:txbxContent>
                </v:textbox>
              </v:shape>
            </w:pict>
          </mc:Fallback>
        </mc:AlternateContent>
      </w:r>
      <w:r w:rsidR="00677D6D" w:rsidRPr="002376EF">
        <w:rPr>
          <w:b/>
          <w:noProof/>
          <w:lang w:eastAsia="en-AU"/>
        </w:rPr>
        <mc:AlternateContent>
          <mc:Choice Requires="wps">
            <w:drawing>
              <wp:anchor distT="0" distB="0" distL="114300" distR="114300" simplePos="0" relativeHeight="251669504" behindDoc="0" locked="0" layoutInCell="1" allowOverlap="1" wp14:anchorId="06E54A53" wp14:editId="2560FD63">
                <wp:simplePos x="0" y="0"/>
                <wp:positionH relativeFrom="column">
                  <wp:posOffset>818184</wp:posOffset>
                </wp:positionH>
                <wp:positionV relativeFrom="paragraph">
                  <wp:posOffset>4084955</wp:posOffset>
                </wp:positionV>
                <wp:extent cx="1446530" cy="262255"/>
                <wp:effectExtent l="0" t="0" r="1270" b="4445"/>
                <wp:wrapNone/>
                <wp:docPr id="28" name="Text Box 4"/>
                <wp:cNvGraphicFramePr/>
                <a:graphic xmlns:a="http://schemas.openxmlformats.org/drawingml/2006/main">
                  <a:graphicData uri="http://schemas.microsoft.com/office/word/2010/wordprocessingShape">
                    <wps:wsp>
                      <wps:cNvSpPr txBox="1"/>
                      <wps:spPr>
                        <a:xfrm>
                          <a:off x="0" y="0"/>
                          <a:ext cx="1446530" cy="26225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569A3E54" w14:textId="77777777" w:rsidR="00B22E55" w:rsidRPr="00C465C9" w:rsidRDefault="00B22E55" w:rsidP="002376EF">
                            <w:pPr>
                              <w:jc w:val="center"/>
                              <w:rPr>
                                <w:rFonts w:cs="Arial"/>
                                <w:sz w:val="16"/>
                              </w:rPr>
                            </w:pPr>
                            <w:r>
                              <w:rPr>
                                <w:rFonts w:cs="Arial"/>
                                <w:sz w:val="16"/>
                              </w:rPr>
                              <w:t>Co-regulators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4A53" id="Text Box 4" o:spid="_x0000_s1031" type="#_x0000_t202" style="position:absolute;margin-left:64.4pt;margin-top:321.65pt;width:113.9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" fillcolor="white [3201]" stroked="f" strokeweight="0">
                <v:textbox>
                  <w:txbxContent>
                    <w:p w14:paraId="569A3E54" w14:textId="77777777" w:rsidR="00B22E55" w:rsidRPr="00C465C9" w:rsidRDefault="00B22E55" w:rsidP="002376EF">
                      <w:pPr>
                        <w:jc w:val="center"/>
                        <w:rPr>
                          <w:rFonts w:cs="Arial"/>
                          <w:sz w:val="16"/>
                        </w:rPr>
                      </w:pPr>
                      <w:r>
                        <w:rPr>
                          <w:rFonts w:cs="Arial"/>
                          <w:sz w:val="16"/>
                        </w:rPr>
                        <w:t>Co-regulators</w:t>
                      </w:r>
                    </w:p>
                  </w:txbxContent>
                </v:textbox>
              </v:shape>
            </w:pict>
          </mc:Fallback>
        </mc:AlternateContent>
      </w:r>
      <w:r w:rsidR="00677D6D">
        <w:rPr>
          <w:b/>
          <w:noProof/>
          <w:lang w:eastAsia="en-AU"/>
        </w:rPr>
        <mc:AlternateContent>
          <mc:Choice Requires="wps">
            <w:drawing>
              <wp:anchor distT="0" distB="0" distL="114300" distR="114300" simplePos="0" relativeHeight="251639808" behindDoc="0" locked="0" layoutInCell="1" allowOverlap="1" wp14:anchorId="14E59164" wp14:editId="46075550">
                <wp:simplePos x="0" y="0"/>
                <wp:positionH relativeFrom="column">
                  <wp:posOffset>823595</wp:posOffset>
                </wp:positionH>
                <wp:positionV relativeFrom="paragraph">
                  <wp:posOffset>1300784</wp:posOffset>
                </wp:positionV>
                <wp:extent cx="1446530" cy="262255"/>
                <wp:effectExtent l="0" t="0" r="1270" b="4445"/>
                <wp:wrapNone/>
                <wp:docPr id="21" name="Text Box 5"/>
                <wp:cNvGraphicFramePr/>
                <a:graphic xmlns:a="http://schemas.openxmlformats.org/drawingml/2006/main">
                  <a:graphicData uri="http://schemas.microsoft.com/office/word/2010/wordprocessingShape">
                    <wps:wsp>
                      <wps:cNvSpPr txBox="1"/>
                      <wps:spPr>
                        <a:xfrm>
                          <a:off x="0" y="0"/>
                          <a:ext cx="1446530" cy="26225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5C8ADF33" w14:textId="77777777" w:rsidR="00B22E55" w:rsidRPr="00C465C9" w:rsidRDefault="00B22E55" w:rsidP="001A66F7">
                            <w:pPr>
                              <w:jc w:val="center"/>
                              <w:rPr>
                                <w:rFonts w:cs="Arial"/>
                                <w:sz w:val="16"/>
                              </w:rPr>
                            </w:pPr>
                            <w:r w:rsidRPr="00C465C9">
                              <w:rPr>
                                <w:rFonts w:cs="Arial"/>
                                <w:sz w:val="16"/>
                              </w:rPr>
                              <w:t>Health Practitioners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59164" id="Text Box 5" o:spid="_x0000_s1032" type="#_x0000_t202" style="position:absolute;margin-left:64.85pt;margin-top:102.4pt;width:113.9pt;height:2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" fillcolor="white [3201]" stroked="f" strokeweight="0">
                <v:textbox>
                  <w:txbxContent>
                    <w:p w14:paraId="5C8ADF33" w14:textId="77777777" w:rsidR="00B22E55" w:rsidRPr="00C465C9" w:rsidRDefault="00B22E55" w:rsidP="001A66F7">
                      <w:pPr>
                        <w:jc w:val="center"/>
                        <w:rPr>
                          <w:rFonts w:cs="Arial"/>
                          <w:sz w:val="16"/>
                        </w:rPr>
                      </w:pPr>
                      <w:r w:rsidRPr="00C465C9">
                        <w:rPr>
                          <w:rFonts w:cs="Arial"/>
                          <w:sz w:val="16"/>
                        </w:rPr>
                        <w:t>Health Practitioners</w:t>
                      </w:r>
                    </w:p>
                  </w:txbxContent>
                </v:textbox>
              </v:shape>
            </w:pict>
          </mc:Fallback>
        </mc:AlternateContent>
      </w:r>
      <w:r w:rsidR="00CC32C3">
        <w:rPr>
          <w:b/>
          <w:noProof/>
          <w:lang w:eastAsia="en-AU"/>
        </w:rPr>
        <mc:AlternateContent>
          <mc:Choice Requires="wps">
            <w:drawing>
              <wp:anchor distT="0" distB="0" distL="114300" distR="114300" simplePos="0" relativeHeight="251661312" behindDoc="0" locked="0" layoutInCell="1" allowOverlap="1" wp14:anchorId="2260A971" wp14:editId="7151238C">
                <wp:simplePos x="0" y="0"/>
                <wp:positionH relativeFrom="column">
                  <wp:posOffset>3369310</wp:posOffset>
                </wp:positionH>
                <wp:positionV relativeFrom="paragraph">
                  <wp:posOffset>2570149</wp:posOffset>
                </wp:positionV>
                <wp:extent cx="1446530" cy="262255"/>
                <wp:effectExtent l="0" t="0" r="1270" b="4445"/>
                <wp:wrapNone/>
                <wp:docPr id="23" name="Text Box 6"/>
                <wp:cNvGraphicFramePr/>
                <a:graphic xmlns:a="http://schemas.openxmlformats.org/drawingml/2006/main">
                  <a:graphicData uri="http://schemas.microsoft.com/office/word/2010/wordprocessingShape">
                    <wps:wsp>
                      <wps:cNvSpPr txBox="1"/>
                      <wps:spPr>
                        <a:xfrm>
                          <a:off x="0" y="0"/>
                          <a:ext cx="1446530" cy="26225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115951DE" w14:textId="77777777" w:rsidR="00B22E55" w:rsidRPr="00C465C9" w:rsidRDefault="00B22E55" w:rsidP="00C465C9">
                            <w:pPr>
                              <w:jc w:val="center"/>
                              <w:rPr>
                                <w:rFonts w:cs="Arial"/>
                                <w:sz w:val="16"/>
                              </w:rPr>
                            </w:pPr>
                            <w:r>
                              <w:rPr>
                                <w:rFonts w:cs="Arial"/>
                                <w:sz w:val="16"/>
                              </w:rPr>
                              <w:t>The general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A971" id="Text Box 6" o:spid="_x0000_s1033" type="#_x0000_t202" style="position:absolute;margin-left:265.3pt;margin-top:202.35pt;width:113.9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" fillcolor="white [3201]" stroked="f" strokeweight="0">
                <v:textbox>
                  <w:txbxContent>
                    <w:p w14:paraId="115951DE" w14:textId="77777777" w:rsidR="00B22E55" w:rsidRPr="00C465C9" w:rsidRDefault="00B22E55" w:rsidP="00C465C9">
                      <w:pPr>
                        <w:jc w:val="center"/>
                        <w:rPr>
                          <w:rFonts w:cs="Arial"/>
                          <w:sz w:val="16"/>
                        </w:rPr>
                      </w:pPr>
                      <w:r>
                        <w:rPr>
                          <w:rFonts w:cs="Arial"/>
                          <w:sz w:val="16"/>
                        </w:rPr>
                        <w:t>The general public</w:t>
                      </w:r>
                    </w:p>
                  </w:txbxContent>
                </v:textbox>
              </v:shape>
            </w:pict>
          </mc:Fallback>
        </mc:AlternateContent>
      </w:r>
      <w:r w:rsidR="00CC32C3">
        <w:rPr>
          <w:rFonts w:eastAsia="Times New Roman"/>
          <w:bCs/>
          <w:noProof/>
          <w:color w:val="004EA8"/>
          <w:sz w:val="44"/>
          <w:szCs w:val="44"/>
          <w:lang w:eastAsia="en-AU"/>
        </w:rPr>
        <mc:AlternateContent>
          <mc:Choice Requires="wps">
            <w:drawing>
              <wp:anchor distT="0" distB="0" distL="114300" distR="114300" simplePos="0" relativeHeight="251666432" behindDoc="0" locked="0" layoutInCell="1" allowOverlap="1" wp14:anchorId="50CDA759" wp14:editId="7C99D3F9">
                <wp:simplePos x="0" y="0"/>
                <wp:positionH relativeFrom="column">
                  <wp:posOffset>420315</wp:posOffset>
                </wp:positionH>
                <wp:positionV relativeFrom="paragraph">
                  <wp:posOffset>1807624</wp:posOffset>
                </wp:positionV>
                <wp:extent cx="2909570" cy="985520"/>
                <wp:effectExtent l="0" t="0" r="176530" b="5080"/>
                <wp:wrapNone/>
                <wp:docPr id="24" name="Rounded Rectangular Callout 24"/>
                <wp:cNvGraphicFramePr/>
                <a:graphic xmlns:a="http://schemas.openxmlformats.org/drawingml/2006/main">
                  <a:graphicData uri="http://schemas.microsoft.com/office/word/2010/wordprocessingShape">
                    <wps:wsp>
                      <wps:cNvSpPr/>
                      <wps:spPr>
                        <a:xfrm>
                          <a:off x="0" y="0"/>
                          <a:ext cx="2909570" cy="985520"/>
                        </a:xfrm>
                        <a:prstGeom prst="wedgeRoundRectCallout">
                          <a:avLst>
                            <a:gd name="adj1" fmla="val 55798"/>
                            <a:gd name="adj2" fmla="val -34186"/>
                            <a:gd name="adj3" fmla="val 16667"/>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3A253" w14:textId="77777777" w:rsidR="00B22E55"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I understand that there</w:t>
                            </w:r>
                            <w:r>
                              <w:rPr>
                                <w:rFonts w:cs="Arial"/>
                                <w:color w:val="000000" w:themeColor="text1"/>
                                <w:sz w:val="18"/>
                                <w:szCs w:val="18"/>
                              </w:rPr>
                              <w:t xml:space="preserve"> are</w:t>
                            </w:r>
                            <w:r w:rsidRPr="00CC32C3">
                              <w:rPr>
                                <w:rFonts w:cs="Arial"/>
                                <w:color w:val="000000" w:themeColor="text1"/>
                                <w:sz w:val="18"/>
                                <w:szCs w:val="18"/>
                              </w:rPr>
                              <w:t xml:space="preserve"> protections in place to reduce harms caused by</w:t>
                            </w:r>
                            <w:r>
                              <w:rPr>
                                <w:rFonts w:cs="Arial"/>
                                <w:color w:val="000000" w:themeColor="text1"/>
                                <w:sz w:val="18"/>
                                <w:szCs w:val="18"/>
                              </w:rPr>
                              <w:t xml:space="preserve"> medicines</w:t>
                            </w:r>
                            <w:r w:rsidRPr="00CC32C3">
                              <w:rPr>
                                <w:rFonts w:cs="Arial"/>
                                <w:color w:val="000000" w:themeColor="text1"/>
                                <w:sz w:val="18"/>
                                <w:szCs w:val="18"/>
                              </w:rPr>
                              <w:t xml:space="preserve"> and poisons.</w:t>
                            </w:r>
                            <w:r>
                              <w:rPr>
                                <w:rFonts w:cs="Arial"/>
                                <w:color w:val="000000" w:themeColor="text1"/>
                                <w:sz w:val="18"/>
                                <w:szCs w:val="18"/>
                              </w:rPr>
                              <w:t>”</w:t>
                            </w:r>
                            <w:r w:rsidRPr="00CC32C3">
                              <w:rPr>
                                <w:rFonts w:cs="Arial"/>
                                <w:color w:val="000000" w:themeColor="text1"/>
                                <w:sz w:val="18"/>
                                <w:szCs w:val="18"/>
                              </w:rPr>
                              <w:t xml:space="preserve"> </w:t>
                            </w:r>
                          </w:p>
                          <w:p w14:paraId="338735D3" w14:textId="77777777" w:rsidR="00B22E55" w:rsidRDefault="00B22E55" w:rsidP="00CC32C3">
                            <w:pPr>
                              <w:rPr>
                                <w:rFonts w:cs="Arial"/>
                                <w:color w:val="000000" w:themeColor="text1"/>
                                <w:sz w:val="18"/>
                                <w:szCs w:val="18"/>
                              </w:rPr>
                            </w:pPr>
                          </w:p>
                          <w:p w14:paraId="6528BA2A" w14:textId="77777777"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 xml:space="preserve">I have confidence in the </w:t>
                            </w:r>
                            <w:r>
                              <w:rPr>
                                <w:rFonts w:cs="Arial"/>
                                <w:color w:val="000000" w:themeColor="text1"/>
                                <w:sz w:val="18"/>
                                <w:szCs w:val="18"/>
                              </w:rPr>
                              <w:t xml:space="preserve">regulatory </w:t>
                            </w:r>
                            <w:r w:rsidRPr="00CC32C3">
                              <w:rPr>
                                <w:rFonts w:cs="Arial"/>
                                <w:color w:val="000000" w:themeColor="text1"/>
                                <w:sz w:val="18"/>
                                <w:szCs w:val="18"/>
                              </w:rPr>
                              <w:t>systems</w:t>
                            </w:r>
                            <w:r>
                              <w:rPr>
                                <w:rFonts w:cs="Arial"/>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DA759" id="Rounded Rectangular Callout 24" o:spid="_x0000_s1034" type="#_x0000_t62" style="position:absolute;margin-left:33.1pt;margin-top:142.35pt;width:229.1pt;height:7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" adj="22852,3416" fillcolor="#dbe5f1 [660]" stroked="f" strokeweight="2pt">
                <v:textbox>
                  <w:txbxContent>
                    <w:p w14:paraId="5053A253" w14:textId="77777777" w:rsidR="00B22E55"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I understand that there</w:t>
                      </w:r>
                      <w:r>
                        <w:rPr>
                          <w:rFonts w:cs="Arial"/>
                          <w:color w:val="000000" w:themeColor="text1"/>
                          <w:sz w:val="18"/>
                          <w:szCs w:val="18"/>
                        </w:rPr>
                        <w:t xml:space="preserve"> are</w:t>
                      </w:r>
                      <w:r w:rsidRPr="00CC32C3">
                        <w:rPr>
                          <w:rFonts w:cs="Arial"/>
                          <w:color w:val="000000" w:themeColor="text1"/>
                          <w:sz w:val="18"/>
                          <w:szCs w:val="18"/>
                        </w:rPr>
                        <w:t xml:space="preserve"> protections in place to reduce harms caused by</w:t>
                      </w:r>
                      <w:r>
                        <w:rPr>
                          <w:rFonts w:cs="Arial"/>
                          <w:color w:val="000000" w:themeColor="text1"/>
                          <w:sz w:val="18"/>
                          <w:szCs w:val="18"/>
                        </w:rPr>
                        <w:t xml:space="preserve"> medicines</w:t>
                      </w:r>
                      <w:r w:rsidRPr="00CC32C3">
                        <w:rPr>
                          <w:rFonts w:cs="Arial"/>
                          <w:color w:val="000000" w:themeColor="text1"/>
                          <w:sz w:val="18"/>
                          <w:szCs w:val="18"/>
                        </w:rPr>
                        <w:t xml:space="preserve"> and poisons.</w:t>
                      </w:r>
                      <w:r>
                        <w:rPr>
                          <w:rFonts w:cs="Arial"/>
                          <w:color w:val="000000" w:themeColor="text1"/>
                          <w:sz w:val="18"/>
                          <w:szCs w:val="18"/>
                        </w:rPr>
                        <w:t>”</w:t>
                      </w:r>
                      <w:r w:rsidRPr="00CC32C3">
                        <w:rPr>
                          <w:rFonts w:cs="Arial"/>
                          <w:color w:val="000000" w:themeColor="text1"/>
                          <w:sz w:val="18"/>
                          <w:szCs w:val="18"/>
                        </w:rPr>
                        <w:t xml:space="preserve"> </w:t>
                      </w:r>
                    </w:p>
                    <w:p w14:paraId="338735D3" w14:textId="77777777" w:rsidR="00B22E55" w:rsidRDefault="00B22E55" w:rsidP="00CC32C3">
                      <w:pPr>
                        <w:rPr>
                          <w:rFonts w:cs="Arial"/>
                          <w:color w:val="000000" w:themeColor="text1"/>
                          <w:sz w:val="18"/>
                          <w:szCs w:val="18"/>
                        </w:rPr>
                      </w:pPr>
                    </w:p>
                    <w:p w14:paraId="6528BA2A" w14:textId="77777777" w:rsidR="00B22E55" w:rsidRPr="00CC32C3" w:rsidRDefault="00B22E55" w:rsidP="00CC32C3">
                      <w:pPr>
                        <w:rPr>
                          <w:rFonts w:cs="Arial"/>
                          <w:color w:val="000000" w:themeColor="text1"/>
                          <w:sz w:val="18"/>
                          <w:szCs w:val="18"/>
                        </w:rPr>
                      </w:pPr>
                      <w:r>
                        <w:rPr>
                          <w:rFonts w:cs="Arial"/>
                          <w:color w:val="000000" w:themeColor="text1"/>
                          <w:sz w:val="18"/>
                          <w:szCs w:val="18"/>
                        </w:rPr>
                        <w:t>“</w:t>
                      </w:r>
                      <w:r w:rsidRPr="00CC32C3">
                        <w:rPr>
                          <w:rFonts w:cs="Arial"/>
                          <w:color w:val="000000" w:themeColor="text1"/>
                          <w:sz w:val="18"/>
                          <w:szCs w:val="18"/>
                        </w:rPr>
                        <w:t xml:space="preserve">I have confidence in the </w:t>
                      </w:r>
                      <w:r>
                        <w:rPr>
                          <w:rFonts w:cs="Arial"/>
                          <w:color w:val="000000" w:themeColor="text1"/>
                          <w:sz w:val="18"/>
                          <w:szCs w:val="18"/>
                        </w:rPr>
                        <w:t xml:space="preserve">regulatory </w:t>
                      </w:r>
                      <w:r w:rsidRPr="00CC32C3">
                        <w:rPr>
                          <w:rFonts w:cs="Arial"/>
                          <w:color w:val="000000" w:themeColor="text1"/>
                          <w:sz w:val="18"/>
                          <w:szCs w:val="18"/>
                        </w:rPr>
                        <w:t>systems</w:t>
                      </w:r>
                      <w:r>
                        <w:rPr>
                          <w:rFonts w:cs="Arial"/>
                          <w:color w:val="000000" w:themeColor="text1"/>
                          <w:sz w:val="18"/>
                          <w:szCs w:val="18"/>
                        </w:rPr>
                        <w:t xml:space="preserve">.” </w:t>
                      </w:r>
                    </w:p>
                  </w:txbxContent>
                </v:textbox>
              </v:shape>
            </w:pict>
          </mc:Fallback>
        </mc:AlternateContent>
      </w:r>
      <w:r w:rsidR="00953636" w:rsidRPr="001A66F7">
        <w:rPr>
          <w:b/>
        </w:rPr>
        <w:br w:type="page"/>
      </w:r>
    </w:p>
    <w:p w14:paraId="408520B3" w14:textId="77777777" w:rsidR="004950DB" w:rsidRDefault="004950DB" w:rsidP="00A75A25">
      <w:pPr>
        <w:pStyle w:val="Heading2"/>
      </w:pPr>
      <w:r>
        <w:lastRenderedPageBreak/>
        <w:t>Guiding principles</w:t>
      </w:r>
    </w:p>
    <w:p w14:paraId="4E445A94" w14:textId="31BED4CB" w:rsidR="002A1CD9" w:rsidRPr="00E2232F" w:rsidRDefault="3DAFEB72" w:rsidP="3B23E3B6">
      <w:pPr>
        <w:pStyle w:val="DHHSbody"/>
        <w:rPr>
          <w:b/>
          <w:bCs/>
        </w:rPr>
      </w:pPr>
      <w:r w:rsidRPr="41FD14AD">
        <w:rPr>
          <w:b/>
          <w:bCs/>
        </w:rPr>
        <w:t>A good compliance and enforcement policy is flexible and adaptable, allowing responses to be developed on a case-by-case basis</w:t>
      </w:r>
      <w:r w:rsidR="6E73CCE9" w:rsidRPr="41FD14AD">
        <w:rPr>
          <w:b/>
          <w:bCs/>
        </w:rPr>
        <w:t>. It allows the regulator to apply a range of tools and supports, including advice and education as well as applying the enforcement options provided in legislation</w:t>
      </w:r>
      <w:r w:rsidRPr="41FD14AD">
        <w:rPr>
          <w:b/>
          <w:bCs/>
        </w:rPr>
        <w:t xml:space="preserve">. </w:t>
      </w:r>
    </w:p>
    <w:p w14:paraId="2F53BAA8" w14:textId="6B455D79" w:rsidR="0010467E" w:rsidRPr="00A75A25" w:rsidRDefault="3DAFEB72" w:rsidP="0010467E">
      <w:pPr>
        <w:pStyle w:val="DHHSbody"/>
      </w:pPr>
      <w:r w:rsidRPr="00A75A25">
        <w:t xml:space="preserve">The department’s over-arching better regulatory practice principles in the Better Regulatory Practice Framework set out in the following table guide the work of the </w:t>
      </w:r>
      <w:r w:rsidR="002A6E11">
        <w:t>department</w:t>
      </w:r>
      <w:r w:rsidRPr="00A75A25">
        <w:t xml:space="preserve"> and how it applies this policy to achieve our intended regulatory Outcomes. </w:t>
      </w:r>
    </w:p>
    <w:p w14:paraId="3A2C7F2C" w14:textId="77777777" w:rsidR="00906B70" w:rsidRDefault="00906B70" w:rsidP="00906B70">
      <w:pPr>
        <w:pStyle w:val="DHHStablecaption"/>
      </w:pPr>
      <w:r w:rsidRPr="00833376">
        <w:t>Table 1: Applying the better practice principles to this policy</w:t>
      </w:r>
    </w:p>
    <w:tbl>
      <w:tblPr>
        <w:tblStyle w:val="TableGrid"/>
        <w:tblW w:w="9526"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95"/>
        <w:gridCol w:w="3568"/>
        <w:gridCol w:w="4263"/>
      </w:tblGrid>
      <w:tr w:rsidR="00906B70" w:rsidRPr="00906B70" w14:paraId="221E4631" w14:textId="77777777" w:rsidTr="00FC0A00">
        <w:trPr>
          <w:tblHeader/>
        </w:trPr>
        <w:tc>
          <w:tcPr>
            <w:tcW w:w="1695" w:type="dxa"/>
            <w:shd w:val="clear" w:color="auto" w:fill="FFFFFF" w:themeFill="background1"/>
            <w:vAlign w:val="center"/>
          </w:tcPr>
          <w:p w14:paraId="5817810B" w14:textId="77777777" w:rsidR="00906B70" w:rsidRPr="00906B70" w:rsidRDefault="00906B70" w:rsidP="00906B70">
            <w:pPr>
              <w:pStyle w:val="DHHStablecolhead"/>
            </w:pPr>
            <w:r w:rsidRPr="00906B70">
              <w:t>Principle</w:t>
            </w:r>
          </w:p>
        </w:tc>
        <w:tc>
          <w:tcPr>
            <w:tcW w:w="3568" w:type="dxa"/>
            <w:shd w:val="clear" w:color="auto" w:fill="FFFFFF" w:themeFill="background1"/>
            <w:vAlign w:val="center"/>
          </w:tcPr>
          <w:p w14:paraId="18BE5678" w14:textId="77777777" w:rsidR="00906B70" w:rsidRPr="00906B70" w:rsidRDefault="00906B70" w:rsidP="00906B70">
            <w:pPr>
              <w:pStyle w:val="DHHStablecolhead"/>
            </w:pPr>
            <w:r w:rsidRPr="00906B70">
              <w:t>Commitment</w:t>
            </w:r>
            <w:r>
              <w:t xml:space="preserve"> outlined in the Better Practice Regulatory Framework</w:t>
            </w:r>
          </w:p>
        </w:tc>
        <w:tc>
          <w:tcPr>
            <w:tcW w:w="4263" w:type="dxa"/>
            <w:shd w:val="clear" w:color="auto" w:fill="FFFFFF" w:themeFill="background1"/>
          </w:tcPr>
          <w:p w14:paraId="5907FA68" w14:textId="77777777" w:rsidR="00906B70" w:rsidRPr="00906B70" w:rsidRDefault="00906B70" w:rsidP="00906B70">
            <w:pPr>
              <w:pStyle w:val="DHHStablecolhead"/>
            </w:pPr>
            <w:r w:rsidRPr="00906B70">
              <w:t>Application of the principles</w:t>
            </w:r>
            <w:r w:rsidR="001926FE">
              <w:t xml:space="preserve"> to this policy</w:t>
            </w:r>
          </w:p>
        </w:tc>
      </w:tr>
      <w:tr w:rsidR="00906B70" w:rsidRPr="005F63D2" w14:paraId="418C3E6E" w14:textId="77777777" w:rsidTr="00FC0A00">
        <w:tc>
          <w:tcPr>
            <w:tcW w:w="1695" w:type="dxa"/>
            <w:shd w:val="clear" w:color="auto" w:fill="auto"/>
          </w:tcPr>
          <w:p w14:paraId="7E779A8B" w14:textId="77777777" w:rsidR="00906B70" w:rsidRPr="005F63D2" w:rsidRDefault="00906B70" w:rsidP="005F63D2">
            <w:pPr>
              <w:pStyle w:val="DHHStabletext"/>
              <w:rPr>
                <w:b/>
              </w:rPr>
            </w:pPr>
            <w:r w:rsidRPr="005F63D2">
              <w:rPr>
                <w:b/>
              </w:rPr>
              <w:t>Collaborative</w:t>
            </w:r>
          </w:p>
        </w:tc>
        <w:tc>
          <w:tcPr>
            <w:tcW w:w="3568" w:type="dxa"/>
            <w:shd w:val="clear" w:color="auto" w:fill="auto"/>
          </w:tcPr>
          <w:p w14:paraId="4D70B10B" w14:textId="506F7931" w:rsidR="00906B70" w:rsidRPr="005F63D2" w:rsidRDefault="00906B70" w:rsidP="005F63D2">
            <w:pPr>
              <w:pStyle w:val="DHHStabletext"/>
            </w:pPr>
            <w:r>
              <w:t xml:space="preserve">Where the various departmental regulatory regimes, and those of other agencies, intersect, the regulators work together to maximise effectiveness and minimise regulatory burden. Regulators also cooperate and engage with internal and external stakeholders, including interstate counterparts and those representing various client groups within the Victorian community. </w:t>
            </w:r>
          </w:p>
        </w:tc>
        <w:tc>
          <w:tcPr>
            <w:tcW w:w="4263" w:type="dxa"/>
          </w:tcPr>
          <w:p w14:paraId="7744D839" w14:textId="3728DD68" w:rsidR="00464A02" w:rsidRPr="005F63D2" w:rsidRDefault="53C17DCC" w:rsidP="005F63D2">
            <w:pPr>
              <w:pStyle w:val="DHHStabletext"/>
            </w:pPr>
            <w:r>
              <w:t xml:space="preserve">The approach to compliance and enforcement activities will </w:t>
            </w:r>
            <w:r w:rsidRPr="41FD14AD">
              <w:rPr>
                <w:b/>
                <w:bCs/>
              </w:rPr>
              <w:t>be informed by insights from internal and external stakeholders</w:t>
            </w:r>
            <w:r>
              <w:t>, including other teams with</w:t>
            </w:r>
            <w:r w:rsidR="0967A282">
              <w:t>in</w:t>
            </w:r>
            <w:r>
              <w:t xml:space="preserve"> the </w:t>
            </w:r>
            <w:r w:rsidR="000707DB">
              <w:t>d</w:t>
            </w:r>
            <w:r>
              <w:t xml:space="preserve">epartment, co-regulators (e.g. </w:t>
            </w:r>
            <w:r w:rsidR="277AB6F2">
              <w:t xml:space="preserve">Health Complaints Commissioner (HCC), </w:t>
            </w:r>
            <w:r w:rsidR="00F771EB">
              <w:t>Australian Health Practitioner Regulation Agency (</w:t>
            </w:r>
            <w:r w:rsidR="00154DF9">
              <w:t>Ahpra</w:t>
            </w:r>
            <w:r w:rsidR="00F771EB">
              <w:t>)</w:t>
            </w:r>
            <w:r w:rsidR="00DD783B">
              <w:t xml:space="preserve">, </w:t>
            </w:r>
            <w:r>
              <w:t xml:space="preserve">Victoria Police and the </w:t>
            </w:r>
            <w:r w:rsidR="7C13F45A">
              <w:t>Victorian Pharmacy Authority</w:t>
            </w:r>
            <w:r w:rsidR="00F771EB">
              <w:t xml:space="preserve"> (VPA</w:t>
            </w:r>
            <w:r w:rsidR="7C13F45A">
              <w:t>), practitioners and sector representatives (e.g. peak bodies)</w:t>
            </w:r>
            <w:r w:rsidR="3F5E1393">
              <w:t>.</w:t>
            </w:r>
            <w:r w:rsidR="45BCB6DD">
              <w:t xml:space="preserve"> </w:t>
            </w:r>
          </w:p>
          <w:p w14:paraId="2727EBC2" w14:textId="66D54969" w:rsidR="00464A02" w:rsidRPr="005F63D2" w:rsidRDefault="45BCB6DD" w:rsidP="005F63D2">
            <w:pPr>
              <w:pStyle w:val="DHHStabletext"/>
            </w:pPr>
            <w:r>
              <w:t xml:space="preserve">The </w:t>
            </w:r>
            <w:r w:rsidR="002A6E11">
              <w:t>department</w:t>
            </w:r>
            <w:r>
              <w:t xml:space="preserve"> also </w:t>
            </w:r>
            <w:r w:rsidRPr="41FD14AD">
              <w:rPr>
                <w:b/>
                <w:bCs/>
              </w:rPr>
              <w:t>collaborate</w:t>
            </w:r>
            <w:r w:rsidR="7E24C37C" w:rsidRPr="41FD14AD">
              <w:rPr>
                <w:b/>
                <w:bCs/>
              </w:rPr>
              <w:t>s</w:t>
            </w:r>
            <w:r w:rsidRPr="41FD14AD">
              <w:rPr>
                <w:b/>
                <w:bCs/>
              </w:rPr>
              <w:t xml:space="preserve"> with other co-regulators</w:t>
            </w:r>
            <w:r>
              <w:t xml:space="preserve"> in relation to taking enforcement actions, ensuring that the regulatory </w:t>
            </w:r>
            <w:r w:rsidR="005F63D2">
              <w:t xml:space="preserve">body </w:t>
            </w:r>
            <w:r>
              <w:t>responding has the most effective tools and can influence future behaviour.</w:t>
            </w:r>
            <w:r w:rsidR="00E67E1B">
              <w:t xml:space="preserve"> </w:t>
            </w:r>
          </w:p>
        </w:tc>
      </w:tr>
      <w:tr w:rsidR="00906B70" w:rsidRPr="005F63D2" w14:paraId="30E63716" w14:textId="77777777" w:rsidTr="00FC0A00">
        <w:tc>
          <w:tcPr>
            <w:tcW w:w="1695" w:type="dxa"/>
            <w:shd w:val="clear" w:color="auto" w:fill="auto"/>
          </w:tcPr>
          <w:p w14:paraId="3C43CA58" w14:textId="77777777" w:rsidR="00906B70" w:rsidRPr="005F63D2" w:rsidRDefault="00906B70" w:rsidP="005F63D2">
            <w:pPr>
              <w:pStyle w:val="DHHStabletext"/>
              <w:rPr>
                <w:b/>
              </w:rPr>
            </w:pPr>
            <w:r w:rsidRPr="005F63D2">
              <w:rPr>
                <w:b/>
              </w:rPr>
              <w:t>Consistent</w:t>
            </w:r>
          </w:p>
        </w:tc>
        <w:tc>
          <w:tcPr>
            <w:tcW w:w="3568" w:type="dxa"/>
            <w:shd w:val="clear" w:color="auto" w:fill="auto"/>
          </w:tcPr>
          <w:p w14:paraId="0FB65748" w14:textId="4A9E1A4B" w:rsidR="00906B70" w:rsidRPr="005F63D2" w:rsidRDefault="00906B70" w:rsidP="005F63D2">
            <w:pPr>
              <w:pStyle w:val="DHHStabletext"/>
            </w:pPr>
            <w:r>
              <w:t>The regulators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ensure</w:t>
            </w:r>
            <w:r w:rsidR="7E24C37C">
              <w:t>s</w:t>
            </w:r>
            <w:r>
              <w:t xml:space="preserve"> that individuals</w:t>
            </w:r>
            <w:r w:rsidR="32D0B73F">
              <w:t xml:space="preserve"> </w:t>
            </w:r>
            <w:r>
              <w:t xml:space="preserve">/ organisations are treated fairly, and that the regulators are objective in their decision-making. </w:t>
            </w:r>
          </w:p>
        </w:tc>
        <w:tc>
          <w:tcPr>
            <w:tcW w:w="4263" w:type="dxa"/>
          </w:tcPr>
          <w:p w14:paraId="613F194E" w14:textId="35C2A00B" w:rsidR="00906B70" w:rsidRPr="005F63D2" w:rsidRDefault="3D23B732" w:rsidP="005F63D2">
            <w:pPr>
              <w:pStyle w:val="DHHStabletext"/>
            </w:pPr>
            <w:r>
              <w:t xml:space="preserve">Outcomes from compliance and </w:t>
            </w:r>
            <w:r w:rsidRPr="41FD14AD">
              <w:rPr>
                <w:b/>
                <w:bCs/>
              </w:rPr>
              <w:t>enforcement activities should be consistent and predictable</w:t>
            </w:r>
            <w:r>
              <w:t>. This policy seeks to ensure that similar circumstances, non-compliances and other issues lead to similar enforcement</w:t>
            </w:r>
            <w:r w:rsidR="0010467E">
              <w:t xml:space="preserve"> </w:t>
            </w:r>
            <w:r w:rsidR="002950C1">
              <w:t>o</w:t>
            </w:r>
            <w:r>
              <w:t>utcomes.</w:t>
            </w:r>
          </w:p>
          <w:p w14:paraId="4CBAAF5C" w14:textId="5F7B16CB" w:rsidR="00464A02" w:rsidRPr="005F63D2" w:rsidRDefault="45BCB6DD" w:rsidP="005F63D2">
            <w:pPr>
              <w:pStyle w:val="DHHStabletext"/>
            </w:pPr>
            <w:r>
              <w:t xml:space="preserve">Applying and communicating the outcomes of a consistent approach to compliance and enforcement </w:t>
            </w:r>
            <w:r w:rsidR="005F63D2">
              <w:t>assist</w:t>
            </w:r>
            <w:r w:rsidR="7E24C37C">
              <w:t>s</w:t>
            </w:r>
            <w:r w:rsidR="005F63D2">
              <w:t xml:space="preserve"> </w:t>
            </w:r>
            <w:r>
              <w:t xml:space="preserve">stakeholders and practitioners </w:t>
            </w:r>
            <w:r w:rsidR="39C7E64F">
              <w:t xml:space="preserve">to </w:t>
            </w:r>
            <w:r>
              <w:t xml:space="preserve">understand how the </w:t>
            </w:r>
            <w:r w:rsidR="002A6E11">
              <w:t>department</w:t>
            </w:r>
            <w:r>
              <w:t xml:space="preserve"> respond</w:t>
            </w:r>
            <w:r w:rsidR="39C7E64F">
              <w:t>s</w:t>
            </w:r>
            <w:r>
              <w:t xml:space="preserve"> to particular issues.</w:t>
            </w:r>
            <w:r w:rsidR="00E67E1B">
              <w:t xml:space="preserve"> </w:t>
            </w:r>
            <w:r>
              <w:t xml:space="preserve"> </w:t>
            </w:r>
          </w:p>
        </w:tc>
      </w:tr>
      <w:tr w:rsidR="00906B70" w:rsidRPr="005F63D2" w14:paraId="33444501" w14:textId="77777777" w:rsidTr="00FC0A00">
        <w:trPr>
          <w:cantSplit/>
        </w:trPr>
        <w:tc>
          <w:tcPr>
            <w:tcW w:w="1695" w:type="dxa"/>
            <w:shd w:val="clear" w:color="auto" w:fill="auto"/>
          </w:tcPr>
          <w:p w14:paraId="0ADC1898" w14:textId="77777777" w:rsidR="00906B70" w:rsidRPr="005F63D2" w:rsidRDefault="00906B70" w:rsidP="005F63D2">
            <w:pPr>
              <w:pStyle w:val="DHHStabletext"/>
              <w:rPr>
                <w:b/>
              </w:rPr>
            </w:pPr>
            <w:r w:rsidRPr="005F63D2">
              <w:rPr>
                <w:b/>
              </w:rPr>
              <w:lastRenderedPageBreak/>
              <w:t>Efficient</w:t>
            </w:r>
          </w:p>
        </w:tc>
        <w:tc>
          <w:tcPr>
            <w:tcW w:w="3568" w:type="dxa"/>
            <w:shd w:val="clear" w:color="auto" w:fill="auto"/>
          </w:tcPr>
          <w:p w14:paraId="38A82B47" w14:textId="0AA5A986" w:rsidR="00906B70" w:rsidRPr="005F63D2" w:rsidRDefault="00906B70" w:rsidP="005F63D2">
            <w:pPr>
              <w:pStyle w:val="DHHStabletext"/>
            </w:pPr>
            <w:r>
              <w:t xml:space="preserve">The regulators allocate resources in a proportionate way that aims to </w:t>
            </w:r>
            <w:r w:rsidR="00D474E0">
              <w:t>achieve Outcomes most efficiently</w:t>
            </w:r>
            <w:r>
              <w:t>, considering the direct and indirect impacts on the relevant sectors. This includes minimising unnecessary administrative burden and any adverse impact of regulatory actions on businesses to a level that is not justifiable to achieve regulatory Outcomes.</w:t>
            </w:r>
          </w:p>
        </w:tc>
        <w:tc>
          <w:tcPr>
            <w:tcW w:w="4263" w:type="dxa"/>
          </w:tcPr>
          <w:p w14:paraId="26911524" w14:textId="28F86C46" w:rsidR="00906B70" w:rsidRPr="005F63D2" w:rsidRDefault="742E678D" w:rsidP="005F63D2">
            <w:pPr>
              <w:pStyle w:val="DHHStabletext"/>
            </w:pPr>
            <w:r>
              <w:t xml:space="preserve">In carrying out compliance and enforcement activities, consideration </w:t>
            </w:r>
            <w:r w:rsidR="7E24C37C">
              <w:t>is</w:t>
            </w:r>
            <w:r>
              <w:t xml:space="preserve"> </w:t>
            </w:r>
            <w:r w:rsidR="53C17DCC">
              <w:t xml:space="preserve">given to ensuring that it is efficient, both from the perspective of the </w:t>
            </w:r>
            <w:r w:rsidR="002A6E11">
              <w:t>department</w:t>
            </w:r>
            <w:r w:rsidR="53C17DCC">
              <w:t xml:space="preserve"> as well as minimising any unnecessary imposts on stakeholders.</w:t>
            </w:r>
          </w:p>
          <w:p w14:paraId="26E4D175" w14:textId="101F316C" w:rsidR="00464A02" w:rsidRPr="005F63D2" w:rsidRDefault="45BCB6DD" w:rsidP="005F63D2">
            <w:pPr>
              <w:pStyle w:val="DHHStabletext"/>
            </w:pPr>
            <w:r>
              <w:t xml:space="preserve">The </w:t>
            </w:r>
            <w:r w:rsidR="002A6E11">
              <w:t>department</w:t>
            </w:r>
            <w:r>
              <w:t xml:space="preserve"> recognises that many of the compliance and enforcement responses involve significant allocation of resources. These </w:t>
            </w:r>
            <w:r w:rsidRPr="41FD14AD">
              <w:rPr>
                <w:b/>
                <w:bCs/>
              </w:rPr>
              <w:t>resources should be deployed appropriately and where they have the best chance of reducing harm</w:t>
            </w:r>
            <w:r w:rsidR="00DD783B" w:rsidRPr="41FD14AD">
              <w:rPr>
                <w:b/>
                <w:bCs/>
              </w:rPr>
              <w:t>, which may include referral to another regulator.</w:t>
            </w:r>
          </w:p>
        </w:tc>
      </w:tr>
      <w:tr w:rsidR="00906B70" w:rsidRPr="005F63D2" w14:paraId="3C93B834" w14:textId="77777777" w:rsidTr="00FC0A00">
        <w:tc>
          <w:tcPr>
            <w:tcW w:w="1695" w:type="dxa"/>
            <w:shd w:val="clear" w:color="auto" w:fill="auto"/>
          </w:tcPr>
          <w:p w14:paraId="5D18067C" w14:textId="77777777" w:rsidR="00906B70" w:rsidRPr="005F63D2" w:rsidRDefault="00906B70" w:rsidP="005F63D2">
            <w:pPr>
              <w:pStyle w:val="DHHStabletext"/>
              <w:rPr>
                <w:b/>
              </w:rPr>
            </w:pPr>
            <w:r w:rsidRPr="005F63D2">
              <w:rPr>
                <w:b/>
              </w:rPr>
              <w:t>Intelligence-led</w:t>
            </w:r>
          </w:p>
        </w:tc>
        <w:tc>
          <w:tcPr>
            <w:tcW w:w="3568" w:type="dxa"/>
            <w:shd w:val="clear" w:color="auto" w:fill="auto"/>
          </w:tcPr>
          <w:p w14:paraId="7DBDBC0D" w14:textId="01103EC7" w:rsidR="00906B70" w:rsidRPr="005F63D2" w:rsidRDefault="00906B70" w:rsidP="005F63D2">
            <w:pPr>
              <w:pStyle w:val="DHHStabletext"/>
            </w:pPr>
            <w:r>
              <w:t>The regulators analyse incoming intelligence and data in order to allow them to be responsive and accurate when assessing risk and undertaking compliance activities.</w:t>
            </w:r>
          </w:p>
        </w:tc>
        <w:tc>
          <w:tcPr>
            <w:tcW w:w="4263" w:type="dxa"/>
          </w:tcPr>
          <w:p w14:paraId="72E44C56" w14:textId="7F12F14F" w:rsidR="002A1CD9" w:rsidRDefault="002A1CD9" w:rsidP="00876340">
            <w:pPr>
              <w:pStyle w:val="DHHStabletext"/>
            </w:pPr>
            <w:r>
              <w:t xml:space="preserve">The </w:t>
            </w:r>
            <w:r w:rsidR="002A6E11">
              <w:t>department</w:t>
            </w:r>
            <w:r>
              <w:t xml:space="preserve"> draws on a variety of sources, enabling it to focus its efforts </w:t>
            </w:r>
            <w:r w:rsidR="00D474E0">
              <w:t>on</w:t>
            </w:r>
            <w:r>
              <w:t xml:space="preserve"> the greatest harms and to tailor responses </w:t>
            </w:r>
            <w:r w:rsidR="0027738C">
              <w:t>for</w:t>
            </w:r>
            <w:r>
              <w:t xml:space="preserve"> maximum impact.  </w:t>
            </w:r>
          </w:p>
          <w:p w14:paraId="3B5164C5" w14:textId="58C201C2" w:rsidR="00906B70" w:rsidRPr="005F63D2" w:rsidRDefault="742E678D" w:rsidP="00876340">
            <w:pPr>
              <w:pStyle w:val="DHHStabletext"/>
            </w:pPr>
            <w:r>
              <w:t xml:space="preserve">Decisions relating to compliance and enforcement actions </w:t>
            </w:r>
            <w:r w:rsidR="7E24C37C">
              <w:t>are</w:t>
            </w:r>
            <w:r>
              <w:t xml:space="preserve"> informed by </w:t>
            </w:r>
            <w:r w:rsidRPr="41FD14AD">
              <w:rPr>
                <w:b/>
                <w:bCs/>
              </w:rPr>
              <w:t>the best av</w:t>
            </w:r>
            <w:r w:rsidR="7C13F45A" w:rsidRPr="41FD14AD">
              <w:rPr>
                <w:b/>
                <w:bCs/>
              </w:rPr>
              <w:t>ailable intelligence</w:t>
            </w:r>
            <w:r w:rsidR="7C13F45A">
              <w:t xml:space="preserve">, including insights from SafeScript, </w:t>
            </w:r>
            <w:r w:rsidR="4DB0A409">
              <w:t xml:space="preserve">onsite inspections, </w:t>
            </w:r>
            <w:r w:rsidR="7C13F45A">
              <w:t xml:space="preserve">notifications and </w:t>
            </w:r>
            <w:r w:rsidR="6062EAE5">
              <w:t xml:space="preserve">feedback </w:t>
            </w:r>
            <w:r w:rsidR="7C13F45A">
              <w:t>from practitioners and the public.</w:t>
            </w:r>
            <w:r>
              <w:t xml:space="preserve"> </w:t>
            </w:r>
          </w:p>
        </w:tc>
      </w:tr>
      <w:tr w:rsidR="00906B70" w:rsidRPr="005F63D2" w14:paraId="0B4E7639" w14:textId="77777777" w:rsidTr="00FC0A00">
        <w:tc>
          <w:tcPr>
            <w:tcW w:w="1695" w:type="dxa"/>
            <w:shd w:val="clear" w:color="auto" w:fill="auto"/>
          </w:tcPr>
          <w:p w14:paraId="0A0E662E" w14:textId="77777777" w:rsidR="00906B70" w:rsidRPr="005F63D2" w:rsidRDefault="00906B70" w:rsidP="005F63D2">
            <w:pPr>
              <w:pStyle w:val="DHHStabletext"/>
              <w:rPr>
                <w:b/>
              </w:rPr>
            </w:pPr>
            <w:r w:rsidRPr="005F63D2">
              <w:rPr>
                <w:b/>
              </w:rPr>
              <w:t>Outcomes-focussed</w:t>
            </w:r>
          </w:p>
        </w:tc>
        <w:tc>
          <w:tcPr>
            <w:tcW w:w="3568" w:type="dxa"/>
            <w:shd w:val="clear" w:color="auto" w:fill="auto"/>
          </w:tcPr>
          <w:p w14:paraId="6572AA88" w14:textId="70E2A674" w:rsidR="00906B70" w:rsidRPr="005F63D2" w:rsidRDefault="00906B70" w:rsidP="005F63D2">
            <w:pPr>
              <w:pStyle w:val="DHHStabletext"/>
            </w:pPr>
            <w:r>
              <w:t xml:space="preserve">Processes and decision-making </w:t>
            </w:r>
            <w:r w:rsidR="45347052">
              <w:t xml:space="preserve">is </w:t>
            </w:r>
            <w:r>
              <w:t xml:space="preserve">driven by Outcomes, and the regulators </w:t>
            </w:r>
            <w:r w:rsidR="45347052">
              <w:t xml:space="preserve">are </w:t>
            </w:r>
            <w:r>
              <w:t xml:space="preserve">effective in achieving their regulatory objectives. Progress against Outcomes </w:t>
            </w:r>
            <w:r w:rsidR="45347052">
              <w:t xml:space="preserve">is </w:t>
            </w:r>
            <w:r>
              <w:t>be measured to ensure continuous improvement.</w:t>
            </w:r>
          </w:p>
        </w:tc>
        <w:tc>
          <w:tcPr>
            <w:tcW w:w="4263" w:type="dxa"/>
          </w:tcPr>
          <w:p w14:paraId="7B05099B" w14:textId="32C59240" w:rsidR="00906B70" w:rsidRPr="005F63D2" w:rsidRDefault="7BC89C63" w:rsidP="00334E82">
            <w:pPr>
              <w:pStyle w:val="DHHStabletext"/>
            </w:pPr>
            <w:r>
              <w:t xml:space="preserve">The compliance and enforcement efforts of the </w:t>
            </w:r>
            <w:r w:rsidR="002A6E11">
              <w:t>department</w:t>
            </w:r>
            <w:r>
              <w:t xml:space="preserve"> are focused on achieving </w:t>
            </w:r>
            <w:r w:rsidRPr="41FD14AD">
              <w:rPr>
                <w:b/>
                <w:bCs/>
              </w:rPr>
              <w:t xml:space="preserve">positive Outcomes for </w:t>
            </w:r>
            <w:r w:rsidR="3ECDA83E" w:rsidRPr="41FD14AD">
              <w:rPr>
                <w:b/>
                <w:bCs/>
              </w:rPr>
              <w:t xml:space="preserve">patients, </w:t>
            </w:r>
            <w:r w:rsidRPr="41FD14AD">
              <w:rPr>
                <w:b/>
                <w:bCs/>
              </w:rPr>
              <w:t>and the community</w:t>
            </w:r>
            <w:r>
              <w:t xml:space="preserve">.  </w:t>
            </w:r>
          </w:p>
        </w:tc>
      </w:tr>
      <w:tr w:rsidR="00906B70" w:rsidRPr="005F63D2" w14:paraId="37FC1C2C" w14:textId="77777777" w:rsidTr="00FC0A00">
        <w:tc>
          <w:tcPr>
            <w:tcW w:w="1695" w:type="dxa"/>
            <w:shd w:val="clear" w:color="auto" w:fill="auto"/>
          </w:tcPr>
          <w:p w14:paraId="5C1A265F" w14:textId="77777777" w:rsidR="00906B70" w:rsidRPr="005F63D2" w:rsidRDefault="00906B70" w:rsidP="005F63D2">
            <w:pPr>
              <w:pStyle w:val="DHHStabletext"/>
              <w:rPr>
                <w:b/>
              </w:rPr>
            </w:pPr>
            <w:r w:rsidRPr="005F63D2">
              <w:rPr>
                <w:b/>
              </w:rPr>
              <w:t>Proportionate</w:t>
            </w:r>
          </w:p>
        </w:tc>
        <w:tc>
          <w:tcPr>
            <w:tcW w:w="3568" w:type="dxa"/>
            <w:shd w:val="clear" w:color="auto" w:fill="auto"/>
          </w:tcPr>
          <w:p w14:paraId="723EF728" w14:textId="77777777" w:rsidR="00906B70" w:rsidRPr="005F63D2" w:rsidRDefault="00906B70" w:rsidP="005F63D2">
            <w:pPr>
              <w:pStyle w:val="DHHStabletext"/>
            </w:pPr>
            <w:r w:rsidRPr="005F63D2">
              <w:t xml:space="preserve">Regulation must be proportionate. This means the frequency and type of enforcement activity regulators undertake, and the resources they employ should be proportional to the level of risk. </w:t>
            </w:r>
          </w:p>
        </w:tc>
        <w:tc>
          <w:tcPr>
            <w:tcW w:w="4263" w:type="dxa"/>
          </w:tcPr>
          <w:p w14:paraId="749CA1E7" w14:textId="52AF219F" w:rsidR="00906B70" w:rsidRPr="005F63D2" w:rsidRDefault="53C17DCC" w:rsidP="005F63D2">
            <w:pPr>
              <w:pStyle w:val="DHHStabletext"/>
            </w:pPr>
            <w:r>
              <w:t xml:space="preserve">Compliance and enforcement measures and responses </w:t>
            </w:r>
            <w:r w:rsidR="7E24C37C">
              <w:t>are</w:t>
            </w:r>
            <w:r w:rsidRPr="41FD14AD">
              <w:rPr>
                <w:b/>
                <w:bCs/>
              </w:rPr>
              <w:t xml:space="preserve"> proportional to the </w:t>
            </w:r>
            <w:r w:rsidR="45BCB6DD" w:rsidRPr="41FD14AD">
              <w:rPr>
                <w:b/>
                <w:bCs/>
              </w:rPr>
              <w:t>risk</w:t>
            </w:r>
            <w:r w:rsidRPr="41FD14AD">
              <w:rPr>
                <w:b/>
                <w:bCs/>
              </w:rPr>
              <w:t xml:space="preserve"> or harm </w:t>
            </w:r>
            <w:r>
              <w:t>they seek to address and how culpable, or responsible for the problem, the offender is.</w:t>
            </w:r>
            <w:r w:rsidR="2BCA5BC1">
              <w:t xml:space="preserve"> </w:t>
            </w:r>
          </w:p>
        </w:tc>
      </w:tr>
      <w:tr w:rsidR="00906B70" w:rsidRPr="005F63D2" w14:paraId="7F88035F" w14:textId="77777777" w:rsidTr="00FC0A00">
        <w:tc>
          <w:tcPr>
            <w:tcW w:w="1695" w:type="dxa"/>
            <w:shd w:val="clear" w:color="auto" w:fill="auto"/>
          </w:tcPr>
          <w:p w14:paraId="5DD18432" w14:textId="77777777" w:rsidR="00906B70" w:rsidRPr="005F63D2" w:rsidRDefault="00906B70" w:rsidP="005F63D2">
            <w:pPr>
              <w:pStyle w:val="DHHStabletext"/>
              <w:rPr>
                <w:b/>
              </w:rPr>
            </w:pPr>
            <w:r w:rsidRPr="005F63D2">
              <w:rPr>
                <w:b/>
              </w:rPr>
              <w:t>Risk-based</w:t>
            </w:r>
          </w:p>
        </w:tc>
        <w:tc>
          <w:tcPr>
            <w:tcW w:w="3568" w:type="dxa"/>
            <w:shd w:val="clear" w:color="auto" w:fill="auto"/>
          </w:tcPr>
          <w:p w14:paraId="49C9658E" w14:textId="5D6E3893" w:rsidR="00906B70" w:rsidRPr="005F63D2" w:rsidRDefault="00906B70" w:rsidP="000707DB">
            <w:pPr>
              <w:pStyle w:val="DHHStabletext"/>
            </w:pPr>
            <w:r>
              <w:t xml:space="preserve">The regulators </w:t>
            </w:r>
            <w:r w:rsidR="7E24C37C">
              <w:t>are</w:t>
            </w:r>
            <w:r>
              <w:t xml:space="preserve"> proactive in identifying, assessing and responding to risk, prioritising and targeting resources toward specific groups or behaviours that pose the greatest risk to the </w:t>
            </w:r>
            <w:r w:rsidR="000707DB">
              <w:t>d</w:t>
            </w:r>
            <w:r>
              <w:t>epartment’s outcomes.</w:t>
            </w:r>
          </w:p>
        </w:tc>
        <w:tc>
          <w:tcPr>
            <w:tcW w:w="4263" w:type="dxa"/>
          </w:tcPr>
          <w:p w14:paraId="4E49C7EF" w14:textId="0017EDA9" w:rsidR="00906B70" w:rsidRPr="005F63D2" w:rsidRDefault="3BAA4AA0" w:rsidP="005F63D2">
            <w:pPr>
              <w:pStyle w:val="DHHStabletext"/>
            </w:pPr>
            <w:r>
              <w:t xml:space="preserve">The allocation of resources </w:t>
            </w:r>
            <w:r w:rsidR="7E24C37C">
              <w:t>is</w:t>
            </w:r>
            <w:r>
              <w:t xml:space="preserve"> </w:t>
            </w:r>
            <w:r w:rsidR="49ED447D">
              <w:t xml:space="preserve">directed </w:t>
            </w:r>
            <w:r>
              <w:t xml:space="preserve">towards where the </w:t>
            </w:r>
            <w:r w:rsidRPr="41FD14AD">
              <w:rPr>
                <w:b/>
                <w:bCs/>
              </w:rPr>
              <w:t>biggest difference can be made</w:t>
            </w:r>
            <w:r>
              <w:t xml:space="preserve">, or where the biggest risks/harms are present led by intelligence and </w:t>
            </w:r>
            <w:r w:rsidR="49ED447D">
              <w:t>current best evidence.</w:t>
            </w:r>
          </w:p>
        </w:tc>
      </w:tr>
      <w:tr w:rsidR="00906B70" w:rsidRPr="005F63D2" w14:paraId="2E955F78" w14:textId="77777777" w:rsidTr="00FC0A00">
        <w:tc>
          <w:tcPr>
            <w:tcW w:w="1695" w:type="dxa"/>
            <w:shd w:val="clear" w:color="auto" w:fill="auto"/>
          </w:tcPr>
          <w:p w14:paraId="1FF654C4" w14:textId="77777777" w:rsidR="00906B70" w:rsidRPr="005F63D2" w:rsidRDefault="00906B70" w:rsidP="005F63D2">
            <w:pPr>
              <w:pStyle w:val="DHHStabletext"/>
              <w:rPr>
                <w:b/>
              </w:rPr>
            </w:pPr>
            <w:r w:rsidRPr="005F63D2">
              <w:rPr>
                <w:b/>
              </w:rPr>
              <w:t>Transparent</w:t>
            </w:r>
          </w:p>
        </w:tc>
        <w:tc>
          <w:tcPr>
            <w:tcW w:w="3568" w:type="dxa"/>
            <w:shd w:val="clear" w:color="auto" w:fill="auto"/>
          </w:tcPr>
          <w:p w14:paraId="481EA36B" w14:textId="687D4C32" w:rsidR="00906B70" w:rsidRPr="005F63D2" w:rsidRDefault="00906B70" w:rsidP="00F13BAB">
            <w:pPr>
              <w:pStyle w:val="DHHStabletext"/>
            </w:pPr>
            <w:r>
              <w:t xml:space="preserve">The regulators </w:t>
            </w:r>
            <w:r w:rsidR="7E24C37C">
              <w:t>are</w:t>
            </w:r>
            <w:r>
              <w:t xml:space="preserve"> open in their decision-making and processes, documenting decisions appropriately, including the justification for decisions. The regulators aim to assist regulated parties to understand the decision-making processes, </w:t>
            </w:r>
            <w:r w:rsidR="005F63D2">
              <w:t xml:space="preserve">and </w:t>
            </w:r>
            <w:r>
              <w:t xml:space="preserve">areas of focus. Regulators follow standard reporting requirements, enabling the </w:t>
            </w:r>
            <w:r w:rsidR="000707DB">
              <w:t>d</w:t>
            </w:r>
            <w:r>
              <w:t>epartment to monitor and oversee the performance of its regulators.</w:t>
            </w:r>
          </w:p>
        </w:tc>
        <w:tc>
          <w:tcPr>
            <w:tcW w:w="4263" w:type="dxa"/>
          </w:tcPr>
          <w:p w14:paraId="5A700CE5" w14:textId="77777777" w:rsidR="00876340" w:rsidRPr="005F63D2" w:rsidRDefault="00876340" w:rsidP="00876340">
            <w:pPr>
              <w:pStyle w:val="DHHStabletext"/>
            </w:pPr>
            <w:r w:rsidRPr="005F63D2">
              <w:t xml:space="preserve">To the extent possible, the approach used to select compliance and enforcement actions will be </w:t>
            </w:r>
            <w:r w:rsidRPr="00812113">
              <w:rPr>
                <w:b/>
              </w:rPr>
              <w:t>clear and apparent to all stakeholders</w:t>
            </w:r>
            <w:r w:rsidRPr="005F63D2">
              <w:t xml:space="preserve">. </w:t>
            </w:r>
          </w:p>
          <w:p w14:paraId="17ABA2E8" w14:textId="29E1107A" w:rsidR="00906B70" w:rsidRPr="005F63D2" w:rsidRDefault="7C13F45A" w:rsidP="00876340">
            <w:pPr>
              <w:pStyle w:val="DHHStabletext"/>
            </w:pPr>
            <w:r w:rsidRPr="41FD14AD">
              <w:rPr>
                <w:b/>
                <w:bCs/>
              </w:rPr>
              <w:t>Information and any lessons learned will be shared and promoted</w:t>
            </w:r>
            <w:r>
              <w:t xml:space="preserve">. Enforcement actions </w:t>
            </w:r>
            <w:r w:rsidR="7E24C37C">
              <w:t>are</w:t>
            </w:r>
            <w:r>
              <w:t xml:space="preserve"> public, with the aim of altering the behaviour of other potential offenders, and to build the community</w:t>
            </w:r>
            <w:r w:rsidR="428919B0">
              <w:t>’s</w:t>
            </w:r>
            <w:r>
              <w:t xml:space="preserve"> confidence in the department’s administration of the regulatory framework.</w:t>
            </w:r>
          </w:p>
        </w:tc>
      </w:tr>
    </w:tbl>
    <w:p w14:paraId="337C597C" w14:textId="77777777" w:rsidR="00953636" w:rsidRDefault="004950DB" w:rsidP="00B567D1">
      <w:pPr>
        <w:pStyle w:val="Heading1"/>
      </w:pPr>
      <w:r>
        <w:br w:type="page"/>
      </w:r>
      <w:bookmarkStart w:id="10" w:name="_Toc115884451"/>
      <w:r w:rsidR="00550FE8">
        <w:lastRenderedPageBreak/>
        <w:t>A changing landscape</w:t>
      </w:r>
      <w:bookmarkEnd w:id="10"/>
    </w:p>
    <w:p w14:paraId="4481AA2F" w14:textId="70A88493" w:rsidR="00E2232F" w:rsidRPr="007F3B80" w:rsidRDefault="136B4197" w:rsidP="3B23E3B6">
      <w:pPr>
        <w:pStyle w:val="DHHSbody"/>
        <w:rPr>
          <w:b/>
          <w:bCs/>
        </w:rPr>
      </w:pPr>
      <w:r w:rsidRPr="41FD14AD">
        <w:rPr>
          <w:b/>
          <w:bCs/>
        </w:rPr>
        <w:t xml:space="preserve">This policy is </w:t>
      </w:r>
      <w:r w:rsidR="0C94A738" w:rsidRPr="41FD14AD">
        <w:rPr>
          <w:b/>
          <w:bCs/>
        </w:rPr>
        <w:t>in place</w:t>
      </w:r>
      <w:r w:rsidRPr="41FD14AD">
        <w:rPr>
          <w:b/>
          <w:bCs/>
        </w:rPr>
        <w:t xml:space="preserve"> at a time of significant change. </w:t>
      </w:r>
      <w:r w:rsidR="4C62E292" w:rsidRPr="41FD14AD">
        <w:rPr>
          <w:b/>
          <w:bCs/>
        </w:rPr>
        <w:t>In late</w:t>
      </w:r>
      <w:r w:rsidR="5A4B985A" w:rsidRPr="41FD14AD">
        <w:rPr>
          <w:b/>
          <w:bCs/>
        </w:rPr>
        <w:t xml:space="preserve"> 2018 the </w:t>
      </w:r>
      <w:r w:rsidRPr="41FD14AD">
        <w:rPr>
          <w:b/>
          <w:bCs/>
        </w:rPr>
        <w:t xml:space="preserve">Victorian Government </w:t>
      </w:r>
      <w:r w:rsidR="5A4B985A" w:rsidRPr="41FD14AD">
        <w:rPr>
          <w:b/>
          <w:bCs/>
        </w:rPr>
        <w:t>implement</w:t>
      </w:r>
      <w:r w:rsidR="65563BDD" w:rsidRPr="41FD14AD">
        <w:rPr>
          <w:b/>
          <w:bCs/>
        </w:rPr>
        <w:t>ed</w:t>
      </w:r>
      <w:r w:rsidR="5A4B985A" w:rsidRPr="41FD14AD">
        <w:rPr>
          <w:b/>
          <w:bCs/>
        </w:rPr>
        <w:t xml:space="preserve"> a real-time prescription monitoring system, SafeScript thereby </w:t>
      </w:r>
      <w:r w:rsidRPr="41FD14AD">
        <w:rPr>
          <w:b/>
          <w:bCs/>
        </w:rPr>
        <w:t>taking action to reduce the growing harms, including deaths, from high-risk prescription medicines</w:t>
      </w:r>
      <w:r w:rsidR="5A4B985A" w:rsidRPr="41FD14AD">
        <w:rPr>
          <w:b/>
          <w:bCs/>
        </w:rPr>
        <w:t xml:space="preserve">. </w:t>
      </w:r>
      <w:r w:rsidRPr="41FD14AD">
        <w:rPr>
          <w:b/>
          <w:bCs/>
        </w:rPr>
        <w:t>This significant reform deliver</w:t>
      </w:r>
      <w:r w:rsidR="0C94A738" w:rsidRPr="41FD14AD">
        <w:rPr>
          <w:b/>
          <w:bCs/>
        </w:rPr>
        <w:t>ed</w:t>
      </w:r>
      <w:r w:rsidRPr="41FD14AD">
        <w:rPr>
          <w:b/>
          <w:bCs/>
        </w:rPr>
        <w:t xml:space="preserve"> </w:t>
      </w:r>
      <w:r w:rsidR="0C94A738" w:rsidRPr="41FD14AD">
        <w:rPr>
          <w:b/>
          <w:bCs/>
        </w:rPr>
        <w:t>an important clinical tool to</w:t>
      </w:r>
      <w:r w:rsidR="2A3416AE" w:rsidRPr="41FD14AD">
        <w:rPr>
          <w:b/>
          <w:bCs/>
        </w:rPr>
        <w:t xml:space="preserve"> </w:t>
      </w:r>
      <w:r w:rsidRPr="41FD14AD">
        <w:rPr>
          <w:b/>
          <w:bCs/>
        </w:rPr>
        <w:t>medical practitioners, nurse practitioners</w:t>
      </w:r>
      <w:r w:rsidR="0C94A738" w:rsidRPr="41FD14AD">
        <w:rPr>
          <w:b/>
          <w:bCs/>
        </w:rPr>
        <w:t xml:space="preserve"> and</w:t>
      </w:r>
      <w:r w:rsidRPr="41FD14AD">
        <w:rPr>
          <w:b/>
          <w:bCs/>
        </w:rPr>
        <w:t xml:space="preserve"> pharmacists,</w:t>
      </w:r>
      <w:r w:rsidR="0C94A738" w:rsidRPr="41FD14AD">
        <w:rPr>
          <w:b/>
          <w:bCs/>
        </w:rPr>
        <w:t xml:space="preserve"> to benefit</w:t>
      </w:r>
      <w:r w:rsidRPr="41FD14AD">
        <w:rPr>
          <w:b/>
          <w:bCs/>
        </w:rPr>
        <w:t xml:space="preserve"> patients and the wider community. </w:t>
      </w:r>
    </w:p>
    <w:p w14:paraId="3D6AB97F" w14:textId="2DF20656" w:rsidR="009C752E" w:rsidRPr="007F3B80" w:rsidRDefault="190C5FE0" w:rsidP="3B23E3B6">
      <w:pPr>
        <w:pStyle w:val="DHHSbody"/>
        <w:rPr>
          <w:lang w:val="en"/>
        </w:rPr>
      </w:pPr>
      <w:r w:rsidRPr="007F3B80">
        <w:t>SafeScript monitors medicines that are causing the greatest harm to the Victorian community, including Schedule 8 medicines, such as oxycodone, morphine, alprazolam, methylphenidate and dexamphetamine, and some Schedule 4 medicines including all benzo</w:t>
      </w:r>
      <w:r w:rsidR="3540FF2B" w:rsidRPr="007F3B80">
        <w:t>diazepines such as diazepam, ‘Z</w:t>
      </w:r>
      <w:r w:rsidR="00E67E1B" w:rsidRPr="007F3B80">
        <w:noBreakHyphen/>
      </w:r>
      <w:r w:rsidRPr="007F3B80">
        <w:t>drugs’ su</w:t>
      </w:r>
      <w:r w:rsidR="3540FF2B" w:rsidRPr="007F3B80">
        <w:t xml:space="preserve">ch as zolpidem, </w:t>
      </w:r>
      <w:r w:rsidR="126AA843" w:rsidRPr="007F3B80">
        <w:t xml:space="preserve">codeine </w:t>
      </w:r>
      <w:r w:rsidR="3540FF2B" w:rsidRPr="007F3B80">
        <w:t>and quetiapine.</w:t>
      </w:r>
      <w:r w:rsidR="136B4197">
        <w:t xml:space="preserve"> The </w:t>
      </w:r>
      <w:r w:rsidR="649C5662">
        <w:t xml:space="preserve">legislation allows </w:t>
      </w:r>
      <w:r w:rsidR="136B4197">
        <w:t xml:space="preserve">SafeScript </w:t>
      </w:r>
      <w:r w:rsidR="6B3EC253">
        <w:t xml:space="preserve">to </w:t>
      </w:r>
      <w:r w:rsidR="34C0485C">
        <w:t>monitor</w:t>
      </w:r>
      <w:r w:rsidR="136B4197">
        <w:t xml:space="preserve"> </w:t>
      </w:r>
      <w:r w:rsidR="649C5662">
        <w:t>additional</w:t>
      </w:r>
      <w:r w:rsidR="136B4197">
        <w:t xml:space="preserve"> substances </w:t>
      </w:r>
      <w:r w:rsidR="649C5662">
        <w:t xml:space="preserve">that have been demonstrated to </w:t>
      </w:r>
      <w:r w:rsidR="136B4197">
        <w:t xml:space="preserve">pose a </w:t>
      </w:r>
      <w:r w:rsidR="649C5662">
        <w:t>t</w:t>
      </w:r>
      <w:r w:rsidR="136B4197">
        <w:t xml:space="preserve">hreat </w:t>
      </w:r>
      <w:r w:rsidR="649C5662">
        <w:t>to public health</w:t>
      </w:r>
      <w:r w:rsidR="136B4197">
        <w:t>.</w:t>
      </w:r>
    </w:p>
    <w:p w14:paraId="425B109B" w14:textId="4903BB69" w:rsidR="00E2232F" w:rsidRPr="007D656B" w:rsidRDefault="300C127D" w:rsidP="3B23E3B6">
      <w:pPr>
        <w:pStyle w:val="DHHSbody"/>
        <w:rPr>
          <w:lang w:val="en"/>
        </w:rPr>
      </w:pPr>
      <w:r w:rsidRPr="3B23E3B6">
        <w:rPr>
          <w:lang w:val="en"/>
        </w:rPr>
        <w:t>Since t</w:t>
      </w:r>
      <w:r w:rsidR="0C94A738" w:rsidRPr="41FD14AD">
        <w:rPr>
          <w:lang w:val="en"/>
        </w:rPr>
        <w:t>he introduction of SafeScript</w:t>
      </w:r>
      <w:r w:rsidR="0C94A738" w:rsidRPr="3B23E3B6">
        <w:rPr>
          <w:lang w:val="en"/>
        </w:rPr>
        <w:t xml:space="preserve"> in </w:t>
      </w:r>
      <w:r w:rsidRPr="3B23E3B6">
        <w:rPr>
          <w:lang w:val="en"/>
        </w:rPr>
        <w:t xml:space="preserve">late </w:t>
      </w:r>
      <w:r w:rsidR="0C94A738" w:rsidRPr="3B23E3B6">
        <w:rPr>
          <w:lang w:val="en"/>
        </w:rPr>
        <w:t xml:space="preserve">2018 </w:t>
      </w:r>
      <w:r w:rsidRPr="3B23E3B6">
        <w:rPr>
          <w:lang w:val="en"/>
        </w:rPr>
        <w:t xml:space="preserve">there </w:t>
      </w:r>
      <w:r w:rsidR="0C94A738" w:rsidRPr="3B23E3B6">
        <w:rPr>
          <w:lang w:val="en"/>
        </w:rPr>
        <w:t xml:space="preserve">has </w:t>
      </w:r>
      <w:r w:rsidRPr="3B23E3B6">
        <w:rPr>
          <w:lang w:val="en"/>
        </w:rPr>
        <w:t xml:space="preserve">been an interruption to the </w:t>
      </w:r>
      <w:r>
        <w:t xml:space="preserve">historical increasing trend in overdose deaths involving monitored medicines.  There was a decline from the 2018 peak in prescription medicine overdose deaths in 2019 and a </w:t>
      </w:r>
      <w:r w:rsidR="00C415B2">
        <w:t>subsequent decline</w:t>
      </w:r>
      <w:r>
        <w:t xml:space="preserve"> in </w:t>
      </w:r>
      <w:r w:rsidR="007815F8">
        <w:t xml:space="preserve">2020 and </w:t>
      </w:r>
      <w:r>
        <w:t>202</w:t>
      </w:r>
      <w:r w:rsidR="007815F8">
        <w:t>1</w:t>
      </w:r>
      <w:r w:rsidR="00AE13EC">
        <w:rPr>
          <w:rStyle w:val="FootnoteReference"/>
        </w:rPr>
        <w:footnoteReference w:id="2"/>
      </w:r>
      <w:r>
        <w:t xml:space="preserve">.    </w:t>
      </w:r>
      <w:r w:rsidR="0C94A738" w:rsidRPr="3B23E3B6">
        <w:rPr>
          <w:lang w:val="en"/>
        </w:rPr>
        <w:t xml:space="preserve"> </w:t>
      </w:r>
    </w:p>
    <w:p w14:paraId="3A98F17C" w14:textId="6E6598D8" w:rsidR="00E2232F" w:rsidRDefault="00E2232F" w:rsidP="00E2232F">
      <w:pPr>
        <w:pStyle w:val="DHHSbody"/>
        <w:rPr>
          <w:lang w:val="en"/>
        </w:rPr>
      </w:pPr>
      <w:r w:rsidRPr="00FC50BD">
        <w:rPr>
          <w:lang w:val="en"/>
        </w:rPr>
        <w:t>SafeScript provide</w:t>
      </w:r>
      <w:r w:rsidR="00C4608D">
        <w:rPr>
          <w:lang w:val="en"/>
        </w:rPr>
        <w:t>s</w:t>
      </w:r>
      <w:r w:rsidRPr="00653B46">
        <w:rPr>
          <w:lang w:val="en"/>
        </w:rPr>
        <w:t xml:space="preserve"> </w:t>
      </w:r>
      <w:r w:rsidRPr="00653B46">
        <w:t>medical practitioners</w:t>
      </w:r>
      <w:r w:rsidR="0053468A">
        <w:t>,</w:t>
      </w:r>
      <w:r w:rsidRPr="00653B46">
        <w:t xml:space="preserve"> nurse practitioners, pharmacists</w:t>
      </w:r>
      <w:r w:rsidRPr="00653B46" w:rsidDel="00653B46">
        <w:rPr>
          <w:lang w:val="en"/>
        </w:rPr>
        <w:t xml:space="preserve"> </w:t>
      </w:r>
      <w:r w:rsidRPr="0016087B">
        <w:rPr>
          <w:lang w:val="en"/>
        </w:rPr>
        <w:t xml:space="preserve">and the </w:t>
      </w:r>
      <w:r w:rsidR="002A6E11">
        <w:rPr>
          <w:lang w:val="en"/>
        </w:rPr>
        <w:t>department</w:t>
      </w:r>
      <w:r w:rsidRPr="0016087B">
        <w:rPr>
          <w:lang w:val="en"/>
        </w:rPr>
        <w:t xml:space="preserve"> with the timely provision </w:t>
      </w:r>
      <w:r w:rsidR="00756EE8" w:rsidRPr="0016087B">
        <w:rPr>
          <w:lang w:val="en"/>
        </w:rPr>
        <w:t>of prescribing</w:t>
      </w:r>
      <w:r w:rsidR="00E032F0">
        <w:rPr>
          <w:lang w:val="en"/>
        </w:rPr>
        <w:t xml:space="preserve"> and dispensing </w:t>
      </w:r>
      <w:r w:rsidRPr="00653B46">
        <w:rPr>
          <w:lang w:val="en"/>
        </w:rPr>
        <w:t xml:space="preserve">information that will reduce harms to patients. </w:t>
      </w:r>
    </w:p>
    <w:p w14:paraId="18750076" w14:textId="581AFABF" w:rsidR="00804D55" w:rsidRDefault="009C752E" w:rsidP="00550FE8">
      <w:pPr>
        <w:pStyle w:val="DHHSbody"/>
        <w:rPr>
          <w:lang w:val="en"/>
        </w:rPr>
      </w:pPr>
      <w:r w:rsidRPr="41FD14AD">
        <w:rPr>
          <w:lang w:val="en"/>
        </w:rPr>
        <w:t xml:space="preserve">For health </w:t>
      </w:r>
      <w:r w:rsidR="00334E56" w:rsidRPr="41FD14AD">
        <w:rPr>
          <w:lang w:val="en"/>
        </w:rPr>
        <w:t>practitioners</w:t>
      </w:r>
      <w:r w:rsidR="00E67E1B" w:rsidRPr="41FD14AD">
        <w:rPr>
          <w:lang w:val="en"/>
        </w:rPr>
        <w:t>,</w:t>
      </w:r>
      <w:r w:rsidRPr="41FD14AD">
        <w:rPr>
          <w:lang w:val="en"/>
        </w:rPr>
        <w:t xml:space="preserve"> SafeScript provide</w:t>
      </w:r>
      <w:r w:rsidR="061C02D4" w:rsidRPr="41FD14AD">
        <w:rPr>
          <w:lang w:val="en"/>
        </w:rPr>
        <w:t>s</w:t>
      </w:r>
      <w:r w:rsidRPr="41FD14AD">
        <w:rPr>
          <w:lang w:val="en"/>
        </w:rPr>
        <w:t xml:space="preserve"> real time </w:t>
      </w:r>
      <w:r w:rsidR="00B567D1" w:rsidRPr="41FD14AD">
        <w:rPr>
          <w:lang w:val="en"/>
        </w:rPr>
        <w:t>access to their patients’</w:t>
      </w:r>
      <w:r w:rsidR="00B10BB8" w:rsidRPr="41FD14AD">
        <w:rPr>
          <w:lang w:val="en"/>
        </w:rPr>
        <w:t xml:space="preserve"> prescribing and</w:t>
      </w:r>
      <w:r w:rsidR="00B567D1" w:rsidRPr="41FD14AD">
        <w:rPr>
          <w:lang w:val="en"/>
        </w:rPr>
        <w:t xml:space="preserve"> </w:t>
      </w:r>
      <w:r w:rsidR="009E0B12" w:rsidRPr="41FD14AD">
        <w:rPr>
          <w:lang w:val="en"/>
        </w:rPr>
        <w:t>dispensing</w:t>
      </w:r>
      <w:r w:rsidR="00B567D1" w:rsidRPr="41FD14AD">
        <w:rPr>
          <w:lang w:val="en"/>
        </w:rPr>
        <w:t xml:space="preserve"> history for certain high-risk medicines</w:t>
      </w:r>
      <w:r w:rsidRPr="41FD14AD">
        <w:rPr>
          <w:lang w:val="en"/>
        </w:rPr>
        <w:t xml:space="preserve">. This </w:t>
      </w:r>
      <w:r w:rsidR="00B567D1" w:rsidRPr="41FD14AD">
        <w:rPr>
          <w:lang w:val="en"/>
        </w:rPr>
        <w:t>enable</w:t>
      </w:r>
      <w:r w:rsidR="004079B2" w:rsidRPr="41FD14AD">
        <w:rPr>
          <w:lang w:val="en"/>
        </w:rPr>
        <w:t>s</w:t>
      </w:r>
      <w:r w:rsidR="00E032F0" w:rsidRPr="41FD14AD">
        <w:rPr>
          <w:lang w:val="en"/>
        </w:rPr>
        <w:t xml:space="preserve"> them to make</w:t>
      </w:r>
      <w:r w:rsidR="00B567D1" w:rsidRPr="41FD14AD">
        <w:rPr>
          <w:lang w:val="en"/>
        </w:rPr>
        <w:t xml:space="preserve"> safer clinical decisions on whether to prescribe or dispense a medicine</w:t>
      </w:r>
      <w:r w:rsidR="00AC667D" w:rsidRPr="41FD14AD">
        <w:rPr>
          <w:lang w:val="en"/>
        </w:rPr>
        <w:t xml:space="preserve">, and if a </w:t>
      </w:r>
      <w:r w:rsidR="00210B95" w:rsidRPr="41FD14AD">
        <w:rPr>
          <w:lang w:val="en"/>
        </w:rPr>
        <w:t xml:space="preserve">Schedule 8 </w:t>
      </w:r>
      <w:r w:rsidR="00AC667D" w:rsidRPr="41FD14AD">
        <w:rPr>
          <w:lang w:val="en"/>
        </w:rPr>
        <w:t xml:space="preserve">permit is </w:t>
      </w:r>
      <w:r w:rsidR="00210B95" w:rsidRPr="41FD14AD">
        <w:rPr>
          <w:lang w:val="en"/>
        </w:rPr>
        <w:t>required</w:t>
      </w:r>
      <w:r w:rsidR="00B567D1" w:rsidRPr="41FD14AD">
        <w:rPr>
          <w:lang w:val="en"/>
        </w:rPr>
        <w:t>.</w:t>
      </w:r>
      <w:r w:rsidR="007D656B" w:rsidRPr="41FD14AD">
        <w:rPr>
          <w:lang w:val="en"/>
        </w:rPr>
        <w:t xml:space="preserve"> </w:t>
      </w:r>
      <w:r w:rsidRPr="41FD14AD">
        <w:rPr>
          <w:lang w:val="en"/>
        </w:rPr>
        <w:t xml:space="preserve">The information </w:t>
      </w:r>
      <w:r w:rsidR="004079B2" w:rsidRPr="41FD14AD">
        <w:rPr>
          <w:lang w:val="en"/>
        </w:rPr>
        <w:t>is</w:t>
      </w:r>
      <w:r w:rsidRPr="41FD14AD">
        <w:rPr>
          <w:lang w:val="en"/>
        </w:rPr>
        <w:t xml:space="preserve"> provided via notifications to the practitioners</w:t>
      </w:r>
      <w:r w:rsidR="00E67E1B" w:rsidRPr="41FD14AD">
        <w:rPr>
          <w:lang w:val="en"/>
        </w:rPr>
        <w:t>’</w:t>
      </w:r>
      <w:r w:rsidRPr="41FD14AD">
        <w:rPr>
          <w:lang w:val="en"/>
        </w:rPr>
        <w:t xml:space="preserve"> computer.</w:t>
      </w:r>
      <w:r w:rsidR="00AC667D" w:rsidRPr="41FD14AD">
        <w:rPr>
          <w:lang w:val="en"/>
        </w:rPr>
        <w:t xml:space="preserve"> These notifications </w:t>
      </w:r>
      <w:r w:rsidR="00804D55" w:rsidRPr="41FD14AD">
        <w:rPr>
          <w:lang w:val="en"/>
        </w:rPr>
        <w:t xml:space="preserve">provide information to practitioners </w:t>
      </w:r>
      <w:r w:rsidR="002A393E" w:rsidRPr="41FD14AD">
        <w:rPr>
          <w:lang w:val="en"/>
        </w:rPr>
        <w:t xml:space="preserve">based on a </w:t>
      </w:r>
      <w:r w:rsidR="0041638E" w:rsidRPr="41FD14AD">
        <w:rPr>
          <w:lang w:val="en"/>
        </w:rPr>
        <w:t>simple</w:t>
      </w:r>
      <w:r w:rsidR="002A393E" w:rsidRPr="41FD14AD">
        <w:rPr>
          <w:lang w:val="en"/>
        </w:rPr>
        <w:t xml:space="preserve"> coding system</w:t>
      </w:r>
      <w:r w:rsidR="00DD2C80" w:rsidRPr="41FD14AD">
        <w:rPr>
          <w:lang w:val="en"/>
        </w:rPr>
        <w:t>:</w:t>
      </w:r>
    </w:p>
    <w:p w14:paraId="5B9F5D3F" w14:textId="296CFC43" w:rsidR="002A393E" w:rsidRPr="00DD783B" w:rsidRDefault="00E74B49" w:rsidP="002A393E">
      <w:pPr>
        <w:pStyle w:val="DHHSbullet1"/>
        <w:rPr>
          <w:lang w:val="en"/>
        </w:rPr>
      </w:pPr>
      <w:r w:rsidRPr="41FD14AD">
        <w:rPr>
          <w:b/>
          <w:bCs/>
          <w:lang w:val="en"/>
        </w:rPr>
        <w:t>G</w:t>
      </w:r>
      <w:r w:rsidR="002A393E" w:rsidRPr="41FD14AD">
        <w:rPr>
          <w:b/>
          <w:bCs/>
          <w:lang w:val="en"/>
        </w:rPr>
        <w:t>reen</w:t>
      </w:r>
      <w:r w:rsidRPr="41FD14AD">
        <w:rPr>
          <w:b/>
          <w:bCs/>
          <w:lang w:val="en"/>
        </w:rPr>
        <w:t xml:space="preserve"> </w:t>
      </w:r>
      <w:r w:rsidR="00B10BB8" w:rsidRPr="41FD14AD">
        <w:rPr>
          <w:b/>
          <w:bCs/>
          <w:lang w:val="en"/>
        </w:rPr>
        <w:t>notifications</w:t>
      </w:r>
      <w:r w:rsidRPr="41FD14AD">
        <w:rPr>
          <w:lang w:val="en"/>
        </w:rPr>
        <w:t xml:space="preserve"> </w:t>
      </w:r>
      <w:r w:rsidR="002A393E" w:rsidRPr="41FD14AD">
        <w:rPr>
          <w:lang w:val="en"/>
        </w:rPr>
        <w:t xml:space="preserve">indicate where </w:t>
      </w:r>
      <w:r w:rsidRPr="41FD14AD">
        <w:rPr>
          <w:lang w:val="en"/>
        </w:rPr>
        <w:t xml:space="preserve">there is </w:t>
      </w:r>
      <w:r w:rsidR="002A393E" w:rsidRPr="41FD14AD">
        <w:rPr>
          <w:lang w:val="en"/>
        </w:rPr>
        <w:t xml:space="preserve">no recent history or there is recent history from only one prescriber. </w:t>
      </w:r>
    </w:p>
    <w:p w14:paraId="0BC92470" w14:textId="266910D1" w:rsidR="002A393E" w:rsidRPr="00DD783B" w:rsidRDefault="002A393E" w:rsidP="002A393E">
      <w:pPr>
        <w:pStyle w:val="DHHSbullet1"/>
        <w:rPr>
          <w:lang w:val="en"/>
        </w:rPr>
      </w:pPr>
      <w:r w:rsidRPr="41FD14AD">
        <w:rPr>
          <w:b/>
          <w:bCs/>
          <w:lang w:val="en"/>
        </w:rPr>
        <w:t xml:space="preserve">Amber </w:t>
      </w:r>
      <w:r w:rsidR="00B10BB8" w:rsidRPr="41FD14AD">
        <w:rPr>
          <w:b/>
          <w:bCs/>
          <w:lang w:val="en"/>
        </w:rPr>
        <w:t>notifications</w:t>
      </w:r>
      <w:r w:rsidR="00446739" w:rsidRPr="41FD14AD">
        <w:rPr>
          <w:lang w:val="en"/>
        </w:rPr>
        <w:t xml:space="preserve"> </w:t>
      </w:r>
      <w:r w:rsidR="00E74B49" w:rsidRPr="41FD14AD">
        <w:rPr>
          <w:lang w:val="en"/>
        </w:rPr>
        <w:t xml:space="preserve">indicate where there is a </w:t>
      </w:r>
      <w:r w:rsidRPr="41FD14AD">
        <w:rPr>
          <w:lang w:val="en"/>
        </w:rPr>
        <w:t xml:space="preserve">recent history from more than one prescriber </w:t>
      </w:r>
      <w:r w:rsidR="00085EE0" w:rsidRPr="41FD14AD">
        <w:rPr>
          <w:lang w:val="en"/>
        </w:rPr>
        <w:t xml:space="preserve">or </w:t>
      </w:r>
      <w:r w:rsidR="00F10EDA" w:rsidRPr="41FD14AD">
        <w:rPr>
          <w:lang w:val="en"/>
        </w:rPr>
        <w:t>four or more pharmacies</w:t>
      </w:r>
      <w:r w:rsidR="006B218A" w:rsidRPr="41FD14AD">
        <w:rPr>
          <w:lang w:val="en"/>
        </w:rPr>
        <w:t xml:space="preserve"> or a patient</w:t>
      </w:r>
      <w:r w:rsidR="003B26D9" w:rsidRPr="41FD14AD">
        <w:rPr>
          <w:lang w:val="en"/>
        </w:rPr>
        <w:t xml:space="preserve"> medium risk</w:t>
      </w:r>
      <w:r w:rsidR="006B218A" w:rsidRPr="41FD14AD">
        <w:rPr>
          <w:lang w:val="en"/>
        </w:rPr>
        <w:t xml:space="preserve"> safety</w:t>
      </w:r>
      <w:r w:rsidR="006B5E55" w:rsidRPr="41FD14AD">
        <w:rPr>
          <w:lang w:val="en"/>
        </w:rPr>
        <w:t xml:space="preserve"> alert is triggered.</w:t>
      </w:r>
      <w:r w:rsidR="00E74B49" w:rsidRPr="41FD14AD">
        <w:rPr>
          <w:lang w:val="en"/>
        </w:rPr>
        <w:t xml:space="preserve"> Under this scenario</w:t>
      </w:r>
      <w:r w:rsidR="00E67E1B" w:rsidRPr="41FD14AD">
        <w:rPr>
          <w:lang w:val="en"/>
        </w:rPr>
        <w:t>,</w:t>
      </w:r>
      <w:r w:rsidR="00E74B49" w:rsidRPr="41FD14AD">
        <w:rPr>
          <w:lang w:val="en"/>
        </w:rPr>
        <w:t xml:space="preserve"> the practitioner will</w:t>
      </w:r>
      <w:r w:rsidRPr="41FD14AD">
        <w:rPr>
          <w:lang w:val="en"/>
        </w:rPr>
        <w:t xml:space="preserve"> need to </w:t>
      </w:r>
      <w:r w:rsidR="00E74B49" w:rsidRPr="41FD14AD">
        <w:rPr>
          <w:lang w:val="en"/>
        </w:rPr>
        <w:t xml:space="preserve">conduct further enquiries </w:t>
      </w:r>
      <w:r w:rsidRPr="41FD14AD">
        <w:rPr>
          <w:lang w:val="en"/>
        </w:rPr>
        <w:t>to</w:t>
      </w:r>
      <w:r w:rsidR="00E74B49" w:rsidRPr="41FD14AD">
        <w:rPr>
          <w:lang w:val="en"/>
        </w:rPr>
        <w:t xml:space="preserve"> investigate the </w:t>
      </w:r>
      <w:r w:rsidRPr="41FD14AD">
        <w:rPr>
          <w:lang w:val="en"/>
        </w:rPr>
        <w:t>patient</w:t>
      </w:r>
      <w:r w:rsidR="00546081" w:rsidRPr="41FD14AD">
        <w:rPr>
          <w:lang w:val="en"/>
        </w:rPr>
        <w:t>’s history</w:t>
      </w:r>
      <w:r w:rsidR="00446739">
        <w:t xml:space="preserve"> </w:t>
      </w:r>
      <w:bookmarkStart w:id="11" w:name="_Hlk5962113"/>
      <w:r w:rsidR="00446739">
        <w:t>and utilise this information to guide appropriate prescribing and dispensing practices</w:t>
      </w:r>
      <w:bookmarkEnd w:id="11"/>
      <w:r w:rsidR="00446739">
        <w:t>.</w:t>
      </w:r>
    </w:p>
    <w:p w14:paraId="3E879B67" w14:textId="27B6F420" w:rsidR="00E74B49" w:rsidRPr="00DD783B" w:rsidRDefault="002A393E" w:rsidP="00E74B49">
      <w:pPr>
        <w:pStyle w:val="DHHSbullet1"/>
        <w:rPr>
          <w:lang w:val="en"/>
        </w:rPr>
      </w:pPr>
      <w:r w:rsidRPr="41FD14AD">
        <w:rPr>
          <w:b/>
          <w:bCs/>
          <w:lang w:val="en"/>
        </w:rPr>
        <w:t>Red</w:t>
      </w:r>
      <w:r w:rsidR="00E74B49" w:rsidRPr="41FD14AD">
        <w:rPr>
          <w:b/>
          <w:bCs/>
          <w:lang w:val="en"/>
        </w:rPr>
        <w:t xml:space="preserve"> </w:t>
      </w:r>
      <w:r w:rsidR="00B10BB8" w:rsidRPr="41FD14AD">
        <w:rPr>
          <w:b/>
          <w:bCs/>
          <w:lang w:val="en"/>
        </w:rPr>
        <w:t>notifications</w:t>
      </w:r>
      <w:r w:rsidR="00E74B49" w:rsidRPr="41FD14AD">
        <w:rPr>
          <w:lang w:val="en"/>
        </w:rPr>
        <w:t xml:space="preserve"> indicate that there</w:t>
      </w:r>
      <w:r w:rsidRPr="41FD14AD">
        <w:rPr>
          <w:lang w:val="en"/>
        </w:rPr>
        <w:t xml:space="preserve"> are patient</w:t>
      </w:r>
      <w:r w:rsidR="003B26D9" w:rsidRPr="41FD14AD">
        <w:rPr>
          <w:lang w:val="en"/>
        </w:rPr>
        <w:t xml:space="preserve"> high-risk</w:t>
      </w:r>
      <w:r w:rsidRPr="41FD14AD">
        <w:rPr>
          <w:lang w:val="en"/>
        </w:rPr>
        <w:t xml:space="preserve"> safety alerts. </w:t>
      </w:r>
      <w:r w:rsidR="00E74B49" w:rsidRPr="41FD14AD">
        <w:rPr>
          <w:lang w:val="en"/>
        </w:rPr>
        <w:t>Under this scenario</w:t>
      </w:r>
      <w:r w:rsidR="00E67E1B" w:rsidRPr="41FD14AD">
        <w:rPr>
          <w:lang w:val="en"/>
        </w:rPr>
        <w:t>,</w:t>
      </w:r>
      <w:r w:rsidR="00E74B49" w:rsidRPr="41FD14AD">
        <w:rPr>
          <w:lang w:val="en"/>
        </w:rPr>
        <w:t xml:space="preserve"> the practitioner will need to conduct further enquiries to investigate the patient’s history</w:t>
      </w:r>
      <w:r w:rsidR="00815F1E">
        <w:t xml:space="preserve"> and utilise this information to guide appropriate prescribing and dispensing practices</w:t>
      </w:r>
      <w:r w:rsidR="00E74B49" w:rsidRPr="41FD14AD">
        <w:rPr>
          <w:lang w:val="en"/>
        </w:rPr>
        <w:t xml:space="preserve">. </w:t>
      </w:r>
    </w:p>
    <w:p w14:paraId="73619987" w14:textId="489936D7" w:rsidR="00804D55" w:rsidRPr="002A393E" w:rsidRDefault="00804D55" w:rsidP="00681C46">
      <w:pPr>
        <w:pStyle w:val="DHHSbody"/>
      </w:pPr>
      <w:r>
        <w:t>The provision of</w:t>
      </w:r>
      <w:r w:rsidR="00D767D7">
        <w:t xml:space="preserve"> this</w:t>
      </w:r>
      <w:r>
        <w:t xml:space="preserve"> information to practitioners deliver</w:t>
      </w:r>
      <w:r w:rsidR="004079B2">
        <w:t>s</w:t>
      </w:r>
      <w:r>
        <w:t xml:space="preserve"> benefits </w:t>
      </w:r>
      <w:r w:rsidR="00A27852">
        <w:t xml:space="preserve">in </w:t>
      </w:r>
      <w:r w:rsidR="00FB1147">
        <w:t>enabling the</w:t>
      </w:r>
      <w:r w:rsidR="00C07665">
        <w:t xml:space="preserve"> identification of</w:t>
      </w:r>
      <w:r w:rsidR="00334E56">
        <w:t xml:space="preserve"> patients with or at risk of developing</w:t>
      </w:r>
      <w:r w:rsidR="00C07665">
        <w:t xml:space="preserve"> drug-dependence</w:t>
      </w:r>
      <w:r w:rsidR="00A27852">
        <w:t xml:space="preserve">, thereby </w:t>
      </w:r>
      <w:r w:rsidR="00482561">
        <w:t>assisting with informed decision making and minimisation of medication related harm</w:t>
      </w:r>
      <w:r w:rsidR="00C07665">
        <w:t>.</w:t>
      </w:r>
      <w:r>
        <w:t xml:space="preserve"> </w:t>
      </w:r>
    </w:p>
    <w:p w14:paraId="6EEB9C03" w14:textId="6BDCF9C0" w:rsidR="00C877B0" w:rsidRDefault="00D767D7" w:rsidP="00FC0A00">
      <w:pPr>
        <w:pStyle w:val="DHHSbody"/>
      </w:pPr>
      <w:r>
        <w:t xml:space="preserve">While the scope of this policy and the functions of the </w:t>
      </w:r>
      <w:r w:rsidR="002A6E11">
        <w:t>department</w:t>
      </w:r>
      <w:r>
        <w:t xml:space="preserve"> extend beyond the </w:t>
      </w:r>
      <w:r w:rsidR="00DD783B">
        <w:t>medicines</w:t>
      </w:r>
      <w:r>
        <w:t xml:space="preserve"> and matters covered by SafeScript, it</w:t>
      </w:r>
      <w:r w:rsidR="00B00709">
        <w:t>s</w:t>
      </w:r>
      <w:r>
        <w:t xml:space="preserve"> </w:t>
      </w:r>
      <w:r w:rsidR="00804D55">
        <w:t xml:space="preserve">introduction </w:t>
      </w:r>
      <w:r w:rsidR="004079B2">
        <w:t xml:space="preserve">has </w:t>
      </w:r>
      <w:r w:rsidR="00804D55">
        <w:t>significantly change</w:t>
      </w:r>
      <w:r w:rsidR="004079B2">
        <w:t>d</w:t>
      </w:r>
      <w:r w:rsidR="00804D55">
        <w:t xml:space="preserve"> the way </w:t>
      </w:r>
      <w:r>
        <w:t xml:space="preserve">information is </w:t>
      </w:r>
      <w:r w:rsidR="00804D55">
        <w:t>collect</w:t>
      </w:r>
      <w:r>
        <w:t xml:space="preserve">ed and </w:t>
      </w:r>
      <w:r w:rsidR="00804D55">
        <w:t>issues</w:t>
      </w:r>
      <w:r>
        <w:t xml:space="preserve"> are addressed</w:t>
      </w:r>
      <w:r w:rsidR="00804D55">
        <w:t>.</w:t>
      </w:r>
      <w:r>
        <w:t xml:space="preserve"> A</w:t>
      </w:r>
      <w:r w:rsidR="00804D55">
        <w:t xml:space="preserve">ccess to </w:t>
      </w:r>
      <w:r>
        <w:t xml:space="preserve">the information provided by SafeScript </w:t>
      </w:r>
      <w:r w:rsidR="004079B2">
        <w:t xml:space="preserve">now </w:t>
      </w:r>
      <w:r>
        <w:t>enable</w:t>
      </w:r>
      <w:r w:rsidR="004079B2">
        <w:t>s</w:t>
      </w:r>
      <w:r>
        <w:t xml:space="preserve"> the </w:t>
      </w:r>
      <w:r w:rsidR="002A6E11">
        <w:t>department</w:t>
      </w:r>
      <w:r>
        <w:t xml:space="preserve"> </w:t>
      </w:r>
      <w:r w:rsidR="00E67E1B">
        <w:t xml:space="preserve">to </w:t>
      </w:r>
      <w:r>
        <w:t xml:space="preserve">enhance its compliance and enforcement measures, including for example, undertaking more </w:t>
      </w:r>
      <w:r w:rsidR="00804D55">
        <w:t>targeted and timely</w:t>
      </w:r>
      <w:r w:rsidR="00E032F0">
        <w:t xml:space="preserve"> harms-based educational interventions</w:t>
      </w:r>
      <w:r w:rsidR="00804D55">
        <w:t xml:space="preserve"> </w:t>
      </w:r>
      <w:r>
        <w:t xml:space="preserve">(e.g. providing </w:t>
      </w:r>
      <w:r w:rsidR="00804D55">
        <w:t>tailored information</w:t>
      </w:r>
      <w:r w:rsidR="008148E3">
        <w:t xml:space="preserve"> or education </w:t>
      </w:r>
      <w:r w:rsidR="00804D55">
        <w:t>on a particular trend</w:t>
      </w:r>
      <w:r>
        <w:t xml:space="preserve">), reducing </w:t>
      </w:r>
      <w:r w:rsidR="008148E3">
        <w:t xml:space="preserve">the time taken to </w:t>
      </w:r>
      <w:r w:rsidR="004079B2">
        <w:t>identify high risk prescribing</w:t>
      </w:r>
      <w:r w:rsidR="003A1FE2">
        <w:t>, and</w:t>
      </w:r>
      <w:r w:rsidR="008823E1">
        <w:t xml:space="preserve"> </w:t>
      </w:r>
      <w:r>
        <w:t xml:space="preserve">sharing </w:t>
      </w:r>
      <w:r w:rsidR="003A1FE2">
        <w:t>information</w:t>
      </w:r>
      <w:r w:rsidR="008148E3">
        <w:t xml:space="preserve"> with co-regulators who may be in a better position to respond. How SafeScript influence</w:t>
      </w:r>
      <w:r w:rsidR="003A1FE2">
        <w:t>s</w:t>
      </w:r>
      <w:r w:rsidR="008148E3">
        <w:t xml:space="preserve"> the work of the </w:t>
      </w:r>
      <w:r w:rsidR="002A6E11">
        <w:t>department</w:t>
      </w:r>
      <w:r w:rsidR="008148E3">
        <w:t xml:space="preserve"> is discussed in more detail in </w:t>
      </w:r>
      <w:r w:rsidR="00546081">
        <w:t>Section</w:t>
      </w:r>
      <w:r w:rsidR="00566DBF">
        <w:t>s 5 and</w:t>
      </w:r>
      <w:r w:rsidR="00546081">
        <w:t xml:space="preserve"> </w:t>
      </w:r>
      <w:r w:rsidR="00282C22">
        <w:t>6</w:t>
      </w:r>
      <w:r w:rsidR="008148E3">
        <w:t>.</w:t>
      </w:r>
      <w:r w:rsidR="00E67E1B">
        <w:t xml:space="preserve"> </w:t>
      </w:r>
      <w:r w:rsidR="00201ACF">
        <w:t xml:space="preserve"> </w:t>
      </w:r>
      <w:r w:rsidR="00201ACF">
        <w:br w:type="page"/>
      </w:r>
    </w:p>
    <w:p w14:paraId="5FCD1D1E" w14:textId="3A41EAE4" w:rsidR="005A401F" w:rsidRDefault="005A401F" w:rsidP="00BE66BA">
      <w:pPr>
        <w:pStyle w:val="Heading1"/>
      </w:pPr>
      <w:bookmarkStart w:id="12" w:name="_Toc115884452"/>
      <w:r>
        <w:lastRenderedPageBreak/>
        <w:t>Applying a risk</w:t>
      </w:r>
      <w:r w:rsidR="00FA755B">
        <w:t>-</w:t>
      </w:r>
      <w:r>
        <w:t>based approach</w:t>
      </w:r>
      <w:bookmarkEnd w:id="12"/>
    </w:p>
    <w:p w14:paraId="5AE2F5D1" w14:textId="563E2B2E" w:rsidR="00D767D7" w:rsidRDefault="3B23E3B6" w:rsidP="008C1474">
      <w:pPr>
        <w:pStyle w:val="DHHSbody"/>
      </w:pPr>
      <w:r w:rsidRPr="41FD14AD">
        <w:rPr>
          <w:b/>
          <w:bCs/>
        </w:rPr>
        <w:t xml:space="preserve">Consistent with a risk-based approach, the </w:t>
      </w:r>
      <w:r w:rsidR="002A6E11">
        <w:rPr>
          <w:b/>
          <w:bCs/>
        </w:rPr>
        <w:t>department</w:t>
      </w:r>
      <w:r w:rsidRPr="41FD14AD">
        <w:rPr>
          <w:b/>
          <w:bCs/>
        </w:rPr>
        <w:t xml:space="preserve"> cannot regulate to remove all risks or all contributing factors. </w:t>
      </w:r>
      <w:r w:rsidR="69AA0D0E" w:rsidRPr="41FD14AD">
        <w:rPr>
          <w:b/>
          <w:bCs/>
        </w:rPr>
        <w:t xml:space="preserve">The </w:t>
      </w:r>
      <w:r w:rsidR="002A6E11">
        <w:rPr>
          <w:b/>
          <w:bCs/>
        </w:rPr>
        <w:t>department</w:t>
      </w:r>
      <w:r w:rsidR="69AA0D0E" w:rsidRPr="41FD14AD">
        <w:rPr>
          <w:b/>
          <w:bCs/>
        </w:rPr>
        <w:t xml:space="preserve"> seeks to </w:t>
      </w:r>
      <w:r w:rsidR="41C6BB90" w:rsidRPr="41FD14AD">
        <w:rPr>
          <w:b/>
          <w:bCs/>
        </w:rPr>
        <w:t xml:space="preserve">prioritise compliance and enforcement </w:t>
      </w:r>
      <w:r w:rsidR="77AA3AE4" w:rsidRPr="41FD14AD">
        <w:rPr>
          <w:b/>
          <w:bCs/>
        </w:rPr>
        <w:t>activities according to the level of risk</w:t>
      </w:r>
      <w:r w:rsidR="41C6BB90" w:rsidRPr="41FD14AD">
        <w:rPr>
          <w:b/>
          <w:bCs/>
        </w:rPr>
        <w:t>,</w:t>
      </w:r>
      <w:r w:rsidR="69AA0D0E" w:rsidRPr="41FD14AD">
        <w:rPr>
          <w:b/>
          <w:bCs/>
        </w:rPr>
        <w:t xml:space="preserve"> and allocate resources where it can most effectively reduce harms.</w:t>
      </w:r>
      <w:r w:rsidR="3540FF2B">
        <w:t xml:space="preserve"> </w:t>
      </w:r>
    </w:p>
    <w:p w14:paraId="4FFD3EAC" w14:textId="5688F8F5" w:rsidR="00E13625" w:rsidRPr="00E13625" w:rsidRDefault="69AA0D0E" w:rsidP="00E13625">
      <w:pPr>
        <w:pStyle w:val="DHHSbody"/>
        <w:rPr>
          <w:lang w:val="en"/>
        </w:rPr>
      </w:pPr>
      <w:r w:rsidRPr="41FD14AD">
        <w:rPr>
          <w:lang w:val="en"/>
        </w:rPr>
        <w:t xml:space="preserve">The </w:t>
      </w:r>
      <w:r w:rsidR="4FB26961" w:rsidRPr="41FD14AD">
        <w:rPr>
          <w:lang w:val="en"/>
        </w:rPr>
        <w:t xml:space="preserve">legislative framework </w:t>
      </w:r>
      <w:r w:rsidRPr="41FD14AD">
        <w:rPr>
          <w:lang w:val="en"/>
        </w:rPr>
        <w:t xml:space="preserve">gives </w:t>
      </w:r>
      <w:r w:rsidR="4FB26961" w:rsidRPr="41FD14AD">
        <w:rPr>
          <w:lang w:val="en"/>
        </w:rPr>
        <w:t xml:space="preserve">the </w:t>
      </w:r>
      <w:r w:rsidR="002A6E11">
        <w:rPr>
          <w:lang w:val="en"/>
        </w:rPr>
        <w:t>department</w:t>
      </w:r>
      <w:r w:rsidR="4FB26961" w:rsidRPr="41FD14AD">
        <w:rPr>
          <w:lang w:val="en"/>
        </w:rPr>
        <w:t xml:space="preserve"> </w:t>
      </w:r>
      <w:r w:rsidRPr="41FD14AD">
        <w:rPr>
          <w:lang w:val="en"/>
        </w:rPr>
        <w:t xml:space="preserve">discretion in how </w:t>
      </w:r>
      <w:r w:rsidR="4FB26961" w:rsidRPr="41FD14AD">
        <w:rPr>
          <w:lang w:val="en"/>
        </w:rPr>
        <w:t xml:space="preserve">it </w:t>
      </w:r>
      <w:r w:rsidRPr="41FD14AD">
        <w:rPr>
          <w:lang w:val="en"/>
        </w:rPr>
        <w:t>exercise</w:t>
      </w:r>
      <w:r w:rsidR="4FB26961" w:rsidRPr="41FD14AD">
        <w:rPr>
          <w:lang w:val="en"/>
        </w:rPr>
        <w:t xml:space="preserve">s its </w:t>
      </w:r>
      <w:r w:rsidRPr="41FD14AD">
        <w:rPr>
          <w:lang w:val="en"/>
        </w:rPr>
        <w:t xml:space="preserve">functions and powers to address the harms and impacts it </w:t>
      </w:r>
      <w:r w:rsidR="4FB26961" w:rsidRPr="41FD14AD">
        <w:rPr>
          <w:lang w:val="en"/>
        </w:rPr>
        <w:t>is tasked with managing</w:t>
      </w:r>
      <w:r w:rsidRPr="41FD14AD">
        <w:rPr>
          <w:lang w:val="en"/>
        </w:rPr>
        <w:t xml:space="preserve">. </w:t>
      </w:r>
      <w:r w:rsidR="4FB26961" w:rsidRPr="41FD14AD">
        <w:rPr>
          <w:lang w:val="en"/>
        </w:rPr>
        <w:t xml:space="preserve">Importantly, this </w:t>
      </w:r>
      <w:r w:rsidRPr="41FD14AD">
        <w:rPr>
          <w:lang w:val="en"/>
        </w:rPr>
        <w:t xml:space="preserve">discretion allows </w:t>
      </w:r>
      <w:r w:rsidR="4FB26961" w:rsidRPr="41FD14AD">
        <w:rPr>
          <w:lang w:val="en"/>
        </w:rPr>
        <w:t xml:space="preserve">the </w:t>
      </w:r>
      <w:r w:rsidR="002A6E11">
        <w:rPr>
          <w:lang w:val="en"/>
        </w:rPr>
        <w:t>department</w:t>
      </w:r>
      <w:r w:rsidR="4FB26961" w:rsidRPr="41FD14AD">
        <w:rPr>
          <w:lang w:val="en"/>
        </w:rPr>
        <w:t xml:space="preserve"> to </w:t>
      </w:r>
      <w:r w:rsidRPr="41FD14AD">
        <w:rPr>
          <w:lang w:val="en"/>
        </w:rPr>
        <w:t xml:space="preserve">prioritise and allocate </w:t>
      </w:r>
      <w:r w:rsidR="4FB26961" w:rsidRPr="41FD14AD">
        <w:rPr>
          <w:lang w:val="en"/>
        </w:rPr>
        <w:t>its</w:t>
      </w:r>
      <w:r w:rsidRPr="41FD14AD">
        <w:rPr>
          <w:lang w:val="en"/>
        </w:rPr>
        <w:t xml:space="preserve"> resources to achieve the desired outcome and guides how</w:t>
      </w:r>
      <w:r w:rsidR="4FB26961" w:rsidRPr="41FD14AD">
        <w:rPr>
          <w:lang w:val="en"/>
        </w:rPr>
        <w:t xml:space="preserve"> compliance and </w:t>
      </w:r>
      <w:r w:rsidRPr="41FD14AD">
        <w:rPr>
          <w:lang w:val="en"/>
        </w:rPr>
        <w:t>enforcement decisions are made.</w:t>
      </w:r>
    </w:p>
    <w:p w14:paraId="415A2DF7" w14:textId="739CD88C" w:rsidR="00E13625" w:rsidRDefault="4FB26961" w:rsidP="00E13625">
      <w:pPr>
        <w:pStyle w:val="DHHSbody"/>
        <w:rPr>
          <w:lang w:val="en"/>
        </w:rPr>
      </w:pPr>
      <w:r w:rsidRPr="3B23E3B6">
        <w:rPr>
          <w:lang w:val="en"/>
        </w:rPr>
        <w:t xml:space="preserve">The </w:t>
      </w:r>
      <w:r w:rsidR="002A6E11">
        <w:rPr>
          <w:lang w:val="en"/>
        </w:rPr>
        <w:t>department</w:t>
      </w:r>
      <w:r w:rsidRPr="3B23E3B6">
        <w:rPr>
          <w:lang w:val="en"/>
        </w:rPr>
        <w:t xml:space="preserve"> prioritises its compliance and enforcement effort</w:t>
      </w:r>
      <w:r w:rsidR="7321BEB5" w:rsidRPr="3B23E3B6">
        <w:rPr>
          <w:lang w:val="en"/>
        </w:rPr>
        <w:t>s</w:t>
      </w:r>
      <w:r w:rsidRPr="3B23E3B6">
        <w:rPr>
          <w:lang w:val="en"/>
        </w:rPr>
        <w:t xml:space="preserve"> towards the biggest risks of harm. Like all risk-based regulators, the </w:t>
      </w:r>
      <w:r w:rsidR="002A6E11">
        <w:rPr>
          <w:lang w:val="en"/>
        </w:rPr>
        <w:t>department</w:t>
      </w:r>
      <w:r w:rsidRPr="3B23E3B6">
        <w:rPr>
          <w:lang w:val="en"/>
        </w:rPr>
        <w:t xml:space="preserve"> defines risk as a combination of two elements: consequence (the risk or harm associated with the </w:t>
      </w:r>
      <w:r w:rsidR="34195B22" w:rsidRPr="3B23E3B6">
        <w:rPr>
          <w:lang w:val="en"/>
        </w:rPr>
        <w:t>medicine</w:t>
      </w:r>
      <w:r w:rsidRPr="3B23E3B6">
        <w:rPr>
          <w:lang w:val="en"/>
        </w:rPr>
        <w:t xml:space="preserve"> or poison) and likelihood (the chance that non-compliance or </w:t>
      </w:r>
      <w:r w:rsidR="3540FF2B" w:rsidRPr="3B23E3B6">
        <w:rPr>
          <w:lang w:val="en"/>
        </w:rPr>
        <w:t xml:space="preserve">an </w:t>
      </w:r>
      <w:r w:rsidRPr="3B23E3B6">
        <w:rPr>
          <w:lang w:val="en"/>
        </w:rPr>
        <w:t>event will occur).</w:t>
      </w:r>
      <w:r w:rsidR="2F822334" w:rsidRPr="3B23E3B6">
        <w:rPr>
          <w:lang w:val="en"/>
        </w:rPr>
        <w:t xml:space="preserve"> </w:t>
      </w:r>
      <w:r w:rsidRPr="3B23E3B6">
        <w:rPr>
          <w:lang w:val="en"/>
        </w:rPr>
        <w:t xml:space="preserve">The following </w:t>
      </w:r>
      <w:r w:rsidR="0212C200" w:rsidRPr="3B23E3B6">
        <w:rPr>
          <w:lang w:val="en"/>
        </w:rPr>
        <w:t xml:space="preserve">table </w:t>
      </w:r>
      <w:r w:rsidRPr="3B23E3B6">
        <w:rPr>
          <w:lang w:val="en"/>
        </w:rPr>
        <w:t xml:space="preserve">outlines the </w:t>
      </w:r>
      <w:r w:rsidR="002A6E11">
        <w:rPr>
          <w:lang w:val="en"/>
        </w:rPr>
        <w:t>department</w:t>
      </w:r>
      <w:r w:rsidRPr="3B23E3B6">
        <w:rPr>
          <w:lang w:val="en"/>
        </w:rPr>
        <w:t xml:space="preserve">’s risk assessment framework. </w:t>
      </w:r>
    </w:p>
    <w:p w14:paraId="3BA242A2" w14:textId="0D09AB34" w:rsidR="00E13625" w:rsidRDefault="00E34262" w:rsidP="00266BDA">
      <w:pPr>
        <w:pStyle w:val="DHHSbody"/>
        <w:keepNext/>
        <w:rPr>
          <w:b/>
          <w:lang w:val="en"/>
        </w:rPr>
      </w:pPr>
      <w:r>
        <w:rPr>
          <w:b/>
          <w:lang w:val="en"/>
        </w:rPr>
        <w:t>Table</w:t>
      </w:r>
      <w:r w:rsidRPr="007D656B">
        <w:rPr>
          <w:b/>
          <w:lang w:val="en"/>
        </w:rPr>
        <w:t xml:space="preserve"> </w:t>
      </w:r>
      <w:r w:rsidR="00E95B2B">
        <w:rPr>
          <w:b/>
          <w:lang w:val="en"/>
        </w:rPr>
        <w:t>2</w:t>
      </w:r>
      <w:r w:rsidR="00E13625" w:rsidRPr="007D656B">
        <w:rPr>
          <w:b/>
          <w:lang w:val="en"/>
        </w:rPr>
        <w:t xml:space="preserve">: </w:t>
      </w:r>
      <w:r w:rsidR="00266BDA">
        <w:rPr>
          <w:b/>
          <w:lang w:val="en"/>
        </w:rPr>
        <w:t>Risk framework</w:t>
      </w:r>
    </w:p>
    <w:tbl>
      <w:tblPr>
        <w:tblStyle w:val="TableGrid"/>
        <w:tblW w:w="9161" w:type="dxa"/>
        <w:tblLayout w:type="fixed"/>
        <w:tblLook w:val="0620" w:firstRow="1" w:lastRow="0" w:firstColumn="0" w:lastColumn="0" w:noHBand="1" w:noVBand="1"/>
        <w:tblDescription w:val="The consequence and likelihood matrix provides a risk rating based on the likelihood of the risk occurring (almost certain, likely, possible, unlikely and rare) and the consequence if the risk was to occur (extreme, major, moderate, minor or negligible)."/>
      </w:tblPr>
      <w:tblGrid>
        <w:gridCol w:w="2268"/>
        <w:gridCol w:w="1378"/>
        <w:gridCol w:w="1381"/>
        <w:gridCol w:w="1377"/>
        <w:gridCol w:w="1379"/>
        <w:gridCol w:w="1378"/>
      </w:tblGrid>
      <w:tr w:rsidR="00C53225" w:rsidRPr="006F59A6" w14:paraId="5B677109" w14:textId="77777777" w:rsidTr="0004358B">
        <w:trPr>
          <w:trHeight w:val="20"/>
        </w:trPr>
        <w:tc>
          <w:tcPr>
            <w:tcW w:w="2268" w:type="dxa"/>
            <w:tcBorders>
              <w:left w:val="single" w:sz="4" w:space="0" w:color="auto"/>
            </w:tcBorders>
          </w:tcPr>
          <w:p w14:paraId="39245E71" w14:textId="77777777" w:rsidR="00C53225" w:rsidRPr="006F59A6" w:rsidRDefault="00C53225" w:rsidP="0004358B">
            <w:pPr>
              <w:spacing w:before="80" w:after="60"/>
              <w:rPr>
                <w:b/>
                <w:color w:val="53565A"/>
                <w:sz w:val="18"/>
                <w:szCs w:val="18"/>
              </w:rPr>
            </w:pPr>
            <w:r w:rsidRPr="006F59A6">
              <w:rPr>
                <w:b/>
                <w:bCs/>
                <w:sz w:val="18"/>
                <w:szCs w:val="18"/>
              </w:rPr>
              <w:t>Likelihood</w:t>
            </w:r>
          </w:p>
        </w:tc>
        <w:tc>
          <w:tcPr>
            <w:tcW w:w="1378" w:type="dxa"/>
            <w:shd w:val="clear" w:color="auto" w:fill="auto"/>
            <w:hideMark/>
          </w:tcPr>
          <w:p w14:paraId="4347EA05" w14:textId="77777777" w:rsidR="00C53225" w:rsidRPr="006F59A6" w:rsidRDefault="00C53225" w:rsidP="0004358B">
            <w:pPr>
              <w:spacing w:before="80" w:after="60"/>
              <w:rPr>
                <w:b/>
                <w:color w:val="53565A"/>
                <w:sz w:val="18"/>
                <w:szCs w:val="18"/>
              </w:rPr>
            </w:pPr>
            <w:r w:rsidRPr="006F59A6">
              <w:rPr>
                <w:b/>
                <w:color w:val="53565A"/>
                <w:sz w:val="18"/>
                <w:szCs w:val="18"/>
              </w:rPr>
              <w:t>Negligible</w:t>
            </w:r>
          </w:p>
        </w:tc>
        <w:tc>
          <w:tcPr>
            <w:tcW w:w="1381" w:type="dxa"/>
            <w:shd w:val="clear" w:color="auto" w:fill="auto"/>
            <w:hideMark/>
          </w:tcPr>
          <w:p w14:paraId="38E99AE8" w14:textId="77777777" w:rsidR="00C53225" w:rsidRPr="006F59A6" w:rsidRDefault="00C53225" w:rsidP="0004358B">
            <w:pPr>
              <w:spacing w:before="80" w:after="60"/>
              <w:rPr>
                <w:b/>
                <w:color w:val="53565A"/>
                <w:sz w:val="18"/>
                <w:szCs w:val="18"/>
              </w:rPr>
            </w:pPr>
            <w:r w:rsidRPr="006F59A6">
              <w:rPr>
                <w:b/>
                <w:color w:val="53565A"/>
                <w:sz w:val="18"/>
                <w:szCs w:val="18"/>
              </w:rPr>
              <w:t>Minor</w:t>
            </w:r>
          </w:p>
        </w:tc>
        <w:tc>
          <w:tcPr>
            <w:tcW w:w="1377" w:type="dxa"/>
            <w:shd w:val="clear" w:color="auto" w:fill="auto"/>
            <w:hideMark/>
          </w:tcPr>
          <w:p w14:paraId="74E88EFE" w14:textId="77777777" w:rsidR="00C53225" w:rsidRPr="006F59A6" w:rsidRDefault="00C53225" w:rsidP="0004358B">
            <w:pPr>
              <w:spacing w:before="80" w:after="60"/>
              <w:rPr>
                <w:b/>
                <w:color w:val="53565A"/>
                <w:sz w:val="18"/>
                <w:szCs w:val="18"/>
              </w:rPr>
            </w:pPr>
            <w:r w:rsidRPr="006F59A6">
              <w:rPr>
                <w:b/>
                <w:color w:val="53565A"/>
                <w:sz w:val="18"/>
                <w:szCs w:val="18"/>
              </w:rPr>
              <w:t>Moderate</w:t>
            </w:r>
          </w:p>
        </w:tc>
        <w:tc>
          <w:tcPr>
            <w:tcW w:w="1379" w:type="dxa"/>
            <w:shd w:val="clear" w:color="auto" w:fill="auto"/>
            <w:hideMark/>
          </w:tcPr>
          <w:p w14:paraId="18C2A8E0" w14:textId="77777777" w:rsidR="00C53225" w:rsidRPr="006F59A6" w:rsidRDefault="00C53225" w:rsidP="0004358B">
            <w:pPr>
              <w:spacing w:before="80" w:after="60"/>
              <w:rPr>
                <w:b/>
                <w:color w:val="53565A"/>
                <w:sz w:val="18"/>
                <w:szCs w:val="18"/>
              </w:rPr>
            </w:pPr>
            <w:r w:rsidRPr="006F59A6">
              <w:rPr>
                <w:b/>
                <w:color w:val="53565A"/>
                <w:sz w:val="18"/>
                <w:szCs w:val="18"/>
              </w:rPr>
              <w:t>Major</w:t>
            </w:r>
          </w:p>
        </w:tc>
        <w:tc>
          <w:tcPr>
            <w:tcW w:w="1378" w:type="dxa"/>
            <w:tcBorders>
              <w:bottom w:val="single" w:sz="4" w:space="0" w:color="auto"/>
            </w:tcBorders>
            <w:shd w:val="clear" w:color="auto" w:fill="auto"/>
            <w:hideMark/>
          </w:tcPr>
          <w:p w14:paraId="7ED563ED" w14:textId="77777777" w:rsidR="00C53225" w:rsidRPr="006F59A6" w:rsidRDefault="00C53225" w:rsidP="0004358B">
            <w:pPr>
              <w:spacing w:before="80" w:after="60"/>
              <w:rPr>
                <w:b/>
                <w:color w:val="53565A"/>
                <w:sz w:val="18"/>
                <w:szCs w:val="18"/>
              </w:rPr>
            </w:pPr>
            <w:r w:rsidRPr="006F59A6">
              <w:rPr>
                <w:b/>
                <w:color w:val="53565A"/>
                <w:sz w:val="18"/>
                <w:szCs w:val="18"/>
              </w:rPr>
              <w:t>Extreme</w:t>
            </w:r>
          </w:p>
        </w:tc>
      </w:tr>
      <w:tr w:rsidR="00C53225" w:rsidRPr="006F59A6" w14:paraId="7469E2A4" w14:textId="77777777" w:rsidTr="00566DBF">
        <w:trPr>
          <w:trHeight w:val="20"/>
        </w:trPr>
        <w:tc>
          <w:tcPr>
            <w:tcW w:w="2268" w:type="dxa"/>
            <w:shd w:val="clear" w:color="auto" w:fill="auto"/>
            <w:hideMark/>
          </w:tcPr>
          <w:p w14:paraId="2A683C83" w14:textId="77777777" w:rsidR="00C53225" w:rsidRPr="006F59A6" w:rsidRDefault="00C53225" w:rsidP="0004358B">
            <w:pPr>
              <w:spacing w:before="80" w:after="60"/>
              <w:rPr>
                <w:b/>
                <w:bCs/>
                <w:sz w:val="18"/>
                <w:szCs w:val="18"/>
              </w:rPr>
            </w:pPr>
            <w:r w:rsidRPr="006F59A6">
              <w:rPr>
                <w:b/>
                <w:bCs/>
                <w:sz w:val="18"/>
                <w:szCs w:val="18"/>
              </w:rPr>
              <w:t>Almost Certain</w:t>
            </w:r>
          </w:p>
          <w:p w14:paraId="7BE64A0C" w14:textId="77777777" w:rsidR="00C53225" w:rsidRPr="006F59A6" w:rsidRDefault="00C53225" w:rsidP="0004358B">
            <w:pPr>
              <w:spacing w:before="80" w:after="60"/>
              <w:rPr>
                <w:sz w:val="18"/>
                <w:szCs w:val="18"/>
              </w:rPr>
            </w:pPr>
            <w:r w:rsidRPr="006F59A6">
              <w:rPr>
                <w:sz w:val="18"/>
                <w:szCs w:val="18"/>
              </w:rPr>
              <w:t>(Once per week)</w:t>
            </w:r>
          </w:p>
          <w:p w14:paraId="4CB3B41B" w14:textId="77777777" w:rsidR="00C53225" w:rsidRPr="006F59A6" w:rsidRDefault="00C53225" w:rsidP="0004358B">
            <w:pPr>
              <w:spacing w:before="80" w:after="60"/>
              <w:rPr>
                <w:b/>
                <w:bCs/>
                <w:sz w:val="18"/>
                <w:szCs w:val="18"/>
              </w:rPr>
            </w:pPr>
            <w:r w:rsidRPr="006F59A6">
              <w:rPr>
                <w:sz w:val="18"/>
                <w:szCs w:val="18"/>
              </w:rPr>
              <w:t>(90%)</w:t>
            </w:r>
          </w:p>
        </w:tc>
        <w:tc>
          <w:tcPr>
            <w:tcW w:w="1378" w:type="dxa"/>
            <w:shd w:val="clear" w:color="auto" w:fill="FFFF00"/>
            <w:vAlign w:val="center"/>
            <w:hideMark/>
          </w:tcPr>
          <w:p w14:paraId="2511527E"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81" w:type="dxa"/>
            <w:shd w:val="clear" w:color="auto" w:fill="FFC000"/>
            <w:vAlign w:val="center"/>
            <w:hideMark/>
          </w:tcPr>
          <w:p w14:paraId="249667B8"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c>
          <w:tcPr>
            <w:tcW w:w="1377" w:type="dxa"/>
            <w:shd w:val="clear" w:color="auto" w:fill="FFC000"/>
            <w:vAlign w:val="center"/>
            <w:hideMark/>
          </w:tcPr>
          <w:p w14:paraId="3915BD4F"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c>
          <w:tcPr>
            <w:tcW w:w="1379" w:type="dxa"/>
            <w:shd w:val="clear" w:color="auto" w:fill="FF0000"/>
            <w:vAlign w:val="center"/>
            <w:hideMark/>
          </w:tcPr>
          <w:p w14:paraId="120C53C6"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Critical</w:t>
            </w:r>
          </w:p>
        </w:tc>
        <w:tc>
          <w:tcPr>
            <w:tcW w:w="1378" w:type="dxa"/>
            <w:shd w:val="clear" w:color="auto" w:fill="FF0000"/>
            <w:vAlign w:val="center"/>
            <w:hideMark/>
          </w:tcPr>
          <w:p w14:paraId="7DF67EC2"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Critical</w:t>
            </w:r>
          </w:p>
        </w:tc>
      </w:tr>
      <w:tr w:rsidR="00C53225" w:rsidRPr="006F59A6" w14:paraId="48F5C3AE" w14:textId="77777777" w:rsidTr="00566DBF">
        <w:trPr>
          <w:trHeight w:val="20"/>
        </w:trPr>
        <w:tc>
          <w:tcPr>
            <w:tcW w:w="2268" w:type="dxa"/>
            <w:shd w:val="clear" w:color="auto" w:fill="auto"/>
            <w:hideMark/>
          </w:tcPr>
          <w:p w14:paraId="1D28ABAF" w14:textId="77777777" w:rsidR="00C53225" w:rsidRPr="006F59A6" w:rsidRDefault="00C53225" w:rsidP="0004358B">
            <w:pPr>
              <w:spacing w:before="80" w:after="60"/>
              <w:rPr>
                <w:b/>
                <w:bCs/>
                <w:sz w:val="18"/>
                <w:szCs w:val="18"/>
              </w:rPr>
            </w:pPr>
            <w:r w:rsidRPr="006F59A6">
              <w:rPr>
                <w:b/>
                <w:bCs/>
                <w:sz w:val="18"/>
                <w:szCs w:val="18"/>
              </w:rPr>
              <w:t>Likely</w:t>
            </w:r>
          </w:p>
          <w:p w14:paraId="3C4F2706" w14:textId="77777777" w:rsidR="00C53225" w:rsidRPr="006F59A6" w:rsidRDefault="00C53225" w:rsidP="0004358B">
            <w:pPr>
              <w:spacing w:before="80" w:after="60"/>
              <w:rPr>
                <w:sz w:val="18"/>
                <w:szCs w:val="18"/>
              </w:rPr>
            </w:pPr>
            <w:r w:rsidRPr="006F59A6">
              <w:rPr>
                <w:sz w:val="18"/>
                <w:szCs w:val="18"/>
              </w:rPr>
              <w:t>(Once per month)</w:t>
            </w:r>
          </w:p>
          <w:p w14:paraId="4398F1D6" w14:textId="77777777" w:rsidR="00C53225" w:rsidRPr="006F59A6" w:rsidRDefault="00C53225" w:rsidP="0004358B">
            <w:pPr>
              <w:spacing w:before="80" w:after="60"/>
              <w:rPr>
                <w:b/>
                <w:bCs/>
                <w:sz w:val="18"/>
                <w:szCs w:val="18"/>
              </w:rPr>
            </w:pPr>
            <w:r w:rsidRPr="006F59A6">
              <w:rPr>
                <w:sz w:val="18"/>
                <w:szCs w:val="18"/>
              </w:rPr>
              <w:t>(70%)</w:t>
            </w:r>
          </w:p>
        </w:tc>
        <w:tc>
          <w:tcPr>
            <w:tcW w:w="1378" w:type="dxa"/>
            <w:shd w:val="clear" w:color="auto" w:fill="FFFF00"/>
            <w:vAlign w:val="center"/>
            <w:hideMark/>
          </w:tcPr>
          <w:p w14:paraId="5D8284B8"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81" w:type="dxa"/>
            <w:shd w:val="clear" w:color="auto" w:fill="FFFF00"/>
            <w:vAlign w:val="center"/>
            <w:hideMark/>
          </w:tcPr>
          <w:p w14:paraId="732A68D9"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7" w:type="dxa"/>
            <w:shd w:val="clear" w:color="auto" w:fill="FFC000"/>
            <w:vAlign w:val="center"/>
            <w:hideMark/>
          </w:tcPr>
          <w:p w14:paraId="3D053D26"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c>
          <w:tcPr>
            <w:tcW w:w="1379" w:type="dxa"/>
            <w:shd w:val="clear" w:color="auto" w:fill="FFC000"/>
            <w:vAlign w:val="center"/>
            <w:hideMark/>
          </w:tcPr>
          <w:p w14:paraId="0D07BF70"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c>
          <w:tcPr>
            <w:tcW w:w="1378" w:type="dxa"/>
            <w:shd w:val="clear" w:color="auto" w:fill="FF0000"/>
            <w:vAlign w:val="center"/>
            <w:hideMark/>
          </w:tcPr>
          <w:p w14:paraId="7D47DCFD"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Critical</w:t>
            </w:r>
          </w:p>
        </w:tc>
      </w:tr>
      <w:tr w:rsidR="00C53225" w:rsidRPr="006F59A6" w14:paraId="75759BF5" w14:textId="77777777" w:rsidTr="00566DBF">
        <w:trPr>
          <w:trHeight w:val="20"/>
        </w:trPr>
        <w:tc>
          <w:tcPr>
            <w:tcW w:w="2268" w:type="dxa"/>
            <w:shd w:val="clear" w:color="auto" w:fill="auto"/>
            <w:hideMark/>
          </w:tcPr>
          <w:p w14:paraId="1760C819" w14:textId="77777777" w:rsidR="00C53225" w:rsidRPr="006F59A6" w:rsidRDefault="00C53225" w:rsidP="0004358B">
            <w:pPr>
              <w:spacing w:before="80" w:after="60"/>
              <w:rPr>
                <w:b/>
                <w:bCs/>
                <w:sz w:val="18"/>
                <w:szCs w:val="18"/>
              </w:rPr>
            </w:pPr>
            <w:r w:rsidRPr="006F59A6">
              <w:rPr>
                <w:b/>
                <w:bCs/>
                <w:sz w:val="18"/>
                <w:szCs w:val="18"/>
              </w:rPr>
              <w:t>Possible</w:t>
            </w:r>
          </w:p>
          <w:p w14:paraId="76E93168" w14:textId="77777777" w:rsidR="00C53225" w:rsidRPr="006F59A6" w:rsidRDefault="00C53225" w:rsidP="0004358B">
            <w:pPr>
              <w:spacing w:before="80" w:after="60"/>
              <w:rPr>
                <w:sz w:val="18"/>
                <w:szCs w:val="18"/>
              </w:rPr>
            </w:pPr>
            <w:r w:rsidRPr="006F59A6">
              <w:rPr>
                <w:sz w:val="18"/>
                <w:szCs w:val="18"/>
              </w:rPr>
              <w:t>(Once a year)</w:t>
            </w:r>
          </w:p>
          <w:p w14:paraId="6B196A2D" w14:textId="77777777" w:rsidR="00C53225" w:rsidRPr="006F59A6" w:rsidRDefault="00C53225" w:rsidP="0004358B">
            <w:pPr>
              <w:spacing w:before="80" w:after="60"/>
              <w:rPr>
                <w:b/>
                <w:bCs/>
                <w:sz w:val="18"/>
                <w:szCs w:val="18"/>
              </w:rPr>
            </w:pPr>
            <w:r w:rsidRPr="006F59A6">
              <w:rPr>
                <w:sz w:val="18"/>
                <w:szCs w:val="18"/>
              </w:rPr>
              <w:t>(50%)</w:t>
            </w:r>
          </w:p>
        </w:tc>
        <w:tc>
          <w:tcPr>
            <w:tcW w:w="1378" w:type="dxa"/>
            <w:shd w:val="clear" w:color="auto" w:fill="92D050"/>
            <w:vAlign w:val="center"/>
            <w:hideMark/>
          </w:tcPr>
          <w:p w14:paraId="490B22E1"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81" w:type="dxa"/>
            <w:shd w:val="clear" w:color="auto" w:fill="FFFF00"/>
            <w:vAlign w:val="center"/>
            <w:hideMark/>
          </w:tcPr>
          <w:p w14:paraId="4B45E62F"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7" w:type="dxa"/>
            <w:shd w:val="clear" w:color="auto" w:fill="FFFF00"/>
            <w:vAlign w:val="center"/>
            <w:hideMark/>
          </w:tcPr>
          <w:p w14:paraId="539C67C0"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9" w:type="dxa"/>
            <w:shd w:val="clear" w:color="auto" w:fill="FFC000"/>
            <w:vAlign w:val="center"/>
            <w:hideMark/>
          </w:tcPr>
          <w:p w14:paraId="3244FFF3"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c>
          <w:tcPr>
            <w:tcW w:w="1378" w:type="dxa"/>
            <w:shd w:val="clear" w:color="auto" w:fill="FFC000"/>
            <w:vAlign w:val="center"/>
            <w:hideMark/>
          </w:tcPr>
          <w:p w14:paraId="1C1BE6E5"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r>
      <w:tr w:rsidR="00C53225" w:rsidRPr="006F59A6" w14:paraId="336CB657" w14:textId="77777777" w:rsidTr="00566DBF">
        <w:trPr>
          <w:trHeight w:val="20"/>
        </w:trPr>
        <w:tc>
          <w:tcPr>
            <w:tcW w:w="2268" w:type="dxa"/>
            <w:shd w:val="clear" w:color="auto" w:fill="auto"/>
            <w:hideMark/>
          </w:tcPr>
          <w:p w14:paraId="3BECEBC2" w14:textId="77777777" w:rsidR="00C53225" w:rsidRPr="006F59A6" w:rsidRDefault="00C53225" w:rsidP="0004358B">
            <w:pPr>
              <w:spacing w:before="80" w:after="60"/>
              <w:rPr>
                <w:b/>
                <w:bCs/>
                <w:sz w:val="18"/>
                <w:szCs w:val="18"/>
              </w:rPr>
            </w:pPr>
            <w:r w:rsidRPr="006F59A6">
              <w:rPr>
                <w:b/>
                <w:bCs/>
                <w:sz w:val="18"/>
                <w:szCs w:val="18"/>
              </w:rPr>
              <w:t>Unlikely</w:t>
            </w:r>
          </w:p>
          <w:p w14:paraId="0B1D3EBB" w14:textId="77777777" w:rsidR="00C53225" w:rsidRPr="006F59A6" w:rsidRDefault="00C53225" w:rsidP="0004358B">
            <w:pPr>
              <w:spacing w:before="80" w:after="60"/>
              <w:rPr>
                <w:sz w:val="18"/>
                <w:szCs w:val="18"/>
              </w:rPr>
            </w:pPr>
            <w:r w:rsidRPr="006F59A6">
              <w:rPr>
                <w:sz w:val="18"/>
                <w:szCs w:val="18"/>
              </w:rPr>
              <w:t>(Once in 3 years)</w:t>
            </w:r>
          </w:p>
          <w:p w14:paraId="7BFC49D2" w14:textId="77777777" w:rsidR="00C53225" w:rsidRPr="006F59A6" w:rsidRDefault="00C53225" w:rsidP="0004358B">
            <w:pPr>
              <w:spacing w:before="80" w:after="60"/>
              <w:rPr>
                <w:b/>
                <w:bCs/>
                <w:sz w:val="18"/>
                <w:szCs w:val="18"/>
              </w:rPr>
            </w:pPr>
            <w:r w:rsidRPr="006F59A6">
              <w:rPr>
                <w:sz w:val="18"/>
                <w:szCs w:val="18"/>
              </w:rPr>
              <w:t>(30%)</w:t>
            </w:r>
          </w:p>
        </w:tc>
        <w:tc>
          <w:tcPr>
            <w:tcW w:w="1378" w:type="dxa"/>
            <w:shd w:val="clear" w:color="auto" w:fill="92D050"/>
            <w:vAlign w:val="center"/>
            <w:hideMark/>
          </w:tcPr>
          <w:p w14:paraId="18A8FED8"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81" w:type="dxa"/>
            <w:shd w:val="clear" w:color="auto" w:fill="92D050"/>
            <w:vAlign w:val="center"/>
            <w:hideMark/>
          </w:tcPr>
          <w:p w14:paraId="26455A32"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77" w:type="dxa"/>
            <w:shd w:val="clear" w:color="auto" w:fill="FFFF00"/>
            <w:vAlign w:val="center"/>
            <w:hideMark/>
          </w:tcPr>
          <w:p w14:paraId="4DA1ECB5"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9" w:type="dxa"/>
            <w:shd w:val="clear" w:color="auto" w:fill="FFFF00"/>
            <w:vAlign w:val="center"/>
            <w:hideMark/>
          </w:tcPr>
          <w:p w14:paraId="5802AC9A"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8" w:type="dxa"/>
            <w:shd w:val="clear" w:color="auto" w:fill="FFC000"/>
            <w:vAlign w:val="center"/>
            <w:hideMark/>
          </w:tcPr>
          <w:p w14:paraId="79A46968"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High</w:t>
            </w:r>
          </w:p>
        </w:tc>
      </w:tr>
      <w:tr w:rsidR="00C53225" w:rsidRPr="006F59A6" w14:paraId="243381EB" w14:textId="77777777" w:rsidTr="00566DBF">
        <w:trPr>
          <w:trHeight w:val="20"/>
        </w:trPr>
        <w:tc>
          <w:tcPr>
            <w:tcW w:w="2268" w:type="dxa"/>
            <w:shd w:val="clear" w:color="auto" w:fill="auto"/>
            <w:hideMark/>
          </w:tcPr>
          <w:p w14:paraId="6C9BEF4F" w14:textId="77777777" w:rsidR="00C53225" w:rsidRPr="006F59A6" w:rsidRDefault="00C53225" w:rsidP="0004358B">
            <w:pPr>
              <w:spacing w:before="80" w:after="60"/>
              <w:rPr>
                <w:b/>
                <w:bCs/>
                <w:sz w:val="18"/>
                <w:szCs w:val="18"/>
              </w:rPr>
            </w:pPr>
            <w:r w:rsidRPr="006F59A6">
              <w:rPr>
                <w:b/>
                <w:bCs/>
                <w:sz w:val="18"/>
                <w:szCs w:val="18"/>
              </w:rPr>
              <w:t>Rare</w:t>
            </w:r>
          </w:p>
          <w:p w14:paraId="3538A362" w14:textId="77777777" w:rsidR="00C53225" w:rsidRPr="006F59A6" w:rsidRDefault="00C53225" w:rsidP="0004358B">
            <w:pPr>
              <w:spacing w:before="80" w:after="60"/>
              <w:rPr>
                <w:sz w:val="18"/>
                <w:szCs w:val="18"/>
              </w:rPr>
            </w:pPr>
            <w:r w:rsidRPr="006F59A6">
              <w:rPr>
                <w:sz w:val="18"/>
                <w:szCs w:val="18"/>
              </w:rPr>
              <w:t>(Once in over 3 years)</w:t>
            </w:r>
          </w:p>
          <w:p w14:paraId="58E0BFD7" w14:textId="77777777" w:rsidR="00C53225" w:rsidRPr="006F59A6" w:rsidRDefault="00C53225" w:rsidP="0004358B">
            <w:pPr>
              <w:spacing w:before="80" w:after="60"/>
              <w:rPr>
                <w:b/>
                <w:bCs/>
                <w:sz w:val="18"/>
                <w:szCs w:val="18"/>
              </w:rPr>
            </w:pPr>
            <w:r w:rsidRPr="006F59A6">
              <w:rPr>
                <w:sz w:val="18"/>
                <w:szCs w:val="18"/>
              </w:rPr>
              <w:t>(10%)</w:t>
            </w:r>
          </w:p>
        </w:tc>
        <w:tc>
          <w:tcPr>
            <w:tcW w:w="1378" w:type="dxa"/>
            <w:shd w:val="clear" w:color="auto" w:fill="92D050"/>
            <w:vAlign w:val="center"/>
            <w:hideMark/>
          </w:tcPr>
          <w:p w14:paraId="412C81C2"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81" w:type="dxa"/>
            <w:shd w:val="clear" w:color="auto" w:fill="92D050"/>
            <w:vAlign w:val="center"/>
            <w:hideMark/>
          </w:tcPr>
          <w:p w14:paraId="637AC378"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77" w:type="dxa"/>
            <w:shd w:val="clear" w:color="auto" w:fill="92D050"/>
            <w:vAlign w:val="center"/>
            <w:hideMark/>
          </w:tcPr>
          <w:p w14:paraId="77A9C42F"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Low</w:t>
            </w:r>
          </w:p>
        </w:tc>
        <w:tc>
          <w:tcPr>
            <w:tcW w:w="1379" w:type="dxa"/>
            <w:shd w:val="clear" w:color="auto" w:fill="FFFF00"/>
            <w:vAlign w:val="center"/>
            <w:hideMark/>
          </w:tcPr>
          <w:p w14:paraId="46D82700"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c>
          <w:tcPr>
            <w:tcW w:w="1378" w:type="dxa"/>
            <w:shd w:val="clear" w:color="auto" w:fill="FFFF00"/>
            <w:vAlign w:val="center"/>
            <w:hideMark/>
          </w:tcPr>
          <w:p w14:paraId="6D5D0270" w14:textId="77777777" w:rsidR="00C53225" w:rsidRPr="00566DBF" w:rsidRDefault="00C53225" w:rsidP="0004358B">
            <w:pPr>
              <w:spacing w:before="80" w:after="60"/>
              <w:rPr>
                <w:color w:val="000000" w:themeColor="text1"/>
                <w:sz w:val="18"/>
                <w:szCs w:val="18"/>
              </w:rPr>
            </w:pPr>
            <w:r w:rsidRPr="00566DBF">
              <w:rPr>
                <w:color w:val="000000" w:themeColor="text1"/>
                <w:sz w:val="18"/>
                <w:szCs w:val="18"/>
              </w:rPr>
              <w:t>Medium</w:t>
            </w:r>
          </w:p>
        </w:tc>
      </w:tr>
    </w:tbl>
    <w:p w14:paraId="7C30C17B" w14:textId="757B842A" w:rsidR="00C53225" w:rsidRDefault="00C53225" w:rsidP="00266BDA">
      <w:pPr>
        <w:pStyle w:val="DHHSbody"/>
        <w:keepNext/>
        <w:rPr>
          <w:b/>
          <w:lang w:val="en"/>
        </w:rPr>
      </w:pPr>
    </w:p>
    <w:p w14:paraId="4CF3B95B" w14:textId="5776070F" w:rsidR="00B4635D" w:rsidRDefault="6B0B2579" w:rsidP="004D62F9">
      <w:pPr>
        <w:pStyle w:val="DHHSbody"/>
        <w:rPr>
          <w:lang w:val="en"/>
        </w:rPr>
      </w:pPr>
      <w:r w:rsidRPr="3B23E3B6">
        <w:rPr>
          <w:lang w:val="en"/>
        </w:rPr>
        <w:t xml:space="preserve">When assessing risk, the </w:t>
      </w:r>
      <w:r w:rsidR="002A6E11">
        <w:rPr>
          <w:lang w:val="en"/>
        </w:rPr>
        <w:t>department</w:t>
      </w:r>
      <w:r w:rsidRPr="3B23E3B6">
        <w:rPr>
          <w:lang w:val="en"/>
        </w:rPr>
        <w:t xml:space="preserve"> seeks to use objective measures and data to determine a final risk rating and to determine a suitable approach. Importantly, the </w:t>
      </w:r>
      <w:r w:rsidR="002A6E11">
        <w:rPr>
          <w:lang w:val="en"/>
        </w:rPr>
        <w:t>department</w:t>
      </w:r>
      <w:r w:rsidRPr="3B23E3B6">
        <w:rPr>
          <w:lang w:val="en"/>
        </w:rPr>
        <w:t xml:space="preserve"> considers each risk or issue on its merits, </w:t>
      </w:r>
      <w:r w:rsidR="7BCAACFE" w:rsidRPr="3B23E3B6">
        <w:rPr>
          <w:lang w:val="en"/>
        </w:rPr>
        <w:t xml:space="preserve">noting </w:t>
      </w:r>
      <w:r w:rsidRPr="3B23E3B6">
        <w:rPr>
          <w:lang w:val="en"/>
        </w:rPr>
        <w:t>the unique circumstances of each issue.</w:t>
      </w:r>
      <w:r w:rsidR="3540FF2B" w:rsidRPr="3B23E3B6">
        <w:rPr>
          <w:lang w:val="en"/>
        </w:rPr>
        <w:t xml:space="preserve"> </w:t>
      </w:r>
      <w:r w:rsidR="0687D55B" w:rsidRPr="3B23E3B6">
        <w:rPr>
          <w:lang w:val="en"/>
        </w:rPr>
        <w:t xml:space="preserve">The </w:t>
      </w:r>
      <w:r w:rsidR="211AE100" w:rsidRPr="3B23E3B6">
        <w:rPr>
          <w:lang w:val="en"/>
        </w:rPr>
        <w:t>key</w:t>
      </w:r>
      <w:r w:rsidR="59539AA8" w:rsidRPr="3B23E3B6">
        <w:rPr>
          <w:lang w:val="en"/>
        </w:rPr>
        <w:t xml:space="preserve"> risk attributes that are considered during a risk assessment</w:t>
      </w:r>
      <w:r w:rsidR="0687D55B" w:rsidRPr="3B23E3B6">
        <w:rPr>
          <w:lang w:val="en"/>
        </w:rPr>
        <w:t xml:space="preserve"> include the:</w:t>
      </w:r>
    </w:p>
    <w:p w14:paraId="3D1ABCB0" w14:textId="4F56FD4B" w:rsidR="00B4635D" w:rsidRDefault="002A4E1A" w:rsidP="00E67E1B">
      <w:pPr>
        <w:pStyle w:val="DHHSbullet1"/>
        <w:rPr>
          <w:lang w:val="en"/>
        </w:rPr>
      </w:pPr>
      <w:r>
        <w:rPr>
          <w:lang w:val="en"/>
        </w:rPr>
        <w:t xml:space="preserve">underlying </w:t>
      </w:r>
      <w:r w:rsidR="00B4635D">
        <w:rPr>
          <w:lang w:val="en"/>
        </w:rPr>
        <w:t>risk associated with</w:t>
      </w:r>
      <w:r>
        <w:rPr>
          <w:lang w:val="en"/>
        </w:rPr>
        <w:t xml:space="preserve"> the </w:t>
      </w:r>
      <w:r w:rsidR="008C5090">
        <w:rPr>
          <w:lang w:val="en"/>
        </w:rPr>
        <w:t>medicine</w:t>
      </w:r>
      <w:r>
        <w:rPr>
          <w:lang w:val="en"/>
        </w:rPr>
        <w:t xml:space="preserve"> or poison in question</w:t>
      </w:r>
      <w:r w:rsidR="001E3943">
        <w:rPr>
          <w:lang w:val="en"/>
        </w:rPr>
        <w:t>;</w:t>
      </w:r>
    </w:p>
    <w:p w14:paraId="45C5839B" w14:textId="1F46C23D" w:rsidR="002A4E1A" w:rsidRDefault="002A4E1A" w:rsidP="00E67E1B">
      <w:pPr>
        <w:pStyle w:val="DHHSbullet1"/>
        <w:rPr>
          <w:lang w:val="en"/>
        </w:rPr>
      </w:pPr>
      <w:r>
        <w:rPr>
          <w:lang w:val="en"/>
        </w:rPr>
        <w:t>number of individuals</w:t>
      </w:r>
      <w:r w:rsidR="00E67E1B">
        <w:rPr>
          <w:lang w:val="en"/>
        </w:rPr>
        <w:t xml:space="preserve"> </w:t>
      </w:r>
      <w:r>
        <w:rPr>
          <w:lang w:val="en"/>
        </w:rPr>
        <w:t>involved or potentially impacted (</w:t>
      </w:r>
      <w:r w:rsidR="00D474E0">
        <w:rPr>
          <w:lang w:val="en"/>
        </w:rPr>
        <w:t>i.e.,</w:t>
      </w:r>
      <w:r>
        <w:rPr>
          <w:lang w:val="en"/>
        </w:rPr>
        <w:t xml:space="preserve"> does the issue relate to trafficking </w:t>
      </w:r>
      <w:r w:rsidR="00E949A0">
        <w:rPr>
          <w:lang w:val="en"/>
        </w:rPr>
        <w:t xml:space="preserve">a drug of dependence </w:t>
      </w:r>
      <w:r>
        <w:rPr>
          <w:lang w:val="en"/>
        </w:rPr>
        <w:t xml:space="preserve">where </w:t>
      </w:r>
      <w:r w:rsidR="0041638E">
        <w:rPr>
          <w:lang w:val="en"/>
        </w:rPr>
        <w:t xml:space="preserve">there are </w:t>
      </w:r>
      <w:r>
        <w:rPr>
          <w:lang w:val="en"/>
        </w:rPr>
        <w:t xml:space="preserve">risks to large numbers of individuals </w:t>
      </w:r>
      <w:r w:rsidR="00266BDA">
        <w:rPr>
          <w:lang w:val="en"/>
        </w:rPr>
        <w:t xml:space="preserve">versus self-administration </w:t>
      </w:r>
      <w:r w:rsidR="00E949A0">
        <w:rPr>
          <w:lang w:val="en"/>
        </w:rPr>
        <w:t>of a non-drug of dependence by a</w:t>
      </w:r>
      <w:r w:rsidR="00266BDA">
        <w:rPr>
          <w:lang w:val="en"/>
        </w:rPr>
        <w:t xml:space="preserve"> practitioner</w:t>
      </w:r>
      <w:r w:rsidR="005B009B">
        <w:rPr>
          <w:lang w:val="en"/>
        </w:rPr>
        <w:t>)</w:t>
      </w:r>
      <w:r w:rsidR="001E3943">
        <w:rPr>
          <w:lang w:val="en"/>
        </w:rPr>
        <w:t>; and,</w:t>
      </w:r>
    </w:p>
    <w:p w14:paraId="455698B7" w14:textId="374E2377" w:rsidR="009E1736" w:rsidRDefault="28AC57F3" w:rsidP="00E67E1B">
      <w:pPr>
        <w:pStyle w:val="DHHSbullet1"/>
        <w:rPr>
          <w:lang w:val="en"/>
        </w:rPr>
      </w:pPr>
      <w:r w:rsidRPr="41FD14AD">
        <w:rPr>
          <w:lang w:val="en"/>
        </w:rPr>
        <w:t xml:space="preserve">extent to which the issue may impact on the overall integrity of the legislative framework, including the reputation of the </w:t>
      </w:r>
      <w:r w:rsidR="002A6E11">
        <w:rPr>
          <w:lang w:val="en"/>
        </w:rPr>
        <w:t>department</w:t>
      </w:r>
      <w:r w:rsidRPr="41FD14AD">
        <w:rPr>
          <w:lang w:val="en"/>
        </w:rPr>
        <w:t xml:space="preserve"> and the </w:t>
      </w:r>
      <w:r w:rsidR="3BE165AA" w:rsidRPr="41FD14AD">
        <w:rPr>
          <w:lang w:val="en"/>
        </w:rPr>
        <w:t>d</w:t>
      </w:r>
      <w:r w:rsidRPr="41FD14AD">
        <w:rPr>
          <w:lang w:val="en"/>
        </w:rPr>
        <w:t>epartment</w:t>
      </w:r>
      <w:r w:rsidR="003245E1" w:rsidRPr="41FD14AD">
        <w:rPr>
          <w:lang w:val="en"/>
        </w:rPr>
        <w:t xml:space="preserve"> as an effective regulator</w:t>
      </w:r>
      <w:r w:rsidR="47ED16AA" w:rsidRPr="41FD14AD">
        <w:rPr>
          <w:lang w:val="en"/>
        </w:rPr>
        <w:t>.</w:t>
      </w:r>
    </w:p>
    <w:p w14:paraId="262D824B" w14:textId="3D3A0862" w:rsidR="00C711A0" w:rsidRDefault="00C711A0" w:rsidP="00C711A0">
      <w:pPr>
        <w:pStyle w:val="DHHSbody"/>
        <w:rPr>
          <w:lang w:val="en"/>
        </w:rPr>
      </w:pPr>
      <w:r>
        <w:rPr>
          <w:lang w:val="en"/>
        </w:rPr>
        <w:t xml:space="preserve">In addition to the risk or harm identified, the </w:t>
      </w:r>
      <w:r w:rsidR="002A6E11">
        <w:rPr>
          <w:lang w:val="en"/>
        </w:rPr>
        <w:t>department</w:t>
      </w:r>
      <w:r>
        <w:rPr>
          <w:lang w:val="en"/>
        </w:rPr>
        <w:t xml:space="preserve"> also take</w:t>
      </w:r>
      <w:r w:rsidR="00E67E1B">
        <w:rPr>
          <w:lang w:val="en"/>
        </w:rPr>
        <w:t>s</w:t>
      </w:r>
      <w:r>
        <w:rPr>
          <w:lang w:val="en"/>
        </w:rPr>
        <w:t xml:space="preserve"> into account the </w:t>
      </w:r>
      <w:r w:rsidRPr="00C711A0">
        <w:rPr>
          <w:lang w:val="en"/>
        </w:rPr>
        <w:t>culpability</w:t>
      </w:r>
      <w:r>
        <w:rPr>
          <w:lang w:val="en"/>
        </w:rPr>
        <w:t xml:space="preserve"> of the practitioner(s). </w:t>
      </w:r>
      <w:r w:rsidRPr="00C711A0">
        <w:rPr>
          <w:lang w:val="en"/>
        </w:rPr>
        <w:t xml:space="preserve">Culpability considers the </w:t>
      </w:r>
      <w:r w:rsidR="007B167E">
        <w:rPr>
          <w:lang w:val="en"/>
        </w:rPr>
        <w:t>practitioner</w:t>
      </w:r>
      <w:r w:rsidR="00E67E1B">
        <w:rPr>
          <w:lang w:val="en"/>
        </w:rPr>
        <w:t>’</w:t>
      </w:r>
      <w:r w:rsidR="007B167E">
        <w:rPr>
          <w:lang w:val="en"/>
        </w:rPr>
        <w:t>s</w:t>
      </w:r>
      <w:r>
        <w:rPr>
          <w:lang w:val="en"/>
        </w:rPr>
        <w:t xml:space="preserve"> </w:t>
      </w:r>
      <w:r w:rsidRPr="00C711A0">
        <w:rPr>
          <w:lang w:val="en"/>
        </w:rPr>
        <w:t xml:space="preserve">history, how long the incident or non-compliance </w:t>
      </w:r>
      <w:r w:rsidRPr="00C711A0">
        <w:rPr>
          <w:lang w:val="en"/>
        </w:rPr>
        <w:lastRenderedPageBreak/>
        <w:t>continued, whether the harm is still occurring or has been</w:t>
      </w:r>
      <w:r>
        <w:rPr>
          <w:lang w:val="en"/>
        </w:rPr>
        <w:t xml:space="preserve"> </w:t>
      </w:r>
      <w:r w:rsidRPr="00C711A0">
        <w:rPr>
          <w:lang w:val="en"/>
        </w:rPr>
        <w:t>reduced, whether the risk was foreseeable and whether the act or omission was intentional.</w:t>
      </w:r>
      <w:r w:rsidR="007B167E">
        <w:rPr>
          <w:lang w:val="en"/>
        </w:rPr>
        <w:t xml:space="preserve"> Other factors considered include the:</w:t>
      </w:r>
    </w:p>
    <w:p w14:paraId="3AEC3A9B" w14:textId="7745D5D3" w:rsidR="00C711A0" w:rsidRPr="00F37F38" w:rsidRDefault="00C711A0" w:rsidP="00E67E1B">
      <w:pPr>
        <w:pStyle w:val="DHHSbullet1"/>
        <w:rPr>
          <w:lang w:val="en"/>
        </w:rPr>
      </w:pPr>
      <w:r>
        <w:rPr>
          <w:lang w:val="en"/>
        </w:rPr>
        <w:t>likely compliance posture of the individual or individuals involved (</w:t>
      </w:r>
      <w:r w:rsidR="00D474E0">
        <w:rPr>
          <w:lang w:val="en"/>
        </w:rPr>
        <w:t>i.e.,</w:t>
      </w:r>
      <w:r>
        <w:rPr>
          <w:lang w:val="en"/>
        </w:rPr>
        <w:t xml:space="preserve"> was there a willful or deliberate disregard of </w:t>
      </w:r>
      <w:r w:rsidRPr="00F37F38">
        <w:rPr>
          <w:lang w:val="en"/>
        </w:rPr>
        <w:t>the requirements or was the contravention inadvertent)</w:t>
      </w:r>
      <w:r w:rsidR="001E3943">
        <w:rPr>
          <w:lang w:val="en"/>
        </w:rPr>
        <w:t>; and,</w:t>
      </w:r>
    </w:p>
    <w:p w14:paraId="13913177" w14:textId="0AD77F83" w:rsidR="007B167E" w:rsidRPr="00F37F38" w:rsidRDefault="007B167E" w:rsidP="00E67E1B">
      <w:pPr>
        <w:pStyle w:val="DHHSbullet1"/>
        <w:rPr>
          <w:lang w:val="en"/>
        </w:rPr>
      </w:pPr>
      <w:r w:rsidRPr="00F37F38">
        <w:rPr>
          <w:lang w:val="en"/>
        </w:rPr>
        <w:t xml:space="preserve">nature of the conduct (for example, was it </w:t>
      </w:r>
      <w:r w:rsidR="001A2FB9">
        <w:rPr>
          <w:lang w:val="en"/>
        </w:rPr>
        <w:t>because</w:t>
      </w:r>
      <w:r w:rsidRPr="00F37F38">
        <w:rPr>
          <w:lang w:val="en"/>
        </w:rPr>
        <w:t xml:space="preserve"> of carelessness or some other factor (for example, illness)</w:t>
      </w:r>
      <w:r w:rsidR="00E67E1B" w:rsidRPr="00F37F38">
        <w:rPr>
          <w:lang w:val="en"/>
        </w:rPr>
        <w:t>)</w:t>
      </w:r>
      <w:r w:rsidRPr="00F37F38">
        <w:rPr>
          <w:lang w:val="en"/>
        </w:rPr>
        <w:t>.</w:t>
      </w:r>
    </w:p>
    <w:p w14:paraId="44235DF3" w14:textId="6BEA195C" w:rsidR="00D4541F" w:rsidRPr="00F37F38" w:rsidRDefault="6B0B2579" w:rsidP="004D62F9">
      <w:pPr>
        <w:pStyle w:val="DHHSbody"/>
        <w:rPr>
          <w:lang w:val="en"/>
        </w:rPr>
      </w:pPr>
      <w:r w:rsidRPr="41FD14AD">
        <w:rPr>
          <w:lang w:val="en"/>
        </w:rPr>
        <w:t xml:space="preserve">The policy </w:t>
      </w:r>
      <w:r w:rsidR="7F7D3ED8" w:rsidRPr="41FD14AD">
        <w:rPr>
          <w:lang w:val="en"/>
        </w:rPr>
        <w:t>provides a mechanism for review</w:t>
      </w:r>
      <w:r w:rsidR="5FD715C4" w:rsidRPr="41FD14AD">
        <w:rPr>
          <w:lang w:val="en"/>
        </w:rPr>
        <w:t xml:space="preserve"> when</w:t>
      </w:r>
      <w:r w:rsidRPr="41FD14AD">
        <w:rPr>
          <w:lang w:val="en"/>
        </w:rPr>
        <w:t xml:space="preserve"> determining a risk rating and undertaking an action</w:t>
      </w:r>
      <w:r w:rsidR="6D6DF7A8" w:rsidRPr="41FD14AD">
        <w:rPr>
          <w:lang w:val="en"/>
        </w:rPr>
        <w:t xml:space="preserve"> (see section 8)</w:t>
      </w:r>
      <w:r w:rsidRPr="41FD14AD">
        <w:rPr>
          <w:lang w:val="en"/>
        </w:rPr>
        <w:t>. This helps to ensure that an evidence-based</w:t>
      </w:r>
      <w:r w:rsidR="5A4B985A" w:rsidRPr="41FD14AD">
        <w:rPr>
          <w:lang w:val="en"/>
        </w:rPr>
        <w:t xml:space="preserve"> </w:t>
      </w:r>
      <w:r w:rsidRPr="41FD14AD">
        <w:rPr>
          <w:lang w:val="en"/>
        </w:rPr>
        <w:t>approach</w:t>
      </w:r>
      <w:r w:rsidR="6D6DF7A8" w:rsidRPr="41FD14AD">
        <w:rPr>
          <w:lang w:val="en"/>
        </w:rPr>
        <w:t xml:space="preserve"> </w:t>
      </w:r>
      <w:r w:rsidR="4AE5CCD1" w:rsidRPr="41FD14AD">
        <w:rPr>
          <w:lang w:val="en"/>
        </w:rPr>
        <w:t xml:space="preserve">is followed during </w:t>
      </w:r>
      <w:r w:rsidR="769DBEA9" w:rsidRPr="41FD14AD">
        <w:rPr>
          <w:lang w:val="en"/>
        </w:rPr>
        <w:t xml:space="preserve">the </w:t>
      </w:r>
      <w:r w:rsidR="6D6DF7A8" w:rsidRPr="41FD14AD">
        <w:rPr>
          <w:lang w:val="en"/>
        </w:rPr>
        <w:t>decision</w:t>
      </w:r>
      <w:r w:rsidR="00562741" w:rsidRPr="41FD14AD">
        <w:rPr>
          <w:lang w:val="en"/>
        </w:rPr>
        <w:t>-</w:t>
      </w:r>
      <w:r w:rsidR="6D6DF7A8" w:rsidRPr="41FD14AD">
        <w:rPr>
          <w:lang w:val="en"/>
        </w:rPr>
        <w:t xml:space="preserve">making </w:t>
      </w:r>
      <w:r w:rsidR="4AE5CCD1" w:rsidRPr="41FD14AD">
        <w:rPr>
          <w:lang w:val="en"/>
        </w:rPr>
        <w:t>process</w:t>
      </w:r>
      <w:r w:rsidRPr="41FD14AD">
        <w:rPr>
          <w:lang w:val="en"/>
        </w:rPr>
        <w:t>. This approach enable</w:t>
      </w:r>
      <w:r w:rsidR="4368EBD7" w:rsidRPr="41FD14AD">
        <w:rPr>
          <w:lang w:val="en"/>
        </w:rPr>
        <w:t>s</w:t>
      </w:r>
      <w:r w:rsidRPr="41FD14AD">
        <w:rPr>
          <w:lang w:val="en"/>
        </w:rPr>
        <w:t xml:space="preserve"> the </w:t>
      </w:r>
      <w:r w:rsidR="002A6E11">
        <w:rPr>
          <w:lang w:val="en"/>
        </w:rPr>
        <w:t>department</w:t>
      </w:r>
      <w:r w:rsidRPr="41FD14AD">
        <w:rPr>
          <w:lang w:val="en"/>
        </w:rPr>
        <w:t xml:space="preserve"> to have timely, open and transparent discussions with practitioners and other sector stakeholders, c</w:t>
      </w:r>
      <w:r w:rsidR="631214C5" w:rsidRPr="41FD14AD">
        <w:rPr>
          <w:lang w:val="en"/>
        </w:rPr>
        <w:t>o-regulator</w:t>
      </w:r>
      <w:r w:rsidR="4368EBD7" w:rsidRPr="41FD14AD">
        <w:rPr>
          <w:lang w:val="en"/>
        </w:rPr>
        <w:t>s</w:t>
      </w:r>
      <w:r w:rsidR="631214C5" w:rsidRPr="41FD14AD">
        <w:rPr>
          <w:lang w:val="en"/>
        </w:rPr>
        <w:t xml:space="preserve"> and policy makers in relation to compliance and enforcement </w:t>
      </w:r>
      <w:r w:rsidR="6D6DF7A8" w:rsidRPr="41FD14AD">
        <w:rPr>
          <w:lang w:val="en"/>
        </w:rPr>
        <w:t xml:space="preserve">strategies and </w:t>
      </w:r>
      <w:r w:rsidR="631214C5" w:rsidRPr="41FD14AD">
        <w:rPr>
          <w:lang w:val="en"/>
        </w:rPr>
        <w:t xml:space="preserve">decisions. </w:t>
      </w:r>
    </w:p>
    <w:p w14:paraId="1BD80434" w14:textId="77777777" w:rsidR="00513D43" w:rsidRDefault="00513D43" w:rsidP="004D62F9">
      <w:pPr>
        <w:pStyle w:val="DHHSbody"/>
        <w:rPr>
          <w:lang w:val="en"/>
        </w:rPr>
      </w:pPr>
      <w:r w:rsidRPr="00F37F38">
        <w:rPr>
          <w:lang w:val="en"/>
        </w:rPr>
        <w:t>While every risk is assessed</w:t>
      </w:r>
      <w:r>
        <w:rPr>
          <w:lang w:val="en"/>
        </w:rPr>
        <w:t xml:space="preserve"> on its merits, the following </w:t>
      </w:r>
      <w:r w:rsidR="00B54E14">
        <w:rPr>
          <w:lang w:val="en"/>
        </w:rPr>
        <w:t>table</w:t>
      </w:r>
      <w:r>
        <w:rPr>
          <w:lang w:val="en"/>
        </w:rPr>
        <w:t xml:space="preserve"> outlines how </w:t>
      </w:r>
      <w:r w:rsidR="00670FB3">
        <w:rPr>
          <w:lang w:val="en"/>
        </w:rPr>
        <w:t xml:space="preserve">common risk attributes are assessed against the risk framework. </w:t>
      </w:r>
    </w:p>
    <w:p w14:paraId="4925F8F6" w14:textId="77777777" w:rsidR="00B54E14" w:rsidRDefault="00FC7891" w:rsidP="00670FB3">
      <w:pPr>
        <w:pStyle w:val="DHHSbody"/>
        <w:keepNext/>
        <w:rPr>
          <w:b/>
          <w:lang w:val="en"/>
        </w:rPr>
      </w:pPr>
      <w:r>
        <w:rPr>
          <w:b/>
          <w:lang w:val="en"/>
        </w:rPr>
        <w:t xml:space="preserve">Table </w:t>
      </w:r>
      <w:r w:rsidR="00E95B2B">
        <w:rPr>
          <w:b/>
          <w:lang w:val="en"/>
        </w:rPr>
        <w:t>3</w:t>
      </w:r>
      <w:r w:rsidR="00B54E14" w:rsidRPr="00B54E14">
        <w:rPr>
          <w:b/>
          <w:lang w:val="en"/>
        </w:rPr>
        <w:t>: Risk attributes</w:t>
      </w:r>
      <w:r w:rsidR="00B54E14">
        <w:rPr>
          <w:b/>
          <w:lang w:val="en"/>
        </w:rPr>
        <w:t xml:space="preserve"> (examples only)</w:t>
      </w:r>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3065"/>
        <w:gridCol w:w="3055"/>
        <w:gridCol w:w="3060"/>
      </w:tblGrid>
      <w:tr w:rsidR="00B54E14" w:rsidRPr="00906B70" w14:paraId="2EDD07EA" w14:textId="77777777" w:rsidTr="00B54E14">
        <w:trPr>
          <w:tblHeader/>
        </w:trPr>
        <w:tc>
          <w:tcPr>
            <w:tcW w:w="3135" w:type="dxa"/>
            <w:shd w:val="clear" w:color="auto" w:fill="FFFFFF" w:themeFill="background1"/>
            <w:vAlign w:val="center"/>
          </w:tcPr>
          <w:p w14:paraId="50CCC670" w14:textId="77777777" w:rsidR="00B54E14" w:rsidRPr="00906B70" w:rsidRDefault="00B54E14" w:rsidP="007A3A76">
            <w:pPr>
              <w:pStyle w:val="DHHStablecolhead"/>
            </w:pPr>
            <w:r>
              <w:t>Low risks</w:t>
            </w:r>
          </w:p>
        </w:tc>
        <w:tc>
          <w:tcPr>
            <w:tcW w:w="3135" w:type="dxa"/>
            <w:shd w:val="clear" w:color="auto" w:fill="FFFFFF" w:themeFill="background1"/>
            <w:vAlign w:val="center"/>
          </w:tcPr>
          <w:p w14:paraId="5AE5A50E" w14:textId="77777777" w:rsidR="00B54E14" w:rsidRPr="00906B70" w:rsidRDefault="00B54E14" w:rsidP="007A3A76">
            <w:pPr>
              <w:pStyle w:val="DHHStablecolhead"/>
            </w:pPr>
            <w:r>
              <w:t>Medium risks</w:t>
            </w:r>
          </w:p>
        </w:tc>
        <w:tc>
          <w:tcPr>
            <w:tcW w:w="3136" w:type="dxa"/>
            <w:shd w:val="clear" w:color="auto" w:fill="FFFFFF" w:themeFill="background1"/>
          </w:tcPr>
          <w:p w14:paraId="36F9F948" w14:textId="77777777" w:rsidR="00B54E14" w:rsidRPr="00906B70" w:rsidRDefault="00B54E14" w:rsidP="00B54E14">
            <w:pPr>
              <w:pStyle w:val="DHHStablecolhead"/>
            </w:pPr>
            <w:r>
              <w:t>High/critical risks</w:t>
            </w:r>
          </w:p>
        </w:tc>
      </w:tr>
      <w:tr w:rsidR="00B54E14" w:rsidRPr="005F63D2" w14:paraId="21B78C1F" w14:textId="77777777" w:rsidTr="00B54E14">
        <w:tc>
          <w:tcPr>
            <w:tcW w:w="3135" w:type="dxa"/>
            <w:shd w:val="clear" w:color="auto" w:fill="auto"/>
          </w:tcPr>
          <w:p w14:paraId="70855DCB" w14:textId="77777777" w:rsidR="00B54E14" w:rsidRPr="00B54E14" w:rsidRDefault="00B54E14" w:rsidP="00C2057A">
            <w:pPr>
              <w:pStyle w:val="DHHStabletext"/>
              <w:numPr>
                <w:ilvl w:val="0"/>
                <w:numId w:val="6"/>
              </w:numPr>
              <w:rPr>
                <w:sz w:val="18"/>
              </w:rPr>
            </w:pPr>
            <w:r w:rsidRPr="00B54E14">
              <w:rPr>
                <w:sz w:val="18"/>
              </w:rPr>
              <w:t xml:space="preserve">Lower risk </w:t>
            </w:r>
            <w:r w:rsidR="00BB3C7E">
              <w:rPr>
                <w:sz w:val="18"/>
              </w:rPr>
              <w:t>medicine</w:t>
            </w:r>
          </w:p>
          <w:p w14:paraId="476C2104" w14:textId="77777777" w:rsidR="00812113" w:rsidRDefault="00812113" w:rsidP="00C2057A">
            <w:pPr>
              <w:pStyle w:val="DHHStabletext"/>
              <w:numPr>
                <w:ilvl w:val="0"/>
                <w:numId w:val="6"/>
              </w:numPr>
              <w:rPr>
                <w:sz w:val="18"/>
              </w:rPr>
            </w:pPr>
            <w:r>
              <w:rPr>
                <w:sz w:val="18"/>
              </w:rPr>
              <w:t>No or few people affected</w:t>
            </w:r>
          </w:p>
          <w:p w14:paraId="1A3B826D" w14:textId="77777777" w:rsidR="00B54E14" w:rsidRPr="00B54E14" w:rsidRDefault="00B54E14" w:rsidP="00C2057A">
            <w:pPr>
              <w:pStyle w:val="DHHStabletext"/>
              <w:numPr>
                <w:ilvl w:val="0"/>
                <w:numId w:val="6"/>
              </w:numPr>
              <w:rPr>
                <w:sz w:val="18"/>
              </w:rPr>
            </w:pPr>
            <w:r w:rsidRPr="00B54E14">
              <w:rPr>
                <w:sz w:val="18"/>
              </w:rPr>
              <w:t>Inadvertent contravention or non-compliance</w:t>
            </w:r>
          </w:p>
          <w:p w14:paraId="78075F9E" w14:textId="77777777" w:rsidR="00B54E14" w:rsidRPr="00B54E14" w:rsidRDefault="00FC7891" w:rsidP="00C2057A">
            <w:pPr>
              <w:pStyle w:val="DHHStabletext"/>
              <w:numPr>
                <w:ilvl w:val="0"/>
                <w:numId w:val="6"/>
              </w:numPr>
              <w:rPr>
                <w:sz w:val="18"/>
              </w:rPr>
            </w:pPr>
            <w:r>
              <w:rPr>
                <w:sz w:val="18"/>
              </w:rPr>
              <w:t>Non-repeat offender</w:t>
            </w:r>
          </w:p>
        </w:tc>
        <w:tc>
          <w:tcPr>
            <w:tcW w:w="3135" w:type="dxa"/>
            <w:shd w:val="clear" w:color="auto" w:fill="auto"/>
          </w:tcPr>
          <w:p w14:paraId="4DEC304D" w14:textId="77777777" w:rsidR="00812113" w:rsidRDefault="00812113" w:rsidP="00C2057A">
            <w:pPr>
              <w:pStyle w:val="DHHStabletext"/>
              <w:numPr>
                <w:ilvl w:val="0"/>
                <w:numId w:val="6"/>
              </w:numPr>
              <w:rPr>
                <w:sz w:val="18"/>
              </w:rPr>
            </w:pPr>
            <w:r>
              <w:rPr>
                <w:sz w:val="18"/>
              </w:rPr>
              <w:t xml:space="preserve">Medium risk </w:t>
            </w:r>
            <w:r w:rsidR="00BB3C7E">
              <w:rPr>
                <w:sz w:val="18"/>
              </w:rPr>
              <w:t>medicine</w:t>
            </w:r>
          </w:p>
          <w:p w14:paraId="7905D635" w14:textId="77777777" w:rsidR="00812113" w:rsidRDefault="00812113" w:rsidP="00C2057A">
            <w:pPr>
              <w:pStyle w:val="DHHStabletext"/>
              <w:numPr>
                <w:ilvl w:val="0"/>
                <w:numId w:val="6"/>
              </w:numPr>
              <w:rPr>
                <w:sz w:val="18"/>
              </w:rPr>
            </w:pPr>
            <w:r>
              <w:rPr>
                <w:sz w:val="18"/>
              </w:rPr>
              <w:t>Some people affected</w:t>
            </w:r>
          </w:p>
          <w:p w14:paraId="6FF7A018" w14:textId="031412EF" w:rsidR="00B54E14" w:rsidRDefault="00B54E14" w:rsidP="00C2057A">
            <w:pPr>
              <w:pStyle w:val="DHHStabletext"/>
              <w:numPr>
                <w:ilvl w:val="0"/>
                <w:numId w:val="6"/>
              </w:numPr>
              <w:rPr>
                <w:sz w:val="18"/>
              </w:rPr>
            </w:pPr>
            <w:r w:rsidRPr="00B54E14">
              <w:rPr>
                <w:sz w:val="18"/>
              </w:rPr>
              <w:t>Wilful and deliberate actions</w:t>
            </w:r>
            <w:r>
              <w:rPr>
                <w:sz w:val="18"/>
              </w:rPr>
              <w:t>, but with no actual or serious harm</w:t>
            </w:r>
          </w:p>
          <w:p w14:paraId="09C5A7D7" w14:textId="34270BD4" w:rsidR="00B54E14" w:rsidRPr="00B54E14" w:rsidRDefault="00B54E14" w:rsidP="00C2057A">
            <w:pPr>
              <w:pStyle w:val="DHHStabletext"/>
              <w:numPr>
                <w:ilvl w:val="0"/>
                <w:numId w:val="6"/>
              </w:numPr>
              <w:rPr>
                <w:sz w:val="18"/>
              </w:rPr>
            </w:pPr>
            <w:r>
              <w:rPr>
                <w:sz w:val="18"/>
              </w:rPr>
              <w:t>Consistent but minor non-compliance – shows disregard of the intent of the regulatory system</w:t>
            </w:r>
          </w:p>
        </w:tc>
        <w:tc>
          <w:tcPr>
            <w:tcW w:w="3136" w:type="dxa"/>
          </w:tcPr>
          <w:p w14:paraId="7EC4A4F7" w14:textId="1FF7AC58" w:rsidR="00812113" w:rsidRDefault="00812113" w:rsidP="00C2057A">
            <w:pPr>
              <w:pStyle w:val="DHHStabletext"/>
              <w:numPr>
                <w:ilvl w:val="0"/>
                <w:numId w:val="6"/>
              </w:numPr>
              <w:rPr>
                <w:sz w:val="18"/>
              </w:rPr>
            </w:pPr>
            <w:r>
              <w:rPr>
                <w:sz w:val="18"/>
              </w:rPr>
              <w:t>High</w:t>
            </w:r>
            <w:r w:rsidR="00C979F6">
              <w:rPr>
                <w:sz w:val="18"/>
              </w:rPr>
              <w:t>-</w:t>
            </w:r>
            <w:r>
              <w:rPr>
                <w:sz w:val="18"/>
              </w:rPr>
              <w:t xml:space="preserve">risk </w:t>
            </w:r>
            <w:r w:rsidR="00BB3C7E">
              <w:rPr>
                <w:sz w:val="18"/>
              </w:rPr>
              <w:t>medicine</w:t>
            </w:r>
          </w:p>
          <w:p w14:paraId="58F98AF8" w14:textId="77777777" w:rsidR="00B54E14" w:rsidRPr="00812113" w:rsidRDefault="00812113" w:rsidP="00C2057A">
            <w:pPr>
              <w:pStyle w:val="DHHStabletext"/>
              <w:numPr>
                <w:ilvl w:val="0"/>
                <w:numId w:val="6"/>
              </w:numPr>
              <w:rPr>
                <w:sz w:val="18"/>
              </w:rPr>
            </w:pPr>
            <w:r w:rsidRPr="00812113">
              <w:rPr>
                <w:sz w:val="18"/>
              </w:rPr>
              <w:t>Many people affected or potentially affected (</w:t>
            </w:r>
            <w:r w:rsidR="00C25E93">
              <w:rPr>
                <w:sz w:val="18"/>
              </w:rPr>
              <w:t>repeated dangerous prescribing</w:t>
            </w:r>
            <w:r>
              <w:rPr>
                <w:sz w:val="18"/>
              </w:rPr>
              <w:t>)</w:t>
            </w:r>
          </w:p>
          <w:p w14:paraId="78553404" w14:textId="77777777" w:rsidR="00B54E14" w:rsidRDefault="00B54E14" w:rsidP="00C2057A">
            <w:pPr>
              <w:pStyle w:val="DHHStabletext"/>
              <w:numPr>
                <w:ilvl w:val="0"/>
                <w:numId w:val="6"/>
              </w:numPr>
              <w:rPr>
                <w:sz w:val="18"/>
              </w:rPr>
            </w:pPr>
            <w:r>
              <w:rPr>
                <w:sz w:val="18"/>
              </w:rPr>
              <w:t>Undermines the integrity of the regulatory systems</w:t>
            </w:r>
          </w:p>
          <w:p w14:paraId="77B97B2E" w14:textId="77777777" w:rsidR="00FC7891" w:rsidRPr="00812113" w:rsidRDefault="00B54E14" w:rsidP="00C2057A">
            <w:pPr>
              <w:pStyle w:val="DHHStabletext"/>
              <w:numPr>
                <w:ilvl w:val="0"/>
                <w:numId w:val="6"/>
              </w:numPr>
              <w:rPr>
                <w:sz w:val="18"/>
              </w:rPr>
            </w:pPr>
            <w:r w:rsidRPr="00B54E14">
              <w:rPr>
                <w:sz w:val="18"/>
              </w:rPr>
              <w:t>Wilful and deliberate actions</w:t>
            </w:r>
            <w:r>
              <w:rPr>
                <w:sz w:val="18"/>
              </w:rPr>
              <w:t xml:space="preserve"> </w:t>
            </w:r>
            <w:r w:rsidR="00FC7891">
              <w:rPr>
                <w:sz w:val="18"/>
              </w:rPr>
              <w:t>(e.g. serial repeat offender)</w:t>
            </w:r>
          </w:p>
        </w:tc>
      </w:tr>
    </w:tbl>
    <w:p w14:paraId="07F5928B" w14:textId="77777777" w:rsidR="00CA60BE" w:rsidRPr="00334E82" w:rsidRDefault="00CA60BE" w:rsidP="00CA60BE">
      <w:pPr>
        <w:pStyle w:val="Heading1"/>
        <w:rPr>
          <w:rFonts w:eastAsia="Times"/>
        </w:rPr>
      </w:pPr>
      <w:bookmarkStart w:id="13" w:name="_Toc115884453"/>
      <w:r>
        <w:t>Our harms-based educational approach</w:t>
      </w:r>
      <w:bookmarkEnd w:id="13"/>
    </w:p>
    <w:p w14:paraId="73038A1A" w14:textId="21FE88A3" w:rsidR="00CA60BE" w:rsidRDefault="00CA60BE" w:rsidP="00CA60BE">
      <w:pPr>
        <w:pStyle w:val="DHHSbody"/>
        <w:keepNext/>
        <w:keepLines/>
      </w:pPr>
      <w:r>
        <w:t xml:space="preserve">The </w:t>
      </w:r>
      <w:r w:rsidR="002A6E11">
        <w:t>department</w:t>
      </w:r>
      <w:r>
        <w:t xml:space="preserve"> </w:t>
      </w:r>
      <w:r w:rsidRPr="41FD14AD">
        <w:rPr>
          <w:rFonts w:eastAsia="Arial" w:cs="Arial"/>
        </w:rPr>
        <w:t>aims to raise awareness and inform</w:t>
      </w:r>
      <w:r>
        <w:t xml:space="preserve"> by utilising modern methods to support medical practitioners to prescribe legally, safely and appropriately. Through the information available on SafeScript, targeted behavioural change interventions to encourage evidence-based prescribing practices can be delivered, such as bulk email communications to specific prescriber groups. These interventions have an educational focus to change future prescribing behaviour and are based on behavioural insights gathered from SafeScript data.</w:t>
      </w:r>
    </w:p>
    <w:p w14:paraId="69D5FCB5" w14:textId="77777777" w:rsidR="00CA60BE" w:rsidRDefault="00CA60BE" w:rsidP="00CA60BE">
      <w:pPr>
        <w:pStyle w:val="DHHSbody"/>
        <w:keepNext/>
        <w:keepLines/>
      </w:pPr>
      <w:r>
        <w:t xml:space="preserve">Harms-based educational interventions are used in response to issues observed on a population or an individual level and are used when the risk of harm occurring is relatively low compared to other interventions that involve enforcement activities. </w:t>
      </w:r>
    </w:p>
    <w:p w14:paraId="514C8FEF" w14:textId="0E14DAEF" w:rsidR="00CA60BE" w:rsidRDefault="00CA60BE" w:rsidP="00CA60BE">
      <w:pPr>
        <w:pStyle w:val="DHHSbody"/>
        <w:keepNext/>
        <w:keepLines/>
      </w:pPr>
      <w:r>
        <w:t>Table 4 shows the different types of tools that are available to</w:t>
      </w:r>
      <w:r w:rsidR="00D853B9">
        <w:t xml:space="preserve"> the </w:t>
      </w:r>
      <w:r w:rsidR="002A6E11">
        <w:t>department</w:t>
      </w:r>
      <w:r w:rsidR="008E462B">
        <w:t xml:space="preserve"> to</w:t>
      </w:r>
      <w:r>
        <w:t xml:space="preserve"> employ, depending on the harm that is being addressed and the extent of the harm (for example is it an issue occurring with one health practitioner or multiple practitioners). </w:t>
      </w:r>
    </w:p>
    <w:p w14:paraId="013A980C" w14:textId="77777777" w:rsidR="00CA60BE" w:rsidRDefault="00CA60BE" w:rsidP="00CA60BE">
      <w:pPr>
        <w:pStyle w:val="DHHStablecaption"/>
      </w:pPr>
      <w:r>
        <w:t>Table 4: Intervention types</w:t>
      </w:r>
    </w:p>
    <w:tbl>
      <w:tblPr>
        <w:tblStyle w:val="TableGrid"/>
        <w:tblW w:w="0" w:type="auto"/>
        <w:tblLook w:val="04A0" w:firstRow="1" w:lastRow="0" w:firstColumn="1" w:lastColumn="0" w:noHBand="0" w:noVBand="1"/>
      </w:tblPr>
      <w:tblGrid>
        <w:gridCol w:w="1599"/>
        <w:gridCol w:w="5722"/>
        <w:gridCol w:w="1859"/>
      </w:tblGrid>
      <w:tr w:rsidR="00CA60BE" w14:paraId="41772007" w14:textId="77777777" w:rsidTr="41FD14AD">
        <w:tc>
          <w:tcPr>
            <w:tcW w:w="1616" w:type="dxa"/>
          </w:tcPr>
          <w:p w14:paraId="3FE7BE21" w14:textId="77777777" w:rsidR="00CA60BE" w:rsidRDefault="00CA60BE" w:rsidP="003E2EEC">
            <w:pPr>
              <w:spacing w:line="270" w:lineRule="atLeast"/>
            </w:pPr>
            <w:r>
              <w:t>Intervention</w:t>
            </w:r>
          </w:p>
        </w:tc>
        <w:tc>
          <w:tcPr>
            <w:tcW w:w="5897" w:type="dxa"/>
          </w:tcPr>
          <w:p w14:paraId="3875D38D" w14:textId="77777777" w:rsidR="00CA60BE" w:rsidRDefault="00CA60BE" w:rsidP="003E2EEC">
            <w:pPr>
              <w:spacing w:line="270" w:lineRule="atLeast"/>
            </w:pPr>
            <w:r>
              <w:t>Action (s)</w:t>
            </w:r>
          </w:p>
        </w:tc>
        <w:tc>
          <w:tcPr>
            <w:tcW w:w="1893" w:type="dxa"/>
          </w:tcPr>
          <w:p w14:paraId="1B41AC2E" w14:textId="77777777" w:rsidR="00CA60BE" w:rsidRDefault="00CA60BE" w:rsidP="003E2EEC">
            <w:pPr>
              <w:spacing w:line="270" w:lineRule="atLeast"/>
            </w:pPr>
            <w:r>
              <w:t>Population size</w:t>
            </w:r>
          </w:p>
        </w:tc>
      </w:tr>
      <w:tr w:rsidR="00CA60BE" w14:paraId="032A30AA" w14:textId="77777777" w:rsidTr="41FD14AD">
        <w:tc>
          <w:tcPr>
            <w:tcW w:w="1616" w:type="dxa"/>
          </w:tcPr>
          <w:p w14:paraId="121472AE" w14:textId="77777777" w:rsidR="00CA60BE" w:rsidRDefault="00CA60BE" w:rsidP="003E2EEC">
            <w:pPr>
              <w:spacing w:line="270" w:lineRule="atLeast"/>
            </w:pPr>
            <w:r>
              <w:t>Passive</w:t>
            </w:r>
          </w:p>
        </w:tc>
        <w:tc>
          <w:tcPr>
            <w:tcW w:w="5897" w:type="dxa"/>
          </w:tcPr>
          <w:p w14:paraId="35803149" w14:textId="77777777" w:rsidR="00CA60BE" w:rsidRPr="000D5784" w:rsidRDefault="00CA60BE" w:rsidP="41FD14AD">
            <w:pPr>
              <w:spacing w:line="270" w:lineRule="atLeast"/>
              <w:rPr>
                <w:i/>
                <w:iCs/>
              </w:rPr>
            </w:pPr>
            <w:r w:rsidRPr="41FD14AD">
              <w:rPr>
                <w:i/>
                <w:iCs/>
              </w:rPr>
              <w:t xml:space="preserve">Dissemination of written educational materials: </w:t>
            </w:r>
          </w:p>
          <w:p w14:paraId="11EFA094" w14:textId="77777777" w:rsidR="00CA60BE" w:rsidRDefault="00CA60BE" w:rsidP="003E2EEC">
            <w:pPr>
              <w:spacing w:line="270" w:lineRule="atLeast"/>
            </w:pPr>
            <w:r>
              <w:t xml:space="preserve">The dissemination of published or printed recommendations for clinical care (e.g. best practice guidelines). </w:t>
            </w:r>
          </w:p>
        </w:tc>
        <w:tc>
          <w:tcPr>
            <w:tcW w:w="1893" w:type="dxa"/>
          </w:tcPr>
          <w:p w14:paraId="30F00630" w14:textId="77777777" w:rsidR="00CA60BE" w:rsidRDefault="00CA60BE" w:rsidP="003E2EEC">
            <w:pPr>
              <w:spacing w:line="270" w:lineRule="atLeast"/>
            </w:pPr>
            <w:r>
              <w:t>Large - medium</w:t>
            </w:r>
          </w:p>
        </w:tc>
      </w:tr>
      <w:tr w:rsidR="00CA60BE" w14:paraId="06F1DFD1" w14:textId="77777777" w:rsidTr="41FD14AD">
        <w:tc>
          <w:tcPr>
            <w:tcW w:w="1616" w:type="dxa"/>
          </w:tcPr>
          <w:p w14:paraId="04999957" w14:textId="77777777" w:rsidR="00CA60BE" w:rsidRDefault="00CA60BE" w:rsidP="003E2EEC">
            <w:pPr>
              <w:spacing w:line="270" w:lineRule="atLeast"/>
            </w:pPr>
            <w:r>
              <w:lastRenderedPageBreak/>
              <w:t>Persuasive</w:t>
            </w:r>
          </w:p>
        </w:tc>
        <w:tc>
          <w:tcPr>
            <w:tcW w:w="5897" w:type="dxa"/>
          </w:tcPr>
          <w:p w14:paraId="139C5F33" w14:textId="77777777" w:rsidR="00CA60BE" w:rsidRPr="000D5784" w:rsidRDefault="00CA60BE" w:rsidP="41FD14AD">
            <w:pPr>
              <w:spacing w:line="270" w:lineRule="atLeast"/>
              <w:rPr>
                <w:i/>
                <w:iCs/>
              </w:rPr>
            </w:pPr>
            <w:r w:rsidRPr="41FD14AD">
              <w:rPr>
                <w:i/>
                <w:iCs/>
              </w:rPr>
              <w:t>Educational meetings:</w:t>
            </w:r>
          </w:p>
          <w:p w14:paraId="70FCE1A9" w14:textId="77777777" w:rsidR="00CA60BE" w:rsidRDefault="00CA60BE" w:rsidP="003E2EEC">
            <w:pPr>
              <w:pStyle w:val="ListParagraph"/>
              <w:spacing w:line="270" w:lineRule="atLeast"/>
              <w:ind w:left="0"/>
            </w:pPr>
            <w:r>
              <w:t>Conferences, lectures or workshops generally chaired by a key opinion leader in the relevant field.</w:t>
            </w:r>
          </w:p>
          <w:p w14:paraId="3069FF8D" w14:textId="77777777" w:rsidR="00CA60BE" w:rsidRDefault="00CA60BE" w:rsidP="003E2EEC">
            <w:pPr>
              <w:spacing w:line="270" w:lineRule="atLeast"/>
            </w:pPr>
            <w:r w:rsidRPr="41FD14AD">
              <w:rPr>
                <w:i/>
                <w:iCs/>
              </w:rPr>
              <w:t xml:space="preserve">Local opinion leaders: </w:t>
            </w:r>
            <w:r>
              <w:t>Utilising experts in the locality of the targeted practitioner(s) who are regarded as influential by their peers to provide information/education.</w:t>
            </w:r>
          </w:p>
        </w:tc>
        <w:tc>
          <w:tcPr>
            <w:tcW w:w="1893" w:type="dxa"/>
          </w:tcPr>
          <w:p w14:paraId="6D7D9CB6" w14:textId="77777777" w:rsidR="00CA60BE" w:rsidRDefault="00CA60BE" w:rsidP="003E2EEC">
            <w:pPr>
              <w:spacing w:line="270" w:lineRule="atLeast"/>
            </w:pPr>
            <w:r>
              <w:t>Medium - small</w:t>
            </w:r>
          </w:p>
        </w:tc>
      </w:tr>
      <w:tr w:rsidR="00CA60BE" w14:paraId="0A160D4B" w14:textId="77777777" w:rsidTr="41FD14AD">
        <w:tc>
          <w:tcPr>
            <w:tcW w:w="1616" w:type="dxa"/>
          </w:tcPr>
          <w:p w14:paraId="08240568" w14:textId="77777777" w:rsidR="00CA60BE" w:rsidRDefault="00CA60BE" w:rsidP="003E2EEC">
            <w:pPr>
              <w:spacing w:line="270" w:lineRule="atLeast"/>
            </w:pPr>
            <w:r>
              <w:t>Active</w:t>
            </w:r>
          </w:p>
        </w:tc>
        <w:tc>
          <w:tcPr>
            <w:tcW w:w="5897" w:type="dxa"/>
          </w:tcPr>
          <w:p w14:paraId="68F02E43" w14:textId="77777777" w:rsidR="00CA60BE" w:rsidRPr="00A90000" w:rsidRDefault="00CA60BE" w:rsidP="41FD14AD">
            <w:pPr>
              <w:spacing w:line="270" w:lineRule="atLeast"/>
              <w:rPr>
                <w:i/>
                <w:iCs/>
              </w:rPr>
            </w:pPr>
            <w:r w:rsidRPr="41FD14AD">
              <w:rPr>
                <w:i/>
                <w:iCs/>
              </w:rPr>
              <w:t>Educational outreach visits (also known as academic detailing):</w:t>
            </w:r>
          </w:p>
          <w:p w14:paraId="612BA51E" w14:textId="77777777" w:rsidR="00CA60BE" w:rsidRDefault="00CA60BE" w:rsidP="003E2EEC">
            <w:pPr>
              <w:spacing w:line="270" w:lineRule="atLeast"/>
            </w:pPr>
            <w:r>
              <w:t>Provide face to face education at the practitioner’s place of practice to provide information with the aim of behavioural change. The information given is tailored to the individual’s needs and may include feedback on current practice (either individual or aggregated data).</w:t>
            </w:r>
          </w:p>
          <w:p w14:paraId="626A5580" w14:textId="77777777" w:rsidR="00CA60BE" w:rsidRPr="00A90000" w:rsidRDefault="00CA60BE" w:rsidP="41FD14AD">
            <w:pPr>
              <w:spacing w:line="270" w:lineRule="atLeast"/>
              <w:rPr>
                <w:i/>
                <w:iCs/>
              </w:rPr>
            </w:pPr>
            <w:r w:rsidRPr="41FD14AD">
              <w:rPr>
                <w:i/>
                <w:iCs/>
              </w:rPr>
              <w:t>Audit and feedback:</w:t>
            </w:r>
          </w:p>
          <w:p w14:paraId="245EF508" w14:textId="77777777" w:rsidR="00CA60BE" w:rsidRDefault="00CA60BE" w:rsidP="003E2EEC">
            <w:pPr>
              <w:spacing w:line="270" w:lineRule="atLeast"/>
            </w:pPr>
            <w:r>
              <w:t>Providing a summary of current clinical practice over a specified period of time. The feedback may also include further information on recommended actions based on current best practice and/or guidelines. The information can be obtained from medical records and/or databases.</w:t>
            </w:r>
          </w:p>
          <w:p w14:paraId="69EAEC1A" w14:textId="77777777" w:rsidR="00CA60BE" w:rsidRPr="000D5784" w:rsidRDefault="00CA60BE" w:rsidP="41FD14AD">
            <w:pPr>
              <w:spacing w:line="270" w:lineRule="atLeast"/>
              <w:rPr>
                <w:i/>
                <w:iCs/>
              </w:rPr>
            </w:pPr>
            <w:r w:rsidRPr="41FD14AD">
              <w:rPr>
                <w:i/>
                <w:iCs/>
              </w:rPr>
              <w:t>Reminders:</w:t>
            </w:r>
          </w:p>
          <w:p w14:paraId="7470841F" w14:textId="21798190" w:rsidR="00CA60BE" w:rsidRDefault="00CA60BE" w:rsidP="003E2EEC">
            <w:pPr>
              <w:spacing w:line="270" w:lineRule="atLeast"/>
            </w:pPr>
            <w:r>
              <w:t xml:space="preserve">Encounter-specific information designed to prompt practitioners to perform desired actions, which can be computer-based (e.g. SafeScript </w:t>
            </w:r>
            <w:r w:rsidR="005052CE">
              <w:t>notifications</w:t>
            </w:r>
            <w:r>
              <w:t>).</w:t>
            </w:r>
          </w:p>
        </w:tc>
        <w:tc>
          <w:tcPr>
            <w:tcW w:w="1893" w:type="dxa"/>
          </w:tcPr>
          <w:p w14:paraId="1B89A1EF" w14:textId="77777777" w:rsidR="00CA60BE" w:rsidRDefault="00CA60BE" w:rsidP="003E2EEC">
            <w:pPr>
              <w:spacing w:line="270" w:lineRule="atLeast"/>
            </w:pPr>
            <w:r>
              <w:t xml:space="preserve">Small </w:t>
            </w:r>
          </w:p>
        </w:tc>
      </w:tr>
      <w:tr w:rsidR="00CA60BE" w14:paraId="7F03B158" w14:textId="77777777" w:rsidTr="41FD14AD">
        <w:trPr>
          <w:trHeight w:val="1070"/>
        </w:trPr>
        <w:tc>
          <w:tcPr>
            <w:tcW w:w="1616" w:type="dxa"/>
          </w:tcPr>
          <w:p w14:paraId="0B08A3F5" w14:textId="77777777" w:rsidR="00CA60BE" w:rsidRDefault="00CA60BE" w:rsidP="003E2EEC">
            <w:pPr>
              <w:spacing w:line="270" w:lineRule="atLeast"/>
            </w:pPr>
            <w:r>
              <w:t>Other</w:t>
            </w:r>
          </w:p>
          <w:p w14:paraId="658699D6" w14:textId="77777777" w:rsidR="00CA60BE" w:rsidRDefault="00CA60BE" w:rsidP="003E2EEC">
            <w:pPr>
              <w:spacing w:line="270" w:lineRule="atLeast"/>
            </w:pPr>
          </w:p>
        </w:tc>
        <w:tc>
          <w:tcPr>
            <w:tcW w:w="5897" w:type="dxa"/>
          </w:tcPr>
          <w:p w14:paraId="77C88A8B" w14:textId="77777777" w:rsidR="00CA60BE" w:rsidRDefault="00CA60BE" w:rsidP="003E2EEC">
            <w:pPr>
              <w:pStyle w:val="ListParagraph"/>
              <w:ind w:left="0"/>
            </w:pPr>
            <w:r>
              <w:t>Marketing informed by actively identifying barriers to behavioural change and by conducting interviews, focus groups or surveys to inform design of subsequent interventions.</w:t>
            </w:r>
          </w:p>
          <w:p w14:paraId="6377F499" w14:textId="77777777" w:rsidR="00CA60BE" w:rsidRDefault="00CA60BE" w:rsidP="003E2EEC">
            <w:pPr>
              <w:spacing w:line="270" w:lineRule="atLeast"/>
            </w:pPr>
          </w:p>
        </w:tc>
        <w:tc>
          <w:tcPr>
            <w:tcW w:w="1893" w:type="dxa"/>
          </w:tcPr>
          <w:p w14:paraId="0BEF8666" w14:textId="77777777" w:rsidR="00CA60BE" w:rsidRDefault="00CA60BE" w:rsidP="003E2EEC">
            <w:pPr>
              <w:spacing w:line="270" w:lineRule="atLeast"/>
            </w:pPr>
            <w:r>
              <w:t>Large - medium</w:t>
            </w:r>
          </w:p>
        </w:tc>
      </w:tr>
    </w:tbl>
    <w:p w14:paraId="4BB7894F" w14:textId="77777777" w:rsidR="00CA60BE" w:rsidRDefault="00CA60BE" w:rsidP="00CA60BE">
      <w:pPr>
        <w:spacing w:line="270" w:lineRule="atLeast"/>
      </w:pPr>
    </w:p>
    <w:p w14:paraId="5B1B7DC7" w14:textId="439FA77A" w:rsidR="00CA60BE" w:rsidRDefault="00CA60BE" w:rsidP="00CA60BE">
      <w:pPr>
        <w:pStyle w:val="DHHSbody"/>
      </w:pPr>
      <w:r w:rsidRPr="006F192C">
        <w:t>Current research suggests that</w:t>
      </w:r>
      <w:r>
        <w:t xml:space="preserve"> active interventions are more effective than passive or persuasive interventions. These interventions are used where individual prescribers have shown an intention to adhere to best practice guidelines though have not been able to do so. This may be due of a lack of an understanding of best practice prescribing. These interventions are likely to be deployed in cases where prescribing is consistently and repeatedly not adhering to best practice protocols for a number of patients. To gain best results, a multifaceted approach including more than one of the available tools such as educational outreach, and audit and feedback may be needed to improve prescribing practices</w:t>
      </w:r>
      <w:r w:rsidR="0062296F">
        <w:t>.</w:t>
      </w:r>
    </w:p>
    <w:p w14:paraId="48B53294" w14:textId="77777777" w:rsidR="00CA60BE" w:rsidRDefault="00CA60BE" w:rsidP="00CA60BE">
      <w:pPr>
        <w:pStyle w:val="DHHSbody"/>
      </w:pPr>
      <w:r>
        <w:t>Whilst educational outreach is the most effective amongst the active interventions, it is also the most resource intensive. Personalised feedback letters may be used as an alternative to educational outreach where resources may be limited.</w:t>
      </w:r>
    </w:p>
    <w:p w14:paraId="6A623832" w14:textId="03AC6921" w:rsidR="00CA60BE" w:rsidRDefault="00CA60BE" w:rsidP="00CA60BE">
      <w:pPr>
        <w:pStyle w:val="DHHSbody"/>
      </w:pPr>
      <w:r>
        <w:t>SafeScript and the alerts it provides to practitioners</w:t>
      </w:r>
      <w:r w:rsidR="00DB6CDA">
        <w:t xml:space="preserve"> </w:t>
      </w:r>
      <w:r>
        <w:t>help to reinforce best practice to practitioners along with other intervention methods and increase the likelihood of behavioural change.</w:t>
      </w:r>
    </w:p>
    <w:p w14:paraId="5512CD99" w14:textId="77777777" w:rsidR="00CA60BE" w:rsidRDefault="00CA60BE" w:rsidP="00CA60BE">
      <w:pPr>
        <w:pStyle w:val="DHHSbody"/>
      </w:pPr>
      <w:r>
        <w:t>For inappropriate prescribing practices/knowledge gaps that are applicable to many health practitioners, passive, persuasive interventions and other techniques like marketing are likely have the greatest impact to a larger audience.</w:t>
      </w:r>
    </w:p>
    <w:p w14:paraId="081F0D86" w14:textId="1F8A0672" w:rsidR="00C6420D" w:rsidRPr="00A938BA" w:rsidRDefault="00C6420D" w:rsidP="00C6420D">
      <w:pPr>
        <w:pStyle w:val="Heading1"/>
      </w:pPr>
      <w:bookmarkStart w:id="14" w:name="_Toc115884454"/>
      <w:r w:rsidRPr="00A938BA">
        <w:lastRenderedPageBreak/>
        <w:t>Monitoring, detecting and investigating non-compliance</w:t>
      </w:r>
      <w:bookmarkEnd w:id="14"/>
    </w:p>
    <w:p w14:paraId="2A56729F" w14:textId="3BFAAE38" w:rsidR="00C6420D" w:rsidRDefault="00C6420D" w:rsidP="00C6420D">
      <w:pPr>
        <w:pStyle w:val="DHHSbody"/>
        <w:rPr>
          <w:b/>
        </w:rPr>
      </w:pPr>
      <w:r w:rsidRPr="000C5534">
        <w:rPr>
          <w:b/>
        </w:rPr>
        <w:t xml:space="preserve">The </w:t>
      </w:r>
      <w:r w:rsidR="002A6E11">
        <w:rPr>
          <w:b/>
        </w:rPr>
        <w:t>department</w:t>
      </w:r>
      <w:r w:rsidRPr="000C5534">
        <w:rPr>
          <w:b/>
        </w:rPr>
        <w:t xml:space="preserve"> monitors compliance and detects non-compliance using responsive</w:t>
      </w:r>
      <w:r>
        <w:rPr>
          <w:b/>
        </w:rPr>
        <w:t xml:space="preserve"> and</w:t>
      </w:r>
      <w:r w:rsidRPr="000C5534">
        <w:rPr>
          <w:b/>
        </w:rPr>
        <w:t xml:space="preserve"> proactive methods</w:t>
      </w:r>
      <w:r>
        <w:rPr>
          <w:b/>
        </w:rPr>
        <w:t xml:space="preserve">. This section outlines how the </w:t>
      </w:r>
      <w:r w:rsidR="002A6E11">
        <w:rPr>
          <w:b/>
        </w:rPr>
        <w:t>department</w:t>
      </w:r>
      <w:r>
        <w:rPr>
          <w:b/>
        </w:rPr>
        <w:t xml:space="preserve"> monitors compliance and describes the objectives associated with each method. </w:t>
      </w:r>
    </w:p>
    <w:p w14:paraId="5178064B" w14:textId="77777777" w:rsidR="00C6420D" w:rsidRPr="00681C46" w:rsidRDefault="00C6420D" w:rsidP="00C6420D">
      <w:pPr>
        <w:pStyle w:val="Heading2"/>
      </w:pPr>
      <w:r w:rsidRPr="00681C46">
        <w:t>Responsive measures</w:t>
      </w:r>
    </w:p>
    <w:p w14:paraId="04963E7F" w14:textId="15C95AEE" w:rsidR="00C6420D" w:rsidRPr="00DB4ED8" w:rsidRDefault="00C6420D" w:rsidP="00C6420D">
      <w:pPr>
        <w:pStyle w:val="DHHSbody"/>
      </w:pPr>
      <w:r w:rsidRPr="00DB4ED8">
        <w:t xml:space="preserve">The </w:t>
      </w:r>
      <w:r w:rsidR="002A6E11">
        <w:t>department</w:t>
      </w:r>
      <w:r w:rsidRPr="00DB4ED8">
        <w:t xml:space="preserve"> receives information to support the detection of non-compliance through a variety of means, including:</w:t>
      </w:r>
    </w:p>
    <w:p w14:paraId="12E83A0C" w14:textId="12FD51A5" w:rsidR="00C6420D" w:rsidRPr="00FC50BD" w:rsidRDefault="00C6420D" w:rsidP="00C6420D">
      <w:pPr>
        <w:pStyle w:val="DHHSbullet1"/>
      </w:pPr>
      <w:r w:rsidRPr="00FC50BD">
        <w:t xml:space="preserve">notifications – where practitioners are required to notify the </w:t>
      </w:r>
      <w:r w:rsidR="002A6E11">
        <w:t>department</w:t>
      </w:r>
      <w:r w:rsidRPr="00FC50BD">
        <w:t xml:space="preserve"> in relation to potentially harmful behaviours, excessive prescribing, false representation, discrepancies in records or loss and theft of </w:t>
      </w:r>
      <w:r>
        <w:t>medicines</w:t>
      </w:r>
      <w:r w:rsidR="00896050">
        <w:t>;</w:t>
      </w:r>
    </w:p>
    <w:p w14:paraId="7207A2C4" w14:textId="6577CB4E" w:rsidR="00C6420D" w:rsidRPr="00FC50BD" w:rsidRDefault="00C6420D" w:rsidP="00C6420D">
      <w:pPr>
        <w:pStyle w:val="DHHSbullet1"/>
      </w:pPr>
      <w:r>
        <w:t>prescription-monitoring activities</w:t>
      </w:r>
      <w:r w:rsidR="00896050">
        <w:t xml:space="preserve"> -</w:t>
      </w:r>
      <w:r>
        <w:t xml:space="preserve"> conducted by </w:t>
      </w:r>
      <w:r w:rsidR="002A6E11">
        <w:t>department</w:t>
      </w:r>
      <w:r>
        <w:t xml:space="preserve"> field officers attending community pharmacies</w:t>
      </w:r>
      <w:r w:rsidR="009F489E">
        <w:t xml:space="preserve"> and reviewing SafeScript data</w:t>
      </w:r>
      <w:r>
        <w:t>, to identify excessive, questionable and unlawful prescribing plus ‘</w:t>
      </w:r>
      <w:r w:rsidR="009F489E">
        <w:t>prescription</w:t>
      </w:r>
      <w:r>
        <w:t>-shopping’ activities</w:t>
      </w:r>
      <w:r w:rsidR="00896050">
        <w:t>;</w:t>
      </w:r>
    </w:p>
    <w:p w14:paraId="29FC3330" w14:textId="2A979BCD" w:rsidR="00C6420D" w:rsidRDefault="00C6420D" w:rsidP="00C6420D">
      <w:pPr>
        <w:pStyle w:val="DHHSbullet1"/>
      </w:pPr>
      <w:r>
        <w:t xml:space="preserve">insights from permit assessments – where emerging trends or issues are identified as the </w:t>
      </w:r>
      <w:r w:rsidR="002A6E11">
        <w:t>department</w:t>
      </w:r>
      <w:r>
        <w:t xml:space="preserve"> assesses an application for a permit</w:t>
      </w:r>
      <w:r w:rsidR="00896050">
        <w:t>;</w:t>
      </w:r>
      <w:r>
        <w:t xml:space="preserve"> </w:t>
      </w:r>
    </w:p>
    <w:p w14:paraId="4B448730" w14:textId="754CE904" w:rsidR="00C6420D" w:rsidRPr="009F72BC" w:rsidRDefault="00C6420D" w:rsidP="00C6420D">
      <w:pPr>
        <w:pStyle w:val="DHHSbullet1"/>
      </w:pPr>
      <w:r w:rsidRPr="009F72BC">
        <w:t xml:space="preserve">complaints and reports </w:t>
      </w:r>
      <w:r>
        <w:t xml:space="preserve">– where health practitioners, patients, family members, co-regulators or members of the public notify the </w:t>
      </w:r>
      <w:r w:rsidR="002A6E11">
        <w:t>department</w:t>
      </w:r>
      <w:r>
        <w:t xml:space="preserve"> of a concern</w:t>
      </w:r>
      <w:r w:rsidR="00896050">
        <w:t>; and,</w:t>
      </w:r>
    </w:p>
    <w:p w14:paraId="1F03129B" w14:textId="67C7D91F" w:rsidR="00C6420D" w:rsidRPr="009F72BC" w:rsidRDefault="00C6420D" w:rsidP="00C6420D">
      <w:pPr>
        <w:pStyle w:val="DHHSbullet1"/>
      </w:pPr>
      <w:r w:rsidRPr="009F72BC">
        <w:t xml:space="preserve">information from </w:t>
      </w:r>
      <w:r w:rsidR="005E0909">
        <w:t xml:space="preserve">emails or the </w:t>
      </w:r>
      <w:r w:rsidR="002A6E11">
        <w:t>department’</w:t>
      </w:r>
      <w:r w:rsidR="005E0909">
        <w:t>s queries</w:t>
      </w:r>
      <w:r w:rsidRPr="009F72BC">
        <w:t xml:space="preserve"> </w:t>
      </w:r>
      <w:r w:rsidR="005E0909">
        <w:t xml:space="preserve">form </w:t>
      </w:r>
      <w:r>
        <w:t xml:space="preserve">– where insights or information is obtained from </w:t>
      </w:r>
      <w:r w:rsidR="005E0909">
        <w:t xml:space="preserve">stakeholders who contact the </w:t>
      </w:r>
      <w:r w:rsidR="002A6E11">
        <w:t>department</w:t>
      </w:r>
      <w:r w:rsidR="005E0909">
        <w:t xml:space="preserve"> via email or the queries form</w:t>
      </w:r>
      <w:r>
        <w:t>.</w:t>
      </w:r>
    </w:p>
    <w:p w14:paraId="53ED99CD" w14:textId="1E6F1434" w:rsidR="00C6420D" w:rsidRPr="00FC50BD" w:rsidRDefault="49B522E2" w:rsidP="00946BF5">
      <w:pPr>
        <w:pStyle w:val="DHHSbody"/>
        <w:spacing w:before="120"/>
      </w:pPr>
      <w:r>
        <w:t xml:space="preserve">While these measures will continue to be an important source of information, the introduction of SafeScript </w:t>
      </w:r>
      <w:r w:rsidR="1F48E98D">
        <w:t xml:space="preserve">now </w:t>
      </w:r>
      <w:r>
        <w:t>mean</w:t>
      </w:r>
      <w:r w:rsidR="1F48E98D">
        <w:t>s</w:t>
      </w:r>
      <w:r>
        <w:t xml:space="preserve"> the </w:t>
      </w:r>
      <w:r w:rsidR="002A6E11">
        <w:t>department</w:t>
      </w:r>
      <w:r>
        <w:t xml:space="preserve"> can supplement this information with new and timely insights. The introduction of SafeScript </w:t>
      </w:r>
      <w:r w:rsidR="1F48E98D">
        <w:t>has</w:t>
      </w:r>
      <w:r>
        <w:t xml:space="preserve"> enable</w:t>
      </w:r>
      <w:r w:rsidR="1F48E98D">
        <w:t>d</w:t>
      </w:r>
      <w:r>
        <w:t xml:space="preserve"> the </w:t>
      </w:r>
      <w:r w:rsidR="002A6E11">
        <w:t>department</w:t>
      </w:r>
      <w:r>
        <w:t xml:space="preserve"> to reprioritise some of its resources. For example, the impact of SafeScript </w:t>
      </w:r>
      <w:r w:rsidR="3441657E">
        <w:t>has</w:t>
      </w:r>
      <w:r>
        <w:t xml:space="preserve"> </w:t>
      </w:r>
      <w:r w:rsidR="3441657E">
        <w:t xml:space="preserve">meant </w:t>
      </w:r>
      <w:r>
        <w:t xml:space="preserve">certain notifications </w:t>
      </w:r>
      <w:r w:rsidR="3441657E">
        <w:t>are no longer required</w:t>
      </w:r>
      <w:r>
        <w:t xml:space="preserve">.  </w:t>
      </w:r>
    </w:p>
    <w:p w14:paraId="5D3230FA" w14:textId="77777777" w:rsidR="00C6420D" w:rsidRPr="00681C46" w:rsidRDefault="00C6420D" w:rsidP="00C6420D">
      <w:pPr>
        <w:pStyle w:val="Heading2"/>
      </w:pPr>
      <w:r w:rsidRPr="00681C46">
        <w:t>Proactive measures</w:t>
      </w:r>
    </w:p>
    <w:p w14:paraId="698DC90D" w14:textId="52BF1957" w:rsidR="00C6420D" w:rsidRDefault="00C6420D" w:rsidP="00C6420D">
      <w:pPr>
        <w:pStyle w:val="DHHSbody"/>
      </w:pPr>
      <w:r>
        <w:t xml:space="preserve">The </w:t>
      </w:r>
      <w:r w:rsidR="002A6E11">
        <w:t>department</w:t>
      </w:r>
      <w:r>
        <w:t xml:space="preserve"> also monitors and detects non-compliance via proactive means, including desktop audits of records and conducting reviews and investigations.</w:t>
      </w:r>
    </w:p>
    <w:p w14:paraId="7F66D694" w14:textId="77777777" w:rsidR="00C6420D" w:rsidRDefault="00C6420D" w:rsidP="00C6420D">
      <w:pPr>
        <w:pStyle w:val="Heading3"/>
      </w:pPr>
      <w:r w:rsidRPr="00DA4834">
        <w:t>Desktop</w:t>
      </w:r>
      <w:r w:rsidRPr="00A31E51">
        <w:t xml:space="preserve"> audits</w:t>
      </w:r>
      <w:r>
        <w:t xml:space="preserve"> </w:t>
      </w:r>
    </w:p>
    <w:p w14:paraId="2742EA52" w14:textId="2287B147" w:rsidR="00C6420D" w:rsidRDefault="49B522E2" w:rsidP="00C6420D">
      <w:pPr>
        <w:pStyle w:val="DHHSbody"/>
      </w:pPr>
      <w:r>
        <w:t xml:space="preserve">Desktop audits are used to gather insights into a particular issue or behaviour. Desktop audits are manually intensive processes that require detailed review of paper-based and electronic records. Issues explored during desktop audits typically include prescribing behaviours and medicine supply. </w:t>
      </w:r>
    </w:p>
    <w:p w14:paraId="4D241DAF" w14:textId="307A4F9C" w:rsidR="00C6420D" w:rsidRPr="000707B8" w:rsidRDefault="49B522E2" w:rsidP="00C6420D">
      <w:pPr>
        <w:pStyle w:val="DHHSbody"/>
      </w:pPr>
      <w:r>
        <w:t xml:space="preserve">The objective of desktop </w:t>
      </w:r>
      <w:r w:rsidR="2A2A3800">
        <w:t>audits is</w:t>
      </w:r>
      <w:r>
        <w:t xml:space="preserve"> to identify the pharmacies, establishments and/or practitioners who purchase larger or atypical quantities of selecte</w:t>
      </w:r>
      <w:r w:rsidR="692C0053">
        <w:t>d high</w:t>
      </w:r>
      <w:r w:rsidR="2D44578C">
        <w:t>-</w:t>
      </w:r>
      <w:r w:rsidR="692C0053">
        <w:t>risk</w:t>
      </w:r>
      <w:r>
        <w:t xml:space="preserve"> medicines</w:t>
      </w:r>
      <w:r w:rsidR="692C0053">
        <w:t xml:space="preserve">. This is undertaken </w:t>
      </w:r>
      <w:r>
        <w:t>by obtaining records of supply from licensed suppliers to identify discrepancies between purchasing records and records of dispensing/supply (an indicator of possible diversion or trafficking or questionable or excessive prescribing).</w:t>
      </w:r>
    </w:p>
    <w:p w14:paraId="7D93B0DD" w14:textId="050EAD41" w:rsidR="00C6420D" w:rsidRPr="004409A2" w:rsidRDefault="00C6420D" w:rsidP="00C6420D">
      <w:pPr>
        <w:pStyle w:val="DHHSbody"/>
      </w:pPr>
      <w:r w:rsidRPr="000707B8">
        <w:t xml:space="preserve">Desktop audits are initiated, periodically, in relation to </w:t>
      </w:r>
      <w:r w:rsidR="00877C4A">
        <w:t>high</w:t>
      </w:r>
      <w:r w:rsidR="00C979F6">
        <w:t>-</w:t>
      </w:r>
      <w:r w:rsidR="00877C4A">
        <w:t>risk</w:t>
      </w:r>
      <w:r w:rsidRPr="000707B8">
        <w:t xml:space="preserve"> </w:t>
      </w:r>
      <w:r>
        <w:t>medicine</w:t>
      </w:r>
      <w:r w:rsidRPr="000707B8">
        <w:t>s that are known to be subject to misuse, abuse and trafficking and, as required, when troubling trends or contemporaneous concerns are identified from other sources and</w:t>
      </w:r>
      <w:r w:rsidRPr="004409A2">
        <w:t xml:space="preserve"> data.</w:t>
      </w:r>
    </w:p>
    <w:p w14:paraId="25F51CE0" w14:textId="2835D31C" w:rsidR="00C6420D" w:rsidRDefault="00C6420D" w:rsidP="00C6420D">
      <w:pPr>
        <w:pStyle w:val="DHHSbody"/>
      </w:pPr>
      <w:r>
        <w:t xml:space="preserve">Desktop audits will continue to be an important proactive process because SafeScript </w:t>
      </w:r>
      <w:r w:rsidR="00890254">
        <w:t xml:space="preserve">does </w:t>
      </w:r>
      <w:r>
        <w:t xml:space="preserve">not monitor all </w:t>
      </w:r>
      <w:r w:rsidR="007745C5">
        <w:t>high</w:t>
      </w:r>
      <w:r w:rsidR="00C84715">
        <w:t>-</w:t>
      </w:r>
      <w:r w:rsidR="007745C5">
        <w:t>risk</w:t>
      </w:r>
      <w:r>
        <w:t xml:space="preserve"> medicines or the supply of monitored medicines by all. </w:t>
      </w:r>
      <w:r w:rsidR="007745C5">
        <w:t xml:space="preserve">However, </w:t>
      </w:r>
      <w:r>
        <w:t>SafeScript</w:t>
      </w:r>
      <w:r w:rsidR="007745C5">
        <w:t xml:space="preserve"> </w:t>
      </w:r>
      <w:r>
        <w:t>enable</w:t>
      </w:r>
      <w:r w:rsidR="00890254">
        <w:t>s</w:t>
      </w:r>
      <w:r>
        <w:t xml:space="preserve"> the </w:t>
      </w:r>
      <w:r>
        <w:lastRenderedPageBreak/>
        <w:t xml:space="preserve">reconciliation process to be conducted more efficiently in relation to monitored poisons, which are the subject of desktop audits, and </w:t>
      </w:r>
      <w:r w:rsidR="00890254">
        <w:t xml:space="preserve">can </w:t>
      </w:r>
      <w:r>
        <w:t xml:space="preserve">serve to identify, quantify or confirm trends as a means of determining the urgency or priority </w:t>
      </w:r>
      <w:r w:rsidR="00890254">
        <w:t>for different types of interventions</w:t>
      </w:r>
      <w:r>
        <w:t>.</w:t>
      </w:r>
    </w:p>
    <w:p w14:paraId="47618A54" w14:textId="77777777" w:rsidR="00C6420D" w:rsidRPr="00681C46" w:rsidRDefault="00C6420D" w:rsidP="00C6420D">
      <w:pPr>
        <w:pStyle w:val="Heading3"/>
      </w:pPr>
      <w:r w:rsidRPr="00681C46">
        <w:t>Reviews</w:t>
      </w:r>
    </w:p>
    <w:p w14:paraId="040480E6" w14:textId="4DC7EC4B" w:rsidR="00C6420D" w:rsidRDefault="00C6420D" w:rsidP="00C6420D">
      <w:pPr>
        <w:pStyle w:val="DHHSbody"/>
      </w:pPr>
      <w:r>
        <w:t>Reviews are undertaken in situations where there is reasonable suspicion of a high</w:t>
      </w:r>
      <w:r w:rsidR="00C84715">
        <w:t>-</w:t>
      </w:r>
      <w:r>
        <w:t xml:space="preserve">risk event or incident. Reviews are used to gather additional information before further, more serious actions are taken. </w:t>
      </w:r>
      <w:r w:rsidR="00615ECC">
        <w:t xml:space="preserve">The </w:t>
      </w:r>
      <w:r w:rsidR="002A6E11">
        <w:t>department</w:t>
      </w:r>
      <w:r>
        <w:t xml:space="preserve"> typically completes around 80</w:t>
      </w:r>
      <w:r w:rsidR="00890254">
        <w:t>-100</w:t>
      </w:r>
      <w:r>
        <w:t xml:space="preserve"> reviews per annum. Reviews can range in time from a few days to a few months. </w:t>
      </w:r>
      <w:r w:rsidR="00C415B2">
        <w:t>Typically,</w:t>
      </w:r>
      <w:r>
        <w:t xml:space="preserve"> 50 per cent of reviews proceed to a more in-depth investigation. </w:t>
      </w:r>
    </w:p>
    <w:p w14:paraId="3BD1BCDD" w14:textId="5EE8D939" w:rsidR="00C6420D" w:rsidRPr="004409A2" w:rsidRDefault="49B522E2" w:rsidP="00C6420D">
      <w:pPr>
        <w:pStyle w:val="DHHSbody"/>
      </w:pPr>
      <w:r>
        <w:t>The aim of these reviews is to seek information that might explain or justify the actions of a practitioner; assess and determine the level of risk related to the observed or suspected actions; inform the necessity, nature and priority of any further action.</w:t>
      </w:r>
    </w:p>
    <w:p w14:paraId="784744CC" w14:textId="77777777" w:rsidR="00C6420D" w:rsidRPr="004409A2" w:rsidRDefault="00C6420D" w:rsidP="00C6420D">
      <w:pPr>
        <w:pStyle w:val="DHHSbody"/>
      </w:pPr>
      <w:r w:rsidRPr="004409A2">
        <w:t>Reviews are initiated in situations where conduct is considered or suspected to represent high-level risks to one or more patients or to the community in general. Key criteria include:</w:t>
      </w:r>
    </w:p>
    <w:p w14:paraId="61273022" w14:textId="77777777" w:rsidR="00C6420D" w:rsidRPr="004409A2" w:rsidRDefault="00C6420D" w:rsidP="00C6420D">
      <w:pPr>
        <w:pStyle w:val="DHHSbullet1"/>
      </w:pPr>
      <w:r w:rsidRPr="004409A2">
        <w:t xml:space="preserve">the inherent risks associated with the </w:t>
      </w:r>
      <w:r>
        <w:t>medicine(</w:t>
      </w:r>
      <w:r w:rsidRPr="004409A2">
        <w:t>s</w:t>
      </w:r>
      <w:r>
        <w:t>)</w:t>
      </w:r>
      <w:r w:rsidRPr="004409A2">
        <w:t xml:space="preserve"> in question, which are largely determined by the existing legislation and the </w:t>
      </w:r>
      <w:r>
        <w:t xml:space="preserve">Poisons Standard </w:t>
      </w:r>
      <w:r w:rsidRPr="004409A2">
        <w:t xml:space="preserve">classification/schedule in which each </w:t>
      </w:r>
      <w:r>
        <w:t>medicine</w:t>
      </w:r>
      <w:r w:rsidRPr="004409A2">
        <w:t xml:space="preserve"> is listed</w:t>
      </w:r>
    </w:p>
    <w:p w14:paraId="20DC41EC" w14:textId="6410C76F" w:rsidR="00C6420D" w:rsidRPr="004409A2" w:rsidRDefault="49B522E2" w:rsidP="00C6420D">
      <w:pPr>
        <w:pStyle w:val="DHHSbullet1"/>
      </w:pPr>
      <w:r>
        <w:t xml:space="preserve">whether the conduct appears to be unlawful or unsafe, which is determined by </w:t>
      </w:r>
      <w:r w:rsidR="6EFD3E3C">
        <w:t>Medicines and Poisons</w:t>
      </w:r>
      <w:r>
        <w:t xml:space="preserve"> officers </w:t>
      </w:r>
      <w:r w:rsidR="0062296F">
        <w:t xml:space="preserve">most of </w:t>
      </w:r>
      <w:r>
        <w:t>who</w:t>
      </w:r>
      <w:r w:rsidR="0062296F">
        <w:t>m are</w:t>
      </w:r>
      <w:r>
        <w:t xml:space="preserve"> health practitioners and who are deeply familiar with the relevant legislative controls </w:t>
      </w:r>
      <w:r w:rsidR="00C6420D">
        <w:t>the extent of any unlawful or unsafe conduct, in relation to a single person and/or the number of persons exposed to the risk</w:t>
      </w:r>
    </w:p>
    <w:p w14:paraId="3CD9C909" w14:textId="6026BBBF" w:rsidR="00C6420D" w:rsidRPr="00FB421E" w:rsidRDefault="00C6420D" w:rsidP="00C6420D">
      <w:pPr>
        <w:pStyle w:val="DHHSbody"/>
      </w:pPr>
      <w:r w:rsidRPr="00FB421E">
        <w:t xml:space="preserve">At the conclusion of a review, the </w:t>
      </w:r>
      <w:r w:rsidR="002A6E11">
        <w:t>department</w:t>
      </w:r>
      <w:r w:rsidRPr="00FB421E">
        <w:t xml:space="preserve"> can take a range of actions, including</w:t>
      </w:r>
      <w:r>
        <w:t xml:space="preserve"> taking</w:t>
      </w:r>
      <w:r w:rsidRPr="00FB421E">
        <w:t xml:space="preserve"> no further action</w:t>
      </w:r>
      <w:r>
        <w:t xml:space="preserve">, providing educational counselling, committing to subsequent monitoring measures, </w:t>
      </w:r>
      <w:r w:rsidRPr="00FB421E">
        <w:t>refer</w:t>
      </w:r>
      <w:r>
        <w:t xml:space="preserve">ring </w:t>
      </w:r>
      <w:r w:rsidRPr="00FB421E">
        <w:t xml:space="preserve">the matter to another regulator or </w:t>
      </w:r>
      <w:r>
        <w:t xml:space="preserve">initiating </w:t>
      </w:r>
      <w:r w:rsidRPr="00FB421E">
        <w:t>an investigation.</w:t>
      </w:r>
    </w:p>
    <w:p w14:paraId="0A0230FE" w14:textId="3CF60658" w:rsidR="00C6420D" w:rsidRPr="004409A2" w:rsidRDefault="49B522E2" w:rsidP="00C6420D">
      <w:pPr>
        <w:pStyle w:val="DHHSbody"/>
      </w:pPr>
      <w:r>
        <w:t xml:space="preserve">The introduction of SafeScript has enabled better and more targeted reviews, by allowing the </w:t>
      </w:r>
      <w:r w:rsidR="002A6E11">
        <w:t>department</w:t>
      </w:r>
      <w:r>
        <w:t xml:space="preserve"> to access more comprehensive information in a more timely manner. Some elements of a review will continue to require in-depth analysis, for example monitoring high</w:t>
      </w:r>
      <w:r w:rsidR="5FE828D2">
        <w:t>-</w:t>
      </w:r>
      <w:r>
        <w:t xml:space="preserve">risk activities that may result in harm to patients. </w:t>
      </w:r>
    </w:p>
    <w:p w14:paraId="111E4822" w14:textId="77777777" w:rsidR="00C6420D" w:rsidRPr="00681C46" w:rsidRDefault="00C6420D" w:rsidP="00C6420D">
      <w:pPr>
        <w:pStyle w:val="Heading3"/>
      </w:pPr>
      <w:r w:rsidRPr="00681C46">
        <w:t>Investigations</w:t>
      </w:r>
    </w:p>
    <w:p w14:paraId="51C1FB3F" w14:textId="68F8978C" w:rsidR="00C6420D" w:rsidRPr="00E4740D" w:rsidRDefault="49B522E2" w:rsidP="00C6420D">
      <w:pPr>
        <w:pStyle w:val="DHHSbody"/>
      </w:pPr>
      <w:r>
        <w:t xml:space="preserve">The decision to investigate is a serious matter for the </w:t>
      </w:r>
      <w:r w:rsidR="002A6E11">
        <w:t>department</w:t>
      </w:r>
      <w:r>
        <w:t>. An investigation commits significant resources and can take a considerable time to complete. Investigations are initiated where high</w:t>
      </w:r>
      <w:r w:rsidR="139E6FBE">
        <w:t>-</w:t>
      </w:r>
      <w:r>
        <w:t xml:space="preserve">risk activities have been identified or where there has been, or may be, significant </w:t>
      </w:r>
      <w:r w:rsidR="004D0A47">
        <w:t>or serious breach</w:t>
      </w:r>
      <w:r w:rsidR="00710F43">
        <w:t>es</w:t>
      </w:r>
      <w:r w:rsidR="004D0A47">
        <w:t xml:space="preserve"> of the legislation</w:t>
      </w:r>
      <w:r w:rsidR="0FC12AB0">
        <w:t xml:space="preserve"> resulting in serious harms</w:t>
      </w:r>
      <w:r>
        <w:t xml:space="preserve">. Investigations can follow a review, although this is not always the case. Typically, the </w:t>
      </w:r>
      <w:r w:rsidR="002A6E11">
        <w:t>department</w:t>
      </w:r>
      <w:r>
        <w:t xml:space="preserve"> commences 30 to 50 investigations in a year and 85 per cent of investigations either progress to prosecution by the </w:t>
      </w:r>
      <w:r w:rsidR="002A6E11">
        <w:t>department</w:t>
      </w:r>
      <w:r>
        <w:t xml:space="preserve"> or are referred to other agencies (e.g. Victoria Police or A</w:t>
      </w:r>
      <w:r w:rsidR="00D17023">
        <w:t>hpra</w:t>
      </w:r>
      <w:r>
        <w:t xml:space="preserve">) – refer to section </w:t>
      </w:r>
      <w:r w:rsidR="005E0909">
        <w:t>7</w:t>
      </w:r>
      <w:r>
        <w:t xml:space="preserve"> for more information.</w:t>
      </w:r>
    </w:p>
    <w:p w14:paraId="19D070E3" w14:textId="77777777" w:rsidR="00C6420D" w:rsidRPr="004409A2" w:rsidRDefault="00C6420D" w:rsidP="00C6420D">
      <w:pPr>
        <w:pStyle w:val="DHHSbody"/>
      </w:pPr>
      <w:r w:rsidRPr="004409A2">
        <w:t>The aim of an investigation is to identify and obtain evidence to inform a decision about the nature and the need for further action and to support further action, if required.</w:t>
      </w:r>
    </w:p>
    <w:p w14:paraId="6C877580" w14:textId="77777777" w:rsidR="00C6420D" w:rsidRDefault="00C6420D" w:rsidP="00C6420D">
      <w:pPr>
        <w:pStyle w:val="DHHSbody"/>
      </w:pPr>
      <w:r w:rsidRPr="004409A2">
        <w:t>An investigation is initiated in situations where a review fails to identify adequate justification for not taking further action in relation to unlawful or unsafe conduct.</w:t>
      </w:r>
    </w:p>
    <w:p w14:paraId="23B3A2D1" w14:textId="77777777" w:rsidR="00C6420D" w:rsidRDefault="00C6420D" w:rsidP="00C6420D">
      <w:pPr>
        <w:pStyle w:val="DHHSbody"/>
      </w:pPr>
      <w:r>
        <w:t>Some examples of where an investigation is undertaken include:</w:t>
      </w:r>
    </w:p>
    <w:p w14:paraId="3D79F462" w14:textId="7B2F2079" w:rsidR="00C6420D" w:rsidRDefault="00C6420D" w:rsidP="00C6420D">
      <w:pPr>
        <w:pStyle w:val="DHHSbullet1"/>
      </w:pPr>
      <w:r>
        <w:t>A health practitioner is diverting a Schedule 8 medicine for self-administration</w:t>
      </w:r>
      <w:r w:rsidR="00B07255">
        <w:t>;</w:t>
      </w:r>
    </w:p>
    <w:p w14:paraId="0AA11FE2" w14:textId="7E33E84C" w:rsidR="00C6420D" w:rsidRDefault="00C6420D" w:rsidP="00C6420D">
      <w:pPr>
        <w:pStyle w:val="DHHSbullet1"/>
      </w:pPr>
      <w:r>
        <w:t>A patient was prescribed dosages that exceed the permit limits and may result in harm to the patient</w:t>
      </w:r>
      <w:r w:rsidR="00B07255">
        <w:t>;</w:t>
      </w:r>
    </w:p>
    <w:p w14:paraId="6250D121" w14:textId="087BF2C2" w:rsidR="00C6420D" w:rsidRPr="00E4740D" w:rsidRDefault="00C6420D" w:rsidP="00C6420D">
      <w:pPr>
        <w:pStyle w:val="DHHSbullet1"/>
      </w:pPr>
      <w:r>
        <w:t xml:space="preserve">Criminal conduct was suspected, for example, obtaining a drug of dependence for the purposes of unlawful supply or </w:t>
      </w:r>
      <w:r w:rsidRPr="00E4740D">
        <w:t>trafficking to others</w:t>
      </w:r>
      <w:r w:rsidR="00B07255">
        <w:t>; and,</w:t>
      </w:r>
    </w:p>
    <w:p w14:paraId="5173C963" w14:textId="77777777" w:rsidR="00C6420D" w:rsidRPr="00E4740D" w:rsidRDefault="00C6420D" w:rsidP="00C6420D">
      <w:pPr>
        <w:pStyle w:val="DHHSbullet1lastline"/>
      </w:pPr>
      <w:r w:rsidRPr="00E4740D">
        <w:t>The suspected action would materially undermine the integrity of the regulatory system.</w:t>
      </w:r>
    </w:p>
    <w:p w14:paraId="3DAFEFCC" w14:textId="3F4CEB8F" w:rsidR="00D00859" w:rsidRDefault="00D00859" w:rsidP="00BE66BA">
      <w:pPr>
        <w:pStyle w:val="Heading1"/>
      </w:pPr>
      <w:bookmarkStart w:id="15" w:name="_Toc115884455"/>
      <w:r>
        <w:lastRenderedPageBreak/>
        <w:t>Actions and sanctions</w:t>
      </w:r>
      <w:bookmarkEnd w:id="15"/>
    </w:p>
    <w:p w14:paraId="218F3D01" w14:textId="6E14DE85" w:rsidR="0051242F" w:rsidRDefault="00735C4B" w:rsidP="332AA67E">
      <w:pPr>
        <w:pStyle w:val="DHHSbody"/>
        <w:rPr>
          <w:b/>
          <w:bCs/>
        </w:rPr>
      </w:pPr>
      <w:r w:rsidRPr="41FD14AD">
        <w:rPr>
          <w:b/>
          <w:bCs/>
        </w:rPr>
        <w:t>T</w:t>
      </w:r>
      <w:r w:rsidR="009E1736" w:rsidRPr="41FD14AD">
        <w:rPr>
          <w:b/>
          <w:bCs/>
        </w:rPr>
        <w:t xml:space="preserve">he legislative framework provides the </w:t>
      </w:r>
      <w:r w:rsidR="002A6E11">
        <w:rPr>
          <w:b/>
          <w:bCs/>
        </w:rPr>
        <w:t>department</w:t>
      </w:r>
      <w:r w:rsidR="009E1736" w:rsidRPr="41FD14AD">
        <w:rPr>
          <w:b/>
          <w:bCs/>
        </w:rPr>
        <w:t xml:space="preserve"> with a range of responses to </w:t>
      </w:r>
      <w:r w:rsidR="008A14C3" w:rsidRPr="41FD14AD">
        <w:rPr>
          <w:b/>
          <w:bCs/>
        </w:rPr>
        <w:t xml:space="preserve">change behaviour through education or to </w:t>
      </w:r>
      <w:r w:rsidR="009E1736" w:rsidRPr="41FD14AD">
        <w:rPr>
          <w:b/>
          <w:bCs/>
        </w:rPr>
        <w:t>enforce the</w:t>
      </w:r>
      <w:bookmarkStart w:id="16" w:name="start"/>
      <w:bookmarkEnd w:id="16"/>
      <w:r w:rsidR="009E1736" w:rsidRPr="41FD14AD">
        <w:rPr>
          <w:b/>
          <w:bCs/>
        </w:rPr>
        <w:t xml:space="preserve"> law. </w:t>
      </w:r>
      <w:r w:rsidR="000C3C1C" w:rsidRPr="41FD14AD">
        <w:rPr>
          <w:b/>
          <w:bCs/>
        </w:rPr>
        <w:t xml:space="preserve">The </w:t>
      </w:r>
      <w:r w:rsidR="002A6E11">
        <w:rPr>
          <w:b/>
          <w:bCs/>
        </w:rPr>
        <w:t>department</w:t>
      </w:r>
      <w:r w:rsidR="000C3C1C" w:rsidRPr="41FD14AD">
        <w:rPr>
          <w:b/>
          <w:bCs/>
        </w:rPr>
        <w:t xml:space="preserve"> also supports Outcomes by referring matter</w:t>
      </w:r>
      <w:r w:rsidR="0047366B" w:rsidRPr="41FD14AD">
        <w:rPr>
          <w:b/>
          <w:bCs/>
        </w:rPr>
        <w:t>s</w:t>
      </w:r>
      <w:r w:rsidR="000C3C1C" w:rsidRPr="41FD14AD">
        <w:rPr>
          <w:b/>
          <w:bCs/>
        </w:rPr>
        <w:t xml:space="preserve"> to other agencies. </w:t>
      </w:r>
    </w:p>
    <w:p w14:paraId="0F240551" w14:textId="7AA6441E" w:rsidR="009E1736" w:rsidRDefault="04A591BE" w:rsidP="00735C4B">
      <w:pPr>
        <w:pStyle w:val="DHHSbody"/>
      </w:pPr>
      <w:r>
        <w:t xml:space="preserve">Actions and sanctions the </w:t>
      </w:r>
      <w:r w:rsidR="002A6E11">
        <w:t>department</w:t>
      </w:r>
      <w:r>
        <w:t xml:space="preserve"> can undertake </w:t>
      </w:r>
      <w:r w:rsidR="501E179F">
        <w:t xml:space="preserve">range from providing advice </w:t>
      </w:r>
      <w:r w:rsidR="5DDE6C4B">
        <w:t>and education</w:t>
      </w:r>
      <w:r w:rsidR="501E179F">
        <w:t xml:space="preserve"> in relation to minor bre</w:t>
      </w:r>
      <w:r w:rsidR="2A850292">
        <w:t xml:space="preserve">aches of the law to prosecutions. To address harms the </w:t>
      </w:r>
      <w:r w:rsidR="002A6E11">
        <w:t>department</w:t>
      </w:r>
      <w:r w:rsidR="2A850292">
        <w:t xml:space="preserve"> use</w:t>
      </w:r>
      <w:r w:rsidR="53908DAE">
        <w:t>s</w:t>
      </w:r>
      <w:r w:rsidR="2A850292">
        <w:t xml:space="preserve"> these tools in combination. </w:t>
      </w:r>
      <w:r w:rsidR="6765E5F6">
        <w:t xml:space="preserve">The </w:t>
      </w:r>
      <w:r w:rsidR="002A6E11">
        <w:t>department</w:t>
      </w:r>
      <w:r w:rsidR="6765E5F6">
        <w:t xml:space="preserve"> </w:t>
      </w:r>
      <w:r w:rsidR="53908DAE">
        <w:t>t</w:t>
      </w:r>
      <w:r w:rsidR="6765E5F6">
        <w:t>ake</w:t>
      </w:r>
      <w:r w:rsidR="53908DAE">
        <w:t>s</w:t>
      </w:r>
      <w:r w:rsidR="6765E5F6">
        <w:t xml:space="preserve"> a</w:t>
      </w:r>
      <w:r w:rsidR="00C1652A">
        <w:t xml:space="preserve"> graduated</w:t>
      </w:r>
      <w:r w:rsidR="6765E5F6">
        <w:t xml:space="preserve"> approach to actions and sanctions, ranging from </w:t>
      </w:r>
      <w:r w:rsidR="4CF3630F">
        <w:t xml:space="preserve">educational interventions </w:t>
      </w:r>
      <w:r w:rsidR="6765E5F6">
        <w:t>as the least severe to prosecution and</w:t>
      </w:r>
      <w:r w:rsidR="4CF3630F">
        <w:t xml:space="preserve"> </w:t>
      </w:r>
      <w:r w:rsidR="6765E5F6">
        <w:t>licence or permit revocation as the most severe.</w:t>
      </w:r>
    </w:p>
    <w:p w14:paraId="73EC9F82" w14:textId="63298D0C" w:rsidR="008A14C3" w:rsidRDefault="008A14C3" w:rsidP="008A14C3">
      <w:pPr>
        <w:pStyle w:val="Heading2"/>
      </w:pPr>
      <w:r>
        <w:t>Population level interventions</w:t>
      </w:r>
    </w:p>
    <w:p w14:paraId="57B02913" w14:textId="4F9B39EC" w:rsidR="00C22DA4" w:rsidRDefault="2A850292" w:rsidP="008A14C3">
      <w:pPr>
        <w:pStyle w:val="DHHSbody"/>
      </w:pPr>
      <w:r>
        <w:t>SafeScript provide</w:t>
      </w:r>
      <w:r w:rsidR="53908DAE">
        <w:t>s</w:t>
      </w:r>
      <w:r>
        <w:t xml:space="preserve"> an opportunity to monitor population-level trends in prescribing practices. </w:t>
      </w:r>
      <w:r w:rsidR="53908DAE">
        <w:t>Utilising this information the</w:t>
      </w:r>
      <w:r>
        <w:t xml:space="preserve"> </w:t>
      </w:r>
      <w:r w:rsidR="002A6E11">
        <w:t>department</w:t>
      </w:r>
      <w:r>
        <w:t xml:space="preserve"> </w:t>
      </w:r>
      <w:r w:rsidR="53908DAE">
        <w:t>can</w:t>
      </w:r>
      <w:r>
        <w:t xml:space="preserve"> </w:t>
      </w:r>
      <w:r w:rsidR="4E250E1B">
        <w:t>implement harms</w:t>
      </w:r>
      <w:r w:rsidR="1A62D191">
        <w:t>-based educational interventions</w:t>
      </w:r>
      <w:r>
        <w:t xml:space="preserve"> that can help educate large groups of medical practitioners to change </w:t>
      </w:r>
      <w:r w:rsidR="1A62D191">
        <w:t>future</w:t>
      </w:r>
      <w:r>
        <w:t xml:space="preserve"> prescribing behaviours. </w:t>
      </w:r>
    </w:p>
    <w:p w14:paraId="1C2498A5" w14:textId="2C9F7A49" w:rsidR="008A14C3" w:rsidRDefault="00C22DA4" w:rsidP="008A14C3">
      <w:pPr>
        <w:pStyle w:val="DHHSbody"/>
      </w:pPr>
      <w:r>
        <w:t xml:space="preserve">As discussed in Section </w:t>
      </w:r>
      <w:r w:rsidR="00C80625">
        <w:t>6</w:t>
      </w:r>
      <w:r>
        <w:t>, there are passive, persuasive and active interventions in addition to campaigns that</w:t>
      </w:r>
      <w:r w:rsidR="009B6C5A">
        <w:t xml:space="preserve"> form</w:t>
      </w:r>
      <w:r w:rsidR="00530BD1">
        <w:t xml:space="preserve"> a part of the harms-based educational</w:t>
      </w:r>
      <w:r>
        <w:t xml:space="preserve"> toolkit. Active interventions are more effective than passive or p</w:t>
      </w:r>
      <w:r w:rsidR="00530BD1">
        <w:t xml:space="preserve">ersuasive interventions whilst utilising </w:t>
      </w:r>
      <w:r w:rsidR="00D34256">
        <w:t xml:space="preserve">a combination of </w:t>
      </w:r>
      <w:r w:rsidR="00530BD1">
        <w:t xml:space="preserve">active interventions </w:t>
      </w:r>
      <w:r w:rsidR="00E132D1">
        <w:t>i</w:t>
      </w:r>
      <w:r w:rsidR="00D34256">
        <w:t>s more effective at influencing behaviour change than any active intervention alone.</w:t>
      </w:r>
    </w:p>
    <w:p w14:paraId="4300A425" w14:textId="77777777" w:rsidR="00B459D7" w:rsidRDefault="008A14C3" w:rsidP="004C7EE0">
      <w:pPr>
        <w:pStyle w:val="Heading2"/>
      </w:pPr>
      <w:r>
        <w:t>Individual i</w:t>
      </w:r>
      <w:r w:rsidR="00B459D7">
        <w:t xml:space="preserve">nterventions </w:t>
      </w:r>
    </w:p>
    <w:p w14:paraId="0AA5EDBF" w14:textId="43304E5C" w:rsidR="00BA43C0" w:rsidRPr="006D4C34" w:rsidRDefault="0D71BE56" w:rsidP="00B459D7">
      <w:pPr>
        <w:pStyle w:val="DHHSbody"/>
      </w:pPr>
      <w:r>
        <w:t xml:space="preserve">If the </w:t>
      </w:r>
      <w:r w:rsidR="002A6E11">
        <w:t>department</w:t>
      </w:r>
      <w:r>
        <w:t xml:space="preserve"> identifies a matter that </w:t>
      </w:r>
      <w:r w:rsidR="5BD62D1B">
        <w:t>appears to be</w:t>
      </w:r>
      <w:r>
        <w:t xml:space="preserve"> unlawful, unsafe or inappropriate, the first response is </w:t>
      </w:r>
      <w:r w:rsidR="0F278659">
        <w:t>typically</w:t>
      </w:r>
      <w:r>
        <w:t xml:space="preserve"> to issue </w:t>
      </w:r>
      <w:r w:rsidR="0F278659">
        <w:t>a</w:t>
      </w:r>
      <w:r w:rsidR="36623B35">
        <w:t>n intervention</w:t>
      </w:r>
      <w:r w:rsidR="0F278659">
        <w:t xml:space="preserve"> </w:t>
      </w:r>
      <w:r>
        <w:t xml:space="preserve">letter. </w:t>
      </w:r>
      <w:r w:rsidR="69AE5BD4">
        <w:t xml:space="preserve">In a typical year the </w:t>
      </w:r>
      <w:r w:rsidR="002A6E11">
        <w:t>department</w:t>
      </w:r>
      <w:r w:rsidR="69AE5BD4">
        <w:t xml:space="preserve"> will issue around 1,500 letters to remind practitioners of their obligations and to indicate what, if any, further action the </w:t>
      </w:r>
      <w:r w:rsidR="002A6E11">
        <w:t>department</w:t>
      </w:r>
      <w:r w:rsidR="69AE5BD4">
        <w:t xml:space="preserve"> may take in relation to the matter</w:t>
      </w:r>
      <w:r w:rsidR="5E3088DD">
        <w:t>.</w:t>
      </w:r>
      <w:r w:rsidR="71C2B47D">
        <w:t xml:space="preserve"> </w:t>
      </w:r>
      <w:r w:rsidR="69AE5BD4">
        <w:t>If the matter is considered high</w:t>
      </w:r>
      <w:r w:rsidR="139E6FBE">
        <w:t>-</w:t>
      </w:r>
      <w:r w:rsidR="69AE5BD4">
        <w:t xml:space="preserve">risk, the </w:t>
      </w:r>
      <w:r w:rsidR="002A6E11">
        <w:t>department</w:t>
      </w:r>
      <w:r w:rsidR="69AE5BD4">
        <w:t xml:space="preserve"> may choose to call or visit the practitioner.</w:t>
      </w:r>
    </w:p>
    <w:p w14:paraId="1A9E64BF" w14:textId="0650BBCE" w:rsidR="00907701" w:rsidRDefault="000527E3" w:rsidP="00B459D7">
      <w:pPr>
        <w:pStyle w:val="DHHSbody"/>
      </w:pPr>
      <w:r>
        <w:t>As part of any subsequent review, l</w:t>
      </w:r>
      <w:r w:rsidR="00543613">
        <w:t xml:space="preserve">etters </w:t>
      </w:r>
      <w:r w:rsidR="00907701">
        <w:t>generally</w:t>
      </w:r>
      <w:r w:rsidR="00543613">
        <w:t xml:space="preserve"> require the practitioner to provide additional information and </w:t>
      </w:r>
      <w:r>
        <w:t>provide</w:t>
      </w:r>
      <w:r w:rsidR="00543613">
        <w:t xml:space="preserve"> an opportunity to explain </w:t>
      </w:r>
      <w:r>
        <w:t xml:space="preserve">or refute their </w:t>
      </w:r>
      <w:r w:rsidR="00983BB0">
        <w:t>alleged</w:t>
      </w:r>
      <w:r>
        <w:t xml:space="preserve"> actions</w:t>
      </w:r>
      <w:r w:rsidR="00C20036">
        <w:t xml:space="preserve">. These letters will typically correspond to the </w:t>
      </w:r>
      <w:r w:rsidR="00907701">
        <w:t>number of reviews</w:t>
      </w:r>
      <w:r w:rsidR="00C20036">
        <w:t xml:space="preserve"> that are initiated and will be more complex than basic intervention letters. </w:t>
      </w:r>
      <w:r w:rsidR="00543613">
        <w:t xml:space="preserve">The </w:t>
      </w:r>
      <w:r w:rsidR="002A6E11">
        <w:t>department</w:t>
      </w:r>
      <w:r w:rsidR="00543613">
        <w:t xml:space="preserve"> reviews </w:t>
      </w:r>
      <w:r w:rsidR="00907701">
        <w:t>all</w:t>
      </w:r>
      <w:r w:rsidR="00543613">
        <w:t xml:space="preserve"> response</w:t>
      </w:r>
      <w:r w:rsidR="00907701">
        <w:t>s</w:t>
      </w:r>
      <w:r w:rsidR="00543613">
        <w:t xml:space="preserve"> from the practitioner </w:t>
      </w:r>
      <w:r w:rsidR="00907701">
        <w:t xml:space="preserve">before determining whether to undertake a further review, </w:t>
      </w:r>
      <w:r w:rsidR="00AC3882">
        <w:t>upgrade</w:t>
      </w:r>
      <w:r w:rsidR="00907701">
        <w:t xml:space="preserve"> a review to an investigation or tak</w:t>
      </w:r>
      <w:r w:rsidR="00AC3882">
        <w:t>e</w:t>
      </w:r>
      <w:r w:rsidR="00907701">
        <w:t xml:space="preserve"> no further action.</w:t>
      </w:r>
    </w:p>
    <w:p w14:paraId="498BBB3E" w14:textId="77777777" w:rsidR="00C711A0" w:rsidRPr="00681C46" w:rsidRDefault="008A14C3" w:rsidP="00681C46">
      <w:pPr>
        <w:pStyle w:val="Heading2"/>
      </w:pPr>
      <w:r>
        <w:t>Individual c</w:t>
      </w:r>
      <w:r w:rsidR="0051242F" w:rsidRPr="00681C46">
        <w:t>ounselling sessions</w:t>
      </w:r>
    </w:p>
    <w:p w14:paraId="109B1AC9" w14:textId="360EC8B0" w:rsidR="0051242F" w:rsidRPr="004409A2" w:rsidRDefault="0051242F" w:rsidP="0051242F">
      <w:pPr>
        <w:pStyle w:val="DHHSbody"/>
      </w:pPr>
      <w:r>
        <w:t xml:space="preserve">If it is apparent that a contravention is deliberate, but has not resulted in major harm or risk, the </w:t>
      </w:r>
      <w:r w:rsidR="002A6E11">
        <w:t>department</w:t>
      </w:r>
      <w:r>
        <w:t xml:space="preserve"> may consider formal counselling sessions. These sessions are conducted to clarify the risks to the community of a particular behaviour and </w:t>
      </w:r>
      <w:r w:rsidR="00543613">
        <w:t xml:space="preserve">educate the practitioner. The practitioner may be </w:t>
      </w:r>
      <w:r>
        <w:t>warn</w:t>
      </w:r>
      <w:r w:rsidR="00543613">
        <w:t>ed</w:t>
      </w:r>
      <w:r w:rsidR="000527E3">
        <w:t xml:space="preserve"> </w:t>
      </w:r>
      <w:r>
        <w:t xml:space="preserve">of the possibility of prosecution and potential actions by other regulatory bodies (for example, </w:t>
      </w:r>
      <w:r w:rsidR="000D5784">
        <w:t>Ahpra</w:t>
      </w:r>
      <w:r>
        <w:t xml:space="preserve">) and the police. In determining the suitability of this approach, the </w:t>
      </w:r>
      <w:r w:rsidR="002A6E11">
        <w:t>department</w:t>
      </w:r>
      <w:r>
        <w:t xml:space="preserve"> may also consider:</w:t>
      </w:r>
    </w:p>
    <w:p w14:paraId="295F3BA8" w14:textId="036AB681" w:rsidR="0051242F" w:rsidRPr="004409A2" w:rsidRDefault="0051242F" w:rsidP="0047366B">
      <w:pPr>
        <w:pStyle w:val="DHHSbullet1"/>
      </w:pPr>
      <w:r w:rsidRPr="004409A2">
        <w:t>whether the practitioner has a good history of compliance</w:t>
      </w:r>
      <w:r w:rsidR="00D17023">
        <w:t>; and,</w:t>
      </w:r>
    </w:p>
    <w:p w14:paraId="45805D12" w14:textId="77777777" w:rsidR="0051242F" w:rsidRPr="004409A2" w:rsidRDefault="0051242F" w:rsidP="0047366B">
      <w:pPr>
        <w:pStyle w:val="DHHSbullet1"/>
      </w:pPr>
      <w:r w:rsidRPr="004409A2">
        <w:t>whether the practitioner has taken reasonable steps to remedy the situation and prevent a recurrence of the breach.</w:t>
      </w:r>
    </w:p>
    <w:p w14:paraId="687F487D" w14:textId="5F3D144A" w:rsidR="008A14C3" w:rsidRDefault="004409A2" w:rsidP="004B3F01">
      <w:pPr>
        <w:pStyle w:val="DHHSbullet1"/>
        <w:numPr>
          <w:ilvl w:val="0"/>
          <w:numId w:val="0"/>
        </w:numPr>
      </w:pPr>
      <w:r>
        <w:t xml:space="preserve">In a typical year the </w:t>
      </w:r>
      <w:r w:rsidR="002A6E11">
        <w:t>department</w:t>
      </w:r>
      <w:r>
        <w:t xml:space="preserve"> completes between 20 and 40 counselling sessions.</w:t>
      </w:r>
      <w:r w:rsidR="008A14C3">
        <w:t xml:space="preserve"> </w:t>
      </w:r>
    </w:p>
    <w:p w14:paraId="760CD227" w14:textId="77777777" w:rsidR="00386465" w:rsidRDefault="0051242F" w:rsidP="00681C46">
      <w:pPr>
        <w:pStyle w:val="Heading2"/>
      </w:pPr>
      <w:r w:rsidRPr="0051242F">
        <w:t>Referral</w:t>
      </w:r>
      <w:r w:rsidR="00386465">
        <w:t xml:space="preserve"> to other </w:t>
      </w:r>
      <w:r w:rsidR="00516B4D">
        <w:t>regulators</w:t>
      </w:r>
    </w:p>
    <w:p w14:paraId="64E70DD7" w14:textId="2D884E32" w:rsidR="000454AB" w:rsidRDefault="677B67E2" w:rsidP="00C711A0">
      <w:pPr>
        <w:pStyle w:val="DHHSbody"/>
      </w:pPr>
      <w:r>
        <w:t xml:space="preserve">The </w:t>
      </w:r>
      <w:r w:rsidR="002A6E11">
        <w:t>department</w:t>
      </w:r>
      <w:r>
        <w:t xml:space="preserve"> regularly provides information to other regulator</w:t>
      </w:r>
      <w:r w:rsidR="6332414D">
        <w:t>s</w:t>
      </w:r>
      <w:r>
        <w:t xml:space="preserve">, including </w:t>
      </w:r>
      <w:r w:rsidR="53908DAE">
        <w:t>Ahpra</w:t>
      </w:r>
      <w:r w:rsidR="022FBCFA">
        <w:t>,</w:t>
      </w:r>
      <w:r>
        <w:t xml:space="preserve"> the Veterinary Practitioners Registration Board</w:t>
      </w:r>
      <w:r w:rsidR="59A0A55E">
        <w:t xml:space="preserve"> of Victoria</w:t>
      </w:r>
      <w:r>
        <w:t xml:space="preserve"> (VPRBV), the </w:t>
      </w:r>
      <w:r w:rsidR="15AC9B8F">
        <w:t>VPA</w:t>
      </w:r>
      <w:r>
        <w:t xml:space="preserve"> and Victoria Police. </w:t>
      </w:r>
      <w:r w:rsidR="155C9E6C">
        <w:t>In some cases</w:t>
      </w:r>
      <w:r w:rsidR="022FBCFA">
        <w:t>,</w:t>
      </w:r>
      <w:r w:rsidR="155C9E6C">
        <w:t xml:space="preserve"> the </w:t>
      </w:r>
      <w:r w:rsidR="002A6E11">
        <w:lastRenderedPageBreak/>
        <w:t>department</w:t>
      </w:r>
      <w:r w:rsidR="155C9E6C">
        <w:t xml:space="preserve"> and partner agencies pursue concurrent action</w:t>
      </w:r>
      <w:r w:rsidR="759D8324">
        <w:t>s</w:t>
      </w:r>
      <w:r w:rsidR="155C9E6C">
        <w:t>, while at other times</w:t>
      </w:r>
      <w:r w:rsidR="022FBCFA">
        <w:t>,</w:t>
      </w:r>
      <w:r w:rsidR="155C9E6C">
        <w:t xml:space="preserve"> the </w:t>
      </w:r>
      <w:r w:rsidR="002A6E11">
        <w:t>department</w:t>
      </w:r>
      <w:r w:rsidR="155C9E6C">
        <w:t xml:space="preserve"> refer</w:t>
      </w:r>
      <w:r w:rsidR="53908DAE">
        <w:t>s</w:t>
      </w:r>
      <w:r w:rsidR="155C9E6C">
        <w:t xml:space="preserve"> the matter and takes no further action.</w:t>
      </w:r>
      <w:r w:rsidR="2E928015">
        <w:t xml:space="preserve"> Referring a matter to another agency r</w:t>
      </w:r>
      <w:r w:rsidR="155C9E6C">
        <w:t xml:space="preserve">ecognises that other </w:t>
      </w:r>
      <w:r w:rsidR="2E928015">
        <w:t xml:space="preserve">regulators </w:t>
      </w:r>
      <w:r w:rsidR="155C9E6C">
        <w:t xml:space="preserve">may have more suitable </w:t>
      </w:r>
      <w:r w:rsidR="59A0A55E">
        <w:t xml:space="preserve">powers </w:t>
      </w:r>
      <w:r w:rsidR="155C9E6C">
        <w:t>to address or remedy</w:t>
      </w:r>
      <w:r w:rsidR="2A850292">
        <w:t xml:space="preserve"> </w:t>
      </w:r>
      <w:r w:rsidR="3B067F7A">
        <w:t>harm</w:t>
      </w:r>
      <w:r w:rsidR="2A850292">
        <w:t xml:space="preserve">. For example, a health practitioner who is self-administering can be stopped from treating patients by </w:t>
      </w:r>
      <w:r w:rsidR="007546DC">
        <w:t>Ahpra</w:t>
      </w:r>
      <w:r w:rsidR="2A850292">
        <w:t xml:space="preserve">. </w:t>
      </w:r>
    </w:p>
    <w:p w14:paraId="0F0ACBB2" w14:textId="77777777" w:rsidR="00B049F5" w:rsidRDefault="000454AB" w:rsidP="00C711A0">
      <w:pPr>
        <w:pStyle w:val="DHHSbody"/>
      </w:pPr>
      <w:r>
        <w:rPr>
          <w:noProof/>
          <w:lang w:eastAsia="en-AU"/>
        </w:rPr>
        <mc:AlternateContent>
          <mc:Choice Requires="wps">
            <w:drawing>
              <wp:inline distT="0" distB="0" distL="0" distR="0" wp14:anchorId="461CD5C2" wp14:editId="5B415E19">
                <wp:extent cx="5808268" cy="3347049"/>
                <wp:effectExtent l="0" t="0" r="21590"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268" cy="3347049"/>
                        </a:xfrm>
                        <a:prstGeom prst="rect">
                          <a:avLst/>
                        </a:prstGeom>
                        <a:solidFill>
                          <a:srgbClr val="FFFFFF"/>
                        </a:solidFill>
                        <a:ln w="9525">
                          <a:solidFill>
                            <a:srgbClr val="000000"/>
                          </a:solidFill>
                          <a:miter lim="800000"/>
                          <a:headEnd/>
                          <a:tailEnd/>
                        </a:ln>
                      </wps:spPr>
                      <wps:txbx>
                        <w:txbxContent>
                          <w:p w14:paraId="18081A94" w14:textId="0E7DBF2A" w:rsidR="00B22E55" w:rsidRPr="004409A2" w:rsidRDefault="00B22E55" w:rsidP="000454AB">
                            <w:pPr>
                              <w:pStyle w:val="DHHSbody"/>
                              <w:rPr>
                                <w:b/>
                              </w:rPr>
                            </w:pPr>
                            <w:r w:rsidRPr="004409A2">
                              <w:rPr>
                                <w:b/>
                              </w:rPr>
                              <w:t xml:space="preserve">Case study: When and how the </w:t>
                            </w:r>
                            <w:r w:rsidR="002A6E11">
                              <w:rPr>
                                <w:b/>
                              </w:rPr>
                              <w:t>department</w:t>
                            </w:r>
                            <w:r w:rsidRPr="004409A2">
                              <w:rPr>
                                <w:b/>
                              </w:rPr>
                              <w:t xml:space="preserve"> works with </w:t>
                            </w:r>
                            <w:r>
                              <w:rPr>
                                <w:b/>
                              </w:rPr>
                              <w:t>other regulators</w:t>
                            </w:r>
                          </w:p>
                          <w:p w14:paraId="09F04F6C" w14:textId="7B924EAE" w:rsidR="00B22E55" w:rsidRPr="004409A2" w:rsidRDefault="00B22E55" w:rsidP="000454AB">
                            <w:pPr>
                              <w:pStyle w:val="DHHSbody"/>
                            </w:pPr>
                            <w:r>
                              <w:t>Other regulators</w:t>
                            </w:r>
                            <w:r w:rsidRPr="004409A2">
                              <w:t xml:space="preserve"> and the </w:t>
                            </w:r>
                            <w:r w:rsidR="002A6E11">
                              <w:t>department</w:t>
                            </w:r>
                            <w:r w:rsidRPr="004409A2">
                              <w:t xml:space="preserve"> </w:t>
                            </w:r>
                            <w:r>
                              <w:t xml:space="preserve">may </w:t>
                            </w:r>
                            <w:r w:rsidRPr="004409A2">
                              <w:t>have different responsibilities that significantly overlap around protecting patients and the broader public. This gives rise to the expectation that the two organisations will share information when required, including when it is in the public interest or the interests of a patient to do so.</w:t>
                            </w:r>
                          </w:p>
                          <w:p w14:paraId="6323A9CA" w14:textId="7F56C788" w:rsidR="00B22E55" w:rsidRPr="004409A2" w:rsidRDefault="00B22E55" w:rsidP="000454AB">
                            <w:pPr>
                              <w:pStyle w:val="DHHSbody"/>
                            </w:pPr>
                            <w:r w:rsidRPr="004409A2">
                              <w:t xml:space="preserve">There are typically four scenarios when information will be shared between the </w:t>
                            </w:r>
                            <w:r w:rsidR="002A6E11">
                              <w:t>department</w:t>
                            </w:r>
                            <w:r w:rsidRPr="004409A2">
                              <w:t xml:space="preserve"> and </w:t>
                            </w:r>
                            <w:r>
                              <w:t>other regulators</w:t>
                            </w:r>
                            <w:r w:rsidRPr="004409A2">
                              <w:t>:</w:t>
                            </w:r>
                          </w:p>
                          <w:p w14:paraId="6A359621" w14:textId="40367837" w:rsidR="00B22E55" w:rsidRPr="004409A2" w:rsidRDefault="00B22E55" w:rsidP="00C2057A">
                            <w:pPr>
                              <w:pStyle w:val="ListParagraph"/>
                              <w:numPr>
                                <w:ilvl w:val="0"/>
                                <w:numId w:val="7"/>
                              </w:numPr>
                              <w:spacing w:before="200" w:after="200" w:line="276" w:lineRule="auto"/>
                              <w:rPr>
                                <w:rFonts w:cs="Arial"/>
                              </w:rPr>
                            </w:pPr>
                            <w:r>
                              <w:rPr>
                                <w:rFonts w:cs="Arial"/>
                              </w:rPr>
                              <w:t>The other regulator</w:t>
                            </w:r>
                            <w:r w:rsidRPr="004409A2">
                              <w:rPr>
                                <w:rFonts w:cs="Arial"/>
                              </w:rPr>
                              <w:t xml:space="preserve"> comes into possession of information that it considers may be relevant to the performance of departmental responsibilities and functions</w:t>
                            </w:r>
                            <w:r w:rsidR="00002A72">
                              <w:rPr>
                                <w:rFonts w:cs="Arial"/>
                              </w:rPr>
                              <w:t>;</w:t>
                            </w:r>
                          </w:p>
                          <w:p w14:paraId="24CD5179" w14:textId="04AE9DFE" w:rsidR="00B22E55" w:rsidRPr="004409A2" w:rsidRDefault="00B22E55" w:rsidP="00C2057A">
                            <w:pPr>
                              <w:pStyle w:val="DHHSbody"/>
                              <w:numPr>
                                <w:ilvl w:val="0"/>
                                <w:numId w:val="7"/>
                              </w:numPr>
                            </w:pPr>
                            <w:r>
                              <w:rPr>
                                <w:rFonts w:cs="Arial"/>
                              </w:rPr>
                              <w:t>The other regulator</w:t>
                            </w:r>
                            <w:r w:rsidRPr="004409A2">
                              <w:rPr>
                                <w:rFonts w:cs="Arial"/>
                              </w:rPr>
                              <w:t xml:space="preserve"> seeks information from the department relevant t</w:t>
                            </w:r>
                            <w:r>
                              <w:rPr>
                                <w:rFonts w:cs="Arial"/>
                              </w:rPr>
                              <w:t>heir</w:t>
                            </w:r>
                            <w:r w:rsidRPr="004409A2">
                              <w:rPr>
                                <w:rFonts w:cs="Arial"/>
                              </w:rPr>
                              <w:t xml:space="preserve"> responsibilities and functions</w:t>
                            </w:r>
                            <w:r w:rsidR="00002A72">
                              <w:rPr>
                                <w:rFonts w:cs="Arial"/>
                              </w:rPr>
                              <w:t>;</w:t>
                            </w:r>
                          </w:p>
                          <w:p w14:paraId="73BB4E7E" w14:textId="3D0230C8" w:rsidR="00B22E55" w:rsidRPr="004409A2" w:rsidRDefault="00B22E55" w:rsidP="00C2057A">
                            <w:pPr>
                              <w:pStyle w:val="DHHSbody"/>
                              <w:numPr>
                                <w:ilvl w:val="0"/>
                                <w:numId w:val="7"/>
                              </w:numPr>
                            </w:pPr>
                            <w:r w:rsidRPr="004409A2">
                              <w:rPr>
                                <w:rFonts w:cs="Arial"/>
                              </w:rPr>
                              <w:t xml:space="preserve">The department seeks information from </w:t>
                            </w:r>
                            <w:r>
                              <w:rPr>
                                <w:rFonts w:cs="Arial"/>
                              </w:rPr>
                              <w:t>the other regulator</w:t>
                            </w:r>
                            <w:r w:rsidRPr="004409A2">
                              <w:rPr>
                                <w:rFonts w:cs="Arial"/>
                              </w:rPr>
                              <w:t xml:space="preserve"> in order to exercise departmental responsibilities and functions</w:t>
                            </w:r>
                            <w:r w:rsidR="00002A72">
                              <w:rPr>
                                <w:rFonts w:cs="Arial"/>
                              </w:rPr>
                              <w:t>; and,</w:t>
                            </w:r>
                          </w:p>
                          <w:p w14:paraId="73BF392C" w14:textId="18162A72" w:rsidR="00B22E55" w:rsidRPr="004409A2" w:rsidRDefault="00B22E55" w:rsidP="00C2057A">
                            <w:pPr>
                              <w:pStyle w:val="ListParagraph"/>
                              <w:numPr>
                                <w:ilvl w:val="0"/>
                                <w:numId w:val="7"/>
                              </w:numPr>
                              <w:spacing w:before="200" w:after="200" w:line="276" w:lineRule="auto"/>
                              <w:rPr>
                                <w:rFonts w:cs="Arial"/>
                              </w:rPr>
                            </w:pPr>
                            <w:r w:rsidRPr="004409A2">
                              <w:rPr>
                                <w:rFonts w:cs="Arial"/>
                              </w:rPr>
                              <w:t xml:space="preserve">The department comes into possession of information that it considers may be relevant to </w:t>
                            </w:r>
                            <w:r>
                              <w:rPr>
                                <w:rFonts w:cs="Arial"/>
                              </w:rPr>
                              <w:t>the other regulators</w:t>
                            </w:r>
                            <w:r w:rsidRPr="004409A2">
                              <w:rPr>
                                <w:rFonts w:cs="Arial"/>
                              </w:rPr>
                              <w:t xml:space="preserve"> responsibilities and functions. </w:t>
                            </w:r>
                          </w:p>
                        </w:txbxContent>
                      </wps:txbx>
                      <wps:bodyPr rot="0" vert="horz" wrap="square" lIns="91440" tIns="45720" rIns="91440" bIns="45720" anchor="t" anchorCtr="0">
                        <a:noAutofit/>
                      </wps:bodyPr>
                    </wps:wsp>
                  </a:graphicData>
                </a:graphic>
              </wp:inline>
            </w:drawing>
          </mc:Choice>
          <mc:Fallback>
            <w:pict>
              <v:shape w14:anchorId="461CD5C2" id="Text Box 2" o:spid="_x0000_s1035" type="#_x0000_t202" style="width:457.35pt;height:2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">
                <v:textbox>
                  <w:txbxContent>
                    <w:p w14:paraId="18081A94" w14:textId="0E7DBF2A" w:rsidR="00B22E55" w:rsidRPr="004409A2" w:rsidRDefault="00B22E55" w:rsidP="000454AB">
                      <w:pPr>
                        <w:pStyle w:val="DHHSbody"/>
                        <w:rPr>
                          <w:b/>
                        </w:rPr>
                      </w:pPr>
                      <w:r w:rsidRPr="004409A2">
                        <w:rPr>
                          <w:b/>
                        </w:rPr>
                        <w:t xml:space="preserve">Case study: When and how the </w:t>
                      </w:r>
                      <w:r w:rsidR="002A6E11">
                        <w:rPr>
                          <w:b/>
                        </w:rPr>
                        <w:t>department</w:t>
                      </w:r>
                      <w:r w:rsidRPr="004409A2">
                        <w:rPr>
                          <w:b/>
                        </w:rPr>
                        <w:t xml:space="preserve"> works with </w:t>
                      </w:r>
                      <w:r>
                        <w:rPr>
                          <w:b/>
                        </w:rPr>
                        <w:t>other regulators</w:t>
                      </w:r>
                    </w:p>
                    <w:p w14:paraId="09F04F6C" w14:textId="7B924EAE" w:rsidR="00B22E55" w:rsidRPr="004409A2" w:rsidRDefault="00B22E55" w:rsidP="000454AB">
                      <w:pPr>
                        <w:pStyle w:val="DHHSbody"/>
                      </w:pPr>
                      <w:r>
                        <w:t>Other regulators</w:t>
                      </w:r>
                      <w:r w:rsidRPr="004409A2">
                        <w:t xml:space="preserve"> and the </w:t>
                      </w:r>
                      <w:r w:rsidR="002A6E11">
                        <w:t>department</w:t>
                      </w:r>
                      <w:r w:rsidRPr="004409A2">
                        <w:t xml:space="preserve"> </w:t>
                      </w:r>
                      <w:r>
                        <w:t xml:space="preserve">may </w:t>
                      </w:r>
                      <w:r w:rsidRPr="004409A2">
                        <w:t>have different responsibilities that significantly overlap around protecting patients and the broader public. This gives rise to the expectation that the two organisations will share information when required, including when it is in the public interest or the interests of a patient to do so.</w:t>
                      </w:r>
                    </w:p>
                    <w:p w14:paraId="6323A9CA" w14:textId="7F56C788" w:rsidR="00B22E55" w:rsidRPr="004409A2" w:rsidRDefault="00B22E55" w:rsidP="000454AB">
                      <w:pPr>
                        <w:pStyle w:val="DHHSbody"/>
                      </w:pPr>
                      <w:r w:rsidRPr="004409A2">
                        <w:t xml:space="preserve">There are typically four scenarios when information will be shared between the </w:t>
                      </w:r>
                      <w:r w:rsidR="002A6E11">
                        <w:t>department</w:t>
                      </w:r>
                      <w:r w:rsidRPr="004409A2">
                        <w:t xml:space="preserve"> and </w:t>
                      </w:r>
                      <w:r>
                        <w:t>other regulators</w:t>
                      </w:r>
                      <w:r w:rsidRPr="004409A2">
                        <w:t>:</w:t>
                      </w:r>
                    </w:p>
                    <w:p w14:paraId="6A359621" w14:textId="40367837" w:rsidR="00B22E55" w:rsidRPr="004409A2" w:rsidRDefault="00B22E55" w:rsidP="00C2057A">
                      <w:pPr>
                        <w:pStyle w:val="ListParagraph"/>
                        <w:numPr>
                          <w:ilvl w:val="0"/>
                          <w:numId w:val="7"/>
                        </w:numPr>
                        <w:spacing w:before="200" w:after="200" w:line="276" w:lineRule="auto"/>
                        <w:rPr>
                          <w:rFonts w:cs="Arial"/>
                        </w:rPr>
                      </w:pPr>
                      <w:r>
                        <w:rPr>
                          <w:rFonts w:cs="Arial"/>
                        </w:rPr>
                        <w:t>The other regulator</w:t>
                      </w:r>
                      <w:r w:rsidRPr="004409A2">
                        <w:rPr>
                          <w:rFonts w:cs="Arial"/>
                        </w:rPr>
                        <w:t xml:space="preserve"> comes into possession of information that it considers may be relevant to the performance of departmental responsibilities and functions</w:t>
                      </w:r>
                      <w:r w:rsidR="00002A72">
                        <w:rPr>
                          <w:rFonts w:cs="Arial"/>
                        </w:rPr>
                        <w:t>;</w:t>
                      </w:r>
                    </w:p>
                    <w:p w14:paraId="24CD5179" w14:textId="04AE9DFE" w:rsidR="00B22E55" w:rsidRPr="004409A2" w:rsidRDefault="00B22E55" w:rsidP="00C2057A">
                      <w:pPr>
                        <w:pStyle w:val="DHHSbody"/>
                        <w:numPr>
                          <w:ilvl w:val="0"/>
                          <w:numId w:val="7"/>
                        </w:numPr>
                      </w:pPr>
                      <w:r>
                        <w:rPr>
                          <w:rFonts w:cs="Arial"/>
                        </w:rPr>
                        <w:t>The other regulator</w:t>
                      </w:r>
                      <w:r w:rsidRPr="004409A2">
                        <w:rPr>
                          <w:rFonts w:cs="Arial"/>
                        </w:rPr>
                        <w:t xml:space="preserve"> seeks information from the department relevant t</w:t>
                      </w:r>
                      <w:r>
                        <w:rPr>
                          <w:rFonts w:cs="Arial"/>
                        </w:rPr>
                        <w:t>heir</w:t>
                      </w:r>
                      <w:r w:rsidRPr="004409A2">
                        <w:rPr>
                          <w:rFonts w:cs="Arial"/>
                        </w:rPr>
                        <w:t xml:space="preserve"> responsibilities and functions</w:t>
                      </w:r>
                      <w:r w:rsidR="00002A72">
                        <w:rPr>
                          <w:rFonts w:cs="Arial"/>
                        </w:rPr>
                        <w:t>;</w:t>
                      </w:r>
                    </w:p>
                    <w:p w14:paraId="73BB4E7E" w14:textId="3D0230C8" w:rsidR="00B22E55" w:rsidRPr="004409A2" w:rsidRDefault="00B22E55" w:rsidP="00C2057A">
                      <w:pPr>
                        <w:pStyle w:val="DHHSbody"/>
                        <w:numPr>
                          <w:ilvl w:val="0"/>
                          <w:numId w:val="7"/>
                        </w:numPr>
                      </w:pPr>
                      <w:r w:rsidRPr="004409A2">
                        <w:rPr>
                          <w:rFonts w:cs="Arial"/>
                        </w:rPr>
                        <w:t xml:space="preserve">The department seeks information from </w:t>
                      </w:r>
                      <w:r>
                        <w:rPr>
                          <w:rFonts w:cs="Arial"/>
                        </w:rPr>
                        <w:t>the other regulator</w:t>
                      </w:r>
                      <w:r w:rsidRPr="004409A2">
                        <w:rPr>
                          <w:rFonts w:cs="Arial"/>
                        </w:rPr>
                        <w:t xml:space="preserve"> in order to exercise departmental responsibilities and functions</w:t>
                      </w:r>
                      <w:r w:rsidR="00002A72">
                        <w:rPr>
                          <w:rFonts w:cs="Arial"/>
                        </w:rPr>
                        <w:t>; and,</w:t>
                      </w:r>
                    </w:p>
                    <w:p w14:paraId="73BF392C" w14:textId="18162A72" w:rsidR="00B22E55" w:rsidRPr="004409A2" w:rsidRDefault="00B22E55" w:rsidP="00C2057A">
                      <w:pPr>
                        <w:pStyle w:val="ListParagraph"/>
                        <w:numPr>
                          <w:ilvl w:val="0"/>
                          <w:numId w:val="7"/>
                        </w:numPr>
                        <w:spacing w:before="200" w:after="200" w:line="276" w:lineRule="auto"/>
                        <w:rPr>
                          <w:rFonts w:cs="Arial"/>
                        </w:rPr>
                      </w:pPr>
                      <w:r w:rsidRPr="004409A2">
                        <w:rPr>
                          <w:rFonts w:cs="Arial"/>
                        </w:rPr>
                        <w:t xml:space="preserve">The department comes into possession of information that it considers may be relevant to </w:t>
                      </w:r>
                      <w:r>
                        <w:rPr>
                          <w:rFonts w:cs="Arial"/>
                        </w:rPr>
                        <w:t>the other regulators</w:t>
                      </w:r>
                      <w:r w:rsidRPr="004409A2">
                        <w:rPr>
                          <w:rFonts w:cs="Arial"/>
                        </w:rPr>
                        <w:t xml:space="preserve"> responsibilities and functions. </w:t>
                      </w:r>
                    </w:p>
                  </w:txbxContent>
                </v:textbox>
                <w10:anchorlock/>
              </v:shape>
            </w:pict>
          </mc:Fallback>
        </mc:AlternateContent>
      </w:r>
    </w:p>
    <w:p w14:paraId="2C35364B" w14:textId="086D0170" w:rsidR="001A47CB" w:rsidRDefault="00386465" w:rsidP="00C711A0">
      <w:pPr>
        <w:pStyle w:val="DHHSbody"/>
      </w:pPr>
      <w:r w:rsidRPr="00CA6087">
        <w:t>The provision of information to other agencies support</w:t>
      </w:r>
      <w:r w:rsidR="00B049F5" w:rsidRPr="00CA6087">
        <w:t>s</w:t>
      </w:r>
      <w:r w:rsidRPr="00CA6087">
        <w:t xml:space="preserve"> the compliance work of the </w:t>
      </w:r>
      <w:r w:rsidR="002A6E11">
        <w:t>department</w:t>
      </w:r>
      <w:r w:rsidRPr="00CA6087">
        <w:t xml:space="preserve"> and also enable</w:t>
      </w:r>
      <w:r w:rsidR="00B049F5" w:rsidRPr="00CA6087">
        <w:t>s</w:t>
      </w:r>
      <w:r w:rsidRPr="00CA6087">
        <w:t xml:space="preserve"> these other agencies to consider purs</w:t>
      </w:r>
      <w:r w:rsidR="0011409A" w:rsidRPr="00CA6087">
        <w:t>u</w:t>
      </w:r>
      <w:r w:rsidRPr="00CA6087">
        <w:t>ing remedies</w:t>
      </w:r>
      <w:r>
        <w:t xml:space="preserve"> or sanctions in their own right. For example, </w:t>
      </w:r>
      <w:r w:rsidR="00EC1B5F">
        <w:t xml:space="preserve">Ahpra </w:t>
      </w:r>
      <w:r>
        <w:t xml:space="preserve">could consider the </w:t>
      </w:r>
      <w:r w:rsidR="00B049F5">
        <w:t>suitability of the registration of the practitioner in question.</w:t>
      </w:r>
    </w:p>
    <w:p w14:paraId="1070B1CB" w14:textId="77777777" w:rsidR="001A47CB" w:rsidRPr="004409A2" w:rsidRDefault="001A47CB" w:rsidP="00C711A0">
      <w:pPr>
        <w:pStyle w:val="DHHSbody"/>
      </w:pPr>
      <w:r w:rsidRPr="004409A2">
        <w:t>Examples of situations where other agencies are notified include:</w:t>
      </w:r>
    </w:p>
    <w:p w14:paraId="4E61645B" w14:textId="2C196B35" w:rsidR="0051242F" w:rsidRPr="004409A2" w:rsidRDefault="001A47CB" w:rsidP="0047366B">
      <w:pPr>
        <w:pStyle w:val="DHHSbullet1"/>
      </w:pPr>
      <w:r w:rsidRPr="004409A2">
        <w:t xml:space="preserve">the matter in question is serious but does not meet the </w:t>
      </w:r>
      <w:r w:rsidR="002A6E11">
        <w:t>department</w:t>
      </w:r>
      <w:r w:rsidR="000707DB" w:rsidRPr="004409A2">
        <w:t>’s criteria for prosecution</w:t>
      </w:r>
      <w:r w:rsidR="00002A72">
        <w:t>;</w:t>
      </w:r>
    </w:p>
    <w:p w14:paraId="0953C5F6" w14:textId="3D4493F7" w:rsidR="001A47CB" w:rsidRPr="004409A2" w:rsidRDefault="001A47CB" w:rsidP="0047366B">
      <w:pPr>
        <w:pStyle w:val="DHHSbullet1"/>
      </w:pPr>
      <w:r w:rsidRPr="004409A2">
        <w:t xml:space="preserve">concerns about the practitioner are broad or more specifically relate to professional conduct rather than </w:t>
      </w:r>
      <w:r w:rsidR="00907701" w:rsidRPr="004409A2">
        <w:t>legislative</w:t>
      </w:r>
      <w:r w:rsidR="00334E56" w:rsidRPr="004409A2">
        <w:t xml:space="preserve"> contraventions</w:t>
      </w:r>
      <w:r w:rsidR="00907701" w:rsidRPr="004409A2">
        <w:t xml:space="preserve"> </w:t>
      </w:r>
      <w:r w:rsidR="00334E56" w:rsidRPr="004409A2">
        <w:t>that are</w:t>
      </w:r>
      <w:r w:rsidRPr="004409A2">
        <w:t xml:space="preserve"> dealt with by the </w:t>
      </w:r>
      <w:r w:rsidR="002A6E11">
        <w:t>department</w:t>
      </w:r>
      <w:r w:rsidR="00002A72">
        <w:t>;</w:t>
      </w:r>
    </w:p>
    <w:p w14:paraId="6DDE2C1B" w14:textId="64CB9C6C" w:rsidR="00FE070B" w:rsidRPr="004409A2" w:rsidRDefault="001A47CB" w:rsidP="00FE070B">
      <w:pPr>
        <w:pStyle w:val="DHHSbullet1"/>
      </w:pPr>
      <w:r w:rsidRPr="004409A2">
        <w:t xml:space="preserve">available evidence meets the standard required for registration </w:t>
      </w:r>
      <w:r w:rsidR="00E5635C" w:rsidRPr="004409A2">
        <w:t>boards but</w:t>
      </w:r>
      <w:r w:rsidRPr="004409A2">
        <w:t xml:space="preserve"> might not meet the standard required in a court of law</w:t>
      </w:r>
      <w:r w:rsidR="00002A72">
        <w:t>; and,</w:t>
      </w:r>
      <w:r w:rsidRPr="004409A2">
        <w:t xml:space="preserve"> </w:t>
      </w:r>
    </w:p>
    <w:p w14:paraId="7F4EFB6B" w14:textId="08586538" w:rsidR="00CC1491" w:rsidRPr="004409A2" w:rsidRDefault="59A0A55E" w:rsidP="00FE070B">
      <w:pPr>
        <w:pStyle w:val="DHHSbullet1"/>
      </w:pPr>
      <w:r>
        <w:t xml:space="preserve">where another agency has tools that enable more rapid intervention to prevent further harms to the public. Typical examples are the powers </w:t>
      </w:r>
      <w:r w:rsidR="19BECF75">
        <w:t xml:space="preserve">Ahpra </w:t>
      </w:r>
      <w:r>
        <w:t>has to quickly suspend registration or place conditions on a practitioner’s registration.</w:t>
      </w:r>
    </w:p>
    <w:p w14:paraId="14104291" w14:textId="77777777" w:rsidR="001A66F7" w:rsidRDefault="000C3C1C" w:rsidP="00681C46">
      <w:pPr>
        <w:pStyle w:val="Heading2"/>
      </w:pPr>
      <w:r>
        <w:t>Prosecutions</w:t>
      </w:r>
    </w:p>
    <w:p w14:paraId="4ED6708B" w14:textId="4A9D7006" w:rsidR="000C3C1C" w:rsidRPr="00761434" w:rsidRDefault="728E94F5" w:rsidP="00216EC7">
      <w:pPr>
        <w:pStyle w:val="DHHSbody"/>
      </w:pPr>
      <w:r>
        <w:t xml:space="preserve">Prosecutions seek to </w:t>
      </w:r>
      <w:r w:rsidR="00350E33">
        <w:t xml:space="preserve"> protect the public by </w:t>
      </w:r>
      <w:r w:rsidR="00D474E0">
        <w:t>appropriately sanctioning</w:t>
      </w:r>
      <w:r>
        <w:t xml:space="preserve">  offender</w:t>
      </w:r>
      <w:r w:rsidR="00350E33">
        <w:t>s and deterring future/other offending by drawing attention to and publicly condemning unlawful conduct.</w:t>
      </w:r>
      <w:r>
        <w:t xml:space="preserve"> Prosecutions </w:t>
      </w:r>
      <w:r w:rsidR="51D25445">
        <w:t xml:space="preserve">are generally considered when other </w:t>
      </w:r>
      <w:r>
        <w:t xml:space="preserve">measures </w:t>
      </w:r>
      <w:r w:rsidR="46D55437">
        <w:t>have been ineffective at preventing further harm to the community</w:t>
      </w:r>
      <w:r w:rsidR="00CA6087">
        <w:t>, the</w:t>
      </w:r>
      <w:r w:rsidR="46D55437">
        <w:t xml:space="preserve"> practitioner</w:t>
      </w:r>
      <w:r w:rsidR="00CA6087">
        <w:t xml:space="preserve"> or a particularly egregious</w:t>
      </w:r>
      <w:r w:rsidR="51D25445">
        <w:t>.</w:t>
      </w:r>
      <w:r w:rsidR="7DD20827">
        <w:t xml:space="preserve"> In a typical year the </w:t>
      </w:r>
      <w:r w:rsidR="002A6E11">
        <w:t>department</w:t>
      </w:r>
      <w:r w:rsidR="7DD20827">
        <w:t xml:space="preserve"> may undertake between </w:t>
      </w:r>
      <w:r w:rsidR="00C80625">
        <w:t>three</w:t>
      </w:r>
      <w:r w:rsidR="7DD20827">
        <w:t xml:space="preserve"> and </w:t>
      </w:r>
      <w:r w:rsidR="778377BE">
        <w:t>s</w:t>
      </w:r>
      <w:r w:rsidR="00C80625">
        <w:t>ix</w:t>
      </w:r>
      <w:r w:rsidR="7DD20827">
        <w:t xml:space="preserve"> prosecutions.  </w:t>
      </w:r>
    </w:p>
    <w:p w14:paraId="13A8635C" w14:textId="77777777" w:rsidR="000B6C5B" w:rsidRDefault="000B6C5B" w:rsidP="000B6C5B">
      <w:pPr>
        <w:pStyle w:val="DHHSbody"/>
      </w:pPr>
      <w:r w:rsidRPr="00761434">
        <w:t xml:space="preserve">The decision on whether to prosecute is significant, as the effect </w:t>
      </w:r>
      <w:r w:rsidR="00983BB0" w:rsidRPr="00761434">
        <w:t xml:space="preserve">on the defendant may </w:t>
      </w:r>
      <w:r w:rsidRPr="00761434">
        <w:t xml:space="preserve">be considerable regardless of the outcome. For practitioners, there </w:t>
      </w:r>
      <w:r w:rsidR="00907701" w:rsidRPr="00761434">
        <w:t>may</w:t>
      </w:r>
      <w:r w:rsidRPr="00761434">
        <w:t xml:space="preserve"> be a material impact on their livelihoods as a finding of </w:t>
      </w:r>
      <w:r w:rsidR="00D63104" w:rsidRPr="00761434">
        <w:t>guilt</w:t>
      </w:r>
      <w:r w:rsidRPr="00761434">
        <w:t xml:space="preserve"> may </w:t>
      </w:r>
      <w:r w:rsidR="004409A2" w:rsidRPr="00761434">
        <w:t>limit their ability to practice,</w:t>
      </w:r>
      <w:r w:rsidR="00907701" w:rsidRPr="00761434">
        <w:t xml:space="preserve"> lead to a conviction</w:t>
      </w:r>
      <w:r w:rsidR="004409A2" w:rsidRPr="00761434">
        <w:t xml:space="preserve"> or </w:t>
      </w:r>
      <w:r w:rsidR="0011409A" w:rsidRPr="00761434">
        <w:t xml:space="preserve">the </w:t>
      </w:r>
      <w:r w:rsidR="004409A2" w:rsidRPr="00761434">
        <w:t>impos</w:t>
      </w:r>
      <w:r w:rsidR="0011409A" w:rsidRPr="00761434">
        <w:t xml:space="preserve">ition of </w:t>
      </w:r>
      <w:r w:rsidR="004409A2" w:rsidRPr="00761434">
        <w:t xml:space="preserve">some other </w:t>
      </w:r>
      <w:r w:rsidRPr="00761434">
        <w:t>sanctions.</w:t>
      </w:r>
      <w:r w:rsidR="00E67E1B">
        <w:t xml:space="preserve"> </w:t>
      </w:r>
    </w:p>
    <w:p w14:paraId="3DF87240" w14:textId="594113DA" w:rsidR="000B6C5B" w:rsidRPr="004409A2" w:rsidRDefault="00385BE1" w:rsidP="000B6C5B">
      <w:pPr>
        <w:pStyle w:val="DHHSbody"/>
      </w:pPr>
      <w:r>
        <w:lastRenderedPageBreak/>
        <w:t xml:space="preserve">The </w:t>
      </w:r>
      <w:r w:rsidR="002A6E11">
        <w:t>department</w:t>
      </w:r>
      <w:r>
        <w:t xml:space="preserve"> applies the Victorian Government </w:t>
      </w:r>
      <w:r w:rsidR="000B6C5B">
        <w:t xml:space="preserve">prosecutorial framework as outlined by </w:t>
      </w:r>
      <w:r>
        <w:t xml:space="preserve">the Office of Public Prosecutions Victoria </w:t>
      </w:r>
      <w:r w:rsidR="00983BB0">
        <w:t>(</w:t>
      </w:r>
      <w:r>
        <w:t>OPP</w:t>
      </w:r>
      <w:r w:rsidR="00983BB0">
        <w:t>)</w:t>
      </w:r>
      <w:r>
        <w:t xml:space="preserve">. </w:t>
      </w:r>
      <w:r w:rsidR="000B6C5B">
        <w:t xml:space="preserve">This requires the highest standard of integrity to be applied to any decisions </w:t>
      </w:r>
      <w:r w:rsidR="000B6C5B" w:rsidRPr="004409A2">
        <w:t>around prosecutions.</w:t>
      </w:r>
    </w:p>
    <w:p w14:paraId="7F43D311" w14:textId="77777777" w:rsidR="00D63104" w:rsidRPr="004409A2" w:rsidRDefault="15AC9B8F" w:rsidP="000B6C5B">
      <w:pPr>
        <w:pStyle w:val="DHHSbody"/>
      </w:pPr>
      <w:r w:rsidRPr="004409A2">
        <w:t xml:space="preserve">OPP’s policy </w:t>
      </w:r>
      <w:r w:rsidR="7B1FE788" w:rsidRPr="004409A2">
        <w:t>set out some clear tests that need to be met before pursuing a prosecution</w:t>
      </w:r>
      <w:r w:rsidRPr="004409A2">
        <w:t>.</w:t>
      </w:r>
      <w:r w:rsidR="00385BE1" w:rsidRPr="004409A2">
        <w:rPr>
          <w:rStyle w:val="FootnoteReference"/>
        </w:rPr>
        <w:footnoteReference w:id="3"/>
      </w:r>
    </w:p>
    <w:p w14:paraId="680540DD" w14:textId="77777777" w:rsidR="00D63104" w:rsidRPr="004409A2" w:rsidRDefault="00D63104" w:rsidP="00681C46">
      <w:pPr>
        <w:pStyle w:val="Heading3"/>
      </w:pPr>
      <w:r w:rsidRPr="004409A2">
        <w:t>Sufficient evidence</w:t>
      </w:r>
    </w:p>
    <w:p w14:paraId="2C964AB5" w14:textId="46C6EA1E" w:rsidR="00D63104" w:rsidRPr="004409A2" w:rsidRDefault="1D2B7C1C" w:rsidP="002B2841">
      <w:pPr>
        <w:pStyle w:val="DHHSbody"/>
      </w:pPr>
      <w:r>
        <w:t>A prosecution will only be instituted or continued whe</w:t>
      </w:r>
      <w:r w:rsidR="00C21563">
        <w:t xml:space="preserve">re the </w:t>
      </w:r>
      <w:r w:rsidR="00CA6087">
        <w:t>d</w:t>
      </w:r>
      <w:r w:rsidR="00C21563">
        <w:t>epartment considers that</w:t>
      </w:r>
      <w:r>
        <w:t xml:space="preserve"> there</w:t>
      </w:r>
      <w:r w:rsidR="00C21563">
        <w:t xml:space="preserve"> is sufficient evidence to establish that an offence has been committed.</w:t>
      </w:r>
      <w:r w:rsidR="0084424A">
        <w:t xml:space="preserve"> In reaching a decision to prosecute, the </w:t>
      </w:r>
      <w:r w:rsidR="00CA6087">
        <w:t>d</w:t>
      </w:r>
      <w:r w:rsidR="0084424A">
        <w:t>epartment considers whether the evidence available is likely to be admissible and the reliability of any such evidence.</w:t>
      </w:r>
      <w:r>
        <w:t xml:space="preserve"> </w:t>
      </w:r>
    </w:p>
    <w:p w14:paraId="1CBCD53A" w14:textId="77777777" w:rsidR="002B2841" w:rsidRPr="004409A2" w:rsidRDefault="002B2841" w:rsidP="00681C46">
      <w:pPr>
        <w:pStyle w:val="Heading3"/>
      </w:pPr>
      <w:r w:rsidRPr="004409A2">
        <w:t>Prospect of conviction</w:t>
      </w:r>
    </w:p>
    <w:p w14:paraId="134CD2E3" w14:textId="64092C89" w:rsidR="000B6C5B" w:rsidRPr="004409A2" w:rsidRDefault="002B2841" w:rsidP="002B2841">
      <w:pPr>
        <w:pStyle w:val="DHHSbody"/>
      </w:pPr>
      <w:r>
        <w:t>Before proceeding</w:t>
      </w:r>
      <w:r w:rsidR="0047366B">
        <w:t>,</w:t>
      </w:r>
      <w:r>
        <w:t xml:space="preserve"> there needs to be a reasonable prospect of conviction</w:t>
      </w:r>
      <w:r w:rsidR="00907701">
        <w:t xml:space="preserve"> or a guilty finding</w:t>
      </w:r>
      <w:r>
        <w:t xml:space="preserve">. This assessment </w:t>
      </w:r>
      <w:r w:rsidR="00EC1B5F">
        <w:t>is</w:t>
      </w:r>
      <w:r>
        <w:t xml:space="preserve"> supported by an evaluation of how strong the case is likely to be when presented in court. Such an assessment takes into account such matters as the availability, competence and credibility of witnesses </w:t>
      </w:r>
      <w:r w:rsidR="0084424A">
        <w:t>as well as</w:t>
      </w:r>
      <w:r>
        <w:t xml:space="preserve"> their likely impression on the court, the admissibility of any confession or other evidence, and any </w:t>
      </w:r>
      <w:r w:rsidR="0084424A">
        <w:t xml:space="preserve">potential defences available to the </w:t>
      </w:r>
      <w:r w:rsidR="00CA6087">
        <w:t>a</w:t>
      </w:r>
      <w:r w:rsidR="0084424A">
        <w:t>ccused</w:t>
      </w:r>
      <w:r>
        <w:t>.</w:t>
      </w:r>
    </w:p>
    <w:p w14:paraId="05430684" w14:textId="77777777" w:rsidR="002B2841" w:rsidRDefault="1D2B7C1C" w:rsidP="00681C46">
      <w:pPr>
        <w:pStyle w:val="Heading3"/>
      </w:pPr>
      <w:r>
        <w:t>Public interest</w:t>
      </w:r>
    </w:p>
    <w:p w14:paraId="775DA455" w14:textId="21BF314C" w:rsidR="002B2841" w:rsidRDefault="3B23E3B6" w:rsidP="00946BF5">
      <w:pPr>
        <w:pStyle w:val="DHHSbody"/>
      </w:pPr>
      <w:r>
        <w:t xml:space="preserve">Consideration will be given to whether a prosecution is in the public interest. </w:t>
      </w:r>
      <w:r w:rsidR="1D2B7C1C">
        <w:t>In considering if a prosecution is in the public interest</w:t>
      </w:r>
      <w:r w:rsidR="022FBCFA">
        <w:t>,</w:t>
      </w:r>
      <w:r w:rsidR="1D2B7C1C">
        <w:t xml:space="preserve"> a range of factors</w:t>
      </w:r>
      <w:r w:rsidR="2C06B3B6">
        <w:t xml:space="preserve"> will be considered, including:</w:t>
      </w:r>
    </w:p>
    <w:p w14:paraId="5E763B6D" w14:textId="53EFA786" w:rsidR="002B2841" w:rsidRDefault="002B2841" w:rsidP="0047366B">
      <w:pPr>
        <w:pStyle w:val="DHHSbullet1"/>
      </w:pPr>
      <w:r>
        <w:t>t</w:t>
      </w:r>
      <w:r w:rsidRPr="002B2841">
        <w:t>he seriousness or, conversely, the triviality of the alleged offence or that it is of a ‘technical’ nature only</w:t>
      </w:r>
      <w:r w:rsidR="0084424A">
        <w:t>;</w:t>
      </w:r>
    </w:p>
    <w:p w14:paraId="78D2A9D3" w14:textId="59D3BD1D" w:rsidR="002B2841" w:rsidRDefault="002B2841" w:rsidP="0047366B">
      <w:pPr>
        <w:pStyle w:val="DHHSbullet1"/>
      </w:pPr>
      <w:r>
        <w:t>a</w:t>
      </w:r>
      <w:r w:rsidRPr="002B2841">
        <w:t>ny mitigati</w:t>
      </w:r>
      <w:r>
        <w:t>ng or aggravating circumstances</w:t>
      </w:r>
      <w:r w:rsidR="0084424A">
        <w:t>;</w:t>
      </w:r>
    </w:p>
    <w:p w14:paraId="44C9ECB4" w14:textId="7BF15DF0" w:rsidR="002B2841" w:rsidRDefault="002B2841" w:rsidP="0047366B">
      <w:pPr>
        <w:pStyle w:val="DHHSbullet1"/>
      </w:pPr>
      <w:r w:rsidRPr="002B2841">
        <w:t>the youth, age, intelligence, physical health, mental health or special infirmity of an individual alleged offender</w:t>
      </w:r>
      <w:r w:rsidR="0084424A">
        <w:t>;</w:t>
      </w:r>
    </w:p>
    <w:p w14:paraId="118A8258" w14:textId="6DC284ED" w:rsidR="00012A3A" w:rsidRPr="000867AB" w:rsidRDefault="00012A3A" w:rsidP="0047366B">
      <w:pPr>
        <w:pStyle w:val="DHHSbullet1"/>
      </w:pPr>
      <w:r w:rsidRPr="00012A3A">
        <w:t xml:space="preserve">the character </w:t>
      </w:r>
      <w:r>
        <w:t xml:space="preserve">of the </w:t>
      </w:r>
      <w:r w:rsidRPr="00012A3A">
        <w:t xml:space="preserve">practitioner, including </w:t>
      </w:r>
      <w:r w:rsidRPr="000867AB">
        <w:t>history of compliance and willingness to cooperate</w:t>
      </w:r>
      <w:r w:rsidR="0084424A">
        <w:t>;</w:t>
      </w:r>
    </w:p>
    <w:p w14:paraId="09B7325A" w14:textId="6D838071" w:rsidR="00012A3A" w:rsidRPr="000867AB" w:rsidRDefault="00012A3A" w:rsidP="0047366B">
      <w:pPr>
        <w:pStyle w:val="DHHSbullet1"/>
      </w:pPr>
      <w:r w:rsidRPr="000867AB">
        <w:t xml:space="preserve">the degree of culpability of the alleged </w:t>
      </w:r>
      <w:r w:rsidR="0011409A" w:rsidRPr="000867AB">
        <w:t>offender</w:t>
      </w:r>
      <w:r w:rsidR="0084424A">
        <w:t>;</w:t>
      </w:r>
    </w:p>
    <w:p w14:paraId="54136C01" w14:textId="5DDA744D" w:rsidR="00012A3A" w:rsidRPr="00012A3A" w:rsidRDefault="00012A3A" w:rsidP="0047366B">
      <w:pPr>
        <w:pStyle w:val="DHHSbullet1"/>
      </w:pPr>
      <w:r w:rsidRPr="000867AB">
        <w:t>whether the consequences of any resulting conviction</w:t>
      </w:r>
      <w:r w:rsidRPr="00012A3A">
        <w:t xml:space="preserve"> would</w:t>
      </w:r>
      <w:r w:rsidR="0047366B">
        <w:t xml:space="preserve"> be unduly harsh and oppressive</w:t>
      </w:r>
      <w:r w:rsidR="0084424A">
        <w:t>;</w:t>
      </w:r>
    </w:p>
    <w:p w14:paraId="08233CE1" w14:textId="2DEC0931" w:rsidR="00012A3A" w:rsidRPr="00012A3A" w:rsidRDefault="00012A3A" w:rsidP="0047366B">
      <w:pPr>
        <w:pStyle w:val="DHHSbullet1"/>
      </w:pPr>
      <w:r>
        <w:t>t</w:t>
      </w:r>
      <w:r w:rsidRPr="00012A3A">
        <w:t>he prevalence of the alleged offence and the need for deterr</w:t>
      </w:r>
      <w:r>
        <w:t>ence, both personal and general</w:t>
      </w:r>
      <w:r w:rsidR="0084424A">
        <w:t>;</w:t>
      </w:r>
    </w:p>
    <w:p w14:paraId="4AE34766" w14:textId="2EF88653" w:rsidR="00012A3A" w:rsidRPr="00012A3A" w:rsidRDefault="00012A3A" w:rsidP="0047366B">
      <w:pPr>
        <w:pStyle w:val="DHHSbullet1"/>
      </w:pPr>
      <w:r>
        <w:t>t</w:t>
      </w:r>
      <w:r w:rsidRPr="00012A3A">
        <w:t>he necessity to maintain public confidence i</w:t>
      </w:r>
      <w:r>
        <w:t>n the administration of the law</w:t>
      </w:r>
      <w:r w:rsidR="0084424A">
        <w:t>; and,</w:t>
      </w:r>
    </w:p>
    <w:p w14:paraId="69A4C90F" w14:textId="1DCDB8C5" w:rsidR="00012A3A" w:rsidRDefault="2C06B3B6" w:rsidP="0047366B">
      <w:pPr>
        <w:pStyle w:val="DHHSbullet1"/>
      </w:pPr>
      <w:r>
        <w:t>whether the alleged offence is of considerable public concern</w:t>
      </w:r>
      <w:r w:rsidR="0084424A">
        <w:t>.</w:t>
      </w:r>
    </w:p>
    <w:p w14:paraId="2E78F379" w14:textId="3F32C96A" w:rsidR="00833376" w:rsidRDefault="00833376" w:rsidP="41FD14AD">
      <w:pPr>
        <w:pStyle w:val="DHHSbullet1"/>
        <w:rPr>
          <w:rFonts w:eastAsia="MS Gothic"/>
          <w:b/>
          <w:bCs/>
          <w:sz w:val="24"/>
          <w:szCs w:val="24"/>
        </w:rPr>
      </w:pPr>
      <w:r>
        <w:br w:type="page"/>
      </w:r>
    </w:p>
    <w:p w14:paraId="71213B4D" w14:textId="09D8D6E9" w:rsidR="000C3C1C" w:rsidRPr="00012A3A" w:rsidRDefault="00012A3A" w:rsidP="00681C46">
      <w:pPr>
        <w:pStyle w:val="Heading3"/>
      </w:pPr>
      <w:r w:rsidRPr="00012A3A">
        <w:lastRenderedPageBreak/>
        <w:t xml:space="preserve">Considerations specific to the </w:t>
      </w:r>
      <w:r w:rsidR="002A6E11">
        <w:t>department</w:t>
      </w:r>
    </w:p>
    <w:p w14:paraId="22ECEAB7" w14:textId="062738EC" w:rsidR="00012A3A" w:rsidRDefault="6862A1A2" w:rsidP="00012A3A">
      <w:pPr>
        <w:pStyle w:val="DHHSbody"/>
      </w:pPr>
      <w:r>
        <w:t>I</w:t>
      </w:r>
      <w:r w:rsidR="2C06B3B6">
        <w:t xml:space="preserve">n assessing whether to proceed with a prosecution, the </w:t>
      </w:r>
      <w:r w:rsidR="002A6E11">
        <w:t>department</w:t>
      </w:r>
      <w:r w:rsidR="2C06B3B6">
        <w:t xml:space="preserve"> will </w:t>
      </w:r>
      <w:r>
        <w:t xml:space="preserve">also </w:t>
      </w:r>
      <w:r w:rsidR="2C06B3B6">
        <w:t>consider a range of specific factors, including: the nature and seriousness of the practitioner</w:t>
      </w:r>
      <w:r w:rsidR="0693045B">
        <w:t>’s misconduct</w:t>
      </w:r>
      <w:r w:rsidR="2C06B3B6">
        <w:t>, the history of the practitioner, the capability of the practitioner and the broader priorities of the Victorian Government.</w:t>
      </w:r>
      <w:r w:rsidR="006B1984">
        <w:t xml:space="preserve"> </w:t>
      </w:r>
      <w:r w:rsidR="2C06B3B6">
        <w:t>The following table summarise</w:t>
      </w:r>
      <w:r w:rsidR="022FBCFA">
        <w:t>s</w:t>
      </w:r>
      <w:r w:rsidR="2C06B3B6">
        <w:t xml:space="preserve"> how these factors are assessed. </w:t>
      </w:r>
    </w:p>
    <w:p w14:paraId="75F53E20" w14:textId="77777777" w:rsidR="00012A3A" w:rsidRPr="00472DF3" w:rsidRDefault="00012A3A" w:rsidP="00012A3A">
      <w:pPr>
        <w:pStyle w:val="DHHSbody"/>
        <w:keepNext/>
        <w:rPr>
          <w:b/>
        </w:rPr>
      </w:pPr>
      <w:r w:rsidRPr="0071791D">
        <w:rPr>
          <w:b/>
        </w:rPr>
        <w:t xml:space="preserve">Table </w:t>
      </w:r>
      <w:r w:rsidR="00E95B2B">
        <w:rPr>
          <w:b/>
        </w:rPr>
        <w:t>5</w:t>
      </w:r>
      <w:r w:rsidRPr="0071791D">
        <w:rPr>
          <w:b/>
        </w:rPr>
        <w:t>:</w:t>
      </w:r>
      <w:r>
        <w:rPr>
          <w:b/>
        </w:rPr>
        <w:t xml:space="preserve"> </w:t>
      </w:r>
      <w:r w:rsidR="00252DBC">
        <w:rPr>
          <w:b/>
        </w:rPr>
        <w:t>Factors considered when assessing a prospective prosecution</w:t>
      </w:r>
      <w:r w:rsidR="00E67E1B">
        <w:rPr>
          <w:b/>
        </w:rPr>
        <w:t xml:space="preserve"> </w:t>
      </w:r>
    </w:p>
    <w:tbl>
      <w:tblPr>
        <w:tblStyle w:val="TableGrid"/>
        <w:tblW w:w="0" w:type="auto"/>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2410"/>
        <w:gridCol w:w="6946"/>
      </w:tblGrid>
      <w:tr w:rsidR="00012A3A" w:rsidRPr="0047366B" w14:paraId="7788D95D" w14:textId="77777777" w:rsidTr="00252DBC">
        <w:trPr>
          <w:tblHeader/>
        </w:trPr>
        <w:tc>
          <w:tcPr>
            <w:tcW w:w="2410" w:type="dxa"/>
            <w:shd w:val="clear" w:color="auto" w:fill="FFFFFF" w:themeFill="background1"/>
            <w:vAlign w:val="center"/>
          </w:tcPr>
          <w:p w14:paraId="5C5D550C" w14:textId="77777777" w:rsidR="00012A3A" w:rsidRPr="0047366B" w:rsidRDefault="00252DBC" w:rsidP="0047366B">
            <w:pPr>
              <w:pStyle w:val="DHHStablecolhead"/>
            </w:pPr>
            <w:r w:rsidRPr="0047366B">
              <w:t>Factors</w:t>
            </w:r>
          </w:p>
        </w:tc>
        <w:tc>
          <w:tcPr>
            <w:tcW w:w="6946" w:type="dxa"/>
            <w:shd w:val="clear" w:color="auto" w:fill="FFFFFF" w:themeFill="background1"/>
          </w:tcPr>
          <w:p w14:paraId="03949E48" w14:textId="77777777" w:rsidR="00012A3A" w:rsidRPr="0047366B" w:rsidRDefault="00252DBC" w:rsidP="0047366B">
            <w:pPr>
              <w:pStyle w:val="DHHStablecolhead"/>
            </w:pPr>
            <w:r w:rsidRPr="0047366B">
              <w:t>Considerations</w:t>
            </w:r>
          </w:p>
        </w:tc>
      </w:tr>
      <w:tr w:rsidR="00012A3A" w:rsidRPr="00906B70" w14:paraId="14D4E547" w14:textId="77777777" w:rsidTr="00252DBC">
        <w:tc>
          <w:tcPr>
            <w:tcW w:w="2410" w:type="dxa"/>
            <w:shd w:val="clear" w:color="auto" w:fill="auto"/>
          </w:tcPr>
          <w:p w14:paraId="5807C13D" w14:textId="77777777" w:rsidR="00012A3A" w:rsidRPr="0047366B" w:rsidRDefault="00252DBC" w:rsidP="0047366B">
            <w:pPr>
              <w:pStyle w:val="DHHStabletext"/>
              <w:rPr>
                <w:b/>
              </w:rPr>
            </w:pPr>
            <w:r w:rsidRPr="0047366B">
              <w:rPr>
                <w:b/>
              </w:rPr>
              <w:t>Nature and seriousness of the practitioner</w:t>
            </w:r>
          </w:p>
        </w:tc>
        <w:tc>
          <w:tcPr>
            <w:tcW w:w="6946" w:type="dxa"/>
          </w:tcPr>
          <w:p w14:paraId="3C8D3620" w14:textId="2007572C" w:rsidR="00252DBC" w:rsidRPr="000867AB" w:rsidRDefault="00252DBC" w:rsidP="0047366B">
            <w:pPr>
              <w:pStyle w:val="DHHStablebullet"/>
            </w:pPr>
            <w:r w:rsidRPr="000867AB">
              <w:t>Nature and extent of the harms or potential for harms</w:t>
            </w:r>
            <w:r w:rsidR="00D34AFA">
              <w:t>;</w:t>
            </w:r>
          </w:p>
          <w:p w14:paraId="106231DC" w14:textId="64BE5BA2" w:rsidR="00252DBC" w:rsidRPr="000867AB" w:rsidRDefault="000F3B7A" w:rsidP="0047366B">
            <w:pPr>
              <w:pStyle w:val="DHHStablebullet"/>
            </w:pPr>
            <w:r w:rsidRPr="000867AB">
              <w:t>Whether a b</w:t>
            </w:r>
            <w:r w:rsidR="00252DBC" w:rsidRPr="000867AB">
              <w:t xml:space="preserve">reach </w:t>
            </w:r>
            <w:r w:rsidRPr="000867AB">
              <w:t xml:space="preserve">is </w:t>
            </w:r>
            <w:r w:rsidR="00252DBC" w:rsidRPr="000867AB">
              <w:t>technical, administrative in nature</w:t>
            </w:r>
            <w:r w:rsidR="00D34AFA">
              <w:t>;</w:t>
            </w:r>
          </w:p>
          <w:p w14:paraId="221F7C4C" w14:textId="3A8DF8C3" w:rsidR="00252DBC" w:rsidRPr="000867AB" w:rsidRDefault="00DC7527" w:rsidP="0047366B">
            <w:pPr>
              <w:pStyle w:val="DHHStablebullet"/>
            </w:pPr>
            <w:r>
              <w:t xml:space="preserve">Whether the </w:t>
            </w:r>
            <w:r w:rsidR="00663184">
              <w:t>i</w:t>
            </w:r>
            <w:r w:rsidR="00252DBC" w:rsidRPr="000867AB">
              <w:t>ntent of the legislation was thwarted by contravention</w:t>
            </w:r>
            <w:r w:rsidR="00D34AFA">
              <w:t>; and,</w:t>
            </w:r>
          </w:p>
          <w:p w14:paraId="2CF02C01" w14:textId="044F6C83" w:rsidR="00012A3A" w:rsidRPr="000867AB" w:rsidRDefault="00252DBC" w:rsidP="0047366B">
            <w:pPr>
              <w:pStyle w:val="DHHStablebullet"/>
            </w:pPr>
            <w:r w:rsidRPr="000867AB">
              <w:t>Number of contraventions and their duration</w:t>
            </w:r>
            <w:r w:rsidR="00D34AFA">
              <w:t>.</w:t>
            </w:r>
            <w:r w:rsidRPr="000867AB">
              <w:t xml:space="preserve"> </w:t>
            </w:r>
          </w:p>
        </w:tc>
      </w:tr>
      <w:tr w:rsidR="00012A3A" w:rsidRPr="00906B70" w14:paraId="67EDB23C" w14:textId="77777777" w:rsidTr="0047366B">
        <w:trPr>
          <w:cantSplit/>
        </w:trPr>
        <w:tc>
          <w:tcPr>
            <w:tcW w:w="2410" w:type="dxa"/>
            <w:shd w:val="clear" w:color="auto" w:fill="auto"/>
          </w:tcPr>
          <w:p w14:paraId="466C9023" w14:textId="77777777" w:rsidR="00012A3A" w:rsidRPr="0047366B" w:rsidRDefault="00252DBC" w:rsidP="0047366B">
            <w:pPr>
              <w:pStyle w:val="DHHStabletext"/>
              <w:rPr>
                <w:b/>
              </w:rPr>
            </w:pPr>
            <w:r w:rsidRPr="0047366B">
              <w:rPr>
                <w:b/>
              </w:rPr>
              <w:t>History of the practitioner</w:t>
            </w:r>
          </w:p>
        </w:tc>
        <w:tc>
          <w:tcPr>
            <w:tcW w:w="6946" w:type="dxa"/>
          </w:tcPr>
          <w:p w14:paraId="4DE26329" w14:textId="30A3FDBD" w:rsidR="00012A3A" w:rsidRPr="000867AB" w:rsidRDefault="0011409A" w:rsidP="0047366B">
            <w:pPr>
              <w:pStyle w:val="DHHStablebullet"/>
            </w:pPr>
            <w:r w:rsidRPr="000867AB">
              <w:t xml:space="preserve">Whether </w:t>
            </w:r>
            <w:r w:rsidR="00252DBC" w:rsidRPr="000867AB">
              <w:t xml:space="preserve">the practitioner </w:t>
            </w:r>
            <w:r w:rsidR="00D42386">
              <w:t xml:space="preserve">has </w:t>
            </w:r>
            <w:r w:rsidR="00252DBC" w:rsidRPr="000867AB">
              <w:t xml:space="preserve">come to the attention of the </w:t>
            </w:r>
            <w:r w:rsidR="002A6E11">
              <w:t>department</w:t>
            </w:r>
            <w:r w:rsidR="00252DBC" w:rsidRPr="000867AB">
              <w:t xml:space="preserve"> before</w:t>
            </w:r>
            <w:r w:rsidR="00D34AFA">
              <w:t>; and,</w:t>
            </w:r>
          </w:p>
          <w:p w14:paraId="0102EA93" w14:textId="556FBD95" w:rsidR="00252DBC" w:rsidRPr="000867AB" w:rsidRDefault="00252DBC" w:rsidP="000707DB">
            <w:pPr>
              <w:pStyle w:val="DHHStablebullet"/>
            </w:pPr>
            <w:r w:rsidRPr="000867AB">
              <w:t xml:space="preserve">The nature and extent of the interactions with the </w:t>
            </w:r>
            <w:r w:rsidR="000707DB" w:rsidRPr="000867AB">
              <w:t>d</w:t>
            </w:r>
            <w:r w:rsidRPr="000867AB">
              <w:t xml:space="preserve">epartment </w:t>
            </w:r>
          </w:p>
        </w:tc>
      </w:tr>
      <w:tr w:rsidR="00012A3A" w:rsidRPr="00906B70" w14:paraId="19047A35" w14:textId="77777777" w:rsidTr="00252DBC">
        <w:tc>
          <w:tcPr>
            <w:tcW w:w="2410" w:type="dxa"/>
            <w:shd w:val="clear" w:color="auto" w:fill="auto"/>
          </w:tcPr>
          <w:p w14:paraId="24DBA7C7" w14:textId="77777777" w:rsidR="00012A3A" w:rsidRPr="0047366B" w:rsidRDefault="00812113" w:rsidP="0047366B">
            <w:pPr>
              <w:pStyle w:val="DHHStabletext"/>
              <w:rPr>
                <w:b/>
              </w:rPr>
            </w:pPr>
            <w:r>
              <w:rPr>
                <w:b/>
              </w:rPr>
              <w:t>Culpability</w:t>
            </w:r>
            <w:r w:rsidR="00252DBC" w:rsidRPr="0047366B">
              <w:rPr>
                <w:b/>
              </w:rPr>
              <w:t xml:space="preserve"> of the practitioner</w:t>
            </w:r>
          </w:p>
        </w:tc>
        <w:tc>
          <w:tcPr>
            <w:tcW w:w="6946" w:type="dxa"/>
          </w:tcPr>
          <w:p w14:paraId="19C04587" w14:textId="010048D0" w:rsidR="00012A3A" w:rsidRPr="00252DBC" w:rsidRDefault="00252DBC" w:rsidP="0047366B">
            <w:pPr>
              <w:pStyle w:val="DHHStablebullet"/>
            </w:pPr>
            <w:r w:rsidRPr="00252DBC">
              <w:t xml:space="preserve">Inadvertent or </w:t>
            </w:r>
            <w:r w:rsidR="00DC7527">
              <w:t>deliberate</w:t>
            </w:r>
            <w:r w:rsidR="00DC7527" w:rsidRPr="00252DBC">
              <w:t xml:space="preserve"> </w:t>
            </w:r>
            <w:r w:rsidRPr="00252DBC">
              <w:t>contravention</w:t>
            </w:r>
            <w:r w:rsidR="00D34AFA">
              <w:t>;</w:t>
            </w:r>
          </w:p>
          <w:p w14:paraId="0038036B" w14:textId="09C26240" w:rsidR="00252DBC" w:rsidRPr="00252DBC" w:rsidRDefault="0047366B" w:rsidP="0047366B">
            <w:pPr>
              <w:pStyle w:val="DHHStablebullet"/>
            </w:pPr>
            <w:r>
              <w:t xml:space="preserve">Whether </w:t>
            </w:r>
            <w:r w:rsidR="00252DBC" w:rsidRPr="00252DBC">
              <w:t xml:space="preserve">negligence </w:t>
            </w:r>
            <w:r>
              <w:t xml:space="preserve">was </w:t>
            </w:r>
            <w:r w:rsidR="00252DBC" w:rsidRPr="00252DBC">
              <w:t>involved</w:t>
            </w:r>
            <w:r w:rsidR="00D34AFA">
              <w:t>;</w:t>
            </w:r>
          </w:p>
          <w:p w14:paraId="7FE7DC42" w14:textId="3AC8E308" w:rsidR="00252DBC" w:rsidRPr="00252DBC" w:rsidRDefault="00252DBC" w:rsidP="0047366B">
            <w:pPr>
              <w:pStyle w:val="DHHStablebullet"/>
            </w:pPr>
            <w:r w:rsidRPr="00252DBC">
              <w:t>Mitigating circumstances</w:t>
            </w:r>
            <w:r w:rsidR="002A393E">
              <w:t xml:space="preserve"> (e.g. could </w:t>
            </w:r>
            <w:r w:rsidR="00D34AFA">
              <w:t>the conduct</w:t>
            </w:r>
            <w:r w:rsidR="002A393E">
              <w:t xml:space="preserve"> be </w:t>
            </w:r>
            <w:r w:rsidR="002A393E" w:rsidRPr="002A393E">
              <w:t>justified on professional grounds</w:t>
            </w:r>
            <w:r w:rsidR="00DC7527">
              <w:t>)</w:t>
            </w:r>
            <w:r w:rsidR="00D34AFA">
              <w:t>; and,</w:t>
            </w:r>
          </w:p>
          <w:p w14:paraId="7CF9DF9D" w14:textId="58106108" w:rsidR="00252DBC" w:rsidRPr="002A393E" w:rsidRDefault="002A393E" w:rsidP="0047366B">
            <w:pPr>
              <w:pStyle w:val="DHHStablebullet"/>
            </w:pPr>
            <w:r w:rsidRPr="002A393E">
              <w:t>Prevalence of the contravention and the need for an overall deterrence effect</w:t>
            </w:r>
            <w:r w:rsidR="00D34AFA">
              <w:t>.</w:t>
            </w:r>
          </w:p>
        </w:tc>
      </w:tr>
    </w:tbl>
    <w:p w14:paraId="5BD0F395" w14:textId="77777777" w:rsidR="00012A3A" w:rsidRDefault="00012A3A" w:rsidP="00012A3A">
      <w:pPr>
        <w:pStyle w:val="DHHSbody"/>
      </w:pPr>
    </w:p>
    <w:p w14:paraId="45429B95" w14:textId="77777777" w:rsidR="00FB421E" w:rsidRDefault="00FB421E" w:rsidP="00FB421E">
      <w:pPr>
        <w:pStyle w:val="Heading1"/>
      </w:pPr>
      <w:bookmarkStart w:id="17" w:name="_Toc115884456"/>
      <w:r>
        <w:t>Case studies</w:t>
      </w:r>
      <w:bookmarkEnd w:id="17"/>
    </w:p>
    <w:p w14:paraId="27578E21" w14:textId="16C6939D" w:rsidR="007752F3" w:rsidRDefault="007752F3" w:rsidP="41FD14AD">
      <w:pPr>
        <w:pStyle w:val="DHHSbody"/>
        <w:rPr>
          <w:b/>
          <w:bCs/>
          <w:lang w:eastAsia="en-AU"/>
        </w:rPr>
      </w:pPr>
      <w:r w:rsidRPr="41FD14AD">
        <w:rPr>
          <w:b/>
          <w:bCs/>
          <w:lang w:eastAsia="en-AU"/>
        </w:rPr>
        <w:t xml:space="preserve">This section outlines four case studies that seek to </w:t>
      </w:r>
      <w:r w:rsidR="00E658EA" w:rsidRPr="41FD14AD">
        <w:rPr>
          <w:b/>
          <w:bCs/>
          <w:lang w:eastAsia="en-AU"/>
        </w:rPr>
        <w:t>demonstrate</w:t>
      </w:r>
      <w:r w:rsidRPr="41FD14AD">
        <w:rPr>
          <w:b/>
          <w:bCs/>
          <w:lang w:eastAsia="en-AU"/>
        </w:rPr>
        <w:t xml:space="preserve"> how the </w:t>
      </w:r>
      <w:r w:rsidR="002A6E11">
        <w:rPr>
          <w:b/>
          <w:bCs/>
          <w:lang w:eastAsia="en-AU"/>
        </w:rPr>
        <w:t>department</w:t>
      </w:r>
      <w:r w:rsidRPr="41FD14AD">
        <w:rPr>
          <w:b/>
          <w:bCs/>
          <w:lang w:eastAsia="en-AU"/>
        </w:rPr>
        <w:t xml:space="preserve">’s </w:t>
      </w:r>
      <w:r w:rsidR="0036217C" w:rsidRPr="41FD14AD">
        <w:rPr>
          <w:b/>
          <w:bCs/>
          <w:lang w:eastAsia="en-AU"/>
        </w:rPr>
        <w:t>regulatory</w:t>
      </w:r>
      <w:r w:rsidR="00BA0467" w:rsidRPr="41FD14AD">
        <w:rPr>
          <w:b/>
          <w:bCs/>
          <w:lang w:eastAsia="en-AU"/>
        </w:rPr>
        <w:t xml:space="preserve"> </w:t>
      </w:r>
      <w:r w:rsidRPr="41FD14AD">
        <w:rPr>
          <w:b/>
          <w:bCs/>
          <w:lang w:eastAsia="en-AU"/>
        </w:rPr>
        <w:t xml:space="preserve">approach </w:t>
      </w:r>
      <w:r w:rsidR="00E658EA" w:rsidRPr="41FD14AD">
        <w:rPr>
          <w:b/>
          <w:bCs/>
          <w:lang w:eastAsia="en-AU"/>
        </w:rPr>
        <w:t xml:space="preserve">is applied in practice and </w:t>
      </w:r>
      <w:r w:rsidRPr="41FD14AD">
        <w:rPr>
          <w:b/>
          <w:bCs/>
          <w:lang w:eastAsia="en-AU"/>
        </w:rPr>
        <w:t>how SafeScript play</w:t>
      </w:r>
      <w:r w:rsidR="00E807B2" w:rsidRPr="41FD14AD">
        <w:rPr>
          <w:b/>
          <w:bCs/>
          <w:lang w:eastAsia="en-AU"/>
        </w:rPr>
        <w:t>s</w:t>
      </w:r>
      <w:r w:rsidRPr="41FD14AD">
        <w:rPr>
          <w:b/>
          <w:bCs/>
          <w:lang w:eastAsia="en-AU"/>
        </w:rPr>
        <w:t xml:space="preserve"> an important role.  </w:t>
      </w:r>
    </w:p>
    <w:p w14:paraId="64F44A26" w14:textId="77777777" w:rsidR="00E658EA" w:rsidRPr="00E658EA" w:rsidRDefault="00E658EA" w:rsidP="00E658EA">
      <w:pPr>
        <w:pStyle w:val="Heading2"/>
        <w:rPr>
          <w:lang w:eastAsia="en-AU"/>
        </w:rPr>
      </w:pPr>
      <w:r>
        <w:rPr>
          <w:lang w:eastAsia="en-AU"/>
        </w:rPr>
        <w:t xml:space="preserve">Case study 1: Trafficking schedule 8 medicines </w:t>
      </w:r>
    </w:p>
    <w:p w14:paraId="0ACD7C8F" w14:textId="4704D836" w:rsidR="00E658EA" w:rsidRDefault="009F7BDB" w:rsidP="007752F3">
      <w:pPr>
        <w:pStyle w:val="DHHSbody"/>
        <w:rPr>
          <w:lang w:eastAsia="en-AU"/>
        </w:rPr>
      </w:pPr>
      <w:r>
        <w:rPr>
          <w:noProof/>
          <w:lang w:eastAsia="en-AU"/>
        </w:rPr>
        <mc:AlternateContent>
          <mc:Choice Requires="wps">
            <w:drawing>
              <wp:anchor distT="0" distB="0" distL="114300" distR="114300" simplePos="0" relativeHeight="251692032" behindDoc="0" locked="0" layoutInCell="1" allowOverlap="1" wp14:anchorId="75C3D120" wp14:editId="743AB5FA">
                <wp:simplePos x="0" y="0"/>
                <wp:positionH relativeFrom="column">
                  <wp:posOffset>-34925</wp:posOffset>
                </wp:positionH>
                <wp:positionV relativeFrom="paragraph">
                  <wp:posOffset>55880</wp:posOffset>
                </wp:positionV>
                <wp:extent cx="2087245" cy="1155700"/>
                <wp:effectExtent l="0" t="0" r="27305" b="25400"/>
                <wp:wrapSquare wrapText="bothSides"/>
                <wp:docPr id="230" name="Rounded Rectangle 230"/>
                <wp:cNvGraphicFramePr/>
                <a:graphic xmlns:a="http://schemas.openxmlformats.org/drawingml/2006/main">
                  <a:graphicData uri="http://schemas.microsoft.com/office/word/2010/wordprocessingShape">
                    <wps:wsp>
                      <wps:cNvSpPr/>
                      <wps:spPr>
                        <a:xfrm>
                          <a:off x="0" y="0"/>
                          <a:ext cx="2087245" cy="1155700"/>
                        </a:xfrm>
                        <a:prstGeom prst="round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A905B"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7AC0F07C"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 xml:space="preserve">Desktop </w:t>
                            </w:r>
                            <w:r>
                              <w:rPr>
                                <w:color w:val="1F497D" w:themeColor="text2"/>
                                <w:sz w:val="18"/>
                              </w:rPr>
                              <w:t>audit</w:t>
                            </w:r>
                          </w:p>
                          <w:p w14:paraId="56D6C7F2"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Review</w:t>
                            </w:r>
                          </w:p>
                          <w:p w14:paraId="08C17558"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00BF7010"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p w14:paraId="4B3AC70A"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Prosecution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3D120" id="Rounded Rectangle 230" o:spid="_x0000_s1036" style="position:absolute;margin-left:-2.75pt;margin-top:4.4pt;width:164.35pt;height:9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" fillcolor="#c6d9f1 [671]" strokecolor="white [3212]" strokeweight="2pt">
                <v:textbox>
                  <w:txbxContent>
                    <w:p w14:paraId="6D3A905B"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7AC0F07C"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 xml:space="preserve">Desktop </w:t>
                      </w:r>
                      <w:r>
                        <w:rPr>
                          <w:color w:val="1F497D" w:themeColor="text2"/>
                          <w:sz w:val="18"/>
                        </w:rPr>
                        <w:t>audit</w:t>
                      </w:r>
                    </w:p>
                    <w:p w14:paraId="56D6C7F2"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Review</w:t>
                      </w:r>
                    </w:p>
                    <w:p w14:paraId="08C17558"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00BF7010"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p w14:paraId="4B3AC70A"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Prosecution</w:t>
                      </w:r>
                    </w:p>
                  </w:txbxContent>
                </v:textbox>
                <w10:wrap type="square"/>
              </v:roundrect>
            </w:pict>
          </mc:Fallback>
        </mc:AlternateContent>
      </w:r>
      <w:r w:rsidR="007752F3" w:rsidRPr="007752F3">
        <w:rPr>
          <w:lang w:eastAsia="en-AU"/>
        </w:rPr>
        <w:t>A desktop audit identified pharmacies that had purchased the largest quantities of alprazolam (Schedule 8) during a 12-month period. Dispensing records obtained from each of the top 40</w:t>
      </w:r>
      <w:r w:rsidR="00E658EA">
        <w:rPr>
          <w:lang w:eastAsia="en-AU"/>
        </w:rPr>
        <w:t xml:space="preserve"> to </w:t>
      </w:r>
      <w:r w:rsidR="007752F3" w:rsidRPr="007752F3">
        <w:rPr>
          <w:lang w:eastAsia="en-AU"/>
        </w:rPr>
        <w:t xml:space="preserve">50 pharmacies revealed unlawful and questionable prescribing, which was addressed by way of </w:t>
      </w:r>
      <w:r w:rsidR="00E807B2" w:rsidRPr="007752F3">
        <w:rPr>
          <w:lang w:eastAsia="en-AU"/>
        </w:rPr>
        <w:t>intervention</w:t>
      </w:r>
      <w:r w:rsidR="00E807B2">
        <w:rPr>
          <w:lang w:eastAsia="en-AU"/>
        </w:rPr>
        <w:t xml:space="preserve"> </w:t>
      </w:r>
      <w:r w:rsidR="007752F3" w:rsidRPr="007752F3">
        <w:rPr>
          <w:lang w:eastAsia="en-AU"/>
        </w:rPr>
        <w:t xml:space="preserve">letters, however significant discrepancies between quantities purchased by and supplied at two pharmacies were considered to necessitate reviews. </w:t>
      </w:r>
    </w:p>
    <w:p w14:paraId="08302AE2" w14:textId="247F8807" w:rsidR="00E658EA" w:rsidRDefault="007752F3" w:rsidP="007752F3">
      <w:pPr>
        <w:pStyle w:val="DHHSbody"/>
        <w:rPr>
          <w:lang w:eastAsia="en-AU"/>
        </w:rPr>
      </w:pPr>
      <w:r w:rsidRPr="41FD14AD">
        <w:rPr>
          <w:lang w:eastAsia="en-AU"/>
        </w:rPr>
        <w:t xml:space="preserve">The reviews provided no explanation but one pharmacist was found to be employed at both pharmacies. An in-depth investigation was initiated and an interim report to </w:t>
      </w:r>
      <w:r w:rsidR="00E807B2" w:rsidRPr="41FD14AD">
        <w:rPr>
          <w:lang w:eastAsia="en-AU"/>
        </w:rPr>
        <w:t xml:space="preserve">Ahpra </w:t>
      </w:r>
      <w:r w:rsidRPr="41FD14AD">
        <w:rPr>
          <w:lang w:eastAsia="en-AU"/>
        </w:rPr>
        <w:t xml:space="preserve">led to immediate action to prevent the pharmacist’s ongoing employment as a pharmacist (in the short term). Further investigations revealed six additional pharmacies at which discrepancies in alprazolam could be linked to the same pharmacist; that the missing alprazolam corresponded to a ‘traffickable quantity’; and that the cumulative total of missing alprazolam far exceeded a quantity that could be readily explained by unlawful self-administration. </w:t>
      </w:r>
      <w:r w:rsidR="00F607C1" w:rsidRPr="41FD14AD">
        <w:rPr>
          <w:lang w:eastAsia="en-AU"/>
        </w:rPr>
        <w:t>The</w:t>
      </w:r>
      <w:r w:rsidR="00D021E8" w:rsidRPr="41FD14AD">
        <w:rPr>
          <w:lang w:eastAsia="en-AU"/>
        </w:rPr>
        <w:t xml:space="preserve"> quantity of alprazolam </w:t>
      </w:r>
      <w:r w:rsidR="00082B38" w:rsidRPr="41FD14AD">
        <w:rPr>
          <w:lang w:eastAsia="en-AU"/>
        </w:rPr>
        <w:t>was</w:t>
      </w:r>
      <w:r w:rsidR="00D021E8" w:rsidRPr="41FD14AD">
        <w:rPr>
          <w:lang w:eastAsia="en-AU"/>
        </w:rPr>
        <w:t xml:space="preserve"> a significant risk to the community </w:t>
      </w:r>
      <w:r w:rsidR="00B6205D" w:rsidRPr="41FD14AD">
        <w:rPr>
          <w:lang w:eastAsia="en-AU"/>
        </w:rPr>
        <w:t>if unlawfully supplied to the public and may result in harm or overdose.</w:t>
      </w:r>
    </w:p>
    <w:p w14:paraId="3AE9C4AB" w14:textId="00A97807" w:rsidR="00E658EA" w:rsidRDefault="007752F3" w:rsidP="007752F3">
      <w:pPr>
        <w:pStyle w:val="DHHSbody"/>
        <w:rPr>
          <w:lang w:eastAsia="en-AU"/>
        </w:rPr>
      </w:pPr>
      <w:r w:rsidRPr="41FD14AD">
        <w:rPr>
          <w:lang w:eastAsia="en-AU"/>
        </w:rPr>
        <w:lastRenderedPageBreak/>
        <w:t xml:space="preserve">A prosecution by </w:t>
      </w:r>
      <w:r w:rsidR="00E658EA" w:rsidRPr="41FD14AD">
        <w:rPr>
          <w:lang w:eastAsia="en-AU"/>
        </w:rPr>
        <w:t xml:space="preserve">the </w:t>
      </w:r>
      <w:r w:rsidR="002A6E11">
        <w:rPr>
          <w:lang w:eastAsia="en-AU"/>
        </w:rPr>
        <w:t>department</w:t>
      </w:r>
      <w:r w:rsidR="00E658EA" w:rsidRPr="41FD14AD">
        <w:rPr>
          <w:lang w:eastAsia="en-AU"/>
        </w:rPr>
        <w:t xml:space="preserve"> </w:t>
      </w:r>
      <w:r w:rsidRPr="41FD14AD">
        <w:rPr>
          <w:lang w:eastAsia="en-AU"/>
        </w:rPr>
        <w:t xml:space="preserve">was subsequently initiated with the final investigation report also provided to </w:t>
      </w:r>
      <w:r w:rsidR="005F07C9" w:rsidRPr="41FD14AD">
        <w:rPr>
          <w:lang w:eastAsia="en-AU"/>
        </w:rPr>
        <w:t xml:space="preserve">Ahpra </w:t>
      </w:r>
      <w:r w:rsidRPr="41FD14AD">
        <w:rPr>
          <w:lang w:eastAsia="en-AU"/>
        </w:rPr>
        <w:t xml:space="preserve">for further consideration. </w:t>
      </w:r>
    </w:p>
    <w:p w14:paraId="3F4F9FD6" w14:textId="12450B0A" w:rsidR="007752F3" w:rsidRPr="007752F3" w:rsidRDefault="00E658EA" w:rsidP="00FC0A00">
      <w:pPr>
        <w:pStyle w:val="Heading2"/>
        <w:rPr>
          <w:lang w:eastAsia="en-AU"/>
        </w:rPr>
      </w:pPr>
      <w:r w:rsidRPr="41FD14AD">
        <w:rPr>
          <w:lang w:eastAsia="en-AU"/>
        </w:rPr>
        <w:t xml:space="preserve">Case study 2: </w:t>
      </w:r>
      <w:r w:rsidR="00464E6C" w:rsidRPr="41FD14AD">
        <w:rPr>
          <w:lang w:eastAsia="en-AU"/>
        </w:rPr>
        <w:t>Obtaining medicines by false pretence</w:t>
      </w:r>
    </w:p>
    <w:p w14:paraId="6CB3A523" w14:textId="117EBC2E" w:rsidR="00E658EA" w:rsidRDefault="009F7BDB" w:rsidP="007752F3">
      <w:pPr>
        <w:pStyle w:val="DHHSbody"/>
        <w:rPr>
          <w:lang w:eastAsia="en-AU"/>
        </w:rPr>
      </w:pPr>
      <w:r>
        <w:rPr>
          <w:noProof/>
          <w:lang w:eastAsia="en-AU"/>
        </w:rPr>
        <mc:AlternateContent>
          <mc:Choice Requires="wps">
            <w:drawing>
              <wp:anchor distT="0" distB="0" distL="114300" distR="114300" simplePos="0" relativeHeight="251693056" behindDoc="0" locked="0" layoutInCell="1" allowOverlap="1" wp14:anchorId="0B6433AE" wp14:editId="1E1F576E">
                <wp:simplePos x="0" y="0"/>
                <wp:positionH relativeFrom="column">
                  <wp:posOffset>3674745</wp:posOffset>
                </wp:positionH>
                <wp:positionV relativeFrom="paragraph">
                  <wp:posOffset>99060</wp:posOffset>
                </wp:positionV>
                <wp:extent cx="2172970" cy="724535"/>
                <wp:effectExtent l="0" t="0" r="17780" b="18415"/>
                <wp:wrapSquare wrapText="bothSides"/>
                <wp:docPr id="231" name="Rounded Rectangle 231"/>
                <wp:cNvGraphicFramePr/>
                <a:graphic xmlns:a="http://schemas.openxmlformats.org/drawingml/2006/main">
                  <a:graphicData uri="http://schemas.microsoft.com/office/word/2010/wordprocessingShape">
                    <wps:wsp>
                      <wps:cNvSpPr/>
                      <wps:spPr>
                        <a:xfrm>
                          <a:off x="0" y="0"/>
                          <a:ext cx="2172970" cy="724535"/>
                        </a:xfrm>
                        <a:prstGeom prst="round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DDCB9"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3A59602D"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Review</w:t>
                            </w:r>
                          </w:p>
                          <w:p w14:paraId="11CB7651"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4586C9CE"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433AE" id="Rounded Rectangle 231" o:spid="_x0000_s1037" style="position:absolute;margin-left:289.35pt;margin-top:7.8pt;width:171.1pt;height:5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" fillcolor="#c6d9f1 [671]" strokecolor="white [3212]" strokeweight="2pt">
                <v:textbox>
                  <w:txbxContent>
                    <w:p w14:paraId="018DDCB9"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3A59602D"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Review</w:t>
                      </w:r>
                    </w:p>
                    <w:p w14:paraId="11CB7651"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4586C9CE"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txbxContent>
                </v:textbox>
                <w10:wrap type="square"/>
              </v:roundrect>
            </w:pict>
          </mc:Fallback>
        </mc:AlternateContent>
      </w:r>
      <w:r w:rsidR="007752F3" w:rsidRPr="007752F3">
        <w:rPr>
          <w:lang w:eastAsia="en-AU"/>
        </w:rPr>
        <w:t>Proactive prescription-monitoring activities identified a p</w:t>
      </w:r>
      <w:r w:rsidR="005F07C9">
        <w:rPr>
          <w:lang w:eastAsia="en-AU"/>
        </w:rPr>
        <w:t>erson</w:t>
      </w:r>
      <w:r w:rsidR="00E807B2">
        <w:rPr>
          <w:lang w:eastAsia="en-AU"/>
        </w:rPr>
        <w:t xml:space="preserve"> visiting multiple prescribers to obtain</w:t>
      </w:r>
      <w:r w:rsidR="007752F3" w:rsidRPr="007752F3">
        <w:rPr>
          <w:lang w:eastAsia="en-AU"/>
        </w:rPr>
        <w:t xml:space="preserve"> oxycodone (Schedule 8). </w:t>
      </w:r>
    </w:p>
    <w:p w14:paraId="42D32C19" w14:textId="20F1EEFF" w:rsidR="00E2232F" w:rsidRDefault="00E2232F" w:rsidP="00E2232F">
      <w:pPr>
        <w:pStyle w:val="DHHSbody"/>
        <w:rPr>
          <w:lang w:eastAsia="en-AU"/>
        </w:rPr>
      </w:pPr>
      <w:r w:rsidRPr="41FD14AD">
        <w:rPr>
          <w:lang w:eastAsia="en-AU"/>
        </w:rPr>
        <w:t xml:space="preserve">A review indicated that, despite sending intervention letters to prescribers as and when they were identified, the </w:t>
      </w:r>
      <w:r w:rsidR="00E807B2" w:rsidRPr="41FD14AD">
        <w:rPr>
          <w:lang w:eastAsia="en-AU"/>
        </w:rPr>
        <w:t>activity</w:t>
      </w:r>
      <w:r w:rsidRPr="41FD14AD">
        <w:rPr>
          <w:lang w:eastAsia="en-AU"/>
        </w:rPr>
        <w:t xml:space="preserve"> continued with other prescribers. An in-depth investigation revealed that the p</w:t>
      </w:r>
      <w:r w:rsidR="00C80625">
        <w:rPr>
          <w:lang w:eastAsia="en-AU"/>
        </w:rPr>
        <w:t>erson</w:t>
      </w:r>
      <w:r w:rsidRPr="41FD14AD">
        <w:rPr>
          <w:lang w:eastAsia="en-AU"/>
        </w:rPr>
        <w:t xml:space="preserve"> had consulted more than 200 prescribers to obtain prescriptions to enable </w:t>
      </w:r>
      <w:r w:rsidR="00C80625">
        <w:rPr>
          <w:lang w:eastAsia="en-AU"/>
        </w:rPr>
        <w:t>the person</w:t>
      </w:r>
      <w:r w:rsidRPr="41FD14AD">
        <w:rPr>
          <w:lang w:eastAsia="en-AU"/>
        </w:rPr>
        <w:t xml:space="preserve"> to </w:t>
      </w:r>
      <w:r w:rsidR="00E132D1">
        <w:rPr>
          <w:lang w:eastAsia="en-AU"/>
        </w:rPr>
        <w:t>obtain</w:t>
      </w:r>
      <w:r w:rsidRPr="41FD14AD">
        <w:rPr>
          <w:lang w:eastAsia="en-AU"/>
        </w:rPr>
        <w:t xml:space="preserve"> 30 to 40 OxyContin 40mg tablets per day. </w:t>
      </w:r>
      <w:r w:rsidR="001103A7">
        <w:rPr>
          <w:lang w:eastAsia="en-AU"/>
        </w:rPr>
        <w:t xml:space="preserve">Evidence </w:t>
      </w:r>
      <w:r w:rsidR="0019771D">
        <w:rPr>
          <w:lang w:eastAsia="en-AU"/>
        </w:rPr>
        <w:t>obtained in</w:t>
      </w:r>
      <w:r w:rsidR="001103A7">
        <w:rPr>
          <w:lang w:eastAsia="en-AU"/>
        </w:rPr>
        <w:t xml:space="preserve"> the </w:t>
      </w:r>
      <w:r w:rsidR="002A6E11">
        <w:rPr>
          <w:lang w:eastAsia="en-AU"/>
        </w:rPr>
        <w:t>department</w:t>
      </w:r>
      <w:r w:rsidR="001103A7">
        <w:rPr>
          <w:lang w:eastAsia="en-AU"/>
        </w:rPr>
        <w:t>’s investigation was provided to</w:t>
      </w:r>
      <w:r w:rsidRPr="41FD14AD">
        <w:rPr>
          <w:lang w:eastAsia="en-AU"/>
        </w:rPr>
        <w:t xml:space="preserve"> Victoria Police </w:t>
      </w:r>
      <w:r w:rsidR="001103A7">
        <w:rPr>
          <w:lang w:eastAsia="en-AU"/>
        </w:rPr>
        <w:t>who</w:t>
      </w:r>
      <w:r w:rsidRPr="41FD14AD">
        <w:rPr>
          <w:lang w:eastAsia="en-AU"/>
        </w:rPr>
        <w:t xml:space="preserve"> </w:t>
      </w:r>
      <w:r w:rsidR="00D057A5" w:rsidRPr="41FD14AD">
        <w:rPr>
          <w:lang w:eastAsia="en-AU"/>
        </w:rPr>
        <w:t>investigate</w:t>
      </w:r>
      <w:r w:rsidR="001103A7">
        <w:rPr>
          <w:lang w:eastAsia="en-AU"/>
        </w:rPr>
        <w:t>d</w:t>
      </w:r>
      <w:r w:rsidR="00D057A5" w:rsidRPr="41FD14AD">
        <w:rPr>
          <w:lang w:eastAsia="en-AU"/>
        </w:rPr>
        <w:t xml:space="preserve"> the </w:t>
      </w:r>
      <w:r w:rsidRPr="41FD14AD">
        <w:rPr>
          <w:lang w:eastAsia="en-AU"/>
        </w:rPr>
        <w:t>patient</w:t>
      </w:r>
      <w:r w:rsidR="00CA6087">
        <w:rPr>
          <w:lang w:eastAsia="en-AU"/>
        </w:rPr>
        <w:t xml:space="preserve"> </w:t>
      </w:r>
      <w:r w:rsidR="0019771D">
        <w:rPr>
          <w:lang w:eastAsia="en-AU"/>
        </w:rPr>
        <w:t>for</w:t>
      </w:r>
      <w:r w:rsidRPr="41FD14AD">
        <w:rPr>
          <w:lang w:eastAsia="en-AU"/>
        </w:rPr>
        <w:t xml:space="preserve"> obtaining a drug of dependence by false representation</w:t>
      </w:r>
      <w:r w:rsidR="0019771D">
        <w:rPr>
          <w:lang w:eastAsia="en-AU"/>
        </w:rPr>
        <w:t>.</w:t>
      </w:r>
      <w:r w:rsidRPr="41FD14AD">
        <w:rPr>
          <w:lang w:eastAsia="en-AU"/>
        </w:rPr>
        <w:t xml:space="preserve"> </w:t>
      </w:r>
      <w:r w:rsidR="0019771D">
        <w:rPr>
          <w:lang w:eastAsia="en-AU"/>
        </w:rPr>
        <w:t>This</w:t>
      </w:r>
      <w:r w:rsidR="0019771D" w:rsidRPr="41FD14AD">
        <w:rPr>
          <w:lang w:eastAsia="en-AU"/>
        </w:rPr>
        <w:t xml:space="preserve"> </w:t>
      </w:r>
      <w:r w:rsidRPr="41FD14AD">
        <w:rPr>
          <w:lang w:eastAsia="en-AU"/>
        </w:rPr>
        <w:t>curtailed his unlawful activities and led to the commencement of opioid-replacement therapy. </w:t>
      </w:r>
    </w:p>
    <w:p w14:paraId="3A4F82A4" w14:textId="1A7E260B" w:rsidR="00E658EA" w:rsidRDefault="0019771D" w:rsidP="007752F3">
      <w:pPr>
        <w:pStyle w:val="DHHSbody"/>
        <w:rPr>
          <w:lang w:eastAsia="en-AU"/>
        </w:rPr>
      </w:pPr>
      <w:r>
        <w:rPr>
          <w:lang w:eastAsia="en-AU"/>
        </w:rPr>
        <w:t xml:space="preserve">Additionally, the </w:t>
      </w:r>
      <w:r w:rsidR="002A6E11">
        <w:rPr>
          <w:lang w:eastAsia="en-AU"/>
        </w:rPr>
        <w:t>department</w:t>
      </w:r>
      <w:r>
        <w:rPr>
          <w:lang w:eastAsia="en-AU"/>
        </w:rPr>
        <w:t xml:space="preserve"> </w:t>
      </w:r>
      <w:r w:rsidR="007752F3" w:rsidRPr="41FD14AD">
        <w:rPr>
          <w:lang w:eastAsia="en-AU"/>
        </w:rPr>
        <w:t>refer</w:t>
      </w:r>
      <w:r>
        <w:rPr>
          <w:lang w:eastAsia="en-AU"/>
        </w:rPr>
        <w:t>red</w:t>
      </w:r>
      <w:r w:rsidR="007752F3" w:rsidRPr="41FD14AD">
        <w:rPr>
          <w:lang w:eastAsia="en-AU"/>
        </w:rPr>
        <w:t xml:space="preserve"> multiple prescribers to </w:t>
      </w:r>
      <w:r w:rsidR="00E807B2" w:rsidRPr="41FD14AD">
        <w:rPr>
          <w:lang w:eastAsia="en-AU"/>
        </w:rPr>
        <w:t>Ahpra</w:t>
      </w:r>
      <w:r>
        <w:rPr>
          <w:lang w:eastAsia="en-AU"/>
        </w:rPr>
        <w:t xml:space="preserve"> regarding</w:t>
      </w:r>
      <w:r w:rsidR="007752F3" w:rsidRPr="41FD14AD">
        <w:rPr>
          <w:lang w:eastAsia="en-AU"/>
        </w:rPr>
        <w:t xml:space="preserve"> </w:t>
      </w:r>
      <w:r w:rsidR="005F07C9" w:rsidRPr="41FD14AD">
        <w:rPr>
          <w:lang w:eastAsia="en-AU"/>
        </w:rPr>
        <w:t>poor</w:t>
      </w:r>
      <w:r w:rsidR="007752F3" w:rsidRPr="41FD14AD">
        <w:rPr>
          <w:lang w:eastAsia="en-AU"/>
        </w:rPr>
        <w:t xml:space="preserve"> professional </w:t>
      </w:r>
      <w:r w:rsidR="005F07C9" w:rsidRPr="41FD14AD">
        <w:rPr>
          <w:lang w:eastAsia="en-AU"/>
        </w:rPr>
        <w:t>practice and fail</w:t>
      </w:r>
      <w:r>
        <w:rPr>
          <w:lang w:eastAsia="en-AU"/>
        </w:rPr>
        <w:t>ing</w:t>
      </w:r>
      <w:r w:rsidR="005F07C9" w:rsidRPr="41FD14AD">
        <w:rPr>
          <w:lang w:eastAsia="en-AU"/>
        </w:rPr>
        <w:t xml:space="preserve"> to meet legal requirements when prescribing for the person.</w:t>
      </w:r>
      <w:r w:rsidR="007752F3" w:rsidRPr="41FD14AD">
        <w:rPr>
          <w:lang w:eastAsia="en-AU"/>
        </w:rPr>
        <w:t xml:space="preserve"> </w:t>
      </w:r>
    </w:p>
    <w:p w14:paraId="7C39C8D8" w14:textId="65D297EF" w:rsidR="00415B21" w:rsidRDefault="00415B21" w:rsidP="00FC0A00">
      <w:pPr>
        <w:pStyle w:val="Heading2"/>
        <w:rPr>
          <w:lang w:eastAsia="en-AU"/>
        </w:rPr>
      </w:pPr>
      <w:r w:rsidRPr="41FD14AD">
        <w:rPr>
          <w:lang w:eastAsia="en-AU"/>
        </w:rPr>
        <w:t xml:space="preserve">Case Study </w:t>
      </w:r>
      <w:r w:rsidR="00E2232F" w:rsidRPr="41FD14AD">
        <w:rPr>
          <w:lang w:eastAsia="en-AU"/>
        </w:rPr>
        <w:t>3</w:t>
      </w:r>
      <w:r w:rsidRPr="41FD14AD">
        <w:rPr>
          <w:lang w:eastAsia="en-AU"/>
        </w:rPr>
        <w:t>: Fraudulent prescription</w:t>
      </w:r>
      <w:r w:rsidR="00AC3882" w:rsidRPr="41FD14AD">
        <w:rPr>
          <w:lang w:eastAsia="en-AU"/>
        </w:rPr>
        <w:t>s</w:t>
      </w:r>
    </w:p>
    <w:p w14:paraId="4FDB12BC" w14:textId="5C8ABD43" w:rsidR="00415B21" w:rsidRDefault="009F7BDB" w:rsidP="00415B21">
      <w:pPr>
        <w:pStyle w:val="DHHSbody"/>
        <w:rPr>
          <w:lang w:eastAsia="en-AU"/>
        </w:rPr>
      </w:pPr>
      <w:r>
        <w:rPr>
          <w:noProof/>
          <w:lang w:eastAsia="en-AU"/>
        </w:rPr>
        <mc:AlternateContent>
          <mc:Choice Requires="wps">
            <w:drawing>
              <wp:anchor distT="0" distB="0" distL="114300" distR="114300" simplePos="0" relativeHeight="251658255" behindDoc="0" locked="0" layoutInCell="1" allowOverlap="1" wp14:anchorId="3369D9CC" wp14:editId="7ED541D8">
                <wp:simplePos x="0" y="0"/>
                <wp:positionH relativeFrom="column">
                  <wp:posOffset>3605530</wp:posOffset>
                </wp:positionH>
                <wp:positionV relativeFrom="paragraph">
                  <wp:posOffset>8890</wp:posOffset>
                </wp:positionV>
                <wp:extent cx="2277110" cy="698500"/>
                <wp:effectExtent l="0" t="0" r="27940" b="25400"/>
                <wp:wrapSquare wrapText="bothSides"/>
                <wp:docPr id="233" name="Rounded Rectangle 233"/>
                <wp:cNvGraphicFramePr/>
                <a:graphic xmlns:a="http://schemas.openxmlformats.org/drawingml/2006/main">
                  <a:graphicData uri="http://schemas.microsoft.com/office/word/2010/wordprocessingShape">
                    <wps:wsp>
                      <wps:cNvSpPr/>
                      <wps:spPr>
                        <a:xfrm>
                          <a:off x="0" y="0"/>
                          <a:ext cx="2277110" cy="698500"/>
                        </a:xfrm>
                        <a:prstGeom prst="round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D88BE"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75B3A4AE"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07C1A83E" w14:textId="77777777" w:rsidR="00B22E55"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p w14:paraId="2B5FFDE9" w14:textId="77777777" w:rsidR="00B22E55" w:rsidRPr="009F7BDB" w:rsidRDefault="00B22E55" w:rsidP="00AC3882">
                            <w:pPr>
                              <w:pStyle w:val="ListParagraph"/>
                              <w:numPr>
                                <w:ilvl w:val="0"/>
                                <w:numId w:val="20"/>
                              </w:numPr>
                              <w:rPr>
                                <w:color w:val="1F497D" w:themeColor="text2"/>
                                <w:sz w:val="18"/>
                              </w:rPr>
                            </w:pPr>
                            <w:r w:rsidRPr="009F7BDB">
                              <w:rPr>
                                <w:color w:val="1F497D" w:themeColor="text2"/>
                                <w:sz w:val="18"/>
                              </w:rPr>
                              <w:t>Prosecution</w:t>
                            </w:r>
                          </w:p>
                          <w:p w14:paraId="1C9C8DA4" w14:textId="77777777" w:rsidR="00B22E55" w:rsidRPr="009F7BDB" w:rsidRDefault="00B22E55" w:rsidP="009F7BDB">
                            <w:pPr>
                              <w:pStyle w:val="ListParagraph"/>
                              <w:numPr>
                                <w:ilvl w:val="0"/>
                                <w:numId w:val="20"/>
                              </w:numPr>
                              <w:rPr>
                                <w:color w:val="1F497D" w:themeColor="text2"/>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9D9CC" id="Rounded Rectangle 233" o:spid="_x0000_s1038" style="position:absolute;margin-left:283.9pt;margin-top:.7pt;width:179.3pt;height: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" fillcolor="#c6d9f1 [671]" strokecolor="white [3212]" strokeweight="2pt">
                <v:textbox>
                  <w:txbxContent>
                    <w:p w14:paraId="0A3D88BE" w14:textId="77777777" w:rsidR="00B22E55" w:rsidRPr="009F7BDB" w:rsidRDefault="00B22E55" w:rsidP="009F7BDB">
                      <w:pPr>
                        <w:rPr>
                          <w:b/>
                          <w:color w:val="1F497D" w:themeColor="text2"/>
                          <w:sz w:val="18"/>
                        </w:rPr>
                      </w:pPr>
                      <w:r w:rsidRPr="009F7BDB">
                        <w:rPr>
                          <w:b/>
                          <w:color w:val="1F497D" w:themeColor="text2"/>
                          <w:sz w:val="18"/>
                        </w:rPr>
                        <w:t>Overview of approaches applied:</w:t>
                      </w:r>
                    </w:p>
                    <w:p w14:paraId="75B3A4AE" w14:textId="77777777" w:rsidR="00B22E55" w:rsidRPr="009F7BDB" w:rsidRDefault="00B22E55" w:rsidP="009F7BDB">
                      <w:pPr>
                        <w:pStyle w:val="ListParagraph"/>
                        <w:numPr>
                          <w:ilvl w:val="0"/>
                          <w:numId w:val="20"/>
                        </w:numPr>
                        <w:rPr>
                          <w:color w:val="1F497D" w:themeColor="text2"/>
                          <w:sz w:val="18"/>
                        </w:rPr>
                      </w:pPr>
                      <w:r w:rsidRPr="009F7BDB">
                        <w:rPr>
                          <w:color w:val="1F497D" w:themeColor="text2"/>
                          <w:sz w:val="18"/>
                        </w:rPr>
                        <w:t>Investigation</w:t>
                      </w:r>
                    </w:p>
                    <w:p w14:paraId="07C1A83E" w14:textId="77777777" w:rsidR="00B22E55" w:rsidRDefault="00B22E55" w:rsidP="009F7BDB">
                      <w:pPr>
                        <w:pStyle w:val="ListParagraph"/>
                        <w:numPr>
                          <w:ilvl w:val="0"/>
                          <w:numId w:val="20"/>
                        </w:numPr>
                        <w:rPr>
                          <w:color w:val="1F497D" w:themeColor="text2"/>
                          <w:sz w:val="18"/>
                        </w:rPr>
                      </w:pPr>
                      <w:r w:rsidRPr="009F7BDB">
                        <w:rPr>
                          <w:color w:val="1F497D" w:themeColor="text2"/>
                          <w:sz w:val="18"/>
                        </w:rPr>
                        <w:t>Referral to another agency</w:t>
                      </w:r>
                    </w:p>
                    <w:p w14:paraId="2B5FFDE9" w14:textId="77777777" w:rsidR="00B22E55" w:rsidRPr="009F7BDB" w:rsidRDefault="00B22E55" w:rsidP="00AC3882">
                      <w:pPr>
                        <w:pStyle w:val="ListParagraph"/>
                        <w:numPr>
                          <w:ilvl w:val="0"/>
                          <w:numId w:val="20"/>
                        </w:numPr>
                        <w:rPr>
                          <w:color w:val="1F497D" w:themeColor="text2"/>
                          <w:sz w:val="18"/>
                        </w:rPr>
                      </w:pPr>
                      <w:r w:rsidRPr="009F7BDB">
                        <w:rPr>
                          <w:color w:val="1F497D" w:themeColor="text2"/>
                          <w:sz w:val="18"/>
                        </w:rPr>
                        <w:t>Prosecution</w:t>
                      </w:r>
                    </w:p>
                    <w:p w14:paraId="1C9C8DA4" w14:textId="77777777" w:rsidR="00B22E55" w:rsidRPr="009F7BDB" w:rsidRDefault="00B22E55" w:rsidP="009F7BDB">
                      <w:pPr>
                        <w:pStyle w:val="ListParagraph"/>
                        <w:numPr>
                          <w:ilvl w:val="0"/>
                          <w:numId w:val="20"/>
                        </w:numPr>
                        <w:rPr>
                          <w:color w:val="1F497D" w:themeColor="text2"/>
                          <w:sz w:val="18"/>
                        </w:rPr>
                      </w:pPr>
                    </w:p>
                  </w:txbxContent>
                </v:textbox>
                <w10:wrap type="square"/>
              </v:roundrect>
            </w:pict>
          </mc:Fallback>
        </mc:AlternateContent>
      </w:r>
      <w:r w:rsidR="00415B21" w:rsidRPr="00415B21">
        <w:rPr>
          <w:lang w:eastAsia="en-AU"/>
        </w:rPr>
        <w:t xml:space="preserve">A pharmacist notified </w:t>
      </w:r>
      <w:r w:rsidR="00415B21">
        <w:rPr>
          <w:lang w:eastAsia="en-AU"/>
        </w:rPr>
        <w:t xml:space="preserve">the </w:t>
      </w:r>
      <w:r w:rsidR="002A6E11">
        <w:rPr>
          <w:lang w:eastAsia="en-AU"/>
        </w:rPr>
        <w:t>department</w:t>
      </w:r>
      <w:r w:rsidR="00415B21" w:rsidRPr="00415B21">
        <w:rPr>
          <w:lang w:eastAsia="en-AU"/>
        </w:rPr>
        <w:t xml:space="preserve"> about a suspected fraudulent prescription. </w:t>
      </w:r>
      <w:r w:rsidR="00415B21">
        <w:rPr>
          <w:lang w:eastAsia="en-AU"/>
        </w:rPr>
        <w:t xml:space="preserve">On </w:t>
      </w:r>
      <w:r w:rsidR="00415B21" w:rsidRPr="00415B21">
        <w:rPr>
          <w:lang w:eastAsia="en-AU"/>
        </w:rPr>
        <w:t xml:space="preserve">review, there was no evidence to suggest that it was anything other than an isolated incident that had been reported to police so no further action was taken. </w:t>
      </w:r>
    </w:p>
    <w:p w14:paraId="226A9156" w14:textId="77777777" w:rsidR="00415B21" w:rsidRDefault="00415B21" w:rsidP="00415B21">
      <w:pPr>
        <w:pStyle w:val="DHHSbody"/>
        <w:rPr>
          <w:lang w:eastAsia="en-AU"/>
        </w:rPr>
      </w:pPr>
      <w:r w:rsidRPr="00415B21">
        <w:rPr>
          <w:lang w:eastAsia="en-AU"/>
        </w:rPr>
        <w:t>However, subsequent prescription-monitoring activities revealed that a significant number of prescriptions had been dispensed for the patient, at multiple pharmacies</w:t>
      </w:r>
      <w:r>
        <w:rPr>
          <w:lang w:eastAsia="en-AU"/>
        </w:rPr>
        <w:t>. An investigation was launched to:</w:t>
      </w:r>
    </w:p>
    <w:p w14:paraId="6D565E51" w14:textId="0126335C" w:rsidR="00415B21" w:rsidRDefault="00415B21" w:rsidP="00415B21">
      <w:pPr>
        <w:pStyle w:val="DHHSbody"/>
        <w:numPr>
          <w:ilvl w:val="0"/>
          <w:numId w:val="18"/>
        </w:numPr>
        <w:rPr>
          <w:lang w:eastAsia="en-AU"/>
        </w:rPr>
      </w:pPr>
      <w:r w:rsidRPr="00415B21">
        <w:rPr>
          <w:lang w:eastAsia="en-AU"/>
        </w:rPr>
        <w:t xml:space="preserve">determine </w:t>
      </w:r>
      <w:r>
        <w:rPr>
          <w:lang w:eastAsia="en-AU"/>
        </w:rPr>
        <w:t>the extent of unlawful activity</w:t>
      </w:r>
      <w:r w:rsidR="0019771D">
        <w:rPr>
          <w:lang w:eastAsia="en-AU"/>
        </w:rPr>
        <w:t>;</w:t>
      </w:r>
    </w:p>
    <w:p w14:paraId="256D2D9B" w14:textId="71969959" w:rsidR="00415B21" w:rsidRDefault="00415B21" w:rsidP="00415B21">
      <w:pPr>
        <w:pStyle w:val="DHHSbody"/>
        <w:numPr>
          <w:ilvl w:val="0"/>
          <w:numId w:val="18"/>
        </w:numPr>
        <w:rPr>
          <w:lang w:eastAsia="en-AU"/>
        </w:rPr>
      </w:pPr>
      <w:r w:rsidRPr="00415B21">
        <w:rPr>
          <w:lang w:eastAsia="en-AU"/>
        </w:rPr>
        <w:t>whether the unlawful activity was continuing</w:t>
      </w:r>
      <w:r w:rsidR="0019771D">
        <w:rPr>
          <w:lang w:eastAsia="en-AU"/>
        </w:rPr>
        <w:t>; and,</w:t>
      </w:r>
    </w:p>
    <w:p w14:paraId="687B679A" w14:textId="77777777" w:rsidR="00415B21" w:rsidRDefault="00415B21" w:rsidP="00415B21">
      <w:pPr>
        <w:pStyle w:val="DHHSbody"/>
        <w:numPr>
          <w:ilvl w:val="0"/>
          <w:numId w:val="18"/>
        </w:numPr>
        <w:rPr>
          <w:lang w:eastAsia="en-AU"/>
        </w:rPr>
      </w:pPr>
      <w:r w:rsidRPr="00415B21">
        <w:rPr>
          <w:lang w:eastAsia="en-AU"/>
        </w:rPr>
        <w:t xml:space="preserve">whether any health practitioners had acted unlawfully. </w:t>
      </w:r>
    </w:p>
    <w:p w14:paraId="6142660C" w14:textId="2BE7C37C" w:rsidR="00415B21" w:rsidRDefault="00415B21" w:rsidP="00415B21">
      <w:pPr>
        <w:pStyle w:val="DHHSbody"/>
        <w:rPr>
          <w:lang w:eastAsia="en-AU"/>
        </w:rPr>
      </w:pPr>
      <w:r w:rsidRPr="00415B21">
        <w:rPr>
          <w:lang w:eastAsia="en-AU"/>
        </w:rPr>
        <w:t>The investigation revealed that the patient, for whom one medical practitioner ha</w:t>
      </w:r>
      <w:r w:rsidR="00B43217">
        <w:rPr>
          <w:lang w:eastAsia="en-AU"/>
        </w:rPr>
        <w:t xml:space="preserve">d been lawfully prescribing </w:t>
      </w:r>
      <w:r w:rsidRPr="00415B21">
        <w:rPr>
          <w:lang w:eastAsia="en-AU"/>
        </w:rPr>
        <w:t xml:space="preserve">benzodiazepines for several years, had commenced fraudulently altering genuine prescriptions and creating forged prescriptions by using prescription pages stolen from the clinic of </w:t>
      </w:r>
      <w:r w:rsidR="00B43217">
        <w:rPr>
          <w:lang w:eastAsia="en-AU"/>
        </w:rPr>
        <w:t>their</w:t>
      </w:r>
      <w:r w:rsidRPr="00415B21">
        <w:rPr>
          <w:lang w:eastAsia="en-AU"/>
        </w:rPr>
        <w:t xml:space="preserve"> regular treating medical practitioner. </w:t>
      </w:r>
    </w:p>
    <w:p w14:paraId="4B51B1CD" w14:textId="77777777" w:rsidR="001F37E4" w:rsidRDefault="00415B21" w:rsidP="00415B21">
      <w:pPr>
        <w:pStyle w:val="DHHSbody"/>
        <w:rPr>
          <w:lang w:eastAsia="en-AU"/>
        </w:rPr>
      </w:pPr>
      <w:r w:rsidRPr="00415B21">
        <w:rPr>
          <w:lang w:eastAsia="en-AU"/>
        </w:rPr>
        <w:t xml:space="preserve">It was determined that prescriptions had been dispensed at 14 different pharmacies and that, during the preceding 12-month period, the cumulative (lawful and unlawful) prescribing exceeded 26 tablets per day of each </w:t>
      </w:r>
      <w:r w:rsidR="008169C7">
        <w:rPr>
          <w:lang w:eastAsia="en-AU"/>
        </w:rPr>
        <w:t>medicine</w:t>
      </w:r>
      <w:r w:rsidRPr="00415B21">
        <w:rPr>
          <w:lang w:eastAsia="en-AU"/>
        </w:rPr>
        <w:t xml:space="preserve"> when the directions shown on prescriptions were for three tablets to be taken per day. </w:t>
      </w:r>
    </w:p>
    <w:p w14:paraId="181EDE57" w14:textId="77777777" w:rsidR="001F37E4" w:rsidRDefault="00415B21" w:rsidP="00415B21">
      <w:pPr>
        <w:pStyle w:val="DHHSbody"/>
        <w:rPr>
          <w:lang w:eastAsia="en-AU"/>
        </w:rPr>
      </w:pPr>
      <w:r w:rsidRPr="00415B21">
        <w:rPr>
          <w:lang w:eastAsia="en-AU"/>
        </w:rPr>
        <w:t xml:space="preserve">Following the investigation, the medical practitioner’s prescribing was found to be lawful and not excessive so no further action was taken. Most of the fraudulent prescriptions were considered to have been dispensed by pharmacists acting in the honest and reasonable belief that the prescriptions were genuine and no further action was taken. </w:t>
      </w:r>
    </w:p>
    <w:p w14:paraId="7344736A" w14:textId="73465D46" w:rsidR="009F7BDB" w:rsidRDefault="00415B21" w:rsidP="00415B21">
      <w:pPr>
        <w:pStyle w:val="DHHSbody"/>
        <w:rPr>
          <w:lang w:eastAsia="en-AU"/>
        </w:rPr>
      </w:pPr>
      <w:r w:rsidRPr="41FD14AD">
        <w:rPr>
          <w:lang w:eastAsia="en-AU"/>
        </w:rPr>
        <w:t>One pharmacist, who had dispensed more of the noted medic</w:t>
      </w:r>
      <w:r w:rsidR="00386A5F" w:rsidRPr="41FD14AD">
        <w:rPr>
          <w:lang w:eastAsia="en-AU"/>
        </w:rPr>
        <w:t>ine</w:t>
      </w:r>
      <w:r w:rsidRPr="41FD14AD">
        <w:rPr>
          <w:lang w:eastAsia="en-AU"/>
        </w:rPr>
        <w:t xml:space="preserve">s than the sum total of all other pharmacists, was prosecuted </w:t>
      </w:r>
      <w:r w:rsidR="00AC3882" w:rsidRPr="41FD14AD">
        <w:rPr>
          <w:lang w:eastAsia="en-AU"/>
        </w:rPr>
        <w:t xml:space="preserve">by the </w:t>
      </w:r>
      <w:r w:rsidR="002A6E11">
        <w:rPr>
          <w:lang w:eastAsia="en-AU"/>
        </w:rPr>
        <w:t>department</w:t>
      </w:r>
      <w:r w:rsidR="00AC3882" w:rsidRPr="41FD14AD">
        <w:rPr>
          <w:lang w:eastAsia="en-AU"/>
        </w:rPr>
        <w:t xml:space="preserve"> </w:t>
      </w:r>
      <w:r w:rsidRPr="41FD14AD">
        <w:rPr>
          <w:lang w:eastAsia="en-AU"/>
        </w:rPr>
        <w:t>and referred to A</w:t>
      </w:r>
      <w:r w:rsidR="00155849" w:rsidRPr="41FD14AD">
        <w:rPr>
          <w:lang w:eastAsia="en-AU"/>
        </w:rPr>
        <w:t>hpra</w:t>
      </w:r>
      <w:r w:rsidRPr="41FD14AD">
        <w:rPr>
          <w:lang w:eastAsia="en-AU"/>
        </w:rPr>
        <w:t xml:space="preserve"> because he was found to have failed to comply with a number of legislative requirements that, had he complied, would have identified the excessive </w:t>
      </w:r>
      <w:r w:rsidR="008169C7" w:rsidRPr="41FD14AD">
        <w:rPr>
          <w:lang w:eastAsia="en-AU"/>
        </w:rPr>
        <w:t>medicine</w:t>
      </w:r>
      <w:r w:rsidRPr="41FD14AD">
        <w:rPr>
          <w:lang w:eastAsia="en-AU"/>
        </w:rPr>
        <w:t xml:space="preserve"> use and fraudulent prescriptions at a much earlier stage. Details and evidence relating to the full extent of the patient’s unlawful conduct was provided </w:t>
      </w:r>
      <w:r w:rsidR="00B43217" w:rsidRPr="41FD14AD">
        <w:rPr>
          <w:lang w:eastAsia="en-AU"/>
        </w:rPr>
        <w:t>to Victoria Police</w:t>
      </w:r>
      <w:r w:rsidRPr="41FD14AD">
        <w:rPr>
          <w:lang w:eastAsia="en-AU"/>
        </w:rPr>
        <w:t xml:space="preserve">. </w:t>
      </w:r>
    </w:p>
    <w:p w14:paraId="240C921C" w14:textId="00B55142" w:rsidR="00FB421E" w:rsidRDefault="005F07C9" w:rsidP="00FB421E">
      <w:pPr>
        <w:pStyle w:val="DHHSbody"/>
        <w:rPr>
          <w:lang w:eastAsia="en-AU"/>
        </w:rPr>
      </w:pPr>
      <w:r w:rsidRPr="41FD14AD">
        <w:rPr>
          <w:b/>
          <w:bCs/>
          <w:lang w:eastAsia="en-AU"/>
        </w:rPr>
        <w:lastRenderedPageBreak/>
        <w:t>Note</w:t>
      </w:r>
      <w:r w:rsidR="009F7BDB" w:rsidRPr="41FD14AD">
        <w:rPr>
          <w:lang w:eastAsia="en-AU"/>
        </w:rPr>
        <w:t xml:space="preserve">: </w:t>
      </w:r>
      <w:r w:rsidR="00415B21" w:rsidRPr="41FD14AD">
        <w:rPr>
          <w:lang w:eastAsia="en-AU"/>
        </w:rPr>
        <w:t>SafeScript</w:t>
      </w:r>
      <w:r w:rsidRPr="41FD14AD">
        <w:rPr>
          <w:lang w:eastAsia="en-AU"/>
        </w:rPr>
        <w:t xml:space="preserve"> </w:t>
      </w:r>
      <w:r w:rsidR="00415B21" w:rsidRPr="41FD14AD">
        <w:rPr>
          <w:lang w:eastAsia="en-AU"/>
        </w:rPr>
        <w:t>enable</w:t>
      </w:r>
      <w:r w:rsidRPr="41FD14AD">
        <w:rPr>
          <w:lang w:eastAsia="en-AU"/>
        </w:rPr>
        <w:t>s</w:t>
      </w:r>
      <w:r w:rsidR="00415B21" w:rsidRPr="41FD14AD">
        <w:rPr>
          <w:lang w:eastAsia="en-AU"/>
        </w:rPr>
        <w:t xml:space="preserve"> </w:t>
      </w:r>
      <w:r w:rsidR="009F7BDB" w:rsidRPr="41FD14AD">
        <w:rPr>
          <w:lang w:eastAsia="en-AU"/>
        </w:rPr>
        <w:t xml:space="preserve">the </w:t>
      </w:r>
      <w:r w:rsidR="002A6E11">
        <w:rPr>
          <w:lang w:eastAsia="en-AU"/>
        </w:rPr>
        <w:t>department</w:t>
      </w:r>
      <w:r w:rsidR="00415B21" w:rsidRPr="41FD14AD">
        <w:rPr>
          <w:lang w:eastAsia="en-AU"/>
        </w:rPr>
        <w:t xml:space="preserve"> to identify apparently excessive prescribing by a single prescriber, regardless of how many pharmacies might be dispensing for that patient</w:t>
      </w:r>
      <w:r w:rsidR="00B43217" w:rsidRPr="41FD14AD">
        <w:rPr>
          <w:lang w:eastAsia="en-AU"/>
        </w:rPr>
        <w:t>. It also help</w:t>
      </w:r>
      <w:r w:rsidRPr="41FD14AD">
        <w:rPr>
          <w:lang w:eastAsia="en-AU"/>
        </w:rPr>
        <w:t>s</w:t>
      </w:r>
      <w:r w:rsidR="00B43217" w:rsidRPr="41FD14AD">
        <w:rPr>
          <w:lang w:eastAsia="en-AU"/>
        </w:rPr>
        <w:t xml:space="preserve"> </w:t>
      </w:r>
      <w:r w:rsidR="00415B21" w:rsidRPr="41FD14AD">
        <w:rPr>
          <w:lang w:eastAsia="en-AU"/>
        </w:rPr>
        <w:t xml:space="preserve">pharmacists and prescribers to identify </w:t>
      </w:r>
      <w:r w:rsidR="00B43217" w:rsidRPr="41FD14AD">
        <w:rPr>
          <w:lang w:eastAsia="en-AU"/>
        </w:rPr>
        <w:t xml:space="preserve">possible fraudulent prescriptions </w:t>
      </w:r>
      <w:r w:rsidR="00415B21" w:rsidRPr="41FD14AD">
        <w:rPr>
          <w:lang w:eastAsia="en-AU"/>
        </w:rPr>
        <w:t xml:space="preserve">and </w:t>
      </w:r>
      <w:r w:rsidR="00B43217" w:rsidRPr="41FD14AD">
        <w:rPr>
          <w:lang w:eastAsia="en-AU"/>
        </w:rPr>
        <w:t>enable</w:t>
      </w:r>
      <w:r w:rsidRPr="41FD14AD">
        <w:rPr>
          <w:lang w:eastAsia="en-AU"/>
        </w:rPr>
        <w:t>s</w:t>
      </w:r>
      <w:r w:rsidR="00B43217" w:rsidRPr="41FD14AD">
        <w:rPr>
          <w:lang w:eastAsia="en-AU"/>
        </w:rPr>
        <w:t xml:space="preserve"> the </w:t>
      </w:r>
      <w:r w:rsidR="002A6E11">
        <w:rPr>
          <w:lang w:eastAsia="en-AU"/>
        </w:rPr>
        <w:t>department</w:t>
      </w:r>
      <w:r w:rsidR="00B43217" w:rsidRPr="41FD14AD">
        <w:rPr>
          <w:lang w:eastAsia="en-AU"/>
        </w:rPr>
        <w:t xml:space="preserve"> to intervene more quickly when fraudulent activities are suspected.</w:t>
      </w:r>
    </w:p>
    <w:p w14:paraId="114E0588" w14:textId="77777777" w:rsidR="00F40668" w:rsidRDefault="00F40668" w:rsidP="00F40668">
      <w:pPr>
        <w:pStyle w:val="Heading2"/>
        <w:rPr>
          <w:lang w:eastAsia="en-AU"/>
        </w:rPr>
      </w:pPr>
      <w:r>
        <w:rPr>
          <w:lang w:eastAsia="en-AU"/>
        </w:rPr>
        <w:t>Future case study: Encouraging de-prescribing of opioids</w:t>
      </w:r>
    </w:p>
    <w:p w14:paraId="7936DF36" w14:textId="2673ACFD" w:rsidR="00F40668" w:rsidRDefault="00C53225" w:rsidP="00F40668">
      <w:pPr>
        <w:pStyle w:val="DHHSbody"/>
        <w:rPr>
          <w:lang w:eastAsia="en-AU"/>
        </w:rPr>
      </w:pPr>
      <w:r>
        <w:rPr>
          <w:lang w:eastAsia="en-AU"/>
        </w:rPr>
        <w:t>T</w:t>
      </w:r>
      <w:r w:rsidR="00F40668" w:rsidRPr="41FD14AD">
        <w:rPr>
          <w:lang w:eastAsia="en-AU"/>
        </w:rPr>
        <w:t xml:space="preserve">he </w:t>
      </w:r>
      <w:r w:rsidR="002A6E11">
        <w:rPr>
          <w:lang w:eastAsia="en-AU"/>
        </w:rPr>
        <w:t>department</w:t>
      </w:r>
      <w:r>
        <w:rPr>
          <w:lang w:eastAsia="en-AU"/>
        </w:rPr>
        <w:t>’s</w:t>
      </w:r>
      <w:r w:rsidR="00F40668" w:rsidRPr="41FD14AD">
        <w:rPr>
          <w:lang w:eastAsia="en-AU"/>
        </w:rPr>
        <w:t xml:space="preserve"> harms-based educational intervention program</w:t>
      </w:r>
      <w:r>
        <w:rPr>
          <w:lang w:eastAsia="en-AU"/>
        </w:rPr>
        <w:t xml:space="preserve"> can be refined according to the </w:t>
      </w:r>
      <w:r w:rsidR="00F40668" w:rsidRPr="41FD14AD">
        <w:rPr>
          <w:lang w:eastAsia="en-AU"/>
        </w:rPr>
        <w:t>harms detected by SafeScript. For example, high dose opioid prescribing poses one of the greatest risks of harm to patients. Thus de-prescribing is a vital part of</w:t>
      </w:r>
      <w:r w:rsidR="00BC1B32" w:rsidRPr="41FD14AD">
        <w:rPr>
          <w:lang w:eastAsia="en-AU"/>
        </w:rPr>
        <w:t xml:space="preserve"> the judicious use of opioids</w:t>
      </w:r>
      <w:r w:rsidR="00E5635C" w:rsidRPr="41FD14AD">
        <w:rPr>
          <w:lang w:eastAsia="en-AU"/>
        </w:rPr>
        <w:t xml:space="preserve"> in high-risk patients</w:t>
      </w:r>
      <w:r w:rsidR="00F40668" w:rsidRPr="41FD14AD">
        <w:rPr>
          <w:lang w:eastAsia="en-AU"/>
        </w:rPr>
        <w:t xml:space="preserve">. </w:t>
      </w:r>
    </w:p>
    <w:p w14:paraId="491E0C48" w14:textId="77777777" w:rsidR="00F40668" w:rsidRDefault="00F40668" w:rsidP="00F40668">
      <w:pPr>
        <w:pStyle w:val="DHHSbody"/>
        <w:rPr>
          <w:lang w:eastAsia="en-AU"/>
        </w:rPr>
      </w:pPr>
      <w:r>
        <w:rPr>
          <w:lang w:eastAsia="en-AU"/>
        </w:rPr>
        <w:t>A</w:t>
      </w:r>
      <w:r w:rsidRPr="0036217C">
        <w:rPr>
          <w:lang w:eastAsia="en-AU"/>
        </w:rPr>
        <w:t>ctive intervention</w:t>
      </w:r>
      <w:r>
        <w:rPr>
          <w:lang w:eastAsia="en-AU"/>
        </w:rPr>
        <w:t>s, such as p</w:t>
      </w:r>
      <w:r w:rsidRPr="0036217C">
        <w:rPr>
          <w:lang w:eastAsia="en-AU"/>
        </w:rPr>
        <w:t>ersonalised feedback letters can be used to encourage medical practitioners to de-prescribe. Personalised feedback letters can prompt doctors to consider de-prescribing, whilst also acknowledg</w:t>
      </w:r>
      <w:r>
        <w:rPr>
          <w:lang w:eastAsia="en-AU"/>
        </w:rPr>
        <w:t>ing</w:t>
      </w:r>
      <w:r w:rsidRPr="0036217C">
        <w:rPr>
          <w:lang w:eastAsia="en-AU"/>
        </w:rPr>
        <w:t xml:space="preserve"> the efforts of doctors who are de-prescribing. </w:t>
      </w:r>
    </w:p>
    <w:p w14:paraId="20CA1521" w14:textId="20810FF2" w:rsidR="00591FD3" w:rsidRDefault="00F40668" w:rsidP="00FB421E">
      <w:pPr>
        <w:pStyle w:val="DHHSbody"/>
        <w:rPr>
          <w:lang w:eastAsia="en-AU"/>
        </w:rPr>
      </w:pPr>
      <w:r w:rsidRPr="0036217C">
        <w:rPr>
          <w:lang w:eastAsia="en-AU"/>
        </w:rPr>
        <w:t>Information from SafeScript can be used to determine which doctors are de-prescribing and which doctors are prescribing at a dose where they should consider de-prescribing</w:t>
      </w:r>
      <w:r w:rsidR="00E1098E">
        <w:rPr>
          <w:lang w:eastAsia="en-AU"/>
        </w:rPr>
        <w:t xml:space="preserve"> in high</w:t>
      </w:r>
      <w:r w:rsidR="0072673A">
        <w:rPr>
          <w:lang w:eastAsia="en-AU"/>
        </w:rPr>
        <w:t>-</w:t>
      </w:r>
      <w:r w:rsidR="00E1098E">
        <w:rPr>
          <w:lang w:eastAsia="en-AU"/>
        </w:rPr>
        <w:t>risk patients</w:t>
      </w:r>
      <w:r w:rsidRPr="0036217C">
        <w:rPr>
          <w:lang w:eastAsia="en-AU"/>
        </w:rPr>
        <w:t>.</w:t>
      </w:r>
    </w:p>
    <w:sectPr w:rsidR="00591FD3" w:rsidSect="00186689">
      <w:headerReference w:type="even" r:id="rId20"/>
      <w:headerReference w:type="default" r:id="rId21"/>
      <w:pgSz w:w="11906" w:h="16838"/>
      <w:pgMar w:top="1701" w:right="1304" w:bottom="1134" w:left="1304" w:header="454"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FB6F" w14:textId="77777777" w:rsidR="00493908" w:rsidRDefault="00493908">
      <w:r>
        <w:separator/>
      </w:r>
    </w:p>
  </w:endnote>
  <w:endnote w:type="continuationSeparator" w:id="0">
    <w:p w14:paraId="3282BA9F" w14:textId="77777777" w:rsidR="00493908" w:rsidRDefault="00493908">
      <w:r>
        <w:continuationSeparator/>
      </w:r>
    </w:p>
  </w:endnote>
  <w:endnote w:type="continuationNotice" w:id="1">
    <w:p w14:paraId="588E45F9" w14:textId="77777777" w:rsidR="00493908" w:rsidRDefault="00493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7A82" w14:textId="68460B68" w:rsidR="00B22E55" w:rsidRDefault="00DE4341" w:rsidP="00934C0A">
    <w:pPr>
      <w:pStyle w:val="DHHSfooter"/>
    </w:pPr>
    <w:r>
      <w:rPr>
        <w:noProof/>
      </w:rPr>
      <mc:AlternateContent>
        <mc:Choice Requires="wps">
          <w:drawing>
            <wp:anchor distT="0" distB="0" distL="114300" distR="114300" simplePos="0" relativeHeight="251673600" behindDoc="0" locked="0" layoutInCell="0" allowOverlap="1" wp14:anchorId="57FC589B" wp14:editId="0397EDD3">
              <wp:simplePos x="0" y="0"/>
              <wp:positionH relativeFrom="page">
                <wp:posOffset>0</wp:posOffset>
              </wp:positionH>
              <wp:positionV relativeFrom="page">
                <wp:posOffset>10189210</wp:posOffset>
              </wp:positionV>
              <wp:extent cx="7560310" cy="311785"/>
              <wp:effectExtent l="0" t="0" r="0" b="12065"/>
              <wp:wrapNone/>
              <wp:docPr id="20" name="MSIPCMc71e43c19e0ca0cb8e44690b"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1BF59" w14:textId="36CB1DF0" w:rsidR="00DE4341" w:rsidRPr="00DE4341" w:rsidRDefault="00DE4341" w:rsidP="00DE4341">
                          <w:pPr>
                            <w:jc w:val="center"/>
                            <w:rPr>
                              <w:rFonts w:ascii="Arial Black" w:hAnsi="Arial Black"/>
                              <w:color w:val="000000"/>
                            </w:rPr>
                          </w:pPr>
                          <w:r w:rsidRPr="00DE434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C589B" id="_x0000_t202" coordsize="21600,21600" o:spt="202" path="m,l,21600r21600,l21600,xe">
              <v:stroke joinstyle="miter"/>
              <v:path gradientshapeok="t" o:connecttype="rect"/>
            </v:shapetype>
            <v:shape id="MSIPCMc71e43c19e0ca0cb8e44690b" o:spid="_x0000_s1039" type="#_x0000_t202" alt="{&quot;HashCode&quot;:904758361,&quot;Height&quot;:841.0,&quot;Width&quot;:595.0,&quot;Placement&quot;:&quot;Footer&quot;,&quot;Index&quot;:&quot;OddAndEven&quot;,&quot;Section&quot;:1,&quot;Top&quot;:0.0,&quot;Left&quot;:0.0}" style="position:absolute;margin-left:0;margin-top:802.3pt;width:595.3pt;height:24.5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C41BF59" w14:textId="36CB1DF0" w:rsidR="00DE4341" w:rsidRPr="00DE4341" w:rsidRDefault="00DE4341" w:rsidP="00DE4341">
                    <w:pPr>
                      <w:jc w:val="center"/>
                      <w:rPr>
                        <w:rFonts w:ascii="Arial Black" w:hAnsi="Arial Black"/>
                        <w:color w:val="000000"/>
                      </w:rPr>
                    </w:pPr>
                    <w:r w:rsidRPr="00DE4341">
                      <w:rPr>
                        <w:rFonts w:ascii="Arial Black" w:hAnsi="Arial Black"/>
                        <w:color w:val="000000"/>
                      </w:rPr>
                      <w:t>OFFICIAL</w:t>
                    </w:r>
                  </w:p>
                </w:txbxContent>
              </v:textbox>
              <w10:wrap anchorx="page" anchory="page"/>
            </v:shape>
          </w:pict>
        </mc:Fallback>
      </mc:AlternateContent>
    </w:r>
    <w:r w:rsidR="00B931AF">
      <w:rPr>
        <w:noProof/>
      </w:rPr>
      <mc:AlternateContent>
        <mc:Choice Requires="wps">
          <w:drawing>
            <wp:anchor distT="0" distB="0" distL="114300" distR="114300" simplePos="0" relativeHeight="251657216" behindDoc="0" locked="0" layoutInCell="0" allowOverlap="1" wp14:anchorId="5A0A5AC0" wp14:editId="553755DA">
              <wp:simplePos x="0" y="0"/>
              <wp:positionH relativeFrom="page">
                <wp:posOffset>0</wp:posOffset>
              </wp:positionH>
              <wp:positionV relativeFrom="page">
                <wp:posOffset>10189210</wp:posOffset>
              </wp:positionV>
              <wp:extent cx="7560310" cy="311785"/>
              <wp:effectExtent l="0" t="0" r="0" b="12065"/>
              <wp:wrapNone/>
              <wp:docPr id="13" name="MSIPCMb2e2410b90d0e950f4539a52"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06B30" w14:textId="6DEBA781" w:rsidR="00B931AF" w:rsidRPr="00B931AF" w:rsidRDefault="00B931AF" w:rsidP="00B931AF">
                          <w:pPr>
                            <w:jc w:val="center"/>
                            <w:rPr>
                              <w:rFonts w:ascii="Arial Black" w:hAnsi="Arial Black"/>
                              <w:color w:val="000000"/>
                            </w:rPr>
                          </w:pPr>
                          <w:r w:rsidRPr="00B931A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0A5AC0" id="MSIPCMb2e2410b90d0e950f4539a52" o:spid="_x0000_s1040" type="#_x0000_t202" alt="{&quot;HashCode&quot;:904758361,&quot;Height&quot;:841.0,&quot;Width&quot;:595.0,&quot;Placement&quot;:&quot;Footer&quot;,&quot;Index&quot;:&quot;OddAndEven&quot;,&quot;Section&quot;:2,&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506B30" w14:textId="6DEBA781" w:rsidR="00B931AF" w:rsidRPr="00B931AF" w:rsidRDefault="00B931AF" w:rsidP="00B931AF">
                    <w:pPr>
                      <w:jc w:val="center"/>
                      <w:rPr>
                        <w:rFonts w:ascii="Arial Black" w:hAnsi="Arial Black"/>
                        <w:color w:val="000000"/>
                      </w:rPr>
                    </w:pPr>
                    <w:r w:rsidRPr="00B931AF">
                      <w:rPr>
                        <w:rFonts w:ascii="Arial Black" w:hAnsi="Arial Black"/>
                        <w:color w:val="000000"/>
                      </w:rPr>
                      <w:t>OFFICIAL</w:t>
                    </w:r>
                  </w:p>
                </w:txbxContent>
              </v:textbox>
              <w10:wrap anchorx="page" anchory="page"/>
            </v:shape>
          </w:pict>
        </mc:Fallback>
      </mc:AlternateContent>
    </w:r>
    <w:r w:rsidR="41FD14AD">
      <w:t>Policy for minimising harms caused by medicines (</w:t>
    </w:r>
    <w:r w:rsidR="00C415B2">
      <w:t>October</w:t>
    </w:r>
    <w:r w:rsidR="00FC0A00">
      <w:t xml:space="preserve"> </w:t>
    </w:r>
    <w:r w:rsidR="41FD14AD">
      <w:t>2022)</w:t>
    </w:r>
    <w:r w:rsidR="00B22E55">
      <w:tab/>
    </w:r>
    <w:r w:rsidR="41FD14AD">
      <w:t xml:space="preserve">Page </w:t>
    </w:r>
    <w:r w:rsidR="00B22E55" w:rsidRPr="41FD14AD">
      <w:rPr>
        <w:noProof/>
      </w:rPr>
      <w:fldChar w:fldCharType="begin"/>
    </w:r>
    <w:r w:rsidR="00B22E55" w:rsidRPr="005A39EC">
      <w:instrText xml:space="preserve"> PAGE </w:instrText>
    </w:r>
    <w:r w:rsidR="00B22E55" w:rsidRPr="41FD14AD">
      <w:fldChar w:fldCharType="separate"/>
    </w:r>
    <w:r w:rsidR="41FD14AD">
      <w:rPr>
        <w:noProof/>
      </w:rPr>
      <w:t>ii</w:t>
    </w:r>
    <w:r w:rsidR="00B22E55" w:rsidRPr="41FD14AD">
      <w:rPr>
        <w:noProof/>
      </w:rPr>
      <w:fldChar w:fldCharType="end"/>
    </w:r>
  </w:p>
  <w:p w14:paraId="7C488B1A" w14:textId="77777777" w:rsidR="00875B9E" w:rsidRDefault="00875B9E" w:rsidP="00934C0A">
    <w:pPr>
      <w:pStyle w:val="DHHS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B66" w14:textId="3C8F486B" w:rsidR="00B22E55" w:rsidRDefault="00DE4341" w:rsidP="00E969B1">
    <w:pPr>
      <w:pStyle w:val="DHHSfooter"/>
    </w:pPr>
    <w:r>
      <w:rPr>
        <w:noProof/>
      </w:rPr>
      <mc:AlternateContent>
        <mc:Choice Requires="wps">
          <w:drawing>
            <wp:anchor distT="0" distB="0" distL="114300" distR="114300" simplePos="0" relativeHeight="251665408" behindDoc="0" locked="0" layoutInCell="0" allowOverlap="1" wp14:anchorId="0E30582E" wp14:editId="1EBAB77D">
              <wp:simplePos x="0" y="0"/>
              <wp:positionH relativeFrom="page">
                <wp:posOffset>0</wp:posOffset>
              </wp:positionH>
              <wp:positionV relativeFrom="page">
                <wp:posOffset>10189210</wp:posOffset>
              </wp:positionV>
              <wp:extent cx="7560310" cy="311785"/>
              <wp:effectExtent l="0" t="0" r="0" b="12065"/>
              <wp:wrapNone/>
              <wp:docPr id="19" name="MSIPCM976544cf951f1eef7beb0e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14F07" w14:textId="2BF07491" w:rsidR="00DE4341" w:rsidRPr="00DE4341" w:rsidRDefault="00DE4341" w:rsidP="00DE4341">
                          <w:pPr>
                            <w:jc w:val="center"/>
                            <w:rPr>
                              <w:rFonts w:ascii="Arial Black" w:hAnsi="Arial Black"/>
                              <w:color w:val="000000"/>
                            </w:rPr>
                          </w:pPr>
                          <w:r w:rsidRPr="00DE434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0582E" id="_x0000_t202" coordsize="21600,21600" o:spt="202" path="m,l,21600r21600,l21600,xe">
              <v:stroke joinstyle="miter"/>
              <v:path gradientshapeok="t" o:connecttype="rect"/>
            </v:shapetype>
            <v:shape id="MSIPCM976544cf951f1eef7beb0e6b" o:spid="_x0000_s1041" type="#_x0000_t202" alt="{&quot;HashCode&quot;:904758361,&quot;Height&quot;:841.0,&quot;Width&quot;:595.0,&quot;Placement&quot;:&quot;Footer&quot;,&quot;Index&quot;:&quot;Primary&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9D14F07" w14:textId="2BF07491" w:rsidR="00DE4341" w:rsidRPr="00DE4341" w:rsidRDefault="00DE4341" w:rsidP="00DE4341">
                    <w:pPr>
                      <w:jc w:val="center"/>
                      <w:rPr>
                        <w:rFonts w:ascii="Arial Black" w:hAnsi="Arial Black"/>
                        <w:color w:val="000000"/>
                      </w:rPr>
                    </w:pPr>
                    <w:r w:rsidRPr="00DE4341">
                      <w:rPr>
                        <w:rFonts w:ascii="Arial Black" w:hAnsi="Arial Black"/>
                        <w:color w:val="000000"/>
                      </w:rPr>
                      <w:t>OFFICIAL</w:t>
                    </w:r>
                  </w:p>
                </w:txbxContent>
              </v:textbox>
              <w10:wrap anchorx="page" anchory="page"/>
            </v:shape>
          </w:pict>
        </mc:Fallback>
      </mc:AlternateContent>
    </w:r>
    <w:r w:rsidR="00B931AF">
      <w:rPr>
        <w:noProof/>
      </w:rPr>
      <mc:AlternateContent>
        <mc:Choice Requires="wps">
          <w:drawing>
            <wp:anchor distT="0" distB="0" distL="114300" distR="114300" simplePos="0" relativeHeight="251649024" behindDoc="0" locked="0" layoutInCell="0" allowOverlap="1" wp14:anchorId="0AA53FE2" wp14:editId="079F92BF">
              <wp:simplePos x="0" y="0"/>
              <wp:positionH relativeFrom="page">
                <wp:posOffset>0</wp:posOffset>
              </wp:positionH>
              <wp:positionV relativeFrom="page">
                <wp:posOffset>10189210</wp:posOffset>
              </wp:positionV>
              <wp:extent cx="7560310" cy="311785"/>
              <wp:effectExtent l="0" t="0" r="0" b="12065"/>
              <wp:wrapNone/>
              <wp:docPr id="12" name="MSIPCM1c2c4310bd7d8d474e3ad8c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D09E7" w14:textId="3D0F5C51" w:rsidR="00B931AF" w:rsidRPr="00B931AF" w:rsidRDefault="00B931AF" w:rsidP="00B931AF">
                          <w:pPr>
                            <w:jc w:val="center"/>
                            <w:rPr>
                              <w:rFonts w:ascii="Arial Black" w:hAnsi="Arial Black"/>
                              <w:color w:val="000000"/>
                            </w:rPr>
                          </w:pPr>
                          <w:r w:rsidRPr="00B931A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A53FE2" id="MSIPCM1c2c4310bd7d8d474e3ad8c8" o:spid="_x0000_s1042" type="#_x0000_t202" alt="{&quot;HashCode&quot;:904758361,&quot;Height&quot;:841.0,&quot;Width&quot;:595.0,&quot;Placement&quot;:&quot;Footer&quot;,&quot;Index&quot;:&quot;Primary&quot;,&quot;Section&quot;:2,&quot;Top&quot;:0.0,&quot;Left&quot;:0.0}" style="position:absolute;margin-left:0;margin-top:802.3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E0D09E7" w14:textId="3D0F5C51" w:rsidR="00B931AF" w:rsidRPr="00B931AF" w:rsidRDefault="00B931AF" w:rsidP="00B931AF">
                    <w:pPr>
                      <w:jc w:val="center"/>
                      <w:rPr>
                        <w:rFonts w:ascii="Arial Black" w:hAnsi="Arial Black"/>
                        <w:color w:val="000000"/>
                      </w:rPr>
                    </w:pPr>
                    <w:r w:rsidRPr="00B931AF">
                      <w:rPr>
                        <w:rFonts w:ascii="Arial Black" w:hAnsi="Arial Black"/>
                        <w:color w:val="000000"/>
                      </w:rPr>
                      <w:t>OFFICIAL</w:t>
                    </w:r>
                  </w:p>
                </w:txbxContent>
              </v:textbox>
              <w10:wrap anchorx="page" anchory="page"/>
            </v:shape>
          </w:pict>
        </mc:Fallback>
      </mc:AlternateContent>
    </w:r>
    <w:r w:rsidR="41FD14AD">
      <w:t>Policy for minimising harm caused by medicines (</w:t>
    </w:r>
    <w:r w:rsidR="00C415B2">
      <w:t>Octo</w:t>
    </w:r>
    <w:r w:rsidR="41FD14AD">
      <w:t>ber 2022)</w:t>
    </w:r>
    <w:r w:rsidR="00B22E55" w:rsidRPr="0031753A">
      <w:tab/>
    </w:r>
    <w:r w:rsidR="41FD14AD" w:rsidRPr="0031753A">
      <w:t xml:space="preserve">Page </w:t>
    </w:r>
    <w:r w:rsidR="00B22E55" w:rsidRPr="41FD14AD">
      <w:rPr>
        <w:noProof/>
      </w:rPr>
      <w:fldChar w:fldCharType="begin"/>
    </w:r>
    <w:r w:rsidR="00B22E55" w:rsidRPr="0031753A">
      <w:instrText xml:space="preserve"> PAGE </w:instrText>
    </w:r>
    <w:r w:rsidR="00B22E55" w:rsidRPr="41FD14AD">
      <w:fldChar w:fldCharType="separate"/>
    </w:r>
    <w:r w:rsidR="41FD14AD">
      <w:rPr>
        <w:noProof/>
      </w:rPr>
      <w:t>i</w:t>
    </w:r>
    <w:r w:rsidR="00B22E55" w:rsidRPr="41FD14AD">
      <w:rPr>
        <w:noProof/>
      </w:rPr>
      <w:fldChar w:fldCharType="end"/>
    </w:r>
  </w:p>
  <w:p w14:paraId="1A197A6D" w14:textId="77777777" w:rsidR="00081EF4" w:rsidRPr="0031753A" w:rsidRDefault="00081EF4" w:rsidP="00E969B1">
    <w:pPr>
      <w:pStyle w:val="DHHS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CDDF" w14:textId="77777777" w:rsidR="006B639D" w:rsidRDefault="006B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74AA" w14:textId="77777777" w:rsidR="00493908" w:rsidRDefault="00493908">
      <w:r>
        <w:separator/>
      </w:r>
    </w:p>
  </w:footnote>
  <w:footnote w:type="continuationSeparator" w:id="0">
    <w:p w14:paraId="196E76A3" w14:textId="77777777" w:rsidR="00493908" w:rsidRDefault="00493908">
      <w:r>
        <w:continuationSeparator/>
      </w:r>
    </w:p>
  </w:footnote>
  <w:footnote w:type="continuationNotice" w:id="1">
    <w:p w14:paraId="09259F03" w14:textId="77777777" w:rsidR="00493908" w:rsidRDefault="00493908"/>
  </w:footnote>
  <w:footnote w:id="2">
    <w:p w14:paraId="295C8B4C" w14:textId="545B007C" w:rsidR="00AE13EC" w:rsidRDefault="00AE13EC">
      <w:pPr>
        <w:pStyle w:val="FootnoteText"/>
      </w:pPr>
      <w:r>
        <w:rPr>
          <w:rStyle w:val="FootnoteReference"/>
        </w:rPr>
        <w:footnoteRef/>
      </w:r>
      <w:r>
        <w:t xml:space="preserve"> </w:t>
      </w:r>
      <w:r w:rsidR="005A1D9A" w:rsidRPr="005A1D9A">
        <w:t>https://www.coronerscourt.vic.gov.au/sites/default/files/2022-08/CCOV%20-%20Overdose%20deaths%20in%20Victoria%202012-2021%20-%2030Aug2022.pdf</w:t>
      </w:r>
    </w:p>
  </w:footnote>
  <w:footnote w:id="3">
    <w:p w14:paraId="56C26D4C" w14:textId="17E8A8A0" w:rsidR="00B22E55" w:rsidRDefault="00B22E55">
      <w:pPr>
        <w:pStyle w:val="FootnoteText"/>
      </w:pPr>
      <w:r>
        <w:rPr>
          <w:rStyle w:val="FootnoteReference"/>
        </w:rPr>
        <w:footnoteRef/>
      </w:r>
      <w:r>
        <w:t xml:space="preserve"> </w:t>
      </w:r>
      <w:r>
        <w:rPr>
          <w:lang w:val="en"/>
        </w:rPr>
        <w:t xml:space="preserve">Policy of the Director of Public Prosecutions for Victoria, Office of Public Prosecutions Victoria (accessed at </w:t>
      </w:r>
      <w:hyperlink r:id="rId1" w:history="1">
        <w:r w:rsidR="00F40E1E" w:rsidRPr="00A06381">
          <w:rPr>
            <w:rStyle w:val="Hyperlink"/>
          </w:rPr>
          <w:t>https://www.opp.vic.gov.au/wp-content/uploads/2022/09/DPP-Policy.pdf</w:t>
        </w:r>
      </w:hyperlink>
      <w:r w:rsidR="00F40E1E">
        <w:t xml:space="preserve"> </w:t>
      </w:r>
      <w:r>
        <w:rPr>
          <w:lang w:val="en"/>
        </w:rPr>
        <w:t xml:space="preserve"> on 1</w:t>
      </w:r>
      <w:r w:rsidR="00F40E1E">
        <w:rPr>
          <w:lang w:val="en"/>
        </w:rPr>
        <w:t>3 September 2022</w:t>
      </w:r>
      <w:r>
        <w:rPr>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41FD14AD" w14:paraId="57A692AD" w14:textId="77777777" w:rsidTr="41FD14AD">
      <w:tc>
        <w:tcPr>
          <w:tcW w:w="3095" w:type="dxa"/>
        </w:tcPr>
        <w:p w14:paraId="159D50E2" w14:textId="57F51B2B" w:rsidR="41FD14AD" w:rsidRDefault="41FD14AD" w:rsidP="41FD14AD">
          <w:pPr>
            <w:pStyle w:val="Header"/>
            <w:ind w:left="-115"/>
          </w:pPr>
        </w:p>
      </w:tc>
      <w:tc>
        <w:tcPr>
          <w:tcW w:w="3095" w:type="dxa"/>
        </w:tcPr>
        <w:p w14:paraId="0D2AA348" w14:textId="57C44D48" w:rsidR="41FD14AD" w:rsidRDefault="41FD14AD" w:rsidP="41FD14AD">
          <w:pPr>
            <w:pStyle w:val="Header"/>
            <w:jc w:val="center"/>
          </w:pPr>
        </w:p>
      </w:tc>
      <w:tc>
        <w:tcPr>
          <w:tcW w:w="3095" w:type="dxa"/>
        </w:tcPr>
        <w:p w14:paraId="13B66255" w14:textId="2273AFBF" w:rsidR="41FD14AD" w:rsidRDefault="41FD14AD" w:rsidP="00FC0A00">
          <w:pPr>
            <w:pStyle w:val="Header"/>
            <w:ind w:right="-115"/>
            <w:jc w:val="right"/>
          </w:pPr>
        </w:p>
      </w:tc>
    </w:tr>
  </w:tbl>
  <w:p w14:paraId="6964FA9A" w14:textId="7BDE5929" w:rsidR="41FD14AD" w:rsidRDefault="41FD14AD" w:rsidP="00FC0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41FD14AD" w14:paraId="5A337F8A" w14:textId="77777777" w:rsidTr="00FC0A00">
      <w:tc>
        <w:tcPr>
          <w:tcW w:w="3095" w:type="dxa"/>
        </w:tcPr>
        <w:p w14:paraId="54936ED4" w14:textId="1ACA3A29" w:rsidR="41FD14AD" w:rsidRDefault="41FD14AD" w:rsidP="00FC0A00">
          <w:pPr>
            <w:pStyle w:val="Header"/>
            <w:ind w:left="-115"/>
          </w:pPr>
        </w:p>
      </w:tc>
      <w:tc>
        <w:tcPr>
          <w:tcW w:w="3095" w:type="dxa"/>
        </w:tcPr>
        <w:p w14:paraId="79DD2EA0" w14:textId="4913BE08" w:rsidR="41FD14AD" w:rsidRDefault="41FD14AD" w:rsidP="00FC0A00">
          <w:pPr>
            <w:pStyle w:val="Header"/>
            <w:jc w:val="center"/>
          </w:pPr>
        </w:p>
      </w:tc>
      <w:tc>
        <w:tcPr>
          <w:tcW w:w="3095" w:type="dxa"/>
        </w:tcPr>
        <w:p w14:paraId="42FA797F" w14:textId="3C1DD495" w:rsidR="41FD14AD" w:rsidRDefault="41FD14AD" w:rsidP="00FC0A00">
          <w:pPr>
            <w:pStyle w:val="Header"/>
            <w:ind w:right="-115"/>
            <w:jc w:val="right"/>
          </w:pPr>
        </w:p>
      </w:tc>
    </w:tr>
  </w:tbl>
  <w:p w14:paraId="12A8896B" w14:textId="04922B1C" w:rsidR="41FD14AD" w:rsidRDefault="41FD14AD" w:rsidP="00FC0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2DC8" w14:textId="77777777" w:rsidR="006B639D" w:rsidRDefault="006B6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41FD14AD" w14:paraId="64CABD6E" w14:textId="77777777" w:rsidTr="00FC0A00">
      <w:tc>
        <w:tcPr>
          <w:tcW w:w="3095" w:type="dxa"/>
        </w:tcPr>
        <w:p w14:paraId="2E08763B" w14:textId="4EE70208" w:rsidR="41FD14AD" w:rsidRDefault="41FD14AD" w:rsidP="00FC0A00">
          <w:pPr>
            <w:pStyle w:val="Header"/>
            <w:ind w:left="-115"/>
          </w:pPr>
        </w:p>
      </w:tc>
      <w:tc>
        <w:tcPr>
          <w:tcW w:w="3095" w:type="dxa"/>
        </w:tcPr>
        <w:p w14:paraId="0E24C4C0" w14:textId="6BA036F5" w:rsidR="41FD14AD" w:rsidRDefault="41FD14AD" w:rsidP="00FC0A00">
          <w:pPr>
            <w:pStyle w:val="Header"/>
            <w:jc w:val="center"/>
          </w:pPr>
        </w:p>
      </w:tc>
      <w:tc>
        <w:tcPr>
          <w:tcW w:w="3095" w:type="dxa"/>
        </w:tcPr>
        <w:p w14:paraId="30E42029" w14:textId="4773A971" w:rsidR="41FD14AD" w:rsidRDefault="41FD14AD" w:rsidP="00FC0A00">
          <w:pPr>
            <w:pStyle w:val="Header"/>
            <w:ind w:right="-115"/>
            <w:jc w:val="right"/>
          </w:pPr>
        </w:p>
      </w:tc>
    </w:tr>
  </w:tbl>
  <w:p w14:paraId="190CA230" w14:textId="7941F053" w:rsidR="41FD14AD" w:rsidRDefault="41FD14AD" w:rsidP="00FC0A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41FD14AD" w14:paraId="02327A51" w14:textId="77777777" w:rsidTr="00FC0A00">
      <w:tc>
        <w:tcPr>
          <w:tcW w:w="3095" w:type="dxa"/>
        </w:tcPr>
        <w:p w14:paraId="68895173" w14:textId="0EA6D1C9" w:rsidR="41FD14AD" w:rsidRDefault="41FD14AD" w:rsidP="00FC0A00">
          <w:pPr>
            <w:pStyle w:val="Header"/>
            <w:ind w:left="-115"/>
          </w:pPr>
        </w:p>
      </w:tc>
      <w:tc>
        <w:tcPr>
          <w:tcW w:w="3095" w:type="dxa"/>
        </w:tcPr>
        <w:p w14:paraId="0F714DE6" w14:textId="7B09180D" w:rsidR="41FD14AD" w:rsidRDefault="41FD14AD" w:rsidP="00FC0A00">
          <w:pPr>
            <w:pStyle w:val="Header"/>
            <w:jc w:val="center"/>
          </w:pPr>
        </w:p>
      </w:tc>
      <w:tc>
        <w:tcPr>
          <w:tcW w:w="3095" w:type="dxa"/>
        </w:tcPr>
        <w:p w14:paraId="42C5E308" w14:textId="252380B5" w:rsidR="41FD14AD" w:rsidRDefault="41FD14AD" w:rsidP="00FC0A00">
          <w:pPr>
            <w:pStyle w:val="Header"/>
            <w:ind w:right="-115"/>
            <w:jc w:val="right"/>
          </w:pPr>
        </w:p>
      </w:tc>
    </w:tr>
  </w:tbl>
  <w:p w14:paraId="56B66EB6" w14:textId="6EBDE122" w:rsidR="41FD14AD" w:rsidRDefault="41FD14AD" w:rsidP="00FC0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F6C"/>
    <w:multiLevelType w:val="multilevel"/>
    <w:tmpl w:val="63540950"/>
    <w:lvl w:ilvl="0">
      <w:start w:val="1"/>
      <w:numFmt w:val="decimal"/>
      <w:pStyle w:val="Heading1"/>
      <w:lvlText w:val="%1"/>
      <w:lvlJc w:val="left"/>
      <w:pPr>
        <w:tabs>
          <w:tab w:val="num" w:pos="720"/>
        </w:tabs>
        <w:ind w:left="720" w:hanging="72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A026E7"/>
    <w:multiLevelType w:val="hybridMultilevel"/>
    <w:tmpl w:val="6A3AC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D130B3"/>
    <w:multiLevelType w:val="hybridMultilevel"/>
    <w:tmpl w:val="26ACE940"/>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1CCF774A"/>
    <w:multiLevelType w:val="hybridMultilevel"/>
    <w:tmpl w:val="5618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030B6"/>
    <w:multiLevelType w:val="hybridMultilevel"/>
    <w:tmpl w:val="005AEE5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561E4"/>
    <w:multiLevelType w:val="hybridMultilevel"/>
    <w:tmpl w:val="079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C67DB"/>
    <w:multiLevelType w:val="hybridMultilevel"/>
    <w:tmpl w:val="EE32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65058"/>
    <w:multiLevelType w:val="hybridMultilevel"/>
    <w:tmpl w:val="15F23DFE"/>
    <w:lvl w:ilvl="0" w:tplc="7904F386">
      <w:start w:val="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195F7B"/>
    <w:multiLevelType w:val="hybridMultilevel"/>
    <w:tmpl w:val="9CC4AA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C4099D"/>
    <w:multiLevelType w:val="hybridMultilevel"/>
    <w:tmpl w:val="114C102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432225EC"/>
    <w:multiLevelType w:val="hybridMultilevel"/>
    <w:tmpl w:val="5DAC2202"/>
    <w:lvl w:ilvl="0" w:tplc="08B8CBDC">
      <w:start w:val="1"/>
      <w:numFmt w:val="bullet"/>
      <w:lvlText w:val="•"/>
      <w:lvlJc w:val="left"/>
      <w:pPr>
        <w:ind w:left="284" w:hanging="284"/>
      </w:pPr>
      <w:rPr>
        <w:rFonts w:ascii="Calibri" w:hAnsi="Calibri" w:hint="default"/>
      </w:rPr>
    </w:lvl>
    <w:lvl w:ilvl="1" w:tplc="4C34BD0A">
      <w:start w:val="1"/>
      <w:numFmt w:val="bullet"/>
      <w:lvlText w:val="o"/>
      <w:lvlJc w:val="left"/>
      <w:pPr>
        <w:ind w:left="1440" w:hanging="360"/>
      </w:pPr>
      <w:rPr>
        <w:rFonts w:ascii="Courier New" w:hAnsi="Courier New" w:hint="default"/>
      </w:rPr>
    </w:lvl>
    <w:lvl w:ilvl="2" w:tplc="E25ECF42">
      <w:start w:val="1"/>
      <w:numFmt w:val="bullet"/>
      <w:lvlText w:val=""/>
      <w:lvlJc w:val="left"/>
      <w:pPr>
        <w:ind w:left="2160" w:hanging="360"/>
      </w:pPr>
      <w:rPr>
        <w:rFonts w:ascii="Wingdings" w:hAnsi="Wingdings" w:hint="default"/>
      </w:rPr>
    </w:lvl>
    <w:lvl w:ilvl="3" w:tplc="B32625AE">
      <w:start w:val="1"/>
      <w:numFmt w:val="bullet"/>
      <w:lvlText w:val=""/>
      <w:lvlJc w:val="left"/>
      <w:pPr>
        <w:ind w:left="2880" w:hanging="360"/>
      </w:pPr>
      <w:rPr>
        <w:rFonts w:ascii="Symbol" w:hAnsi="Symbol" w:hint="default"/>
      </w:rPr>
    </w:lvl>
    <w:lvl w:ilvl="4" w:tplc="CDA2372A">
      <w:start w:val="1"/>
      <w:numFmt w:val="bullet"/>
      <w:lvlText w:val="o"/>
      <w:lvlJc w:val="left"/>
      <w:pPr>
        <w:ind w:left="3600" w:hanging="360"/>
      </w:pPr>
      <w:rPr>
        <w:rFonts w:ascii="Courier New" w:hAnsi="Courier New" w:hint="default"/>
      </w:rPr>
    </w:lvl>
    <w:lvl w:ilvl="5" w:tplc="A37093D2">
      <w:start w:val="1"/>
      <w:numFmt w:val="bullet"/>
      <w:lvlText w:val=""/>
      <w:lvlJc w:val="left"/>
      <w:pPr>
        <w:ind w:left="4320" w:hanging="360"/>
      </w:pPr>
      <w:rPr>
        <w:rFonts w:ascii="Wingdings" w:hAnsi="Wingdings" w:hint="default"/>
      </w:rPr>
    </w:lvl>
    <w:lvl w:ilvl="6" w:tplc="8DC07DC8">
      <w:start w:val="1"/>
      <w:numFmt w:val="bullet"/>
      <w:lvlText w:val=""/>
      <w:lvlJc w:val="left"/>
      <w:pPr>
        <w:ind w:left="5040" w:hanging="360"/>
      </w:pPr>
      <w:rPr>
        <w:rFonts w:ascii="Symbol" w:hAnsi="Symbol" w:hint="default"/>
      </w:rPr>
    </w:lvl>
    <w:lvl w:ilvl="7" w:tplc="C10ED702">
      <w:start w:val="1"/>
      <w:numFmt w:val="bullet"/>
      <w:lvlText w:val="o"/>
      <w:lvlJc w:val="left"/>
      <w:pPr>
        <w:ind w:left="5760" w:hanging="360"/>
      </w:pPr>
      <w:rPr>
        <w:rFonts w:ascii="Courier New" w:hAnsi="Courier New" w:hint="default"/>
      </w:rPr>
    </w:lvl>
    <w:lvl w:ilvl="8" w:tplc="1876E578">
      <w:start w:val="1"/>
      <w:numFmt w:val="bullet"/>
      <w:lvlText w:val=""/>
      <w:lvlJc w:val="left"/>
      <w:pPr>
        <w:ind w:left="6480" w:hanging="360"/>
      </w:pPr>
      <w:rPr>
        <w:rFonts w:ascii="Wingdings" w:hAnsi="Wingdings" w:hint="default"/>
      </w:rPr>
    </w:lvl>
  </w:abstractNum>
  <w:abstractNum w:abstractNumId="12" w15:restartNumberingAfterBreak="0">
    <w:nsid w:val="540F7ABD"/>
    <w:multiLevelType w:val="hybridMultilevel"/>
    <w:tmpl w:val="DCCE640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852A96"/>
    <w:multiLevelType w:val="hybridMultilevel"/>
    <w:tmpl w:val="D0F6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BA1E5A"/>
    <w:multiLevelType w:val="hybridMultilevel"/>
    <w:tmpl w:val="5614A96C"/>
    <w:styleLink w:val="ZZBullets"/>
    <w:lvl w:ilvl="0" w:tplc="FFFFFFFF">
      <w:start w:val="1"/>
      <w:numFmt w:val="bullet"/>
      <w:pStyle w:val="DHHSbullet1"/>
      <w:lvlText w:val="•"/>
      <w:lvlJc w:val="left"/>
      <w:pPr>
        <w:ind w:left="284" w:hanging="284"/>
      </w:pPr>
      <w:rPr>
        <w:rFonts w:ascii="Calibri" w:hAnsi="Calibri" w:hint="default"/>
      </w:rPr>
    </w:lvl>
    <w:lvl w:ilvl="1" w:tplc="0C4889CA">
      <w:start w:val="1"/>
      <w:numFmt w:val="bullet"/>
      <w:lvlRestart w:val="0"/>
      <w:pStyle w:val="DHHSbullet1lastline"/>
      <w:lvlText w:val="•"/>
      <w:lvlJc w:val="left"/>
      <w:pPr>
        <w:ind w:left="284" w:hanging="284"/>
      </w:pPr>
      <w:rPr>
        <w:rFonts w:ascii="Calibri" w:hAnsi="Calibri" w:hint="default"/>
      </w:rPr>
    </w:lvl>
    <w:lvl w:ilvl="2" w:tplc="99BE7464">
      <w:start w:val="1"/>
      <w:numFmt w:val="bullet"/>
      <w:lvlRestart w:val="0"/>
      <w:pStyle w:val="DHHSbullet2"/>
      <w:lvlText w:val="–"/>
      <w:lvlJc w:val="left"/>
      <w:pPr>
        <w:ind w:left="567" w:hanging="283"/>
      </w:pPr>
      <w:rPr>
        <w:rFonts w:ascii="Arial" w:hAnsi="Arial" w:hint="default"/>
      </w:rPr>
    </w:lvl>
    <w:lvl w:ilvl="3" w:tplc="B8AADAA0">
      <w:start w:val="1"/>
      <w:numFmt w:val="bullet"/>
      <w:lvlRestart w:val="0"/>
      <w:pStyle w:val="DHHSbullet2lastline"/>
      <w:lvlText w:val="–"/>
      <w:lvlJc w:val="left"/>
      <w:pPr>
        <w:ind w:left="567" w:hanging="283"/>
      </w:pPr>
      <w:rPr>
        <w:rFonts w:ascii="Arial" w:hAnsi="Arial" w:hint="default"/>
      </w:rPr>
    </w:lvl>
    <w:lvl w:ilvl="4" w:tplc="B5866582">
      <w:start w:val="1"/>
      <w:numFmt w:val="bullet"/>
      <w:lvlRestart w:val="0"/>
      <w:pStyle w:val="DHHSbulletindent"/>
      <w:lvlText w:val="•"/>
      <w:lvlJc w:val="left"/>
      <w:pPr>
        <w:ind w:left="680" w:hanging="283"/>
      </w:pPr>
      <w:rPr>
        <w:rFonts w:ascii="Calibri" w:hAnsi="Calibri" w:hint="default"/>
      </w:rPr>
    </w:lvl>
    <w:lvl w:ilvl="5" w:tplc="9E5CD53A">
      <w:start w:val="1"/>
      <w:numFmt w:val="bullet"/>
      <w:lvlRestart w:val="0"/>
      <w:pStyle w:val="DHHSbulletindentlastline"/>
      <w:lvlText w:val="•"/>
      <w:lvlJc w:val="left"/>
      <w:pPr>
        <w:ind w:left="680" w:hanging="283"/>
      </w:pPr>
      <w:rPr>
        <w:rFonts w:ascii="Calibri" w:hAnsi="Calibri" w:hint="default"/>
      </w:rPr>
    </w:lvl>
    <w:lvl w:ilvl="6" w:tplc="B5A4CD5C">
      <w:start w:val="1"/>
      <w:numFmt w:val="bullet"/>
      <w:lvlRestart w:val="0"/>
      <w:pStyle w:val="DHHStablebullet"/>
      <w:lvlText w:val="•"/>
      <w:lvlJc w:val="left"/>
      <w:pPr>
        <w:ind w:left="227" w:hanging="227"/>
      </w:pPr>
      <w:rPr>
        <w:rFonts w:ascii="Calibri" w:hAnsi="Calibri" w:hint="default"/>
      </w:rPr>
    </w:lvl>
    <w:lvl w:ilvl="7" w:tplc="CC403E74">
      <w:start w:val="1"/>
      <w:numFmt w:val="bullet"/>
      <w:lvlText w:val="•"/>
      <w:lvlJc w:val="left"/>
      <w:pPr>
        <w:ind w:left="0" w:firstLine="0"/>
      </w:pPr>
      <w:rPr>
        <w:rFonts w:ascii="Times New Roman" w:hAnsi="Times New Roman" w:hint="default"/>
        <w:b w:val="0"/>
        <w:i w:val="0"/>
        <w:color w:val="auto"/>
        <w:sz w:val="24"/>
      </w:rPr>
    </w:lvl>
    <w:lvl w:ilvl="8" w:tplc="4ADC50A0">
      <w:start w:val="1"/>
      <w:numFmt w:val="decimal"/>
      <w:lvlRestart w:val="0"/>
      <w:lvlText w:val=""/>
      <w:lvlJc w:val="left"/>
      <w:pPr>
        <w:ind w:left="0" w:firstLine="0"/>
      </w:pPr>
    </w:lvl>
  </w:abstractNum>
  <w:abstractNum w:abstractNumId="15" w15:restartNumberingAfterBreak="0">
    <w:nsid w:val="6B39417D"/>
    <w:multiLevelType w:val="hybridMultilevel"/>
    <w:tmpl w:val="23421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BA36EF"/>
    <w:multiLevelType w:val="hybridMultilevel"/>
    <w:tmpl w:val="40E0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54715B"/>
    <w:multiLevelType w:val="hybridMultilevel"/>
    <w:tmpl w:val="1F7E8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808F90"/>
    <w:multiLevelType w:val="multilevel"/>
    <w:tmpl w:val="EB86208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D141EB"/>
    <w:multiLevelType w:val="hybridMultilevel"/>
    <w:tmpl w:val="D0525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4"/>
  </w:num>
  <w:num w:numId="4">
    <w:abstractNumId w:val="10"/>
  </w:num>
  <w:num w:numId="5">
    <w:abstractNumId w:val="0"/>
  </w:num>
  <w:num w:numId="6">
    <w:abstractNumId w:val="6"/>
  </w:num>
  <w:num w:numId="7">
    <w:abstractNumId w:val="17"/>
  </w:num>
  <w:num w:numId="8">
    <w:abstractNumId w:val="16"/>
  </w:num>
  <w:num w:numId="9">
    <w:abstractNumId w:val="2"/>
  </w:num>
  <w:num w:numId="10">
    <w:abstractNumId w:val="14"/>
  </w:num>
  <w:num w:numId="11">
    <w:abstractNumId w:val="14"/>
  </w:num>
  <w:num w:numId="12">
    <w:abstractNumId w:val="14"/>
  </w:num>
  <w:num w:numId="13">
    <w:abstractNumId w:val="13"/>
  </w:num>
  <w:num w:numId="14">
    <w:abstractNumId w:val="8"/>
  </w:num>
  <w:num w:numId="15">
    <w:abstractNumId w:val="14"/>
  </w:num>
  <w:num w:numId="16">
    <w:abstractNumId w:val="14"/>
  </w:num>
  <w:num w:numId="17">
    <w:abstractNumId w:val="14"/>
  </w:num>
  <w:num w:numId="18">
    <w:abstractNumId w:val="15"/>
  </w:num>
  <w:num w:numId="19">
    <w:abstractNumId w:val="1"/>
  </w:num>
  <w:num w:numId="20">
    <w:abstractNumId w:val="9"/>
  </w:num>
  <w:num w:numId="21">
    <w:abstractNumId w:val="12"/>
  </w:num>
  <w:num w:numId="22">
    <w:abstractNumId w:val="4"/>
  </w:num>
  <w:num w:numId="23">
    <w:abstractNumId w:val="0"/>
  </w:num>
  <w:num w:numId="24">
    <w:abstractNumId w:val="7"/>
  </w:num>
  <w:num w:numId="25">
    <w:abstractNumId w:val="5"/>
  </w:num>
  <w:num w:numId="26">
    <w:abstractNumId w:val="3"/>
  </w:num>
  <w:num w:numId="2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1F"/>
    <w:rsid w:val="00002990"/>
    <w:rsid w:val="00002A72"/>
    <w:rsid w:val="00003C09"/>
    <w:rsid w:val="000048AC"/>
    <w:rsid w:val="000058BC"/>
    <w:rsid w:val="00007E4D"/>
    <w:rsid w:val="00010FB6"/>
    <w:rsid w:val="00011DDD"/>
    <w:rsid w:val="00012A0E"/>
    <w:rsid w:val="00012A3A"/>
    <w:rsid w:val="00014FC4"/>
    <w:rsid w:val="0001505F"/>
    <w:rsid w:val="000153C3"/>
    <w:rsid w:val="00016995"/>
    <w:rsid w:val="00020AAB"/>
    <w:rsid w:val="00020F6F"/>
    <w:rsid w:val="000212B5"/>
    <w:rsid w:val="000223A4"/>
    <w:rsid w:val="000229BE"/>
    <w:rsid w:val="00022E60"/>
    <w:rsid w:val="00026C19"/>
    <w:rsid w:val="00027D27"/>
    <w:rsid w:val="00031263"/>
    <w:rsid w:val="00033AE4"/>
    <w:rsid w:val="00034CF7"/>
    <w:rsid w:val="00037169"/>
    <w:rsid w:val="00040F27"/>
    <w:rsid w:val="000427AC"/>
    <w:rsid w:val="00043FFF"/>
    <w:rsid w:val="000454AB"/>
    <w:rsid w:val="00045C9B"/>
    <w:rsid w:val="000464EB"/>
    <w:rsid w:val="00047522"/>
    <w:rsid w:val="0004761B"/>
    <w:rsid w:val="000527E3"/>
    <w:rsid w:val="000550AA"/>
    <w:rsid w:val="00055BC4"/>
    <w:rsid w:val="00060E93"/>
    <w:rsid w:val="00064146"/>
    <w:rsid w:val="00064936"/>
    <w:rsid w:val="000669ED"/>
    <w:rsid w:val="000707B8"/>
    <w:rsid w:val="000707DB"/>
    <w:rsid w:val="00072BAB"/>
    <w:rsid w:val="000734F8"/>
    <w:rsid w:val="000735A9"/>
    <w:rsid w:val="000736B8"/>
    <w:rsid w:val="00074B73"/>
    <w:rsid w:val="000817CB"/>
    <w:rsid w:val="00081EF4"/>
    <w:rsid w:val="0008269B"/>
    <w:rsid w:val="00082B38"/>
    <w:rsid w:val="00085EE0"/>
    <w:rsid w:val="00086198"/>
    <w:rsid w:val="000867AB"/>
    <w:rsid w:val="00087152"/>
    <w:rsid w:val="000873EF"/>
    <w:rsid w:val="0009318C"/>
    <w:rsid w:val="000A66F6"/>
    <w:rsid w:val="000A718E"/>
    <w:rsid w:val="000A734A"/>
    <w:rsid w:val="000B040F"/>
    <w:rsid w:val="000B046D"/>
    <w:rsid w:val="000B3792"/>
    <w:rsid w:val="000B6C5B"/>
    <w:rsid w:val="000C3C1C"/>
    <w:rsid w:val="000C4AF0"/>
    <w:rsid w:val="000C5534"/>
    <w:rsid w:val="000C6242"/>
    <w:rsid w:val="000C6794"/>
    <w:rsid w:val="000C68DB"/>
    <w:rsid w:val="000C6DB9"/>
    <w:rsid w:val="000D0F4F"/>
    <w:rsid w:val="000D2C32"/>
    <w:rsid w:val="000D5784"/>
    <w:rsid w:val="000E6F72"/>
    <w:rsid w:val="000E7EC3"/>
    <w:rsid w:val="000F0478"/>
    <w:rsid w:val="000F0A50"/>
    <w:rsid w:val="000F2F43"/>
    <w:rsid w:val="000F331B"/>
    <w:rsid w:val="000F3B7A"/>
    <w:rsid w:val="000F3D35"/>
    <w:rsid w:val="000F63C5"/>
    <w:rsid w:val="000F6E95"/>
    <w:rsid w:val="000F7693"/>
    <w:rsid w:val="00101F67"/>
    <w:rsid w:val="0010208C"/>
    <w:rsid w:val="00103D5E"/>
    <w:rsid w:val="0010467E"/>
    <w:rsid w:val="00104EA7"/>
    <w:rsid w:val="00105FAD"/>
    <w:rsid w:val="00107C0E"/>
    <w:rsid w:val="001103A7"/>
    <w:rsid w:val="00111208"/>
    <w:rsid w:val="0011149C"/>
    <w:rsid w:val="0011155B"/>
    <w:rsid w:val="00111A6A"/>
    <w:rsid w:val="0011409A"/>
    <w:rsid w:val="00121BF1"/>
    <w:rsid w:val="00121F5C"/>
    <w:rsid w:val="00122727"/>
    <w:rsid w:val="001273C2"/>
    <w:rsid w:val="00127A8B"/>
    <w:rsid w:val="00133130"/>
    <w:rsid w:val="001343E5"/>
    <w:rsid w:val="00134BE5"/>
    <w:rsid w:val="0013668C"/>
    <w:rsid w:val="001374A1"/>
    <w:rsid w:val="001412D1"/>
    <w:rsid w:val="001423E3"/>
    <w:rsid w:val="00146569"/>
    <w:rsid w:val="0014679D"/>
    <w:rsid w:val="001475EA"/>
    <w:rsid w:val="001504F5"/>
    <w:rsid w:val="001517BD"/>
    <w:rsid w:val="00152FC5"/>
    <w:rsid w:val="00154DF9"/>
    <w:rsid w:val="00155849"/>
    <w:rsid w:val="00155911"/>
    <w:rsid w:val="001574AC"/>
    <w:rsid w:val="001609D3"/>
    <w:rsid w:val="00163C37"/>
    <w:rsid w:val="00164381"/>
    <w:rsid w:val="00170A64"/>
    <w:rsid w:val="0017248D"/>
    <w:rsid w:val="00173626"/>
    <w:rsid w:val="0017614A"/>
    <w:rsid w:val="001765F1"/>
    <w:rsid w:val="001812DD"/>
    <w:rsid w:val="001817CD"/>
    <w:rsid w:val="0018235E"/>
    <w:rsid w:val="00186689"/>
    <w:rsid w:val="0018768C"/>
    <w:rsid w:val="001926FE"/>
    <w:rsid w:val="00192BA0"/>
    <w:rsid w:val="00196A98"/>
    <w:rsid w:val="00197303"/>
    <w:rsid w:val="00197336"/>
    <w:rsid w:val="0019771D"/>
    <w:rsid w:val="001A03D3"/>
    <w:rsid w:val="001A17EA"/>
    <w:rsid w:val="001A1D17"/>
    <w:rsid w:val="001A22AA"/>
    <w:rsid w:val="001A2FB9"/>
    <w:rsid w:val="001A47CB"/>
    <w:rsid w:val="001A66F7"/>
    <w:rsid w:val="001A786A"/>
    <w:rsid w:val="001A7A18"/>
    <w:rsid w:val="001B0CEE"/>
    <w:rsid w:val="001B1056"/>
    <w:rsid w:val="001B1565"/>
    <w:rsid w:val="001B166D"/>
    <w:rsid w:val="001B25A6"/>
    <w:rsid w:val="001B28B5"/>
    <w:rsid w:val="001B2975"/>
    <w:rsid w:val="001B6BD8"/>
    <w:rsid w:val="001C122D"/>
    <w:rsid w:val="001C1C42"/>
    <w:rsid w:val="001C42EA"/>
    <w:rsid w:val="001C5DE1"/>
    <w:rsid w:val="001C5EB8"/>
    <w:rsid w:val="001D0702"/>
    <w:rsid w:val="001D2A82"/>
    <w:rsid w:val="001D4209"/>
    <w:rsid w:val="001D569B"/>
    <w:rsid w:val="001D7D73"/>
    <w:rsid w:val="001E093D"/>
    <w:rsid w:val="001E0EA3"/>
    <w:rsid w:val="001E3943"/>
    <w:rsid w:val="001E4995"/>
    <w:rsid w:val="001E7A42"/>
    <w:rsid w:val="001F09DC"/>
    <w:rsid w:val="001F37E4"/>
    <w:rsid w:val="001F43E6"/>
    <w:rsid w:val="001F7145"/>
    <w:rsid w:val="00201149"/>
    <w:rsid w:val="00201ACF"/>
    <w:rsid w:val="00202E68"/>
    <w:rsid w:val="00210B95"/>
    <w:rsid w:val="00213772"/>
    <w:rsid w:val="00215740"/>
    <w:rsid w:val="00215E9D"/>
    <w:rsid w:val="00215F52"/>
    <w:rsid w:val="00216C2F"/>
    <w:rsid w:val="00216EC7"/>
    <w:rsid w:val="00220749"/>
    <w:rsid w:val="0022422C"/>
    <w:rsid w:val="0022724E"/>
    <w:rsid w:val="00230666"/>
    <w:rsid w:val="00231153"/>
    <w:rsid w:val="0023252E"/>
    <w:rsid w:val="00233A58"/>
    <w:rsid w:val="00233E79"/>
    <w:rsid w:val="002376EF"/>
    <w:rsid w:val="00241C31"/>
    <w:rsid w:val="00242CF2"/>
    <w:rsid w:val="002433E4"/>
    <w:rsid w:val="00244CB8"/>
    <w:rsid w:val="00245BFD"/>
    <w:rsid w:val="00246B74"/>
    <w:rsid w:val="0024775A"/>
    <w:rsid w:val="00250A7F"/>
    <w:rsid w:val="00252DBC"/>
    <w:rsid w:val="002565D6"/>
    <w:rsid w:val="00264DB9"/>
    <w:rsid w:val="00266BDA"/>
    <w:rsid w:val="002679D5"/>
    <w:rsid w:val="0027117D"/>
    <w:rsid w:val="002714FD"/>
    <w:rsid w:val="00271CE3"/>
    <w:rsid w:val="00273524"/>
    <w:rsid w:val="002747C4"/>
    <w:rsid w:val="00275F94"/>
    <w:rsid w:val="0027738C"/>
    <w:rsid w:val="00280A5F"/>
    <w:rsid w:val="00281873"/>
    <w:rsid w:val="00281B9C"/>
    <w:rsid w:val="00282C22"/>
    <w:rsid w:val="002831B0"/>
    <w:rsid w:val="00284896"/>
    <w:rsid w:val="00284C9B"/>
    <w:rsid w:val="002879E5"/>
    <w:rsid w:val="00287D88"/>
    <w:rsid w:val="002915F6"/>
    <w:rsid w:val="002936F8"/>
    <w:rsid w:val="00293BCE"/>
    <w:rsid w:val="002950C1"/>
    <w:rsid w:val="00297034"/>
    <w:rsid w:val="00297BB8"/>
    <w:rsid w:val="002A141B"/>
    <w:rsid w:val="002A1CD9"/>
    <w:rsid w:val="002A26B6"/>
    <w:rsid w:val="002A3538"/>
    <w:rsid w:val="002A393E"/>
    <w:rsid w:val="002A4E1A"/>
    <w:rsid w:val="002A6A4E"/>
    <w:rsid w:val="002A6E11"/>
    <w:rsid w:val="002ADBBA"/>
    <w:rsid w:val="002B2841"/>
    <w:rsid w:val="002B4DAB"/>
    <w:rsid w:val="002B5A85"/>
    <w:rsid w:val="002B63A7"/>
    <w:rsid w:val="002B6F3C"/>
    <w:rsid w:val="002C472E"/>
    <w:rsid w:val="002C5543"/>
    <w:rsid w:val="002C7216"/>
    <w:rsid w:val="002D0F7F"/>
    <w:rsid w:val="002D1CAB"/>
    <w:rsid w:val="002D26D4"/>
    <w:rsid w:val="002D5E6E"/>
    <w:rsid w:val="002D7024"/>
    <w:rsid w:val="002E0198"/>
    <w:rsid w:val="002E024F"/>
    <w:rsid w:val="002E1126"/>
    <w:rsid w:val="002E1D7C"/>
    <w:rsid w:val="002E38F1"/>
    <w:rsid w:val="002F2792"/>
    <w:rsid w:val="002F449B"/>
    <w:rsid w:val="002F4D86"/>
    <w:rsid w:val="002F5D69"/>
    <w:rsid w:val="002F7C77"/>
    <w:rsid w:val="00300CB3"/>
    <w:rsid w:val="0030394B"/>
    <w:rsid w:val="003072C6"/>
    <w:rsid w:val="00310D8E"/>
    <w:rsid w:val="00315BBD"/>
    <w:rsid w:val="00316CFC"/>
    <w:rsid w:val="0031753A"/>
    <w:rsid w:val="00320293"/>
    <w:rsid w:val="00322CC2"/>
    <w:rsid w:val="00323DF0"/>
    <w:rsid w:val="003245E1"/>
    <w:rsid w:val="00324EE2"/>
    <w:rsid w:val="003271DC"/>
    <w:rsid w:val="00327B07"/>
    <w:rsid w:val="00334894"/>
    <w:rsid w:val="00334B54"/>
    <w:rsid w:val="00334E56"/>
    <w:rsid w:val="00334E82"/>
    <w:rsid w:val="003367FE"/>
    <w:rsid w:val="0033739E"/>
    <w:rsid w:val="00337BDD"/>
    <w:rsid w:val="00343733"/>
    <w:rsid w:val="003455C0"/>
    <w:rsid w:val="00350E33"/>
    <w:rsid w:val="00355886"/>
    <w:rsid w:val="00356814"/>
    <w:rsid w:val="0036217C"/>
    <w:rsid w:val="00362ADC"/>
    <w:rsid w:val="00364B4D"/>
    <w:rsid w:val="00367FED"/>
    <w:rsid w:val="00371F9B"/>
    <w:rsid w:val="0038019F"/>
    <w:rsid w:val="00382071"/>
    <w:rsid w:val="00385BE1"/>
    <w:rsid w:val="00386465"/>
    <w:rsid w:val="00386A5F"/>
    <w:rsid w:val="003A1888"/>
    <w:rsid w:val="003A18B7"/>
    <w:rsid w:val="003A1FE2"/>
    <w:rsid w:val="003A2F25"/>
    <w:rsid w:val="003A3DF5"/>
    <w:rsid w:val="003A6FFC"/>
    <w:rsid w:val="003B26D9"/>
    <w:rsid w:val="003B2807"/>
    <w:rsid w:val="003B7AE8"/>
    <w:rsid w:val="003C4C6F"/>
    <w:rsid w:val="003C4DA3"/>
    <w:rsid w:val="003C68F2"/>
    <w:rsid w:val="003C7A5F"/>
    <w:rsid w:val="003D42CD"/>
    <w:rsid w:val="003D58B8"/>
    <w:rsid w:val="003D5CFB"/>
    <w:rsid w:val="003E2636"/>
    <w:rsid w:val="003E2E12"/>
    <w:rsid w:val="003F329A"/>
    <w:rsid w:val="003F39CE"/>
    <w:rsid w:val="00401108"/>
    <w:rsid w:val="00402927"/>
    <w:rsid w:val="00402C09"/>
    <w:rsid w:val="00403228"/>
    <w:rsid w:val="00403ABF"/>
    <w:rsid w:val="00403DC4"/>
    <w:rsid w:val="004061A8"/>
    <w:rsid w:val="00406C35"/>
    <w:rsid w:val="00407993"/>
    <w:rsid w:val="004079B2"/>
    <w:rsid w:val="00410A4E"/>
    <w:rsid w:val="00411833"/>
    <w:rsid w:val="00412F64"/>
    <w:rsid w:val="00415B21"/>
    <w:rsid w:val="0041638E"/>
    <w:rsid w:val="00417BEB"/>
    <w:rsid w:val="00423D07"/>
    <w:rsid w:val="004324FF"/>
    <w:rsid w:val="00432A55"/>
    <w:rsid w:val="004365E3"/>
    <w:rsid w:val="004409A2"/>
    <w:rsid w:val="0044260A"/>
    <w:rsid w:val="00444D82"/>
    <w:rsid w:val="00446739"/>
    <w:rsid w:val="004478E9"/>
    <w:rsid w:val="00450468"/>
    <w:rsid w:val="00451A83"/>
    <w:rsid w:val="00452CF8"/>
    <w:rsid w:val="004539EA"/>
    <w:rsid w:val="004564C6"/>
    <w:rsid w:val="00460BB2"/>
    <w:rsid w:val="004610CC"/>
    <w:rsid w:val="00464578"/>
    <w:rsid w:val="00464A02"/>
    <w:rsid w:val="00464E6C"/>
    <w:rsid w:val="00465253"/>
    <w:rsid w:val="00465464"/>
    <w:rsid w:val="00465E87"/>
    <w:rsid w:val="00466620"/>
    <w:rsid w:val="004671DF"/>
    <w:rsid w:val="00472839"/>
    <w:rsid w:val="00472DF3"/>
    <w:rsid w:val="0047366B"/>
    <w:rsid w:val="0047786A"/>
    <w:rsid w:val="00477A65"/>
    <w:rsid w:val="00481DF4"/>
    <w:rsid w:val="00482561"/>
    <w:rsid w:val="00482DB3"/>
    <w:rsid w:val="0048670C"/>
    <w:rsid w:val="00486B63"/>
    <w:rsid w:val="00486C01"/>
    <w:rsid w:val="00487525"/>
    <w:rsid w:val="00487EB2"/>
    <w:rsid w:val="00490284"/>
    <w:rsid w:val="00490549"/>
    <w:rsid w:val="00493618"/>
    <w:rsid w:val="00493908"/>
    <w:rsid w:val="004950DB"/>
    <w:rsid w:val="004971C5"/>
    <w:rsid w:val="004A0236"/>
    <w:rsid w:val="004A07F6"/>
    <w:rsid w:val="004A0EAA"/>
    <w:rsid w:val="004A369A"/>
    <w:rsid w:val="004A3B3E"/>
    <w:rsid w:val="004A4C8B"/>
    <w:rsid w:val="004A5149"/>
    <w:rsid w:val="004A7AB0"/>
    <w:rsid w:val="004B1A77"/>
    <w:rsid w:val="004B3F01"/>
    <w:rsid w:val="004B7184"/>
    <w:rsid w:val="004C0320"/>
    <w:rsid w:val="004C12AD"/>
    <w:rsid w:val="004C5777"/>
    <w:rsid w:val="004C61B2"/>
    <w:rsid w:val="004C7C31"/>
    <w:rsid w:val="004C7EE0"/>
    <w:rsid w:val="004D001A"/>
    <w:rsid w:val="004D0173"/>
    <w:rsid w:val="004D0A47"/>
    <w:rsid w:val="004D1056"/>
    <w:rsid w:val="004D1278"/>
    <w:rsid w:val="004D506C"/>
    <w:rsid w:val="004D625C"/>
    <w:rsid w:val="004D62F9"/>
    <w:rsid w:val="004E1EDE"/>
    <w:rsid w:val="004E21E2"/>
    <w:rsid w:val="004E293F"/>
    <w:rsid w:val="004E380D"/>
    <w:rsid w:val="004E6850"/>
    <w:rsid w:val="004E7922"/>
    <w:rsid w:val="004E7EDA"/>
    <w:rsid w:val="004F0DFC"/>
    <w:rsid w:val="004F13E3"/>
    <w:rsid w:val="004F2041"/>
    <w:rsid w:val="004F3441"/>
    <w:rsid w:val="004F41B2"/>
    <w:rsid w:val="004F46A6"/>
    <w:rsid w:val="004F4AFC"/>
    <w:rsid w:val="004F52A5"/>
    <w:rsid w:val="00500C8C"/>
    <w:rsid w:val="00501375"/>
    <w:rsid w:val="00501D3B"/>
    <w:rsid w:val="005022C9"/>
    <w:rsid w:val="00502BB5"/>
    <w:rsid w:val="005047BE"/>
    <w:rsid w:val="005052CE"/>
    <w:rsid w:val="00506CEC"/>
    <w:rsid w:val="0050779D"/>
    <w:rsid w:val="005100FF"/>
    <w:rsid w:val="0051242F"/>
    <w:rsid w:val="00512662"/>
    <w:rsid w:val="005139EA"/>
    <w:rsid w:val="00513D43"/>
    <w:rsid w:val="0051627D"/>
    <w:rsid w:val="00516B4D"/>
    <w:rsid w:val="00520BBB"/>
    <w:rsid w:val="00525456"/>
    <w:rsid w:val="0052587B"/>
    <w:rsid w:val="00530BD1"/>
    <w:rsid w:val="00532236"/>
    <w:rsid w:val="0053272E"/>
    <w:rsid w:val="005338FA"/>
    <w:rsid w:val="0053468A"/>
    <w:rsid w:val="00541DFE"/>
    <w:rsid w:val="00543613"/>
    <w:rsid w:val="00543E6C"/>
    <w:rsid w:val="00544184"/>
    <w:rsid w:val="00544D07"/>
    <w:rsid w:val="00544D51"/>
    <w:rsid w:val="00546081"/>
    <w:rsid w:val="0054744D"/>
    <w:rsid w:val="00547814"/>
    <w:rsid w:val="00547836"/>
    <w:rsid w:val="00550FE8"/>
    <w:rsid w:val="00552611"/>
    <w:rsid w:val="005552FD"/>
    <w:rsid w:val="005600E5"/>
    <w:rsid w:val="00562741"/>
    <w:rsid w:val="00564E8F"/>
    <w:rsid w:val="0056649C"/>
    <w:rsid w:val="00566DBF"/>
    <w:rsid w:val="00566E8A"/>
    <w:rsid w:val="005721BE"/>
    <w:rsid w:val="005728A4"/>
    <w:rsid w:val="00572C07"/>
    <w:rsid w:val="005763FC"/>
    <w:rsid w:val="00576EB4"/>
    <w:rsid w:val="005770F1"/>
    <w:rsid w:val="00577B30"/>
    <w:rsid w:val="00582768"/>
    <w:rsid w:val="00583461"/>
    <w:rsid w:val="005855E2"/>
    <w:rsid w:val="005856A4"/>
    <w:rsid w:val="00585FD8"/>
    <w:rsid w:val="0058711D"/>
    <w:rsid w:val="0058736B"/>
    <w:rsid w:val="005902FA"/>
    <w:rsid w:val="00590730"/>
    <w:rsid w:val="00591FD3"/>
    <w:rsid w:val="005960CD"/>
    <w:rsid w:val="00596E63"/>
    <w:rsid w:val="005974F4"/>
    <w:rsid w:val="005A0409"/>
    <w:rsid w:val="005A1D9A"/>
    <w:rsid w:val="005A3051"/>
    <w:rsid w:val="005A401F"/>
    <w:rsid w:val="005A49BD"/>
    <w:rsid w:val="005A5333"/>
    <w:rsid w:val="005A53FE"/>
    <w:rsid w:val="005B009B"/>
    <w:rsid w:val="005B2727"/>
    <w:rsid w:val="005B44F9"/>
    <w:rsid w:val="005B7D22"/>
    <w:rsid w:val="005C029E"/>
    <w:rsid w:val="005C4824"/>
    <w:rsid w:val="005D00E2"/>
    <w:rsid w:val="005D0B55"/>
    <w:rsid w:val="005D11DB"/>
    <w:rsid w:val="005D3A0E"/>
    <w:rsid w:val="005D56AC"/>
    <w:rsid w:val="005E085D"/>
    <w:rsid w:val="005E0909"/>
    <w:rsid w:val="005E148B"/>
    <w:rsid w:val="005E1651"/>
    <w:rsid w:val="005E3FA7"/>
    <w:rsid w:val="005E7963"/>
    <w:rsid w:val="005F07C9"/>
    <w:rsid w:val="005F218C"/>
    <w:rsid w:val="005F4523"/>
    <w:rsid w:val="005F5349"/>
    <w:rsid w:val="005F63D2"/>
    <w:rsid w:val="005F71F2"/>
    <w:rsid w:val="005F736F"/>
    <w:rsid w:val="00601A01"/>
    <w:rsid w:val="00601C45"/>
    <w:rsid w:val="00601D4D"/>
    <w:rsid w:val="0060200A"/>
    <w:rsid w:val="006021B4"/>
    <w:rsid w:val="00605B5B"/>
    <w:rsid w:val="006062D8"/>
    <w:rsid w:val="00606827"/>
    <w:rsid w:val="0061290E"/>
    <w:rsid w:val="00613D03"/>
    <w:rsid w:val="00615ECC"/>
    <w:rsid w:val="00620262"/>
    <w:rsid w:val="00620E06"/>
    <w:rsid w:val="00621B4C"/>
    <w:rsid w:val="00622919"/>
    <w:rsid w:val="0062296F"/>
    <w:rsid w:val="006234AC"/>
    <w:rsid w:val="00623AC9"/>
    <w:rsid w:val="00627C52"/>
    <w:rsid w:val="00630871"/>
    <w:rsid w:val="00630937"/>
    <w:rsid w:val="00636934"/>
    <w:rsid w:val="00640040"/>
    <w:rsid w:val="0064015B"/>
    <w:rsid w:val="00646038"/>
    <w:rsid w:val="006461B6"/>
    <w:rsid w:val="006475DF"/>
    <w:rsid w:val="00647FB1"/>
    <w:rsid w:val="00653B84"/>
    <w:rsid w:val="00653E0D"/>
    <w:rsid w:val="00663184"/>
    <w:rsid w:val="00670FB3"/>
    <w:rsid w:val="00673956"/>
    <w:rsid w:val="00677773"/>
    <w:rsid w:val="00677D6D"/>
    <w:rsid w:val="006815B3"/>
    <w:rsid w:val="00681C46"/>
    <w:rsid w:val="00683AEB"/>
    <w:rsid w:val="006865C8"/>
    <w:rsid w:val="00686744"/>
    <w:rsid w:val="00686B48"/>
    <w:rsid w:val="00687038"/>
    <w:rsid w:val="0068714E"/>
    <w:rsid w:val="006929F7"/>
    <w:rsid w:val="00692C9C"/>
    <w:rsid w:val="0069374A"/>
    <w:rsid w:val="00694AB8"/>
    <w:rsid w:val="00695EF7"/>
    <w:rsid w:val="0069699D"/>
    <w:rsid w:val="006A0AC5"/>
    <w:rsid w:val="006A1596"/>
    <w:rsid w:val="006A75D6"/>
    <w:rsid w:val="006B1984"/>
    <w:rsid w:val="006B218A"/>
    <w:rsid w:val="006B2C51"/>
    <w:rsid w:val="006B35ED"/>
    <w:rsid w:val="006B5E55"/>
    <w:rsid w:val="006B6361"/>
    <w:rsid w:val="006B639D"/>
    <w:rsid w:val="006C361B"/>
    <w:rsid w:val="006C3A72"/>
    <w:rsid w:val="006C603B"/>
    <w:rsid w:val="006C7A6E"/>
    <w:rsid w:val="006C7C91"/>
    <w:rsid w:val="006D10E3"/>
    <w:rsid w:val="006D351D"/>
    <w:rsid w:val="006D360C"/>
    <w:rsid w:val="006D4C34"/>
    <w:rsid w:val="006D5AC9"/>
    <w:rsid w:val="006D66ED"/>
    <w:rsid w:val="006E3651"/>
    <w:rsid w:val="006E4DDC"/>
    <w:rsid w:val="006E6AA3"/>
    <w:rsid w:val="006E786B"/>
    <w:rsid w:val="006F192C"/>
    <w:rsid w:val="006F23AA"/>
    <w:rsid w:val="007002B1"/>
    <w:rsid w:val="00704EB7"/>
    <w:rsid w:val="00705742"/>
    <w:rsid w:val="007104FE"/>
    <w:rsid w:val="00710625"/>
    <w:rsid w:val="00710F43"/>
    <w:rsid w:val="00711B0C"/>
    <w:rsid w:val="007121A2"/>
    <w:rsid w:val="00712EFC"/>
    <w:rsid w:val="00713981"/>
    <w:rsid w:val="00713F59"/>
    <w:rsid w:val="007150A5"/>
    <w:rsid w:val="00715B07"/>
    <w:rsid w:val="00716DE2"/>
    <w:rsid w:val="007176D6"/>
    <w:rsid w:val="0071791D"/>
    <w:rsid w:val="00721513"/>
    <w:rsid w:val="00722413"/>
    <w:rsid w:val="00724ADA"/>
    <w:rsid w:val="0072673A"/>
    <w:rsid w:val="00727CBE"/>
    <w:rsid w:val="00727D54"/>
    <w:rsid w:val="00732C5D"/>
    <w:rsid w:val="007344C5"/>
    <w:rsid w:val="00734959"/>
    <w:rsid w:val="00735137"/>
    <w:rsid w:val="0073520D"/>
    <w:rsid w:val="00735C4B"/>
    <w:rsid w:val="00736301"/>
    <w:rsid w:val="0074231C"/>
    <w:rsid w:val="00744F2C"/>
    <w:rsid w:val="007546DC"/>
    <w:rsid w:val="00756323"/>
    <w:rsid w:val="00756EE8"/>
    <w:rsid w:val="00756FAC"/>
    <w:rsid w:val="00761434"/>
    <w:rsid w:val="00761FCA"/>
    <w:rsid w:val="007621E4"/>
    <w:rsid w:val="00763061"/>
    <w:rsid w:val="007668D5"/>
    <w:rsid w:val="00772B7D"/>
    <w:rsid w:val="00772C4A"/>
    <w:rsid w:val="0077340E"/>
    <w:rsid w:val="00773863"/>
    <w:rsid w:val="007745C5"/>
    <w:rsid w:val="00774D46"/>
    <w:rsid w:val="007752F3"/>
    <w:rsid w:val="00777644"/>
    <w:rsid w:val="00780226"/>
    <w:rsid w:val="007815F8"/>
    <w:rsid w:val="00781AB4"/>
    <w:rsid w:val="0078264C"/>
    <w:rsid w:val="0078272A"/>
    <w:rsid w:val="0078282E"/>
    <w:rsid w:val="00790045"/>
    <w:rsid w:val="007918AB"/>
    <w:rsid w:val="007923B7"/>
    <w:rsid w:val="00792616"/>
    <w:rsid w:val="007926BB"/>
    <w:rsid w:val="0079344C"/>
    <w:rsid w:val="007968AE"/>
    <w:rsid w:val="007A0283"/>
    <w:rsid w:val="007A02A2"/>
    <w:rsid w:val="007A04C3"/>
    <w:rsid w:val="007A2159"/>
    <w:rsid w:val="007A3A76"/>
    <w:rsid w:val="007A4470"/>
    <w:rsid w:val="007B001F"/>
    <w:rsid w:val="007B0DE6"/>
    <w:rsid w:val="007B167E"/>
    <w:rsid w:val="007B300E"/>
    <w:rsid w:val="007B3FBB"/>
    <w:rsid w:val="007B5043"/>
    <w:rsid w:val="007C02C7"/>
    <w:rsid w:val="007C0A3C"/>
    <w:rsid w:val="007C146E"/>
    <w:rsid w:val="007C21EE"/>
    <w:rsid w:val="007C45B0"/>
    <w:rsid w:val="007C52C6"/>
    <w:rsid w:val="007C5511"/>
    <w:rsid w:val="007C5E4E"/>
    <w:rsid w:val="007D17E6"/>
    <w:rsid w:val="007D3A2E"/>
    <w:rsid w:val="007D656B"/>
    <w:rsid w:val="007D6652"/>
    <w:rsid w:val="007D7F7F"/>
    <w:rsid w:val="007E087F"/>
    <w:rsid w:val="007E343D"/>
    <w:rsid w:val="007E59CB"/>
    <w:rsid w:val="007E6F21"/>
    <w:rsid w:val="007F04D1"/>
    <w:rsid w:val="007F3B80"/>
    <w:rsid w:val="007F4383"/>
    <w:rsid w:val="007F7986"/>
    <w:rsid w:val="00801601"/>
    <w:rsid w:val="00802F31"/>
    <w:rsid w:val="00804D08"/>
    <w:rsid w:val="00804D55"/>
    <w:rsid w:val="00807CE6"/>
    <w:rsid w:val="00810991"/>
    <w:rsid w:val="008116B8"/>
    <w:rsid w:val="00812113"/>
    <w:rsid w:val="008148E3"/>
    <w:rsid w:val="00814A9B"/>
    <w:rsid w:val="00814F66"/>
    <w:rsid w:val="00815F1E"/>
    <w:rsid w:val="008169C7"/>
    <w:rsid w:val="00817C9E"/>
    <w:rsid w:val="008205AF"/>
    <w:rsid w:val="00820BAD"/>
    <w:rsid w:val="008225E5"/>
    <w:rsid w:val="00822E51"/>
    <w:rsid w:val="00831053"/>
    <w:rsid w:val="008314D2"/>
    <w:rsid w:val="0083254D"/>
    <w:rsid w:val="00833376"/>
    <w:rsid w:val="00834A3F"/>
    <w:rsid w:val="00835F10"/>
    <w:rsid w:val="00836249"/>
    <w:rsid w:val="00836F00"/>
    <w:rsid w:val="00836F0B"/>
    <w:rsid w:val="008416A6"/>
    <w:rsid w:val="00842790"/>
    <w:rsid w:val="00842D75"/>
    <w:rsid w:val="00842E49"/>
    <w:rsid w:val="0084424A"/>
    <w:rsid w:val="00846192"/>
    <w:rsid w:val="00850806"/>
    <w:rsid w:val="00851F02"/>
    <w:rsid w:val="00851F20"/>
    <w:rsid w:val="00856A1B"/>
    <w:rsid w:val="008614D9"/>
    <w:rsid w:val="008621C3"/>
    <w:rsid w:val="0086347D"/>
    <w:rsid w:val="00863558"/>
    <w:rsid w:val="00865486"/>
    <w:rsid w:val="00865536"/>
    <w:rsid w:val="00871148"/>
    <w:rsid w:val="008724AD"/>
    <w:rsid w:val="00873F2C"/>
    <w:rsid w:val="0087412D"/>
    <w:rsid w:val="00875B9E"/>
    <w:rsid w:val="00876275"/>
    <w:rsid w:val="00876340"/>
    <w:rsid w:val="00877C4A"/>
    <w:rsid w:val="008816A7"/>
    <w:rsid w:val="008823E1"/>
    <w:rsid w:val="00882B99"/>
    <w:rsid w:val="00886121"/>
    <w:rsid w:val="00890254"/>
    <w:rsid w:val="00891438"/>
    <w:rsid w:val="00893312"/>
    <w:rsid w:val="00893F71"/>
    <w:rsid w:val="00895646"/>
    <w:rsid w:val="0089565D"/>
    <w:rsid w:val="00896050"/>
    <w:rsid w:val="008A14C3"/>
    <w:rsid w:val="008A295B"/>
    <w:rsid w:val="008A6604"/>
    <w:rsid w:val="008A74FC"/>
    <w:rsid w:val="008B5482"/>
    <w:rsid w:val="008C11F4"/>
    <w:rsid w:val="008C1474"/>
    <w:rsid w:val="008C2BEC"/>
    <w:rsid w:val="008C4EAF"/>
    <w:rsid w:val="008C5090"/>
    <w:rsid w:val="008C6523"/>
    <w:rsid w:val="008C6D0E"/>
    <w:rsid w:val="008D09D2"/>
    <w:rsid w:val="008D1C5D"/>
    <w:rsid w:val="008D39C5"/>
    <w:rsid w:val="008D3FC5"/>
    <w:rsid w:val="008E1D89"/>
    <w:rsid w:val="008E3301"/>
    <w:rsid w:val="008E3744"/>
    <w:rsid w:val="008E3E3E"/>
    <w:rsid w:val="008E462B"/>
    <w:rsid w:val="008E46A7"/>
    <w:rsid w:val="008E6621"/>
    <w:rsid w:val="008F077C"/>
    <w:rsid w:val="008F220D"/>
    <w:rsid w:val="008F3867"/>
    <w:rsid w:val="008F5E0B"/>
    <w:rsid w:val="008F5F87"/>
    <w:rsid w:val="008F6589"/>
    <w:rsid w:val="008F673F"/>
    <w:rsid w:val="00900A34"/>
    <w:rsid w:val="00903E4F"/>
    <w:rsid w:val="009055E7"/>
    <w:rsid w:val="00906696"/>
    <w:rsid w:val="00906B70"/>
    <w:rsid w:val="00907073"/>
    <w:rsid w:val="00907701"/>
    <w:rsid w:val="00910DC8"/>
    <w:rsid w:val="0091329E"/>
    <w:rsid w:val="0091652C"/>
    <w:rsid w:val="00916D11"/>
    <w:rsid w:val="00917D5A"/>
    <w:rsid w:val="00920248"/>
    <w:rsid w:val="009208F5"/>
    <w:rsid w:val="00920F1B"/>
    <w:rsid w:val="00921A39"/>
    <w:rsid w:val="00923982"/>
    <w:rsid w:val="00927D51"/>
    <w:rsid w:val="009308B9"/>
    <w:rsid w:val="00931CAF"/>
    <w:rsid w:val="00931DC6"/>
    <w:rsid w:val="00932272"/>
    <w:rsid w:val="00932862"/>
    <w:rsid w:val="00934C0A"/>
    <w:rsid w:val="00934EAE"/>
    <w:rsid w:val="00935D60"/>
    <w:rsid w:val="00937AB5"/>
    <w:rsid w:val="00940424"/>
    <w:rsid w:val="00942E8F"/>
    <w:rsid w:val="00943198"/>
    <w:rsid w:val="00943A74"/>
    <w:rsid w:val="009447BB"/>
    <w:rsid w:val="00944C48"/>
    <w:rsid w:val="00946335"/>
    <w:rsid w:val="00946BF5"/>
    <w:rsid w:val="009479F6"/>
    <w:rsid w:val="00947B59"/>
    <w:rsid w:val="009513C4"/>
    <w:rsid w:val="00952FF3"/>
    <w:rsid w:val="00953636"/>
    <w:rsid w:val="00953B07"/>
    <w:rsid w:val="00954C4E"/>
    <w:rsid w:val="00955E55"/>
    <w:rsid w:val="00962200"/>
    <w:rsid w:val="009669C9"/>
    <w:rsid w:val="00966B9D"/>
    <w:rsid w:val="00966F54"/>
    <w:rsid w:val="009705DC"/>
    <w:rsid w:val="00970919"/>
    <w:rsid w:val="00974EF5"/>
    <w:rsid w:val="00975E61"/>
    <w:rsid w:val="00976E31"/>
    <w:rsid w:val="00977C63"/>
    <w:rsid w:val="00980087"/>
    <w:rsid w:val="00980C0B"/>
    <w:rsid w:val="009816F1"/>
    <w:rsid w:val="009817EE"/>
    <w:rsid w:val="00981A3E"/>
    <w:rsid w:val="00983BB0"/>
    <w:rsid w:val="0098524F"/>
    <w:rsid w:val="00987481"/>
    <w:rsid w:val="00987ABE"/>
    <w:rsid w:val="009906C7"/>
    <w:rsid w:val="00993222"/>
    <w:rsid w:val="00995C11"/>
    <w:rsid w:val="009963CD"/>
    <w:rsid w:val="0099687A"/>
    <w:rsid w:val="009978B9"/>
    <w:rsid w:val="009A7258"/>
    <w:rsid w:val="009B266D"/>
    <w:rsid w:val="009B384E"/>
    <w:rsid w:val="009B5032"/>
    <w:rsid w:val="009B5CBF"/>
    <w:rsid w:val="009B6C5A"/>
    <w:rsid w:val="009C184A"/>
    <w:rsid w:val="009C2CA5"/>
    <w:rsid w:val="009C3EAA"/>
    <w:rsid w:val="009C5241"/>
    <w:rsid w:val="009C752E"/>
    <w:rsid w:val="009D3E45"/>
    <w:rsid w:val="009E0B12"/>
    <w:rsid w:val="009E1736"/>
    <w:rsid w:val="009E4A05"/>
    <w:rsid w:val="009E502C"/>
    <w:rsid w:val="009E5609"/>
    <w:rsid w:val="009E75DE"/>
    <w:rsid w:val="009F0EF2"/>
    <w:rsid w:val="009F34CE"/>
    <w:rsid w:val="009F351F"/>
    <w:rsid w:val="009F3F89"/>
    <w:rsid w:val="009F480E"/>
    <w:rsid w:val="009F489E"/>
    <w:rsid w:val="009F72BC"/>
    <w:rsid w:val="009F7BDB"/>
    <w:rsid w:val="00A022A2"/>
    <w:rsid w:val="00A02D15"/>
    <w:rsid w:val="00A06669"/>
    <w:rsid w:val="00A07D4C"/>
    <w:rsid w:val="00A11403"/>
    <w:rsid w:val="00A139DA"/>
    <w:rsid w:val="00A150F9"/>
    <w:rsid w:val="00A20D9C"/>
    <w:rsid w:val="00A26B0D"/>
    <w:rsid w:val="00A27852"/>
    <w:rsid w:val="00A31E51"/>
    <w:rsid w:val="00A32104"/>
    <w:rsid w:val="00A3356A"/>
    <w:rsid w:val="00A351D1"/>
    <w:rsid w:val="00A3735A"/>
    <w:rsid w:val="00A40AC7"/>
    <w:rsid w:val="00A421BB"/>
    <w:rsid w:val="00A42F1B"/>
    <w:rsid w:val="00A468B1"/>
    <w:rsid w:val="00A47CDF"/>
    <w:rsid w:val="00A505EF"/>
    <w:rsid w:val="00A546BC"/>
    <w:rsid w:val="00A55155"/>
    <w:rsid w:val="00A55989"/>
    <w:rsid w:val="00A5694A"/>
    <w:rsid w:val="00A5752C"/>
    <w:rsid w:val="00A5794E"/>
    <w:rsid w:val="00A613CC"/>
    <w:rsid w:val="00A61764"/>
    <w:rsid w:val="00A63DA4"/>
    <w:rsid w:val="00A67992"/>
    <w:rsid w:val="00A70D61"/>
    <w:rsid w:val="00A7495E"/>
    <w:rsid w:val="00A7497B"/>
    <w:rsid w:val="00A75A25"/>
    <w:rsid w:val="00A75A77"/>
    <w:rsid w:val="00A75CD5"/>
    <w:rsid w:val="00A77500"/>
    <w:rsid w:val="00A8199C"/>
    <w:rsid w:val="00A81ADE"/>
    <w:rsid w:val="00A83DF3"/>
    <w:rsid w:val="00A85915"/>
    <w:rsid w:val="00A90000"/>
    <w:rsid w:val="00A938BA"/>
    <w:rsid w:val="00A9511A"/>
    <w:rsid w:val="00A952AB"/>
    <w:rsid w:val="00A95A9B"/>
    <w:rsid w:val="00A9783D"/>
    <w:rsid w:val="00AA1120"/>
    <w:rsid w:val="00AA45E6"/>
    <w:rsid w:val="00AA5A37"/>
    <w:rsid w:val="00AB0414"/>
    <w:rsid w:val="00AB489C"/>
    <w:rsid w:val="00AB50C1"/>
    <w:rsid w:val="00AB6936"/>
    <w:rsid w:val="00AC0C3B"/>
    <w:rsid w:val="00AC2D63"/>
    <w:rsid w:val="00AC3882"/>
    <w:rsid w:val="00AC4A69"/>
    <w:rsid w:val="00AC667D"/>
    <w:rsid w:val="00AD03D8"/>
    <w:rsid w:val="00AD0711"/>
    <w:rsid w:val="00AD50F6"/>
    <w:rsid w:val="00AD57A4"/>
    <w:rsid w:val="00AD704E"/>
    <w:rsid w:val="00AD754D"/>
    <w:rsid w:val="00AD7E3E"/>
    <w:rsid w:val="00AE0D3A"/>
    <w:rsid w:val="00AE13EC"/>
    <w:rsid w:val="00AE3B76"/>
    <w:rsid w:val="00AE5FE0"/>
    <w:rsid w:val="00AE60B7"/>
    <w:rsid w:val="00AE6166"/>
    <w:rsid w:val="00AF15E4"/>
    <w:rsid w:val="00AF2AB7"/>
    <w:rsid w:val="00AF2B1C"/>
    <w:rsid w:val="00AF4D3F"/>
    <w:rsid w:val="00B00709"/>
    <w:rsid w:val="00B0300B"/>
    <w:rsid w:val="00B049F5"/>
    <w:rsid w:val="00B04DE5"/>
    <w:rsid w:val="00B05457"/>
    <w:rsid w:val="00B068D0"/>
    <w:rsid w:val="00B07255"/>
    <w:rsid w:val="00B0763B"/>
    <w:rsid w:val="00B10BB8"/>
    <w:rsid w:val="00B128A0"/>
    <w:rsid w:val="00B13241"/>
    <w:rsid w:val="00B13440"/>
    <w:rsid w:val="00B14AEC"/>
    <w:rsid w:val="00B179AD"/>
    <w:rsid w:val="00B20240"/>
    <w:rsid w:val="00B22E55"/>
    <w:rsid w:val="00B22E85"/>
    <w:rsid w:val="00B23281"/>
    <w:rsid w:val="00B27571"/>
    <w:rsid w:val="00B327A2"/>
    <w:rsid w:val="00B36077"/>
    <w:rsid w:val="00B4164B"/>
    <w:rsid w:val="00B43217"/>
    <w:rsid w:val="00B4353F"/>
    <w:rsid w:val="00B4476D"/>
    <w:rsid w:val="00B4592F"/>
    <w:rsid w:val="00B459D7"/>
    <w:rsid w:val="00B4635D"/>
    <w:rsid w:val="00B463A9"/>
    <w:rsid w:val="00B507B6"/>
    <w:rsid w:val="00B53013"/>
    <w:rsid w:val="00B5409A"/>
    <w:rsid w:val="00B544CD"/>
    <w:rsid w:val="00B54E14"/>
    <w:rsid w:val="00B55574"/>
    <w:rsid w:val="00B567D1"/>
    <w:rsid w:val="00B6205D"/>
    <w:rsid w:val="00B62317"/>
    <w:rsid w:val="00B6525D"/>
    <w:rsid w:val="00B65ABA"/>
    <w:rsid w:val="00B6790F"/>
    <w:rsid w:val="00B71B3B"/>
    <w:rsid w:val="00B72635"/>
    <w:rsid w:val="00B7649E"/>
    <w:rsid w:val="00B84DA8"/>
    <w:rsid w:val="00B86B0B"/>
    <w:rsid w:val="00B87D61"/>
    <w:rsid w:val="00B90573"/>
    <w:rsid w:val="00B91FD7"/>
    <w:rsid w:val="00B931AF"/>
    <w:rsid w:val="00B93948"/>
    <w:rsid w:val="00B95B9E"/>
    <w:rsid w:val="00BA0467"/>
    <w:rsid w:val="00BA16B4"/>
    <w:rsid w:val="00BA43C0"/>
    <w:rsid w:val="00BA4BC7"/>
    <w:rsid w:val="00BA55B7"/>
    <w:rsid w:val="00BA5E47"/>
    <w:rsid w:val="00BA7D57"/>
    <w:rsid w:val="00BB156E"/>
    <w:rsid w:val="00BB254F"/>
    <w:rsid w:val="00BB3330"/>
    <w:rsid w:val="00BB3C7E"/>
    <w:rsid w:val="00BB47D7"/>
    <w:rsid w:val="00BB4A62"/>
    <w:rsid w:val="00BC01C1"/>
    <w:rsid w:val="00BC05B1"/>
    <w:rsid w:val="00BC09F9"/>
    <w:rsid w:val="00BC1B32"/>
    <w:rsid w:val="00BC27DB"/>
    <w:rsid w:val="00BC5A34"/>
    <w:rsid w:val="00BD17F5"/>
    <w:rsid w:val="00BD19DD"/>
    <w:rsid w:val="00BD1D48"/>
    <w:rsid w:val="00BD29E2"/>
    <w:rsid w:val="00BD6E05"/>
    <w:rsid w:val="00BD7BCD"/>
    <w:rsid w:val="00BE0F73"/>
    <w:rsid w:val="00BE13A6"/>
    <w:rsid w:val="00BE54D0"/>
    <w:rsid w:val="00BE59FD"/>
    <w:rsid w:val="00BE66BA"/>
    <w:rsid w:val="00BE79EF"/>
    <w:rsid w:val="00BF13D9"/>
    <w:rsid w:val="00BF6447"/>
    <w:rsid w:val="00BF6B6C"/>
    <w:rsid w:val="00BF6D8D"/>
    <w:rsid w:val="00BF7251"/>
    <w:rsid w:val="00BF7F28"/>
    <w:rsid w:val="00C01909"/>
    <w:rsid w:val="00C026DE"/>
    <w:rsid w:val="00C02CDB"/>
    <w:rsid w:val="00C05787"/>
    <w:rsid w:val="00C06A28"/>
    <w:rsid w:val="00C0745D"/>
    <w:rsid w:val="00C07665"/>
    <w:rsid w:val="00C13059"/>
    <w:rsid w:val="00C15049"/>
    <w:rsid w:val="00C156D4"/>
    <w:rsid w:val="00C1652A"/>
    <w:rsid w:val="00C167A3"/>
    <w:rsid w:val="00C20036"/>
    <w:rsid w:val="00C2057A"/>
    <w:rsid w:val="00C21563"/>
    <w:rsid w:val="00C2181C"/>
    <w:rsid w:val="00C22DA4"/>
    <w:rsid w:val="00C23133"/>
    <w:rsid w:val="00C25E93"/>
    <w:rsid w:val="00C2657D"/>
    <w:rsid w:val="00C316C1"/>
    <w:rsid w:val="00C32D25"/>
    <w:rsid w:val="00C3447A"/>
    <w:rsid w:val="00C350ED"/>
    <w:rsid w:val="00C373B1"/>
    <w:rsid w:val="00C415B2"/>
    <w:rsid w:val="00C416E1"/>
    <w:rsid w:val="00C43490"/>
    <w:rsid w:val="00C43FB3"/>
    <w:rsid w:val="00C44FA7"/>
    <w:rsid w:val="00C4608D"/>
    <w:rsid w:val="00C465C9"/>
    <w:rsid w:val="00C47BF8"/>
    <w:rsid w:val="00C50D09"/>
    <w:rsid w:val="00C51B1C"/>
    <w:rsid w:val="00C53225"/>
    <w:rsid w:val="00C53DCE"/>
    <w:rsid w:val="00C62EE0"/>
    <w:rsid w:val="00C6420D"/>
    <w:rsid w:val="00C655F2"/>
    <w:rsid w:val="00C65B3D"/>
    <w:rsid w:val="00C65B4C"/>
    <w:rsid w:val="00C65B61"/>
    <w:rsid w:val="00C70E53"/>
    <w:rsid w:val="00C711A0"/>
    <w:rsid w:val="00C72104"/>
    <w:rsid w:val="00C72364"/>
    <w:rsid w:val="00C72979"/>
    <w:rsid w:val="00C75604"/>
    <w:rsid w:val="00C80625"/>
    <w:rsid w:val="00C8088A"/>
    <w:rsid w:val="00C81529"/>
    <w:rsid w:val="00C81BA6"/>
    <w:rsid w:val="00C8377C"/>
    <w:rsid w:val="00C84715"/>
    <w:rsid w:val="00C8589D"/>
    <w:rsid w:val="00C877B0"/>
    <w:rsid w:val="00C877CD"/>
    <w:rsid w:val="00C878EE"/>
    <w:rsid w:val="00C902E9"/>
    <w:rsid w:val="00C908B7"/>
    <w:rsid w:val="00C91790"/>
    <w:rsid w:val="00C91D81"/>
    <w:rsid w:val="00C92A42"/>
    <w:rsid w:val="00C9387A"/>
    <w:rsid w:val="00C93CD3"/>
    <w:rsid w:val="00C9569D"/>
    <w:rsid w:val="00C9591C"/>
    <w:rsid w:val="00C979F6"/>
    <w:rsid w:val="00CA148E"/>
    <w:rsid w:val="00CA18F2"/>
    <w:rsid w:val="00CA2508"/>
    <w:rsid w:val="00CA282F"/>
    <w:rsid w:val="00CA3D5E"/>
    <w:rsid w:val="00CA4871"/>
    <w:rsid w:val="00CA6087"/>
    <w:rsid w:val="00CA60BE"/>
    <w:rsid w:val="00CA63A8"/>
    <w:rsid w:val="00CA6722"/>
    <w:rsid w:val="00CA6D4E"/>
    <w:rsid w:val="00CA7B4B"/>
    <w:rsid w:val="00CB36A8"/>
    <w:rsid w:val="00CC139A"/>
    <w:rsid w:val="00CC1491"/>
    <w:rsid w:val="00CC180A"/>
    <w:rsid w:val="00CC1E7A"/>
    <w:rsid w:val="00CC24C4"/>
    <w:rsid w:val="00CC32C3"/>
    <w:rsid w:val="00CC442E"/>
    <w:rsid w:val="00CC4F64"/>
    <w:rsid w:val="00CD058C"/>
    <w:rsid w:val="00CD2C42"/>
    <w:rsid w:val="00CD3B98"/>
    <w:rsid w:val="00CD4216"/>
    <w:rsid w:val="00CD518C"/>
    <w:rsid w:val="00CD733F"/>
    <w:rsid w:val="00CD742B"/>
    <w:rsid w:val="00CE0942"/>
    <w:rsid w:val="00CE65B8"/>
    <w:rsid w:val="00CE7CA5"/>
    <w:rsid w:val="00CF1D81"/>
    <w:rsid w:val="00CF2DC9"/>
    <w:rsid w:val="00CF682B"/>
    <w:rsid w:val="00CF782D"/>
    <w:rsid w:val="00CF7CB6"/>
    <w:rsid w:val="00D0063A"/>
    <w:rsid w:val="00D00859"/>
    <w:rsid w:val="00D00970"/>
    <w:rsid w:val="00D00E07"/>
    <w:rsid w:val="00D01157"/>
    <w:rsid w:val="00D021E8"/>
    <w:rsid w:val="00D057A5"/>
    <w:rsid w:val="00D07F4D"/>
    <w:rsid w:val="00D111A9"/>
    <w:rsid w:val="00D16A61"/>
    <w:rsid w:val="00D16C1B"/>
    <w:rsid w:val="00D17023"/>
    <w:rsid w:val="00D204FB"/>
    <w:rsid w:val="00D220D7"/>
    <w:rsid w:val="00D2405F"/>
    <w:rsid w:val="00D311AB"/>
    <w:rsid w:val="00D319F2"/>
    <w:rsid w:val="00D325A8"/>
    <w:rsid w:val="00D32AFA"/>
    <w:rsid w:val="00D33AED"/>
    <w:rsid w:val="00D34256"/>
    <w:rsid w:val="00D34AFA"/>
    <w:rsid w:val="00D3584F"/>
    <w:rsid w:val="00D376A5"/>
    <w:rsid w:val="00D40656"/>
    <w:rsid w:val="00D42386"/>
    <w:rsid w:val="00D442AD"/>
    <w:rsid w:val="00D44EE2"/>
    <w:rsid w:val="00D45352"/>
    <w:rsid w:val="00D4541F"/>
    <w:rsid w:val="00D46E4D"/>
    <w:rsid w:val="00D474E0"/>
    <w:rsid w:val="00D5080A"/>
    <w:rsid w:val="00D530FC"/>
    <w:rsid w:val="00D54267"/>
    <w:rsid w:val="00D54D87"/>
    <w:rsid w:val="00D5530A"/>
    <w:rsid w:val="00D5618A"/>
    <w:rsid w:val="00D566F4"/>
    <w:rsid w:val="00D57312"/>
    <w:rsid w:val="00D5784B"/>
    <w:rsid w:val="00D603EE"/>
    <w:rsid w:val="00D61E08"/>
    <w:rsid w:val="00D63104"/>
    <w:rsid w:val="00D63EFB"/>
    <w:rsid w:val="00D658AF"/>
    <w:rsid w:val="00D65B19"/>
    <w:rsid w:val="00D66FAB"/>
    <w:rsid w:val="00D767D7"/>
    <w:rsid w:val="00D83DE9"/>
    <w:rsid w:val="00D8450D"/>
    <w:rsid w:val="00D853B9"/>
    <w:rsid w:val="00D90CD9"/>
    <w:rsid w:val="00D927F4"/>
    <w:rsid w:val="00D94F4B"/>
    <w:rsid w:val="00D95AF9"/>
    <w:rsid w:val="00DA08BC"/>
    <w:rsid w:val="00DA09C9"/>
    <w:rsid w:val="00DA0E5F"/>
    <w:rsid w:val="00DA1822"/>
    <w:rsid w:val="00DA4834"/>
    <w:rsid w:val="00DA6290"/>
    <w:rsid w:val="00DA66C4"/>
    <w:rsid w:val="00DB28D9"/>
    <w:rsid w:val="00DB45BA"/>
    <w:rsid w:val="00DB49FF"/>
    <w:rsid w:val="00DB4ED8"/>
    <w:rsid w:val="00DB5155"/>
    <w:rsid w:val="00DB5E1F"/>
    <w:rsid w:val="00DB5F0A"/>
    <w:rsid w:val="00DB6CDA"/>
    <w:rsid w:val="00DB7088"/>
    <w:rsid w:val="00DB790E"/>
    <w:rsid w:val="00DC19D8"/>
    <w:rsid w:val="00DC2613"/>
    <w:rsid w:val="00DC4512"/>
    <w:rsid w:val="00DC7527"/>
    <w:rsid w:val="00DC77E0"/>
    <w:rsid w:val="00DC7CF3"/>
    <w:rsid w:val="00DD2C80"/>
    <w:rsid w:val="00DD3691"/>
    <w:rsid w:val="00DD4B55"/>
    <w:rsid w:val="00DD65E4"/>
    <w:rsid w:val="00DD65FF"/>
    <w:rsid w:val="00DD783B"/>
    <w:rsid w:val="00DE0354"/>
    <w:rsid w:val="00DE1CA6"/>
    <w:rsid w:val="00DE1E90"/>
    <w:rsid w:val="00DE24E6"/>
    <w:rsid w:val="00DE4341"/>
    <w:rsid w:val="00DE5D7D"/>
    <w:rsid w:val="00DF032A"/>
    <w:rsid w:val="00DF0478"/>
    <w:rsid w:val="00DF07AD"/>
    <w:rsid w:val="00DF12D2"/>
    <w:rsid w:val="00DF3364"/>
    <w:rsid w:val="00E007BF"/>
    <w:rsid w:val="00E00F8A"/>
    <w:rsid w:val="00E032F0"/>
    <w:rsid w:val="00E055BB"/>
    <w:rsid w:val="00E06A0B"/>
    <w:rsid w:val="00E1098E"/>
    <w:rsid w:val="00E10E87"/>
    <w:rsid w:val="00E11988"/>
    <w:rsid w:val="00E125C1"/>
    <w:rsid w:val="00E127DD"/>
    <w:rsid w:val="00E12B08"/>
    <w:rsid w:val="00E132D1"/>
    <w:rsid w:val="00E13625"/>
    <w:rsid w:val="00E14994"/>
    <w:rsid w:val="00E15C76"/>
    <w:rsid w:val="00E15DA9"/>
    <w:rsid w:val="00E1626D"/>
    <w:rsid w:val="00E16670"/>
    <w:rsid w:val="00E172A6"/>
    <w:rsid w:val="00E1731C"/>
    <w:rsid w:val="00E178C3"/>
    <w:rsid w:val="00E2095D"/>
    <w:rsid w:val="00E2232F"/>
    <w:rsid w:val="00E30414"/>
    <w:rsid w:val="00E34262"/>
    <w:rsid w:val="00E36598"/>
    <w:rsid w:val="00E40769"/>
    <w:rsid w:val="00E41E19"/>
    <w:rsid w:val="00E42E8B"/>
    <w:rsid w:val="00E4740D"/>
    <w:rsid w:val="00E53C62"/>
    <w:rsid w:val="00E5635C"/>
    <w:rsid w:val="00E56766"/>
    <w:rsid w:val="00E56EB2"/>
    <w:rsid w:val="00E60F12"/>
    <w:rsid w:val="00E62113"/>
    <w:rsid w:val="00E652FB"/>
    <w:rsid w:val="00E658EA"/>
    <w:rsid w:val="00E65B62"/>
    <w:rsid w:val="00E66C20"/>
    <w:rsid w:val="00E67E1B"/>
    <w:rsid w:val="00E71C46"/>
    <w:rsid w:val="00E71E34"/>
    <w:rsid w:val="00E72763"/>
    <w:rsid w:val="00E72E71"/>
    <w:rsid w:val="00E74B49"/>
    <w:rsid w:val="00E75ED2"/>
    <w:rsid w:val="00E807B2"/>
    <w:rsid w:val="00E820DD"/>
    <w:rsid w:val="00E8280C"/>
    <w:rsid w:val="00E83E4C"/>
    <w:rsid w:val="00E84638"/>
    <w:rsid w:val="00E85497"/>
    <w:rsid w:val="00E86837"/>
    <w:rsid w:val="00E87C60"/>
    <w:rsid w:val="00E90C74"/>
    <w:rsid w:val="00E91933"/>
    <w:rsid w:val="00E92A81"/>
    <w:rsid w:val="00E94273"/>
    <w:rsid w:val="00E949A0"/>
    <w:rsid w:val="00E95B2B"/>
    <w:rsid w:val="00E95F06"/>
    <w:rsid w:val="00E969B1"/>
    <w:rsid w:val="00EA3BB1"/>
    <w:rsid w:val="00EB0C71"/>
    <w:rsid w:val="00EB1A5E"/>
    <w:rsid w:val="00EB310A"/>
    <w:rsid w:val="00EB56A9"/>
    <w:rsid w:val="00EB5ACE"/>
    <w:rsid w:val="00EB5E5B"/>
    <w:rsid w:val="00EB6552"/>
    <w:rsid w:val="00EC03AA"/>
    <w:rsid w:val="00EC18E6"/>
    <w:rsid w:val="00EC1984"/>
    <w:rsid w:val="00EC1B5F"/>
    <w:rsid w:val="00EC234C"/>
    <w:rsid w:val="00EC6F65"/>
    <w:rsid w:val="00EC7348"/>
    <w:rsid w:val="00ED3529"/>
    <w:rsid w:val="00ED39DD"/>
    <w:rsid w:val="00ED419F"/>
    <w:rsid w:val="00ED4D17"/>
    <w:rsid w:val="00EE0708"/>
    <w:rsid w:val="00EE14B8"/>
    <w:rsid w:val="00EE5D7E"/>
    <w:rsid w:val="00EE66AE"/>
    <w:rsid w:val="00EE6CD3"/>
    <w:rsid w:val="00EF20D7"/>
    <w:rsid w:val="00EF269B"/>
    <w:rsid w:val="00EF3419"/>
    <w:rsid w:val="00EF4283"/>
    <w:rsid w:val="00F0119C"/>
    <w:rsid w:val="00F02BDB"/>
    <w:rsid w:val="00F0441B"/>
    <w:rsid w:val="00F04EB5"/>
    <w:rsid w:val="00F07623"/>
    <w:rsid w:val="00F10EDA"/>
    <w:rsid w:val="00F11F21"/>
    <w:rsid w:val="00F13BAB"/>
    <w:rsid w:val="00F3136B"/>
    <w:rsid w:val="00F314F1"/>
    <w:rsid w:val="00F327EA"/>
    <w:rsid w:val="00F33641"/>
    <w:rsid w:val="00F35943"/>
    <w:rsid w:val="00F37F38"/>
    <w:rsid w:val="00F40668"/>
    <w:rsid w:val="00F40E1E"/>
    <w:rsid w:val="00F415F0"/>
    <w:rsid w:val="00F41900"/>
    <w:rsid w:val="00F42842"/>
    <w:rsid w:val="00F46E40"/>
    <w:rsid w:val="00F4760A"/>
    <w:rsid w:val="00F52B8E"/>
    <w:rsid w:val="00F53CFD"/>
    <w:rsid w:val="00F544CA"/>
    <w:rsid w:val="00F54AF5"/>
    <w:rsid w:val="00F557E3"/>
    <w:rsid w:val="00F607C1"/>
    <w:rsid w:val="00F60A08"/>
    <w:rsid w:val="00F61E78"/>
    <w:rsid w:val="00F62882"/>
    <w:rsid w:val="00F635C5"/>
    <w:rsid w:val="00F67B9C"/>
    <w:rsid w:val="00F70957"/>
    <w:rsid w:val="00F71D96"/>
    <w:rsid w:val="00F72B95"/>
    <w:rsid w:val="00F736E3"/>
    <w:rsid w:val="00F767E8"/>
    <w:rsid w:val="00F771EB"/>
    <w:rsid w:val="00F77F2F"/>
    <w:rsid w:val="00F86A3F"/>
    <w:rsid w:val="00F875D4"/>
    <w:rsid w:val="00F91297"/>
    <w:rsid w:val="00F9133B"/>
    <w:rsid w:val="00F915FD"/>
    <w:rsid w:val="00F9215F"/>
    <w:rsid w:val="00F932F4"/>
    <w:rsid w:val="00F93982"/>
    <w:rsid w:val="00F96666"/>
    <w:rsid w:val="00F97730"/>
    <w:rsid w:val="00FA755B"/>
    <w:rsid w:val="00FB1147"/>
    <w:rsid w:val="00FB32A4"/>
    <w:rsid w:val="00FB355B"/>
    <w:rsid w:val="00FB421E"/>
    <w:rsid w:val="00FB594D"/>
    <w:rsid w:val="00FC0A00"/>
    <w:rsid w:val="00FC0A7C"/>
    <w:rsid w:val="00FC49BB"/>
    <w:rsid w:val="00FC50BD"/>
    <w:rsid w:val="00FC742F"/>
    <w:rsid w:val="00FC7891"/>
    <w:rsid w:val="00FD616B"/>
    <w:rsid w:val="00FD7C0D"/>
    <w:rsid w:val="00FE070B"/>
    <w:rsid w:val="00FE0A1C"/>
    <w:rsid w:val="00FE16D2"/>
    <w:rsid w:val="00FE367F"/>
    <w:rsid w:val="00FE6222"/>
    <w:rsid w:val="00FE72AE"/>
    <w:rsid w:val="00FE73DD"/>
    <w:rsid w:val="00FE7A53"/>
    <w:rsid w:val="00FF1022"/>
    <w:rsid w:val="00FF29DC"/>
    <w:rsid w:val="00FF5B89"/>
    <w:rsid w:val="010FC218"/>
    <w:rsid w:val="0180A0DC"/>
    <w:rsid w:val="01820194"/>
    <w:rsid w:val="0182DA0A"/>
    <w:rsid w:val="01A4BBAA"/>
    <w:rsid w:val="01AA9331"/>
    <w:rsid w:val="01B9797D"/>
    <w:rsid w:val="01EF2989"/>
    <w:rsid w:val="0212C200"/>
    <w:rsid w:val="022FBCFA"/>
    <w:rsid w:val="0235491A"/>
    <w:rsid w:val="0284A247"/>
    <w:rsid w:val="02C93917"/>
    <w:rsid w:val="02DBE1F5"/>
    <w:rsid w:val="02DF085C"/>
    <w:rsid w:val="02FBCC07"/>
    <w:rsid w:val="031EAA6B"/>
    <w:rsid w:val="03408C0B"/>
    <w:rsid w:val="0345F339"/>
    <w:rsid w:val="03BD589D"/>
    <w:rsid w:val="03C403B0"/>
    <w:rsid w:val="03CA240D"/>
    <w:rsid w:val="03E83457"/>
    <w:rsid w:val="043BF333"/>
    <w:rsid w:val="048EAFFF"/>
    <w:rsid w:val="04A591BE"/>
    <w:rsid w:val="04C2C17C"/>
    <w:rsid w:val="04D0B805"/>
    <w:rsid w:val="04D61200"/>
    <w:rsid w:val="04E5B60A"/>
    <w:rsid w:val="04FF1175"/>
    <w:rsid w:val="05197BA1"/>
    <w:rsid w:val="05387B26"/>
    <w:rsid w:val="0586C6B4"/>
    <w:rsid w:val="05CB35FC"/>
    <w:rsid w:val="05CFB85F"/>
    <w:rsid w:val="05EB2DD3"/>
    <w:rsid w:val="061C02D4"/>
    <w:rsid w:val="06284EBA"/>
    <w:rsid w:val="0687D55B"/>
    <w:rsid w:val="0691D098"/>
    <w:rsid w:val="0693045B"/>
    <w:rsid w:val="0718B0D6"/>
    <w:rsid w:val="07303D81"/>
    <w:rsid w:val="0734F5AC"/>
    <w:rsid w:val="07361DB8"/>
    <w:rsid w:val="073865F5"/>
    <w:rsid w:val="075B664D"/>
    <w:rsid w:val="077F7A59"/>
    <w:rsid w:val="07B4BA2B"/>
    <w:rsid w:val="07F2DBC8"/>
    <w:rsid w:val="08109FDB"/>
    <w:rsid w:val="0828BB01"/>
    <w:rsid w:val="0844483D"/>
    <w:rsid w:val="084C3ECD"/>
    <w:rsid w:val="085128AC"/>
    <w:rsid w:val="087517AA"/>
    <w:rsid w:val="087FB68F"/>
    <w:rsid w:val="089480C6"/>
    <w:rsid w:val="08E6F41C"/>
    <w:rsid w:val="08F0A6F8"/>
    <w:rsid w:val="08F85D78"/>
    <w:rsid w:val="091D99D9"/>
    <w:rsid w:val="09358309"/>
    <w:rsid w:val="0967A282"/>
    <w:rsid w:val="097FE866"/>
    <w:rsid w:val="098B37C6"/>
    <w:rsid w:val="09B50691"/>
    <w:rsid w:val="09BC483D"/>
    <w:rsid w:val="09E6B803"/>
    <w:rsid w:val="0A35BE8E"/>
    <w:rsid w:val="0A68DFAF"/>
    <w:rsid w:val="0A6B33C0"/>
    <w:rsid w:val="0A72565C"/>
    <w:rsid w:val="0A897F74"/>
    <w:rsid w:val="0A9143B2"/>
    <w:rsid w:val="0A942DD9"/>
    <w:rsid w:val="0AA26232"/>
    <w:rsid w:val="0AB350E2"/>
    <w:rsid w:val="0AB8A3C6"/>
    <w:rsid w:val="0AF8164B"/>
    <w:rsid w:val="0B49B11F"/>
    <w:rsid w:val="0B5D82FD"/>
    <w:rsid w:val="0BADF9A9"/>
    <w:rsid w:val="0BE098B1"/>
    <w:rsid w:val="0C243CDE"/>
    <w:rsid w:val="0C3B5241"/>
    <w:rsid w:val="0C5C8860"/>
    <w:rsid w:val="0C5E6770"/>
    <w:rsid w:val="0C76E84D"/>
    <w:rsid w:val="0C94A738"/>
    <w:rsid w:val="0C96812C"/>
    <w:rsid w:val="0CA2740E"/>
    <w:rsid w:val="0CCFB085"/>
    <w:rsid w:val="0CDACF3B"/>
    <w:rsid w:val="0CDD382E"/>
    <w:rsid w:val="0D39C103"/>
    <w:rsid w:val="0D474D99"/>
    <w:rsid w:val="0D49CA0A"/>
    <w:rsid w:val="0D71BE56"/>
    <w:rsid w:val="0D72F213"/>
    <w:rsid w:val="0D777925"/>
    <w:rsid w:val="0DACF4D8"/>
    <w:rsid w:val="0DC00D3F"/>
    <w:rsid w:val="0DCA0EC0"/>
    <w:rsid w:val="0E05DCC4"/>
    <w:rsid w:val="0E0C4F54"/>
    <w:rsid w:val="0E30B962"/>
    <w:rsid w:val="0E531D6C"/>
    <w:rsid w:val="0E604AA6"/>
    <w:rsid w:val="0ED823D6"/>
    <w:rsid w:val="0EDC2E7C"/>
    <w:rsid w:val="0EE09061"/>
    <w:rsid w:val="0F278659"/>
    <w:rsid w:val="0F31CFE8"/>
    <w:rsid w:val="0F5635A0"/>
    <w:rsid w:val="0F65CDFF"/>
    <w:rsid w:val="0F8EADEA"/>
    <w:rsid w:val="0FC12AB0"/>
    <w:rsid w:val="0FE40516"/>
    <w:rsid w:val="0FF9CBBA"/>
    <w:rsid w:val="106E7EEF"/>
    <w:rsid w:val="10946EB1"/>
    <w:rsid w:val="10989EB9"/>
    <w:rsid w:val="10D8D298"/>
    <w:rsid w:val="1119A628"/>
    <w:rsid w:val="112AAC6F"/>
    <w:rsid w:val="113352BF"/>
    <w:rsid w:val="113E8091"/>
    <w:rsid w:val="114532A8"/>
    <w:rsid w:val="115C6318"/>
    <w:rsid w:val="117D214E"/>
    <w:rsid w:val="118834B4"/>
    <w:rsid w:val="11C22D80"/>
    <w:rsid w:val="126AA843"/>
    <w:rsid w:val="12AB4514"/>
    <w:rsid w:val="12E99ADC"/>
    <w:rsid w:val="132A299A"/>
    <w:rsid w:val="136B4197"/>
    <w:rsid w:val="13783E13"/>
    <w:rsid w:val="1397FFE4"/>
    <w:rsid w:val="139E6FBE"/>
    <w:rsid w:val="13C0D056"/>
    <w:rsid w:val="13E67CAD"/>
    <w:rsid w:val="13FC6C48"/>
    <w:rsid w:val="1406A935"/>
    <w:rsid w:val="1408339E"/>
    <w:rsid w:val="14188664"/>
    <w:rsid w:val="142C6108"/>
    <w:rsid w:val="14624D31"/>
    <w:rsid w:val="1462605C"/>
    <w:rsid w:val="14AB4274"/>
    <w:rsid w:val="14ED19E2"/>
    <w:rsid w:val="1500C531"/>
    <w:rsid w:val="153EAA36"/>
    <w:rsid w:val="155C9E6C"/>
    <w:rsid w:val="156F8C81"/>
    <w:rsid w:val="157454D9"/>
    <w:rsid w:val="157EA000"/>
    <w:rsid w:val="15AC9B8F"/>
    <w:rsid w:val="15C84901"/>
    <w:rsid w:val="15CB8FA3"/>
    <w:rsid w:val="15EA111C"/>
    <w:rsid w:val="163E1EB7"/>
    <w:rsid w:val="16509271"/>
    <w:rsid w:val="167D1F46"/>
    <w:rsid w:val="168BDD7F"/>
    <w:rsid w:val="16E05FFB"/>
    <w:rsid w:val="16E9F2FF"/>
    <w:rsid w:val="16EDE73E"/>
    <w:rsid w:val="16F2B361"/>
    <w:rsid w:val="172FA14A"/>
    <w:rsid w:val="17458FE2"/>
    <w:rsid w:val="1745E1C9"/>
    <w:rsid w:val="17581F84"/>
    <w:rsid w:val="17733244"/>
    <w:rsid w:val="178724EE"/>
    <w:rsid w:val="17C43EA3"/>
    <w:rsid w:val="1814DE08"/>
    <w:rsid w:val="183D4AB7"/>
    <w:rsid w:val="1846CC51"/>
    <w:rsid w:val="1857BE6A"/>
    <w:rsid w:val="1881C540"/>
    <w:rsid w:val="18CFAB5B"/>
    <w:rsid w:val="18F5AD5E"/>
    <w:rsid w:val="18F69729"/>
    <w:rsid w:val="190C5FE0"/>
    <w:rsid w:val="1946612F"/>
    <w:rsid w:val="197B107C"/>
    <w:rsid w:val="19BECF75"/>
    <w:rsid w:val="19FDBD97"/>
    <w:rsid w:val="1A1E0A31"/>
    <w:rsid w:val="1A26863D"/>
    <w:rsid w:val="1A5C13D8"/>
    <w:rsid w:val="1A62D191"/>
    <w:rsid w:val="1A680345"/>
    <w:rsid w:val="1A694D37"/>
    <w:rsid w:val="1AA973BD"/>
    <w:rsid w:val="1AB6E065"/>
    <w:rsid w:val="1AB9D902"/>
    <w:rsid w:val="1ABB3912"/>
    <w:rsid w:val="1ABE2E38"/>
    <w:rsid w:val="1ACEF260"/>
    <w:rsid w:val="1AFE1DEB"/>
    <w:rsid w:val="1B111C46"/>
    <w:rsid w:val="1B3801EA"/>
    <w:rsid w:val="1B5A2BCB"/>
    <w:rsid w:val="1B66DC45"/>
    <w:rsid w:val="1B7B34CA"/>
    <w:rsid w:val="1BB0C190"/>
    <w:rsid w:val="1BC72E3C"/>
    <w:rsid w:val="1BCEA2A9"/>
    <w:rsid w:val="1BE0822E"/>
    <w:rsid w:val="1BE1061B"/>
    <w:rsid w:val="1BE3EA6F"/>
    <w:rsid w:val="1BFF6F6D"/>
    <w:rsid w:val="1C01888E"/>
    <w:rsid w:val="1C1253EB"/>
    <w:rsid w:val="1C239DE0"/>
    <w:rsid w:val="1C38FEFD"/>
    <w:rsid w:val="1C3B6B92"/>
    <w:rsid w:val="1C4DD8C3"/>
    <w:rsid w:val="1C754F42"/>
    <w:rsid w:val="1D2B7C1C"/>
    <w:rsid w:val="1D411953"/>
    <w:rsid w:val="1D4AAC1D"/>
    <w:rsid w:val="1D86132F"/>
    <w:rsid w:val="1DE4BD14"/>
    <w:rsid w:val="1E2856B9"/>
    <w:rsid w:val="1E2B2D62"/>
    <w:rsid w:val="1E357E60"/>
    <w:rsid w:val="1E3BF0A0"/>
    <w:rsid w:val="1EDCA8BF"/>
    <w:rsid w:val="1EF2176C"/>
    <w:rsid w:val="1EF457CC"/>
    <w:rsid w:val="1EF63526"/>
    <w:rsid w:val="1F0C2DAD"/>
    <w:rsid w:val="1F48E98D"/>
    <w:rsid w:val="1F4B3965"/>
    <w:rsid w:val="1F724063"/>
    <w:rsid w:val="1F7F684F"/>
    <w:rsid w:val="1F86702B"/>
    <w:rsid w:val="1F8D41E2"/>
    <w:rsid w:val="1F9EB6CF"/>
    <w:rsid w:val="1FAAE786"/>
    <w:rsid w:val="1FCB116E"/>
    <w:rsid w:val="1FD14EC1"/>
    <w:rsid w:val="201AD83C"/>
    <w:rsid w:val="207F94E1"/>
    <w:rsid w:val="20920587"/>
    <w:rsid w:val="20B73A79"/>
    <w:rsid w:val="20BE4C68"/>
    <w:rsid w:val="20CAD330"/>
    <w:rsid w:val="20EA61FD"/>
    <w:rsid w:val="211AE100"/>
    <w:rsid w:val="2133C23B"/>
    <w:rsid w:val="2163EE45"/>
    <w:rsid w:val="216D1F22"/>
    <w:rsid w:val="2176E165"/>
    <w:rsid w:val="219943EE"/>
    <w:rsid w:val="21AA482F"/>
    <w:rsid w:val="21EC4132"/>
    <w:rsid w:val="2224AFE6"/>
    <w:rsid w:val="2224D161"/>
    <w:rsid w:val="224B36EE"/>
    <w:rsid w:val="225DCAAF"/>
    <w:rsid w:val="22643DA2"/>
    <w:rsid w:val="2266A391"/>
    <w:rsid w:val="22C4C57D"/>
    <w:rsid w:val="22F7EBE7"/>
    <w:rsid w:val="230D3151"/>
    <w:rsid w:val="233B5D9E"/>
    <w:rsid w:val="235278FE"/>
    <w:rsid w:val="23843CC2"/>
    <w:rsid w:val="23FE540D"/>
    <w:rsid w:val="241958D0"/>
    <w:rsid w:val="244DC145"/>
    <w:rsid w:val="245F489E"/>
    <w:rsid w:val="247FC8C8"/>
    <w:rsid w:val="249B0E09"/>
    <w:rsid w:val="249B8F07"/>
    <w:rsid w:val="249D1134"/>
    <w:rsid w:val="24EC05E0"/>
    <w:rsid w:val="24F1D9E0"/>
    <w:rsid w:val="25029875"/>
    <w:rsid w:val="251630AB"/>
    <w:rsid w:val="251B8846"/>
    <w:rsid w:val="251D7712"/>
    <w:rsid w:val="253647C5"/>
    <w:rsid w:val="25377D07"/>
    <w:rsid w:val="255414D2"/>
    <w:rsid w:val="257F1342"/>
    <w:rsid w:val="2582CC4D"/>
    <w:rsid w:val="258B4FFE"/>
    <w:rsid w:val="25909551"/>
    <w:rsid w:val="25AF8AA7"/>
    <w:rsid w:val="2614415C"/>
    <w:rsid w:val="26167C6C"/>
    <w:rsid w:val="263F09C2"/>
    <w:rsid w:val="26840033"/>
    <w:rsid w:val="2699B22C"/>
    <w:rsid w:val="269FB760"/>
    <w:rsid w:val="26C09671"/>
    <w:rsid w:val="26DF2813"/>
    <w:rsid w:val="26E17B4A"/>
    <w:rsid w:val="2733ECE6"/>
    <w:rsid w:val="274150D1"/>
    <w:rsid w:val="277AB6F2"/>
    <w:rsid w:val="27B32872"/>
    <w:rsid w:val="27D32FC9"/>
    <w:rsid w:val="27ED25E2"/>
    <w:rsid w:val="2822F79E"/>
    <w:rsid w:val="283DF3C7"/>
    <w:rsid w:val="285B82B6"/>
    <w:rsid w:val="2864AD85"/>
    <w:rsid w:val="28889CF4"/>
    <w:rsid w:val="28891D3B"/>
    <w:rsid w:val="28A04932"/>
    <w:rsid w:val="28A6FB23"/>
    <w:rsid w:val="28AC57F3"/>
    <w:rsid w:val="28E0DE19"/>
    <w:rsid w:val="29002751"/>
    <w:rsid w:val="291F4268"/>
    <w:rsid w:val="2943CF9F"/>
    <w:rsid w:val="297681C0"/>
    <w:rsid w:val="29927107"/>
    <w:rsid w:val="29B15587"/>
    <w:rsid w:val="29BA86B3"/>
    <w:rsid w:val="29FFE7E2"/>
    <w:rsid w:val="2A0805CA"/>
    <w:rsid w:val="2A0FEF9F"/>
    <w:rsid w:val="2A2A3800"/>
    <w:rsid w:val="2A3416AE"/>
    <w:rsid w:val="2A3C1993"/>
    <w:rsid w:val="2A3F47C4"/>
    <w:rsid w:val="2A850292"/>
    <w:rsid w:val="2AA4091B"/>
    <w:rsid w:val="2AC2075D"/>
    <w:rsid w:val="2AFAEFC1"/>
    <w:rsid w:val="2B140168"/>
    <w:rsid w:val="2B164398"/>
    <w:rsid w:val="2B3BFFB7"/>
    <w:rsid w:val="2B94EB2E"/>
    <w:rsid w:val="2BA0E845"/>
    <w:rsid w:val="2BCA5BC1"/>
    <w:rsid w:val="2BEC4FBA"/>
    <w:rsid w:val="2BF98860"/>
    <w:rsid w:val="2C06B3B6"/>
    <w:rsid w:val="2C4B0AF7"/>
    <w:rsid w:val="2C586163"/>
    <w:rsid w:val="2C973555"/>
    <w:rsid w:val="2CA37EF6"/>
    <w:rsid w:val="2CB92285"/>
    <w:rsid w:val="2CDDE545"/>
    <w:rsid w:val="2CEDBD16"/>
    <w:rsid w:val="2CFDEFD5"/>
    <w:rsid w:val="2D34E067"/>
    <w:rsid w:val="2D44578C"/>
    <w:rsid w:val="2DD2E2B6"/>
    <w:rsid w:val="2E19B5C3"/>
    <w:rsid w:val="2E26948E"/>
    <w:rsid w:val="2E299C44"/>
    <w:rsid w:val="2E7AE420"/>
    <w:rsid w:val="2E7B7DCF"/>
    <w:rsid w:val="2E85F86E"/>
    <w:rsid w:val="2E928015"/>
    <w:rsid w:val="2EB19BDD"/>
    <w:rsid w:val="2EB1A75B"/>
    <w:rsid w:val="2EDC8315"/>
    <w:rsid w:val="2EE29838"/>
    <w:rsid w:val="2EEED48B"/>
    <w:rsid w:val="2F1C9A12"/>
    <w:rsid w:val="2F26E350"/>
    <w:rsid w:val="2F2827B4"/>
    <w:rsid w:val="2F575D8F"/>
    <w:rsid w:val="2F822334"/>
    <w:rsid w:val="2FFA6B2C"/>
    <w:rsid w:val="3007B135"/>
    <w:rsid w:val="300C127D"/>
    <w:rsid w:val="303385B4"/>
    <w:rsid w:val="303DFE44"/>
    <w:rsid w:val="3077474E"/>
    <w:rsid w:val="3082FB40"/>
    <w:rsid w:val="308340B6"/>
    <w:rsid w:val="30B20D5B"/>
    <w:rsid w:val="30D467E7"/>
    <w:rsid w:val="3101BCD3"/>
    <w:rsid w:val="31586A81"/>
    <w:rsid w:val="315E2588"/>
    <w:rsid w:val="3164C937"/>
    <w:rsid w:val="31E5A749"/>
    <w:rsid w:val="320BD7B2"/>
    <w:rsid w:val="3242E520"/>
    <w:rsid w:val="324A6C43"/>
    <w:rsid w:val="327705DF"/>
    <w:rsid w:val="3289DBC9"/>
    <w:rsid w:val="328EFE51"/>
    <w:rsid w:val="32952677"/>
    <w:rsid w:val="329DF75D"/>
    <w:rsid w:val="32BEC1BF"/>
    <w:rsid w:val="32D0B73F"/>
    <w:rsid w:val="32F0012F"/>
    <w:rsid w:val="32F747AC"/>
    <w:rsid w:val="332AA67E"/>
    <w:rsid w:val="33618872"/>
    <w:rsid w:val="3363FF72"/>
    <w:rsid w:val="3384C52A"/>
    <w:rsid w:val="340A69B5"/>
    <w:rsid w:val="34195B22"/>
    <w:rsid w:val="341EA3D8"/>
    <w:rsid w:val="3425A4ED"/>
    <w:rsid w:val="3426C5C6"/>
    <w:rsid w:val="3432BC38"/>
    <w:rsid w:val="343BFEBA"/>
    <w:rsid w:val="3441657E"/>
    <w:rsid w:val="3441E9FD"/>
    <w:rsid w:val="345A34AC"/>
    <w:rsid w:val="346774C7"/>
    <w:rsid w:val="346EB420"/>
    <w:rsid w:val="346F3D10"/>
    <w:rsid w:val="347A3D58"/>
    <w:rsid w:val="34820F1D"/>
    <w:rsid w:val="34A809A4"/>
    <w:rsid w:val="34B5F252"/>
    <w:rsid w:val="34C0485C"/>
    <w:rsid w:val="3501EEA8"/>
    <w:rsid w:val="350FB525"/>
    <w:rsid w:val="352A31C4"/>
    <w:rsid w:val="352A53C2"/>
    <w:rsid w:val="3540FF2B"/>
    <w:rsid w:val="3545B849"/>
    <w:rsid w:val="3562D4C0"/>
    <w:rsid w:val="356476F0"/>
    <w:rsid w:val="356709D5"/>
    <w:rsid w:val="357C27BA"/>
    <w:rsid w:val="35A6E0D3"/>
    <w:rsid w:val="35BC379E"/>
    <w:rsid w:val="35BDD807"/>
    <w:rsid w:val="35CA4E0A"/>
    <w:rsid w:val="35E2B1FE"/>
    <w:rsid w:val="36623B35"/>
    <w:rsid w:val="3663AB9F"/>
    <w:rsid w:val="36778FE4"/>
    <w:rsid w:val="3684213D"/>
    <w:rsid w:val="36D9EED4"/>
    <w:rsid w:val="36E4839E"/>
    <w:rsid w:val="36F38233"/>
    <w:rsid w:val="36F8A320"/>
    <w:rsid w:val="36FB7DDA"/>
    <w:rsid w:val="375BB997"/>
    <w:rsid w:val="3767E71A"/>
    <w:rsid w:val="3795745D"/>
    <w:rsid w:val="37A44F44"/>
    <w:rsid w:val="37EC42F4"/>
    <w:rsid w:val="37F9F11A"/>
    <w:rsid w:val="382DCDEE"/>
    <w:rsid w:val="385C2EC1"/>
    <w:rsid w:val="386DF654"/>
    <w:rsid w:val="38AE3958"/>
    <w:rsid w:val="38C3EE29"/>
    <w:rsid w:val="38EAE252"/>
    <w:rsid w:val="38FF8381"/>
    <w:rsid w:val="39062D5B"/>
    <w:rsid w:val="394EF1DD"/>
    <w:rsid w:val="3967A26B"/>
    <w:rsid w:val="39B21DE2"/>
    <w:rsid w:val="39C7E64F"/>
    <w:rsid w:val="39D34D2A"/>
    <w:rsid w:val="3A2168C2"/>
    <w:rsid w:val="3A34CEA8"/>
    <w:rsid w:val="3A5BC7C0"/>
    <w:rsid w:val="3A6C3B8E"/>
    <w:rsid w:val="3AA1FDBC"/>
    <w:rsid w:val="3AB0DF92"/>
    <w:rsid w:val="3AC6F29B"/>
    <w:rsid w:val="3B067F7A"/>
    <w:rsid w:val="3B23E3B6"/>
    <w:rsid w:val="3B25D1EB"/>
    <w:rsid w:val="3B570704"/>
    <w:rsid w:val="3B9745EB"/>
    <w:rsid w:val="3BA178A1"/>
    <w:rsid w:val="3BAA4AA0"/>
    <w:rsid w:val="3BD870DF"/>
    <w:rsid w:val="3BD93C63"/>
    <w:rsid w:val="3BE165AA"/>
    <w:rsid w:val="3BE985E3"/>
    <w:rsid w:val="3C126ECA"/>
    <w:rsid w:val="3C172F04"/>
    <w:rsid w:val="3C298C08"/>
    <w:rsid w:val="3C796D50"/>
    <w:rsid w:val="3C7A8291"/>
    <w:rsid w:val="3C886BD3"/>
    <w:rsid w:val="3C8F8D10"/>
    <w:rsid w:val="3CD831E5"/>
    <w:rsid w:val="3D0C8729"/>
    <w:rsid w:val="3D23B732"/>
    <w:rsid w:val="3D434969"/>
    <w:rsid w:val="3D6D88F8"/>
    <w:rsid w:val="3D744140"/>
    <w:rsid w:val="3DAE3F2B"/>
    <w:rsid w:val="3DAFEB72"/>
    <w:rsid w:val="3DD2B7AE"/>
    <w:rsid w:val="3DD57FF1"/>
    <w:rsid w:val="3DFDC142"/>
    <w:rsid w:val="3E090478"/>
    <w:rsid w:val="3E163568"/>
    <w:rsid w:val="3E23C907"/>
    <w:rsid w:val="3EA63F4E"/>
    <w:rsid w:val="3ECDA83E"/>
    <w:rsid w:val="3F3B1D33"/>
    <w:rsid w:val="3F4A0F8C"/>
    <w:rsid w:val="3F5E1393"/>
    <w:rsid w:val="3F72D8AF"/>
    <w:rsid w:val="3F8DD78B"/>
    <w:rsid w:val="3FBA2185"/>
    <w:rsid w:val="3FBB829A"/>
    <w:rsid w:val="3FD6AA2E"/>
    <w:rsid w:val="3FF75624"/>
    <w:rsid w:val="40063D9E"/>
    <w:rsid w:val="40098E75"/>
    <w:rsid w:val="4040EA11"/>
    <w:rsid w:val="406FA50A"/>
    <w:rsid w:val="40756E8E"/>
    <w:rsid w:val="40785A3A"/>
    <w:rsid w:val="407DE35F"/>
    <w:rsid w:val="409AFED2"/>
    <w:rsid w:val="40CAF736"/>
    <w:rsid w:val="411E74E6"/>
    <w:rsid w:val="4121F8F5"/>
    <w:rsid w:val="41362510"/>
    <w:rsid w:val="413AEBA7"/>
    <w:rsid w:val="414C876A"/>
    <w:rsid w:val="414DC83E"/>
    <w:rsid w:val="414F0D6D"/>
    <w:rsid w:val="41B3A4D9"/>
    <w:rsid w:val="41C6BB90"/>
    <w:rsid w:val="41CFD2AC"/>
    <w:rsid w:val="41D1B55A"/>
    <w:rsid w:val="41DB709B"/>
    <w:rsid w:val="41FD14AD"/>
    <w:rsid w:val="423128FF"/>
    <w:rsid w:val="423CB2E6"/>
    <w:rsid w:val="426AD06F"/>
    <w:rsid w:val="4274014C"/>
    <w:rsid w:val="428919B0"/>
    <w:rsid w:val="42950769"/>
    <w:rsid w:val="42AC3468"/>
    <w:rsid w:val="42C56C1E"/>
    <w:rsid w:val="42CAB528"/>
    <w:rsid w:val="431E128B"/>
    <w:rsid w:val="432BF678"/>
    <w:rsid w:val="433FD264"/>
    <w:rsid w:val="4354E06F"/>
    <w:rsid w:val="4368EBD7"/>
    <w:rsid w:val="4373EEE8"/>
    <w:rsid w:val="437D2369"/>
    <w:rsid w:val="4383B49D"/>
    <w:rsid w:val="439CE268"/>
    <w:rsid w:val="439F8FAB"/>
    <w:rsid w:val="43B58421"/>
    <w:rsid w:val="43CA5A67"/>
    <w:rsid w:val="43E18AB4"/>
    <w:rsid w:val="43E81149"/>
    <w:rsid w:val="43ED27C9"/>
    <w:rsid w:val="44305A9A"/>
    <w:rsid w:val="4437C0CD"/>
    <w:rsid w:val="44949290"/>
    <w:rsid w:val="44D3BA39"/>
    <w:rsid w:val="44DA721A"/>
    <w:rsid w:val="45347052"/>
    <w:rsid w:val="456386F5"/>
    <w:rsid w:val="45662AC8"/>
    <w:rsid w:val="4577882A"/>
    <w:rsid w:val="4578983F"/>
    <w:rsid w:val="45B3B70B"/>
    <w:rsid w:val="45B60D26"/>
    <w:rsid w:val="45B64A33"/>
    <w:rsid w:val="45BCB6DD"/>
    <w:rsid w:val="45CA8FBF"/>
    <w:rsid w:val="462E3F39"/>
    <w:rsid w:val="46D55437"/>
    <w:rsid w:val="46F20E46"/>
    <w:rsid w:val="47298444"/>
    <w:rsid w:val="474CEE3A"/>
    <w:rsid w:val="4751F446"/>
    <w:rsid w:val="4758BC2D"/>
    <w:rsid w:val="476141A8"/>
    <w:rsid w:val="47753B47"/>
    <w:rsid w:val="477AA8EB"/>
    <w:rsid w:val="47BAF7C9"/>
    <w:rsid w:val="47C46632"/>
    <w:rsid w:val="47E57A66"/>
    <w:rsid w:val="47ED16AA"/>
    <w:rsid w:val="48412F24"/>
    <w:rsid w:val="4850D8E5"/>
    <w:rsid w:val="48676204"/>
    <w:rsid w:val="486850A3"/>
    <w:rsid w:val="48A9A901"/>
    <w:rsid w:val="48CA7671"/>
    <w:rsid w:val="48E14406"/>
    <w:rsid w:val="48EDADE8"/>
    <w:rsid w:val="48F2D210"/>
    <w:rsid w:val="490967F7"/>
    <w:rsid w:val="492BAD94"/>
    <w:rsid w:val="493FBCA0"/>
    <w:rsid w:val="4959F67E"/>
    <w:rsid w:val="49655D03"/>
    <w:rsid w:val="4971EFFF"/>
    <w:rsid w:val="498BFA31"/>
    <w:rsid w:val="49A1F515"/>
    <w:rsid w:val="49A82957"/>
    <w:rsid w:val="49AF506B"/>
    <w:rsid w:val="49B522E2"/>
    <w:rsid w:val="49CA371C"/>
    <w:rsid w:val="49EC72C7"/>
    <w:rsid w:val="49ED447D"/>
    <w:rsid w:val="49EF3D75"/>
    <w:rsid w:val="4A1C3998"/>
    <w:rsid w:val="4A335B68"/>
    <w:rsid w:val="4A4ADA45"/>
    <w:rsid w:val="4A52CD13"/>
    <w:rsid w:val="4A7DCFDA"/>
    <w:rsid w:val="4A8E5525"/>
    <w:rsid w:val="4A99AD09"/>
    <w:rsid w:val="4AA4D4DF"/>
    <w:rsid w:val="4AA719BD"/>
    <w:rsid w:val="4AC1857B"/>
    <w:rsid w:val="4ACDEBA7"/>
    <w:rsid w:val="4AE5CCD1"/>
    <w:rsid w:val="4B41F506"/>
    <w:rsid w:val="4B74861F"/>
    <w:rsid w:val="4BA0E9A0"/>
    <w:rsid w:val="4BB63141"/>
    <w:rsid w:val="4BDA3D3C"/>
    <w:rsid w:val="4BDD59D2"/>
    <w:rsid w:val="4BFD8F98"/>
    <w:rsid w:val="4C0CDED0"/>
    <w:rsid w:val="4C1398B9"/>
    <w:rsid w:val="4C4836CA"/>
    <w:rsid w:val="4C62E292"/>
    <w:rsid w:val="4C647D46"/>
    <w:rsid w:val="4CD8CE45"/>
    <w:rsid w:val="4CF3630F"/>
    <w:rsid w:val="4D0DB0BC"/>
    <w:rsid w:val="4D2DC71A"/>
    <w:rsid w:val="4D611CCC"/>
    <w:rsid w:val="4D9D0EA3"/>
    <w:rsid w:val="4DABBDA9"/>
    <w:rsid w:val="4DB0A409"/>
    <w:rsid w:val="4E250E1B"/>
    <w:rsid w:val="4E315136"/>
    <w:rsid w:val="4E5F388C"/>
    <w:rsid w:val="4E62F041"/>
    <w:rsid w:val="4EACC7C9"/>
    <w:rsid w:val="4EB184C1"/>
    <w:rsid w:val="4EF57441"/>
    <w:rsid w:val="4EFCC161"/>
    <w:rsid w:val="4F2F0998"/>
    <w:rsid w:val="4F58C293"/>
    <w:rsid w:val="4F6B55F6"/>
    <w:rsid w:val="4F7FD568"/>
    <w:rsid w:val="4F8CAC73"/>
    <w:rsid w:val="4F94F979"/>
    <w:rsid w:val="4FA1D046"/>
    <w:rsid w:val="4FA4FCC1"/>
    <w:rsid w:val="4FB0CE64"/>
    <w:rsid w:val="4FB26961"/>
    <w:rsid w:val="4FD81009"/>
    <w:rsid w:val="4FF78D08"/>
    <w:rsid w:val="501E179F"/>
    <w:rsid w:val="5095FE31"/>
    <w:rsid w:val="50B10B2C"/>
    <w:rsid w:val="50CA2CBA"/>
    <w:rsid w:val="50F9C038"/>
    <w:rsid w:val="50FB4C45"/>
    <w:rsid w:val="5110559F"/>
    <w:rsid w:val="5163C36E"/>
    <w:rsid w:val="51AADD50"/>
    <w:rsid w:val="51B5BE22"/>
    <w:rsid w:val="51D25445"/>
    <w:rsid w:val="51F3AF53"/>
    <w:rsid w:val="51FE7DA7"/>
    <w:rsid w:val="522D1503"/>
    <w:rsid w:val="5266066F"/>
    <w:rsid w:val="527E001A"/>
    <w:rsid w:val="52B50C69"/>
    <w:rsid w:val="5349AF4A"/>
    <w:rsid w:val="538382F6"/>
    <w:rsid w:val="53908DAE"/>
    <w:rsid w:val="53944C99"/>
    <w:rsid w:val="53B40B9E"/>
    <w:rsid w:val="53C17DCC"/>
    <w:rsid w:val="53F85060"/>
    <w:rsid w:val="5418EC2B"/>
    <w:rsid w:val="5439BC73"/>
    <w:rsid w:val="5444EBCC"/>
    <w:rsid w:val="54765EE4"/>
    <w:rsid w:val="54A37DB9"/>
    <w:rsid w:val="54B81E88"/>
    <w:rsid w:val="54C5C974"/>
    <w:rsid w:val="54CC6F4E"/>
    <w:rsid w:val="54FF4CB6"/>
    <w:rsid w:val="5537113C"/>
    <w:rsid w:val="55399E62"/>
    <w:rsid w:val="55E99956"/>
    <w:rsid w:val="55EB2223"/>
    <w:rsid w:val="55F41F5E"/>
    <w:rsid w:val="5618012A"/>
    <w:rsid w:val="56413151"/>
    <w:rsid w:val="5658544D"/>
    <w:rsid w:val="566A6D79"/>
    <w:rsid w:val="56EBBA3B"/>
    <w:rsid w:val="57C41DA5"/>
    <w:rsid w:val="57C49057"/>
    <w:rsid w:val="57E4A5CF"/>
    <w:rsid w:val="57E9B8DB"/>
    <w:rsid w:val="57EF1CD0"/>
    <w:rsid w:val="58877CC1"/>
    <w:rsid w:val="58910132"/>
    <w:rsid w:val="590BBF38"/>
    <w:rsid w:val="592D4127"/>
    <w:rsid w:val="59539AA8"/>
    <w:rsid w:val="599FE071"/>
    <w:rsid w:val="59A0A55E"/>
    <w:rsid w:val="59A7B247"/>
    <w:rsid w:val="59D6DEBB"/>
    <w:rsid w:val="59F038CF"/>
    <w:rsid w:val="5A0D0F85"/>
    <w:rsid w:val="5A323844"/>
    <w:rsid w:val="5A3F5E16"/>
    <w:rsid w:val="5A4B985A"/>
    <w:rsid w:val="5AC71D75"/>
    <w:rsid w:val="5B1159BF"/>
    <w:rsid w:val="5B3284A2"/>
    <w:rsid w:val="5B6688A9"/>
    <w:rsid w:val="5B7AB3FC"/>
    <w:rsid w:val="5B91D073"/>
    <w:rsid w:val="5BBF1D83"/>
    <w:rsid w:val="5BD62D1B"/>
    <w:rsid w:val="5C0C8329"/>
    <w:rsid w:val="5C30B0A1"/>
    <w:rsid w:val="5C34A946"/>
    <w:rsid w:val="5C4ECD50"/>
    <w:rsid w:val="5C517A18"/>
    <w:rsid w:val="5C522064"/>
    <w:rsid w:val="5C6E3886"/>
    <w:rsid w:val="5C8840D4"/>
    <w:rsid w:val="5C91FFCB"/>
    <w:rsid w:val="5C9571C4"/>
    <w:rsid w:val="5CFC26D2"/>
    <w:rsid w:val="5D06509A"/>
    <w:rsid w:val="5D1173A7"/>
    <w:rsid w:val="5D1950F4"/>
    <w:rsid w:val="5D5AEDE4"/>
    <w:rsid w:val="5D6FB6FE"/>
    <w:rsid w:val="5D733F16"/>
    <w:rsid w:val="5D814731"/>
    <w:rsid w:val="5DDE6C4B"/>
    <w:rsid w:val="5DEDE676"/>
    <w:rsid w:val="5E11335C"/>
    <w:rsid w:val="5E3088DD"/>
    <w:rsid w:val="5E38733A"/>
    <w:rsid w:val="5E3ABEF6"/>
    <w:rsid w:val="5E8F24A2"/>
    <w:rsid w:val="5EA62EFC"/>
    <w:rsid w:val="5EBA2727"/>
    <w:rsid w:val="5F2414B3"/>
    <w:rsid w:val="5F246616"/>
    <w:rsid w:val="5F380C99"/>
    <w:rsid w:val="5F404A42"/>
    <w:rsid w:val="5F47A7A4"/>
    <w:rsid w:val="5F6B5153"/>
    <w:rsid w:val="5F7B00BC"/>
    <w:rsid w:val="5FCBC50F"/>
    <w:rsid w:val="5FD715C4"/>
    <w:rsid w:val="5FE828D2"/>
    <w:rsid w:val="6018919D"/>
    <w:rsid w:val="603EC97D"/>
    <w:rsid w:val="6041FF5D"/>
    <w:rsid w:val="604342B4"/>
    <w:rsid w:val="6062EAE5"/>
    <w:rsid w:val="60715630"/>
    <w:rsid w:val="60894CE3"/>
    <w:rsid w:val="608C7335"/>
    <w:rsid w:val="60A3E702"/>
    <w:rsid w:val="60B78783"/>
    <w:rsid w:val="6116D11D"/>
    <w:rsid w:val="61215124"/>
    <w:rsid w:val="615B2F29"/>
    <w:rsid w:val="61A94DD5"/>
    <w:rsid w:val="61DC80FD"/>
    <w:rsid w:val="6214BC4E"/>
    <w:rsid w:val="622DE6F3"/>
    <w:rsid w:val="623490FA"/>
    <w:rsid w:val="6272AFC7"/>
    <w:rsid w:val="6275F554"/>
    <w:rsid w:val="628084DD"/>
    <w:rsid w:val="6304B348"/>
    <w:rsid w:val="631214C5"/>
    <w:rsid w:val="632040F0"/>
    <w:rsid w:val="6332414D"/>
    <w:rsid w:val="634F5E8E"/>
    <w:rsid w:val="63663A20"/>
    <w:rsid w:val="638193F7"/>
    <w:rsid w:val="639E991F"/>
    <w:rsid w:val="63CA2F68"/>
    <w:rsid w:val="63D5668C"/>
    <w:rsid w:val="64072905"/>
    <w:rsid w:val="6455C6AC"/>
    <w:rsid w:val="6455FC8E"/>
    <w:rsid w:val="648E8C61"/>
    <w:rsid w:val="649C5662"/>
    <w:rsid w:val="64E66856"/>
    <w:rsid w:val="64EFB61F"/>
    <w:rsid w:val="64F83A22"/>
    <w:rsid w:val="6508FA5B"/>
    <w:rsid w:val="65310961"/>
    <w:rsid w:val="654234D2"/>
    <w:rsid w:val="6544C753"/>
    <w:rsid w:val="6551EBED"/>
    <w:rsid w:val="65563BDD"/>
    <w:rsid w:val="6565806D"/>
    <w:rsid w:val="658167FC"/>
    <w:rsid w:val="65DE9759"/>
    <w:rsid w:val="65ECADDC"/>
    <w:rsid w:val="660B9AF0"/>
    <w:rsid w:val="6610DA07"/>
    <w:rsid w:val="661184A5"/>
    <w:rsid w:val="668E2856"/>
    <w:rsid w:val="66D26A30"/>
    <w:rsid w:val="6701D02A"/>
    <w:rsid w:val="67458AA7"/>
    <w:rsid w:val="674AAF75"/>
    <w:rsid w:val="6765E5F6"/>
    <w:rsid w:val="67742FF6"/>
    <w:rsid w:val="6775660D"/>
    <w:rsid w:val="677B67E2"/>
    <w:rsid w:val="67AAE9F0"/>
    <w:rsid w:val="67F253EF"/>
    <w:rsid w:val="67F2A604"/>
    <w:rsid w:val="67FA7BA1"/>
    <w:rsid w:val="680C6FB3"/>
    <w:rsid w:val="6810CAD9"/>
    <w:rsid w:val="6823AA2D"/>
    <w:rsid w:val="6847BC30"/>
    <w:rsid w:val="6862A1A2"/>
    <w:rsid w:val="6863F121"/>
    <w:rsid w:val="68824213"/>
    <w:rsid w:val="68A64C7A"/>
    <w:rsid w:val="692C0053"/>
    <w:rsid w:val="693DF7E9"/>
    <w:rsid w:val="693F8127"/>
    <w:rsid w:val="6945733E"/>
    <w:rsid w:val="694E55A5"/>
    <w:rsid w:val="69AA0D0E"/>
    <w:rsid w:val="69AE5BD4"/>
    <w:rsid w:val="69ED38A1"/>
    <w:rsid w:val="69FB7844"/>
    <w:rsid w:val="6A2AAF7F"/>
    <w:rsid w:val="6A3539CE"/>
    <w:rsid w:val="6A4E7950"/>
    <w:rsid w:val="6A95509E"/>
    <w:rsid w:val="6ACDC1A8"/>
    <w:rsid w:val="6AE28AB2"/>
    <w:rsid w:val="6B0B2579"/>
    <w:rsid w:val="6B2A94C4"/>
    <w:rsid w:val="6B3EC253"/>
    <w:rsid w:val="6B7713AD"/>
    <w:rsid w:val="6B829080"/>
    <w:rsid w:val="6B952CCB"/>
    <w:rsid w:val="6B9ACAF3"/>
    <w:rsid w:val="6BBCEB36"/>
    <w:rsid w:val="6BFCF3C1"/>
    <w:rsid w:val="6C123F8B"/>
    <w:rsid w:val="6C160AAE"/>
    <w:rsid w:val="6C37E2D3"/>
    <w:rsid w:val="6C4E99A7"/>
    <w:rsid w:val="6C779392"/>
    <w:rsid w:val="6C7FD778"/>
    <w:rsid w:val="6C9B2F68"/>
    <w:rsid w:val="6C9DA094"/>
    <w:rsid w:val="6CBEDC3F"/>
    <w:rsid w:val="6CC4EC70"/>
    <w:rsid w:val="6D00E288"/>
    <w:rsid w:val="6D208265"/>
    <w:rsid w:val="6D29B342"/>
    <w:rsid w:val="6D47191D"/>
    <w:rsid w:val="6D4A3F96"/>
    <w:rsid w:val="6D592BEF"/>
    <w:rsid w:val="6D6DF7A8"/>
    <w:rsid w:val="6D76121B"/>
    <w:rsid w:val="6D9FD910"/>
    <w:rsid w:val="6E0C18CA"/>
    <w:rsid w:val="6E277B3A"/>
    <w:rsid w:val="6E60BCD1"/>
    <w:rsid w:val="6E65A9BE"/>
    <w:rsid w:val="6E73CCE9"/>
    <w:rsid w:val="6E9453C2"/>
    <w:rsid w:val="6EB46828"/>
    <w:rsid w:val="6EFCFE1D"/>
    <w:rsid w:val="6EFD3E3C"/>
    <w:rsid w:val="6F6D715A"/>
    <w:rsid w:val="6F80D0CC"/>
    <w:rsid w:val="6FA863DA"/>
    <w:rsid w:val="6FB015B9"/>
    <w:rsid w:val="6FB89FBD"/>
    <w:rsid w:val="6FBAA251"/>
    <w:rsid w:val="6FC76C5E"/>
    <w:rsid w:val="6FF46DC5"/>
    <w:rsid w:val="703547D7"/>
    <w:rsid w:val="7099365C"/>
    <w:rsid w:val="70A8CAE3"/>
    <w:rsid w:val="71222E4D"/>
    <w:rsid w:val="71284ACC"/>
    <w:rsid w:val="712A656E"/>
    <w:rsid w:val="713F610C"/>
    <w:rsid w:val="71B5B633"/>
    <w:rsid w:val="71C2B47D"/>
    <w:rsid w:val="720057A0"/>
    <w:rsid w:val="726DA442"/>
    <w:rsid w:val="72721750"/>
    <w:rsid w:val="727C4675"/>
    <w:rsid w:val="728E94F5"/>
    <w:rsid w:val="72BE0375"/>
    <w:rsid w:val="72F6A8D4"/>
    <w:rsid w:val="730C3091"/>
    <w:rsid w:val="7321BEB5"/>
    <w:rsid w:val="7374FE54"/>
    <w:rsid w:val="738CE997"/>
    <w:rsid w:val="738FC3E9"/>
    <w:rsid w:val="739A0958"/>
    <w:rsid w:val="73A89C06"/>
    <w:rsid w:val="73B638C1"/>
    <w:rsid w:val="73B9BCB7"/>
    <w:rsid w:val="73F2ACFF"/>
    <w:rsid w:val="742E678D"/>
    <w:rsid w:val="74419DA2"/>
    <w:rsid w:val="746A5E7F"/>
    <w:rsid w:val="74927935"/>
    <w:rsid w:val="749817E2"/>
    <w:rsid w:val="74E9CE28"/>
    <w:rsid w:val="752B4F77"/>
    <w:rsid w:val="753F303F"/>
    <w:rsid w:val="75524CA3"/>
    <w:rsid w:val="7584D7AB"/>
    <w:rsid w:val="7597835D"/>
    <w:rsid w:val="759D8324"/>
    <w:rsid w:val="75C0A5BE"/>
    <w:rsid w:val="75CCE2D7"/>
    <w:rsid w:val="7630AE47"/>
    <w:rsid w:val="76429B7E"/>
    <w:rsid w:val="764B2E16"/>
    <w:rsid w:val="76848D2C"/>
    <w:rsid w:val="768820B9"/>
    <w:rsid w:val="769DBEA9"/>
    <w:rsid w:val="76A894CD"/>
    <w:rsid w:val="76B18376"/>
    <w:rsid w:val="76B629D4"/>
    <w:rsid w:val="76F4938D"/>
    <w:rsid w:val="771581AD"/>
    <w:rsid w:val="77218D84"/>
    <w:rsid w:val="778377BE"/>
    <w:rsid w:val="779D93A2"/>
    <w:rsid w:val="77AA3AE4"/>
    <w:rsid w:val="781957BA"/>
    <w:rsid w:val="784326DE"/>
    <w:rsid w:val="78460FCA"/>
    <w:rsid w:val="784898FB"/>
    <w:rsid w:val="7849F471"/>
    <w:rsid w:val="78C7FBF5"/>
    <w:rsid w:val="78C8E2CB"/>
    <w:rsid w:val="78CC6C6E"/>
    <w:rsid w:val="78DB6951"/>
    <w:rsid w:val="78E375A4"/>
    <w:rsid w:val="78FCF753"/>
    <w:rsid w:val="792DFFAC"/>
    <w:rsid w:val="794B64C6"/>
    <w:rsid w:val="79562CB4"/>
    <w:rsid w:val="7998C377"/>
    <w:rsid w:val="79AC35A0"/>
    <w:rsid w:val="79D04D94"/>
    <w:rsid w:val="79E96F22"/>
    <w:rsid w:val="7A11F652"/>
    <w:rsid w:val="7A6D8DA0"/>
    <w:rsid w:val="7AB50196"/>
    <w:rsid w:val="7AB681F7"/>
    <w:rsid w:val="7AC3FAA7"/>
    <w:rsid w:val="7ADE6061"/>
    <w:rsid w:val="7AE88D9F"/>
    <w:rsid w:val="7AEB67BA"/>
    <w:rsid w:val="7AF9D8B0"/>
    <w:rsid w:val="7AFB6FB1"/>
    <w:rsid w:val="7B19D7A0"/>
    <w:rsid w:val="7B1FE788"/>
    <w:rsid w:val="7B51E233"/>
    <w:rsid w:val="7B86DF1B"/>
    <w:rsid w:val="7B9B3B02"/>
    <w:rsid w:val="7BAC2ECE"/>
    <w:rsid w:val="7BB3E7D9"/>
    <w:rsid w:val="7BC89C63"/>
    <w:rsid w:val="7BCAACFE"/>
    <w:rsid w:val="7C13F45A"/>
    <w:rsid w:val="7C6390DF"/>
    <w:rsid w:val="7C68192E"/>
    <w:rsid w:val="7C68D718"/>
    <w:rsid w:val="7C752AB2"/>
    <w:rsid w:val="7C8FC087"/>
    <w:rsid w:val="7CFB3BB1"/>
    <w:rsid w:val="7D0548CC"/>
    <w:rsid w:val="7D0D5BFE"/>
    <w:rsid w:val="7D0ED3CE"/>
    <w:rsid w:val="7D1BE885"/>
    <w:rsid w:val="7D1D7DD2"/>
    <w:rsid w:val="7D825643"/>
    <w:rsid w:val="7D862FDC"/>
    <w:rsid w:val="7DD20827"/>
    <w:rsid w:val="7DEBC3D3"/>
    <w:rsid w:val="7E1140C5"/>
    <w:rsid w:val="7E152ADF"/>
    <w:rsid w:val="7E1C7A0E"/>
    <w:rsid w:val="7E24C37C"/>
    <w:rsid w:val="7E3D6941"/>
    <w:rsid w:val="7E4C9966"/>
    <w:rsid w:val="7E86358C"/>
    <w:rsid w:val="7E9092A9"/>
    <w:rsid w:val="7E9884D2"/>
    <w:rsid w:val="7EAC52FB"/>
    <w:rsid w:val="7EB3082B"/>
    <w:rsid w:val="7F17F398"/>
    <w:rsid w:val="7F2AD555"/>
    <w:rsid w:val="7F2AF35F"/>
    <w:rsid w:val="7F41A120"/>
    <w:rsid w:val="7F5E9930"/>
    <w:rsid w:val="7F7D3ED8"/>
    <w:rsid w:val="7F7D8122"/>
    <w:rsid w:val="7F861DFD"/>
    <w:rsid w:val="7F9B31A1"/>
    <w:rsid w:val="7FC24FEF"/>
    <w:rsid w:val="7FC60733"/>
    <w:rsid w:val="7FCE1786"/>
    <w:rsid w:val="7FD05567"/>
    <w:rsid w:val="7FD89FEB"/>
    <w:rsid w:val="7FF00B2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C17DE1"/>
  <w15:docId w15:val="{2940FCB0-8ACF-455D-8FAE-B6B66657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6689"/>
    <w:rPr>
      <w:rFonts w:ascii="Arial" w:hAnsi="Arial"/>
      <w:lang w:eastAsia="en-US"/>
    </w:rPr>
  </w:style>
  <w:style w:type="paragraph" w:styleId="Heading1">
    <w:name w:val="heading 1"/>
    <w:next w:val="DHHSbody"/>
    <w:link w:val="Heading1Char"/>
    <w:uiPriority w:val="1"/>
    <w:qFormat/>
    <w:rsid w:val="00B13241"/>
    <w:pPr>
      <w:keepNext/>
      <w:keepLines/>
      <w:numPr>
        <w:numId w:val="5"/>
      </w:numPr>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basedOn w:val="DHHSbody"/>
    <w:next w:val="DHHSbody"/>
    <w:link w:val="Heading5Char"/>
    <w:uiPriority w:val="9"/>
    <w:qFormat/>
    <w:rsid w:val="0047366B"/>
    <w:pPr>
      <w:keepNext/>
      <w:spacing w:before="12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eastAsia="MS Gothic"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47366B"/>
    <w:rPr>
      <w:rFonts w:ascii="Arial" w:eastAsia="Times" w:hAnsi="Arial"/>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3"/>
      </w:numPr>
      <w:spacing w:after="40"/>
    </w:pPr>
  </w:style>
  <w:style w:type="paragraph" w:customStyle="1" w:styleId="DHHSnumberloweralpha">
    <w:name w:val="DHHS number lower alpha"/>
    <w:basedOn w:val="DHHSbody"/>
    <w:uiPriority w:val="3"/>
    <w:rsid w:val="00CF7CB6"/>
    <w:pPr>
      <w:numPr>
        <w:ilvl w:val="2"/>
        <w:numId w:val="4"/>
      </w:numPr>
    </w:pPr>
  </w:style>
  <w:style w:type="paragraph" w:customStyle="1" w:styleId="DHHSnumberloweralphaindent">
    <w:name w:val="DHHS number lower alpha indent"/>
    <w:basedOn w:val="DHHSbody"/>
    <w:uiPriority w:val="3"/>
    <w:rsid w:val="00CF7CB6"/>
    <w:pPr>
      <w:numPr>
        <w:ilvl w:val="3"/>
        <w:numId w:val="4"/>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3"/>
      </w:numPr>
      <w:spacing w:after="40"/>
    </w:pPr>
  </w:style>
  <w:style w:type="paragraph" w:customStyle="1" w:styleId="DHHSheader">
    <w:name w:val="DHHS header"/>
    <w:basedOn w:val="DHHSfooter"/>
    <w:uiPriority w:val="11"/>
    <w:rsid w:val="00E969B1"/>
  </w:style>
  <w:style w:type="character" w:styleId="Strong">
    <w:name w:val="Strong"/>
    <w:uiPriority w:val="22"/>
    <w:qFormat/>
    <w:rsid w:val="00186689"/>
    <w:rPr>
      <w:rFonts w:ascii="Arial" w:hAnsi="Arial"/>
      <w:b/>
      <w:bCs/>
      <w:i w:val="0"/>
    </w:rPr>
  </w:style>
  <w:style w:type="paragraph" w:customStyle="1" w:styleId="DHHSnumberdigit">
    <w:name w:val="DHHS number digit"/>
    <w:basedOn w:val="DHHSbody"/>
    <w:uiPriority w:val="2"/>
    <w:rsid w:val="00CF7CB6"/>
    <w:pPr>
      <w:numPr>
        <w:numId w:val="4"/>
      </w:numPr>
    </w:pPr>
  </w:style>
  <w:style w:type="paragraph" w:customStyle="1" w:styleId="DHHStablecolhead">
    <w:name w:val="DHHS table col head"/>
    <w:uiPriority w:val="99"/>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3"/>
      </w:numPr>
    </w:pPr>
  </w:style>
  <w:style w:type="paragraph" w:customStyle="1" w:styleId="DHHSTOCheadingreport">
    <w:name w:val="DHHS TOC heading report"/>
    <w:basedOn w:val="Heading1"/>
    <w:link w:val="DHHSTOCheadingreportChar"/>
    <w:uiPriority w:val="5"/>
    <w:rsid w:val="00040F27"/>
    <w:pPr>
      <w:spacing w:before="0"/>
      <w:outlineLvl w:val="9"/>
    </w:pPr>
  </w:style>
  <w:style w:type="character" w:customStyle="1" w:styleId="DHHSTOCheadingreportChar">
    <w:name w:val="DHHS TOC heading report Char"/>
    <w:link w:val="DHHSTOCheadingreport"/>
    <w:uiPriority w:val="5"/>
    <w:rsid w:val="00040F27"/>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3"/>
      </w:numPr>
    </w:pPr>
  </w:style>
  <w:style w:type="paragraph" w:customStyle="1" w:styleId="DHHSbulletindent">
    <w:name w:val="DHHS bullet indent"/>
    <w:basedOn w:val="DHHSbody"/>
    <w:uiPriority w:val="4"/>
    <w:rsid w:val="00CF7CB6"/>
    <w:pPr>
      <w:numPr>
        <w:ilvl w:val="4"/>
        <w:numId w:val="3"/>
      </w:numPr>
      <w:spacing w:after="40"/>
    </w:pPr>
  </w:style>
  <w:style w:type="paragraph" w:customStyle="1" w:styleId="DHHSbulletindentlastline">
    <w:name w:val="DHHS bullet indent last line"/>
    <w:basedOn w:val="DHHSbody"/>
    <w:uiPriority w:val="4"/>
    <w:rsid w:val="00CF7CB6"/>
    <w:pPr>
      <w:numPr>
        <w:ilvl w:val="5"/>
        <w:numId w:val="3"/>
      </w:numPr>
    </w:pPr>
  </w:style>
  <w:style w:type="numbering" w:customStyle="1" w:styleId="ZZNumbers">
    <w:name w:val="ZZ Numbers"/>
    <w:rsid w:val="00CF7CB6"/>
    <w:pPr>
      <w:numPr>
        <w:numId w:val="4"/>
      </w:numPr>
    </w:pPr>
  </w:style>
  <w:style w:type="paragraph" w:customStyle="1" w:styleId="DHHSnumberlowerroman">
    <w:name w:val="DHHS number lower roman"/>
    <w:basedOn w:val="DHHSbody"/>
    <w:uiPriority w:val="3"/>
    <w:rsid w:val="00CF7CB6"/>
    <w:pPr>
      <w:numPr>
        <w:ilvl w:val="4"/>
        <w:numId w:val="4"/>
      </w:numPr>
    </w:pPr>
  </w:style>
  <w:style w:type="paragraph" w:customStyle="1" w:styleId="DHHSnumberlowerromanindent">
    <w:name w:val="DHHS number lower roman indent"/>
    <w:basedOn w:val="DHHSbody"/>
    <w:uiPriority w:val="3"/>
    <w:rsid w:val="00CF7CB6"/>
    <w:pPr>
      <w:numPr>
        <w:ilvl w:val="5"/>
        <w:numId w:val="4"/>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link w:val="DHHSbody"/>
    <w:rsid w:val="00906B70"/>
    <w:rPr>
      <w:rFonts w:ascii="Arial" w:eastAsia="Times" w:hAnsi="Arial"/>
      <w:lang w:eastAsia="en-US"/>
    </w:rPr>
  </w:style>
  <w:style w:type="paragraph" w:styleId="BalloonText">
    <w:name w:val="Balloon Text"/>
    <w:basedOn w:val="Normal"/>
    <w:link w:val="BalloonTextChar"/>
    <w:uiPriority w:val="99"/>
    <w:semiHidden/>
    <w:unhideWhenUsed/>
    <w:rsid w:val="00B7649E"/>
    <w:rPr>
      <w:rFonts w:ascii="Tahoma" w:hAnsi="Tahoma" w:cs="Tahoma"/>
      <w:sz w:val="16"/>
      <w:szCs w:val="16"/>
    </w:rPr>
  </w:style>
  <w:style w:type="character" w:customStyle="1" w:styleId="BalloonTextChar">
    <w:name w:val="Balloon Text Char"/>
    <w:basedOn w:val="DefaultParagraphFont"/>
    <w:link w:val="BalloonText"/>
    <w:uiPriority w:val="99"/>
    <w:semiHidden/>
    <w:rsid w:val="00B7649E"/>
    <w:rPr>
      <w:rFonts w:ascii="Tahoma" w:hAnsi="Tahoma" w:cs="Tahoma"/>
      <w:sz w:val="16"/>
      <w:szCs w:val="16"/>
      <w:lang w:eastAsia="en-US"/>
    </w:rPr>
  </w:style>
  <w:style w:type="paragraph" w:styleId="ListParagraph">
    <w:name w:val="List Paragraph"/>
    <w:aliases w:val="Recommendation"/>
    <w:basedOn w:val="Normal"/>
    <w:link w:val="ListParagraphChar"/>
    <w:uiPriority w:val="34"/>
    <w:qFormat/>
    <w:rsid w:val="00E13625"/>
    <w:pPr>
      <w:ind w:left="720"/>
      <w:contextualSpacing/>
    </w:pPr>
  </w:style>
  <w:style w:type="paragraph" w:styleId="BodyText">
    <w:name w:val="Body Text"/>
    <w:basedOn w:val="Normal"/>
    <w:link w:val="BodyTextChar"/>
    <w:uiPriority w:val="99"/>
    <w:unhideWhenUsed/>
    <w:rsid w:val="00186689"/>
    <w:pPr>
      <w:spacing w:after="120"/>
    </w:pPr>
  </w:style>
  <w:style w:type="character" w:customStyle="1" w:styleId="BodyTextChar">
    <w:name w:val="Body Text Char"/>
    <w:basedOn w:val="DefaultParagraphFont"/>
    <w:link w:val="BodyText"/>
    <w:uiPriority w:val="99"/>
    <w:rsid w:val="00186689"/>
    <w:rPr>
      <w:rFonts w:ascii="Cambria" w:hAnsi="Cambria"/>
      <w:lang w:eastAsia="en-US"/>
    </w:rPr>
  </w:style>
  <w:style w:type="character" w:styleId="CommentReference">
    <w:name w:val="annotation reference"/>
    <w:basedOn w:val="DefaultParagraphFont"/>
    <w:uiPriority w:val="99"/>
    <w:semiHidden/>
    <w:unhideWhenUsed/>
    <w:rsid w:val="005F63D2"/>
    <w:rPr>
      <w:sz w:val="16"/>
      <w:szCs w:val="16"/>
    </w:rPr>
  </w:style>
  <w:style w:type="paragraph" w:styleId="CommentText">
    <w:name w:val="annotation text"/>
    <w:basedOn w:val="Normal"/>
    <w:link w:val="CommentTextChar"/>
    <w:uiPriority w:val="99"/>
    <w:unhideWhenUsed/>
    <w:rsid w:val="005F63D2"/>
  </w:style>
  <w:style w:type="character" w:customStyle="1" w:styleId="CommentTextChar">
    <w:name w:val="Comment Text Char"/>
    <w:basedOn w:val="DefaultParagraphFont"/>
    <w:link w:val="CommentText"/>
    <w:uiPriority w:val="99"/>
    <w:rsid w:val="005F63D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63D2"/>
    <w:rPr>
      <w:b/>
      <w:bCs/>
    </w:rPr>
  </w:style>
  <w:style w:type="character" w:customStyle="1" w:styleId="CommentSubjectChar">
    <w:name w:val="Comment Subject Char"/>
    <w:basedOn w:val="CommentTextChar"/>
    <w:link w:val="CommentSubject"/>
    <w:uiPriority w:val="99"/>
    <w:semiHidden/>
    <w:rsid w:val="005F63D2"/>
    <w:rPr>
      <w:rFonts w:ascii="Arial" w:hAnsi="Arial"/>
      <w:b/>
      <w:bCs/>
      <w:lang w:eastAsia="en-US"/>
    </w:rPr>
  </w:style>
  <w:style w:type="paragraph" w:customStyle="1" w:styleId="Heading1NoNumber">
    <w:name w:val="Heading1NoNumber"/>
    <w:basedOn w:val="Heading1"/>
    <w:rsid w:val="0047366B"/>
    <w:pPr>
      <w:numPr>
        <w:numId w:val="0"/>
      </w:numPr>
    </w:pPr>
  </w:style>
  <w:style w:type="character" w:customStyle="1" w:styleId="ListParagraphChar">
    <w:name w:val="List Paragraph Char"/>
    <w:aliases w:val="Recommendation Char"/>
    <w:basedOn w:val="DefaultParagraphFont"/>
    <w:link w:val="ListParagraph"/>
    <w:uiPriority w:val="34"/>
    <w:locked/>
    <w:rsid w:val="000454AB"/>
    <w:rPr>
      <w:rFonts w:ascii="Arial" w:hAnsi="Arial"/>
      <w:lang w:eastAsia="en-US"/>
    </w:rPr>
  </w:style>
  <w:style w:type="paragraph" w:styleId="Revision">
    <w:name w:val="Revision"/>
    <w:hidden/>
    <w:uiPriority w:val="71"/>
    <w:rsid w:val="002A1CD9"/>
    <w:rPr>
      <w:rFonts w:ascii="Arial" w:hAnsi="Arial"/>
      <w:lang w:eastAsia="en-US"/>
    </w:rPr>
  </w:style>
  <w:style w:type="paragraph" w:customStyle="1" w:styleId="Default">
    <w:name w:val="Default"/>
    <w:rsid w:val="000669E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E1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5269">
      <w:bodyDiv w:val="1"/>
      <w:marLeft w:val="0"/>
      <w:marRight w:val="0"/>
      <w:marTop w:val="0"/>
      <w:marBottom w:val="0"/>
      <w:divBdr>
        <w:top w:val="none" w:sz="0" w:space="0" w:color="auto"/>
        <w:left w:val="none" w:sz="0" w:space="0" w:color="auto"/>
        <w:bottom w:val="none" w:sz="0" w:space="0" w:color="auto"/>
        <w:right w:val="none" w:sz="0" w:space="0" w:color="auto"/>
      </w:divBdr>
      <w:divsChild>
        <w:div w:id="1582058318">
          <w:marLeft w:val="0"/>
          <w:marRight w:val="0"/>
          <w:marTop w:val="0"/>
          <w:marBottom w:val="0"/>
          <w:divBdr>
            <w:top w:val="none" w:sz="0" w:space="0" w:color="auto"/>
            <w:left w:val="none" w:sz="0" w:space="0" w:color="auto"/>
            <w:bottom w:val="none" w:sz="0" w:space="0" w:color="auto"/>
            <w:right w:val="none" w:sz="0" w:space="0" w:color="auto"/>
          </w:divBdr>
          <w:divsChild>
            <w:div w:id="341052492">
              <w:marLeft w:val="0"/>
              <w:marRight w:val="0"/>
              <w:marTop w:val="0"/>
              <w:marBottom w:val="0"/>
              <w:divBdr>
                <w:top w:val="none" w:sz="0" w:space="0" w:color="auto"/>
                <w:left w:val="none" w:sz="0" w:space="0" w:color="auto"/>
                <w:bottom w:val="none" w:sz="0" w:space="0" w:color="auto"/>
                <w:right w:val="none" w:sz="0" w:space="0" w:color="auto"/>
              </w:divBdr>
              <w:divsChild>
                <w:div w:id="472523989">
                  <w:marLeft w:val="0"/>
                  <w:marRight w:val="0"/>
                  <w:marTop w:val="0"/>
                  <w:marBottom w:val="0"/>
                  <w:divBdr>
                    <w:top w:val="none" w:sz="0" w:space="0" w:color="auto"/>
                    <w:left w:val="none" w:sz="0" w:space="0" w:color="auto"/>
                    <w:bottom w:val="none" w:sz="0" w:space="0" w:color="auto"/>
                    <w:right w:val="none" w:sz="0" w:space="0" w:color="auto"/>
                  </w:divBdr>
                  <w:divsChild>
                    <w:div w:id="2006010676">
                      <w:marLeft w:val="0"/>
                      <w:marRight w:val="0"/>
                      <w:marTop w:val="0"/>
                      <w:marBottom w:val="0"/>
                      <w:divBdr>
                        <w:top w:val="none" w:sz="0" w:space="0" w:color="auto"/>
                        <w:left w:val="none" w:sz="0" w:space="0" w:color="auto"/>
                        <w:bottom w:val="none" w:sz="0" w:space="0" w:color="auto"/>
                        <w:right w:val="none" w:sz="0" w:space="0" w:color="auto"/>
                      </w:divBdr>
                      <w:divsChild>
                        <w:div w:id="111167890">
                          <w:marLeft w:val="0"/>
                          <w:marRight w:val="0"/>
                          <w:marTop w:val="0"/>
                          <w:marBottom w:val="0"/>
                          <w:divBdr>
                            <w:top w:val="none" w:sz="0" w:space="0" w:color="auto"/>
                            <w:left w:val="none" w:sz="0" w:space="0" w:color="auto"/>
                            <w:bottom w:val="none" w:sz="0" w:space="0" w:color="auto"/>
                            <w:right w:val="none" w:sz="0" w:space="0" w:color="auto"/>
                          </w:divBdr>
                          <w:divsChild>
                            <w:div w:id="23992759">
                              <w:marLeft w:val="0"/>
                              <w:marRight w:val="0"/>
                              <w:marTop w:val="0"/>
                              <w:marBottom w:val="0"/>
                              <w:divBdr>
                                <w:top w:val="none" w:sz="0" w:space="0" w:color="auto"/>
                                <w:left w:val="none" w:sz="0" w:space="0" w:color="auto"/>
                                <w:bottom w:val="none" w:sz="0" w:space="0" w:color="auto"/>
                                <w:right w:val="none" w:sz="0" w:space="0" w:color="auto"/>
                              </w:divBdr>
                              <w:divsChild>
                                <w:div w:id="20810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3887">
      <w:bodyDiv w:val="1"/>
      <w:marLeft w:val="0"/>
      <w:marRight w:val="0"/>
      <w:marTop w:val="0"/>
      <w:marBottom w:val="0"/>
      <w:divBdr>
        <w:top w:val="none" w:sz="0" w:space="0" w:color="auto"/>
        <w:left w:val="none" w:sz="0" w:space="0" w:color="auto"/>
        <w:bottom w:val="none" w:sz="0" w:space="0" w:color="auto"/>
        <w:right w:val="none" w:sz="0" w:space="0" w:color="auto"/>
      </w:divBdr>
      <w:divsChild>
        <w:div w:id="626083429">
          <w:marLeft w:val="0"/>
          <w:marRight w:val="0"/>
          <w:marTop w:val="0"/>
          <w:marBottom w:val="0"/>
          <w:divBdr>
            <w:top w:val="none" w:sz="0" w:space="0" w:color="auto"/>
            <w:left w:val="none" w:sz="0" w:space="0" w:color="auto"/>
            <w:bottom w:val="none" w:sz="0" w:space="0" w:color="auto"/>
            <w:right w:val="none" w:sz="0" w:space="0" w:color="auto"/>
          </w:divBdr>
          <w:divsChild>
            <w:div w:id="21143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4238">
      <w:bodyDiv w:val="1"/>
      <w:marLeft w:val="0"/>
      <w:marRight w:val="0"/>
      <w:marTop w:val="0"/>
      <w:marBottom w:val="0"/>
      <w:divBdr>
        <w:top w:val="none" w:sz="0" w:space="0" w:color="auto"/>
        <w:left w:val="none" w:sz="0" w:space="0" w:color="auto"/>
        <w:bottom w:val="none" w:sz="0" w:space="0" w:color="auto"/>
        <w:right w:val="none" w:sz="0" w:space="0" w:color="auto"/>
      </w:divBdr>
      <w:divsChild>
        <w:div w:id="225534787">
          <w:marLeft w:val="274"/>
          <w:marRight w:val="0"/>
          <w:marTop w:val="0"/>
          <w:marBottom w:val="0"/>
          <w:divBdr>
            <w:top w:val="none" w:sz="0" w:space="0" w:color="auto"/>
            <w:left w:val="none" w:sz="0" w:space="0" w:color="auto"/>
            <w:bottom w:val="none" w:sz="0" w:space="0" w:color="auto"/>
            <w:right w:val="none" w:sz="0" w:space="0" w:color="auto"/>
          </w:divBdr>
        </w:div>
        <w:div w:id="293487585">
          <w:marLeft w:val="274"/>
          <w:marRight w:val="0"/>
          <w:marTop w:val="0"/>
          <w:marBottom w:val="0"/>
          <w:divBdr>
            <w:top w:val="none" w:sz="0" w:space="0" w:color="auto"/>
            <w:left w:val="none" w:sz="0" w:space="0" w:color="auto"/>
            <w:bottom w:val="none" w:sz="0" w:space="0" w:color="auto"/>
            <w:right w:val="none" w:sz="0" w:space="0" w:color="auto"/>
          </w:divBdr>
        </w:div>
      </w:divsChild>
    </w:div>
    <w:div w:id="1301375039">
      <w:bodyDiv w:val="1"/>
      <w:marLeft w:val="0"/>
      <w:marRight w:val="0"/>
      <w:marTop w:val="0"/>
      <w:marBottom w:val="0"/>
      <w:divBdr>
        <w:top w:val="none" w:sz="0" w:space="0" w:color="auto"/>
        <w:left w:val="none" w:sz="0" w:space="0" w:color="auto"/>
        <w:bottom w:val="none" w:sz="0" w:space="0" w:color="auto"/>
        <w:right w:val="none" w:sz="0" w:space="0" w:color="auto"/>
      </w:divBdr>
      <w:divsChild>
        <w:div w:id="695424482">
          <w:marLeft w:val="0"/>
          <w:marRight w:val="0"/>
          <w:marTop w:val="0"/>
          <w:marBottom w:val="0"/>
          <w:divBdr>
            <w:top w:val="none" w:sz="0" w:space="0" w:color="auto"/>
            <w:left w:val="none" w:sz="0" w:space="0" w:color="auto"/>
            <w:bottom w:val="none" w:sz="0" w:space="0" w:color="auto"/>
            <w:right w:val="none" w:sz="0" w:space="0" w:color="auto"/>
          </w:divBdr>
          <w:divsChild>
            <w:div w:id="14948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hhs.vic.gov.au/better-regulatory-practice-framewor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p.vic.gov.au/wp-content/uploads/2022/09/DPP-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6" ma:contentTypeDescription="Create a new document." ma:contentTypeScope="" ma:versionID="df82827984f0ab41033808d516d2fd8b">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0b05c00df79bdd4264746614188670f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CE5A8-0C6E-4C93-AE89-F72232857D51}">
  <ds:schemaRefs>
    <ds:schemaRef ds:uri="http://schemas.microsoft.com/sharepoint/v3/contenttype/forms"/>
  </ds:schemaRefs>
</ds:datastoreItem>
</file>

<file path=customXml/itemProps2.xml><?xml version="1.0" encoding="utf-8"?>
<ds:datastoreItem xmlns:ds="http://schemas.openxmlformats.org/officeDocument/2006/customXml" ds:itemID="{E4A481B2-461E-47FB-B343-159A078C7BD1}">
  <ds:schemaRefs>
    <ds:schemaRef ds:uri="http://schemas.openxmlformats.org/officeDocument/2006/bibliography"/>
  </ds:schemaRefs>
</ds:datastoreItem>
</file>

<file path=customXml/itemProps3.xml><?xml version="1.0" encoding="utf-8"?>
<ds:datastoreItem xmlns:ds="http://schemas.openxmlformats.org/officeDocument/2006/customXml" ds:itemID="{910D7E20-73DE-4161-846B-340C0398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1088B-F949-4609-A512-AA4EE33FA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7050</Words>
  <Characters>42987</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49938</CharactersWithSpaces>
  <SharedDoc>false</SharedDoc>
  <HyperlinkBase/>
  <HLinks>
    <vt:vector size="66" baseType="variant">
      <vt:variant>
        <vt:i4>655385</vt:i4>
      </vt:variant>
      <vt:variant>
        <vt:i4>57</vt:i4>
      </vt:variant>
      <vt:variant>
        <vt:i4>0</vt:i4>
      </vt:variant>
      <vt:variant>
        <vt:i4>5</vt:i4>
      </vt:variant>
      <vt:variant>
        <vt:lpwstr>https://dhhs.vic.gov.au/better-regulatory-practice-framework</vt:lpwstr>
      </vt:variant>
      <vt:variant>
        <vt:lpwstr/>
      </vt:variant>
      <vt:variant>
        <vt:i4>1703986</vt:i4>
      </vt:variant>
      <vt:variant>
        <vt:i4>50</vt:i4>
      </vt:variant>
      <vt:variant>
        <vt:i4>0</vt:i4>
      </vt:variant>
      <vt:variant>
        <vt:i4>5</vt:i4>
      </vt:variant>
      <vt:variant>
        <vt:lpwstr/>
      </vt:variant>
      <vt:variant>
        <vt:lpwstr>_Toc113608022</vt:lpwstr>
      </vt:variant>
      <vt:variant>
        <vt:i4>1703986</vt:i4>
      </vt:variant>
      <vt:variant>
        <vt:i4>44</vt:i4>
      </vt:variant>
      <vt:variant>
        <vt:i4>0</vt:i4>
      </vt:variant>
      <vt:variant>
        <vt:i4>5</vt:i4>
      </vt:variant>
      <vt:variant>
        <vt:lpwstr/>
      </vt:variant>
      <vt:variant>
        <vt:lpwstr>_Toc113608021</vt:lpwstr>
      </vt:variant>
      <vt:variant>
        <vt:i4>1703986</vt:i4>
      </vt:variant>
      <vt:variant>
        <vt:i4>38</vt:i4>
      </vt:variant>
      <vt:variant>
        <vt:i4>0</vt:i4>
      </vt:variant>
      <vt:variant>
        <vt:i4>5</vt:i4>
      </vt:variant>
      <vt:variant>
        <vt:lpwstr/>
      </vt:variant>
      <vt:variant>
        <vt:lpwstr>_Toc113608020</vt:lpwstr>
      </vt:variant>
      <vt:variant>
        <vt:i4>1638450</vt:i4>
      </vt:variant>
      <vt:variant>
        <vt:i4>32</vt:i4>
      </vt:variant>
      <vt:variant>
        <vt:i4>0</vt:i4>
      </vt:variant>
      <vt:variant>
        <vt:i4>5</vt:i4>
      </vt:variant>
      <vt:variant>
        <vt:lpwstr/>
      </vt:variant>
      <vt:variant>
        <vt:lpwstr>_Toc113608019</vt:lpwstr>
      </vt:variant>
      <vt:variant>
        <vt:i4>1638450</vt:i4>
      </vt:variant>
      <vt:variant>
        <vt:i4>26</vt:i4>
      </vt:variant>
      <vt:variant>
        <vt:i4>0</vt:i4>
      </vt:variant>
      <vt:variant>
        <vt:i4>5</vt:i4>
      </vt:variant>
      <vt:variant>
        <vt:lpwstr/>
      </vt:variant>
      <vt:variant>
        <vt:lpwstr>_Toc113608018</vt:lpwstr>
      </vt:variant>
      <vt:variant>
        <vt:i4>1638450</vt:i4>
      </vt:variant>
      <vt:variant>
        <vt:i4>20</vt:i4>
      </vt:variant>
      <vt:variant>
        <vt:i4>0</vt:i4>
      </vt:variant>
      <vt:variant>
        <vt:i4>5</vt:i4>
      </vt:variant>
      <vt:variant>
        <vt:lpwstr/>
      </vt:variant>
      <vt:variant>
        <vt:lpwstr>_Toc113608017</vt:lpwstr>
      </vt:variant>
      <vt:variant>
        <vt:i4>1638450</vt:i4>
      </vt:variant>
      <vt:variant>
        <vt:i4>14</vt:i4>
      </vt:variant>
      <vt:variant>
        <vt:i4>0</vt:i4>
      </vt:variant>
      <vt:variant>
        <vt:i4>5</vt:i4>
      </vt:variant>
      <vt:variant>
        <vt:lpwstr/>
      </vt:variant>
      <vt:variant>
        <vt:lpwstr>_Toc113608016</vt:lpwstr>
      </vt:variant>
      <vt:variant>
        <vt:i4>1638450</vt:i4>
      </vt:variant>
      <vt:variant>
        <vt:i4>8</vt:i4>
      </vt:variant>
      <vt:variant>
        <vt:i4>0</vt:i4>
      </vt:variant>
      <vt:variant>
        <vt:i4>5</vt:i4>
      </vt:variant>
      <vt:variant>
        <vt:lpwstr/>
      </vt:variant>
      <vt:variant>
        <vt:lpwstr>_Toc113608015</vt:lpwstr>
      </vt:variant>
      <vt:variant>
        <vt:i4>1638450</vt:i4>
      </vt:variant>
      <vt:variant>
        <vt:i4>2</vt:i4>
      </vt:variant>
      <vt:variant>
        <vt:i4>0</vt:i4>
      </vt:variant>
      <vt:variant>
        <vt:i4>5</vt:i4>
      </vt:variant>
      <vt:variant>
        <vt:lpwstr/>
      </vt:variant>
      <vt:variant>
        <vt:lpwstr>_Toc113608014</vt:lpwstr>
      </vt:variant>
      <vt:variant>
        <vt:i4>5242883</vt:i4>
      </vt:variant>
      <vt:variant>
        <vt:i4>0</vt:i4>
      </vt:variant>
      <vt:variant>
        <vt:i4>0</vt:i4>
      </vt:variant>
      <vt:variant>
        <vt:i4>5</vt:i4>
      </vt:variant>
      <vt:variant>
        <vt:lpwstr>http://www.opp.vic.gov.au/Resources/Policies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minimising harm caused by medicines</dc:title>
  <dc:subject>Policy for minimising harm caused by medicines</dc:subject>
  <dc:creator>Medicines and Poisons</dc:creator>
  <cp:keywords>rsik,harm,management,medications</cp:keywords>
  <cp:lastModifiedBy>Stefan Tulloch (Health)</cp:lastModifiedBy>
  <cp:revision>27</cp:revision>
  <cp:lastPrinted>2022-09-13T08:18:00Z</cp:lastPrinted>
  <dcterms:created xsi:type="dcterms:W3CDTF">2022-09-13T00:38:00Z</dcterms:created>
  <dcterms:modified xsi:type="dcterms:W3CDTF">2022-10-05T06:47:00Z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0x01010075D93CC960831D43BCE240AB9FD170A2</vt:lpwstr>
  </property>
  <property fmtid="{D5CDD505-2E9C-101B-9397-08002B2CF9AE}" pid="4" name="MSIP_Label_43e64453-338c-4f93-8a4d-0039a0a41f2a_Enabled">
    <vt:lpwstr>true</vt:lpwstr>
  </property>
  <property fmtid="{D5CDD505-2E9C-101B-9397-08002B2CF9AE}" pid="5" name="MSIP_Label_43e64453-338c-4f93-8a4d-0039a0a41f2a_SetDate">
    <vt:lpwstr>2022-10-05T06:47:18Z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b935cc75-83ef-4605-9b23-54031a6aadc7</vt:lpwstr>
  </property>
  <property fmtid="{D5CDD505-2E9C-101B-9397-08002B2CF9AE}" pid="10" name="MSIP_Label_43e64453-338c-4f93-8a4d-0039a0a41f2a_ContentBits">
    <vt:lpwstr>2</vt:lpwstr>
  </property>
</Properties>
</file>