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CB7FF5" w:rsidRPr="00867490" w14:paraId="1BF5A9EB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109AC148" w14:textId="77777777" w:rsidR="003D61AF" w:rsidRPr="00867490" w:rsidRDefault="00480F60" w:rsidP="003D61AF">
            <w:pPr>
              <w:pStyle w:val="Documenttitle"/>
              <w:rPr>
                <w:rFonts w:ascii="Noto Sans CJK TC Regular" w:eastAsia="Noto Sans CJK TC Regular" w:hAnsi="Noto Sans CJK TC Regular"/>
                <w:sz w:val="44"/>
                <w:szCs w:val="48"/>
              </w:rPr>
            </w:pPr>
            <w:bookmarkStart w:id="0" w:name="_Hlk117243674"/>
            <w:bookmarkEnd w:id="0"/>
            <w:r w:rsidRPr="00867490">
              <w:rPr>
                <w:rFonts w:ascii="Noto Sans CJK TC Regular" w:eastAsia="Noto Sans CJK TC Regular" w:hAnsi="Noto Sans CJK TC Regular"/>
                <w:sz w:val="44"/>
                <w:szCs w:val="48"/>
              </w:rPr>
              <w:t>水災過後的飲用水</w:t>
            </w:r>
          </w:p>
        </w:tc>
      </w:tr>
      <w:tr w:rsidR="00CB7FF5" w:rsidRPr="00867490" w14:paraId="05CEF1C5" w14:textId="77777777" w:rsidTr="00F94452">
        <w:trPr>
          <w:trHeight w:val="259"/>
        </w:trPr>
        <w:tc>
          <w:tcPr>
            <w:tcW w:w="11067" w:type="dxa"/>
          </w:tcPr>
          <w:p w14:paraId="3A847024" w14:textId="77777777" w:rsidR="003D61AF" w:rsidRPr="00867490" w:rsidRDefault="00480F60" w:rsidP="003D61AF">
            <w:pPr>
              <w:pStyle w:val="Documentsubtitle"/>
              <w:rPr>
                <w:rFonts w:ascii="Noto Sans CJK TC Regular" w:eastAsia="Noto Sans CJK TC Regular" w:hAnsi="Noto Sans CJK TC Regular"/>
                <w:sz w:val="24"/>
                <w:szCs w:val="22"/>
                <w:lang w:eastAsia="zh-TW"/>
              </w:rPr>
            </w:pPr>
            <w:r w:rsidRPr="00867490">
              <w:rPr>
                <w:rFonts w:ascii="Noto Sans CJK TC Regular" w:eastAsia="Noto Sans CJK TC Regular" w:hAnsi="Noto Sans CJK TC Regular"/>
                <w:sz w:val="24"/>
                <w:szCs w:val="22"/>
                <w:lang w:eastAsia="zh-TW"/>
              </w:rPr>
              <w:t>水災過後何時及如何安全飲水之相關資訊</w:t>
            </w:r>
          </w:p>
        </w:tc>
      </w:tr>
      <w:tr w:rsidR="00CB7FF5" w:rsidRPr="00867490" w14:paraId="0AE465F9" w14:textId="77777777" w:rsidTr="00F94452">
        <w:trPr>
          <w:trHeight w:val="96"/>
        </w:trPr>
        <w:tc>
          <w:tcPr>
            <w:tcW w:w="11067" w:type="dxa"/>
          </w:tcPr>
          <w:p w14:paraId="6F1DBA20" w14:textId="77777777" w:rsidR="007A729F" w:rsidRPr="00867490" w:rsidRDefault="00480F60" w:rsidP="003D61AF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  <w:sz w:val="20"/>
                <w:szCs w:val="18"/>
              </w:rPr>
            </w:pP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t>Chinese (Traditional) | 繁體中文</w:t>
            </w:r>
          </w:p>
          <w:p w14:paraId="627A5A3B" w14:textId="77777777" w:rsidR="003D61AF" w:rsidRPr="00867490" w:rsidRDefault="00480F60" w:rsidP="003D61AF">
            <w:pPr>
              <w:pStyle w:val="Bannermarking"/>
              <w:spacing w:after="120"/>
              <w:rPr>
                <w:rFonts w:ascii="Noto Sans CJK TC Regular" w:eastAsia="Noto Sans CJK TC Regular" w:hAnsi="Noto Sans CJK TC Regular"/>
                <w:sz w:val="20"/>
                <w:szCs w:val="18"/>
              </w:rPr>
            </w:pP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fldChar w:fldCharType="begin"/>
            </w: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instrText>FILLIN  "Type the protective marking" \d OFFICIAL \o  \* MERGEFORMAT</w:instrText>
            </w: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fldChar w:fldCharType="separate"/>
            </w: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t>OFFICIAL</w:t>
            </w:r>
            <w:r w:rsidRPr="00867490">
              <w:rPr>
                <w:rFonts w:ascii="Noto Sans CJK TC Regular" w:eastAsia="Noto Sans CJK TC Regular" w:hAnsi="Noto Sans CJK TC Regular"/>
                <w:sz w:val="20"/>
                <w:szCs w:val="18"/>
              </w:rPr>
              <w:fldChar w:fldCharType="end"/>
            </w:r>
          </w:p>
        </w:tc>
      </w:tr>
    </w:tbl>
    <w:p w14:paraId="719210E5" w14:textId="5D5CF74B" w:rsidR="00A62D44" w:rsidRPr="00867490" w:rsidRDefault="00480F60" w:rsidP="00EC40D5">
      <w:pPr>
        <w:pStyle w:val="Sectionbreakfirstpage"/>
        <w:rPr>
          <w:rFonts w:ascii="Noto Sans CJK TC Regular" w:eastAsia="Noto Sans CJK TC Regular" w:hAnsi="Noto Sans CJK TC Regular"/>
          <w:sz w:val="10"/>
          <w:szCs w:val="18"/>
        </w:rPr>
        <w:sectPr w:rsidR="00A62D44" w:rsidRPr="00867490" w:rsidSect="00E626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867490">
        <w:rPr>
          <w:rFonts w:ascii="Noto Sans CJK TC Regular" w:eastAsia="Noto Sans CJK TC Regular" w:hAnsi="Noto Sans CJK TC Regular"/>
          <w:sz w:val="10"/>
          <w:szCs w:val="18"/>
          <w:lang w:val="en-US"/>
        </w:rPr>
        <w:drawing>
          <wp:anchor distT="0" distB="0" distL="114300" distR="114300" simplePos="0" relativeHeight="251658240" behindDoc="1" locked="1" layoutInCell="1" allowOverlap="1" wp14:anchorId="2448788D" wp14:editId="0B456D6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6486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F2358" w14:textId="77777777" w:rsidR="00A57128" w:rsidRPr="00867490" w:rsidRDefault="00480F60" w:rsidP="00885876">
      <w:pPr>
        <w:pStyle w:val="DHHSbody"/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水災過後，食水供應商會通知您是否適宜安全飲用水喉水。食水供應商會發出：</w:t>
      </w:r>
    </w:p>
    <w:p w14:paraId="731BAE13" w14:textId="77777777" w:rsidR="00A57128" w:rsidRPr="00867490" w:rsidRDefault="00480F60" w:rsidP="00885876">
      <w:pPr>
        <w:pStyle w:val="DHHSbody"/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b/>
          <w:bCs/>
          <w:sz w:val="18"/>
          <w:szCs w:val="18"/>
          <w:lang w:eastAsia="zh-TW"/>
        </w:rPr>
        <w:t>切勿飲用通知書（Do Not Drink Advisory）</w:t>
      </w: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：食水含有有害化學物質及毒素，飲用後會使身體十分不適。</w:t>
      </w:r>
    </w:p>
    <w:p w14:paraId="07F1F735" w14:textId="77777777" w:rsidR="008359B0" w:rsidRPr="00867490" w:rsidRDefault="00480F60" w:rsidP="00885876">
      <w:pPr>
        <w:pStyle w:val="DHHSbody"/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b/>
          <w:bCs/>
          <w:sz w:val="18"/>
          <w:szCs w:val="18"/>
          <w:lang w:eastAsia="zh-TW"/>
        </w:rPr>
        <w:t>煲滾食水通知書（Boil Water Advisory）</w:t>
      </w: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：食水含有細菌，飲用前應煲滾。飲用未煲滾的食水會使身體不適。</w:t>
      </w:r>
    </w:p>
    <w:p w14:paraId="68A559BC" w14:textId="77777777" w:rsidR="00885876" w:rsidRPr="00867490" w:rsidRDefault="00480F60" w:rsidP="00885876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0"/>
          <w:szCs w:val="20"/>
          <w:lang w:eastAsia="zh-TW"/>
        </w:rPr>
      </w:pPr>
      <w:r w:rsidRPr="00867490">
        <w:rPr>
          <w:rFonts w:ascii="Noto Sans CJK TC Regular" w:eastAsia="Noto Sans CJK TC Regular" w:hAnsi="Noto Sans CJK TC Regular"/>
          <w:b/>
          <w:bCs w:val="0"/>
          <w:sz w:val="20"/>
          <w:szCs w:val="20"/>
          <w:lang w:eastAsia="zh-TW"/>
        </w:rPr>
        <w:t>無法飲用水喉水時的處理方法</w:t>
      </w:r>
    </w:p>
    <w:p w14:paraId="2A7064F4" w14:textId="77777777" w:rsidR="00A57128" w:rsidRPr="00867490" w:rsidRDefault="00480F60" w:rsidP="00A57128">
      <w:pPr>
        <w:pStyle w:val="Bullet1"/>
        <w:numPr>
          <w:ilvl w:val="0"/>
          <w:numId w:val="0"/>
        </w:numPr>
        <w:ind w:left="284" w:hanging="284"/>
        <w:rPr>
          <w:rFonts w:ascii="Noto Sans CJK TC Regular" w:eastAsia="Noto Sans CJK TC Regular" w:hAnsi="Noto Sans CJK TC Regular"/>
          <w:sz w:val="18"/>
          <w:szCs w:val="18"/>
        </w:rPr>
      </w:pPr>
      <w:proofErr w:type="spellStart"/>
      <w:r w:rsidRPr="00867490">
        <w:rPr>
          <w:rFonts w:ascii="Noto Sans CJK TC Regular" w:eastAsia="Noto Sans CJK TC Regular" w:hAnsi="Noto Sans CJK TC Regular"/>
          <w:sz w:val="18"/>
          <w:szCs w:val="18"/>
        </w:rPr>
        <w:t>如果食水供應商發出「切勿飲用通知書</w:t>
      </w:r>
      <w:proofErr w:type="spellEnd"/>
      <w:r w:rsidRPr="00867490">
        <w:rPr>
          <w:rFonts w:ascii="Noto Sans CJK TC Regular" w:eastAsia="Noto Sans CJK TC Regular" w:hAnsi="Noto Sans CJK TC Regular"/>
          <w:sz w:val="18"/>
          <w:szCs w:val="18"/>
        </w:rPr>
        <w:t>」（Do Not Drink Advisory），則不應飲用水喉水。</w:t>
      </w:r>
    </w:p>
    <w:p w14:paraId="34DDAE72" w14:textId="77777777" w:rsidR="00A57128" w:rsidRPr="00867490" w:rsidRDefault="00480F60" w:rsidP="00A57128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</w:rPr>
        <w:t>切勿：</w:t>
      </w:r>
    </w:p>
    <w:p w14:paraId="377A2208" w14:textId="02C1BC2F" w:rsidR="00A57128" w:rsidRPr="00867490" w:rsidRDefault="00480F60" w:rsidP="00A57128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飲用受水災影響範圍的水喉水</w:t>
      </w:r>
      <w:r w:rsidR="00867490" w:rsidRPr="00867490">
        <w:rPr>
          <w:rFonts w:ascii="Noto Sans CJK TC Regular" w:eastAsia="Noto Sans CJK TC Regular" w:hAnsi="Noto Sans CJK TC Regular" w:hint="eastAsia"/>
          <w:sz w:val="18"/>
          <w:szCs w:val="18"/>
          <w:lang w:eastAsia="zh-TW"/>
        </w:rPr>
        <w:t>。</w:t>
      </w:r>
    </w:p>
    <w:p w14:paraId="637865D8" w14:textId="77777777" w:rsidR="00A57128" w:rsidRPr="00867490" w:rsidRDefault="00480F60" w:rsidP="00A57128">
      <w:pPr>
        <w:pStyle w:val="Bullet1"/>
        <w:numPr>
          <w:ilvl w:val="0"/>
          <w:numId w:val="13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煲滾、使用氯氣或漂白水處理食水並不會使其安全。</w:t>
      </w:r>
    </w:p>
    <w:p w14:paraId="1CE8009D" w14:textId="77777777" w:rsidR="00A57128" w:rsidRPr="00867490" w:rsidRDefault="00480F60" w:rsidP="005D1301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使用樽裝水飲用、準備膳食、沖調飲品及嬰兒配方奶粉、製冰、刷牙，或讓寵物飲用。</w:t>
      </w:r>
    </w:p>
    <w:p w14:paraId="0B6C4527" w14:textId="77777777" w:rsidR="00CB769A" w:rsidRPr="00867490" w:rsidRDefault="00480F60" w:rsidP="005D1301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於部分情況下可使用水喉水沖廁、洗手、淋浴（確保不會吞嚥水喉水），及清洗衣物。如果皮膚感到疼痛或出現其他反應，則應停止使用並聯絡家庭醫生。</w:t>
      </w:r>
    </w:p>
    <w:p w14:paraId="53A5B2E6" w14:textId="77777777" w:rsidR="00CB769A" w:rsidRPr="00867490" w:rsidRDefault="00480F60" w:rsidP="1FC59BAA">
      <w:pPr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食水供應商會告知何時可安全飲用水喉水。</w:t>
      </w:r>
    </w:p>
    <w:p w14:paraId="16CCF135" w14:textId="77777777" w:rsidR="00676A05" w:rsidRPr="00867490" w:rsidRDefault="00480F60" w:rsidP="1FC59BAA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sz w:val="20"/>
          <w:szCs w:val="20"/>
          <w:lang w:eastAsia="zh-TW"/>
        </w:rPr>
      </w:pPr>
      <w:r w:rsidRPr="00867490">
        <w:rPr>
          <w:rFonts w:ascii="Noto Sans CJK TC Regular" w:eastAsia="Noto Sans CJK TC Regular" w:hAnsi="Noto Sans CJK TC Regular"/>
          <w:b/>
          <w:sz w:val="20"/>
          <w:szCs w:val="20"/>
          <w:lang w:eastAsia="zh-TW"/>
        </w:rPr>
        <w:t>須要煲滾水喉水時的處理方法</w:t>
      </w:r>
    </w:p>
    <w:p w14:paraId="4F4E34F3" w14:textId="77777777" w:rsidR="00CB769A" w:rsidRPr="00867490" w:rsidRDefault="00480F60" w:rsidP="00CB769A">
      <w:pPr>
        <w:pStyle w:val="Bullet1"/>
        <w:numPr>
          <w:ilvl w:val="0"/>
          <w:numId w:val="0"/>
        </w:numPr>
        <w:ind w:left="284" w:hanging="284"/>
        <w:rPr>
          <w:rFonts w:ascii="Noto Sans CJK TC Regular" w:eastAsia="Noto Sans CJK TC Regular" w:hAnsi="Noto Sans CJK TC Regular"/>
          <w:sz w:val="18"/>
          <w:szCs w:val="18"/>
        </w:rPr>
      </w:pPr>
      <w:proofErr w:type="spellStart"/>
      <w:r w:rsidRPr="00867490">
        <w:rPr>
          <w:rFonts w:ascii="Noto Sans CJK TC Regular" w:eastAsia="Noto Sans CJK TC Regular" w:hAnsi="Noto Sans CJK TC Regular"/>
          <w:sz w:val="18"/>
          <w:szCs w:val="18"/>
        </w:rPr>
        <w:t>如果食水供應商發出「煲滾食水通知書</w:t>
      </w:r>
      <w:proofErr w:type="spellEnd"/>
      <w:r w:rsidRPr="00867490">
        <w:rPr>
          <w:rFonts w:ascii="Noto Sans CJK TC Regular" w:eastAsia="Noto Sans CJK TC Regular" w:hAnsi="Noto Sans CJK TC Regular"/>
          <w:sz w:val="18"/>
          <w:szCs w:val="18"/>
        </w:rPr>
        <w:t>」（Boil Water Advisory），則須要煲滾。</w:t>
      </w:r>
    </w:p>
    <w:p w14:paraId="06523F0C" w14:textId="77777777" w:rsidR="00CB769A" w:rsidRPr="00867490" w:rsidRDefault="00480F60" w:rsidP="00CB769A">
      <w:pPr>
        <w:pStyle w:val="Bullet1"/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如何煲滾食水，以便安全飲用：</w:t>
      </w:r>
    </w:p>
    <w:p w14:paraId="1C497100" w14:textId="77777777" w:rsidR="000C7DFF" w:rsidRPr="00867490" w:rsidRDefault="00480F60" w:rsidP="000C7DFF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煮沸食水，直至看見煲底或水壺持續浮起大量泡泡。</w:t>
      </w:r>
    </w:p>
    <w:p w14:paraId="4880C4F9" w14:textId="77777777" w:rsidR="00BA518D" w:rsidRPr="00867490" w:rsidRDefault="00480F60" w:rsidP="1FC59BAA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飲用前請冷卻已煮沸的食水。</w:t>
      </w:r>
    </w:p>
    <w:p w14:paraId="0F11523C" w14:textId="77777777" w:rsidR="00BA518D" w:rsidRPr="00867490" w:rsidRDefault="00480F60" w:rsidP="1FC59BAA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設有自動切斷開關的電熱水壺亦適合。變溫水壺應設定至煮沸模式。</w:t>
      </w:r>
    </w:p>
    <w:p w14:paraId="268C901B" w14:textId="77777777" w:rsidR="006853D4" w:rsidRPr="00867490" w:rsidRDefault="00480F60" w:rsidP="00CB769A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將已煮沸的食水存放於乾淨的密封容器內。</w:t>
      </w:r>
    </w:p>
    <w:p w14:paraId="79811A25" w14:textId="77777777" w:rsidR="003A0C05" w:rsidRPr="00867490" w:rsidRDefault="00480F60" w:rsidP="00CB769A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飲用前冷卻已煮沸的食水。</w:t>
      </w:r>
    </w:p>
    <w:p w14:paraId="68D50270" w14:textId="77777777" w:rsidR="00F7310E" w:rsidRPr="00867490" w:rsidRDefault="00480F60" w:rsidP="00CB769A">
      <w:pPr>
        <w:pStyle w:val="Bullet1"/>
        <w:numPr>
          <w:ilvl w:val="0"/>
          <w:numId w:val="15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應注意避免出現燙傷意外。</w:t>
      </w:r>
    </w:p>
    <w:p w14:paraId="4ECB6C69" w14:textId="77777777" w:rsidR="003A0C05" w:rsidRPr="00867490" w:rsidRDefault="00480F60" w:rsidP="003D61AF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可以飲用已煮沸的食水，並用於準備膳食、沖調飲品及嬰兒配方奶粉、製冰、刷牙，或讓寵物飲用。</w:t>
      </w:r>
    </w:p>
    <w:p w14:paraId="6D0ADD4C" w14:textId="77777777" w:rsidR="003A0C05" w:rsidRPr="00867490" w:rsidRDefault="00480F60" w:rsidP="003A0C0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可以使用未煮沸的食水洗手、淋浴（確保不會吞嚥食水）、沖廁，以及清洗碗碟、衣履及澆灌花園，或者沖洗戶外。</w:t>
      </w:r>
    </w:p>
    <w:p w14:paraId="54D88EB1" w14:textId="77777777" w:rsidR="003A0C05" w:rsidRPr="00867490" w:rsidRDefault="00480F60" w:rsidP="003A0C05">
      <w:pPr>
        <w:pStyle w:val="Bullet1"/>
        <w:numPr>
          <w:ilvl w:val="0"/>
          <w:numId w:val="14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食水供應商會告知何時無須煲滾就可以安全飲用水喉水。</w:t>
      </w:r>
    </w:p>
    <w:p w14:paraId="12E6ED4D" w14:textId="77777777" w:rsidR="008D11CB" w:rsidRPr="00867490" w:rsidRDefault="00480F60" w:rsidP="008D11CB">
      <w:pPr>
        <w:pStyle w:val="Heading1"/>
        <w:spacing w:before="120" w:after="120" w:line="360" w:lineRule="atLeast"/>
        <w:rPr>
          <w:rFonts w:ascii="Noto Sans CJK TC Regular" w:eastAsia="Noto Sans CJK TC Regular" w:hAnsi="Noto Sans CJK TC Regular"/>
          <w:b/>
          <w:bCs w:val="0"/>
          <w:sz w:val="22"/>
          <w:szCs w:val="22"/>
        </w:rPr>
      </w:pPr>
      <w:proofErr w:type="spellStart"/>
      <w:r w:rsidRPr="00867490">
        <w:rPr>
          <w:rFonts w:ascii="Noto Sans CJK TC Regular" w:eastAsia="Noto Sans CJK TC Regular" w:hAnsi="Noto Sans CJK TC Regular"/>
          <w:b/>
          <w:bCs w:val="0"/>
          <w:sz w:val="22"/>
          <w:szCs w:val="22"/>
        </w:rPr>
        <w:t>尋求協助</w:t>
      </w:r>
      <w:proofErr w:type="spellEnd"/>
    </w:p>
    <w:p w14:paraId="402A6403" w14:textId="77777777" w:rsidR="003A0C05" w:rsidRPr="00867490" w:rsidRDefault="00480F60" w:rsidP="003A0C05">
      <w:pPr>
        <w:pStyle w:val="DHHSbullet1"/>
        <w:numPr>
          <w:ilvl w:val="0"/>
          <w:numId w:val="12"/>
        </w:numPr>
        <w:rPr>
          <w:rFonts w:ascii="Noto Sans CJK TC Regular" w:eastAsia="Noto Sans CJK TC Regular" w:hAnsi="Noto Sans CJK TC Regular"/>
          <w:sz w:val="18"/>
          <w:szCs w:val="18"/>
          <w:lang w:eastAsia="en-AU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en-AU"/>
        </w:rPr>
        <w:t>欲知詳情，請聯絡食水供應商&lt;www.water.vic.gov.au/water-industry-and-customers/know-your-water-corporation&gt;。</w:t>
      </w:r>
    </w:p>
    <w:p w14:paraId="354B940B" w14:textId="77777777" w:rsidR="00ED1B6C" w:rsidRPr="00867490" w:rsidRDefault="00480F60" w:rsidP="00ED1B6C">
      <w:pPr>
        <w:pStyle w:val="DHHSbullet1"/>
        <w:numPr>
          <w:ilvl w:val="0"/>
          <w:numId w:val="12"/>
        </w:numPr>
        <w:rPr>
          <w:rFonts w:ascii="Noto Sans CJK TC Regular" w:eastAsia="Noto Sans CJK TC Regular" w:hAnsi="Noto Sans CJK TC Regular"/>
          <w:sz w:val="18"/>
          <w:szCs w:val="18"/>
          <w:lang w:eastAsia="zh-TW"/>
        </w:rPr>
      </w:pPr>
      <w:r w:rsidRPr="00867490">
        <w:rPr>
          <w:rFonts w:ascii="Noto Sans CJK TC Regular" w:eastAsia="Noto Sans CJK TC Regular" w:hAnsi="Noto Sans CJK TC Regular"/>
          <w:sz w:val="18"/>
          <w:szCs w:val="18"/>
          <w:lang w:eastAsia="zh-TW"/>
        </w:rPr>
        <w:t>如果擔心有可能已飲用污染食水或出現類似腸胃炎的症狀，則應聯絡家庭醫生。</w:t>
      </w:r>
    </w:p>
    <w:p w14:paraId="2F7B3261" w14:textId="77777777" w:rsidR="008D11CB" w:rsidRPr="00867490" w:rsidRDefault="00480F60" w:rsidP="003D61AF">
      <w:pPr>
        <w:pStyle w:val="DHHSbullet1"/>
        <w:ind w:left="0" w:firstLine="0"/>
        <w:rPr>
          <w:rFonts w:ascii="Noto Sans CJK TC Regular" w:eastAsia="Noto Sans CJK TC Regular" w:hAnsi="Noto Sans CJK TC Regular"/>
          <w:sz w:val="18"/>
          <w:szCs w:val="18"/>
        </w:rPr>
      </w:pPr>
      <w:proofErr w:type="spellStart"/>
      <w:r w:rsidRPr="00867490">
        <w:rPr>
          <w:rFonts w:ascii="Noto Sans CJK TC Regular" w:eastAsia="Noto Sans CJK TC Regular" w:hAnsi="Noto Sans CJK TC Regular"/>
          <w:sz w:val="18"/>
          <w:szCs w:val="18"/>
        </w:rPr>
        <w:t>欲以無障礙格式收取本出版物，請電函</w:t>
      </w:r>
      <w:proofErr w:type="spellEnd"/>
      <w:hyperlink r:id="rId14" w:history="1">
        <w:r w:rsidR="00B42CE8" w:rsidRPr="00867490">
          <w:rPr>
            <w:rStyle w:val="Hyperlink"/>
            <w:rFonts w:ascii="Noto Sans CJK TC Regular" w:eastAsia="Noto Sans CJK TC Regular" w:hAnsi="Noto Sans CJK TC Regular"/>
            <w:sz w:val="18"/>
            <w:szCs w:val="18"/>
          </w:rPr>
          <w:t>pph.communications@health.vic.gov.au</w:t>
        </w:r>
      </w:hyperlink>
    </w:p>
    <w:sectPr w:rsidR="008D11CB" w:rsidRPr="00867490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7DEC" w14:textId="77777777" w:rsidR="003F7725" w:rsidRDefault="003F7725">
      <w:pPr>
        <w:spacing w:after="0" w:line="240" w:lineRule="auto"/>
      </w:pPr>
      <w:r>
        <w:separator/>
      </w:r>
    </w:p>
  </w:endnote>
  <w:endnote w:type="continuationSeparator" w:id="0">
    <w:p w14:paraId="7D5B9192" w14:textId="77777777" w:rsidR="003F7725" w:rsidRDefault="003F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CJK TC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3A010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989A568-169F-42D0-8E5F-4AEBC28C9E9B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6EF2A" w14:textId="77777777" w:rsidR="003819C3" w:rsidRDefault="003819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8AC1" w14:textId="77777777" w:rsidR="00344321" w:rsidRDefault="00480F6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4E0FD6A" wp14:editId="5666A472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619766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ABF9A8E" wp14:editId="63991E1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33BE9" w14:textId="77777777" w:rsidR="00344321" w:rsidRPr="003819C3" w:rsidRDefault="00480F60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9C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ABF9A8E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4233BE9" w14:textId="77777777" w:rsidR="00344321" w:rsidRPr="003819C3" w:rsidRDefault="00480F6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9C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0F37" w14:textId="77777777" w:rsidR="003819C3" w:rsidRDefault="003819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C146" w14:textId="77777777" w:rsidR="003F7725" w:rsidRDefault="003F7725">
      <w:pPr>
        <w:spacing w:after="0" w:line="240" w:lineRule="auto"/>
      </w:pPr>
      <w:r>
        <w:separator/>
      </w:r>
    </w:p>
  </w:footnote>
  <w:footnote w:type="continuationSeparator" w:id="0">
    <w:p w14:paraId="06E9BC98" w14:textId="77777777" w:rsidR="003F7725" w:rsidRDefault="003F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DD0A" w14:textId="77777777" w:rsidR="003819C3" w:rsidRDefault="003819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176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40ADF" w14:textId="77777777" w:rsidR="003819C3" w:rsidRDefault="003819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35F6A7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2238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0E19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1E34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1A9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56231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30808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603B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EC28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878ECB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C060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CA8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BE75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9A768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9AED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4E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E0AF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A42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68E22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72B4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CB242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E016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A4D0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1C1E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6EC0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2EAA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504B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FBCD99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39F00DE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06AD4A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5FA1D5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12553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A76BE5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2A6E0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772C5F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C30034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AB5C78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810D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30C7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F09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D22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28D0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2B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E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441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F1CA6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464ED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12F4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ECB7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94EF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B3680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7B47B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463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1A0A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310AAC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1046F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D0FB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D2E3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94F4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484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E4DC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DCE2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D2D5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026059D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90ADF0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90E3C5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2589D4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B6CDA8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EE36540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B48E21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1BCD7B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98E9BC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43100521">
    <w:abstractNumId w:val="8"/>
  </w:num>
  <w:num w:numId="2" w16cid:durableId="16724896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168460">
    <w:abstractNumId w:val="13"/>
  </w:num>
  <w:num w:numId="4" w16cid:durableId="1295941326">
    <w:abstractNumId w:val="12"/>
  </w:num>
  <w:num w:numId="5" w16cid:durableId="1878619790">
    <w:abstractNumId w:val="15"/>
  </w:num>
  <w:num w:numId="6" w16cid:durableId="288315657">
    <w:abstractNumId w:val="9"/>
  </w:num>
  <w:num w:numId="7" w16cid:durableId="893007827">
    <w:abstractNumId w:val="4"/>
  </w:num>
  <w:num w:numId="8" w16cid:durableId="2110536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8427122">
    <w:abstractNumId w:val="6"/>
  </w:num>
  <w:num w:numId="10" w16cid:durableId="1316642484">
    <w:abstractNumId w:val="11"/>
  </w:num>
  <w:num w:numId="11" w16cid:durableId="880485152">
    <w:abstractNumId w:val="10"/>
  </w:num>
  <w:num w:numId="12" w16cid:durableId="649528952">
    <w:abstractNumId w:val="1"/>
  </w:num>
  <w:num w:numId="13" w16cid:durableId="1171986838">
    <w:abstractNumId w:val="7"/>
  </w:num>
  <w:num w:numId="14" w16cid:durableId="758722763">
    <w:abstractNumId w:val="5"/>
  </w:num>
  <w:num w:numId="15" w16cid:durableId="1001809635">
    <w:abstractNumId w:val="14"/>
  </w:num>
  <w:num w:numId="16" w16cid:durableId="493571953">
    <w:abstractNumId w:val="2"/>
  </w:num>
  <w:num w:numId="17" w16cid:durableId="14188975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844172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216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0502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9C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3F7725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0F60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2329"/>
    <w:rsid w:val="00853EE4"/>
    <w:rsid w:val="00855535"/>
    <w:rsid w:val="00855920"/>
    <w:rsid w:val="00857C5A"/>
    <w:rsid w:val="0086255E"/>
    <w:rsid w:val="008633F0"/>
    <w:rsid w:val="00866B39"/>
    <w:rsid w:val="0086749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FF5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49BC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261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CAF7FF4-E4B5-4178-8176-4B6E6E917E98}"/>
</file>

<file path=customXml/itemProps2.xml><?xml version="1.0" encoding="utf-8"?>
<ds:datastoreItem xmlns:ds="http://schemas.openxmlformats.org/officeDocument/2006/customXml" ds:itemID="{F022BB57-2AB0-40EF-AF09-299AE90A0FDF}"/>
</file>

<file path=customXml/itemProps3.xml><?xml version="1.0" encoding="utf-8"?>
<ds:datastoreItem xmlns:ds="http://schemas.openxmlformats.org/officeDocument/2006/customXml" ds:itemID="{FEB9D4FB-A89E-44A6-8BD2-BC63589D3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Chinese Traditional</dc:title>
  <dc:creator/>
  <cp:lastModifiedBy/>
  <cp:revision>1</cp:revision>
  <dcterms:created xsi:type="dcterms:W3CDTF">2022-10-28T04:29:00Z</dcterms:created>
  <dcterms:modified xsi:type="dcterms:W3CDTF">2022-10-28T04:29:00Z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