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CB3C"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4E1559E" wp14:editId="439E6936">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00EBB1C4"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222"/>
      </w:tblGrid>
      <w:tr w:rsidR="006977D5" w14:paraId="7F32E646" w14:textId="77777777" w:rsidTr="00D85938">
        <w:tc>
          <w:tcPr>
            <w:tcW w:w="0" w:type="auto"/>
            <w:tcMar>
              <w:top w:w="1701" w:type="dxa"/>
              <w:left w:w="0" w:type="dxa"/>
              <w:right w:w="0" w:type="dxa"/>
            </w:tcMar>
          </w:tcPr>
          <w:p w14:paraId="6D0F4E11" w14:textId="40E67D47" w:rsidR="006977D5" w:rsidRPr="003B5733" w:rsidRDefault="004C7073" w:rsidP="006977D5">
            <w:pPr>
              <w:pStyle w:val="Documenttitle"/>
            </w:pPr>
            <w:r w:rsidRPr="004C7073">
              <w:t>Victorian Institute of Forensic Mental Health (Forensicare)</w:t>
            </w:r>
          </w:p>
        </w:tc>
      </w:tr>
      <w:tr w:rsidR="006977D5" w14:paraId="7953F660" w14:textId="77777777" w:rsidTr="00D85938">
        <w:tc>
          <w:tcPr>
            <w:tcW w:w="0" w:type="auto"/>
          </w:tcPr>
          <w:p w14:paraId="5EB8F9CC" w14:textId="77777777" w:rsidR="006977D5" w:rsidRPr="00A1389F" w:rsidRDefault="006977D5" w:rsidP="006977D5">
            <w:pPr>
              <w:pStyle w:val="Documentsubtitle"/>
            </w:pPr>
            <w:r w:rsidRPr="00C22078">
              <w:t>Board Director Position Description</w:t>
            </w:r>
          </w:p>
        </w:tc>
      </w:tr>
      <w:tr w:rsidR="003B5733" w14:paraId="4CBADF65" w14:textId="77777777" w:rsidTr="00D85938">
        <w:tc>
          <w:tcPr>
            <w:tcW w:w="0" w:type="auto"/>
          </w:tcPr>
          <w:p w14:paraId="251FB6F7" w14:textId="77777777" w:rsidR="003B5733" w:rsidRDefault="00536B32" w:rsidP="005F44C0">
            <w:pPr>
              <w:pStyle w:val="Bannermarking"/>
            </w:pPr>
            <w:r>
              <w:fldChar w:fldCharType="begin"/>
            </w:r>
            <w:r>
              <w:instrText xml:space="preserve"> FILLIN  "Type the protective marking" \d OFFICIAL \o  \* MERGEFORMAT </w:instrText>
            </w:r>
            <w:r>
              <w:fldChar w:fldCharType="separate"/>
            </w:r>
            <w:r w:rsidR="006977D5">
              <w:t>OFFICIAL</w:t>
            </w:r>
            <w:r>
              <w:fldChar w:fldCharType="end"/>
            </w:r>
          </w:p>
        </w:tc>
      </w:tr>
    </w:tbl>
    <w:p w14:paraId="432F50BD" w14:textId="009340C0" w:rsidR="006977D5" w:rsidRPr="00C22078" w:rsidRDefault="004C7073" w:rsidP="006977D5">
      <w:pPr>
        <w:spacing w:before="262" w:line="254" w:lineRule="auto"/>
        <w:ind w:right="180"/>
        <w:rPr>
          <w:sz w:val="20"/>
        </w:rPr>
      </w:pPr>
      <w:bookmarkStart w:id="0" w:name="_Hlk63942099"/>
      <w:r w:rsidRPr="004C7073">
        <w:rPr>
          <w:sz w:val="20"/>
        </w:rPr>
        <w:t>The board and the individual directors of a health service board have formal duties and responsibilities to the Minister for Mental Health (the Minister), the Secretary of the Department of Health (the department) and the public.</w:t>
      </w:r>
    </w:p>
    <w:bookmarkEnd w:id="0"/>
    <w:p w14:paraId="0939438C" w14:textId="77777777" w:rsidR="006977D5" w:rsidRDefault="006977D5" w:rsidP="006977D5">
      <w:pPr>
        <w:pStyle w:val="DHHSbody"/>
      </w:pPr>
    </w:p>
    <w:p w14:paraId="74E10003" w14:textId="77777777" w:rsidR="006977D5" w:rsidRDefault="006977D5" w:rsidP="006977D5">
      <w:pPr>
        <w:pStyle w:val="DHHSbody"/>
        <w:sectPr w:rsidR="006977D5"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bookmarkStart w:id="1" w:name="_Toc440566508"/>
    </w:p>
    <w:bookmarkEnd w:id="1"/>
    <w:p w14:paraId="76CA6F18" w14:textId="745DD797" w:rsidR="006977D5" w:rsidRPr="00EC5225" w:rsidRDefault="004C7073" w:rsidP="006977D5">
      <w:pPr>
        <w:pStyle w:val="Heading1"/>
        <w:spacing w:before="0"/>
        <w:rPr>
          <w:color w:val="C31E57"/>
        </w:rPr>
      </w:pPr>
      <w:r w:rsidRPr="004C7073">
        <w:rPr>
          <w:color w:val="C31E57"/>
        </w:rPr>
        <w:t>Forensicare</w:t>
      </w:r>
    </w:p>
    <w:p w14:paraId="3CE0BCFB" w14:textId="7A5DB706" w:rsidR="004C7073" w:rsidRPr="004C7073" w:rsidRDefault="004C7073" w:rsidP="004C7073">
      <w:pPr>
        <w:spacing w:after="118" w:line="286" w:lineRule="auto"/>
        <w:ind w:left="-5" w:right="7" w:hanging="10"/>
        <w:rPr>
          <w:sz w:val="20"/>
        </w:rPr>
      </w:pPr>
      <w:bookmarkStart w:id="2" w:name="_Toc440566509"/>
      <w:r w:rsidRPr="004C7073">
        <w:rPr>
          <w:sz w:val="20"/>
        </w:rPr>
        <w:t xml:space="preserve">Forensicare, also known as the Victorian Institute of Forensic Mental Health, is the </w:t>
      </w:r>
      <w:r w:rsidR="00D66404" w:rsidRPr="004C7073">
        <w:rPr>
          <w:sz w:val="20"/>
        </w:rPr>
        <w:t>state-wide</w:t>
      </w:r>
      <w:r w:rsidRPr="004C7073">
        <w:rPr>
          <w:sz w:val="20"/>
        </w:rPr>
        <w:t xml:space="preserve"> provider of forensic mental health services.  Forensic mental health is a specialist area of the mental health system that provides a range of mental health services across the spectrum of criminal justice including assessment and treatment of mentally ill offenders, people with a mental disorder and a history of criminal offending or those who are at risk of offending.  It also provides treatment services for people found not guilty of an offence on the grounds of mental impairment.  </w:t>
      </w:r>
    </w:p>
    <w:p w14:paraId="14BEC892" w14:textId="78436846" w:rsidR="004C7073" w:rsidRPr="004C7073" w:rsidRDefault="004C7073" w:rsidP="004C7073">
      <w:pPr>
        <w:ind w:left="-15"/>
        <w:rPr>
          <w:sz w:val="20"/>
        </w:rPr>
      </w:pPr>
      <w:r w:rsidRPr="004C7073">
        <w:rPr>
          <w:sz w:val="20"/>
        </w:rPr>
        <w:t xml:space="preserve">The primary focus of Forensicare is the provision of clinical services which are provided in </w:t>
      </w:r>
      <w:r w:rsidR="00E1629C">
        <w:rPr>
          <w:sz w:val="20"/>
        </w:rPr>
        <w:t>hospital</w:t>
      </w:r>
      <w:r w:rsidRPr="004C7073">
        <w:rPr>
          <w:sz w:val="20"/>
        </w:rPr>
        <w:t xml:space="preserve">, </w:t>
      </w:r>
      <w:r w:rsidR="00D66404" w:rsidRPr="004C7073">
        <w:rPr>
          <w:sz w:val="20"/>
        </w:rPr>
        <w:t>community,</w:t>
      </w:r>
      <w:r w:rsidRPr="004C7073">
        <w:rPr>
          <w:sz w:val="20"/>
        </w:rPr>
        <w:t xml:space="preserve"> and prison settings - </w:t>
      </w:r>
    </w:p>
    <w:p w14:paraId="0FEEBCB6" w14:textId="39F71FFD" w:rsidR="0068126F" w:rsidRPr="0068126F" w:rsidRDefault="004C7073" w:rsidP="0068126F">
      <w:pPr>
        <w:numPr>
          <w:ilvl w:val="0"/>
          <w:numId w:val="24"/>
        </w:numPr>
        <w:spacing w:after="34" w:line="286" w:lineRule="auto"/>
        <w:ind w:right="7" w:hanging="284"/>
        <w:rPr>
          <w:sz w:val="20"/>
        </w:rPr>
      </w:pPr>
      <w:r w:rsidRPr="0068126F">
        <w:rPr>
          <w:i/>
          <w:iCs/>
          <w:sz w:val="20"/>
        </w:rPr>
        <w:t>Thomas Embling Hospital</w:t>
      </w:r>
      <w:r w:rsidRPr="0068126F">
        <w:rPr>
          <w:sz w:val="20"/>
        </w:rPr>
        <w:t xml:space="preserve"> - a136 bed secure hospital providing </w:t>
      </w:r>
      <w:r w:rsidR="007058F2">
        <w:rPr>
          <w:sz w:val="20"/>
        </w:rPr>
        <w:t>a</w:t>
      </w:r>
      <w:r w:rsidRPr="0068126F">
        <w:rPr>
          <w:sz w:val="20"/>
        </w:rPr>
        <w:t xml:space="preserve">cute, </w:t>
      </w:r>
      <w:r w:rsidR="007058F2">
        <w:rPr>
          <w:sz w:val="20"/>
        </w:rPr>
        <w:t>s</w:t>
      </w:r>
      <w:r w:rsidRPr="0068126F">
        <w:rPr>
          <w:sz w:val="20"/>
        </w:rPr>
        <w:t>ubacute</w:t>
      </w:r>
      <w:r w:rsidR="00535F91">
        <w:rPr>
          <w:sz w:val="20"/>
        </w:rPr>
        <w:t>,</w:t>
      </w:r>
      <w:r w:rsidRPr="0068126F">
        <w:rPr>
          <w:sz w:val="20"/>
        </w:rPr>
        <w:t xml:space="preserve"> and </w:t>
      </w:r>
      <w:r w:rsidR="007058F2">
        <w:rPr>
          <w:sz w:val="20"/>
        </w:rPr>
        <w:t>c</w:t>
      </w:r>
      <w:r w:rsidRPr="0068126F">
        <w:rPr>
          <w:sz w:val="20"/>
        </w:rPr>
        <w:t xml:space="preserve">ontinuing </w:t>
      </w:r>
      <w:r w:rsidR="007058F2">
        <w:rPr>
          <w:sz w:val="20"/>
        </w:rPr>
        <w:t>c</w:t>
      </w:r>
      <w:r w:rsidRPr="0068126F">
        <w:rPr>
          <w:sz w:val="20"/>
        </w:rPr>
        <w:t>are</w:t>
      </w:r>
      <w:r w:rsidR="001E1478">
        <w:rPr>
          <w:sz w:val="20"/>
        </w:rPr>
        <w:t xml:space="preserve"> units</w:t>
      </w:r>
      <w:r w:rsidRPr="0068126F">
        <w:rPr>
          <w:sz w:val="20"/>
        </w:rPr>
        <w:t xml:space="preserve">, a dedicated psychiatric intensive care unit and a dedicated Women’s Unit. Patients are subject to compulsory treatment under the Mental Health Act 2014 and are </w:t>
      </w:r>
      <w:r w:rsidR="00ED3286">
        <w:rPr>
          <w:sz w:val="20"/>
        </w:rPr>
        <w:t xml:space="preserve">many are </w:t>
      </w:r>
      <w:r w:rsidR="00DF4960">
        <w:rPr>
          <w:sz w:val="20"/>
        </w:rPr>
        <w:t>also</w:t>
      </w:r>
      <w:r w:rsidRPr="0068126F">
        <w:rPr>
          <w:sz w:val="20"/>
        </w:rPr>
        <w:t xml:space="preserve"> subject to an order made by the court following a mental impairment finding under the </w:t>
      </w:r>
      <w:r w:rsidRPr="00DE707E">
        <w:rPr>
          <w:i/>
          <w:sz w:val="20"/>
        </w:rPr>
        <w:t xml:space="preserve">Crimes (Mental Impairment and Unfitness to be Tried) Act </w:t>
      </w:r>
      <w:r w:rsidR="00D66404" w:rsidRPr="00DE707E">
        <w:rPr>
          <w:i/>
          <w:sz w:val="20"/>
        </w:rPr>
        <w:t>1997</w:t>
      </w:r>
      <w:r w:rsidR="00D66404" w:rsidRPr="0068126F">
        <w:rPr>
          <w:sz w:val="20"/>
        </w:rPr>
        <w:t xml:space="preserve"> or</w:t>
      </w:r>
      <w:r w:rsidRPr="0068126F">
        <w:rPr>
          <w:sz w:val="20"/>
        </w:rPr>
        <w:t xml:space="preserve"> transferred from the prison system. </w:t>
      </w:r>
      <w:r w:rsidR="0068126F" w:rsidRPr="0068126F">
        <w:rPr>
          <w:sz w:val="20"/>
        </w:rPr>
        <w:t xml:space="preserve">Work is currently underway to implement the recommendations from the Royal Commission into Victoria’s Mental Health System, which includes refurbishing existing beds and expanding the number of beds at the Thomas Embling Hospital. This will provide an additional 127 beds to meet the needs of individuals living with a serious mental illness and who require care and treatment within a </w:t>
      </w:r>
      <w:r w:rsidR="009416C5">
        <w:rPr>
          <w:sz w:val="20"/>
        </w:rPr>
        <w:t xml:space="preserve">forensic </w:t>
      </w:r>
      <w:r w:rsidR="0068126F" w:rsidRPr="0068126F">
        <w:rPr>
          <w:sz w:val="20"/>
        </w:rPr>
        <w:t xml:space="preserve">hospital setting. </w:t>
      </w:r>
    </w:p>
    <w:p w14:paraId="756BB67E" w14:textId="54CA3901" w:rsidR="004C7073" w:rsidRPr="0068126F" w:rsidRDefault="004C7073" w:rsidP="001D5E48">
      <w:pPr>
        <w:numPr>
          <w:ilvl w:val="0"/>
          <w:numId w:val="24"/>
        </w:numPr>
        <w:spacing w:after="34" w:line="286" w:lineRule="auto"/>
        <w:ind w:right="7" w:hanging="284"/>
        <w:rPr>
          <w:i/>
          <w:iCs/>
          <w:sz w:val="20"/>
        </w:rPr>
      </w:pPr>
      <w:r w:rsidRPr="0068126F">
        <w:rPr>
          <w:i/>
          <w:iCs/>
          <w:sz w:val="20"/>
        </w:rPr>
        <w:t>Community Forensic Mental Health Service</w:t>
      </w:r>
      <w:r w:rsidRPr="0068126F">
        <w:rPr>
          <w:sz w:val="20"/>
        </w:rPr>
        <w:t xml:space="preserve"> – specialist assessment and multi-disciplinary treatment to </w:t>
      </w:r>
      <w:r w:rsidR="00D66404" w:rsidRPr="0068126F">
        <w:rPr>
          <w:sz w:val="20"/>
        </w:rPr>
        <w:t>high-risk</w:t>
      </w:r>
      <w:r w:rsidRPr="0068126F">
        <w:rPr>
          <w:sz w:val="20"/>
        </w:rPr>
        <w:t xml:space="preserve"> clients referred from area mental health services, correctional services, courts, the Adult Parole Board, Thomas Embling Hospital, prison services, government agencies and private practitioners. Services include the Community Integration Program, the Problem Behaviour Program, the Mental Health Court Liaison Service, Non-Custodial Supervision Order Consultation and Liaison (for people subject to the Crimes </w:t>
      </w:r>
      <w:r w:rsidRPr="00DE707E">
        <w:rPr>
          <w:i/>
          <w:sz w:val="20"/>
        </w:rPr>
        <w:t xml:space="preserve">(Mental </w:t>
      </w:r>
    </w:p>
    <w:p w14:paraId="4044E9CC" w14:textId="0F600BD9" w:rsidR="004C7073" w:rsidRPr="004C7073" w:rsidRDefault="004C7073" w:rsidP="004C7073">
      <w:pPr>
        <w:spacing w:after="64" w:line="286" w:lineRule="auto"/>
        <w:ind w:left="294" w:right="7" w:hanging="10"/>
        <w:rPr>
          <w:sz w:val="20"/>
        </w:rPr>
      </w:pPr>
      <w:r w:rsidRPr="00DE707E">
        <w:rPr>
          <w:i/>
          <w:sz w:val="20"/>
        </w:rPr>
        <w:t>Impairment and Unfitness to be Tried) Act 1997</w:t>
      </w:r>
      <w:r w:rsidR="00FF4DEC" w:rsidRPr="00DE707E">
        <w:rPr>
          <w:sz w:val="20"/>
        </w:rPr>
        <w:t>)</w:t>
      </w:r>
      <w:r w:rsidRPr="004C7073">
        <w:rPr>
          <w:sz w:val="20"/>
        </w:rPr>
        <w:t xml:space="preserve">, the Forensicare Serious Offender Consultation Service, Court Report Services, Forensic Clinical Specialist Coordination, Youth Justice Mental Health Coordination and, a Mental Health Community Corrections Screening pilot.  </w:t>
      </w:r>
    </w:p>
    <w:p w14:paraId="2ECA11D9" w14:textId="6E2FD18C" w:rsidR="004C7073" w:rsidRPr="004C7073" w:rsidRDefault="004C7073" w:rsidP="004C7073">
      <w:pPr>
        <w:numPr>
          <w:ilvl w:val="0"/>
          <w:numId w:val="24"/>
        </w:numPr>
        <w:spacing w:after="118" w:line="286" w:lineRule="auto"/>
        <w:ind w:right="7" w:hanging="284"/>
        <w:rPr>
          <w:sz w:val="20"/>
        </w:rPr>
      </w:pPr>
      <w:r w:rsidRPr="004C7073">
        <w:rPr>
          <w:i/>
          <w:sz w:val="20"/>
        </w:rPr>
        <w:t>Prison Services</w:t>
      </w:r>
      <w:r w:rsidRPr="004C7073">
        <w:rPr>
          <w:sz w:val="20"/>
        </w:rPr>
        <w:t xml:space="preserve"> – funded through the Department of Justice and </w:t>
      </w:r>
      <w:r w:rsidR="004239D6">
        <w:rPr>
          <w:sz w:val="20"/>
        </w:rPr>
        <w:t>Community Safety</w:t>
      </w:r>
      <w:r w:rsidRPr="004C7073">
        <w:rPr>
          <w:sz w:val="20"/>
        </w:rPr>
        <w:t xml:space="preserve">. In the men’s prison system, we operate prison based forensic mental health services and rehabilitation. Ravenhall Correctional Centre includes a </w:t>
      </w:r>
      <w:r w:rsidR="00D66404" w:rsidRPr="004C7073">
        <w:rPr>
          <w:sz w:val="20"/>
        </w:rPr>
        <w:t>75-prisoner</w:t>
      </w:r>
      <w:r w:rsidRPr="004C7073">
        <w:rPr>
          <w:sz w:val="20"/>
        </w:rPr>
        <w:t xml:space="preserve"> capacity mental health service. Forensicare also provide specialist clinics, outpatient services and assessment programs within prison facilities across Victoria. Forensicare partners with </w:t>
      </w:r>
      <w:r w:rsidRPr="004C7073">
        <w:rPr>
          <w:sz w:val="20"/>
        </w:rPr>
        <w:lastRenderedPageBreak/>
        <w:t xml:space="preserve">public health services and public hospitals, mental health services and broader community organisations to ensure patients and consumers are well supported in their recovery trajectory.  </w:t>
      </w:r>
    </w:p>
    <w:p w14:paraId="191B8A66" w14:textId="77777777" w:rsidR="004C7073" w:rsidRPr="004C7073" w:rsidRDefault="004C7073" w:rsidP="004C7073">
      <w:pPr>
        <w:spacing w:line="256" w:lineRule="auto"/>
        <w:ind w:right="116"/>
        <w:rPr>
          <w:rFonts w:eastAsia="Arial" w:cs="Arial"/>
          <w:sz w:val="20"/>
        </w:rPr>
      </w:pPr>
      <w:r w:rsidRPr="004C7073">
        <w:rPr>
          <w:sz w:val="20"/>
        </w:rPr>
        <w:t>Forensicare have a formal link with Swinburne University of Technology through their research arm, the Centre for Forensic Behavioural Science and established links with other tertiary organisations to support ongoing commitment to promote knowledge and training in forensic mental health.</w:t>
      </w:r>
    </w:p>
    <w:p w14:paraId="34DF806A" w14:textId="77777777" w:rsidR="00FA7B02" w:rsidRPr="00EC5225" w:rsidRDefault="00FA7B02" w:rsidP="00FA7B02">
      <w:pPr>
        <w:pStyle w:val="Heading2"/>
        <w:rPr>
          <w:color w:val="C31E57"/>
        </w:rPr>
      </w:pPr>
      <w:r>
        <w:rPr>
          <w:color w:val="C31E57"/>
        </w:rPr>
        <w:t>Equal Opportunity and Diversity</w:t>
      </w:r>
    </w:p>
    <w:p w14:paraId="7D4E3659" w14:textId="77777777" w:rsidR="00FA7B02" w:rsidRPr="007A3B04" w:rsidRDefault="00FA7B02" w:rsidP="00FA7B02">
      <w:pPr>
        <w:spacing w:line="256" w:lineRule="auto"/>
        <w:ind w:right="116"/>
        <w:rPr>
          <w:rFonts w:eastAsia="Arial" w:cs="Arial"/>
          <w:sz w:val="20"/>
        </w:rPr>
      </w:pPr>
      <w:r w:rsidRPr="007A3B04">
        <w:rPr>
          <w:rFonts w:eastAsia="Arial" w:cs="Arial"/>
          <w:sz w:val="20"/>
        </w:rPr>
        <w:t xml:space="preserve">The </w:t>
      </w:r>
      <w:r>
        <w:rPr>
          <w:rFonts w:eastAsia="Arial" w:cs="Arial"/>
          <w:sz w:val="20"/>
        </w:rPr>
        <w:t>department</w:t>
      </w:r>
      <w:r w:rsidRPr="007A3B04">
        <w:rPr>
          <w:rFonts w:eastAsia="Arial" w:cs="Arial"/>
          <w:sz w:val="20"/>
        </w:rPr>
        <w:t xml:space="preserve"> is committed to ensuring that </w:t>
      </w:r>
      <w:r>
        <w:rPr>
          <w:rFonts w:eastAsia="Arial" w:cs="Arial"/>
          <w:sz w:val="20"/>
        </w:rPr>
        <w:t>health</w:t>
      </w:r>
      <w:r w:rsidRPr="007A3B04">
        <w:rPr>
          <w:rFonts w:eastAsia="Arial" w:cs="Arial"/>
          <w:sz w:val="20"/>
        </w:rPr>
        <w:t xml:space="preserve"> boards and committees reflect the rich diversity of the Victorian community.</w:t>
      </w:r>
      <w:r>
        <w:rPr>
          <w:rFonts w:eastAsia="Arial" w:cs="Arial"/>
          <w:sz w:val="20"/>
        </w:rPr>
        <w:t xml:space="preserve"> </w:t>
      </w:r>
    </w:p>
    <w:p w14:paraId="3C87FE5A" w14:textId="41DD15AD" w:rsidR="00FA7B02" w:rsidRPr="007A3B04" w:rsidRDefault="00FA7B02" w:rsidP="00FA7B02">
      <w:pPr>
        <w:spacing w:line="256" w:lineRule="auto"/>
        <w:ind w:right="116"/>
        <w:rPr>
          <w:rFonts w:eastAsia="Arial" w:cs="Arial"/>
          <w:sz w:val="20"/>
        </w:rPr>
      </w:pPr>
      <w:r>
        <w:rPr>
          <w:rFonts w:eastAsia="Arial" w:cs="Arial"/>
          <w:sz w:val="20"/>
        </w:rPr>
        <w:t>The department</w:t>
      </w:r>
      <w:r w:rsidRPr="007A3B04">
        <w:rPr>
          <w:rFonts w:eastAsia="Arial" w:cs="Arial"/>
          <w:sz w:val="20"/>
        </w:rPr>
        <w:t xml:space="preserve"> encourage</w:t>
      </w:r>
      <w:r>
        <w:rPr>
          <w:rFonts w:eastAsia="Arial" w:cs="Arial"/>
          <w:sz w:val="20"/>
        </w:rPr>
        <w:t>s</w:t>
      </w:r>
      <w:r w:rsidRPr="007A3B04">
        <w:rPr>
          <w:rFonts w:eastAsia="Arial" w:cs="Arial"/>
          <w:sz w:val="20"/>
        </w:rPr>
        <w:t xml:space="preserve"> applications from </w:t>
      </w:r>
      <w:r>
        <w:rPr>
          <w:rFonts w:eastAsia="Arial" w:cs="Arial"/>
          <w:sz w:val="20"/>
        </w:rPr>
        <w:t xml:space="preserve">women, </w:t>
      </w:r>
      <w:r w:rsidRPr="007A3B04">
        <w:rPr>
          <w:rFonts w:eastAsia="Arial" w:cs="Arial"/>
          <w:sz w:val="20"/>
        </w:rPr>
        <w:t xml:space="preserve">people of all ages, Aboriginal </w:t>
      </w:r>
      <w:r>
        <w:rPr>
          <w:rFonts w:eastAsia="Arial" w:cs="Arial"/>
          <w:sz w:val="20"/>
        </w:rPr>
        <w:t xml:space="preserve">and </w:t>
      </w:r>
      <w:r w:rsidR="006A5629">
        <w:rPr>
          <w:rFonts w:eastAsia="Arial" w:cs="Arial"/>
          <w:sz w:val="20"/>
        </w:rPr>
        <w:t xml:space="preserve">/ or </w:t>
      </w:r>
      <w:r>
        <w:rPr>
          <w:rFonts w:eastAsia="Arial" w:cs="Arial"/>
          <w:sz w:val="20"/>
        </w:rPr>
        <w:t xml:space="preserve">Torres Strait Islander </w:t>
      </w:r>
      <w:r w:rsidRPr="007A3B04">
        <w:rPr>
          <w:rFonts w:eastAsia="Arial" w:cs="Arial"/>
          <w:sz w:val="20"/>
        </w:rPr>
        <w:t xml:space="preserve">people, people with disability, people from culturally and linguistically diverse backgrounds and from lesbian, gay, bisexual, trans, gender diverse, intersex and queer </w:t>
      </w:r>
      <w:r>
        <w:rPr>
          <w:rFonts w:eastAsia="Arial" w:cs="Arial"/>
          <w:sz w:val="20"/>
        </w:rPr>
        <w:t>(</w:t>
      </w:r>
      <w:r w:rsidRPr="00665380">
        <w:rPr>
          <w:rFonts w:eastAsia="Arial" w:cs="Arial"/>
          <w:sz w:val="20"/>
        </w:rPr>
        <w:t>LGBTIQ+</w:t>
      </w:r>
      <w:r>
        <w:rPr>
          <w:rFonts w:eastAsia="Arial" w:cs="Arial"/>
          <w:sz w:val="20"/>
        </w:rPr>
        <w:t xml:space="preserve">) </w:t>
      </w:r>
      <w:r w:rsidRPr="007A3B04">
        <w:rPr>
          <w:rFonts w:eastAsia="Arial" w:cs="Arial"/>
          <w:sz w:val="20"/>
        </w:rPr>
        <w:t xml:space="preserve">people. </w:t>
      </w:r>
      <w:r w:rsidRPr="00DE707E">
        <w:rPr>
          <w:rFonts w:eastAsia="Arial" w:cs="Arial"/>
          <w:sz w:val="20"/>
        </w:rPr>
        <w:t xml:space="preserve">We will provide </w:t>
      </w:r>
      <w:r w:rsidR="00097628" w:rsidRPr="00DE707E">
        <w:rPr>
          <w:rFonts w:eastAsia="Arial" w:cs="Arial"/>
          <w:sz w:val="20"/>
        </w:rPr>
        <w:t xml:space="preserve">reasonable </w:t>
      </w:r>
      <w:r w:rsidRPr="00DE707E">
        <w:rPr>
          <w:rFonts w:eastAsia="Arial" w:cs="Arial"/>
          <w:sz w:val="20"/>
        </w:rPr>
        <w:t>adjustments to the recruitment process upon request</w:t>
      </w:r>
      <w:r w:rsidRPr="00097628">
        <w:rPr>
          <w:rFonts w:eastAsia="Arial" w:cs="Arial"/>
          <w:sz w:val="20"/>
        </w:rPr>
        <w:t>.</w:t>
      </w:r>
    </w:p>
    <w:p w14:paraId="4F6113AC" w14:textId="7F33BD9B" w:rsidR="00FA7B02" w:rsidRPr="00EC5225" w:rsidRDefault="00FA7B02" w:rsidP="00FA7B02">
      <w:pPr>
        <w:pStyle w:val="Heading2"/>
        <w:rPr>
          <w:color w:val="C31E57"/>
        </w:rPr>
      </w:pPr>
      <w:r w:rsidRPr="00EC5225">
        <w:rPr>
          <w:color w:val="C31E57"/>
        </w:rPr>
        <w:t>Legislative framework</w:t>
      </w:r>
    </w:p>
    <w:p w14:paraId="6760952A" w14:textId="77777777" w:rsidR="009D6BF5" w:rsidRDefault="00FA7B02" w:rsidP="00FA7B02">
      <w:pPr>
        <w:widowControl w:val="0"/>
        <w:spacing w:before="140" w:line="256" w:lineRule="auto"/>
        <w:ind w:right="180"/>
        <w:rPr>
          <w:rFonts w:eastAsia="Calibri" w:cs="Arial"/>
          <w:sz w:val="20"/>
        </w:rPr>
      </w:pPr>
      <w:r w:rsidRPr="004C7073">
        <w:rPr>
          <w:rFonts w:eastAsia="Calibri" w:cs="Arial"/>
          <w:sz w:val="20"/>
        </w:rPr>
        <w:t xml:space="preserve">Forensicare has its own board of directors that is responsible for the effective and efficient governance of Forensicare. </w:t>
      </w:r>
    </w:p>
    <w:p w14:paraId="4D8727BE" w14:textId="483BB2AA" w:rsidR="00FA7B02" w:rsidRPr="004C7073" w:rsidRDefault="00FA7B02" w:rsidP="00FA7B02">
      <w:pPr>
        <w:widowControl w:val="0"/>
        <w:spacing w:before="140" w:line="256" w:lineRule="auto"/>
        <w:ind w:right="180"/>
        <w:rPr>
          <w:rFonts w:eastAsia="Calibri" w:cs="Arial"/>
          <w:sz w:val="20"/>
        </w:rPr>
      </w:pPr>
      <w:r w:rsidRPr="004C7073">
        <w:rPr>
          <w:rFonts w:eastAsia="Calibri" w:cs="Arial"/>
          <w:sz w:val="20"/>
        </w:rPr>
        <w:t xml:space="preserve">The board must ensure Forensicare is compliant with the requirements of the </w:t>
      </w:r>
      <w:r w:rsidRPr="00DE707E">
        <w:rPr>
          <w:rFonts w:eastAsia="Calibri" w:cs="Arial"/>
          <w:i/>
          <w:iCs/>
          <w:sz w:val="20"/>
        </w:rPr>
        <w:t>Mental Health Act 2014 (Vic</w:t>
      </w:r>
      <w:r w:rsidRPr="004C7073">
        <w:rPr>
          <w:rFonts w:eastAsia="Calibri" w:cs="Arial"/>
          <w:sz w:val="20"/>
        </w:rPr>
        <w:t>) (MHA). The board ensures the Minister</w:t>
      </w:r>
      <w:r w:rsidR="009D6BF5">
        <w:rPr>
          <w:rFonts w:eastAsia="Calibri" w:cs="Arial"/>
          <w:sz w:val="20"/>
        </w:rPr>
        <w:t>,</w:t>
      </w:r>
      <w:r w:rsidRPr="004C7073">
        <w:rPr>
          <w:rFonts w:eastAsia="Calibri" w:cs="Arial"/>
          <w:sz w:val="20"/>
        </w:rPr>
        <w:t xml:space="preserve"> </w:t>
      </w:r>
      <w:r w:rsidR="009D6BF5">
        <w:rPr>
          <w:rFonts w:eastAsia="Calibri" w:cs="Arial"/>
          <w:sz w:val="20"/>
        </w:rPr>
        <w:t xml:space="preserve">and </w:t>
      </w:r>
      <w:r w:rsidRPr="004C7073">
        <w:rPr>
          <w:rFonts w:eastAsia="Calibri" w:cs="Arial"/>
          <w:sz w:val="20"/>
        </w:rPr>
        <w:t xml:space="preserve">the Secretary are advised about significant board decisions and are informed in a timely manner of any issues of public concern or risks that affect or may affect the health service. </w:t>
      </w:r>
    </w:p>
    <w:p w14:paraId="69888171" w14:textId="77777777" w:rsidR="00FA7B02" w:rsidRPr="00C22078" w:rsidRDefault="00FA7B02" w:rsidP="00FA7B02">
      <w:pPr>
        <w:widowControl w:val="0"/>
        <w:spacing w:before="140" w:line="256" w:lineRule="auto"/>
        <w:ind w:right="180"/>
        <w:rPr>
          <w:rFonts w:eastAsia="Calibri" w:cs="Arial"/>
          <w:sz w:val="20"/>
        </w:rPr>
      </w:pPr>
      <w:r>
        <w:rPr>
          <w:rFonts w:eastAsia="Calibri" w:cs="Arial"/>
          <w:sz w:val="20"/>
        </w:rPr>
        <w:t>D</w:t>
      </w:r>
      <w:r w:rsidRPr="006D4419">
        <w:rPr>
          <w:rFonts w:eastAsia="Calibri" w:cs="Arial"/>
          <w:sz w:val="20"/>
        </w:rPr>
        <w:t>irector</w:t>
      </w:r>
      <w:r>
        <w:rPr>
          <w:rFonts w:eastAsia="Calibri" w:cs="Arial"/>
          <w:sz w:val="20"/>
        </w:rPr>
        <w:t>s</w:t>
      </w:r>
      <w:r w:rsidRPr="006D4419">
        <w:rPr>
          <w:rFonts w:eastAsia="Calibri" w:cs="Arial"/>
          <w:sz w:val="20"/>
        </w:rPr>
        <w:t xml:space="preserve"> on the board of a public health entit</w:t>
      </w:r>
      <w:r>
        <w:rPr>
          <w:rFonts w:eastAsia="Calibri" w:cs="Arial"/>
          <w:sz w:val="20"/>
        </w:rPr>
        <w:t>y are</w:t>
      </w:r>
      <w:r w:rsidRPr="006D4419">
        <w:rPr>
          <w:rFonts w:eastAsia="Calibri" w:cs="Arial"/>
          <w:sz w:val="20"/>
        </w:rPr>
        <w:t xml:space="preserve"> considered a public official under section 4 of the </w:t>
      </w:r>
      <w:r w:rsidRPr="00520220">
        <w:rPr>
          <w:rFonts w:eastAsia="Calibri" w:cs="Arial"/>
          <w:i/>
          <w:iCs/>
          <w:sz w:val="20"/>
        </w:rPr>
        <w:t>Public Administration Act 2004 (Vic).</w:t>
      </w:r>
      <w:r w:rsidRPr="006D4419">
        <w:rPr>
          <w:rFonts w:eastAsia="Calibri" w:cs="Arial"/>
          <w:sz w:val="20"/>
        </w:rPr>
        <w:t xml:space="preserve"> As such </w:t>
      </w:r>
      <w:r>
        <w:rPr>
          <w:rFonts w:eastAsia="Calibri" w:cs="Arial"/>
          <w:sz w:val="20"/>
        </w:rPr>
        <w:t>directors</w:t>
      </w:r>
      <w:r w:rsidRPr="006D4419">
        <w:rPr>
          <w:rFonts w:eastAsia="Calibri" w:cs="Arial"/>
          <w:sz w:val="20"/>
        </w:rPr>
        <w:t xml:space="preserve"> are bound by the legislated requirements of the Victorian public sector values and the Directors’ Code of Conduct.</w:t>
      </w:r>
      <w:r>
        <w:rPr>
          <w:rFonts w:eastAsia="Calibri" w:cs="Arial"/>
          <w:sz w:val="20"/>
        </w:rPr>
        <w:t xml:space="preserve"> </w:t>
      </w:r>
    </w:p>
    <w:p w14:paraId="34DAC6C9" w14:textId="3A5F6381" w:rsidR="00FA7B02" w:rsidRPr="00E02956" w:rsidRDefault="00FA7B02" w:rsidP="00FA7B02">
      <w:pPr>
        <w:widowControl w:val="0"/>
        <w:spacing w:before="140" w:line="256" w:lineRule="auto"/>
        <w:ind w:right="180"/>
        <w:rPr>
          <w:rFonts w:eastAsia="Arial" w:cs="Arial"/>
        </w:rPr>
      </w:pPr>
      <w:r w:rsidRPr="00C22078">
        <w:rPr>
          <w:rFonts w:eastAsia="Calibri" w:cs="Arial"/>
          <w:sz w:val="20"/>
        </w:rPr>
        <w:t xml:space="preserve">The </w:t>
      </w:r>
      <w:r w:rsidRPr="00C22078">
        <w:rPr>
          <w:rFonts w:eastAsia="Calibri" w:cs="Arial"/>
          <w:i/>
          <w:sz w:val="20"/>
        </w:rPr>
        <w:t xml:space="preserve">Financial Management Act 1994 (Vic) </w:t>
      </w:r>
      <w:r w:rsidRPr="00C22078">
        <w:rPr>
          <w:rFonts w:eastAsia="Calibri" w:cs="Arial"/>
          <w:sz w:val="20"/>
        </w:rPr>
        <w:t xml:space="preserve">also applies to the financial administration of </w:t>
      </w:r>
      <w:r w:rsidR="00FA7451">
        <w:rPr>
          <w:rFonts w:eastAsia="Calibri" w:cs="Arial"/>
          <w:sz w:val="20"/>
        </w:rPr>
        <w:t xml:space="preserve">Forensicare </w:t>
      </w:r>
      <w:r>
        <w:rPr>
          <w:rFonts w:eastAsia="Calibri" w:cs="Arial"/>
          <w:sz w:val="20"/>
        </w:rPr>
        <w:t xml:space="preserve">relating to the </w:t>
      </w:r>
      <w:r w:rsidRPr="00756B0D">
        <w:rPr>
          <w:rFonts w:eastAsia="Calibri" w:cs="Arial"/>
          <w:sz w:val="20"/>
        </w:rPr>
        <w:t>accounting and reporting of public money and public property</w:t>
      </w:r>
      <w:r w:rsidRPr="00C22078">
        <w:rPr>
          <w:rFonts w:eastAsia="Calibri" w:cs="Arial"/>
          <w:sz w:val="20"/>
        </w:rPr>
        <w:t>.</w:t>
      </w:r>
      <w:r>
        <w:rPr>
          <w:rFonts w:eastAsia="Calibri" w:cs="Arial"/>
          <w:sz w:val="20"/>
        </w:rPr>
        <w:t xml:space="preserve"> </w:t>
      </w:r>
    </w:p>
    <w:p w14:paraId="6E7827D4" w14:textId="00E50011" w:rsidR="006977D5" w:rsidRPr="00EC5225" w:rsidRDefault="006977D5" w:rsidP="006977D5">
      <w:pPr>
        <w:pStyle w:val="Heading2"/>
        <w:rPr>
          <w:color w:val="C31E57"/>
        </w:rPr>
      </w:pPr>
      <w:r w:rsidRPr="00EC5225">
        <w:rPr>
          <w:color w:val="C31E57"/>
        </w:rPr>
        <w:t>Role of the Board</w:t>
      </w:r>
      <w:bookmarkEnd w:id="2"/>
    </w:p>
    <w:p w14:paraId="129CD279" w14:textId="6C7747A1" w:rsidR="006977D5" w:rsidRPr="00C22078" w:rsidRDefault="006977D5" w:rsidP="006977D5">
      <w:pPr>
        <w:spacing w:before="137" w:line="256" w:lineRule="auto"/>
        <w:ind w:right="180"/>
        <w:rPr>
          <w:rFonts w:eastAsia="Arial" w:cs="Arial"/>
          <w:sz w:val="20"/>
        </w:rPr>
      </w:pPr>
      <w:r w:rsidRPr="00C22078">
        <w:rPr>
          <w:sz w:val="20"/>
        </w:rPr>
        <w:t xml:space="preserve">The role of </w:t>
      </w:r>
      <w:r w:rsidR="00600491">
        <w:rPr>
          <w:sz w:val="20"/>
        </w:rPr>
        <w:t xml:space="preserve">Forensicare </w:t>
      </w:r>
      <w:r w:rsidRPr="00C22078">
        <w:rPr>
          <w:sz w:val="20"/>
        </w:rPr>
        <w:t xml:space="preserve">is to oversee the performance of </w:t>
      </w:r>
      <w:r w:rsidR="00483A75">
        <w:rPr>
          <w:sz w:val="20"/>
        </w:rPr>
        <w:t xml:space="preserve">the organisation </w:t>
      </w:r>
      <w:r w:rsidRPr="00C22078">
        <w:rPr>
          <w:sz w:val="20"/>
        </w:rPr>
        <w:t>and ensure</w:t>
      </w:r>
      <w:r w:rsidRPr="00C22078">
        <w:rPr>
          <w:spacing w:val="-26"/>
          <w:sz w:val="20"/>
        </w:rPr>
        <w:t xml:space="preserve"> </w:t>
      </w:r>
      <w:r w:rsidRPr="00C22078">
        <w:rPr>
          <w:sz w:val="20"/>
        </w:rPr>
        <w:t xml:space="preserve">that it is meeting the policy and </w:t>
      </w:r>
      <w:r w:rsidR="00483A75">
        <w:rPr>
          <w:sz w:val="20"/>
        </w:rPr>
        <w:t xml:space="preserve">strategic </w:t>
      </w:r>
      <w:r w:rsidRPr="00C22078">
        <w:rPr>
          <w:sz w:val="20"/>
        </w:rPr>
        <w:t>objectives of the</w:t>
      </w:r>
      <w:r w:rsidRPr="00C22078">
        <w:rPr>
          <w:spacing w:val="-21"/>
          <w:sz w:val="20"/>
        </w:rPr>
        <w:t xml:space="preserve"> </w:t>
      </w:r>
      <w:r w:rsidRPr="00C22078">
        <w:rPr>
          <w:sz w:val="20"/>
        </w:rPr>
        <w:t>Minister</w:t>
      </w:r>
      <w:r w:rsidR="00483A75">
        <w:rPr>
          <w:sz w:val="20"/>
        </w:rPr>
        <w:t xml:space="preserve"> and government of the day</w:t>
      </w:r>
      <w:r w:rsidRPr="00C22078">
        <w:rPr>
          <w:sz w:val="20"/>
        </w:rPr>
        <w:t>.</w:t>
      </w:r>
      <w:r w:rsidRPr="00C22078">
        <w:rPr>
          <w:rFonts w:eastAsia="Arial" w:cs="Arial"/>
          <w:sz w:val="20"/>
        </w:rPr>
        <w:t xml:space="preserve"> The board is held to be ultimately responsible for all aspects of the health service’s</w:t>
      </w:r>
      <w:r w:rsidRPr="00C22078">
        <w:rPr>
          <w:rFonts w:eastAsia="Arial" w:cs="Arial"/>
          <w:spacing w:val="-27"/>
          <w:sz w:val="20"/>
        </w:rPr>
        <w:t xml:space="preserve"> </w:t>
      </w:r>
      <w:r w:rsidRPr="00C22078">
        <w:rPr>
          <w:rFonts w:eastAsia="Arial" w:cs="Arial"/>
          <w:sz w:val="20"/>
        </w:rPr>
        <w:t>activities. This includes, among other</w:t>
      </w:r>
      <w:r w:rsidRPr="00C22078">
        <w:rPr>
          <w:rFonts w:eastAsia="Arial" w:cs="Arial"/>
          <w:spacing w:val="-10"/>
          <w:sz w:val="20"/>
        </w:rPr>
        <w:t xml:space="preserve"> </w:t>
      </w:r>
      <w:r w:rsidRPr="00C22078">
        <w:rPr>
          <w:rFonts w:eastAsia="Arial" w:cs="Arial"/>
          <w:sz w:val="20"/>
        </w:rPr>
        <w:t>things:</w:t>
      </w:r>
    </w:p>
    <w:p w14:paraId="25433983" w14:textId="167272D3" w:rsidR="006977D5" w:rsidRPr="003329A2" w:rsidRDefault="006977D5" w:rsidP="006977D5">
      <w:pPr>
        <w:pStyle w:val="ListParagraph"/>
        <w:widowControl w:val="0"/>
        <w:numPr>
          <w:ilvl w:val="0"/>
          <w:numId w:val="7"/>
        </w:numPr>
        <w:tabs>
          <w:tab w:val="left" w:pos="541"/>
        </w:tabs>
        <w:spacing w:before="124" w:line="253" w:lineRule="exact"/>
        <w:ind w:left="426" w:right="180"/>
        <w:contextualSpacing w:val="0"/>
        <w:rPr>
          <w:rFonts w:eastAsia="Arial" w:cs="Arial"/>
        </w:rPr>
      </w:pPr>
      <w:r w:rsidRPr="003329A2">
        <w:t xml:space="preserve">setting the vision, </w:t>
      </w:r>
      <w:r w:rsidR="00D66404" w:rsidRPr="003329A2">
        <w:t>strategy,</w:t>
      </w:r>
      <w:r w:rsidRPr="003329A2">
        <w:t xml:space="preserve"> and direction of the organisation, in line with </w:t>
      </w:r>
      <w:r w:rsidR="00C906A8">
        <w:t>g</w:t>
      </w:r>
      <w:r w:rsidRPr="00DA778A">
        <w:t>overnment</w:t>
      </w:r>
      <w:r>
        <w:t xml:space="preserve"> </w:t>
      </w:r>
      <w:r w:rsidR="00C906A8">
        <w:t>priorities</w:t>
      </w:r>
    </w:p>
    <w:p w14:paraId="1F0209FE" w14:textId="00EF2A0C" w:rsidR="006977D5" w:rsidRPr="00ED2FC6" w:rsidRDefault="006977D5" w:rsidP="006977D5">
      <w:pPr>
        <w:pStyle w:val="ListParagraph"/>
        <w:widowControl w:val="0"/>
        <w:numPr>
          <w:ilvl w:val="0"/>
          <w:numId w:val="7"/>
        </w:numPr>
        <w:tabs>
          <w:tab w:val="left" w:pos="541"/>
        </w:tabs>
        <w:spacing w:before="128"/>
        <w:ind w:left="426" w:right="180"/>
        <w:contextualSpacing w:val="0"/>
        <w:rPr>
          <w:rFonts w:eastAsia="Arial" w:cs="Arial"/>
        </w:rPr>
      </w:pPr>
      <w:r w:rsidRPr="00ED2FC6">
        <w:t>having ultimate accountability for the delivery of safe and quality</w:t>
      </w:r>
      <w:r w:rsidRPr="00ED2FC6">
        <w:rPr>
          <w:spacing w:val="-14"/>
        </w:rPr>
        <w:t xml:space="preserve"> </w:t>
      </w:r>
      <w:r w:rsidRPr="00ED2FC6">
        <w:t>care</w:t>
      </w:r>
      <w:r w:rsidR="00C906A8">
        <w:t>, including cultural safety</w:t>
      </w:r>
    </w:p>
    <w:p w14:paraId="2C461FFA" w14:textId="6D87E839" w:rsidR="006977D5" w:rsidRPr="00ED2FC6" w:rsidRDefault="00A27EE2" w:rsidP="006977D5">
      <w:pPr>
        <w:pStyle w:val="ListParagraph"/>
        <w:widowControl w:val="0"/>
        <w:numPr>
          <w:ilvl w:val="0"/>
          <w:numId w:val="7"/>
        </w:numPr>
        <w:tabs>
          <w:tab w:val="left" w:pos="541"/>
        </w:tabs>
        <w:spacing w:before="124"/>
        <w:ind w:left="426" w:right="180"/>
        <w:contextualSpacing w:val="0"/>
        <w:rPr>
          <w:rFonts w:eastAsia="Arial" w:cs="Arial"/>
        </w:rPr>
      </w:pPr>
      <w:r>
        <w:t xml:space="preserve">leadership </w:t>
      </w:r>
      <w:r w:rsidR="006977D5" w:rsidRPr="00ED2FC6">
        <w:t>succession planning</w:t>
      </w:r>
      <w:r>
        <w:t xml:space="preserve"> and</w:t>
      </w:r>
      <w:r w:rsidR="006977D5">
        <w:t xml:space="preserve"> </w:t>
      </w:r>
      <w:r w:rsidR="006977D5" w:rsidRPr="00ED2FC6">
        <w:t>performance management of the</w:t>
      </w:r>
      <w:r w:rsidR="006977D5" w:rsidRPr="00ED2FC6">
        <w:rPr>
          <w:spacing w:val="-6"/>
        </w:rPr>
        <w:t xml:space="preserve"> </w:t>
      </w:r>
      <w:r w:rsidR="006977D5" w:rsidRPr="00ED2FC6">
        <w:t>C</w:t>
      </w:r>
      <w:r w:rsidR="00D10031">
        <w:t xml:space="preserve">hief </w:t>
      </w:r>
      <w:r w:rsidR="006977D5" w:rsidRPr="00ED2FC6">
        <w:t>E</w:t>
      </w:r>
      <w:r w:rsidR="00D10031">
        <w:t xml:space="preserve">xecutive </w:t>
      </w:r>
      <w:r w:rsidR="006977D5" w:rsidRPr="00ED2FC6">
        <w:t>O</w:t>
      </w:r>
      <w:r w:rsidR="00D10031">
        <w:t>fficer</w:t>
      </w:r>
    </w:p>
    <w:p w14:paraId="19459755" w14:textId="77777777" w:rsidR="006977D5" w:rsidRPr="00ED2FC6" w:rsidRDefault="006977D5" w:rsidP="006977D5">
      <w:pPr>
        <w:pStyle w:val="ListParagraph"/>
        <w:widowControl w:val="0"/>
        <w:numPr>
          <w:ilvl w:val="0"/>
          <w:numId w:val="7"/>
        </w:numPr>
        <w:tabs>
          <w:tab w:val="left" w:pos="541"/>
        </w:tabs>
        <w:spacing w:before="124"/>
        <w:ind w:left="426" w:right="180"/>
        <w:contextualSpacing w:val="0"/>
        <w:rPr>
          <w:rFonts w:eastAsia="Arial" w:cs="Arial"/>
        </w:rPr>
      </w:pPr>
      <w:r w:rsidRPr="00ED2FC6">
        <w:t>overall oversight of the performance and delivery of key policy</w:t>
      </w:r>
      <w:r w:rsidRPr="00ED2FC6">
        <w:rPr>
          <w:spacing w:val="-7"/>
        </w:rPr>
        <w:t xml:space="preserve"> </w:t>
      </w:r>
      <w:r w:rsidRPr="00ED2FC6">
        <w:t>priorities</w:t>
      </w:r>
    </w:p>
    <w:p w14:paraId="1DCB65BB" w14:textId="77777777" w:rsidR="006977D5" w:rsidRPr="00ED2FC6" w:rsidRDefault="006977D5" w:rsidP="006977D5">
      <w:pPr>
        <w:pStyle w:val="ListParagraph"/>
        <w:widowControl w:val="0"/>
        <w:numPr>
          <w:ilvl w:val="0"/>
          <w:numId w:val="7"/>
        </w:numPr>
        <w:tabs>
          <w:tab w:val="left" w:pos="541"/>
        </w:tabs>
        <w:spacing w:before="124"/>
        <w:ind w:left="426" w:right="180"/>
        <w:contextualSpacing w:val="0"/>
        <w:rPr>
          <w:rFonts w:eastAsia="Arial" w:cs="Arial"/>
        </w:rPr>
      </w:pPr>
      <w:r w:rsidRPr="00ED2FC6">
        <w:t>ensuring the ongoing financial viability of the</w:t>
      </w:r>
      <w:r w:rsidRPr="00ED2FC6">
        <w:rPr>
          <w:spacing w:val="-7"/>
        </w:rPr>
        <w:t xml:space="preserve"> </w:t>
      </w:r>
      <w:r w:rsidRPr="00ED2FC6">
        <w:t>organisation.</w:t>
      </w:r>
    </w:p>
    <w:p w14:paraId="46758EC7" w14:textId="30AB56A6" w:rsidR="006977D5" w:rsidRDefault="006977D5" w:rsidP="006977D5">
      <w:pPr>
        <w:spacing w:before="143" w:line="254" w:lineRule="auto"/>
        <w:ind w:right="180"/>
        <w:rPr>
          <w:sz w:val="20"/>
        </w:rPr>
      </w:pPr>
      <w:r w:rsidRPr="00C22078">
        <w:rPr>
          <w:sz w:val="20"/>
        </w:rPr>
        <w:t>The functions of the board are varied and cover accountability to stakeholders and leadership</w:t>
      </w:r>
      <w:r w:rsidRPr="00C22078">
        <w:rPr>
          <w:spacing w:val="-25"/>
          <w:sz w:val="20"/>
        </w:rPr>
        <w:t xml:space="preserve"> </w:t>
      </w:r>
      <w:r w:rsidRPr="00C22078">
        <w:rPr>
          <w:sz w:val="20"/>
        </w:rPr>
        <w:t>both internally and externally, now and into the longer</w:t>
      </w:r>
      <w:r w:rsidRPr="00C22078">
        <w:rPr>
          <w:spacing w:val="-18"/>
          <w:sz w:val="20"/>
        </w:rPr>
        <w:t xml:space="preserve"> </w:t>
      </w:r>
      <w:r w:rsidRPr="00C22078">
        <w:rPr>
          <w:sz w:val="20"/>
        </w:rPr>
        <w:t>term. Collectively, the board is responsible for creating a governance environment that acts in the best interests of the entity</w:t>
      </w:r>
      <w:r w:rsidR="00417162">
        <w:rPr>
          <w:sz w:val="20"/>
        </w:rPr>
        <w:t>,</w:t>
      </w:r>
      <w:r w:rsidRPr="00C22078">
        <w:rPr>
          <w:sz w:val="20"/>
        </w:rPr>
        <w:t xml:space="preserve"> </w:t>
      </w:r>
      <w:r w:rsidR="003E4425">
        <w:rPr>
          <w:sz w:val="20"/>
        </w:rPr>
        <w:t>the broader health system and its people.</w:t>
      </w:r>
    </w:p>
    <w:p w14:paraId="6591FB01" w14:textId="77777777" w:rsidR="006977D5" w:rsidRPr="00EC5225" w:rsidRDefault="006977D5" w:rsidP="006977D5">
      <w:pPr>
        <w:pStyle w:val="Heading2"/>
        <w:rPr>
          <w:color w:val="C31E57"/>
        </w:rPr>
      </w:pPr>
      <w:r w:rsidRPr="00EC5225">
        <w:rPr>
          <w:color w:val="C31E57"/>
        </w:rPr>
        <w:t>Role of the directors</w:t>
      </w:r>
    </w:p>
    <w:p w14:paraId="2B14B56D" w14:textId="68DD6B0F" w:rsidR="006977D5" w:rsidRDefault="006977D5" w:rsidP="006977D5">
      <w:pPr>
        <w:spacing w:before="143" w:line="254" w:lineRule="auto"/>
        <w:ind w:right="180"/>
        <w:rPr>
          <w:sz w:val="20"/>
        </w:rPr>
      </w:pPr>
      <w:r w:rsidRPr="00C22078">
        <w:rPr>
          <w:rFonts w:eastAsia="Arial" w:cs="Arial"/>
          <w:sz w:val="20"/>
        </w:rPr>
        <w:t>Board directors are an integral part of Victoria’s health</w:t>
      </w:r>
      <w:r w:rsidRPr="00C22078">
        <w:rPr>
          <w:rFonts w:eastAsia="Arial" w:cs="Arial"/>
          <w:spacing w:val="-25"/>
          <w:sz w:val="20"/>
        </w:rPr>
        <w:t xml:space="preserve"> </w:t>
      </w:r>
      <w:r w:rsidRPr="00C22078">
        <w:rPr>
          <w:rFonts w:eastAsia="Arial" w:cs="Arial"/>
          <w:sz w:val="20"/>
        </w:rPr>
        <w:t>system and our health services cannot operate without them. Appointed by the Minister with advice from the Chairperson</w:t>
      </w:r>
      <w:r w:rsidR="00C328C9">
        <w:rPr>
          <w:rFonts w:eastAsia="Arial" w:cs="Arial"/>
          <w:sz w:val="20"/>
        </w:rPr>
        <w:t>,</w:t>
      </w:r>
      <w:r w:rsidRPr="00C22078">
        <w:rPr>
          <w:rFonts w:eastAsia="Arial" w:cs="Arial"/>
          <w:sz w:val="20"/>
        </w:rPr>
        <w:t xml:space="preserve"> the </w:t>
      </w:r>
      <w:r>
        <w:rPr>
          <w:rFonts w:eastAsia="Arial" w:cs="Arial"/>
          <w:sz w:val="20"/>
        </w:rPr>
        <w:t>d</w:t>
      </w:r>
      <w:r w:rsidRPr="00C22078">
        <w:rPr>
          <w:rFonts w:eastAsia="Arial" w:cs="Arial"/>
          <w:sz w:val="20"/>
        </w:rPr>
        <w:t>epartment</w:t>
      </w:r>
      <w:r w:rsidR="00C328C9">
        <w:rPr>
          <w:rFonts w:eastAsia="Arial" w:cs="Arial"/>
          <w:sz w:val="20"/>
        </w:rPr>
        <w:t xml:space="preserve"> and Boards Ministerial Advisory Committee</w:t>
      </w:r>
      <w:r w:rsidRPr="00C22078">
        <w:rPr>
          <w:rFonts w:eastAsia="Arial" w:cs="Arial"/>
          <w:sz w:val="20"/>
        </w:rPr>
        <w:t xml:space="preserve">, directors are Australian citizens or permanent residents and preferably members of the Victorian public. </w:t>
      </w:r>
      <w:r w:rsidR="00C328C9">
        <w:rPr>
          <w:rFonts w:eastAsia="Arial" w:cs="Arial"/>
          <w:sz w:val="20"/>
        </w:rPr>
        <w:t xml:space="preserve">Directors </w:t>
      </w:r>
      <w:r w:rsidRPr="00C22078">
        <w:rPr>
          <w:rFonts w:eastAsia="Arial" w:cs="Arial"/>
          <w:sz w:val="20"/>
        </w:rPr>
        <w:t xml:space="preserve">are selected for </w:t>
      </w:r>
      <w:r w:rsidR="00C328C9">
        <w:rPr>
          <w:rFonts w:eastAsia="Arial" w:cs="Arial"/>
          <w:sz w:val="20"/>
        </w:rPr>
        <w:t>their capabilities</w:t>
      </w:r>
      <w:r w:rsidR="00404156">
        <w:rPr>
          <w:rFonts w:eastAsia="Arial" w:cs="Arial"/>
          <w:sz w:val="20"/>
        </w:rPr>
        <w:t xml:space="preserve">, </w:t>
      </w:r>
      <w:r w:rsidR="00404156" w:rsidRPr="00960E34">
        <w:rPr>
          <w:rFonts w:eastAsia="Arial" w:cs="Arial"/>
          <w:sz w:val="20"/>
        </w:rPr>
        <w:t>encompassing personal and professional attributes, skills, knowledge and experience</w:t>
      </w:r>
      <w:r w:rsidRPr="00C22078">
        <w:rPr>
          <w:sz w:val="20"/>
        </w:rPr>
        <w:t>, and which they will continue to develop while on the board.</w:t>
      </w:r>
    </w:p>
    <w:p w14:paraId="0E9C7212" w14:textId="77777777" w:rsidR="005D2711" w:rsidRDefault="005D2711" w:rsidP="006977D5">
      <w:pPr>
        <w:spacing w:before="137"/>
        <w:ind w:right="180"/>
        <w:rPr>
          <w:sz w:val="20"/>
        </w:rPr>
      </w:pPr>
    </w:p>
    <w:p w14:paraId="293548BC" w14:textId="24EC0C31" w:rsidR="006977D5" w:rsidRPr="00C22078" w:rsidRDefault="006977D5" w:rsidP="006977D5">
      <w:pPr>
        <w:spacing w:before="137"/>
        <w:ind w:right="180"/>
        <w:rPr>
          <w:rFonts w:eastAsia="Arial" w:cs="Arial"/>
          <w:sz w:val="20"/>
        </w:rPr>
      </w:pPr>
      <w:r w:rsidRPr="00C22078">
        <w:rPr>
          <w:sz w:val="20"/>
        </w:rPr>
        <w:lastRenderedPageBreak/>
        <w:t>Board directors</w:t>
      </w:r>
      <w:r w:rsidRPr="00C22078">
        <w:rPr>
          <w:spacing w:val="-15"/>
          <w:sz w:val="20"/>
        </w:rPr>
        <w:t xml:space="preserve"> </w:t>
      </w:r>
      <w:r w:rsidRPr="00C22078">
        <w:rPr>
          <w:sz w:val="20"/>
        </w:rPr>
        <w:t>are expected</w:t>
      </w:r>
      <w:r w:rsidRPr="00C22078">
        <w:rPr>
          <w:spacing w:val="-3"/>
          <w:sz w:val="20"/>
        </w:rPr>
        <w:t xml:space="preserve"> </w:t>
      </w:r>
      <w:r w:rsidRPr="00C22078">
        <w:rPr>
          <w:sz w:val="20"/>
        </w:rPr>
        <w:t>to:</w:t>
      </w:r>
    </w:p>
    <w:p w14:paraId="283126EE" w14:textId="59955840" w:rsidR="006977D5" w:rsidRPr="00ED2FC6" w:rsidRDefault="006977D5" w:rsidP="006977D5">
      <w:pPr>
        <w:pStyle w:val="ListParagraph"/>
        <w:widowControl w:val="0"/>
        <w:numPr>
          <w:ilvl w:val="0"/>
          <w:numId w:val="8"/>
        </w:numPr>
        <w:tabs>
          <w:tab w:val="left" w:pos="541"/>
        </w:tabs>
        <w:spacing w:before="103" w:line="271" w:lineRule="auto"/>
        <w:ind w:right="762"/>
        <w:contextualSpacing w:val="0"/>
        <w:rPr>
          <w:rFonts w:eastAsia="Arial" w:cs="Arial"/>
        </w:rPr>
      </w:pPr>
      <w:r w:rsidRPr="00ED2FC6">
        <w:rPr>
          <w:rFonts w:eastAsia="Arial" w:cs="Arial"/>
        </w:rPr>
        <w:t xml:space="preserve">Commit to the delivery of safe, high quality, </w:t>
      </w:r>
      <w:r w:rsidR="00452A28">
        <w:rPr>
          <w:rFonts w:eastAsia="Arial" w:cs="Arial"/>
        </w:rPr>
        <w:t xml:space="preserve">culturally safe, </w:t>
      </w:r>
      <w:r w:rsidRPr="00ED2FC6">
        <w:rPr>
          <w:rFonts w:eastAsia="Arial" w:cs="Arial"/>
        </w:rPr>
        <w:t>person-centred care – a genuine interest in</w:t>
      </w:r>
      <w:r w:rsidRPr="00ED2FC6">
        <w:rPr>
          <w:rFonts w:eastAsia="Arial" w:cs="Arial"/>
          <w:spacing w:val="-20"/>
        </w:rPr>
        <w:t xml:space="preserve"> </w:t>
      </w:r>
      <w:r w:rsidRPr="00ED2FC6">
        <w:rPr>
          <w:rFonts w:eastAsia="Arial" w:cs="Arial"/>
        </w:rPr>
        <w:t>the fundamental purpose of the organisation and its role in the health care service</w:t>
      </w:r>
      <w:r w:rsidRPr="00ED2FC6">
        <w:rPr>
          <w:rFonts w:eastAsia="Arial" w:cs="Arial"/>
          <w:spacing w:val="-19"/>
        </w:rPr>
        <w:t xml:space="preserve"> </w:t>
      </w:r>
      <w:r w:rsidRPr="00ED2FC6">
        <w:rPr>
          <w:rFonts w:eastAsia="Arial" w:cs="Arial"/>
        </w:rPr>
        <w:t>system</w:t>
      </w:r>
      <w:r w:rsidR="006A5629">
        <w:rPr>
          <w:rFonts w:eastAsia="Arial" w:cs="Arial"/>
        </w:rPr>
        <w:t>.</w:t>
      </w:r>
    </w:p>
    <w:p w14:paraId="2E99865F" w14:textId="51677740" w:rsidR="000B12F5" w:rsidRPr="008C7369" w:rsidRDefault="000B12F5" w:rsidP="000B12F5">
      <w:pPr>
        <w:pStyle w:val="ListParagraph"/>
        <w:widowControl w:val="0"/>
        <w:numPr>
          <w:ilvl w:val="0"/>
          <w:numId w:val="8"/>
        </w:numPr>
        <w:tabs>
          <w:tab w:val="left" w:pos="541"/>
        </w:tabs>
        <w:spacing w:before="122" w:line="271" w:lineRule="auto"/>
        <w:ind w:right="212"/>
        <w:contextualSpacing w:val="0"/>
        <w:rPr>
          <w:rFonts w:eastAsia="Arial" w:cs="Arial"/>
        </w:rPr>
      </w:pPr>
      <w:r w:rsidRPr="008C7369">
        <w:rPr>
          <w:rFonts w:eastAsia="Arial" w:cs="Arial"/>
        </w:rPr>
        <w:t>Have integrity and be accountable – dedication to fulfilling a director’s duties and</w:t>
      </w:r>
      <w:r w:rsidRPr="008C7369">
        <w:rPr>
          <w:rFonts w:eastAsia="Arial" w:cs="Arial"/>
          <w:spacing w:val="-28"/>
        </w:rPr>
        <w:t xml:space="preserve"> </w:t>
      </w:r>
      <w:r w:rsidRPr="008C7369">
        <w:rPr>
          <w:rFonts w:eastAsia="Arial" w:cs="Arial"/>
        </w:rPr>
        <w:t>responsibilities, putting</w:t>
      </w:r>
      <w:r>
        <w:rPr>
          <w:rFonts w:eastAsia="Arial" w:cs="Arial"/>
        </w:rPr>
        <w:t xml:space="preserve"> </w:t>
      </w:r>
      <w:r w:rsidRPr="008C7369">
        <w:rPr>
          <w:rFonts w:eastAsia="Arial" w:cs="Arial"/>
        </w:rPr>
        <w:t>the organisation’s interests before personal interests and acting</w:t>
      </w:r>
      <w:r w:rsidRPr="008C7369">
        <w:rPr>
          <w:rFonts w:eastAsia="Arial" w:cs="Arial"/>
          <w:spacing w:val="-11"/>
        </w:rPr>
        <w:t xml:space="preserve"> </w:t>
      </w:r>
      <w:r w:rsidRPr="008C7369">
        <w:rPr>
          <w:rFonts w:eastAsia="Arial" w:cs="Arial"/>
        </w:rPr>
        <w:t>ethically</w:t>
      </w:r>
      <w:r w:rsidR="006A5629">
        <w:rPr>
          <w:rFonts w:eastAsia="Arial" w:cs="Arial"/>
        </w:rPr>
        <w:t>.</w:t>
      </w:r>
    </w:p>
    <w:p w14:paraId="22D3B37D" w14:textId="33DB070B" w:rsidR="000B12F5" w:rsidRDefault="000B12F5" w:rsidP="000B12F5">
      <w:pPr>
        <w:pStyle w:val="ListParagraph"/>
        <w:widowControl w:val="0"/>
        <w:numPr>
          <w:ilvl w:val="0"/>
          <w:numId w:val="8"/>
        </w:numPr>
        <w:tabs>
          <w:tab w:val="left" w:pos="541"/>
        </w:tabs>
        <w:spacing w:before="125" w:line="273" w:lineRule="auto"/>
        <w:ind w:right="144"/>
        <w:contextualSpacing w:val="0"/>
        <w:rPr>
          <w:rFonts w:eastAsia="Arial" w:cs="Arial"/>
        </w:rPr>
      </w:pPr>
      <w:r w:rsidRPr="00ED2FC6">
        <w:t>Provide constructive challenge and oversight - the curiosity to ask questions and the courage</w:t>
      </w:r>
      <w:r w:rsidRPr="00ED2FC6">
        <w:rPr>
          <w:spacing w:val="-23"/>
        </w:rPr>
        <w:t xml:space="preserve"> </w:t>
      </w:r>
      <w:r w:rsidRPr="00ED2FC6">
        <w:t>to persist in asking, and to challenge management and fellow board directors</w:t>
      </w:r>
      <w:r w:rsidR="00902DA2">
        <w:t>, where necessary and in a respectful manner</w:t>
      </w:r>
      <w:r w:rsidRPr="00ED2FC6">
        <w:t>.</w:t>
      </w:r>
    </w:p>
    <w:p w14:paraId="462AF9CF" w14:textId="0956B097" w:rsidR="006977D5" w:rsidRDefault="006977D5" w:rsidP="006977D5">
      <w:pPr>
        <w:pStyle w:val="ListParagraph"/>
        <w:widowControl w:val="0"/>
        <w:numPr>
          <w:ilvl w:val="0"/>
          <w:numId w:val="8"/>
        </w:numPr>
        <w:tabs>
          <w:tab w:val="left" w:pos="541"/>
        </w:tabs>
        <w:spacing w:before="125" w:line="273" w:lineRule="auto"/>
        <w:ind w:right="144"/>
        <w:contextualSpacing w:val="0"/>
        <w:rPr>
          <w:rFonts w:eastAsia="Arial" w:cs="Arial"/>
        </w:rPr>
      </w:pPr>
      <w:r w:rsidRPr="00ED2FC6">
        <w:rPr>
          <w:rFonts w:eastAsia="Arial" w:cs="Arial"/>
        </w:rPr>
        <w:t>Use and interpret complex information – understanding the need for information on which to</w:t>
      </w:r>
      <w:r w:rsidRPr="00ED2FC6">
        <w:rPr>
          <w:rFonts w:eastAsia="Arial" w:cs="Arial"/>
          <w:spacing w:val="-21"/>
        </w:rPr>
        <w:t xml:space="preserve"> </w:t>
      </w:r>
      <w:r w:rsidRPr="00ED2FC6">
        <w:rPr>
          <w:rFonts w:eastAsia="Arial" w:cs="Arial"/>
        </w:rPr>
        <w:t>base decisions</w:t>
      </w:r>
      <w:bookmarkStart w:id="3" w:name="_Hlk63943238"/>
      <w:r w:rsidR="006A5629">
        <w:rPr>
          <w:rFonts w:eastAsia="Arial" w:cs="Arial"/>
        </w:rPr>
        <w:t>.</w:t>
      </w:r>
    </w:p>
    <w:p w14:paraId="311B09C1" w14:textId="272AB4A2" w:rsidR="00890719" w:rsidRPr="00DE707E" w:rsidRDefault="00890719" w:rsidP="006977D5">
      <w:pPr>
        <w:pStyle w:val="ListParagraph"/>
        <w:widowControl w:val="0"/>
        <w:numPr>
          <w:ilvl w:val="0"/>
          <w:numId w:val="8"/>
        </w:numPr>
        <w:tabs>
          <w:tab w:val="left" w:pos="541"/>
        </w:tabs>
        <w:spacing w:before="122" w:line="276" w:lineRule="auto"/>
        <w:ind w:right="401"/>
        <w:contextualSpacing w:val="0"/>
        <w:rPr>
          <w:rFonts w:eastAsia="Arial" w:cs="Arial"/>
        </w:rPr>
      </w:pPr>
      <w:bookmarkStart w:id="4" w:name="_Hlk63942619"/>
      <w:bookmarkEnd w:id="3"/>
      <w:r>
        <w:t>B</w:t>
      </w:r>
      <w:r w:rsidRPr="00C6289A">
        <w:t xml:space="preserve">e aware of the </w:t>
      </w:r>
      <w:r>
        <w:t xml:space="preserve">Mental </w:t>
      </w:r>
      <w:r w:rsidRPr="00C61776">
        <w:rPr>
          <w:i/>
          <w:iCs/>
        </w:rPr>
        <w:t xml:space="preserve">Health Act </w:t>
      </w:r>
      <w:r>
        <w:rPr>
          <w:i/>
          <w:iCs/>
        </w:rPr>
        <w:t>2014</w:t>
      </w:r>
      <w:r w:rsidRPr="00C61776">
        <w:rPr>
          <w:i/>
          <w:iCs/>
        </w:rPr>
        <w:t xml:space="preserve"> (Vic)</w:t>
      </w:r>
      <w:r>
        <w:t xml:space="preserve"> </w:t>
      </w:r>
      <w:r w:rsidRPr="00C6289A">
        <w:t>and other applicable</w:t>
      </w:r>
      <w:r w:rsidRPr="00C6289A">
        <w:rPr>
          <w:spacing w:val="-22"/>
        </w:rPr>
        <w:t xml:space="preserve"> </w:t>
      </w:r>
      <w:r>
        <w:t>legislation and regulations</w:t>
      </w:r>
      <w:r w:rsidRPr="00C6289A">
        <w:t>.</w:t>
      </w:r>
    </w:p>
    <w:p w14:paraId="30709C31" w14:textId="0872D41D" w:rsidR="006977D5" w:rsidRPr="004C7073" w:rsidRDefault="006977D5" w:rsidP="006977D5">
      <w:pPr>
        <w:pStyle w:val="ListParagraph"/>
        <w:widowControl w:val="0"/>
        <w:numPr>
          <w:ilvl w:val="0"/>
          <w:numId w:val="8"/>
        </w:numPr>
        <w:tabs>
          <w:tab w:val="left" w:pos="541"/>
        </w:tabs>
        <w:spacing w:before="122" w:line="276" w:lineRule="auto"/>
        <w:ind w:right="401"/>
        <w:contextualSpacing w:val="0"/>
        <w:rPr>
          <w:rFonts w:eastAsia="Arial" w:cs="Arial"/>
        </w:rPr>
      </w:pPr>
      <w:r>
        <w:t>Commit the time required to fully exercise the duties required of the position (approx. 16 hours per month to prepare for and attend board and committee meetings)</w:t>
      </w:r>
      <w:r w:rsidRPr="00ED2FC6">
        <w:t>.</w:t>
      </w:r>
      <w:r w:rsidR="00D56225">
        <w:t xml:space="preserve"> Time is needed to: </w:t>
      </w:r>
      <w:r w:rsidRPr="00ED2FC6">
        <w:t xml:space="preserve"> </w:t>
      </w:r>
    </w:p>
    <w:p w14:paraId="6B24D459" w14:textId="465168A1" w:rsidR="006977D5" w:rsidRPr="00ED2FC6" w:rsidRDefault="006977D5" w:rsidP="006977D5">
      <w:pPr>
        <w:pStyle w:val="ListParagraph"/>
        <w:widowControl w:val="0"/>
        <w:numPr>
          <w:ilvl w:val="1"/>
          <w:numId w:val="8"/>
        </w:numPr>
        <w:tabs>
          <w:tab w:val="left" w:pos="966"/>
        </w:tabs>
        <w:spacing w:before="120" w:line="256" w:lineRule="auto"/>
        <w:ind w:right="401"/>
        <w:contextualSpacing w:val="0"/>
        <w:rPr>
          <w:rFonts w:eastAsia="Arial" w:cs="Arial"/>
        </w:rPr>
      </w:pPr>
      <w:r w:rsidRPr="00ED2FC6">
        <w:t>Attend</w:t>
      </w:r>
      <w:r>
        <w:t>, as a minimum, 75 percent of the</w:t>
      </w:r>
      <w:r w:rsidRPr="00ED2FC6">
        <w:t xml:space="preserve"> approximately 1</w:t>
      </w:r>
      <w:r>
        <w:t>1</w:t>
      </w:r>
      <w:r w:rsidRPr="00ED2FC6">
        <w:t xml:space="preserve"> board meetings per year (</w:t>
      </w:r>
      <w:r>
        <w:t>these are usually held during the day)</w:t>
      </w:r>
      <w:r w:rsidR="0003732B">
        <w:t>. Meetings may be attended in person or on-line however some in-person commitments may be required.</w:t>
      </w:r>
    </w:p>
    <w:p w14:paraId="7EF33E48" w14:textId="3C27D390" w:rsidR="006977D5" w:rsidRPr="00ED2FC6" w:rsidRDefault="004C7073" w:rsidP="006977D5">
      <w:pPr>
        <w:pStyle w:val="ListParagraph"/>
        <w:widowControl w:val="0"/>
        <w:numPr>
          <w:ilvl w:val="1"/>
          <w:numId w:val="8"/>
        </w:numPr>
        <w:tabs>
          <w:tab w:val="left" w:pos="966"/>
        </w:tabs>
        <w:spacing w:before="142" w:line="271" w:lineRule="auto"/>
        <w:ind w:right="144"/>
        <w:contextualSpacing w:val="0"/>
        <w:rPr>
          <w:rFonts w:eastAsia="Arial" w:cs="Arial"/>
        </w:rPr>
      </w:pPr>
      <w:r w:rsidRPr="00587BFE">
        <w:t>participate on sub-committees of the board and serve on one or more ad-hoc committees as necessary. The chairperson will ask that their directors serve on a number of sub-committees (including, but not limited to, audit and risk, finance, clinical governance and quality, remuneration and succession planning, research and strategic planning and oversight). Subcommittees, depending on the category of sub-committee, may meet every month, every two months or quarterly</w:t>
      </w:r>
      <w:r>
        <w:t>;</w:t>
      </w:r>
    </w:p>
    <w:p w14:paraId="17699E1D" w14:textId="11E08E2D" w:rsidR="004C7073" w:rsidRPr="004C7073" w:rsidRDefault="004C7073" w:rsidP="004C7073">
      <w:pPr>
        <w:pStyle w:val="ListParagraph"/>
        <w:widowControl w:val="0"/>
        <w:numPr>
          <w:ilvl w:val="1"/>
          <w:numId w:val="8"/>
        </w:numPr>
        <w:tabs>
          <w:tab w:val="left" w:pos="966"/>
        </w:tabs>
        <w:spacing w:before="125" w:line="256" w:lineRule="auto"/>
        <w:ind w:right="263"/>
        <w:contextualSpacing w:val="0"/>
        <w:rPr>
          <w:rFonts w:eastAsia="Arial" w:cs="Arial"/>
        </w:rPr>
      </w:pPr>
      <w:r w:rsidRPr="00ED2FC6">
        <w:t>review agenda items</w:t>
      </w:r>
      <w:r>
        <w:t xml:space="preserve"> and </w:t>
      </w:r>
      <w:r w:rsidRPr="00ED2FC6">
        <w:t>board papers</w:t>
      </w:r>
      <w:r>
        <w:t xml:space="preserve"> in anticipation of an upcoming board/sub-committee meeting; </w:t>
      </w:r>
    </w:p>
    <w:p w14:paraId="1BA3133C" w14:textId="77777777" w:rsidR="004C7073" w:rsidRPr="00ED2FC6" w:rsidRDefault="004C7073" w:rsidP="004C7073">
      <w:pPr>
        <w:pStyle w:val="ListParagraph"/>
        <w:widowControl w:val="0"/>
        <w:numPr>
          <w:ilvl w:val="1"/>
          <w:numId w:val="8"/>
        </w:numPr>
        <w:tabs>
          <w:tab w:val="left" w:pos="966"/>
        </w:tabs>
        <w:spacing w:before="125" w:line="256" w:lineRule="auto"/>
        <w:ind w:right="263"/>
        <w:contextualSpacing w:val="0"/>
        <w:rPr>
          <w:rFonts w:eastAsia="Arial" w:cs="Arial"/>
        </w:rPr>
      </w:pPr>
      <w:r>
        <w:t>review the most recent board/sub-committee meeting minutes to confirm what was discussed and agreed; and</w:t>
      </w:r>
    </w:p>
    <w:p w14:paraId="27FB17C0" w14:textId="63A39794" w:rsidR="004C7073" w:rsidRPr="00ED2FC6" w:rsidRDefault="004C7073" w:rsidP="004C7073">
      <w:pPr>
        <w:pStyle w:val="ListParagraph"/>
        <w:widowControl w:val="0"/>
        <w:numPr>
          <w:ilvl w:val="1"/>
          <w:numId w:val="8"/>
        </w:numPr>
        <w:tabs>
          <w:tab w:val="left" w:pos="966"/>
        </w:tabs>
        <w:spacing w:before="140" w:line="271" w:lineRule="auto"/>
        <w:ind w:right="312"/>
        <w:contextualSpacing w:val="0"/>
        <w:rPr>
          <w:rFonts w:eastAsia="Arial" w:cs="Arial"/>
        </w:rPr>
      </w:pPr>
      <w:r w:rsidRPr="00587BFE">
        <w:rPr>
          <w:rFonts w:eastAsia="Arial" w:cs="Arial"/>
        </w:rPr>
        <w:t>attend events where the health service requires representation, which includes fundraising and other community events. Board directors should also be prepared to attend board strategy days, open access board meetings, A</w:t>
      </w:r>
      <w:r w:rsidR="00411771">
        <w:rPr>
          <w:rFonts w:eastAsia="Arial" w:cs="Arial"/>
        </w:rPr>
        <w:t xml:space="preserve">nnual </w:t>
      </w:r>
      <w:r w:rsidRPr="00587BFE">
        <w:rPr>
          <w:rFonts w:eastAsia="Arial" w:cs="Arial"/>
        </w:rPr>
        <w:t>G</w:t>
      </w:r>
      <w:r w:rsidR="00411771">
        <w:rPr>
          <w:rFonts w:eastAsia="Arial" w:cs="Arial"/>
        </w:rPr>
        <w:t xml:space="preserve">eneral </w:t>
      </w:r>
      <w:r w:rsidRPr="00587BFE">
        <w:rPr>
          <w:rFonts w:eastAsia="Arial" w:cs="Arial"/>
        </w:rPr>
        <w:t>M</w:t>
      </w:r>
      <w:r w:rsidR="00411771">
        <w:rPr>
          <w:rFonts w:eastAsia="Arial" w:cs="Arial"/>
        </w:rPr>
        <w:t>eeting</w:t>
      </w:r>
      <w:r w:rsidRPr="00587BFE">
        <w:rPr>
          <w:rFonts w:eastAsia="Arial" w:cs="Arial"/>
        </w:rPr>
        <w:t>s and other nominated events which may be part of the board’s calendar. This expectation applies to all board directors regardless of their residential location</w:t>
      </w:r>
    </w:p>
    <w:p w14:paraId="7BC19F7B" w14:textId="77777777" w:rsidR="006977D5" w:rsidRPr="00ED2FC6" w:rsidRDefault="006977D5" w:rsidP="006977D5">
      <w:pPr>
        <w:pStyle w:val="ListParagraph"/>
        <w:widowControl w:val="0"/>
        <w:numPr>
          <w:ilvl w:val="0"/>
          <w:numId w:val="8"/>
        </w:numPr>
        <w:tabs>
          <w:tab w:val="left" w:pos="541"/>
        </w:tabs>
        <w:spacing w:before="125" w:line="271" w:lineRule="auto"/>
        <w:ind w:right="463"/>
        <w:contextualSpacing w:val="0"/>
        <w:rPr>
          <w:rFonts w:eastAsia="Arial" w:cs="Arial"/>
        </w:rPr>
      </w:pPr>
      <w:r w:rsidRPr="00ED2FC6">
        <w:rPr>
          <w:rFonts w:eastAsia="Arial" w:cs="Arial"/>
        </w:rPr>
        <w:t>Develop a full understanding of the organisation’s finances, scope of service, strategic</w:t>
      </w:r>
      <w:r w:rsidRPr="00ED2FC6">
        <w:rPr>
          <w:rFonts w:eastAsia="Arial" w:cs="Arial"/>
          <w:spacing w:val="-30"/>
        </w:rPr>
        <w:t xml:space="preserve"> </w:t>
      </w:r>
      <w:r w:rsidRPr="00ED2FC6">
        <w:rPr>
          <w:rFonts w:eastAsia="Arial" w:cs="Arial"/>
        </w:rPr>
        <w:t>context and legal</w:t>
      </w:r>
      <w:r w:rsidRPr="00ED2FC6">
        <w:rPr>
          <w:rFonts w:eastAsia="Arial" w:cs="Arial"/>
          <w:spacing w:val="-3"/>
        </w:rPr>
        <w:t xml:space="preserve"> </w:t>
      </w:r>
      <w:r w:rsidRPr="00ED2FC6">
        <w:rPr>
          <w:rFonts w:eastAsia="Arial" w:cs="Arial"/>
        </w:rPr>
        <w:t>framework.</w:t>
      </w:r>
    </w:p>
    <w:p w14:paraId="05A16C32" w14:textId="1C1B8B2F" w:rsidR="004C7073" w:rsidRPr="00ED2FC6" w:rsidRDefault="006977D5" w:rsidP="004C7073">
      <w:pPr>
        <w:pStyle w:val="ListParagraph"/>
        <w:widowControl w:val="0"/>
        <w:numPr>
          <w:ilvl w:val="0"/>
          <w:numId w:val="8"/>
        </w:numPr>
        <w:tabs>
          <w:tab w:val="left" w:pos="541"/>
        </w:tabs>
        <w:spacing w:before="127" w:line="273" w:lineRule="auto"/>
        <w:ind w:right="212"/>
        <w:contextualSpacing w:val="0"/>
        <w:rPr>
          <w:rFonts w:eastAsia="Arial" w:cs="Arial"/>
        </w:rPr>
      </w:pPr>
      <w:r w:rsidRPr="00ED2FC6">
        <w:rPr>
          <w:rFonts w:eastAsia="Arial" w:cs="Arial"/>
        </w:rPr>
        <w:t>Adhere to the relevant obligations and duties set out in the Victorian Public Sector</w:t>
      </w:r>
      <w:r w:rsidRPr="00ED2FC6">
        <w:rPr>
          <w:rFonts w:eastAsia="Arial" w:cs="Arial"/>
          <w:spacing w:val="-20"/>
        </w:rPr>
        <w:t xml:space="preserve"> </w:t>
      </w:r>
      <w:r w:rsidRPr="00ED2FC6">
        <w:rPr>
          <w:rFonts w:eastAsia="Arial" w:cs="Arial"/>
        </w:rPr>
        <w:t>Commission’s (VPSC) Directors’ Code of Conduct</w:t>
      </w:r>
      <w:r w:rsidRPr="00346B5A">
        <w:rPr>
          <w:rStyle w:val="FootnoteReference"/>
          <w:rFonts w:eastAsia="Arial" w:cs="Arial"/>
        </w:rPr>
        <w:footnoteReference w:id="2"/>
      </w:r>
      <w:r w:rsidRPr="00346B5A">
        <w:rPr>
          <w:rFonts w:eastAsia="Arial" w:cs="Arial"/>
          <w:position w:val="9"/>
        </w:rPr>
        <w:t xml:space="preserve"> </w:t>
      </w:r>
      <w:r w:rsidRPr="00ED2FC6">
        <w:rPr>
          <w:rFonts w:eastAsia="Arial" w:cs="Arial"/>
        </w:rPr>
        <w:t xml:space="preserve">and the </w:t>
      </w:r>
      <w:r w:rsidR="001B3311">
        <w:rPr>
          <w:rFonts w:eastAsia="Arial" w:cs="Arial"/>
        </w:rPr>
        <w:t xml:space="preserve">department’s </w:t>
      </w:r>
      <w:r w:rsidRPr="00ED2FC6">
        <w:rPr>
          <w:rFonts w:eastAsia="Arial" w:cs="Arial"/>
        </w:rPr>
        <w:t>Director’s Toolkit</w:t>
      </w:r>
      <w:r w:rsidRPr="00346B5A">
        <w:rPr>
          <w:rStyle w:val="FootnoteReference"/>
          <w:rFonts w:eastAsia="Arial" w:cs="Arial"/>
        </w:rPr>
        <w:footnoteReference w:id="3"/>
      </w:r>
      <w:r w:rsidRPr="00346B5A">
        <w:rPr>
          <w:rFonts w:eastAsia="Arial" w:cs="Arial"/>
          <w:position w:val="9"/>
        </w:rPr>
        <w:t xml:space="preserve"> </w:t>
      </w:r>
      <w:r w:rsidRPr="00ED2FC6">
        <w:rPr>
          <w:rFonts w:eastAsia="Arial" w:cs="Arial"/>
        </w:rPr>
        <w:t>(namely the</w:t>
      </w:r>
      <w:r w:rsidRPr="00ED2FC6">
        <w:rPr>
          <w:rFonts w:eastAsia="Arial" w:cs="Arial"/>
          <w:spacing w:val="-28"/>
        </w:rPr>
        <w:t xml:space="preserve"> </w:t>
      </w:r>
      <w:r w:rsidRPr="00ED2FC6">
        <w:rPr>
          <w:rFonts w:eastAsia="Arial" w:cs="Arial"/>
        </w:rPr>
        <w:t>‘conduct, ethics and fiduciary duties’ and ‘statutory duties’ chapters).</w:t>
      </w:r>
      <w:r w:rsidR="004C7073" w:rsidRPr="004C7073">
        <w:rPr>
          <w:rFonts w:eastAsia="Arial" w:cs="Arial"/>
        </w:rPr>
        <w:t xml:space="preserve"> </w:t>
      </w:r>
      <w:r w:rsidR="004C7073" w:rsidRPr="00587BFE">
        <w:rPr>
          <w:rFonts w:eastAsia="Arial" w:cs="Arial"/>
        </w:rPr>
        <w:t>As well as bring any actual, potential or perceived conflicts of interest or conflicts of duty to the attention of the board chairperson</w:t>
      </w:r>
      <w:r w:rsidR="004C7073">
        <w:rPr>
          <w:rFonts w:eastAsia="Arial" w:cs="Arial"/>
        </w:rPr>
        <w:t>.</w:t>
      </w:r>
    </w:p>
    <w:p w14:paraId="5F36E782" w14:textId="2491B5E1" w:rsidR="006977D5" w:rsidRPr="004C7073" w:rsidRDefault="006977D5" w:rsidP="00982B25">
      <w:pPr>
        <w:pStyle w:val="ListParagraph"/>
        <w:widowControl w:val="0"/>
        <w:numPr>
          <w:ilvl w:val="0"/>
          <w:numId w:val="8"/>
        </w:numPr>
        <w:tabs>
          <w:tab w:val="left" w:pos="541"/>
        </w:tabs>
        <w:spacing w:before="125" w:line="273" w:lineRule="auto"/>
        <w:ind w:right="180"/>
        <w:contextualSpacing w:val="0"/>
        <w:rPr>
          <w:rFonts w:eastAsia="Arial" w:cs="Arial"/>
        </w:rPr>
      </w:pPr>
      <w:r w:rsidRPr="00ED2FC6">
        <w:t xml:space="preserve">Undertake </w:t>
      </w:r>
      <w:r w:rsidR="00B011D4">
        <w:t xml:space="preserve">Board Induction </w:t>
      </w:r>
      <w:r w:rsidRPr="00ED2FC6">
        <w:t xml:space="preserve">training and </w:t>
      </w:r>
      <w:r w:rsidR="00B011D4">
        <w:t xml:space="preserve">any other professional </w:t>
      </w:r>
      <w:r w:rsidRPr="00ED2FC6">
        <w:t>development required to fully discharge their</w:t>
      </w:r>
      <w:r w:rsidRPr="004C7073">
        <w:rPr>
          <w:spacing w:val="-26"/>
        </w:rPr>
        <w:t xml:space="preserve"> </w:t>
      </w:r>
      <w:r w:rsidRPr="00ED2FC6">
        <w:t>responsibilities.</w:t>
      </w:r>
    </w:p>
    <w:p w14:paraId="40A67272" w14:textId="77777777" w:rsidR="0044575A" w:rsidRDefault="0044575A">
      <w:pPr>
        <w:spacing w:after="0" w:line="240" w:lineRule="auto"/>
        <w:rPr>
          <w:b/>
          <w:color w:val="C31E57"/>
          <w:sz w:val="32"/>
          <w:szCs w:val="28"/>
        </w:rPr>
      </w:pPr>
      <w:r>
        <w:rPr>
          <w:color w:val="C31E57"/>
        </w:rPr>
        <w:br w:type="page"/>
      </w:r>
    </w:p>
    <w:p w14:paraId="585C599D" w14:textId="21B8912F" w:rsidR="006977D5" w:rsidRPr="00EC5225" w:rsidRDefault="006977D5" w:rsidP="006977D5">
      <w:pPr>
        <w:pStyle w:val="Heading2"/>
        <w:rPr>
          <w:color w:val="C31E57"/>
        </w:rPr>
      </w:pPr>
      <w:r w:rsidRPr="00EC5225">
        <w:rPr>
          <w:color w:val="C31E57"/>
        </w:rPr>
        <w:lastRenderedPageBreak/>
        <w:t>Indemnification and remuneration</w:t>
      </w:r>
    </w:p>
    <w:p w14:paraId="69E6D1BF" w14:textId="63F7772E" w:rsidR="006977D5" w:rsidRPr="00C22078" w:rsidRDefault="006977D5" w:rsidP="006977D5">
      <w:pPr>
        <w:rPr>
          <w:rFonts w:eastAsia="Arial" w:cs="Arial"/>
          <w:sz w:val="20"/>
        </w:rPr>
      </w:pPr>
      <w:r w:rsidRPr="00C22078">
        <w:rPr>
          <w:rFonts w:eastAsia="Arial" w:cs="Arial"/>
          <w:sz w:val="20"/>
        </w:rPr>
        <w:t xml:space="preserve">The health service indemnifies board directors so that they are not personally liable for anything done, or omitted to be done, </w:t>
      </w:r>
      <w:r w:rsidRPr="00DE707E">
        <w:rPr>
          <w:rFonts w:eastAsia="Arial" w:cs="Arial"/>
          <w:b/>
          <w:bCs/>
          <w:sz w:val="20"/>
        </w:rPr>
        <w:t>in good faith</w:t>
      </w:r>
      <w:r w:rsidR="00A3656D">
        <w:rPr>
          <w:rFonts w:eastAsia="Arial" w:cs="Arial"/>
          <w:b/>
          <w:bCs/>
          <w:sz w:val="20"/>
        </w:rPr>
        <w:t>,</w:t>
      </w:r>
      <w:r w:rsidRPr="00C22078">
        <w:rPr>
          <w:rFonts w:eastAsia="Arial" w:cs="Arial"/>
          <w:sz w:val="20"/>
        </w:rPr>
        <w:t xml:space="preserve"> when carrying out their duties. Any liability resulting from an act or omission attaches instead to the health service.</w:t>
      </w:r>
    </w:p>
    <w:p w14:paraId="5DE39C85" w14:textId="3BA32E95" w:rsidR="006977D5" w:rsidRDefault="006977D5" w:rsidP="006977D5">
      <w:pPr>
        <w:spacing w:after="0" w:line="240" w:lineRule="auto"/>
        <w:rPr>
          <w:b/>
          <w:color w:val="53565A"/>
          <w:sz w:val="29"/>
          <w:szCs w:val="28"/>
        </w:rPr>
      </w:pPr>
      <w:bookmarkStart w:id="5" w:name="_Hlk63942634"/>
      <w:r w:rsidRPr="00C22078">
        <w:rPr>
          <w:rFonts w:eastAsia="Arial" w:cs="Arial"/>
          <w:sz w:val="20"/>
        </w:rPr>
        <w:t xml:space="preserve">Directors are also entitled to remuneration for their services as a director of a public board. </w:t>
      </w:r>
      <w:r w:rsidR="00BA5279">
        <w:rPr>
          <w:rFonts w:eastAsia="Arial" w:cs="Arial"/>
          <w:sz w:val="20"/>
        </w:rPr>
        <w:t xml:space="preserve">Forensicare </w:t>
      </w:r>
      <w:r w:rsidR="00561B05">
        <w:rPr>
          <w:rFonts w:eastAsia="Arial" w:cs="Arial"/>
          <w:sz w:val="20"/>
        </w:rPr>
        <w:t xml:space="preserve">is classified as a Class A Band 4 board. The 2022-23 remuneration rate for a director for Forensicare is </w:t>
      </w:r>
      <w:r w:rsidR="009810A4" w:rsidRPr="009810A4">
        <w:rPr>
          <w:rFonts w:eastAsia="Arial" w:cs="Arial"/>
          <w:sz w:val="20"/>
        </w:rPr>
        <w:t>$19,043.49 per annum</w:t>
      </w:r>
      <w:r w:rsidRPr="00C22078">
        <w:rPr>
          <w:rFonts w:eastAsia="Arial" w:cs="Arial"/>
          <w:sz w:val="20"/>
        </w:rPr>
        <w:t>.</w:t>
      </w:r>
      <w:bookmarkEnd w:id="4"/>
      <w:bookmarkEnd w:id="5"/>
    </w:p>
    <w:p w14:paraId="5D00581E" w14:textId="77777777" w:rsidR="006977D5" w:rsidRPr="00EC5225" w:rsidRDefault="006977D5" w:rsidP="006977D5">
      <w:pPr>
        <w:pStyle w:val="Heading2"/>
        <w:rPr>
          <w:color w:val="C31E57"/>
        </w:rPr>
      </w:pPr>
      <w:bookmarkStart w:id="6" w:name="_Hlk63943124"/>
      <w:bookmarkStart w:id="7" w:name="_Hlk63942678"/>
      <w:bookmarkStart w:id="8" w:name="_Hlk63942399"/>
      <w:r w:rsidRPr="00EC5225">
        <w:rPr>
          <w:color w:val="C31E57"/>
        </w:rPr>
        <w:t>Key Selection Criteria</w:t>
      </w:r>
    </w:p>
    <w:bookmarkEnd w:id="6"/>
    <w:p w14:paraId="7141675D" w14:textId="7E3EEF94" w:rsidR="006977D5" w:rsidRDefault="006977D5" w:rsidP="006977D5">
      <w:pPr>
        <w:pStyle w:val="Heading3"/>
      </w:pPr>
      <w:r>
        <w:t xml:space="preserve">Minimum </w:t>
      </w:r>
      <w:r w:rsidR="00F92842">
        <w:t xml:space="preserve">individual </w:t>
      </w:r>
      <w:r w:rsidR="002C0D75">
        <w:t xml:space="preserve">capabilities </w:t>
      </w:r>
    </w:p>
    <w:p w14:paraId="75274D46" w14:textId="77777777" w:rsidR="006977D5" w:rsidRPr="00D82B51" w:rsidRDefault="006977D5" w:rsidP="006977D5">
      <w:pPr>
        <w:pStyle w:val="BodyText"/>
        <w:spacing w:after="120"/>
        <w:ind w:right="180"/>
        <w:rPr>
          <w:rFonts w:cs="Arial"/>
        </w:rPr>
      </w:pPr>
      <w:r w:rsidRPr="00D82B51">
        <w:rPr>
          <w:rFonts w:cs="Arial"/>
        </w:rPr>
        <w:t>All applicants are required to demonstrate a basic knowledge and understanding of the following concepts that will equip them to perform the role of a director, and which will be developed further if appointed:</w:t>
      </w:r>
    </w:p>
    <w:p w14:paraId="7FCC653F" w14:textId="5DC13844" w:rsidR="006977D5" w:rsidRPr="00FF7BE0" w:rsidRDefault="002C0D75" w:rsidP="006977D5">
      <w:pPr>
        <w:pStyle w:val="ListParagraph"/>
        <w:widowControl w:val="0"/>
        <w:numPr>
          <w:ilvl w:val="1"/>
          <w:numId w:val="9"/>
        </w:numPr>
        <w:spacing w:after="120"/>
        <w:ind w:left="426" w:right="432"/>
        <w:contextualSpacing w:val="0"/>
        <w:rPr>
          <w:rFonts w:eastAsia="Arial" w:cs="Arial"/>
        </w:rPr>
      </w:pPr>
      <w:r>
        <w:rPr>
          <w:rFonts w:eastAsia="Arial" w:cs="Arial"/>
        </w:rPr>
        <w:t>Corporate g</w:t>
      </w:r>
      <w:r w:rsidR="006977D5" w:rsidRPr="00FF7BE0">
        <w:rPr>
          <w:rFonts w:eastAsia="Arial" w:cs="Arial"/>
        </w:rPr>
        <w:t>overnance – the role of the board, its relationship to management and</w:t>
      </w:r>
      <w:r w:rsidR="006977D5" w:rsidRPr="00FF7BE0">
        <w:rPr>
          <w:rFonts w:eastAsia="Arial" w:cs="Arial"/>
          <w:spacing w:val="-23"/>
        </w:rPr>
        <w:t xml:space="preserve"> </w:t>
      </w:r>
      <w:r w:rsidR="006977D5" w:rsidRPr="00FF7BE0">
        <w:rPr>
          <w:rFonts w:eastAsia="Arial" w:cs="Arial"/>
        </w:rPr>
        <w:t>the</w:t>
      </w:r>
      <w:r w:rsidR="006977D5" w:rsidRPr="00FF7BE0">
        <w:rPr>
          <w:rFonts w:eastAsia="Arial" w:cs="Arial"/>
          <w:w w:val="99"/>
        </w:rPr>
        <w:t xml:space="preserve"> </w:t>
      </w:r>
      <w:r w:rsidR="006977D5" w:rsidRPr="00FF7BE0">
        <w:rPr>
          <w:rFonts w:eastAsia="Arial" w:cs="Arial"/>
        </w:rPr>
        <w:t xml:space="preserve">accountability mechanisms for the </w:t>
      </w:r>
      <w:r w:rsidR="006977D5">
        <w:rPr>
          <w:rFonts w:eastAsia="Arial" w:cs="Arial"/>
        </w:rPr>
        <w:t xml:space="preserve">public </w:t>
      </w:r>
      <w:r w:rsidR="006977D5" w:rsidRPr="00FF7BE0">
        <w:rPr>
          <w:rFonts w:eastAsia="Arial" w:cs="Arial"/>
        </w:rPr>
        <w:t>health service, including the board’s ultimate accountability to</w:t>
      </w:r>
      <w:r w:rsidR="006977D5" w:rsidRPr="00FF7BE0">
        <w:rPr>
          <w:rFonts w:eastAsia="Arial" w:cs="Arial"/>
          <w:spacing w:val="-13"/>
        </w:rPr>
        <w:t xml:space="preserve"> </w:t>
      </w:r>
      <w:r w:rsidR="006977D5" w:rsidRPr="00FF7BE0">
        <w:rPr>
          <w:rFonts w:eastAsia="Arial" w:cs="Arial"/>
        </w:rPr>
        <w:t>the</w:t>
      </w:r>
      <w:r w:rsidR="006977D5" w:rsidRPr="00FF7BE0">
        <w:rPr>
          <w:rFonts w:eastAsia="Arial" w:cs="Arial"/>
          <w:w w:val="99"/>
        </w:rPr>
        <w:t xml:space="preserve"> </w:t>
      </w:r>
      <w:r w:rsidR="006977D5" w:rsidRPr="00FF7BE0">
        <w:rPr>
          <w:rFonts w:eastAsia="Arial" w:cs="Arial"/>
        </w:rPr>
        <w:t>Minister</w:t>
      </w:r>
      <w:r w:rsidR="006A5629">
        <w:rPr>
          <w:rFonts w:eastAsia="Arial" w:cs="Arial"/>
        </w:rPr>
        <w:t>.</w:t>
      </w:r>
      <w:r w:rsidR="006977D5" w:rsidRPr="00FF7BE0">
        <w:rPr>
          <w:rFonts w:eastAsia="Arial" w:cs="Arial"/>
        </w:rPr>
        <w:t xml:space="preserve"> </w:t>
      </w:r>
    </w:p>
    <w:p w14:paraId="5F55149A" w14:textId="5898775F" w:rsidR="006977D5" w:rsidRPr="00FF7BE0" w:rsidRDefault="006977D5" w:rsidP="006977D5">
      <w:pPr>
        <w:pStyle w:val="ListParagraph"/>
        <w:widowControl w:val="0"/>
        <w:numPr>
          <w:ilvl w:val="1"/>
          <w:numId w:val="9"/>
        </w:numPr>
        <w:spacing w:after="120"/>
        <w:ind w:left="426" w:right="299"/>
        <w:contextualSpacing w:val="0"/>
        <w:rPr>
          <w:rFonts w:eastAsia="Arial" w:cs="Arial"/>
        </w:rPr>
      </w:pPr>
      <w:r w:rsidRPr="00FF7BE0">
        <w:rPr>
          <w:rFonts w:cs="Arial"/>
        </w:rPr>
        <w:t>Clinical governance – mechanisms to ensure the delivery of safe, high quality</w:t>
      </w:r>
      <w:r w:rsidR="002C0D75">
        <w:rPr>
          <w:rFonts w:cs="Arial"/>
        </w:rPr>
        <w:t>, culturally s</w:t>
      </w:r>
      <w:r w:rsidR="00866516">
        <w:rPr>
          <w:rFonts w:cs="Arial"/>
        </w:rPr>
        <w:t>a</w:t>
      </w:r>
      <w:r w:rsidR="002C0D75">
        <w:rPr>
          <w:rFonts w:cs="Arial"/>
        </w:rPr>
        <w:t>fe</w:t>
      </w:r>
      <w:r w:rsidRPr="00FF7BE0">
        <w:rPr>
          <w:rFonts w:cs="Arial"/>
        </w:rPr>
        <w:t xml:space="preserve"> services (noting that all new directors will be provided training in the Victorian Clinical Governance Framework)</w:t>
      </w:r>
      <w:r w:rsidR="006A5629">
        <w:rPr>
          <w:rFonts w:cs="Arial"/>
        </w:rPr>
        <w:t>.</w:t>
      </w:r>
    </w:p>
    <w:p w14:paraId="5E043561" w14:textId="6C285C37" w:rsidR="006977D5" w:rsidRPr="00FF7BE0" w:rsidRDefault="006977D5" w:rsidP="006977D5">
      <w:pPr>
        <w:pStyle w:val="ListParagraph"/>
        <w:widowControl w:val="0"/>
        <w:numPr>
          <w:ilvl w:val="1"/>
          <w:numId w:val="9"/>
        </w:numPr>
        <w:spacing w:after="120"/>
        <w:ind w:left="426" w:right="770"/>
        <w:contextualSpacing w:val="0"/>
        <w:rPr>
          <w:rFonts w:eastAsia="Arial" w:cs="Arial"/>
        </w:rPr>
      </w:pPr>
      <w:r w:rsidRPr="00FF7BE0">
        <w:rPr>
          <w:rFonts w:eastAsia="Arial" w:cs="Arial"/>
        </w:rPr>
        <w:t xml:space="preserve">Financial literacy </w:t>
      </w:r>
      <w:r>
        <w:rPr>
          <w:rFonts w:eastAsia="Arial" w:cs="Arial"/>
        </w:rPr>
        <w:t>–</w:t>
      </w:r>
      <w:r w:rsidRPr="00FF7BE0">
        <w:rPr>
          <w:rFonts w:eastAsia="Arial" w:cs="Arial"/>
        </w:rPr>
        <w:t xml:space="preserve"> </w:t>
      </w:r>
      <w:r>
        <w:rPr>
          <w:rFonts w:eastAsia="Arial" w:cs="Arial"/>
        </w:rPr>
        <w:t xml:space="preserve">the ability </w:t>
      </w:r>
      <w:r w:rsidRPr="00FF7BE0">
        <w:rPr>
          <w:rFonts w:eastAsia="Arial" w:cs="Arial"/>
        </w:rPr>
        <w:t>to understand and interpret financial reports, in</w:t>
      </w:r>
      <w:r w:rsidR="002C0D75">
        <w:rPr>
          <w:rFonts w:eastAsia="Arial" w:cs="Arial"/>
        </w:rPr>
        <w:t>cluding</w:t>
      </w:r>
      <w:r w:rsidRPr="00FF7BE0">
        <w:rPr>
          <w:rFonts w:eastAsia="Arial" w:cs="Arial"/>
        </w:rPr>
        <w:t xml:space="preserve"> the audited</w:t>
      </w:r>
      <w:r w:rsidRPr="00FF7BE0">
        <w:rPr>
          <w:rFonts w:eastAsia="Arial" w:cs="Arial"/>
          <w:spacing w:val="-22"/>
        </w:rPr>
        <w:t xml:space="preserve"> </w:t>
      </w:r>
      <w:r w:rsidRPr="00FF7BE0">
        <w:rPr>
          <w:rFonts w:eastAsia="Arial" w:cs="Arial"/>
        </w:rPr>
        <w:t>financial</w:t>
      </w:r>
      <w:r w:rsidRPr="00FF7BE0">
        <w:rPr>
          <w:rFonts w:eastAsia="Arial" w:cs="Arial"/>
          <w:w w:val="99"/>
        </w:rPr>
        <w:t xml:space="preserve"> </w:t>
      </w:r>
      <w:r w:rsidRPr="00FF7BE0">
        <w:rPr>
          <w:rFonts w:eastAsia="Arial" w:cs="Arial"/>
        </w:rPr>
        <w:t>statement in the organisation’s Annual</w:t>
      </w:r>
      <w:r w:rsidRPr="00FF7BE0">
        <w:rPr>
          <w:rFonts w:eastAsia="Arial" w:cs="Arial"/>
          <w:spacing w:val="-4"/>
        </w:rPr>
        <w:t xml:space="preserve"> </w:t>
      </w:r>
      <w:r w:rsidRPr="00FF7BE0">
        <w:rPr>
          <w:rFonts w:eastAsia="Arial" w:cs="Arial"/>
        </w:rPr>
        <w:t>Report</w:t>
      </w:r>
      <w:r>
        <w:rPr>
          <w:rFonts w:eastAsia="Arial" w:cs="Arial"/>
        </w:rPr>
        <w:t>, to determine the financial health of the organisation</w:t>
      </w:r>
      <w:r w:rsidR="006A5629">
        <w:rPr>
          <w:rFonts w:eastAsia="Arial" w:cs="Arial"/>
        </w:rPr>
        <w:t>.</w:t>
      </w:r>
    </w:p>
    <w:p w14:paraId="6280B77B" w14:textId="7A9CC8A0" w:rsidR="006977D5" w:rsidRDefault="006977D5" w:rsidP="006977D5">
      <w:pPr>
        <w:pStyle w:val="ListParagraph"/>
        <w:widowControl w:val="0"/>
        <w:numPr>
          <w:ilvl w:val="1"/>
          <w:numId w:val="9"/>
        </w:numPr>
        <w:spacing w:after="120"/>
        <w:ind w:left="426" w:right="180"/>
        <w:contextualSpacing w:val="0"/>
        <w:rPr>
          <w:rFonts w:eastAsia="Arial" w:cs="Arial"/>
        </w:rPr>
      </w:pPr>
      <w:r w:rsidRPr="00FF7BE0">
        <w:rPr>
          <w:rFonts w:eastAsia="Arial" w:cs="Arial"/>
        </w:rPr>
        <w:t xml:space="preserve">Legal literacy – </w:t>
      </w:r>
      <w:r>
        <w:rPr>
          <w:rFonts w:eastAsia="Arial" w:cs="Arial"/>
        </w:rPr>
        <w:t xml:space="preserve">the ability to </w:t>
      </w:r>
      <w:r w:rsidRPr="00FF7BE0">
        <w:rPr>
          <w:rFonts w:eastAsia="Arial" w:cs="Arial"/>
        </w:rPr>
        <w:t xml:space="preserve">understand </w:t>
      </w:r>
      <w:r>
        <w:rPr>
          <w:rFonts w:eastAsia="Arial" w:cs="Arial"/>
        </w:rPr>
        <w:t xml:space="preserve">the legal framework within which a public health service board operates, including its </w:t>
      </w:r>
      <w:r w:rsidRPr="00FF7BE0">
        <w:rPr>
          <w:rFonts w:eastAsia="Arial" w:cs="Arial"/>
        </w:rPr>
        <w:t xml:space="preserve">primary obligations under </w:t>
      </w:r>
      <w:r>
        <w:rPr>
          <w:rFonts w:eastAsia="Arial" w:cs="Arial"/>
        </w:rPr>
        <w:t xml:space="preserve">the </w:t>
      </w:r>
      <w:r w:rsidR="002354FC">
        <w:rPr>
          <w:rFonts w:eastAsia="Arial" w:cs="Arial"/>
        </w:rPr>
        <w:t>Mental Health</w:t>
      </w:r>
      <w:r>
        <w:rPr>
          <w:rFonts w:eastAsia="Arial" w:cs="Arial"/>
        </w:rPr>
        <w:t xml:space="preserve"> Act</w:t>
      </w:r>
      <w:r w:rsidRPr="00FF7BE0">
        <w:rPr>
          <w:rFonts w:eastAsia="Arial" w:cs="Arial"/>
        </w:rPr>
        <w:t>.</w:t>
      </w:r>
    </w:p>
    <w:bookmarkEnd w:id="7"/>
    <w:p w14:paraId="7F0BE370" w14:textId="16ED404A" w:rsidR="006977D5" w:rsidRDefault="002C0D75" w:rsidP="006977D5">
      <w:pPr>
        <w:pStyle w:val="Heading3"/>
      </w:pPr>
      <w:r>
        <w:t xml:space="preserve">Board </w:t>
      </w:r>
      <w:r w:rsidR="00F92842">
        <w:t>capabilities</w:t>
      </w:r>
    </w:p>
    <w:p w14:paraId="06214643" w14:textId="323C4681" w:rsidR="006977D5" w:rsidRPr="00D82B51" w:rsidRDefault="00BE0500" w:rsidP="006977D5">
      <w:pPr>
        <w:pStyle w:val="BodyText"/>
        <w:spacing w:after="120"/>
        <w:ind w:right="108"/>
        <w:jc w:val="both"/>
      </w:pPr>
      <w:r w:rsidRPr="00BE0500">
        <w:t xml:space="preserve">Ideally, boards are required to cover all capabilities outlined below. </w:t>
      </w:r>
      <w:r w:rsidR="004C7073" w:rsidRPr="004C7073">
        <w:t xml:space="preserve">The department has </w:t>
      </w:r>
      <w:r>
        <w:t xml:space="preserve">currently </w:t>
      </w:r>
      <w:r w:rsidR="004C7073" w:rsidRPr="004C7073">
        <w:t xml:space="preserve">identified 13 </w:t>
      </w:r>
      <w:r>
        <w:t>capabilities</w:t>
      </w:r>
      <w:r w:rsidR="006977D5" w:rsidRPr="00D82B51">
        <w:t xml:space="preserve"> </w:t>
      </w:r>
      <w:r w:rsidR="00CA4A06">
        <w:t xml:space="preserve">which </w:t>
      </w:r>
      <w:r w:rsidR="006977D5" w:rsidRPr="00D82B51">
        <w:t>are grouped into two tiers:</w:t>
      </w:r>
    </w:p>
    <w:p w14:paraId="45913482" w14:textId="68628EEA" w:rsidR="006977D5" w:rsidRPr="00D82B51" w:rsidRDefault="006977D5" w:rsidP="006977D5">
      <w:pPr>
        <w:pStyle w:val="BodyText"/>
        <w:widowControl w:val="0"/>
        <w:numPr>
          <w:ilvl w:val="0"/>
          <w:numId w:val="10"/>
        </w:numPr>
        <w:spacing w:after="120"/>
        <w:ind w:left="426" w:right="108" w:hanging="357"/>
        <w:jc w:val="both"/>
      </w:pPr>
      <w:r w:rsidRPr="00D82B51">
        <w:t xml:space="preserve">Tier 1 – </w:t>
      </w:r>
      <w:r w:rsidR="008717A7">
        <w:t xml:space="preserve">the </w:t>
      </w:r>
      <w:r w:rsidR="008717A7" w:rsidRPr="00D82B51">
        <w:t xml:space="preserve">necessary </w:t>
      </w:r>
      <w:r w:rsidR="008717A7">
        <w:t>capabilities</w:t>
      </w:r>
      <w:r w:rsidR="008717A7" w:rsidRPr="00D82B51">
        <w:t xml:space="preserve"> that </w:t>
      </w:r>
      <w:r w:rsidR="008717A7">
        <w:t>a board requires to set the strategic priorities that a Victorian health board would be expected to address in the normal course of its duties</w:t>
      </w:r>
      <w:r w:rsidRPr="00D82B51">
        <w:t>; and</w:t>
      </w:r>
    </w:p>
    <w:p w14:paraId="6E983398" w14:textId="28118951" w:rsidR="006977D5" w:rsidRPr="00D82B51" w:rsidRDefault="006977D5" w:rsidP="006977D5">
      <w:pPr>
        <w:pStyle w:val="BodyText"/>
        <w:widowControl w:val="0"/>
        <w:numPr>
          <w:ilvl w:val="0"/>
          <w:numId w:val="10"/>
        </w:numPr>
        <w:spacing w:after="120"/>
        <w:ind w:left="426" w:right="108" w:hanging="357"/>
        <w:jc w:val="both"/>
      </w:pPr>
      <w:r w:rsidRPr="00D82B51">
        <w:t xml:space="preserve">Tier 2 – important </w:t>
      </w:r>
      <w:r w:rsidR="008717A7">
        <w:t>capabilities</w:t>
      </w:r>
      <w:r w:rsidR="008717A7" w:rsidRPr="00D82B51">
        <w:t xml:space="preserve"> </w:t>
      </w:r>
      <w:r w:rsidRPr="00D82B51">
        <w:t xml:space="preserve">that are desirable for a board, and the extent of the requirement can be dependent on the strategic plans of the entity. </w:t>
      </w:r>
    </w:p>
    <w:p w14:paraId="60003C49" w14:textId="4F3BB812" w:rsidR="006977D5" w:rsidRPr="00D82B51" w:rsidRDefault="006977D5" w:rsidP="00FB3BC6">
      <w:pPr>
        <w:pStyle w:val="BodyText"/>
        <w:spacing w:after="120"/>
        <w:ind w:right="108"/>
      </w:pPr>
      <w:r w:rsidRPr="00D82B51">
        <w:t xml:space="preserve">In ensuring that </w:t>
      </w:r>
      <w:r w:rsidR="003176AC">
        <w:t xml:space="preserve">these capabilities </w:t>
      </w:r>
      <w:r w:rsidRPr="00D82B51">
        <w:t>are present on the board</w:t>
      </w:r>
      <w:r w:rsidR="003176AC">
        <w:t>,</w:t>
      </w:r>
      <w:r w:rsidRPr="00D82B51">
        <w:t xml:space="preserve"> applicants are asked to nominate and provide supporting information on their three </w:t>
      </w:r>
      <w:r>
        <w:t>primary</w:t>
      </w:r>
      <w:r w:rsidRPr="00D82B51">
        <w:t xml:space="preserve"> </w:t>
      </w:r>
      <w:r w:rsidR="003176AC">
        <w:t>capabilities</w:t>
      </w:r>
      <w:r w:rsidRPr="00D82B51">
        <w:t xml:space="preserve">. Applicants will be on a spectrum of </w:t>
      </w:r>
      <w:r w:rsidR="003176AC">
        <w:t>capability</w:t>
      </w:r>
      <w:r w:rsidRPr="00D82B51">
        <w:t>, with boards seeking applicants</w:t>
      </w:r>
      <w:r w:rsidR="002A4AD7">
        <w:t xml:space="preserve"> </w:t>
      </w:r>
      <w:r w:rsidR="002A4AD7" w:rsidRPr="002A4AD7">
        <w:t>based on current gaps and future needs to manage succession planning</w:t>
      </w:r>
      <w:r w:rsidRPr="00D82B51">
        <w:t>.</w:t>
      </w:r>
      <w:r>
        <w:t xml:space="preserve"> </w:t>
      </w:r>
      <w:bookmarkStart w:id="9" w:name="_Hlk52193803"/>
      <w:r>
        <w:t xml:space="preserve">Applicants will also be able to indicate secondary </w:t>
      </w:r>
      <w:r w:rsidR="002A4AD7">
        <w:t>capabilities</w:t>
      </w:r>
      <w:r>
        <w:t xml:space="preserve">. These are additional </w:t>
      </w:r>
      <w:r w:rsidR="002A4AD7">
        <w:t xml:space="preserve">capabilities </w:t>
      </w:r>
      <w:r>
        <w:t>that a</w:t>
      </w:r>
      <w:r w:rsidR="00B91557">
        <w:t>n applicant</w:t>
      </w:r>
      <w:r>
        <w:t xml:space="preserve"> will possess in addition to their three primary </w:t>
      </w:r>
      <w:r w:rsidR="00B91557">
        <w:t xml:space="preserve">capabilities. </w:t>
      </w:r>
      <w:bookmarkEnd w:id="9"/>
    </w:p>
    <w:p w14:paraId="0415B648" w14:textId="44195030" w:rsidR="006977D5" w:rsidRDefault="006977D5" w:rsidP="006977D5">
      <w:pPr>
        <w:pStyle w:val="DHHSbody"/>
        <w:spacing w:line="240" w:lineRule="auto"/>
        <w:jc w:val="both"/>
        <w:rPr>
          <w:rFonts w:eastAsia="Times New Roman"/>
          <w:lang w:val="en-US"/>
        </w:rPr>
      </w:pPr>
      <w:r>
        <w:rPr>
          <w:rFonts w:eastAsia="Times New Roman"/>
          <w:lang w:val="en-US"/>
        </w:rPr>
        <w:t xml:space="preserve">Applicants should </w:t>
      </w:r>
      <w:r w:rsidR="00347E58">
        <w:rPr>
          <w:rFonts w:eastAsia="Times New Roman"/>
          <w:lang w:val="en-US"/>
        </w:rPr>
        <w:t xml:space="preserve">demonstrate </w:t>
      </w:r>
      <w:r>
        <w:rPr>
          <w:rFonts w:eastAsia="Times New Roman"/>
          <w:lang w:val="en-US"/>
        </w:rPr>
        <w:t>in their application the</w:t>
      </w:r>
      <w:r w:rsidRPr="00A430D0">
        <w:rPr>
          <w:rFonts w:eastAsia="Times New Roman"/>
          <w:lang w:val="en-US"/>
        </w:rPr>
        <w:t xml:space="preserve"> </w:t>
      </w:r>
      <w:r w:rsidR="00347E58">
        <w:rPr>
          <w:rFonts w:eastAsia="Times New Roman"/>
          <w:lang w:val="en-US"/>
        </w:rPr>
        <w:t xml:space="preserve">knowledge and experience they will bring to the role </w:t>
      </w:r>
      <w:r w:rsidRPr="00A430D0">
        <w:rPr>
          <w:rFonts w:eastAsia="Times New Roman"/>
          <w:lang w:val="en-US"/>
        </w:rPr>
        <w:t>in the areas identif</w:t>
      </w:r>
      <w:r>
        <w:rPr>
          <w:rFonts w:eastAsia="Times New Roman"/>
          <w:lang w:val="en-US"/>
        </w:rPr>
        <w:t>ied</w:t>
      </w:r>
      <w:r w:rsidRPr="00A430D0">
        <w:rPr>
          <w:rFonts w:eastAsia="Times New Roman"/>
          <w:lang w:val="en-US"/>
        </w:rPr>
        <w:t xml:space="preserve"> as </w:t>
      </w:r>
      <w:r>
        <w:rPr>
          <w:rFonts w:eastAsia="Times New Roman"/>
          <w:lang w:val="en-US"/>
        </w:rPr>
        <w:t xml:space="preserve">their </w:t>
      </w:r>
      <w:r w:rsidRPr="00A430D0">
        <w:rPr>
          <w:rFonts w:eastAsia="Times New Roman"/>
          <w:lang w:val="en-US"/>
        </w:rPr>
        <w:t xml:space="preserve">key </w:t>
      </w:r>
      <w:r w:rsidR="00B26404">
        <w:rPr>
          <w:rFonts w:eastAsia="Times New Roman"/>
          <w:lang w:val="en-US"/>
        </w:rPr>
        <w:t>capabilities</w:t>
      </w:r>
      <w:r w:rsidRPr="00A430D0">
        <w:rPr>
          <w:rFonts w:eastAsia="Times New Roman"/>
          <w:lang w:val="en-US"/>
        </w:rPr>
        <w:t>.</w:t>
      </w:r>
    </w:p>
    <w:p w14:paraId="4FFEA200" w14:textId="77777777" w:rsidR="006977D5" w:rsidRDefault="006977D5" w:rsidP="006977D5">
      <w:pPr>
        <w:pStyle w:val="Heading4"/>
        <w:sectPr w:rsidR="006977D5" w:rsidSect="00F01E5F">
          <w:type w:val="continuous"/>
          <w:pgSz w:w="11906" w:h="16838" w:code="9"/>
          <w:pgMar w:top="1418" w:right="851" w:bottom="1134" w:left="851" w:header="567" w:footer="510" w:gutter="0"/>
          <w:cols w:space="340"/>
          <w:titlePg/>
          <w:docGrid w:linePitch="360"/>
        </w:sectPr>
      </w:pPr>
    </w:p>
    <w:p w14:paraId="7699BC87" w14:textId="1A2613B6" w:rsidR="006977D5" w:rsidRDefault="006977D5" w:rsidP="006977D5">
      <w:pPr>
        <w:pStyle w:val="Heading4"/>
      </w:pPr>
      <w:r>
        <w:t xml:space="preserve">Tier 1 – </w:t>
      </w:r>
      <w:r w:rsidR="004E4E77">
        <w:t>Capabilities</w:t>
      </w:r>
      <w:r>
        <w:t xml:space="preserve"> necessary for a board</w:t>
      </w:r>
    </w:p>
    <w:p w14:paraId="02E281C8" w14:textId="77777777" w:rsidR="006977D5" w:rsidRPr="00DD2F25" w:rsidRDefault="006977D5" w:rsidP="006977D5">
      <w:pPr>
        <w:pStyle w:val="ListParagraph"/>
        <w:numPr>
          <w:ilvl w:val="0"/>
          <w:numId w:val="11"/>
        </w:numPr>
        <w:spacing w:after="120"/>
        <w:jc w:val="both"/>
        <w:rPr>
          <w:rFonts w:eastAsia="MS Gothic"/>
          <w:bCs/>
          <w:iCs/>
        </w:rPr>
      </w:pPr>
      <w:r w:rsidRPr="00DD2F25">
        <w:rPr>
          <w:rFonts w:eastAsia="MS Gothic"/>
          <w:bCs/>
          <w:iCs/>
        </w:rPr>
        <w:t>Audit and risk management</w:t>
      </w:r>
    </w:p>
    <w:p w14:paraId="46997726" w14:textId="77777777" w:rsidR="006977D5" w:rsidRPr="00A430D0" w:rsidRDefault="006977D5" w:rsidP="006977D5">
      <w:pPr>
        <w:pStyle w:val="ListParagraph"/>
        <w:numPr>
          <w:ilvl w:val="0"/>
          <w:numId w:val="11"/>
        </w:numPr>
        <w:spacing w:after="120"/>
        <w:jc w:val="both"/>
        <w:rPr>
          <w:rFonts w:eastAsia="MS Gothic"/>
          <w:bCs/>
          <w:iCs/>
        </w:rPr>
      </w:pPr>
      <w:r w:rsidRPr="00A430D0">
        <w:rPr>
          <w:rFonts w:eastAsia="MS Gothic"/>
          <w:bCs/>
          <w:iCs/>
        </w:rPr>
        <w:t>Clinical governance</w:t>
      </w:r>
    </w:p>
    <w:p w14:paraId="087CCE11" w14:textId="77777777" w:rsidR="006977D5" w:rsidRPr="005712BA" w:rsidRDefault="006977D5" w:rsidP="006977D5">
      <w:pPr>
        <w:pStyle w:val="ListParagraph"/>
        <w:numPr>
          <w:ilvl w:val="0"/>
          <w:numId w:val="11"/>
        </w:numPr>
        <w:spacing w:after="120"/>
        <w:jc w:val="both"/>
        <w:rPr>
          <w:rFonts w:eastAsia="MS Gothic"/>
          <w:bCs/>
          <w:iCs/>
        </w:rPr>
      </w:pPr>
      <w:r w:rsidRPr="005712BA">
        <w:rPr>
          <w:rFonts w:eastAsia="MS Gothic"/>
          <w:bCs/>
          <w:iCs/>
        </w:rPr>
        <w:t xml:space="preserve">Corporate governance </w:t>
      </w:r>
    </w:p>
    <w:p w14:paraId="36FA23D0" w14:textId="77777777" w:rsidR="006977D5" w:rsidRPr="00FA6527" w:rsidRDefault="006977D5" w:rsidP="006977D5">
      <w:pPr>
        <w:pStyle w:val="ListParagraph"/>
        <w:numPr>
          <w:ilvl w:val="0"/>
          <w:numId w:val="11"/>
        </w:numPr>
        <w:spacing w:after="120"/>
        <w:jc w:val="both"/>
        <w:rPr>
          <w:rFonts w:eastAsia="MS Gothic"/>
          <w:bCs/>
          <w:iCs/>
        </w:rPr>
      </w:pPr>
      <w:r w:rsidRPr="00FA6527">
        <w:rPr>
          <w:rFonts w:eastAsia="MS Gothic"/>
          <w:bCs/>
          <w:iCs/>
        </w:rPr>
        <w:t>Financial management and accounting</w:t>
      </w:r>
    </w:p>
    <w:p w14:paraId="353CC0E6" w14:textId="77777777" w:rsidR="006977D5" w:rsidRPr="00B627A9" w:rsidRDefault="006977D5" w:rsidP="006977D5">
      <w:pPr>
        <w:pStyle w:val="ListParagraph"/>
        <w:numPr>
          <w:ilvl w:val="0"/>
          <w:numId w:val="11"/>
        </w:numPr>
        <w:spacing w:after="120"/>
        <w:jc w:val="both"/>
        <w:rPr>
          <w:rFonts w:eastAsia="MS Gothic"/>
          <w:bCs/>
          <w:iCs/>
        </w:rPr>
      </w:pPr>
      <w:r w:rsidRPr="00B627A9">
        <w:rPr>
          <w:rFonts w:eastAsia="MS Gothic"/>
          <w:bCs/>
          <w:iCs/>
        </w:rPr>
        <w:t>Law</w:t>
      </w:r>
    </w:p>
    <w:p w14:paraId="76C10554" w14:textId="77777777" w:rsidR="006977D5" w:rsidRPr="00A430D0" w:rsidRDefault="006977D5" w:rsidP="006977D5">
      <w:pPr>
        <w:pStyle w:val="ListParagraph"/>
        <w:numPr>
          <w:ilvl w:val="0"/>
          <w:numId w:val="11"/>
        </w:numPr>
        <w:spacing w:after="120"/>
        <w:jc w:val="both"/>
        <w:rPr>
          <w:rFonts w:eastAsia="MS Gothic"/>
          <w:bCs/>
          <w:iCs/>
        </w:rPr>
      </w:pPr>
      <w:r w:rsidRPr="00A430D0">
        <w:rPr>
          <w:rFonts w:eastAsia="MS Gothic"/>
          <w:bCs/>
          <w:iCs/>
        </w:rPr>
        <w:t>Patient (user) experience and consumer engagement</w:t>
      </w:r>
    </w:p>
    <w:p w14:paraId="65F6562F" w14:textId="77777777" w:rsidR="006977D5" w:rsidRPr="00565947" w:rsidRDefault="006977D5" w:rsidP="006977D5">
      <w:pPr>
        <w:pStyle w:val="ListParagraph"/>
        <w:numPr>
          <w:ilvl w:val="0"/>
          <w:numId w:val="11"/>
        </w:numPr>
        <w:spacing w:after="120"/>
        <w:jc w:val="both"/>
        <w:rPr>
          <w:rFonts w:eastAsia="MS Gothic"/>
          <w:bCs/>
          <w:iCs/>
        </w:rPr>
      </w:pPr>
      <w:r w:rsidRPr="00565947">
        <w:rPr>
          <w:rFonts w:eastAsia="MS Gothic"/>
          <w:bCs/>
          <w:iCs/>
        </w:rPr>
        <w:t xml:space="preserve">Registered </w:t>
      </w:r>
      <w:r>
        <w:rPr>
          <w:rFonts w:eastAsia="MS Gothic"/>
          <w:bCs/>
          <w:iCs/>
        </w:rPr>
        <w:t>c</w:t>
      </w:r>
      <w:r w:rsidRPr="00565947">
        <w:rPr>
          <w:rFonts w:eastAsia="MS Gothic"/>
          <w:bCs/>
          <w:iCs/>
        </w:rPr>
        <w:t>linician</w:t>
      </w:r>
    </w:p>
    <w:p w14:paraId="36552DDB" w14:textId="77777777" w:rsidR="006977D5" w:rsidRPr="00126F6D" w:rsidRDefault="006977D5" w:rsidP="006977D5">
      <w:pPr>
        <w:pStyle w:val="ListParagraph"/>
        <w:numPr>
          <w:ilvl w:val="0"/>
          <w:numId w:val="11"/>
        </w:numPr>
        <w:spacing w:after="120"/>
        <w:contextualSpacing w:val="0"/>
        <w:jc w:val="both"/>
        <w:rPr>
          <w:rFonts w:eastAsia="MS Gothic"/>
          <w:bCs/>
          <w:iCs/>
        </w:rPr>
      </w:pPr>
      <w:r w:rsidRPr="00A430D0">
        <w:rPr>
          <w:rFonts w:eastAsia="MS Gothic"/>
          <w:bCs/>
          <w:iCs/>
        </w:rPr>
        <w:t xml:space="preserve">Strategic leadership / Executive </w:t>
      </w:r>
      <w:r>
        <w:rPr>
          <w:rFonts w:eastAsia="MS Gothic"/>
          <w:bCs/>
          <w:iCs/>
        </w:rPr>
        <w:t>m</w:t>
      </w:r>
      <w:r w:rsidRPr="00A430D0">
        <w:rPr>
          <w:rFonts w:eastAsia="MS Gothic"/>
          <w:bCs/>
          <w:iCs/>
        </w:rPr>
        <w:t>anagement</w:t>
      </w:r>
    </w:p>
    <w:p w14:paraId="7CCCE9CB" w14:textId="41CEF187" w:rsidR="006977D5" w:rsidRDefault="006977D5" w:rsidP="006977D5">
      <w:pPr>
        <w:pStyle w:val="Heading4"/>
      </w:pPr>
      <w:r>
        <w:t xml:space="preserve">Tier 2 – </w:t>
      </w:r>
      <w:r w:rsidR="004E4E77">
        <w:t xml:space="preserve">Capabilities </w:t>
      </w:r>
      <w:r>
        <w:t>important for a board</w:t>
      </w:r>
    </w:p>
    <w:p w14:paraId="5C321CA3" w14:textId="77777777" w:rsidR="006977D5" w:rsidRPr="00190419" w:rsidRDefault="006977D5" w:rsidP="006977D5">
      <w:pPr>
        <w:pStyle w:val="ListParagraph"/>
        <w:numPr>
          <w:ilvl w:val="0"/>
          <w:numId w:val="12"/>
        </w:numPr>
        <w:spacing w:after="120"/>
        <w:jc w:val="both"/>
        <w:rPr>
          <w:rFonts w:eastAsia="MS Gothic"/>
          <w:bCs/>
          <w:iCs/>
        </w:rPr>
      </w:pPr>
      <w:r w:rsidRPr="00190419">
        <w:rPr>
          <w:rFonts w:eastAsia="MS Gothic"/>
          <w:bCs/>
          <w:iCs/>
        </w:rPr>
        <w:t>Asset management</w:t>
      </w:r>
    </w:p>
    <w:p w14:paraId="098177DA" w14:textId="77777777" w:rsidR="006977D5" w:rsidRPr="00190419" w:rsidRDefault="006977D5" w:rsidP="006977D5">
      <w:pPr>
        <w:pStyle w:val="ListParagraph"/>
        <w:numPr>
          <w:ilvl w:val="0"/>
          <w:numId w:val="12"/>
        </w:numPr>
        <w:spacing w:after="120"/>
        <w:jc w:val="both"/>
        <w:rPr>
          <w:rFonts w:eastAsia="MS Gothic"/>
          <w:bCs/>
          <w:iCs/>
        </w:rPr>
      </w:pPr>
      <w:r w:rsidRPr="00190419">
        <w:rPr>
          <w:rFonts w:eastAsia="MS Gothic"/>
          <w:bCs/>
          <w:iCs/>
        </w:rPr>
        <w:t>Communications and stakeholder engagement</w:t>
      </w:r>
    </w:p>
    <w:p w14:paraId="72460E53" w14:textId="77777777" w:rsidR="002307B9" w:rsidRPr="00190419" w:rsidRDefault="002307B9" w:rsidP="002307B9">
      <w:pPr>
        <w:pStyle w:val="ListParagraph"/>
        <w:numPr>
          <w:ilvl w:val="0"/>
          <w:numId w:val="12"/>
        </w:numPr>
        <w:spacing w:after="120"/>
        <w:jc w:val="both"/>
        <w:rPr>
          <w:rFonts w:eastAsia="MS Gothic"/>
          <w:bCs/>
          <w:iCs/>
        </w:rPr>
      </w:pPr>
      <w:r>
        <w:rPr>
          <w:rFonts w:eastAsia="MS Gothic"/>
          <w:bCs/>
          <w:iCs/>
        </w:rPr>
        <w:lastRenderedPageBreak/>
        <w:t>Community Services</w:t>
      </w:r>
    </w:p>
    <w:p w14:paraId="0D75B1DF" w14:textId="1331EC57" w:rsidR="006977D5" w:rsidRDefault="006977D5" w:rsidP="006977D5">
      <w:pPr>
        <w:pStyle w:val="ListParagraph"/>
        <w:numPr>
          <w:ilvl w:val="0"/>
          <w:numId w:val="12"/>
        </w:numPr>
        <w:spacing w:after="120"/>
        <w:jc w:val="both"/>
        <w:rPr>
          <w:rFonts w:eastAsia="MS Gothic"/>
          <w:bCs/>
          <w:iCs/>
        </w:rPr>
      </w:pPr>
      <w:r w:rsidRPr="00190419">
        <w:rPr>
          <w:rFonts w:eastAsia="MS Gothic"/>
          <w:bCs/>
          <w:iCs/>
        </w:rPr>
        <w:t xml:space="preserve">Human resources management </w:t>
      </w:r>
    </w:p>
    <w:p w14:paraId="48D4BCC9" w14:textId="35ADDA47" w:rsidR="006977D5" w:rsidRPr="00190419" w:rsidRDefault="006977D5" w:rsidP="006977D5">
      <w:pPr>
        <w:pStyle w:val="ListParagraph"/>
        <w:numPr>
          <w:ilvl w:val="0"/>
          <w:numId w:val="12"/>
        </w:numPr>
        <w:spacing w:after="120"/>
        <w:jc w:val="both"/>
        <w:rPr>
          <w:rFonts w:eastAsia="MS Gothic"/>
          <w:bCs/>
          <w:iCs/>
        </w:rPr>
      </w:pPr>
      <w:r w:rsidRPr="006977D5">
        <w:rPr>
          <w:rFonts w:eastAsia="MS Gothic"/>
          <w:bCs/>
          <w:iCs/>
        </w:rPr>
        <w:t>ICT strategy and governance</w:t>
      </w:r>
    </w:p>
    <w:p w14:paraId="52EF7644" w14:textId="77777777" w:rsidR="00E2455A" w:rsidRPr="00DC20D1" w:rsidRDefault="00E2455A" w:rsidP="00E2455A">
      <w:pPr>
        <w:pStyle w:val="Heading3"/>
      </w:pPr>
      <w:bookmarkStart w:id="10" w:name="_Hlk63942431"/>
      <w:r w:rsidRPr="00DC20D1">
        <w:t>Board Director Capability Framework</w:t>
      </w:r>
    </w:p>
    <w:p w14:paraId="47990337" w14:textId="303E7D19" w:rsidR="00E2455A" w:rsidRPr="00DC20D1" w:rsidRDefault="00E2455A" w:rsidP="00FB3BC6">
      <w:pPr>
        <w:pStyle w:val="BodyText"/>
        <w:spacing w:after="120"/>
        <w:ind w:right="108"/>
      </w:pPr>
      <w:r w:rsidRPr="00DC20D1">
        <w:t xml:space="preserve">The department has developed the Board Director Capability Framework (the framework) to enable </w:t>
      </w:r>
      <w:r>
        <w:t xml:space="preserve">a more consistent </w:t>
      </w:r>
      <w:r w:rsidRPr="00DC20D1">
        <w:t>defin</w:t>
      </w:r>
      <w:r>
        <w:t>ition</w:t>
      </w:r>
      <w:r w:rsidRPr="00DC20D1">
        <w:t xml:space="preserve"> </w:t>
      </w:r>
      <w:r>
        <w:t xml:space="preserve">of </w:t>
      </w:r>
      <w:r w:rsidRPr="00DC20D1">
        <w:t xml:space="preserve">the capabilities </w:t>
      </w:r>
      <w:r>
        <w:t xml:space="preserve">currently identified </w:t>
      </w:r>
      <w:r w:rsidRPr="00DC20D1">
        <w:t xml:space="preserve">for health service boards. </w:t>
      </w:r>
      <w:r w:rsidR="00177802">
        <w:t>Capabilities have three different levels of proficiency – foundational, proficient, and advanced.</w:t>
      </w:r>
      <w:r w:rsidRPr="00DC20D1">
        <w:t xml:space="preserve"> </w:t>
      </w:r>
    </w:p>
    <w:p w14:paraId="541D4021" w14:textId="5B0F1495" w:rsidR="00E2455A" w:rsidRPr="00DC20D1" w:rsidRDefault="00E2455A" w:rsidP="00FB3BC6">
      <w:pPr>
        <w:pStyle w:val="BodyText"/>
        <w:spacing w:after="120"/>
        <w:ind w:right="108"/>
      </w:pPr>
      <w:r w:rsidRPr="00DC20D1">
        <w:t xml:space="preserve">Directors appointed to a board are </w:t>
      </w:r>
      <w:r>
        <w:t xml:space="preserve">preferred </w:t>
      </w:r>
      <w:r w:rsidRPr="00DC20D1">
        <w:t xml:space="preserve">to be proficient in the </w:t>
      </w:r>
      <w:r w:rsidR="00177802">
        <w:t xml:space="preserve">primary </w:t>
      </w:r>
      <w:r>
        <w:t xml:space="preserve">capabilities </w:t>
      </w:r>
      <w:r w:rsidRPr="00DC20D1">
        <w:t xml:space="preserve">they nominate and are expected to attain the foundation capability level on all remaining </w:t>
      </w:r>
      <w:r>
        <w:t xml:space="preserve">capabilities </w:t>
      </w:r>
      <w:r w:rsidRPr="00DC20D1">
        <w:t xml:space="preserve">within their first year after appointment. </w:t>
      </w:r>
    </w:p>
    <w:p w14:paraId="01320217" w14:textId="3A4F559A" w:rsidR="00E2455A" w:rsidRPr="000A075A" w:rsidRDefault="00E2455A" w:rsidP="00FB3BC6">
      <w:pPr>
        <w:pStyle w:val="BodyText"/>
        <w:spacing w:after="120"/>
        <w:ind w:right="108"/>
      </w:pPr>
      <w:r>
        <w:t>The framework provides more information on the capabilities</w:t>
      </w:r>
      <w:r w:rsidRPr="000A18C4">
        <w:t xml:space="preserve">. </w:t>
      </w:r>
      <w:r>
        <w:t xml:space="preserve">The information supplied by applicants will be used to make an assessment. </w:t>
      </w:r>
    </w:p>
    <w:p w14:paraId="7686E67F" w14:textId="2FDA4809" w:rsidR="00E2455A" w:rsidRPr="00DC20D1" w:rsidRDefault="00E2455A" w:rsidP="00E2455A">
      <w:pPr>
        <w:pStyle w:val="BodyText"/>
        <w:spacing w:after="120"/>
        <w:ind w:right="108"/>
        <w:jc w:val="both"/>
      </w:pPr>
      <w:r>
        <w:t xml:space="preserve">For further information about the framework refer to </w:t>
      </w:r>
      <w:hyperlink r:id="rId20" w:history="1">
        <w:r w:rsidR="006A678C" w:rsidRPr="00D130CF">
          <w:rPr>
            <w:rStyle w:val="Hyperlink"/>
          </w:rPr>
          <w:t>https://www.health.vic.gov.au/applying-for-board-director-positions</w:t>
        </w:r>
      </w:hyperlink>
    </w:p>
    <w:p w14:paraId="4EE56F66" w14:textId="1484521F" w:rsidR="00E2455A" w:rsidRDefault="00241B7E" w:rsidP="006977D5">
      <w:pPr>
        <w:pStyle w:val="Heading3"/>
      </w:pPr>
      <w:r>
        <w:t xml:space="preserve">Specific capability </w:t>
      </w:r>
    </w:p>
    <w:p w14:paraId="6B6A6BBF" w14:textId="0F2588CA" w:rsidR="004C7073" w:rsidRPr="00FC1782" w:rsidRDefault="004C7073" w:rsidP="00DE707E">
      <w:pPr>
        <w:pStyle w:val="Heading3"/>
        <w:spacing w:before="0" w:line="240" w:lineRule="auto"/>
      </w:pPr>
      <w:bookmarkStart w:id="11" w:name="_Hlk63942462"/>
      <w:bookmarkStart w:id="12" w:name="_Hlk63942507"/>
      <w:bookmarkEnd w:id="10"/>
      <w:r w:rsidRPr="00FC1782">
        <w:t>Mental Health sector knowledge</w:t>
      </w:r>
    </w:p>
    <w:p w14:paraId="575C0B13" w14:textId="27F86D56" w:rsidR="004C7073" w:rsidRPr="004C7073" w:rsidRDefault="004C7073" w:rsidP="00FB3BC6">
      <w:pPr>
        <w:pStyle w:val="DHHSbody"/>
        <w:numPr>
          <w:ilvl w:val="0"/>
          <w:numId w:val="21"/>
        </w:numPr>
        <w:spacing w:line="240" w:lineRule="auto"/>
        <w:ind w:left="426" w:hanging="426"/>
        <w:rPr>
          <w:rFonts w:eastAsia="Times New Roman"/>
          <w:lang w:val="en-US"/>
        </w:rPr>
      </w:pPr>
      <w:r w:rsidRPr="004C7073">
        <w:rPr>
          <w:rFonts w:eastAsia="Times New Roman"/>
          <w:lang w:val="en-US"/>
        </w:rPr>
        <w:t xml:space="preserve">Has professional </w:t>
      </w:r>
      <w:r w:rsidR="001D6973">
        <w:rPr>
          <w:rFonts w:eastAsia="Times New Roman"/>
          <w:lang w:val="en-US"/>
        </w:rPr>
        <w:t>knowledge</w:t>
      </w:r>
      <w:r w:rsidR="001D6973" w:rsidRPr="004C7073">
        <w:rPr>
          <w:rFonts w:eastAsia="Times New Roman"/>
          <w:lang w:val="en-US"/>
        </w:rPr>
        <w:t xml:space="preserve"> </w:t>
      </w:r>
      <w:r w:rsidRPr="004C7073">
        <w:rPr>
          <w:rFonts w:eastAsia="Times New Roman"/>
          <w:lang w:val="en-US"/>
        </w:rPr>
        <w:t xml:space="preserve">and experience in the delivery of mental health services. This might include experience working in senior management, executive or on the board of a not-for-profit community service agency and/or working directly with clients of mental health services. </w:t>
      </w:r>
    </w:p>
    <w:p w14:paraId="1F74DE98" w14:textId="43AE12F0" w:rsidR="004C7073" w:rsidRDefault="004C7073" w:rsidP="00FB3BC6">
      <w:pPr>
        <w:pStyle w:val="DHHSbody"/>
        <w:numPr>
          <w:ilvl w:val="0"/>
          <w:numId w:val="21"/>
        </w:numPr>
        <w:spacing w:line="240" w:lineRule="auto"/>
        <w:ind w:left="426" w:hanging="426"/>
        <w:rPr>
          <w:rFonts w:eastAsia="Times New Roman"/>
          <w:lang w:val="en-US"/>
        </w:rPr>
      </w:pPr>
      <w:r w:rsidRPr="004C7073">
        <w:rPr>
          <w:rFonts w:eastAsia="Times New Roman"/>
          <w:lang w:val="en-US"/>
        </w:rPr>
        <w:t>Experience advocating for people with a lived experience of mental illness is an advantage and/or experience assist</w:t>
      </w:r>
      <w:r w:rsidR="0015515D">
        <w:rPr>
          <w:rFonts w:eastAsia="Times New Roman"/>
          <w:lang w:val="en-US"/>
        </w:rPr>
        <w:t>ing</w:t>
      </w:r>
      <w:r w:rsidRPr="004C7073">
        <w:rPr>
          <w:rFonts w:eastAsia="Times New Roman"/>
          <w:lang w:val="en-US"/>
        </w:rPr>
        <w:t xml:space="preserve"> </w:t>
      </w:r>
      <w:r w:rsidR="0015515D">
        <w:rPr>
          <w:rFonts w:eastAsia="Times New Roman"/>
          <w:lang w:val="en-US"/>
        </w:rPr>
        <w:t>people</w:t>
      </w:r>
      <w:r w:rsidRPr="004C7073">
        <w:rPr>
          <w:rFonts w:eastAsia="Times New Roman"/>
          <w:lang w:val="en-US"/>
        </w:rPr>
        <w:t xml:space="preserve"> experiencing mental illness.</w:t>
      </w:r>
      <w:r w:rsidRPr="00190419">
        <w:rPr>
          <w:rFonts w:eastAsia="Times New Roman"/>
          <w:lang w:val="en-US"/>
        </w:rPr>
        <w:t xml:space="preserve">  </w:t>
      </w:r>
    </w:p>
    <w:p w14:paraId="2CD7E0E0" w14:textId="77777777" w:rsidR="003F7A8E" w:rsidRPr="00EC5225" w:rsidRDefault="003F7A8E" w:rsidP="003F7A8E">
      <w:pPr>
        <w:pStyle w:val="Heading2"/>
        <w:spacing w:before="0" w:after="120" w:line="21" w:lineRule="atLeast"/>
        <w:rPr>
          <w:color w:val="C31E57"/>
        </w:rPr>
      </w:pPr>
      <w:r>
        <w:rPr>
          <w:color w:val="C31E57"/>
        </w:rPr>
        <w:t>Data and Privacy</w:t>
      </w:r>
    </w:p>
    <w:p w14:paraId="70DAB7A8" w14:textId="77777777" w:rsidR="003F7A8E" w:rsidRDefault="003F7A8E" w:rsidP="00FB3BC6">
      <w:pPr>
        <w:spacing w:line="21" w:lineRule="atLeast"/>
        <w:ind w:right="116"/>
        <w:jc w:val="both"/>
        <w:rPr>
          <w:rFonts w:eastAsia="Arial" w:cs="Arial"/>
          <w:sz w:val="20"/>
        </w:rPr>
      </w:pPr>
      <w:r w:rsidRPr="0011514D">
        <w:rPr>
          <w:rFonts w:eastAsia="Arial" w:cs="Arial"/>
          <w:sz w:val="20"/>
        </w:rPr>
        <w:t xml:space="preserve">When collecting and using personal information, </w:t>
      </w:r>
      <w:r>
        <w:rPr>
          <w:rFonts w:eastAsia="Arial" w:cs="Arial"/>
          <w:sz w:val="20"/>
        </w:rPr>
        <w:t>the D</w:t>
      </w:r>
      <w:r w:rsidRPr="0011514D">
        <w:rPr>
          <w:rFonts w:eastAsia="Arial" w:cs="Arial"/>
          <w:sz w:val="20"/>
        </w:rPr>
        <w:t>epartment</w:t>
      </w:r>
      <w:r>
        <w:rPr>
          <w:rFonts w:eastAsia="Arial" w:cs="Arial"/>
          <w:sz w:val="20"/>
        </w:rPr>
        <w:t xml:space="preserve"> of Health</w:t>
      </w:r>
      <w:r w:rsidRPr="0011514D">
        <w:rPr>
          <w:rFonts w:eastAsia="Arial" w:cs="Arial"/>
          <w:sz w:val="20"/>
        </w:rPr>
        <w:t xml:space="preserve"> act</w:t>
      </w:r>
      <w:r>
        <w:rPr>
          <w:rFonts w:eastAsia="Arial" w:cs="Arial"/>
          <w:sz w:val="20"/>
        </w:rPr>
        <w:t>s</w:t>
      </w:r>
      <w:r w:rsidRPr="0011514D">
        <w:rPr>
          <w:rFonts w:eastAsia="Arial" w:cs="Arial"/>
          <w:sz w:val="20"/>
        </w:rPr>
        <w:t xml:space="preserve"> in accordance with the Victorian Government Privacy Statement, and the </w:t>
      </w:r>
      <w:r w:rsidRPr="0011514D">
        <w:rPr>
          <w:rFonts w:eastAsia="Arial" w:cs="Arial"/>
          <w:i/>
          <w:iCs/>
          <w:sz w:val="20"/>
        </w:rPr>
        <w:t>Privacy and Data Protection Act 2014 (Vic)</w:t>
      </w:r>
      <w:r w:rsidRPr="0011514D">
        <w:rPr>
          <w:rFonts w:eastAsia="Arial" w:cs="Arial"/>
          <w:sz w:val="20"/>
        </w:rPr>
        <w:t xml:space="preserve"> which contains the Information Privacy Principles (IPPs).</w:t>
      </w:r>
      <w:r>
        <w:rPr>
          <w:rFonts w:eastAsia="Arial" w:cs="Arial"/>
          <w:sz w:val="20"/>
        </w:rPr>
        <w:t xml:space="preserve"> </w:t>
      </w:r>
    </w:p>
    <w:p w14:paraId="11C49069" w14:textId="77777777" w:rsidR="003F7A8E" w:rsidRPr="00665380" w:rsidRDefault="003F7A8E" w:rsidP="00FB3BC6">
      <w:pPr>
        <w:spacing w:line="21" w:lineRule="atLeast"/>
        <w:ind w:right="116"/>
        <w:jc w:val="both"/>
        <w:rPr>
          <w:rFonts w:eastAsia="Arial" w:cs="Arial"/>
          <w:sz w:val="20"/>
        </w:rPr>
      </w:pPr>
      <w:r>
        <w:rPr>
          <w:rFonts w:eastAsia="Arial" w:cs="Arial"/>
          <w:sz w:val="20"/>
        </w:rPr>
        <w:t>Individuals do not</w:t>
      </w:r>
      <w:r w:rsidRPr="00665380">
        <w:rPr>
          <w:rFonts w:eastAsia="Arial" w:cs="Arial"/>
          <w:sz w:val="20"/>
        </w:rPr>
        <w:t xml:space="preserve"> have to disclose any personal information if </w:t>
      </w:r>
      <w:r>
        <w:rPr>
          <w:rFonts w:eastAsia="Arial" w:cs="Arial"/>
          <w:sz w:val="20"/>
        </w:rPr>
        <w:t>they</w:t>
      </w:r>
      <w:r w:rsidRPr="00665380">
        <w:rPr>
          <w:rFonts w:eastAsia="Arial" w:cs="Arial"/>
          <w:sz w:val="20"/>
        </w:rPr>
        <w:t xml:space="preserve"> do not want to, but it can help </w:t>
      </w:r>
      <w:r>
        <w:rPr>
          <w:rFonts w:eastAsia="Arial" w:cs="Arial"/>
          <w:sz w:val="20"/>
        </w:rPr>
        <w:t>the board and the department to</w:t>
      </w:r>
      <w:r w:rsidRPr="00665380">
        <w:rPr>
          <w:rFonts w:eastAsia="Arial" w:cs="Arial"/>
          <w:sz w:val="20"/>
        </w:rPr>
        <w:t xml:space="preserve"> understand how </w:t>
      </w:r>
      <w:r>
        <w:rPr>
          <w:rFonts w:eastAsia="Arial" w:cs="Arial"/>
          <w:sz w:val="20"/>
        </w:rPr>
        <w:t>people</w:t>
      </w:r>
      <w:r w:rsidRPr="00665380">
        <w:rPr>
          <w:rFonts w:eastAsia="Arial" w:cs="Arial"/>
          <w:sz w:val="20"/>
        </w:rPr>
        <w:t xml:space="preserve"> can </w:t>
      </w:r>
      <w:r>
        <w:rPr>
          <w:rFonts w:eastAsia="Arial" w:cs="Arial"/>
          <w:sz w:val="20"/>
        </w:rPr>
        <w:t xml:space="preserve">be </w:t>
      </w:r>
      <w:r w:rsidRPr="00665380">
        <w:rPr>
          <w:rFonts w:eastAsia="Arial" w:cs="Arial"/>
          <w:sz w:val="20"/>
        </w:rPr>
        <w:t>support</w:t>
      </w:r>
      <w:r>
        <w:rPr>
          <w:rFonts w:eastAsia="Arial" w:cs="Arial"/>
          <w:sz w:val="20"/>
        </w:rPr>
        <w:t>ed</w:t>
      </w:r>
      <w:r w:rsidRPr="00665380">
        <w:rPr>
          <w:rFonts w:eastAsia="Arial" w:cs="Arial"/>
          <w:sz w:val="20"/>
        </w:rPr>
        <w:t xml:space="preserve"> through the recruitment process and beyond.</w:t>
      </w:r>
      <w:r>
        <w:rPr>
          <w:rFonts w:eastAsia="Arial" w:cs="Arial"/>
          <w:sz w:val="20"/>
        </w:rPr>
        <w:t xml:space="preserve"> </w:t>
      </w:r>
    </w:p>
    <w:p w14:paraId="3CE4C0AB" w14:textId="76AAA4A5" w:rsidR="003F7A8E" w:rsidRPr="00665380" w:rsidRDefault="003F7A8E" w:rsidP="00FB3BC6">
      <w:pPr>
        <w:spacing w:line="21" w:lineRule="atLeast"/>
        <w:ind w:right="116"/>
        <w:jc w:val="both"/>
        <w:rPr>
          <w:rFonts w:eastAsia="Arial" w:cs="Arial"/>
          <w:sz w:val="20"/>
        </w:rPr>
      </w:pPr>
      <w:r>
        <w:rPr>
          <w:rFonts w:eastAsia="Arial" w:cs="Arial"/>
          <w:sz w:val="20"/>
        </w:rPr>
        <w:t>The department</w:t>
      </w:r>
      <w:r w:rsidRPr="00665380">
        <w:rPr>
          <w:rFonts w:eastAsia="Arial" w:cs="Arial"/>
          <w:sz w:val="20"/>
        </w:rPr>
        <w:t xml:space="preserve"> invite</w:t>
      </w:r>
      <w:r>
        <w:rPr>
          <w:rFonts w:eastAsia="Arial" w:cs="Arial"/>
          <w:sz w:val="20"/>
        </w:rPr>
        <w:t>s</w:t>
      </w:r>
      <w:r w:rsidRPr="00665380">
        <w:rPr>
          <w:rFonts w:eastAsia="Arial" w:cs="Arial"/>
          <w:sz w:val="20"/>
        </w:rPr>
        <w:t xml:space="preserve"> </w:t>
      </w:r>
      <w:r>
        <w:rPr>
          <w:rFonts w:eastAsia="Arial" w:cs="Arial"/>
          <w:sz w:val="20"/>
        </w:rPr>
        <w:t>all applicants, directors and chairs</w:t>
      </w:r>
      <w:r w:rsidRPr="00665380">
        <w:rPr>
          <w:rFonts w:eastAsia="Arial" w:cs="Arial"/>
          <w:sz w:val="20"/>
        </w:rPr>
        <w:t xml:space="preserve"> to tell us if </w:t>
      </w:r>
      <w:r>
        <w:rPr>
          <w:rFonts w:eastAsia="Arial" w:cs="Arial"/>
          <w:sz w:val="20"/>
        </w:rPr>
        <w:t xml:space="preserve">they </w:t>
      </w:r>
      <w:r w:rsidRPr="00665380">
        <w:rPr>
          <w:rFonts w:eastAsia="Arial" w:cs="Arial"/>
          <w:sz w:val="20"/>
        </w:rPr>
        <w:t>identify as Aboriginal</w:t>
      </w:r>
      <w:r>
        <w:rPr>
          <w:rFonts w:eastAsia="Arial" w:cs="Arial"/>
          <w:sz w:val="20"/>
        </w:rPr>
        <w:t xml:space="preserve"> </w:t>
      </w:r>
      <w:r w:rsidR="00B85CCC">
        <w:rPr>
          <w:rFonts w:eastAsia="Arial" w:cs="Arial"/>
          <w:sz w:val="20"/>
        </w:rPr>
        <w:t xml:space="preserve">and / </w:t>
      </w:r>
      <w:r>
        <w:rPr>
          <w:rFonts w:eastAsia="Arial" w:cs="Arial"/>
          <w:sz w:val="20"/>
        </w:rPr>
        <w:t>or Torres Strait Islander</w:t>
      </w:r>
      <w:r w:rsidRPr="00665380">
        <w:rPr>
          <w:rFonts w:eastAsia="Arial" w:cs="Arial"/>
          <w:sz w:val="20"/>
        </w:rPr>
        <w:t>, a person with disability, from a culturally or linguistically diverse background, LGBTIQ+ or a young person, aged 25 years old or less.</w:t>
      </w:r>
    </w:p>
    <w:p w14:paraId="2772BEF9" w14:textId="4AFAD0B4" w:rsidR="006977D5" w:rsidRDefault="003F7A8E" w:rsidP="00FB3BC6">
      <w:pPr>
        <w:pStyle w:val="Body"/>
        <w:jc w:val="both"/>
        <w:rPr>
          <w:rFonts w:eastAsia="Arial" w:cs="Arial"/>
          <w:sz w:val="20"/>
        </w:rPr>
      </w:pPr>
      <w:r>
        <w:rPr>
          <w:rFonts w:eastAsia="Arial" w:cs="Arial"/>
          <w:sz w:val="20"/>
        </w:rPr>
        <w:t xml:space="preserve">The department welcomes the opportunity to </w:t>
      </w:r>
      <w:r w:rsidRPr="002D6B1E">
        <w:rPr>
          <w:rFonts w:eastAsia="Arial" w:cs="Arial"/>
          <w:sz w:val="20"/>
        </w:rPr>
        <w:t xml:space="preserve">discuss </w:t>
      </w:r>
      <w:r>
        <w:rPr>
          <w:rFonts w:eastAsia="Arial" w:cs="Arial"/>
          <w:sz w:val="20"/>
        </w:rPr>
        <w:t xml:space="preserve">support that can be provided with any person who identifies as any of the above through the recruitment process and/or post appointment. A discussion can be arranged by contacting </w:t>
      </w:r>
      <w:hyperlink r:id="rId21" w:history="1">
        <w:r w:rsidRPr="004D27CB">
          <w:rPr>
            <w:rStyle w:val="Hyperlink"/>
            <w:rFonts w:eastAsia="Arial" w:cs="Arial"/>
            <w:sz w:val="20"/>
          </w:rPr>
          <w:t>healthservicegovernance@health.vic.gov.au</w:t>
        </w:r>
      </w:hyperlink>
      <w:r>
        <w:rPr>
          <w:rFonts w:eastAsia="Arial" w:cs="Arial"/>
          <w:sz w:val="20"/>
        </w:rPr>
        <w:t>.</w:t>
      </w:r>
    </w:p>
    <w:p w14:paraId="74E0B05F" w14:textId="77777777" w:rsidR="00B43C92" w:rsidRDefault="00B43C92" w:rsidP="00B43C92"/>
    <w:tbl>
      <w:tblPr>
        <w:tblStyle w:val="TableGrid"/>
        <w:tblW w:w="0" w:type="auto"/>
        <w:tblCellMar>
          <w:bottom w:w="108" w:type="dxa"/>
        </w:tblCellMar>
        <w:tblLook w:val="0620" w:firstRow="1" w:lastRow="0" w:firstColumn="0" w:lastColumn="0" w:noHBand="1" w:noVBand="1"/>
      </w:tblPr>
      <w:tblGrid>
        <w:gridCol w:w="10194"/>
      </w:tblGrid>
      <w:tr w:rsidR="00B43C92" w14:paraId="2344C0DF" w14:textId="77777777" w:rsidTr="00435FB0">
        <w:tc>
          <w:tcPr>
            <w:tcW w:w="10194" w:type="dxa"/>
          </w:tcPr>
          <w:p w14:paraId="6ADB1722" w14:textId="3ED1CE47" w:rsidR="00B43C92" w:rsidRPr="0055119B" w:rsidRDefault="00B43C92" w:rsidP="00435FB0">
            <w:pPr>
              <w:pStyle w:val="Accessibilitypara"/>
            </w:pPr>
            <w:bookmarkStart w:id="13" w:name="_Hlk37240926"/>
            <w:r w:rsidRPr="004C0C42">
              <w:t xml:space="preserve">If you would like help understanding this document or would like to receive it in another format </w:t>
            </w:r>
            <w:r>
              <w:t xml:space="preserve">please phone </w:t>
            </w:r>
            <w:r w:rsidR="00D85938">
              <w:t xml:space="preserve">03 </w:t>
            </w:r>
            <w:r w:rsidRPr="00CB4B29">
              <w:t>9595 1097</w:t>
            </w:r>
            <w:r>
              <w:t xml:space="preserve">, </w:t>
            </w:r>
            <w:r w:rsidRPr="004C0C42">
              <w:t>using the National Relay Service 133 677 if required</w:t>
            </w:r>
            <w:r>
              <w:t xml:space="preserve">, or email </w:t>
            </w:r>
            <w:hyperlink r:id="rId22" w:history="1">
              <w:r w:rsidRPr="003B3481">
                <w:rPr>
                  <w:rStyle w:val="Hyperlink"/>
                </w:rPr>
                <w:t>healthservicegovernance</w:t>
              </w:r>
              <w:r w:rsidRPr="003B3481">
                <w:rPr>
                  <w:rStyle w:val="Hyperlink"/>
                </w:rPr>
                <w:t>@</w:t>
              </w:r>
              <w:r w:rsidRPr="003B3481">
                <w:rPr>
                  <w:rStyle w:val="Hyperlink"/>
                </w:rPr>
                <w:t>health.vic.gov.au</w:t>
              </w:r>
            </w:hyperlink>
          </w:p>
          <w:p w14:paraId="72135F78" w14:textId="77777777" w:rsidR="00B43C92" w:rsidRPr="003B2043" w:rsidRDefault="00B43C92" w:rsidP="00435FB0">
            <w:pPr>
              <w:pStyle w:val="DHHSbody"/>
            </w:pPr>
            <w:r w:rsidRPr="003B2043">
              <w:t>Authorised and published by the Victorian Government, 1 Treasury Place, Melbourne.</w:t>
            </w:r>
          </w:p>
          <w:p w14:paraId="6C4282FD" w14:textId="77777777" w:rsidR="00B43C92" w:rsidRPr="003B2043" w:rsidRDefault="00B43C92" w:rsidP="00435FB0">
            <w:pPr>
              <w:pStyle w:val="DHHSbody"/>
            </w:pPr>
            <w:r w:rsidRPr="003B2043">
              <w:t xml:space="preserve">© State of Victoria, </w:t>
            </w:r>
            <w:r>
              <w:t xml:space="preserve">Australia, </w:t>
            </w:r>
            <w:r w:rsidRPr="003B2043">
              <w:t>Department of Health</w:t>
            </w:r>
            <w:r>
              <w:t>,</w:t>
            </w:r>
            <w:r w:rsidRPr="003B2043">
              <w:t xml:space="preserve"> </w:t>
            </w:r>
            <w:r>
              <w:t xml:space="preserve">September </w:t>
            </w:r>
            <w:r w:rsidRPr="003B2043">
              <w:t>20</w:t>
            </w:r>
            <w:r>
              <w:t>22</w:t>
            </w:r>
            <w:r w:rsidRPr="003B2043">
              <w:t>.</w:t>
            </w:r>
          </w:p>
          <w:p w14:paraId="4EA8229D" w14:textId="77777777" w:rsidR="00B43C92" w:rsidRDefault="00B43C92" w:rsidP="00435FB0">
            <w:pPr>
              <w:pStyle w:val="Imprint"/>
            </w:pPr>
            <w:r w:rsidRPr="00136F1B">
              <w:rPr>
                <w:szCs w:val="19"/>
              </w:rPr>
              <w:t xml:space="preserve">Available at </w:t>
            </w:r>
            <w:r w:rsidRPr="00136F1B">
              <w:t>health.vic</w:t>
            </w:r>
            <w:r>
              <w:t xml:space="preserve"> website </w:t>
            </w:r>
            <w:r w:rsidRPr="00136F1B">
              <w:t>&lt;</w:t>
            </w:r>
            <w:r w:rsidRPr="00D559F7">
              <w:t>health.vic.gov.au/</w:t>
            </w:r>
            <w:r>
              <w:t>governance</w:t>
            </w:r>
            <w:r w:rsidRPr="00136F1B">
              <w:t>&gt;</w:t>
            </w:r>
          </w:p>
        </w:tc>
      </w:tr>
      <w:bookmarkEnd w:id="8"/>
      <w:bookmarkEnd w:id="11"/>
      <w:bookmarkEnd w:id="12"/>
      <w:bookmarkEnd w:id="13"/>
    </w:tbl>
    <w:p w14:paraId="1FA7EAB4" w14:textId="77777777" w:rsidR="00B43C92" w:rsidRDefault="00B43C92" w:rsidP="00B43C92">
      <w:pPr>
        <w:pStyle w:val="Body"/>
      </w:pPr>
    </w:p>
    <w:sectPr w:rsidR="00B43C92" w:rsidSect="006977D5">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3C77" w14:textId="77777777" w:rsidR="008F7520" w:rsidRDefault="008F7520">
      <w:r>
        <w:separator/>
      </w:r>
    </w:p>
  </w:endnote>
  <w:endnote w:type="continuationSeparator" w:id="0">
    <w:p w14:paraId="6FEF41E6" w14:textId="77777777" w:rsidR="008F7520" w:rsidRDefault="008F7520">
      <w:r>
        <w:continuationSeparator/>
      </w:r>
    </w:p>
  </w:endnote>
  <w:endnote w:type="continuationNotice" w:id="1">
    <w:p w14:paraId="0B0BD243" w14:textId="77777777" w:rsidR="008F7520" w:rsidRDefault="008F7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49F2" w14:textId="77777777" w:rsidR="00536B32" w:rsidRDefault="0053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459" w14:textId="77777777" w:rsidR="00E261B3" w:rsidRPr="00F65AA9" w:rsidRDefault="00315BD8" w:rsidP="00F84FA0">
    <w:pPr>
      <w:pStyle w:val="Footer"/>
    </w:pPr>
    <w:r>
      <w:rPr>
        <w:noProof/>
        <w:lang w:eastAsia="en-AU"/>
      </w:rPr>
      <w:drawing>
        <wp:anchor distT="0" distB="0" distL="114300" distR="114300" simplePos="0" relativeHeight="251661824" behindDoc="1" locked="1" layoutInCell="1" allowOverlap="1" wp14:anchorId="605E0BBD" wp14:editId="12F53C70">
          <wp:simplePos x="0" y="0"/>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651C41F1" wp14:editId="081AAFA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C41F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BC11" w14:textId="77777777" w:rsidR="00E261B3" w:rsidRDefault="00E261B3">
    <w:pPr>
      <w:pStyle w:val="Footer"/>
    </w:pPr>
    <w:r>
      <w:rPr>
        <w:noProof/>
      </w:rPr>
      <mc:AlternateContent>
        <mc:Choice Requires="wps">
          <w:drawing>
            <wp:anchor distT="0" distB="0" distL="114300" distR="114300" simplePos="0" relativeHeight="251658752" behindDoc="0" locked="0" layoutInCell="0" allowOverlap="1" wp14:anchorId="02D1E2EE" wp14:editId="48FB739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1E2E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D1D7" w14:textId="54CDABB8" w:rsidR="006977D5" w:rsidRPr="00F65AA9" w:rsidRDefault="006977D5" w:rsidP="006977D5">
    <w:pPr>
      <w:pStyle w:val="Footer"/>
    </w:pPr>
  </w:p>
  <w:p w14:paraId="4665BD46" w14:textId="77777777" w:rsidR="006977D5" w:rsidRPr="00A11421" w:rsidRDefault="006977D5" w:rsidP="0051568D">
    <w:pPr>
      <w:pStyle w:val="DHHSfooter"/>
    </w:pPr>
    <w:r>
      <w:rPr>
        <w:noProof/>
      </w:rPr>
      <mc:AlternateContent>
        <mc:Choice Requires="wps">
          <w:drawing>
            <wp:anchor distT="0" distB="0" distL="114300" distR="114300" simplePos="0" relativeHeight="251658243" behindDoc="0" locked="0" layoutInCell="0" allowOverlap="1" wp14:anchorId="7CCCD8BE" wp14:editId="59A3E396">
              <wp:simplePos x="0" y="0"/>
              <wp:positionH relativeFrom="page">
                <wp:posOffset>0</wp:posOffset>
              </wp:positionH>
              <wp:positionV relativeFrom="page">
                <wp:posOffset>10189210</wp:posOffset>
              </wp:positionV>
              <wp:extent cx="7560310" cy="311785"/>
              <wp:effectExtent l="0" t="0" r="0" b="12065"/>
              <wp:wrapNone/>
              <wp:docPr id="8" name="MSIPCMd30e4b3389e8d9d7cdb9862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13C1" w14:textId="13FC51E5" w:rsidR="006977D5" w:rsidRPr="007D12EF" w:rsidRDefault="006977D5" w:rsidP="006977D5">
                          <w:pPr>
                            <w:spacing w:after="0"/>
                            <w:jc w:val="center"/>
                            <w:rPr>
                              <w:rFonts w:ascii="Arial Black" w:hAnsi="Arial Black"/>
                              <w:color w:val="000000"/>
                              <w:sz w:val="20"/>
                            </w:rPr>
                          </w:pPr>
                          <w:r w:rsidRPr="007D1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CCD8BE" id="_x0000_t202" coordsize="21600,21600" o:spt="202" path="m,l,21600r21600,l21600,xe">
              <v:stroke joinstyle="miter"/>
              <v:path gradientshapeok="t" o:connecttype="rect"/>
            </v:shapetype>
            <v:shape id="MSIPCMd30e4b3389e8d9d7cdb9862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F413C1" w14:textId="13FC51E5" w:rsidR="006977D5" w:rsidRPr="007D12EF" w:rsidRDefault="006977D5" w:rsidP="006977D5">
                    <w:pPr>
                      <w:spacing w:after="0"/>
                      <w:jc w:val="center"/>
                      <w:rPr>
                        <w:rFonts w:ascii="Arial Black" w:hAnsi="Arial Black"/>
                        <w:color w:val="000000"/>
                        <w:sz w:val="20"/>
                      </w:rPr>
                    </w:pPr>
                    <w:r w:rsidRPr="007D12EF">
                      <w:rPr>
                        <w:rFonts w:ascii="Arial Black" w:hAnsi="Arial Black"/>
                        <w:color w:val="000000"/>
                        <w:sz w:val="20"/>
                      </w:rPr>
                      <w:t>OFFICIAL</w:t>
                    </w:r>
                  </w:p>
                </w:txbxContent>
              </v:textbox>
              <w10:wrap anchorx="page" anchory="page"/>
            </v:shape>
          </w:pict>
        </mc:Fallback>
      </mc:AlternateContent>
    </w:r>
    <w:r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507A" w14:textId="77777777" w:rsidR="008F7520" w:rsidRDefault="008F7520" w:rsidP="002862F1">
      <w:pPr>
        <w:spacing w:before="120"/>
      </w:pPr>
      <w:r>
        <w:separator/>
      </w:r>
    </w:p>
  </w:footnote>
  <w:footnote w:type="continuationSeparator" w:id="0">
    <w:p w14:paraId="75D0A853" w14:textId="77777777" w:rsidR="008F7520" w:rsidRDefault="008F7520">
      <w:r>
        <w:continuationSeparator/>
      </w:r>
    </w:p>
  </w:footnote>
  <w:footnote w:type="continuationNotice" w:id="1">
    <w:p w14:paraId="1B927250" w14:textId="77777777" w:rsidR="008F7520" w:rsidRDefault="008F7520">
      <w:pPr>
        <w:spacing w:after="0" w:line="240" w:lineRule="auto"/>
      </w:pPr>
    </w:p>
  </w:footnote>
  <w:footnote w:id="2">
    <w:p w14:paraId="20B19914" w14:textId="77777777" w:rsidR="006977D5" w:rsidRPr="00DE1E75" w:rsidRDefault="006977D5" w:rsidP="006977D5">
      <w:pPr>
        <w:spacing w:after="0" w:line="240" w:lineRule="auto"/>
        <w:ind w:left="142" w:hanging="142"/>
        <w:rPr>
          <w:rFonts w:eastAsia="Arial" w:cs="Arial"/>
          <w:color w:val="0070C0"/>
          <w:sz w:val="18"/>
          <w:szCs w:val="18"/>
        </w:rPr>
      </w:pPr>
      <w:r w:rsidRPr="00346B5A">
        <w:rPr>
          <w:rStyle w:val="FootnoteReference"/>
          <w:rFonts w:cs="Arial"/>
          <w:sz w:val="18"/>
          <w:szCs w:val="18"/>
        </w:rPr>
        <w:footnoteRef/>
      </w:r>
      <w:r w:rsidRPr="00346B5A">
        <w:rPr>
          <w:rFonts w:cs="Arial"/>
          <w:sz w:val="18"/>
          <w:szCs w:val="18"/>
        </w:rPr>
        <w:t xml:space="preserve"> Available from:</w:t>
      </w:r>
      <w:r w:rsidRPr="00346B5A">
        <w:rPr>
          <w:rFonts w:cs="Arial"/>
          <w:spacing w:val="-10"/>
          <w:sz w:val="18"/>
          <w:szCs w:val="18"/>
        </w:rPr>
        <w:t xml:space="preserve"> </w:t>
      </w:r>
      <w:hyperlink r:id="rId1">
        <w:r w:rsidRPr="00DE1E75">
          <w:rPr>
            <w:rFonts w:cs="Arial"/>
            <w:color w:val="0070C0"/>
            <w:sz w:val="18"/>
            <w:szCs w:val="18"/>
            <w:u w:val="single" w:color="0000D3"/>
          </w:rPr>
          <w:t>https://vpsc.vic.gov.au/resources/code-of-conduct-for-directors/</w:t>
        </w:r>
      </w:hyperlink>
    </w:p>
    <w:p w14:paraId="584A5467" w14:textId="77777777" w:rsidR="006977D5" w:rsidRPr="00346B5A" w:rsidRDefault="006977D5" w:rsidP="006977D5">
      <w:pPr>
        <w:spacing w:after="0" w:line="240" w:lineRule="auto"/>
        <w:ind w:left="142" w:hanging="142"/>
        <w:rPr>
          <w:rFonts w:cs="Arial"/>
          <w:sz w:val="18"/>
          <w:szCs w:val="18"/>
        </w:rPr>
      </w:pPr>
    </w:p>
  </w:footnote>
  <w:footnote w:id="3">
    <w:p w14:paraId="085C0E94" w14:textId="77777777" w:rsidR="006977D5" w:rsidRPr="00346B5A" w:rsidRDefault="006977D5" w:rsidP="006977D5">
      <w:pPr>
        <w:spacing w:after="0" w:line="240" w:lineRule="auto"/>
        <w:ind w:left="142" w:hanging="142"/>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DE48" w14:textId="77777777" w:rsidR="00536B32" w:rsidRDefault="0053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67A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21DB" w14:textId="77777777" w:rsidR="00536B32" w:rsidRDefault="00536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92E0" w14:textId="3C5C8EA7" w:rsidR="006977D5" w:rsidRPr="0051568D" w:rsidRDefault="002254A0" w:rsidP="00F41C00">
    <w:pPr>
      <w:pStyle w:val="Header"/>
    </w:pPr>
    <w:r w:rsidRPr="002254A0">
      <w:t xml:space="preserve">Victorian Institute of Forensic Mental Health </w:t>
    </w:r>
    <w:r w:rsidR="006977D5">
      <w:rPr>
        <w:noProof/>
      </w:rPr>
      <w:drawing>
        <wp:anchor distT="0" distB="0" distL="114300" distR="114300" simplePos="0" relativeHeight="251658244" behindDoc="1" locked="1" layoutInCell="1" allowOverlap="1" wp14:anchorId="4C7384EE" wp14:editId="06BF87E4">
          <wp:simplePos x="0" y="0"/>
          <wp:positionH relativeFrom="page">
            <wp:posOffset>36830</wp:posOffset>
          </wp:positionH>
          <wp:positionV relativeFrom="page">
            <wp:posOffset>0</wp:posOffset>
          </wp:positionV>
          <wp:extent cx="7523480" cy="269875"/>
          <wp:effectExtent l="0" t="0" r="127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t>(</w:t>
    </w:r>
    <w:r w:rsidR="004C7073">
      <w:t>Forensicare</w:t>
    </w:r>
    <w:r>
      <w:t xml:space="preserve">) </w:t>
    </w:r>
    <w:r w:rsidR="00BE733A">
      <w:t>-</w:t>
    </w:r>
    <w:r w:rsidR="004C7073">
      <w:t xml:space="preserve"> </w:t>
    </w:r>
    <w:r w:rsidR="006977D5">
      <w:t>Board Director Position Description</w:t>
    </w:r>
    <w:r w:rsidR="006977D5">
      <w:ptab w:relativeTo="margin" w:alignment="right" w:leader="none"/>
    </w:r>
    <w:r w:rsidR="006977D5" w:rsidRPr="007E1227">
      <w:rPr>
        <w:b/>
        <w:bCs/>
      </w:rPr>
      <w:fldChar w:fldCharType="begin"/>
    </w:r>
    <w:r w:rsidR="006977D5" w:rsidRPr="007E1227">
      <w:rPr>
        <w:b/>
        <w:bCs/>
      </w:rPr>
      <w:instrText xml:space="preserve"> PAGE </w:instrText>
    </w:r>
    <w:r w:rsidR="006977D5" w:rsidRPr="007E1227">
      <w:rPr>
        <w:b/>
        <w:bCs/>
      </w:rPr>
      <w:fldChar w:fldCharType="separate"/>
    </w:r>
    <w:r w:rsidR="006977D5">
      <w:rPr>
        <w:b/>
        <w:bCs/>
      </w:rPr>
      <w:t>5</w:t>
    </w:r>
    <w:r w:rsidR="006977D5"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E5B"/>
    <w:multiLevelType w:val="hybridMultilevel"/>
    <w:tmpl w:val="C07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53ACD"/>
    <w:multiLevelType w:val="hybridMultilevel"/>
    <w:tmpl w:val="1C88D954"/>
    <w:lvl w:ilvl="0" w:tplc="F7366742">
      <w:start w:val="1"/>
      <w:numFmt w:val="bullet"/>
      <w:lvlText w:val=""/>
      <w:lvlJc w:val="left"/>
      <w:pPr>
        <w:ind w:left="540" w:hanging="358"/>
      </w:pPr>
      <w:rPr>
        <w:rFonts w:ascii="Symbol" w:eastAsia="Symbol" w:hAnsi="Symbol" w:hint="default"/>
        <w:w w:val="100"/>
        <w:sz w:val="22"/>
        <w:szCs w:val="22"/>
      </w:rPr>
    </w:lvl>
    <w:lvl w:ilvl="1" w:tplc="ED22B466">
      <w:start w:val="1"/>
      <w:numFmt w:val="bullet"/>
      <w:lvlText w:val="•"/>
      <w:lvlJc w:val="left"/>
      <w:pPr>
        <w:ind w:left="1499" w:hanging="358"/>
      </w:pPr>
      <w:rPr>
        <w:rFonts w:hint="default"/>
      </w:rPr>
    </w:lvl>
    <w:lvl w:ilvl="2" w:tplc="24624210">
      <w:start w:val="1"/>
      <w:numFmt w:val="bullet"/>
      <w:lvlText w:val="•"/>
      <w:lvlJc w:val="left"/>
      <w:pPr>
        <w:ind w:left="2459" w:hanging="358"/>
      </w:pPr>
      <w:rPr>
        <w:rFonts w:hint="default"/>
      </w:rPr>
    </w:lvl>
    <w:lvl w:ilvl="3" w:tplc="C7CA0F26">
      <w:start w:val="1"/>
      <w:numFmt w:val="bullet"/>
      <w:lvlText w:val="•"/>
      <w:lvlJc w:val="left"/>
      <w:pPr>
        <w:ind w:left="3419" w:hanging="358"/>
      </w:pPr>
      <w:rPr>
        <w:rFonts w:hint="default"/>
      </w:rPr>
    </w:lvl>
    <w:lvl w:ilvl="4" w:tplc="A5A2AD30">
      <w:start w:val="1"/>
      <w:numFmt w:val="bullet"/>
      <w:lvlText w:val="•"/>
      <w:lvlJc w:val="left"/>
      <w:pPr>
        <w:ind w:left="4379" w:hanging="358"/>
      </w:pPr>
      <w:rPr>
        <w:rFonts w:hint="default"/>
      </w:rPr>
    </w:lvl>
    <w:lvl w:ilvl="5" w:tplc="B712A604">
      <w:start w:val="1"/>
      <w:numFmt w:val="bullet"/>
      <w:lvlText w:val="•"/>
      <w:lvlJc w:val="left"/>
      <w:pPr>
        <w:ind w:left="5339" w:hanging="358"/>
      </w:pPr>
      <w:rPr>
        <w:rFonts w:hint="default"/>
      </w:rPr>
    </w:lvl>
    <w:lvl w:ilvl="6" w:tplc="95E6063C">
      <w:start w:val="1"/>
      <w:numFmt w:val="bullet"/>
      <w:lvlText w:val="•"/>
      <w:lvlJc w:val="left"/>
      <w:pPr>
        <w:ind w:left="6299" w:hanging="358"/>
      </w:pPr>
      <w:rPr>
        <w:rFonts w:hint="default"/>
      </w:rPr>
    </w:lvl>
    <w:lvl w:ilvl="7" w:tplc="6BECD526">
      <w:start w:val="1"/>
      <w:numFmt w:val="bullet"/>
      <w:lvlText w:val="•"/>
      <w:lvlJc w:val="left"/>
      <w:pPr>
        <w:ind w:left="7259" w:hanging="358"/>
      </w:pPr>
      <w:rPr>
        <w:rFonts w:hint="default"/>
      </w:rPr>
    </w:lvl>
    <w:lvl w:ilvl="8" w:tplc="CB4236B2">
      <w:start w:val="1"/>
      <w:numFmt w:val="bullet"/>
      <w:lvlText w:val="•"/>
      <w:lvlJc w:val="left"/>
      <w:pPr>
        <w:ind w:left="8219" w:hanging="358"/>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954504"/>
    <w:multiLevelType w:val="hybridMultilevel"/>
    <w:tmpl w:val="BFC0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31C9"/>
    <w:multiLevelType w:val="hybridMultilevel"/>
    <w:tmpl w:val="3496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F3F48"/>
    <w:multiLevelType w:val="hybridMultilevel"/>
    <w:tmpl w:val="4D868C58"/>
    <w:lvl w:ilvl="0" w:tplc="AC6E9B6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A22B3"/>
    <w:multiLevelType w:val="hybridMultilevel"/>
    <w:tmpl w:val="C94616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 w15:restartNumberingAfterBreak="0">
    <w:nsid w:val="233A3330"/>
    <w:multiLevelType w:val="hybridMultilevel"/>
    <w:tmpl w:val="D2D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60C58"/>
    <w:multiLevelType w:val="hybridMultilevel"/>
    <w:tmpl w:val="197E50F8"/>
    <w:lvl w:ilvl="0" w:tplc="CEEE33D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684F07"/>
    <w:multiLevelType w:val="hybridMultilevel"/>
    <w:tmpl w:val="1E0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347EC"/>
    <w:multiLevelType w:val="hybridMultilevel"/>
    <w:tmpl w:val="B4E09CEE"/>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30317EEC"/>
    <w:multiLevelType w:val="hybridMultilevel"/>
    <w:tmpl w:val="ED741852"/>
    <w:lvl w:ilvl="0" w:tplc="467A12FE">
      <w:start w:val="1"/>
      <w:numFmt w:val="decimal"/>
      <w:lvlText w:val="%1."/>
      <w:lvlJc w:val="left"/>
      <w:pPr>
        <w:ind w:left="679" w:hanging="567"/>
      </w:pPr>
      <w:rPr>
        <w:rFonts w:ascii="Arial" w:eastAsia="Arial" w:hAnsi="Arial" w:hint="default"/>
        <w:color w:val="4F81BC"/>
        <w:spacing w:val="-1"/>
        <w:w w:val="100"/>
        <w:sz w:val="28"/>
        <w:szCs w:val="28"/>
      </w:rPr>
    </w:lvl>
    <w:lvl w:ilvl="1" w:tplc="0EAACD5A">
      <w:start w:val="1"/>
      <w:numFmt w:val="decimal"/>
      <w:lvlText w:val="%2."/>
      <w:lvlJc w:val="left"/>
      <w:pPr>
        <w:ind w:left="1042" w:hanging="360"/>
      </w:pPr>
      <w:rPr>
        <w:rFonts w:ascii="Arial" w:eastAsia="Arial" w:hAnsi="Arial" w:hint="default"/>
        <w:spacing w:val="-1"/>
        <w:w w:val="99"/>
        <w:sz w:val="20"/>
        <w:szCs w:val="20"/>
      </w:rPr>
    </w:lvl>
    <w:lvl w:ilvl="2" w:tplc="921A6EF4">
      <w:start w:val="1"/>
      <w:numFmt w:val="bullet"/>
      <w:lvlText w:val="•"/>
      <w:lvlJc w:val="left"/>
      <w:pPr>
        <w:ind w:left="2051" w:hanging="360"/>
      </w:pPr>
      <w:rPr>
        <w:rFonts w:hint="default"/>
      </w:rPr>
    </w:lvl>
    <w:lvl w:ilvl="3" w:tplc="0D82B4A8">
      <w:start w:val="1"/>
      <w:numFmt w:val="bullet"/>
      <w:lvlText w:val="•"/>
      <w:lvlJc w:val="left"/>
      <w:pPr>
        <w:ind w:left="3062" w:hanging="360"/>
      </w:pPr>
      <w:rPr>
        <w:rFonts w:hint="default"/>
      </w:rPr>
    </w:lvl>
    <w:lvl w:ilvl="4" w:tplc="2ECA5AA6">
      <w:start w:val="1"/>
      <w:numFmt w:val="bullet"/>
      <w:lvlText w:val="•"/>
      <w:lvlJc w:val="left"/>
      <w:pPr>
        <w:ind w:left="4073" w:hanging="360"/>
      </w:pPr>
      <w:rPr>
        <w:rFonts w:hint="default"/>
      </w:rPr>
    </w:lvl>
    <w:lvl w:ilvl="5" w:tplc="FCA4B8E6">
      <w:start w:val="1"/>
      <w:numFmt w:val="bullet"/>
      <w:lvlText w:val="•"/>
      <w:lvlJc w:val="left"/>
      <w:pPr>
        <w:ind w:left="5084" w:hanging="360"/>
      </w:pPr>
      <w:rPr>
        <w:rFonts w:hint="default"/>
      </w:rPr>
    </w:lvl>
    <w:lvl w:ilvl="6" w:tplc="0268AF62">
      <w:start w:val="1"/>
      <w:numFmt w:val="bullet"/>
      <w:lvlText w:val="•"/>
      <w:lvlJc w:val="left"/>
      <w:pPr>
        <w:ind w:left="6095" w:hanging="360"/>
      </w:pPr>
      <w:rPr>
        <w:rFonts w:hint="default"/>
      </w:rPr>
    </w:lvl>
    <w:lvl w:ilvl="7" w:tplc="C458EA8C">
      <w:start w:val="1"/>
      <w:numFmt w:val="bullet"/>
      <w:lvlText w:val="•"/>
      <w:lvlJc w:val="left"/>
      <w:pPr>
        <w:ind w:left="7106" w:hanging="360"/>
      </w:pPr>
      <w:rPr>
        <w:rFonts w:hint="default"/>
      </w:rPr>
    </w:lvl>
    <w:lvl w:ilvl="8" w:tplc="A6D81E46">
      <w:start w:val="1"/>
      <w:numFmt w:val="bullet"/>
      <w:lvlText w:val="•"/>
      <w:lvlJc w:val="left"/>
      <w:pPr>
        <w:ind w:left="8117" w:hanging="360"/>
      </w:pPr>
      <w:rPr>
        <w:rFonts w:hint="default"/>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A33F54"/>
    <w:multiLevelType w:val="hybridMultilevel"/>
    <w:tmpl w:val="6D280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7C50C81"/>
    <w:multiLevelType w:val="hybridMultilevel"/>
    <w:tmpl w:val="B3E02AB6"/>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16" w15:restartNumberingAfterBreak="0">
    <w:nsid w:val="4B3D2654"/>
    <w:multiLevelType w:val="hybridMultilevel"/>
    <w:tmpl w:val="237CD478"/>
    <w:lvl w:ilvl="0" w:tplc="AEE29C98">
      <w:start w:val="1"/>
      <w:numFmt w:val="bullet"/>
      <w:lvlText w:val="•"/>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78D07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86DC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2A445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A66B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18A72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0C80E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D66E2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987CD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885331B"/>
    <w:multiLevelType w:val="hybridMultilevel"/>
    <w:tmpl w:val="AA24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40F43"/>
    <w:multiLevelType w:val="hybridMultilevel"/>
    <w:tmpl w:val="723E17C6"/>
    <w:lvl w:ilvl="0" w:tplc="7494F23E">
      <w:start w:val="1"/>
      <w:numFmt w:val="bullet"/>
      <w:lvlText w:val=""/>
      <w:lvlJc w:val="left"/>
      <w:pPr>
        <w:ind w:left="540" w:hanging="428"/>
      </w:pPr>
      <w:rPr>
        <w:rFonts w:ascii="Symbol" w:eastAsia="Symbol" w:hAnsi="Symbol" w:hint="default"/>
        <w:w w:val="100"/>
      </w:rPr>
    </w:lvl>
    <w:lvl w:ilvl="1" w:tplc="DA0EDD8A">
      <w:start w:val="1"/>
      <w:numFmt w:val="bullet"/>
      <w:lvlText w:val="o"/>
      <w:lvlJc w:val="left"/>
      <w:pPr>
        <w:ind w:left="965" w:hanging="425"/>
      </w:pPr>
      <w:rPr>
        <w:rFonts w:ascii="Courier New" w:eastAsia="Courier New" w:hAnsi="Courier New" w:hint="default"/>
        <w:w w:val="100"/>
        <w:sz w:val="22"/>
        <w:szCs w:val="22"/>
      </w:rPr>
    </w:lvl>
    <w:lvl w:ilvl="2" w:tplc="A34E6794">
      <w:start w:val="1"/>
      <w:numFmt w:val="bullet"/>
      <w:lvlText w:val="•"/>
      <w:lvlJc w:val="left"/>
      <w:pPr>
        <w:ind w:left="1100" w:hanging="425"/>
      </w:pPr>
      <w:rPr>
        <w:rFonts w:hint="default"/>
      </w:rPr>
    </w:lvl>
    <w:lvl w:ilvl="3" w:tplc="F38A7F08">
      <w:start w:val="1"/>
      <w:numFmt w:val="bullet"/>
      <w:lvlText w:val="•"/>
      <w:lvlJc w:val="left"/>
      <w:pPr>
        <w:ind w:left="2229" w:hanging="425"/>
      </w:pPr>
      <w:rPr>
        <w:rFonts w:hint="default"/>
      </w:rPr>
    </w:lvl>
    <w:lvl w:ilvl="4" w:tplc="B4B899FE">
      <w:start w:val="1"/>
      <w:numFmt w:val="bullet"/>
      <w:lvlText w:val="•"/>
      <w:lvlJc w:val="left"/>
      <w:pPr>
        <w:ind w:left="3359" w:hanging="425"/>
      </w:pPr>
      <w:rPr>
        <w:rFonts w:hint="default"/>
      </w:rPr>
    </w:lvl>
    <w:lvl w:ilvl="5" w:tplc="3B20B518">
      <w:start w:val="1"/>
      <w:numFmt w:val="bullet"/>
      <w:lvlText w:val="•"/>
      <w:lvlJc w:val="left"/>
      <w:pPr>
        <w:ind w:left="4489" w:hanging="425"/>
      </w:pPr>
      <w:rPr>
        <w:rFonts w:hint="default"/>
      </w:rPr>
    </w:lvl>
    <w:lvl w:ilvl="6" w:tplc="F1B8E3E6">
      <w:start w:val="1"/>
      <w:numFmt w:val="bullet"/>
      <w:lvlText w:val="•"/>
      <w:lvlJc w:val="left"/>
      <w:pPr>
        <w:ind w:left="5619" w:hanging="425"/>
      </w:pPr>
      <w:rPr>
        <w:rFonts w:hint="default"/>
      </w:rPr>
    </w:lvl>
    <w:lvl w:ilvl="7" w:tplc="A8C61E44">
      <w:start w:val="1"/>
      <w:numFmt w:val="bullet"/>
      <w:lvlText w:val="•"/>
      <w:lvlJc w:val="left"/>
      <w:pPr>
        <w:ind w:left="6749" w:hanging="425"/>
      </w:pPr>
      <w:rPr>
        <w:rFonts w:hint="default"/>
      </w:rPr>
    </w:lvl>
    <w:lvl w:ilvl="8" w:tplc="7D3CC4B0">
      <w:start w:val="1"/>
      <w:numFmt w:val="bullet"/>
      <w:lvlText w:val="•"/>
      <w:lvlJc w:val="left"/>
      <w:pPr>
        <w:ind w:left="7879" w:hanging="425"/>
      </w:pPr>
      <w:rPr>
        <w:rFonts w:hint="default"/>
      </w:rPr>
    </w:lvl>
  </w:abstractNum>
  <w:abstractNum w:abstractNumId="21" w15:restartNumberingAfterBreak="0">
    <w:nsid w:val="5EC86DBD"/>
    <w:multiLevelType w:val="hybridMultilevel"/>
    <w:tmpl w:val="69CE758C"/>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C6D40EE"/>
    <w:multiLevelType w:val="hybridMultilevel"/>
    <w:tmpl w:val="FFFA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7"/>
  </w:num>
  <w:num w:numId="4">
    <w:abstractNumId w:val="22"/>
  </w:num>
  <w:num w:numId="5">
    <w:abstractNumId w:val="14"/>
  </w:num>
  <w:num w:numId="6">
    <w:abstractNumId w:val="2"/>
  </w:num>
  <w:num w:numId="7">
    <w:abstractNumId w:val="1"/>
  </w:num>
  <w:num w:numId="8">
    <w:abstractNumId w:val="20"/>
  </w:num>
  <w:num w:numId="9">
    <w:abstractNumId w:val="11"/>
  </w:num>
  <w:num w:numId="10">
    <w:abstractNumId w:val="15"/>
  </w:num>
  <w:num w:numId="11">
    <w:abstractNumId w:val="10"/>
  </w:num>
  <w:num w:numId="12">
    <w:abstractNumId w:val="21"/>
  </w:num>
  <w:num w:numId="13">
    <w:abstractNumId w:val="9"/>
  </w:num>
  <w:num w:numId="14">
    <w:abstractNumId w:val="4"/>
  </w:num>
  <w:num w:numId="15">
    <w:abstractNumId w:val="6"/>
  </w:num>
  <w:num w:numId="16">
    <w:abstractNumId w:val="8"/>
  </w:num>
  <w:num w:numId="17">
    <w:abstractNumId w:val="3"/>
  </w:num>
  <w:num w:numId="18">
    <w:abstractNumId w:val="7"/>
  </w:num>
  <w:num w:numId="19">
    <w:abstractNumId w:val="13"/>
  </w:num>
  <w:num w:numId="20">
    <w:abstractNumId w:val="23"/>
  </w:num>
  <w:num w:numId="21">
    <w:abstractNumId w:val="19"/>
  </w:num>
  <w:num w:numId="22">
    <w:abstractNumId w:val="5"/>
  </w:num>
  <w:num w:numId="23">
    <w:abstractNumId w:val="0"/>
  </w:num>
  <w:num w:numId="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D5"/>
    <w:rsid w:val="00000719"/>
    <w:rsid w:val="00003403"/>
    <w:rsid w:val="00005347"/>
    <w:rsid w:val="000072B6"/>
    <w:rsid w:val="00007360"/>
    <w:rsid w:val="0001021B"/>
    <w:rsid w:val="00011D89"/>
    <w:rsid w:val="000154FD"/>
    <w:rsid w:val="00022271"/>
    <w:rsid w:val="000235E8"/>
    <w:rsid w:val="00024D89"/>
    <w:rsid w:val="000250B6"/>
    <w:rsid w:val="00033D81"/>
    <w:rsid w:val="0003732B"/>
    <w:rsid w:val="00037366"/>
    <w:rsid w:val="00041BF0"/>
    <w:rsid w:val="00042C8A"/>
    <w:rsid w:val="0004536B"/>
    <w:rsid w:val="00046B68"/>
    <w:rsid w:val="000527DD"/>
    <w:rsid w:val="000578B2"/>
    <w:rsid w:val="00060959"/>
    <w:rsid w:val="00060C8F"/>
    <w:rsid w:val="0006298A"/>
    <w:rsid w:val="000663CD"/>
    <w:rsid w:val="00067943"/>
    <w:rsid w:val="000733FE"/>
    <w:rsid w:val="00074219"/>
    <w:rsid w:val="00074ED5"/>
    <w:rsid w:val="0008508E"/>
    <w:rsid w:val="00087951"/>
    <w:rsid w:val="0009113B"/>
    <w:rsid w:val="00093402"/>
    <w:rsid w:val="00094DA3"/>
    <w:rsid w:val="00096CD1"/>
    <w:rsid w:val="00097628"/>
    <w:rsid w:val="000A012C"/>
    <w:rsid w:val="000A0EB9"/>
    <w:rsid w:val="000A186C"/>
    <w:rsid w:val="000A1EA4"/>
    <w:rsid w:val="000A2476"/>
    <w:rsid w:val="000A641A"/>
    <w:rsid w:val="000B12F5"/>
    <w:rsid w:val="000B3EDB"/>
    <w:rsid w:val="000B543D"/>
    <w:rsid w:val="000B55F9"/>
    <w:rsid w:val="000B5BF7"/>
    <w:rsid w:val="000B6BC8"/>
    <w:rsid w:val="000C0303"/>
    <w:rsid w:val="000C16AC"/>
    <w:rsid w:val="000C42EA"/>
    <w:rsid w:val="000C4546"/>
    <w:rsid w:val="000D1242"/>
    <w:rsid w:val="000D2178"/>
    <w:rsid w:val="000D2392"/>
    <w:rsid w:val="000D5889"/>
    <w:rsid w:val="000D6C5B"/>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56E1"/>
    <w:rsid w:val="0010714F"/>
    <w:rsid w:val="001120C5"/>
    <w:rsid w:val="0011701A"/>
    <w:rsid w:val="00120BD3"/>
    <w:rsid w:val="00122FEA"/>
    <w:rsid w:val="001232BD"/>
    <w:rsid w:val="00124ED5"/>
    <w:rsid w:val="001276FA"/>
    <w:rsid w:val="00134A29"/>
    <w:rsid w:val="0014255B"/>
    <w:rsid w:val="001447B3"/>
    <w:rsid w:val="00152073"/>
    <w:rsid w:val="00154E2D"/>
    <w:rsid w:val="0015515D"/>
    <w:rsid w:val="00156598"/>
    <w:rsid w:val="0015664C"/>
    <w:rsid w:val="00161939"/>
    <w:rsid w:val="00161AA0"/>
    <w:rsid w:val="00161D2E"/>
    <w:rsid w:val="00161F3E"/>
    <w:rsid w:val="00162093"/>
    <w:rsid w:val="00162CA9"/>
    <w:rsid w:val="00165459"/>
    <w:rsid w:val="00165A57"/>
    <w:rsid w:val="001712C2"/>
    <w:rsid w:val="00172BAF"/>
    <w:rsid w:val="00176106"/>
    <w:rsid w:val="001771DD"/>
    <w:rsid w:val="00177802"/>
    <w:rsid w:val="00177995"/>
    <w:rsid w:val="00177A8C"/>
    <w:rsid w:val="001851A0"/>
    <w:rsid w:val="00186B33"/>
    <w:rsid w:val="0018727D"/>
    <w:rsid w:val="00192F9D"/>
    <w:rsid w:val="00196EB8"/>
    <w:rsid w:val="00196EFB"/>
    <w:rsid w:val="001979FF"/>
    <w:rsid w:val="00197B17"/>
    <w:rsid w:val="001A1950"/>
    <w:rsid w:val="001A1C54"/>
    <w:rsid w:val="001A3998"/>
    <w:rsid w:val="001A3ACE"/>
    <w:rsid w:val="001A41EC"/>
    <w:rsid w:val="001B058F"/>
    <w:rsid w:val="001B3311"/>
    <w:rsid w:val="001B738B"/>
    <w:rsid w:val="001C09DB"/>
    <w:rsid w:val="001C277E"/>
    <w:rsid w:val="001C2A72"/>
    <w:rsid w:val="001C31B7"/>
    <w:rsid w:val="001D0B75"/>
    <w:rsid w:val="001D39A5"/>
    <w:rsid w:val="001D3C09"/>
    <w:rsid w:val="001D44E8"/>
    <w:rsid w:val="001D60EC"/>
    <w:rsid w:val="001D6973"/>
    <w:rsid w:val="001D6F59"/>
    <w:rsid w:val="001E0C5D"/>
    <w:rsid w:val="001E1478"/>
    <w:rsid w:val="001E2A36"/>
    <w:rsid w:val="001E44DF"/>
    <w:rsid w:val="001E68A5"/>
    <w:rsid w:val="001E6BB0"/>
    <w:rsid w:val="001E7282"/>
    <w:rsid w:val="001F3826"/>
    <w:rsid w:val="001F6E46"/>
    <w:rsid w:val="001F7C91"/>
    <w:rsid w:val="002029E4"/>
    <w:rsid w:val="002033B7"/>
    <w:rsid w:val="00206463"/>
    <w:rsid w:val="00206F2F"/>
    <w:rsid w:val="0021053D"/>
    <w:rsid w:val="00210A92"/>
    <w:rsid w:val="00216C03"/>
    <w:rsid w:val="00220C04"/>
    <w:rsid w:val="0022278D"/>
    <w:rsid w:val="002254A0"/>
    <w:rsid w:val="0022701F"/>
    <w:rsid w:val="00227C68"/>
    <w:rsid w:val="002307B9"/>
    <w:rsid w:val="002333F5"/>
    <w:rsid w:val="00233724"/>
    <w:rsid w:val="002354FC"/>
    <w:rsid w:val="002365B4"/>
    <w:rsid w:val="00241B7E"/>
    <w:rsid w:val="002432E1"/>
    <w:rsid w:val="00246207"/>
    <w:rsid w:val="00246C5E"/>
    <w:rsid w:val="00250960"/>
    <w:rsid w:val="00251343"/>
    <w:rsid w:val="002536A4"/>
    <w:rsid w:val="00254F58"/>
    <w:rsid w:val="002620BC"/>
    <w:rsid w:val="00262802"/>
    <w:rsid w:val="00263A90"/>
    <w:rsid w:val="00263C1F"/>
    <w:rsid w:val="0026408B"/>
    <w:rsid w:val="002641D8"/>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4AD7"/>
    <w:rsid w:val="002B0C7C"/>
    <w:rsid w:val="002B1729"/>
    <w:rsid w:val="002B36C7"/>
    <w:rsid w:val="002B4DD4"/>
    <w:rsid w:val="002B5277"/>
    <w:rsid w:val="002B5375"/>
    <w:rsid w:val="002B77C1"/>
    <w:rsid w:val="002C0D75"/>
    <w:rsid w:val="002C0ED7"/>
    <w:rsid w:val="002C2728"/>
    <w:rsid w:val="002D1E0D"/>
    <w:rsid w:val="002D5006"/>
    <w:rsid w:val="002E01D0"/>
    <w:rsid w:val="002E161D"/>
    <w:rsid w:val="002E3100"/>
    <w:rsid w:val="002E6C95"/>
    <w:rsid w:val="002E7C36"/>
    <w:rsid w:val="002F0107"/>
    <w:rsid w:val="002F3D32"/>
    <w:rsid w:val="002F5964"/>
    <w:rsid w:val="002F5F31"/>
    <w:rsid w:val="002F5F46"/>
    <w:rsid w:val="00302216"/>
    <w:rsid w:val="00302290"/>
    <w:rsid w:val="00303E53"/>
    <w:rsid w:val="00305CC1"/>
    <w:rsid w:val="00306E5F"/>
    <w:rsid w:val="00307E14"/>
    <w:rsid w:val="00314054"/>
    <w:rsid w:val="00315BD8"/>
    <w:rsid w:val="00316F27"/>
    <w:rsid w:val="003176AC"/>
    <w:rsid w:val="003214F1"/>
    <w:rsid w:val="00322E4B"/>
    <w:rsid w:val="00327870"/>
    <w:rsid w:val="0033259D"/>
    <w:rsid w:val="003333D2"/>
    <w:rsid w:val="003406C6"/>
    <w:rsid w:val="003418CC"/>
    <w:rsid w:val="003459BD"/>
    <w:rsid w:val="00347E58"/>
    <w:rsid w:val="00350D38"/>
    <w:rsid w:val="00351B36"/>
    <w:rsid w:val="00357B4E"/>
    <w:rsid w:val="003716FD"/>
    <w:rsid w:val="0037204B"/>
    <w:rsid w:val="00373B82"/>
    <w:rsid w:val="003744CF"/>
    <w:rsid w:val="00374717"/>
    <w:rsid w:val="0037676C"/>
    <w:rsid w:val="00381043"/>
    <w:rsid w:val="003829E5"/>
    <w:rsid w:val="00386109"/>
    <w:rsid w:val="00386944"/>
    <w:rsid w:val="003956CC"/>
    <w:rsid w:val="00395C9A"/>
    <w:rsid w:val="003A0853"/>
    <w:rsid w:val="003A6B67"/>
    <w:rsid w:val="003A7F45"/>
    <w:rsid w:val="003B13B6"/>
    <w:rsid w:val="003B15E6"/>
    <w:rsid w:val="003B408A"/>
    <w:rsid w:val="003B5733"/>
    <w:rsid w:val="003B5E0E"/>
    <w:rsid w:val="003C08A2"/>
    <w:rsid w:val="003C2045"/>
    <w:rsid w:val="003C293F"/>
    <w:rsid w:val="003C43A1"/>
    <w:rsid w:val="003C4FC0"/>
    <w:rsid w:val="003C55F4"/>
    <w:rsid w:val="003C7897"/>
    <w:rsid w:val="003C7A3F"/>
    <w:rsid w:val="003D2766"/>
    <w:rsid w:val="003D2A74"/>
    <w:rsid w:val="003D378D"/>
    <w:rsid w:val="003D3E8F"/>
    <w:rsid w:val="003D56B5"/>
    <w:rsid w:val="003D6475"/>
    <w:rsid w:val="003E375C"/>
    <w:rsid w:val="003E4086"/>
    <w:rsid w:val="003E4425"/>
    <w:rsid w:val="003E639E"/>
    <w:rsid w:val="003E71E5"/>
    <w:rsid w:val="003F0445"/>
    <w:rsid w:val="003F0CF0"/>
    <w:rsid w:val="003F14B1"/>
    <w:rsid w:val="003F2B20"/>
    <w:rsid w:val="003F3289"/>
    <w:rsid w:val="003F5CB9"/>
    <w:rsid w:val="003F7A8E"/>
    <w:rsid w:val="004013C7"/>
    <w:rsid w:val="00401FCF"/>
    <w:rsid w:val="0040248F"/>
    <w:rsid w:val="00404156"/>
    <w:rsid w:val="00406285"/>
    <w:rsid w:val="00411771"/>
    <w:rsid w:val="004148F9"/>
    <w:rsid w:val="00414D4A"/>
    <w:rsid w:val="00417162"/>
    <w:rsid w:val="0042084E"/>
    <w:rsid w:val="00421EEF"/>
    <w:rsid w:val="004239D6"/>
    <w:rsid w:val="00424D65"/>
    <w:rsid w:val="004253D6"/>
    <w:rsid w:val="004303FC"/>
    <w:rsid w:val="00437B91"/>
    <w:rsid w:val="00442C6C"/>
    <w:rsid w:val="00443CBE"/>
    <w:rsid w:val="00443E8A"/>
    <w:rsid w:val="004441BC"/>
    <w:rsid w:val="0044575A"/>
    <w:rsid w:val="004468B4"/>
    <w:rsid w:val="0045230A"/>
    <w:rsid w:val="00452A28"/>
    <w:rsid w:val="00454AD0"/>
    <w:rsid w:val="00457337"/>
    <w:rsid w:val="00460CDA"/>
    <w:rsid w:val="00462E3D"/>
    <w:rsid w:val="00466E79"/>
    <w:rsid w:val="00470D7D"/>
    <w:rsid w:val="00470DCC"/>
    <w:rsid w:val="0047372D"/>
    <w:rsid w:val="00473BA3"/>
    <w:rsid w:val="004743DD"/>
    <w:rsid w:val="00474CEA"/>
    <w:rsid w:val="00483968"/>
    <w:rsid w:val="00483A75"/>
    <w:rsid w:val="00484F86"/>
    <w:rsid w:val="00490746"/>
    <w:rsid w:val="00490852"/>
    <w:rsid w:val="00491C9C"/>
    <w:rsid w:val="00492F30"/>
    <w:rsid w:val="004945D6"/>
    <w:rsid w:val="004946F4"/>
    <w:rsid w:val="0049487E"/>
    <w:rsid w:val="004A160D"/>
    <w:rsid w:val="004A3E81"/>
    <w:rsid w:val="004A4195"/>
    <w:rsid w:val="004A5C62"/>
    <w:rsid w:val="004A5CE5"/>
    <w:rsid w:val="004A707D"/>
    <w:rsid w:val="004B4DE6"/>
    <w:rsid w:val="004C5541"/>
    <w:rsid w:val="004C6EEE"/>
    <w:rsid w:val="004C702B"/>
    <w:rsid w:val="004C7073"/>
    <w:rsid w:val="004D0033"/>
    <w:rsid w:val="004D016B"/>
    <w:rsid w:val="004D1B22"/>
    <w:rsid w:val="004D23CC"/>
    <w:rsid w:val="004D36F2"/>
    <w:rsid w:val="004D5B72"/>
    <w:rsid w:val="004E1106"/>
    <w:rsid w:val="004E138F"/>
    <w:rsid w:val="004E4649"/>
    <w:rsid w:val="004E4E77"/>
    <w:rsid w:val="004E5C2B"/>
    <w:rsid w:val="004F00DD"/>
    <w:rsid w:val="004F2133"/>
    <w:rsid w:val="004F5398"/>
    <w:rsid w:val="004F55F1"/>
    <w:rsid w:val="004F6936"/>
    <w:rsid w:val="00503DC6"/>
    <w:rsid w:val="00506F5D"/>
    <w:rsid w:val="00510C37"/>
    <w:rsid w:val="005126D0"/>
    <w:rsid w:val="0051568D"/>
    <w:rsid w:val="00526AC7"/>
    <w:rsid w:val="00526C15"/>
    <w:rsid w:val="00535F91"/>
    <w:rsid w:val="00536499"/>
    <w:rsid w:val="00536B32"/>
    <w:rsid w:val="00543903"/>
    <w:rsid w:val="00543F11"/>
    <w:rsid w:val="00546305"/>
    <w:rsid w:val="00547A95"/>
    <w:rsid w:val="0055119B"/>
    <w:rsid w:val="005548B5"/>
    <w:rsid w:val="00561B05"/>
    <w:rsid w:val="00566BC1"/>
    <w:rsid w:val="00572031"/>
    <w:rsid w:val="00572282"/>
    <w:rsid w:val="00573CE3"/>
    <w:rsid w:val="00576E84"/>
    <w:rsid w:val="00580394"/>
    <w:rsid w:val="005809CD"/>
    <w:rsid w:val="00582B8C"/>
    <w:rsid w:val="00583374"/>
    <w:rsid w:val="0058757E"/>
    <w:rsid w:val="00596A4B"/>
    <w:rsid w:val="00597507"/>
    <w:rsid w:val="005A17A1"/>
    <w:rsid w:val="005A2646"/>
    <w:rsid w:val="005A479D"/>
    <w:rsid w:val="005B1C6D"/>
    <w:rsid w:val="005B21B6"/>
    <w:rsid w:val="005B3A08"/>
    <w:rsid w:val="005B7A63"/>
    <w:rsid w:val="005C0955"/>
    <w:rsid w:val="005C49DA"/>
    <w:rsid w:val="005C50F3"/>
    <w:rsid w:val="005C54B5"/>
    <w:rsid w:val="005C5D80"/>
    <w:rsid w:val="005C5D91"/>
    <w:rsid w:val="005D07B8"/>
    <w:rsid w:val="005D17F4"/>
    <w:rsid w:val="005D2427"/>
    <w:rsid w:val="005D2711"/>
    <w:rsid w:val="005D2A78"/>
    <w:rsid w:val="005D5854"/>
    <w:rsid w:val="005D6597"/>
    <w:rsid w:val="005E14E7"/>
    <w:rsid w:val="005E26A3"/>
    <w:rsid w:val="005E2ECB"/>
    <w:rsid w:val="005E447E"/>
    <w:rsid w:val="005E4FD1"/>
    <w:rsid w:val="005F0775"/>
    <w:rsid w:val="005F0CF5"/>
    <w:rsid w:val="005F21EB"/>
    <w:rsid w:val="00600491"/>
    <w:rsid w:val="00604594"/>
    <w:rsid w:val="00605908"/>
    <w:rsid w:val="00606B3D"/>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09B6"/>
    <w:rsid w:val="006621D7"/>
    <w:rsid w:val="0066302A"/>
    <w:rsid w:val="00667770"/>
    <w:rsid w:val="00670597"/>
    <w:rsid w:val="006706D0"/>
    <w:rsid w:val="00677574"/>
    <w:rsid w:val="0068126F"/>
    <w:rsid w:val="0068454C"/>
    <w:rsid w:val="00691B62"/>
    <w:rsid w:val="006933B5"/>
    <w:rsid w:val="0069393C"/>
    <w:rsid w:val="00693D14"/>
    <w:rsid w:val="00696F27"/>
    <w:rsid w:val="006977D5"/>
    <w:rsid w:val="006A18C2"/>
    <w:rsid w:val="006A3383"/>
    <w:rsid w:val="006A5629"/>
    <w:rsid w:val="006A678C"/>
    <w:rsid w:val="006B077C"/>
    <w:rsid w:val="006B3958"/>
    <w:rsid w:val="006B6803"/>
    <w:rsid w:val="006C653F"/>
    <w:rsid w:val="006D0F16"/>
    <w:rsid w:val="006D2A3F"/>
    <w:rsid w:val="006D2FBC"/>
    <w:rsid w:val="006E0541"/>
    <w:rsid w:val="006E138B"/>
    <w:rsid w:val="006E2B3B"/>
    <w:rsid w:val="006F0330"/>
    <w:rsid w:val="006F1FDC"/>
    <w:rsid w:val="006F6B8C"/>
    <w:rsid w:val="007013EF"/>
    <w:rsid w:val="007055BD"/>
    <w:rsid w:val="007058F2"/>
    <w:rsid w:val="007103AB"/>
    <w:rsid w:val="0071175B"/>
    <w:rsid w:val="007173CA"/>
    <w:rsid w:val="007216AA"/>
    <w:rsid w:val="00721AB5"/>
    <w:rsid w:val="00721CFB"/>
    <w:rsid w:val="00721DEF"/>
    <w:rsid w:val="00724A43"/>
    <w:rsid w:val="007273AC"/>
    <w:rsid w:val="00731AD4"/>
    <w:rsid w:val="007346E4"/>
    <w:rsid w:val="00740F22"/>
    <w:rsid w:val="00741CF0"/>
    <w:rsid w:val="00741F1A"/>
    <w:rsid w:val="007447DA"/>
    <w:rsid w:val="00744950"/>
    <w:rsid w:val="007450F8"/>
    <w:rsid w:val="0074696E"/>
    <w:rsid w:val="00750135"/>
    <w:rsid w:val="00750EC2"/>
    <w:rsid w:val="00752B28"/>
    <w:rsid w:val="007541A9"/>
    <w:rsid w:val="00754E36"/>
    <w:rsid w:val="00763139"/>
    <w:rsid w:val="00766353"/>
    <w:rsid w:val="00770F37"/>
    <w:rsid w:val="007711A0"/>
    <w:rsid w:val="00772D5E"/>
    <w:rsid w:val="007733DB"/>
    <w:rsid w:val="0077463E"/>
    <w:rsid w:val="00776928"/>
    <w:rsid w:val="00776DBB"/>
    <w:rsid w:val="00776E0F"/>
    <w:rsid w:val="007774B1"/>
    <w:rsid w:val="00777BE1"/>
    <w:rsid w:val="00783087"/>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2EF"/>
    <w:rsid w:val="007D1466"/>
    <w:rsid w:val="007D2BDE"/>
    <w:rsid w:val="007D2FB6"/>
    <w:rsid w:val="007D49EB"/>
    <w:rsid w:val="007D5E1C"/>
    <w:rsid w:val="007D70F1"/>
    <w:rsid w:val="007E0DE2"/>
    <w:rsid w:val="007E1227"/>
    <w:rsid w:val="007E3B98"/>
    <w:rsid w:val="007E417A"/>
    <w:rsid w:val="007F31B6"/>
    <w:rsid w:val="007F35BA"/>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478D"/>
    <w:rsid w:val="00835FAF"/>
    <w:rsid w:val="00841AA9"/>
    <w:rsid w:val="0084238E"/>
    <w:rsid w:val="008474FE"/>
    <w:rsid w:val="00853EE4"/>
    <w:rsid w:val="00855535"/>
    <w:rsid w:val="00857C5A"/>
    <w:rsid w:val="0086255E"/>
    <w:rsid w:val="008633F0"/>
    <w:rsid w:val="00866516"/>
    <w:rsid w:val="00867D9D"/>
    <w:rsid w:val="008717A7"/>
    <w:rsid w:val="00872E0A"/>
    <w:rsid w:val="00873594"/>
    <w:rsid w:val="00875285"/>
    <w:rsid w:val="00884B62"/>
    <w:rsid w:val="0088529C"/>
    <w:rsid w:val="00887903"/>
    <w:rsid w:val="00890719"/>
    <w:rsid w:val="0089270A"/>
    <w:rsid w:val="00892A00"/>
    <w:rsid w:val="00893AF6"/>
    <w:rsid w:val="00894BC4"/>
    <w:rsid w:val="008A2752"/>
    <w:rsid w:val="008A28A8"/>
    <w:rsid w:val="008A5B32"/>
    <w:rsid w:val="008B2EE4"/>
    <w:rsid w:val="008B4D3D"/>
    <w:rsid w:val="008B54E0"/>
    <w:rsid w:val="008B57C7"/>
    <w:rsid w:val="008C00D0"/>
    <w:rsid w:val="008C2617"/>
    <w:rsid w:val="008C2F92"/>
    <w:rsid w:val="008C3697"/>
    <w:rsid w:val="008C51A1"/>
    <w:rsid w:val="008C5557"/>
    <w:rsid w:val="008C589D"/>
    <w:rsid w:val="008C6D51"/>
    <w:rsid w:val="008D2846"/>
    <w:rsid w:val="008D4236"/>
    <w:rsid w:val="008D462F"/>
    <w:rsid w:val="008D6DCF"/>
    <w:rsid w:val="008E4376"/>
    <w:rsid w:val="008E7A0A"/>
    <w:rsid w:val="008E7B49"/>
    <w:rsid w:val="008F59F6"/>
    <w:rsid w:val="008F7520"/>
    <w:rsid w:val="00900719"/>
    <w:rsid w:val="009017AC"/>
    <w:rsid w:val="00902A9A"/>
    <w:rsid w:val="00902DA2"/>
    <w:rsid w:val="00904A1C"/>
    <w:rsid w:val="00905030"/>
    <w:rsid w:val="00906490"/>
    <w:rsid w:val="00907892"/>
    <w:rsid w:val="009111B2"/>
    <w:rsid w:val="009151F5"/>
    <w:rsid w:val="0091707F"/>
    <w:rsid w:val="00924AE1"/>
    <w:rsid w:val="009269B1"/>
    <w:rsid w:val="0092724D"/>
    <w:rsid w:val="009272B3"/>
    <w:rsid w:val="009315BE"/>
    <w:rsid w:val="0093338F"/>
    <w:rsid w:val="00937BD9"/>
    <w:rsid w:val="009416C5"/>
    <w:rsid w:val="00950E2C"/>
    <w:rsid w:val="00951D50"/>
    <w:rsid w:val="009525EB"/>
    <w:rsid w:val="0095470B"/>
    <w:rsid w:val="00954874"/>
    <w:rsid w:val="0095615A"/>
    <w:rsid w:val="00961400"/>
    <w:rsid w:val="00962F81"/>
    <w:rsid w:val="00963646"/>
    <w:rsid w:val="0096632D"/>
    <w:rsid w:val="009718C7"/>
    <w:rsid w:val="0097559F"/>
    <w:rsid w:val="0097761E"/>
    <w:rsid w:val="009810A4"/>
    <w:rsid w:val="00982454"/>
    <w:rsid w:val="00982CF0"/>
    <w:rsid w:val="009853E1"/>
    <w:rsid w:val="00986E6B"/>
    <w:rsid w:val="00990032"/>
    <w:rsid w:val="00990B19"/>
    <w:rsid w:val="0099153B"/>
    <w:rsid w:val="00991769"/>
    <w:rsid w:val="0099232C"/>
    <w:rsid w:val="00994386"/>
    <w:rsid w:val="00994615"/>
    <w:rsid w:val="009A13D8"/>
    <w:rsid w:val="009A279E"/>
    <w:rsid w:val="009A3015"/>
    <w:rsid w:val="009A3490"/>
    <w:rsid w:val="009B0A6F"/>
    <w:rsid w:val="009B0A94"/>
    <w:rsid w:val="009B2AE8"/>
    <w:rsid w:val="009B59E9"/>
    <w:rsid w:val="009B70AA"/>
    <w:rsid w:val="009C2C4C"/>
    <w:rsid w:val="009C5E77"/>
    <w:rsid w:val="009C7A7E"/>
    <w:rsid w:val="009D02E8"/>
    <w:rsid w:val="009D51D0"/>
    <w:rsid w:val="009D6BF5"/>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1909"/>
    <w:rsid w:val="00A22229"/>
    <w:rsid w:val="00A24442"/>
    <w:rsid w:val="00A27EE2"/>
    <w:rsid w:val="00A3246D"/>
    <w:rsid w:val="00A330BB"/>
    <w:rsid w:val="00A3656D"/>
    <w:rsid w:val="00A44882"/>
    <w:rsid w:val="00A45125"/>
    <w:rsid w:val="00A54715"/>
    <w:rsid w:val="00A6061C"/>
    <w:rsid w:val="00A62D44"/>
    <w:rsid w:val="00A67263"/>
    <w:rsid w:val="00A70D11"/>
    <w:rsid w:val="00A7161C"/>
    <w:rsid w:val="00A73C5B"/>
    <w:rsid w:val="00A77AA3"/>
    <w:rsid w:val="00A8236D"/>
    <w:rsid w:val="00A854EB"/>
    <w:rsid w:val="00A872E5"/>
    <w:rsid w:val="00A91406"/>
    <w:rsid w:val="00A96E65"/>
    <w:rsid w:val="00A97C72"/>
    <w:rsid w:val="00AA268E"/>
    <w:rsid w:val="00AA310B"/>
    <w:rsid w:val="00AA63D4"/>
    <w:rsid w:val="00AB06E8"/>
    <w:rsid w:val="00AB11ED"/>
    <w:rsid w:val="00AB1CD3"/>
    <w:rsid w:val="00AB352F"/>
    <w:rsid w:val="00AB71F4"/>
    <w:rsid w:val="00AC274B"/>
    <w:rsid w:val="00AC4764"/>
    <w:rsid w:val="00AC69C4"/>
    <w:rsid w:val="00AC6D36"/>
    <w:rsid w:val="00AD0CBA"/>
    <w:rsid w:val="00AD177A"/>
    <w:rsid w:val="00AD26E2"/>
    <w:rsid w:val="00AD49A2"/>
    <w:rsid w:val="00AD784C"/>
    <w:rsid w:val="00AE126A"/>
    <w:rsid w:val="00AE1BAE"/>
    <w:rsid w:val="00AE3005"/>
    <w:rsid w:val="00AE3BD5"/>
    <w:rsid w:val="00AE59A0"/>
    <w:rsid w:val="00AF0C57"/>
    <w:rsid w:val="00AF26F3"/>
    <w:rsid w:val="00AF5F04"/>
    <w:rsid w:val="00B00672"/>
    <w:rsid w:val="00B011D4"/>
    <w:rsid w:val="00B01B4D"/>
    <w:rsid w:val="00B06571"/>
    <w:rsid w:val="00B068BA"/>
    <w:rsid w:val="00B1116C"/>
    <w:rsid w:val="00B13851"/>
    <w:rsid w:val="00B13B1C"/>
    <w:rsid w:val="00B14780"/>
    <w:rsid w:val="00B21F90"/>
    <w:rsid w:val="00B22291"/>
    <w:rsid w:val="00B23F9A"/>
    <w:rsid w:val="00B2417B"/>
    <w:rsid w:val="00B24E6F"/>
    <w:rsid w:val="00B26404"/>
    <w:rsid w:val="00B26CB5"/>
    <w:rsid w:val="00B2752E"/>
    <w:rsid w:val="00B27D55"/>
    <w:rsid w:val="00B307CC"/>
    <w:rsid w:val="00B326B7"/>
    <w:rsid w:val="00B3588E"/>
    <w:rsid w:val="00B4066D"/>
    <w:rsid w:val="00B41F3D"/>
    <w:rsid w:val="00B431E8"/>
    <w:rsid w:val="00B43315"/>
    <w:rsid w:val="00B43C92"/>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CCC"/>
    <w:rsid w:val="00B90729"/>
    <w:rsid w:val="00B907DA"/>
    <w:rsid w:val="00B91557"/>
    <w:rsid w:val="00B950BC"/>
    <w:rsid w:val="00B96FC4"/>
    <w:rsid w:val="00B9714C"/>
    <w:rsid w:val="00B97B5C"/>
    <w:rsid w:val="00BA29AD"/>
    <w:rsid w:val="00BA33CF"/>
    <w:rsid w:val="00BA3F8D"/>
    <w:rsid w:val="00BA5279"/>
    <w:rsid w:val="00BB7A10"/>
    <w:rsid w:val="00BC3E8F"/>
    <w:rsid w:val="00BC60BE"/>
    <w:rsid w:val="00BC7468"/>
    <w:rsid w:val="00BC7D4F"/>
    <w:rsid w:val="00BC7ED7"/>
    <w:rsid w:val="00BD2850"/>
    <w:rsid w:val="00BD31D8"/>
    <w:rsid w:val="00BE0500"/>
    <w:rsid w:val="00BE28D2"/>
    <w:rsid w:val="00BE4A64"/>
    <w:rsid w:val="00BE5E43"/>
    <w:rsid w:val="00BE733A"/>
    <w:rsid w:val="00BF2E28"/>
    <w:rsid w:val="00BF557D"/>
    <w:rsid w:val="00BF7F58"/>
    <w:rsid w:val="00C01381"/>
    <w:rsid w:val="00C01AB1"/>
    <w:rsid w:val="00C026A0"/>
    <w:rsid w:val="00C06137"/>
    <w:rsid w:val="00C079B8"/>
    <w:rsid w:val="00C10037"/>
    <w:rsid w:val="00C10500"/>
    <w:rsid w:val="00C123EA"/>
    <w:rsid w:val="00C12A49"/>
    <w:rsid w:val="00C133EE"/>
    <w:rsid w:val="00C149D0"/>
    <w:rsid w:val="00C17353"/>
    <w:rsid w:val="00C26588"/>
    <w:rsid w:val="00C27DE9"/>
    <w:rsid w:val="00C328C9"/>
    <w:rsid w:val="00C32989"/>
    <w:rsid w:val="00C33388"/>
    <w:rsid w:val="00C35484"/>
    <w:rsid w:val="00C40477"/>
    <w:rsid w:val="00C4173A"/>
    <w:rsid w:val="00C42C7A"/>
    <w:rsid w:val="00C474D0"/>
    <w:rsid w:val="00C50DED"/>
    <w:rsid w:val="00C602FF"/>
    <w:rsid w:val="00C61174"/>
    <w:rsid w:val="00C6148F"/>
    <w:rsid w:val="00C621B1"/>
    <w:rsid w:val="00C62491"/>
    <w:rsid w:val="00C62F7A"/>
    <w:rsid w:val="00C63B9C"/>
    <w:rsid w:val="00C63C7E"/>
    <w:rsid w:val="00C6682F"/>
    <w:rsid w:val="00C67BF4"/>
    <w:rsid w:val="00C7275E"/>
    <w:rsid w:val="00C74C5D"/>
    <w:rsid w:val="00C75E81"/>
    <w:rsid w:val="00C863C4"/>
    <w:rsid w:val="00C906A8"/>
    <w:rsid w:val="00C920EA"/>
    <w:rsid w:val="00C93C3E"/>
    <w:rsid w:val="00CA12E3"/>
    <w:rsid w:val="00CA1476"/>
    <w:rsid w:val="00CA4A06"/>
    <w:rsid w:val="00CA6611"/>
    <w:rsid w:val="00CA6AE6"/>
    <w:rsid w:val="00CA782F"/>
    <w:rsid w:val="00CB187B"/>
    <w:rsid w:val="00CB2835"/>
    <w:rsid w:val="00CB3285"/>
    <w:rsid w:val="00CB4500"/>
    <w:rsid w:val="00CB4B29"/>
    <w:rsid w:val="00CB7800"/>
    <w:rsid w:val="00CB7C37"/>
    <w:rsid w:val="00CC0C72"/>
    <w:rsid w:val="00CC2BFD"/>
    <w:rsid w:val="00CD0D02"/>
    <w:rsid w:val="00CD3476"/>
    <w:rsid w:val="00CD64DF"/>
    <w:rsid w:val="00CE0A8A"/>
    <w:rsid w:val="00CE225F"/>
    <w:rsid w:val="00CE5C77"/>
    <w:rsid w:val="00CF2F50"/>
    <w:rsid w:val="00CF6198"/>
    <w:rsid w:val="00D02919"/>
    <w:rsid w:val="00D04C61"/>
    <w:rsid w:val="00D05B8D"/>
    <w:rsid w:val="00D065A2"/>
    <w:rsid w:val="00D079AA"/>
    <w:rsid w:val="00D07F00"/>
    <w:rsid w:val="00D10031"/>
    <w:rsid w:val="00D1130F"/>
    <w:rsid w:val="00D17B72"/>
    <w:rsid w:val="00D20839"/>
    <w:rsid w:val="00D3185C"/>
    <w:rsid w:val="00D3205F"/>
    <w:rsid w:val="00D3318E"/>
    <w:rsid w:val="00D33E72"/>
    <w:rsid w:val="00D34E12"/>
    <w:rsid w:val="00D35BD6"/>
    <w:rsid w:val="00D361B5"/>
    <w:rsid w:val="00D370C2"/>
    <w:rsid w:val="00D411A2"/>
    <w:rsid w:val="00D4606D"/>
    <w:rsid w:val="00D46C92"/>
    <w:rsid w:val="00D50B9C"/>
    <w:rsid w:val="00D52D73"/>
    <w:rsid w:val="00D52E58"/>
    <w:rsid w:val="00D56225"/>
    <w:rsid w:val="00D56B20"/>
    <w:rsid w:val="00D578B3"/>
    <w:rsid w:val="00D618F4"/>
    <w:rsid w:val="00D66404"/>
    <w:rsid w:val="00D714CC"/>
    <w:rsid w:val="00D75EA7"/>
    <w:rsid w:val="00D81ADF"/>
    <w:rsid w:val="00D81F21"/>
    <w:rsid w:val="00D85938"/>
    <w:rsid w:val="00D864F2"/>
    <w:rsid w:val="00D943F8"/>
    <w:rsid w:val="00D95470"/>
    <w:rsid w:val="00D96B55"/>
    <w:rsid w:val="00DA20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2F81"/>
    <w:rsid w:val="00DE3250"/>
    <w:rsid w:val="00DE6028"/>
    <w:rsid w:val="00DE707E"/>
    <w:rsid w:val="00DE78A3"/>
    <w:rsid w:val="00DF1A71"/>
    <w:rsid w:val="00DF4960"/>
    <w:rsid w:val="00DF50FC"/>
    <w:rsid w:val="00DF68C7"/>
    <w:rsid w:val="00DF731A"/>
    <w:rsid w:val="00E06B75"/>
    <w:rsid w:val="00E11332"/>
    <w:rsid w:val="00E11352"/>
    <w:rsid w:val="00E1629C"/>
    <w:rsid w:val="00E170DC"/>
    <w:rsid w:val="00E17546"/>
    <w:rsid w:val="00E210B5"/>
    <w:rsid w:val="00E2455A"/>
    <w:rsid w:val="00E261B3"/>
    <w:rsid w:val="00E266AD"/>
    <w:rsid w:val="00E26818"/>
    <w:rsid w:val="00E27FFC"/>
    <w:rsid w:val="00E30B15"/>
    <w:rsid w:val="00E33237"/>
    <w:rsid w:val="00E35097"/>
    <w:rsid w:val="00E40181"/>
    <w:rsid w:val="00E51877"/>
    <w:rsid w:val="00E54950"/>
    <w:rsid w:val="00E56A01"/>
    <w:rsid w:val="00E57FC8"/>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328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AEA"/>
    <w:rsid w:val="00F00F9C"/>
    <w:rsid w:val="00F01E5F"/>
    <w:rsid w:val="00F024F3"/>
    <w:rsid w:val="00F02ABA"/>
    <w:rsid w:val="00F0437A"/>
    <w:rsid w:val="00F101B8"/>
    <w:rsid w:val="00F11037"/>
    <w:rsid w:val="00F16F1B"/>
    <w:rsid w:val="00F204C2"/>
    <w:rsid w:val="00F250A9"/>
    <w:rsid w:val="00F267AF"/>
    <w:rsid w:val="00F30FF4"/>
    <w:rsid w:val="00F3122E"/>
    <w:rsid w:val="00F32368"/>
    <w:rsid w:val="00F331AD"/>
    <w:rsid w:val="00F332D2"/>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2842"/>
    <w:rsid w:val="00F938BA"/>
    <w:rsid w:val="00F96A77"/>
    <w:rsid w:val="00F97919"/>
    <w:rsid w:val="00FA2C46"/>
    <w:rsid w:val="00FA3525"/>
    <w:rsid w:val="00FA515C"/>
    <w:rsid w:val="00FA5805"/>
    <w:rsid w:val="00FA5A53"/>
    <w:rsid w:val="00FA7451"/>
    <w:rsid w:val="00FA7B02"/>
    <w:rsid w:val="00FB12E6"/>
    <w:rsid w:val="00FB3BC6"/>
    <w:rsid w:val="00FB4769"/>
    <w:rsid w:val="00FB4CDA"/>
    <w:rsid w:val="00FB6481"/>
    <w:rsid w:val="00FB6D36"/>
    <w:rsid w:val="00FB7A2F"/>
    <w:rsid w:val="00FC0965"/>
    <w:rsid w:val="00FC0F81"/>
    <w:rsid w:val="00FC252F"/>
    <w:rsid w:val="00FC395C"/>
    <w:rsid w:val="00FC5E8E"/>
    <w:rsid w:val="00FD2F8F"/>
    <w:rsid w:val="00FD3766"/>
    <w:rsid w:val="00FD47C4"/>
    <w:rsid w:val="00FD722A"/>
    <w:rsid w:val="00FE2DCF"/>
    <w:rsid w:val="00FE3FA7"/>
    <w:rsid w:val="00FE431D"/>
    <w:rsid w:val="00FF2A4E"/>
    <w:rsid w:val="00FF2FCE"/>
    <w:rsid w:val="00FF4DEC"/>
    <w:rsid w:val="00FF4F7D"/>
    <w:rsid w:val="00FF54DF"/>
    <w:rsid w:val="00FF6D9D"/>
    <w:rsid w:val="00FF7DD5"/>
    <w:rsid w:val="0A2267EA"/>
    <w:rsid w:val="0FEEBE44"/>
    <w:rsid w:val="153A0E8F"/>
    <w:rsid w:val="25581FDF"/>
    <w:rsid w:val="2E8200B9"/>
    <w:rsid w:val="301DD11A"/>
    <w:rsid w:val="32137899"/>
    <w:rsid w:val="3A2F10B4"/>
    <w:rsid w:val="3F1E7A2A"/>
    <w:rsid w:val="3FEFC085"/>
    <w:rsid w:val="43D75C3B"/>
    <w:rsid w:val="61A69DA3"/>
    <w:rsid w:val="6256989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E7800"/>
  <w15:docId w15:val="{54E32C79-7DA3-4796-927E-3820C6C0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6977D5"/>
    <w:pPr>
      <w:spacing w:after="120" w:line="270" w:lineRule="atLeast"/>
    </w:pPr>
    <w:rPr>
      <w:rFonts w:ascii="Arial" w:eastAsia="Times" w:hAnsi="Arial"/>
      <w:lang w:eastAsia="en-US"/>
    </w:rPr>
  </w:style>
  <w:style w:type="character" w:customStyle="1" w:styleId="DHHSbodyChar">
    <w:name w:val="DHHS body Char"/>
    <w:link w:val="DHHSbody"/>
    <w:rsid w:val="006977D5"/>
    <w:rPr>
      <w:rFonts w:ascii="Arial" w:eastAsia="Times" w:hAnsi="Arial"/>
      <w:lang w:eastAsia="en-US"/>
    </w:rPr>
  </w:style>
  <w:style w:type="paragraph" w:customStyle="1" w:styleId="DHHSfooter">
    <w:name w:val="DHHS footer"/>
    <w:uiPriority w:val="11"/>
    <w:rsid w:val="006977D5"/>
    <w:pPr>
      <w:tabs>
        <w:tab w:val="right" w:pos="10206"/>
      </w:tabs>
    </w:pPr>
    <w:rPr>
      <w:rFonts w:ascii="Arial" w:hAnsi="Arial" w:cs="Arial"/>
      <w:sz w:val="18"/>
      <w:szCs w:val="18"/>
      <w:lang w:eastAsia="en-US"/>
    </w:rPr>
  </w:style>
  <w:style w:type="paragraph" w:styleId="ListParagraph">
    <w:name w:val="List Paragraph"/>
    <w:basedOn w:val="Normal"/>
    <w:uiPriority w:val="1"/>
    <w:qFormat/>
    <w:rsid w:val="006977D5"/>
    <w:pPr>
      <w:spacing w:after="0" w:line="240" w:lineRule="auto"/>
      <w:ind w:left="720"/>
      <w:contextualSpacing/>
    </w:pPr>
    <w:rPr>
      <w:sz w:val="20"/>
    </w:rPr>
  </w:style>
  <w:style w:type="paragraph" w:styleId="BodyText">
    <w:name w:val="Body Text"/>
    <w:basedOn w:val="Normal"/>
    <w:link w:val="BodyTextChar"/>
    <w:rsid w:val="006977D5"/>
    <w:pPr>
      <w:spacing w:after="0" w:line="240" w:lineRule="auto"/>
    </w:pPr>
    <w:rPr>
      <w:sz w:val="20"/>
    </w:rPr>
  </w:style>
  <w:style w:type="character" w:customStyle="1" w:styleId="BodyTextChar">
    <w:name w:val="Body Text Char"/>
    <w:basedOn w:val="DefaultParagraphFont"/>
    <w:link w:val="BodyText"/>
    <w:rsid w:val="006977D5"/>
    <w:rPr>
      <w:rFonts w:ascii="Arial" w:hAnsi="Arial"/>
      <w:lang w:eastAsia="en-US"/>
    </w:rPr>
  </w:style>
  <w:style w:type="paragraph" w:customStyle="1" w:styleId="DHHSmainsubheading">
    <w:name w:val="DHHS main subheading"/>
    <w:uiPriority w:val="99"/>
    <w:rsid w:val="006977D5"/>
    <w:rPr>
      <w:rFonts w:ascii="Arial" w:hAnsi="Arial"/>
      <w:color w:val="FFFFFF"/>
      <w:sz w:val="28"/>
      <w:szCs w:val="24"/>
      <w:lang w:eastAsia="en-US"/>
    </w:rPr>
  </w:style>
  <w:style w:type="paragraph" w:customStyle="1" w:styleId="DHHSaccessibilitypara">
    <w:name w:val="DHHS accessibility para"/>
    <w:uiPriority w:val="8"/>
    <w:rsid w:val="006977D5"/>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93617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healthservicegovernance@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applying-for-board-director-pos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ealthservicegovernance@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vpsc.vic.gov.au/resources/code-of-conduct-for-director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5" ma:contentTypeDescription="Create a new document." ma:contentTypeScope="" ma:versionID="3282865d4a4e9e958248c266fdfa88b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1afc31682becdfa3470b6d49bd195bdd"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49DA266-851C-49FB-8B8E-F2E0EB77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A45F3-8222-4335-9E15-C33A050319F0}">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add73ec2-c5fa-4fd3-8424-81af2714d9e8"/>
    <ds:schemaRef ds:uri="http://purl.org/dc/terms/"/>
    <ds:schemaRef ds:uri="http://schemas.openxmlformats.org/package/2006/metadata/core-properties"/>
    <ds:schemaRef ds:uri="http://schemas.microsoft.com/office/2006/documentManagement/types"/>
    <ds:schemaRef ds:uri="9d008163-efe8-41c9-8a6e-39d389fb6c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Victorian Institute of Forensic Mental Health (Forensicare) - Board Director Position Description</vt:lpstr>
    </vt:vector>
  </TitlesOfParts>
  <Company>Department of Health</Company>
  <LinksUpToDate>false</LinksUpToDate>
  <CharactersWithSpaces>16017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Institute of Forensic Mental Health (Forensicare) - Board Director Position Description</dc:title>
  <dc:subject>Victorian Institute of Forensic Mental Health (Forensicare) - Board Director Position Description</dc:subject>
  <dc:creator>North East Health Services, Governance and HealthShare Branch</dc:creator>
  <cp:keywords>Position Description, board, recruitment</cp:keywords>
  <cp:lastModifiedBy>David Murphy (Health)</cp:lastModifiedBy>
  <cp:revision>23</cp:revision>
  <cp:lastPrinted>2022-03-16T03:30:00Z</cp:lastPrinted>
  <dcterms:created xsi:type="dcterms:W3CDTF">2022-10-07T00:47:00Z</dcterms:created>
  <dcterms:modified xsi:type="dcterms:W3CDTF">2022-10-26T09:43:00Z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2022-10-26T09:43:28Z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8923ca9f-095f-499f-a7ee-83d0da06ec19</vt:lpwstr>
  </property>
  <property fmtid="{D5CDD505-2E9C-101B-9397-08002B2CF9AE}" pid="13" name="MSIP_Label_43e64453-338c-4f93-8a4d-0039a0a41f2a_ContentBits">
    <vt:lpwstr>2</vt:lpwstr>
  </property>
</Properties>
</file>