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D669F" w14:textId="77777777" w:rsidR="00056EC4" w:rsidRDefault="00E9042A" w:rsidP="00056EC4">
      <w:pPr>
        <w:pStyle w:val="Body"/>
      </w:pPr>
      <w:r>
        <w:rPr>
          <w:noProof/>
        </w:rPr>
        <w:drawing>
          <wp:anchor distT="0" distB="0" distL="114300" distR="114300" simplePos="0" relativeHeight="251658240" behindDoc="1" locked="1" layoutInCell="1" allowOverlap="0" wp14:anchorId="2BC1D9EF" wp14:editId="46D271E0">
            <wp:simplePos x="0" y="0"/>
            <wp:positionH relativeFrom="page">
              <wp:posOffset>0</wp:posOffset>
            </wp:positionH>
            <wp:positionV relativeFrom="page">
              <wp:posOffset>0</wp:posOffset>
            </wp:positionV>
            <wp:extent cx="7555865" cy="10146665"/>
            <wp:effectExtent l="0" t="0" r="635" b="635"/>
            <wp:wrapNone/>
            <wp:docPr id="3" name="Picture 3" descr="Victoria State Government Department of Health">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Victoria State Government Department of Health">
                      <a:extLst>
                        <a:ext uri="{C183D7F6-B498-43B3-948B-1728B52AA6E4}">
                          <adec:decorative xmlns:adec="http://schemas.microsoft.com/office/drawing/2017/decorative" val="0"/>
                        </a:ext>
                      </a:extLst>
                    </pic:cNvPr>
                    <pic:cNvPicPr/>
                  </pic:nvPicPr>
                  <pic:blipFill>
                    <a:blip r:embed="rId11"/>
                    <a:stretch>
                      <a:fillRect/>
                    </a:stretch>
                  </pic:blipFill>
                  <pic:spPr>
                    <a:xfrm>
                      <a:off x="0" y="0"/>
                      <a:ext cx="7555865" cy="10146665"/>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00567A" w14:paraId="44156279" w14:textId="77777777" w:rsidTr="00431F42">
        <w:trPr>
          <w:cantSplit/>
        </w:trPr>
        <w:tc>
          <w:tcPr>
            <w:tcW w:w="0" w:type="auto"/>
            <w:tcMar>
              <w:top w:w="0" w:type="dxa"/>
              <w:left w:w="0" w:type="dxa"/>
              <w:right w:w="0" w:type="dxa"/>
            </w:tcMar>
          </w:tcPr>
          <w:p w14:paraId="0B868E7F" w14:textId="20518CC1" w:rsidR="0000567A" w:rsidRPr="00431F42" w:rsidRDefault="0000567A" w:rsidP="0000567A">
            <w:pPr>
              <w:pStyle w:val="Documenttitle"/>
            </w:pPr>
            <w:r w:rsidRPr="00135CE3">
              <w:t>Victorian Pharmacist-Administered Vaccination Program Guidelines</w:t>
            </w:r>
          </w:p>
        </w:tc>
      </w:tr>
      <w:tr w:rsidR="0000567A" w14:paraId="6C4AB7D3" w14:textId="77777777" w:rsidTr="00431F42">
        <w:trPr>
          <w:cantSplit/>
        </w:trPr>
        <w:tc>
          <w:tcPr>
            <w:tcW w:w="0" w:type="auto"/>
          </w:tcPr>
          <w:p w14:paraId="036F9F9B" w14:textId="086409C3" w:rsidR="0000567A" w:rsidRPr="00A1389F" w:rsidRDefault="0000567A" w:rsidP="0000567A">
            <w:pPr>
              <w:pStyle w:val="Documentsubtitle"/>
            </w:pPr>
            <w:r w:rsidRPr="00135CE3">
              <w:rPr>
                <w:sz w:val="32"/>
                <w:szCs w:val="32"/>
              </w:rPr>
              <w:t xml:space="preserve">Effective </w:t>
            </w:r>
            <w:r w:rsidR="00487FA6">
              <w:rPr>
                <w:sz w:val="32"/>
                <w:szCs w:val="32"/>
                <w:highlight w:val="yellow"/>
              </w:rPr>
              <w:t>3</w:t>
            </w:r>
            <w:r w:rsidRPr="00135CE3">
              <w:rPr>
                <w:sz w:val="32"/>
                <w:szCs w:val="32"/>
                <w:highlight w:val="yellow"/>
              </w:rPr>
              <w:t xml:space="preserve"> </w:t>
            </w:r>
            <w:r w:rsidR="00487FA6">
              <w:rPr>
                <w:sz w:val="32"/>
                <w:szCs w:val="32"/>
                <w:highlight w:val="yellow"/>
              </w:rPr>
              <w:t>October</w:t>
            </w:r>
            <w:r w:rsidR="00487FA6" w:rsidRPr="00135CE3">
              <w:rPr>
                <w:sz w:val="32"/>
                <w:szCs w:val="32"/>
                <w:highlight w:val="yellow"/>
              </w:rPr>
              <w:t xml:space="preserve"> </w:t>
            </w:r>
            <w:r w:rsidRPr="00135CE3">
              <w:rPr>
                <w:sz w:val="32"/>
                <w:szCs w:val="32"/>
                <w:highlight w:val="yellow"/>
              </w:rPr>
              <w:t>2022</w:t>
            </w:r>
          </w:p>
        </w:tc>
      </w:tr>
      <w:tr w:rsidR="0000567A" w14:paraId="51CFA169" w14:textId="77777777" w:rsidTr="00431F42">
        <w:trPr>
          <w:cantSplit/>
        </w:trPr>
        <w:tc>
          <w:tcPr>
            <w:tcW w:w="0" w:type="auto"/>
          </w:tcPr>
          <w:p w14:paraId="097B148A" w14:textId="2A66DE7D" w:rsidR="0000567A" w:rsidRDefault="0000567A" w:rsidP="0000567A">
            <w:pPr>
              <w:pStyle w:val="Bannermarking"/>
            </w:pPr>
          </w:p>
        </w:tc>
      </w:tr>
    </w:tbl>
    <w:p w14:paraId="5B1E967B" w14:textId="77777777" w:rsidR="00FE4081" w:rsidRPr="00FE4081" w:rsidRDefault="00FE4081" w:rsidP="00FE4081">
      <w:pPr>
        <w:pStyle w:val="Body"/>
        <w:sectPr w:rsidR="00FE4081" w:rsidRPr="00FE4081" w:rsidSect="002C5B7C">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3969" w:right="1304" w:bottom="1418" w:left="1304" w:header="680" w:footer="851" w:gutter="0"/>
          <w:cols w:space="340"/>
          <w:docGrid w:linePitch="360"/>
        </w:sectPr>
      </w:pPr>
    </w:p>
    <w:p w14:paraId="1FCE9031" w14:textId="77777777" w:rsidR="0000567A" w:rsidRPr="00931E07" w:rsidRDefault="0000567A" w:rsidP="0000567A">
      <w:pPr>
        <w:pStyle w:val="DHHSreportmaintitle"/>
      </w:pPr>
      <w:bookmarkStart w:id="0" w:name="_Hlk103867537"/>
      <w:r w:rsidRPr="00931E07">
        <w:lastRenderedPageBreak/>
        <w:t>Victorian Pharmacist-Administered Vaccination Program Guidelines</w:t>
      </w:r>
    </w:p>
    <w:p w14:paraId="527E57E7" w14:textId="0917F8D4" w:rsidR="0000567A" w:rsidRPr="00714DCF" w:rsidRDefault="0000567A" w:rsidP="0000567A">
      <w:pPr>
        <w:pStyle w:val="DHHSreportmaintitle"/>
        <w:rPr>
          <w:sz w:val="32"/>
          <w:szCs w:val="32"/>
        </w:rPr>
      </w:pPr>
      <w:r>
        <w:rPr>
          <w:sz w:val="32"/>
          <w:szCs w:val="32"/>
        </w:rPr>
        <w:t xml:space="preserve">Effective </w:t>
      </w:r>
      <w:r w:rsidR="008872FA">
        <w:rPr>
          <w:sz w:val="32"/>
          <w:szCs w:val="32"/>
          <w:highlight w:val="yellow"/>
        </w:rPr>
        <w:t>3 October</w:t>
      </w:r>
      <w:r w:rsidRPr="00F60EC8">
        <w:rPr>
          <w:sz w:val="32"/>
          <w:szCs w:val="32"/>
          <w:highlight w:val="yellow"/>
        </w:rPr>
        <w:t xml:space="preserve"> 2022</w:t>
      </w:r>
    </w:p>
    <w:bookmarkEnd w:id="0"/>
    <w:p w14:paraId="28DE6D57" w14:textId="77777777" w:rsidR="0000567A" w:rsidRDefault="0000567A" w:rsidP="0000567A">
      <w:pPr>
        <w:pStyle w:val="DHHSbodynospace"/>
        <w:sectPr w:rsidR="0000567A" w:rsidSect="0000567A">
          <w:headerReference w:type="even" r:id="rId18"/>
          <w:headerReference w:type="default" r:id="rId19"/>
          <w:footerReference w:type="even" r:id="rId20"/>
          <w:footerReference w:type="default" r:id="rId21"/>
          <w:headerReference w:type="first" r:id="rId22"/>
          <w:footerReference w:type="first" r:id="rId23"/>
          <w:pgSz w:w="11906" w:h="16838"/>
          <w:pgMar w:top="3969" w:right="1304" w:bottom="1134" w:left="1304" w:header="454" w:footer="567" w:gutter="0"/>
          <w:cols w:space="720"/>
          <w:docGrid w:linePitch="360"/>
        </w:sectPr>
      </w:pPr>
    </w:p>
    <w:p w14:paraId="74559BDD" w14:textId="1D6146BB" w:rsidR="0000567A" w:rsidRPr="003072C6" w:rsidRDefault="0000567A" w:rsidP="0000567A">
      <w:pPr>
        <w:pStyle w:val="DHHSbodynospace"/>
      </w:pPr>
      <w:r>
        <w:rPr>
          <w:noProof/>
          <w:lang w:eastAsia="en-AU"/>
        </w:rPr>
        <w:lastRenderedPageBreak/>
        <mc:AlternateContent>
          <mc:Choice Requires="wps">
            <w:drawing>
              <wp:anchor distT="0" distB="0" distL="114300" distR="114300" simplePos="0" relativeHeight="251658241" behindDoc="0" locked="0" layoutInCell="1" allowOverlap="1" wp14:anchorId="6A68BA67" wp14:editId="4EC3E84B">
                <wp:simplePos x="0" y="0"/>
                <wp:positionH relativeFrom="column">
                  <wp:posOffset>4572000</wp:posOffset>
                </wp:positionH>
                <wp:positionV relativeFrom="paragraph">
                  <wp:posOffset>10172700</wp:posOffset>
                </wp:positionV>
                <wp:extent cx="2514600" cy="342900"/>
                <wp:effectExtent l="0" t="0" r="0" b="0"/>
                <wp:wrapNone/>
                <wp:docPr id="8"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CA44ED" w14:textId="77777777" w:rsidR="0000567A" w:rsidRDefault="0000567A" w:rsidP="0000567A">
                            <w:pPr>
                              <w:jc w:val="right"/>
                            </w:pPr>
                            <w:r w:rsidRPr="000147AF">
                              <w:rPr>
                                <w:rFonts w:ascii="Arial" w:hAnsi="Arial" w:cs="Arial"/>
                                <w:color w:val="808080"/>
                                <w:sz w:val="22"/>
                                <w:szCs w:val="22"/>
                              </w:rPr>
                              <w:t>Department of Health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68BA67" id="_x0000_t202" coordsize="21600,21600" o:spt="202" path="m,l,21600r21600,l21600,xe">
                <v:stroke joinstyle="miter"/>
                <v:path gradientshapeok="t" o:connecttype="rect"/>
              </v:shapetype>
              <v:shape id="Text Box 43" o:spid="_x0000_s1026" type="#_x0000_t202" style="position:absolute;margin-left:5in;margin-top:801pt;width:198pt;height:2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" filled="f" stroked="f">
                <v:textbox>
                  <w:txbxContent>
                    <w:p w14:paraId="5FCA44ED" w14:textId="77777777" w:rsidR="0000567A" w:rsidRDefault="0000567A" w:rsidP="0000567A">
                      <w:pPr>
                        <w:jc w:val="right"/>
                      </w:pPr>
                      <w:r w:rsidRPr="000147AF">
                        <w:rPr>
                          <w:rFonts w:ascii="Arial" w:hAnsi="Arial" w:cs="Arial"/>
                          <w:color w:val="808080"/>
                          <w:sz w:val="22"/>
                          <w:szCs w:val="22"/>
                        </w:rPr>
                        <w:t>Department of Health</w:t>
                      </w:r>
                    </w:p>
                  </w:txbxContent>
                </v:textbox>
              </v:shape>
            </w:pict>
          </mc:Fallback>
        </mc:AlternateContent>
      </w:r>
    </w:p>
    <w:tbl>
      <w:tblPr>
        <w:tblW w:w="0" w:type="auto"/>
        <w:tblCellMar>
          <w:top w:w="113" w:type="dxa"/>
          <w:left w:w="0" w:type="dxa"/>
          <w:bottom w:w="57" w:type="dxa"/>
          <w:right w:w="0" w:type="dxa"/>
        </w:tblCellMar>
        <w:tblLook w:val="00A0" w:firstRow="1" w:lastRow="0" w:firstColumn="1" w:lastColumn="0" w:noHBand="0" w:noVBand="0"/>
      </w:tblPr>
      <w:tblGrid>
        <w:gridCol w:w="9298"/>
      </w:tblGrid>
      <w:tr w:rsidR="0000567A" w:rsidRPr="003072C6" w14:paraId="3576ED4A" w14:textId="77777777" w:rsidTr="0000567A">
        <w:trPr>
          <w:trHeight w:val="4313"/>
        </w:trPr>
        <w:tc>
          <w:tcPr>
            <w:tcW w:w="9298" w:type="dxa"/>
          </w:tcPr>
          <w:p w14:paraId="024ACE20" w14:textId="77777777" w:rsidR="0000567A" w:rsidRDefault="0000567A" w:rsidP="00FD4917">
            <w:pPr>
              <w:pStyle w:val="DHHSbody"/>
              <w:rPr>
                <w:i/>
                <w:color w:val="008950"/>
                <w:sz w:val="26"/>
                <w:szCs w:val="26"/>
              </w:rPr>
            </w:pPr>
            <w:bookmarkStart w:id="1" w:name="_Hlk103868348"/>
          </w:p>
          <w:p w14:paraId="0AD2516F" w14:textId="77777777" w:rsidR="0000567A" w:rsidRDefault="0000567A" w:rsidP="00FD4917">
            <w:pPr>
              <w:pStyle w:val="DHHSTOCheadingreport"/>
              <w:ind w:left="0" w:firstLine="0"/>
            </w:pPr>
            <w:r>
              <w:t>Document history and control</w:t>
            </w:r>
          </w:p>
          <w:tbl>
            <w:tblPr>
              <w:tblW w:w="9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
              <w:gridCol w:w="1106"/>
              <w:gridCol w:w="3260"/>
              <w:gridCol w:w="4051"/>
            </w:tblGrid>
            <w:tr w:rsidR="0000567A" w:rsidRPr="00E54ED0" w14:paraId="696D5B2D" w14:textId="77777777" w:rsidTr="00FD4917">
              <w:trPr>
                <w:trHeight w:val="263"/>
                <w:tblHeader/>
                <w:jc w:val="center"/>
              </w:trPr>
              <w:tc>
                <w:tcPr>
                  <w:tcW w:w="877" w:type="dxa"/>
                  <w:shd w:val="clear" w:color="auto" w:fill="auto"/>
                </w:tcPr>
                <w:p w14:paraId="418ABE75" w14:textId="77777777" w:rsidR="0000567A" w:rsidRPr="007408FD" w:rsidRDefault="0000567A" w:rsidP="00FD4917">
                  <w:pPr>
                    <w:pStyle w:val="DHHStablecolhead"/>
                    <w:rPr>
                      <w:sz w:val="18"/>
                    </w:rPr>
                  </w:pPr>
                  <w:r w:rsidRPr="007408FD">
                    <w:rPr>
                      <w:sz w:val="18"/>
                    </w:rPr>
                    <w:t>Version</w:t>
                  </w:r>
                </w:p>
              </w:tc>
              <w:tc>
                <w:tcPr>
                  <w:tcW w:w="1106" w:type="dxa"/>
                </w:tcPr>
                <w:p w14:paraId="02B962A5" w14:textId="77777777" w:rsidR="0000567A" w:rsidRPr="007408FD" w:rsidRDefault="0000567A" w:rsidP="00FD4917">
                  <w:pPr>
                    <w:pStyle w:val="DHHStablecolhead"/>
                    <w:rPr>
                      <w:sz w:val="18"/>
                    </w:rPr>
                  </w:pPr>
                  <w:r w:rsidRPr="007408FD">
                    <w:rPr>
                      <w:sz w:val="18"/>
                    </w:rPr>
                    <w:t>Issue date</w:t>
                  </w:r>
                </w:p>
              </w:tc>
              <w:tc>
                <w:tcPr>
                  <w:tcW w:w="3260" w:type="dxa"/>
                </w:tcPr>
                <w:p w14:paraId="1D09F776" w14:textId="77777777" w:rsidR="0000567A" w:rsidRPr="007408FD" w:rsidRDefault="0000567A" w:rsidP="00FD4917">
                  <w:pPr>
                    <w:pStyle w:val="DHHStablecolhead"/>
                    <w:rPr>
                      <w:sz w:val="18"/>
                    </w:rPr>
                  </w:pPr>
                  <w:r w:rsidRPr="007408FD">
                    <w:rPr>
                      <w:sz w:val="18"/>
                    </w:rPr>
                    <w:t>Section amended</w:t>
                  </w:r>
                </w:p>
              </w:tc>
              <w:tc>
                <w:tcPr>
                  <w:tcW w:w="4051" w:type="dxa"/>
                </w:tcPr>
                <w:p w14:paraId="22672118" w14:textId="77777777" w:rsidR="0000567A" w:rsidRPr="007408FD" w:rsidRDefault="0000567A" w:rsidP="00FD4917">
                  <w:pPr>
                    <w:pStyle w:val="DHHStablecolhead"/>
                    <w:rPr>
                      <w:sz w:val="18"/>
                    </w:rPr>
                  </w:pPr>
                  <w:r w:rsidRPr="007408FD">
                    <w:rPr>
                      <w:sz w:val="18"/>
                    </w:rPr>
                    <w:t>Amendment</w:t>
                  </w:r>
                </w:p>
              </w:tc>
            </w:tr>
            <w:tr w:rsidR="0000567A" w:rsidRPr="00E54ED0" w14:paraId="0B2429D8" w14:textId="77777777" w:rsidTr="00FD4917">
              <w:trPr>
                <w:trHeight w:val="463"/>
                <w:jc w:val="center"/>
              </w:trPr>
              <w:tc>
                <w:tcPr>
                  <w:tcW w:w="877" w:type="dxa"/>
                  <w:shd w:val="clear" w:color="auto" w:fill="auto"/>
                </w:tcPr>
                <w:p w14:paraId="234FB5CD" w14:textId="77777777" w:rsidR="0000567A" w:rsidRPr="007408FD" w:rsidRDefault="0000567A" w:rsidP="00FD4917">
                  <w:pPr>
                    <w:pStyle w:val="DHHStabletext"/>
                    <w:rPr>
                      <w:sz w:val="18"/>
                    </w:rPr>
                  </w:pPr>
                  <w:r w:rsidRPr="007408FD">
                    <w:rPr>
                      <w:sz w:val="18"/>
                    </w:rPr>
                    <w:t>1</w:t>
                  </w:r>
                </w:p>
              </w:tc>
              <w:tc>
                <w:tcPr>
                  <w:tcW w:w="1106" w:type="dxa"/>
                </w:tcPr>
                <w:p w14:paraId="43FE34E4" w14:textId="77777777" w:rsidR="0000567A" w:rsidRPr="007408FD" w:rsidRDefault="0000567A" w:rsidP="00FD4917">
                  <w:pPr>
                    <w:pStyle w:val="DHHStabletext"/>
                    <w:rPr>
                      <w:sz w:val="18"/>
                    </w:rPr>
                  </w:pPr>
                  <w:r w:rsidRPr="007408FD">
                    <w:rPr>
                      <w:sz w:val="18"/>
                    </w:rPr>
                    <w:t>August 2016</w:t>
                  </w:r>
                </w:p>
              </w:tc>
              <w:tc>
                <w:tcPr>
                  <w:tcW w:w="3260" w:type="dxa"/>
                </w:tcPr>
                <w:p w14:paraId="0A3FEA3F" w14:textId="77777777" w:rsidR="0000567A" w:rsidRPr="007408FD" w:rsidRDefault="0000567A" w:rsidP="00FD4917">
                  <w:pPr>
                    <w:pStyle w:val="DHHStablebullet"/>
                    <w:ind w:left="0" w:firstLine="0"/>
                    <w:rPr>
                      <w:sz w:val="18"/>
                    </w:rPr>
                  </w:pPr>
                  <w:r w:rsidRPr="007408FD">
                    <w:rPr>
                      <w:sz w:val="18"/>
                    </w:rPr>
                    <w:t>n/a</w:t>
                  </w:r>
                </w:p>
              </w:tc>
              <w:tc>
                <w:tcPr>
                  <w:tcW w:w="4051" w:type="dxa"/>
                </w:tcPr>
                <w:p w14:paraId="510A1714" w14:textId="77777777" w:rsidR="0000567A" w:rsidRPr="007408FD" w:rsidRDefault="0000567A" w:rsidP="00FD4917">
                  <w:pPr>
                    <w:pStyle w:val="DHHStablebullet"/>
                    <w:ind w:left="0" w:firstLine="0"/>
                    <w:rPr>
                      <w:sz w:val="18"/>
                    </w:rPr>
                  </w:pPr>
                  <w:r w:rsidRPr="007408FD">
                    <w:rPr>
                      <w:sz w:val="18"/>
                    </w:rPr>
                    <w:t>n/a</w:t>
                  </w:r>
                </w:p>
              </w:tc>
            </w:tr>
            <w:tr w:rsidR="0000567A" w:rsidRPr="00E54ED0" w14:paraId="5472571A" w14:textId="77777777" w:rsidTr="00FD4917">
              <w:trPr>
                <w:trHeight w:val="263"/>
                <w:jc w:val="center"/>
              </w:trPr>
              <w:tc>
                <w:tcPr>
                  <w:tcW w:w="877" w:type="dxa"/>
                  <w:shd w:val="clear" w:color="auto" w:fill="auto"/>
                </w:tcPr>
                <w:p w14:paraId="0565F334" w14:textId="77777777" w:rsidR="0000567A" w:rsidRPr="007408FD" w:rsidRDefault="0000567A" w:rsidP="00FD4917">
                  <w:pPr>
                    <w:pStyle w:val="DHHStabletext"/>
                    <w:rPr>
                      <w:sz w:val="18"/>
                    </w:rPr>
                  </w:pPr>
                  <w:r w:rsidRPr="007408FD">
                    <w:rPr>
                      <w:sz w:val="18"/>
                    </w:rPr>
                    <w:t>2</w:t>
                  </w:r>
                </w:p>
              </w:tc>
              <w:tc>
                <w:tcPr>
                  <w:tcW w:w="1106" w:type="dxa"/>
                </w:tcPr>
                <w:p w14:paraId="332FBA0E" w14:textId="77777777" w:rsidR="0000567A" w:rsidRPr="007408FD" w:rsidRDefault="0000567A" w:rsidP="00FD4917">
                  <w:pPr>
                    <w:pStyle w:val="DHHStabletext"/>
                    <w:rPr>
                      <w:sz w:val="18"/>
                    </w:rPr>
                  </w:pPr>
                  <w:r w:rsidRPr="007408FD">
                    <w:rPr>
                      <w:sz w:val="18"/>
                    </w:rPr>
                    <w:t>December 2016</w:t>
                  </w:r>
                </w:p>
              </w:tc>
              <w:tc>
                <w:tcPr>
                  <w:tcW w:w="3260" w:type="dxa"/>
                </w:tcPr>
                <w:p w14:paraId="49016C59" w14:textId="77777777" w:rsidR="0000567A" w:rsidRPr="007408FD" w:rsidRDefault="0000567A" w:rsidP="00FD4917">
                  <w:pPr>
                    <w:pStyle w:val="DHHSbody"/>
                    <w:rPr>
                      <w:sz w:val="18"/>
                    </w:rPr>
                  </w:pPr>
                  <w:r w:rsidRPr="007408FD">
                    <w:rPr>
                      <w:sz w:val="18"/>
                    </w:rPr>
                    <w:t>Fees</w:t>
                  </w:r>
                  <w:r>
                    <w:rPr>
                      <w:sz w:val="18"/>
                    </w:rPr>
                    <w:t xml:space="preserve">, </w:t>
                  </w:r>
                  <w:r w:rsidRPr="007408FD">
                    <w:rPr>
                      <w:sz w:val="18"/>
                    </w:rPr>
                    <w:t>Premises</w:t>
                  </w:r>
                  <w:r>
                    <w:rPr>
                      <w:sz w:val="18"/>
                    </w:rPr>
                    <w:t xml:space="preserve">, </w:t>
                  </w:r>
                  <w:r w:rsidRPr="007408FD">
                    <w:rPr>
                      <w:sz w:val="18"/>
                    </w:rPr>
                    <w:t>Registration of premises</w:t>
                  </w:r>
                  <w:r>
                    <w:rPr>
                      <w:sz w:val="18"/>
                    </w:rPr>
                    <w:t xml:space="preserve">, </w:t>
                  </w:r>
                  <w:r w:rsidRPr="007408FD">
                    <w:rPr>
                      <w:sz w:val="18"/>
                    </w:rPr>
                    <w:t>Immunisation registers</w:t>
                  </w:r>
                </w:p>
              </w:tc>
              <w:tc>
                <w:tcPr>
                  <w:tcW w:w="4051" w:type="dxa"/>
                </w:tcPr>
                <w:p w14:paraId="56A67430" w14:textId="77777777" w:rsidR="0000567A" w:rsidRPr="007408FD" w:rsidRDefault="0000567A" w:rsidP="00FD4917">
                  <w:pPr>
                    <w:pStyle w:val="DHHSbody"/>
                    <w:rPr>
                      <w:sz w:val="18"/>
                    </w:rPr>
                  </w:pPr>
                  <w:r w:rsidRPr="007408FD">
                    <w:rPr>
                      <w:sz w:val="18"/>
                    </w:rPr>
                    <w:t>Minor amendment. Inclusion of footnote 6.</w:t>
                  </w:r>
                </w:p>
                <w:p w14:paraId="4AC437D1" w14:textId="77777777" w:rsidR="0000567A" w:rsidRPr="007408FD" w:rsidRDefault="0000567A" w:rsidP="00FD4917">
                  <w:pPr>
                    <w:pStyle w:val="DHHSbody"/>
                    <w:rPr>
                      <w:sz w:val="18"/>
                    </w:rPr>
                  </w:pPr>
                  <w:r w:rsidRPr="007408FD">
                    <w:rPr>
                      <w:sz w:val="18"/>
                    </w:rPr>
                    <w:t>Additional refrigerator requirements.</w:t>
                  </w:r>
                </w:p>
                <w:p w14:paraId="649E39B8" w14:textId="77777777" w:rsidR="0000567A" w:rsidRPr="007408FD" w:rsidRDefault="0000567A" w:rsidP="00FD4917">
                  <w:pPr>
                    <w:pStyle w:val="DHHSbody"/>
                    <w:rPr>
                      <w:sz w:val="18"/>
                    </w:rPr>
                  </w:pPr>
                  <w:r w:rsidRPr="007408FD">
                    <w:rPr>
                      <w:sz w:val="18"/>
                    </w:rPr>
                    <w:t>Inclusion of application form hyperlink.</w:t>
                  </w:r>
                </w:p>
                <w:p w14:paraId="25193E28" w14:textId="77777777" w:rsidR="0000567A" w:rsidRPr="007408FD" w:rsidRDefault="0000567A" w:rsidP="00FD4917">
                  <w:pPr>
                    <w:pStyle w:val="DHHSbody"/>
                    <w:rPr>
                      <w:sz w:val="18"/>
                    </w:rPr>
                  </w:pPr>
                  <w:r w:rsidRPr="007408FD">
                    <w:rPr>
                      <w:sz w:val="18"/>
                    </w:rPr>
                    <w:t>Addition of new section and requirements.</w:t>
                  </w:r>
                </w:p>
              </w:tc>
            </w:tr>
            <w:tr w:rsidR="0000567A" w:rsidRPr="00E54ED0" w14:paraId="7029A09D" w14:textId="77777777" w:rsidTr="00FD4917">
              <w:trPr>
                <w:trHeight w:val="263"/>
                <w:jc w:val="center"/>
              </w:trPr>
              <w:tc>
                <w:tcPr>
                  <w:tcW w:w="877" w:type="dxa"/>
                  <w:shd w:val="clear" w:color="auto" w:fill="auto"/>
                </w:tcPr>
                <w:p w14:paraId="418460BA" w14:textId="4695F6E8" w:rsidR="0000567A" w:rsidRPr="007408FD" w:rsidRDefault="00A83724" w:rsidP="00FD4917">
                  <w:pPr>
                    <w:pStyle w:val="DHHStabletext"/>
                    <w:rPr>
                      <w:sz w:val="18"/>
                    </w:rPr>
                  </w:pPr>
                  <w:r>
                    <w:rPr>
                      <w:sz w:val="18"/>
                    </w:rPr>
                    <w:t>3</w:t>
                  </w:r>
                </w:p>
              </w:tc>
              <w:tc>
                <w:tcPr>
                  <w:tcW w:w="1106" w:type="dxa"/>
                </w:tcPr>
                <w:p w14:paraId="0E7FA913" w14:textId="77777777" w:rsidR="0000567A" w:rsidRDefault="0000567A" w:rsidP="00FD4917">
                  <w:pPr>
                    <w:pStyle w:val="DHHStabletext"/>
                    <w:spacing w:after="0"/>
                    <w:rPr>
                      <w:sz w:val="18"/>
                    </w:rPr>
                  </w:pPr>
                  <w:r w:rsidRPr="007408FD">
                    <w:rPr>
                      <w:sz w:val="18"/>
                    </w:rPr>
                    <w:t>July</w:t>
                  </w:r>
                </w:p>
                <w:p w14:paraId="5285E7C9" w14:textId="77777777" w:rsidR="0000567A" w:rsidRPr="007408FD" w:rsidRDefault="0000567A" w:rsidP="00FD4917">
                  <w:pPr>
                    <w:pStyle w:val="DHHStabletext"/>
                    <w:spacing w:before="0" w:after="0"/>
                    <w:rPr>
                      <w:sz w:val="18"/>
                    </w:rPr>
                  </w:pPr>
                  <w:r w:rsidRPr="007408FD">
                    <w:rPr>
                      <w:sz w:val="18"/>
                    </w:rPr>
                    <w:t>2018</w:t>
                  </w:r>
                </w:p>
              </w:tc>
              <w:tc>
                <w:tcPr>
                  <w:tcW w:w="3260" w:type="dxa"/>
                </w:tcPr>
                <w:p w14:paraId="7619F876" w14:textId="13AAC230" w:rsidR="0000567A" w:rsidRPr="007408FD" w:rsidRDefault="0000567A" w:rsidP="00FD4917">
                  <w:pPr>
                    <w:pStyle w:val="DHHSbody"/>
                    <w:rPr>
                      <w:sz w:val="18"/>
                    </w:rPr>
                  </w:pPr>
                  <w:r w:rsidRPr="007408FD">
                    <w:rPr>
                      <w:sz w:val="18"/>
                    </w:rPr>
                    <w:t>Regulations, Education</w:t>
                  </w:r>
                  <w:r w:rsidR="0053431A">
                    <w:rPr>
                      <w:sz w:val="18"/>
                    </w:rPr>
                    <w:t xml:space="preserve"> (now Training)</w:t>
                  </w:r>
                  <w:r w:rsidRPr="007408FD">
                    <w:rPr>
                      <w:sz w:val="18"/>
                    </w:rPr>
                    <w:t>, Premises, Registration of premises, Record keeping and reporting</w:t>
                  </w:r>
                </w:p>
              </w:tc>
              <w:tc>
                <w:tcPr>
                  <w:tcW w:w="4051" w:type="dxa"/>
                </w:tcPr>
                <w:p w14:paraId="5D5DBD07" w14:textId="77777777" w:rsidR="0000567A" w:rsidRPr="007408FD" w:rsidRDefault="0000567A" w:rsidP="00FD4917">
                  <w:pPr>
                    <w:pStyle w:val="DHHSbody"/>
                    <w:rPr>
                      <w:sz w:val="18"/>
                    </w:rPr>
                  </w:pPr>
                  <w:r w:rsidRPr="007408FD">
                    <w:rPr>
                      <w:sz w:val="18"/>
                    </w:rPr>
                    <w:t>Minor amendment from Drugs, Poisons and Controlled Substances Regulations 2006 to Drugs, Poisons and Controlled Substances Regulations 2017</w:t>
                  </w:r>
                </w:p>
              </w:tc>
            </w:tr>
            <w:tr w:rsidR="0000567A" w14:paraId="33AD8AC2" w14:textId="77777777" w:rsidTr="00FD4917">
              <w:trPr>
                <w:trHeight w:val="263"/>
                <w:jc w:val="center"/>
              </w:trPr>
              <w:tc>
                <w:tcPr>
                  <w:tcW w:w="877" w:type="dxa"/>
                  <w:shd w:val="clear" w:color="auto" w:fill="auto"/>
                </w:tcPr>
                <w:p w14:paraId="08039688" w14:textId="384AED27" w:rsidR="0000567A" w:rsidRPr="007408FD" w:rsidRDefault="00A83724" w:rsidP="00FD4917">
                  <w:pPr>
                    <w:pStyle w:val="DHHStabletext"/>
                    <w:rPr>
                      <w:sz w:val="18"/>
                    </w:rPr>
                  </w:pPr>
                  <w:r>
                    <w:rPr>
                      <w:sz w:val="18"/>
                    </w:rPr>
                    <w:t>4</w:t>
                  </w:r>
                </w:p>
              </w:tc>
              <w:tc>
                <w:tcPr>
                  <w:tcW w:w="1106" w:type="dxa"/>
                </w:tcPr>
                <w:p w14:paraId="0CB29DAD" w14:textId="77777777" w:rsidR="0000567A" w:rsidRPr="007408FD" w:rsidRDefault="0000567A" w:rsidP="00FD4917">
                  <w:pPr>
                    <w:pStyle w:val="DHHStabletext"/>
                    <w:rPr>
                      <w:sz w:val="18"/>
                    </w:rPr>
                  </w:pPr>
                  <w:r w:rsidRPr="007408FD">
                    <w:rPr>
                      <w:sz w:val="18"/>
                    </w:rPr>
                    <w:t>October 2018</w:t>
                  </w:r>
                </w:p>
              </w:tc>
              <w:tc>
                <w:tcPr>
                  <w:tcW w:w="3260" w:type="dxa"/>
                </w:tcPr>
                <w:p w14:paraId="3B57A727" w14:textId="3C8A809B" w:rsidR="0000567A" w:rsidRPr="007408FD" w:rsidRDefault="0000567A" w:rsidP="00FD4917">
                  <w:pPr>
                    <w:pStyle w:val="DHHSbody"/>
                    <w:rPr>
                      <w:sz w:val="18"/>
                    </w:rPr>
                  </w:pPr>
                  <w:r w:rsidRPr="007408FD">
                    <w:rPr>
                      <w:sz w:val="18"/>
                    </w:rPr>
                    <w:t>Introduction, Education</w:t>
                  </w:r>
                  <w:r w:rsidR="0053431A">
                    <w:rPr>
                      <w:sz w:val="18"/>
                    </w:rPr>
                    <w:t xml:space="preserve"> (now Training)</w:t>
                  </w:r>
                  <w:r w:rsidRPr="007408FD">
                    <w:rPr>
                      <w:sz w:val="18"/>
                    </w:rPr>
                    <w:t xml:space="preserve">, Code of Conduct, Target groups, Fees, Registration of premises, </w:t>
                  </w:r>
                  <w:proofErr w:type="gramStart"/>
                  <w:r w:rsidRPr="007408FD">
                    <w:rPr>
                      <w:sz w:val="18"/>
                    </w:rPr>
                    <w:t>Assessment</w:t>
                  </w:r>
                  <w:proofErr w:type="gramEnd"/>
                  <w:r w:rsidRPr="007408FD">
                    <w:rPr>
                      <w:sz w:val="18"/>
                    </w:rPr>
                    <w:t xml:space="preserve"> and consent</w:t>
                  </w:r>
                </w:p>
              </w:tc>
              <w:tc>
                <w:tcPr>
                  <w:tcW w:w="4051" w:type="dxa"/>
                </w:tcPr>
                <w:p w14:paraId="2CB44A93" w14:textId="77777777" w:rsidR="0000567A" w:rsidRPr="007408FD" w:rsidRDefault="0000567A" w:rsidP="00FD4917">
                  <w:pPr>
                    <w:pStyle w:val="DHHSbody"/>
                    <w:rPr>
                      <w:sz w:val="18"/>
                    </w:rPr>
                  </w:pPr>
                  <w:r w:rsidRPr="007408FD">
                    <w:rPr>
                      <w:sz w:val="18"/>
                    </w:rPr>
                    <w:t>Significant amendment to detail expansion.</w:t>
                  </w:r>
                </w:p>
                <w:p w14:paraId="1B9DC737" w14:textId="77777777" w:rsidR="0000567A" w:rsidRPr="007408FD" w:rsidRDefault="0000567A" w:rsidP="00FD4917">
                  <w:pPr>
                    <w:pStyle w:val="DHHSbody"/>
                    <w:rPr>
                      <w:sz w:val="18"/>
                    </w:rPr>
                  </w:pPr>
                  <w:r w:rsidRPr="007408FD">
                    <w:rPr>
                      <w:sz w:val="18"/>
                    </w:rPr>
                    <w:t>Removal of Evaluation section.</w:t>
                  </w:r>
                </w:p>
                <w:p w14:paraId="0EF04C58" w14:textId="77777777" w:rsidR="0000567A" w:rsidRPr="007408FD" w:rsidRDefault="0000567A" w:rsidP="00FD4917">
                  <w:pPr>
                    <w:pStyle w:val="DHHSbody"/>
                    <w:rPr>
                      <w:sz w:val="18"/>
                    </w:rPr>
                  </w:pPr>
                  <w:r w:rsidRPr="007408FD">
                    <w:rPr>
                      <w:sz w:val="18"/>
                    </w:rPr>
                    <w:t>Amendment to attachment 1 templates.</w:t>
                  </w:r>
                </w:p>
              </w:tc>
            </w:tr>
            <w:tr w:rsidR="0000567A" w14:paraId="6460206A" w14:textId="77777777" w:rsidTr="00FD4917">
              <w:trPr>
                <w:trHeight w:val="263"/>
                <w:jc w:val="center"/>
              </w:trPr>
              <w:tc>
                <w:tcPr>
                  <w:tcW w:w="877" w:type="dxa"/>
                  <w:shd w:val="clear" w:color="auto" w:fill="auto"/>
                </w:tcPr>
                <w:p w14:paraId="23B1168F" w14:textId="0B0BB732" w:rsidR="0000567A" w:rsidRPr="007408FD" w:rsidRDefault="00A83724" w:rsidP="00FD4917">
                  <w:pPr>
                    <w:pStyle w:val="DHHStabletext"/>
                    <w:rPr>
                      <w:sz w:val="18"/>
                    </w:rPr>
                  </w:pPr>
                  <w:r>
                    <w:rPr>
                      <w:sz w:val="18"/>
                    </w:rPr>
                    <w:t>5</w:t>
                  </w:r>
                </w:p>
              </w:tc>
              <w:tc>
                <w:tcPr>
                  <w:tcW w:w="1106" w:type="dxa"/>
                </w:tcPr>
                <w:p w14:paraId="5BBB3CDF" w14:textId="77777777" w:rsidR="0000567A" w:rsidRPr="007408FD" w:rsidRDefault="0000567A" w:rsidP="00FD4917">
                  <w:pPr>
                    <w:pStyle w:val="DHHStabletext"/>
                    <w:rPr>
                      <w:sz w:val="18"/>
                    </w:rPr>
                  </w:pPr>
                  <w:r>
                    <w:rPr>
                      <w:sz w:val="18"/>
                    </w:rPr>
                    <w:t>April 2019</w:t>
                  </w:r>
                </w:p>
              </w:tc>
              <w:tc>
                <w:tcPr>
                  <w:tcW w:w="3260" w:type="dxa"/>
                </w:tcPr>
                <w:p w14:paraId="391B1772" w14:textId="77777777" w:rsidR="0000567A" w:rsidRPr="007408FD" w:rsidRDefault="0000567A" w:rsidP="00FD4917">
                  <w:pPr>
                    <w:pStyle w:val="DHHSbody"/>
                    <w:rPr>
                      <w:sz w:val="18"/>
                    </w:rPr>
                  </w:pPr>
                  <w:r>
                    <w:rPr>
                      <w:sz w:val="18"/>
                    </w:rPr>
                    <w:t xml:space="preserve">Target groups, </w:t>
                  </w:r>
                  <w:proofErr w:type="gramStart"/>
                  <w:r>
                    <w:rPr>
                      <w:sz w:val="18"/>
                    </w:rPr>
                    <w:t>Assessment</w:t>
                  </w:r>
                  <w:proofErr w:type="gramEnd"/>
                  <w:r>
                    <w:rPr>
                      <w:sz w:val="18"/>
                    </w:rPr>
                    <w:t xml:space="preserve"> and consent</w:t>
                  </w:r>
                </w:p>
              </w:tc>
              <w:tc>
                <w:tcPr>
                  <w:tcW w:w="4051" w:type="dxa"/>
                </w:tcPr>
                <w:p w14:paraId="5F5F417C" w14:textId="77777777" w:rsidR="0000567A" w:rsidRPr="007408FD" w:rsidRDefault="0000567A" w:rsidP="00FD4917">
                  <w:pPr>
                    <w:pStyle w:val="DHHSbody"/>
                    <w:rPr>
                      <w:sz w:val="18"/>
                    </w:rPr>
                  </w:pPr>
                  <w:r>
                    <w:rPr>
                      <w:sz w:val="18"/>
                    </w:rPr>
                    <w:t>Minor amendment to the number of weeks gestation recommended for pregnant women – in line with the changes in the Australian Immunisation Handbook.</w:t>
                  </w:r>
                </w:p>
              </w:tc>
            </w:tr>
            <w:tr w:rsidR="0000567A" w14:paraId="50014BBC" w14:textId="77777777" w:rsidTr="00FD4917">
              <w:trPr>
                <w:trHeight w:val="263"/>
                <w:jc w:val="center"/>
              </w:trPr>
              <w:tc>
                <w:tcPr>
                  <w:tcW w:w="877" w:type="dxa"/>
                  <w:shd w:val="clear" w:color="auto" w:fill="auto"/>
                </w:tcPr>
                <w:p w14:paraId="56C871B3" w14:textId="4A097887" w:rsidR="0000567A" w:rsidRDefault="00A83724" w:rsidP="00FD4917">
                  <w:pPr>
                    <w:pStyle w:val="DHHStabletext"/>
                    <w:rPr>
                      <w:sz w:val="18"/>
                    </w:rPr>
                  </w:pPr>
                  <w:r>
                    <w:rPr>
                      <w:sz w:val="18"/>
                    </w:rPr>
                    <w:t>6</w:t>
                  </w:r>
                </w:p>
              </w:tc>
              <w:tc>
                <w:tcPr>
                  <w:tcW w:w="1106" w:type="dxa"/>
                </w:tcPr>
                <w:p w14:paraId="62BECF25" w14:textId="77777777" w:rsidR="0000567A" w:rsidRDefault="0000567A" w:rsidP="00FD4917">
                  <w:pPr>
                    <w:pStyle w:val="DHHStabletext"/>
                    <w:rPr>
                      <w:sz w:val="18"/>
                    </w:rPr>
                  </w:pPr>
                  <w:r>
                    <w:rPr>
                      <w:sz w:val="18"/>
                    </w:rPr>
                    <w:t>April 2020</w:t>
                  </w:r>
                </w:p>
              </w:tc>
              <w:tc>
                <w:tcPr>
                  <w:tcW w:w="3260" w:type="dxa"/>
                </w:tcPr>
                <w:p w14:paraId="4D1DA697" w14:textId="77777777" w:rsidR="0000567A" w:rsidRDefault="0000567A" w:rsidP="00FD4917">
                  <w:pPr>
                    <w:pStyle w:val="DHHSbody"/>
                    <w:rPr>
                      <w:sz w:val="18"/>
                    </w:rPr>
                  </w:pPr>
                  <w:r>
                    <w:rPr>
                      <w:sz w:val="18"/>
                    </w:rPr>
                    <w:t xml:space="preserve">All sections updated </w:t>
                  </w:r>
                </w:p>
              </w:tc>
              <w:tc>
                <w:tcPr>
                  <w:tcW w:w="4051" w:type="dxa"/>
                </w:tcPr>
                <w:p w14:paraId="058CDB21" w14:textId="77777777" w:rsidR="0000567A" w:rsidRDefault="0000567A" w:rsidP="00FD4917">
                  <w:pPr>
                    <w:pStyle w:val="DHHSbody"/>
                    <w:rPr>
                      <w:sz w:val="18"/>
                    </w:rPr>
                  </w:pPr>
                  <w:r>
                    <w:rPr>
                      <w:sz w:val="18"/>
                    </w:rPr>
                    <w:t>Significant amendment to detail expansion.</w:t>
                  </w:r>
                </w:p>
                <w:p w14:paraId="07BF4687" w14:textId="77777777" w:rsidR="0000567A" w:rsidRDefault="0000567A" w:rsidP="00FD4917">
                  <w:pPr>
                    <w:pStyle w:val="DHHSbody"/>
                    <w:rPr>
                      <w:sz w:val="18"/>
                    </w:rPr>
                  </w:pPr>
                  <w:r>
                    <w:rPr>
                      <w:sz w:val="18"/>
                    </w:rPr>
                    <w:t>Amendment to attachment 1 templates.</w:t>
                  </w:r>
                </w:p>
              </w:tc>
            </w:tr>
            <w:tr w:rsidR="0000567A" w14:paraId="7211FEC8" w14:textId="77777777" w:rsidTr="00FD4917">
              <w:trPr>
                <w:trHeight w:val="263"/>
                <w:jc w:val="center"/>
              </w:trPr>
              <w:tc>
                <w:tcPr>
                  <w:tcW w:w="877" w:type="dxa"/>
                  <w:shd w:val="clear" w:color="auto" w:fill="auto"/>
                </w:tcPr>
                <w:p w14:paraId="5CC348F5" w14:textId="080F564F" w:rsidR="0000567A" w:rsidRPr="0051125A" w:rsidRDefault="00A83724" w:rsidP="00FD4917">
                  <w:pPr>
                    <w:pStyle w:val="DHHStabletext"/>
                    <w:rPr>
                      <w:sz w:val="18"/>
                    </w:rPr>
                  </w:pPr>
                  <w:r>
                    <w:rPr>
                      <w:sz w:val="18"/>
                    </w:rPr>
                    <w:t>7</w:t>
                  </w:r>
                </w:p>
              </w:tc>
              <w:tc>
                <w:tcPr>
                  <w:tcW w:w="1106" w:type="dxa"/>
                </w:tcPr>
                <w:p w14:paraId="4AD2BACA" w14:textId="77777777" w:rsidR="0000567A" w:rsidRPr="0051125A" w:rsidRDefault="0000567A" w:rsidP="00FD4917">
                  <w:pPr>
                    <w:pStyle w:val="DHHStabletext"/>
                    <w:rPr>
                      <w:sz w:val="18"/>
                    </w:rPr>
                  </w:pPr>
                  <w:r w:rsidRPr="0051125A">
                    <w:rPr>
                      <w:sz w:val="18"/>
                    </w:rPr>
                    <w:t>May 2022</w:t>
                  </w:r>
                </w:p>
              </w:tc>
              <w:tc>
                <w:tcPr>
                  <w:tcW w:w="3260" w:type="dxa"/>
                </w:tcPr>
                <w:p w14:paraId="1154C4C8" w14:textId="77777777" w:rsidR="0000567A" w:rsidRPr="0051125A" w:rsidRDefault="0000567A" w:rsidP="00FD4917">
                  <w:pPr>
                    <w:pStyle w:val="DHHSbody"/>
                    <w:rPr>
                      <w:sz w:val="18"/>
                    </w:rPr>
                  </w:pPr>
                  <w:r w:rsidRPr="0051125A">
                    <w:rPr>
                      <w:sz w:val="18"/>
                    </w:rPr>
                    <w:t>All sections updated</w:t>
                  </w:r>
                </w:p>
              </w:tc>
              <w:tc>
                <w:tcPr>
                  <w:tcW w:w="4051" w:type="dxa"/>
                </w:tcPr>
                <w:p w14:paraId="7C0DE79F" w14:textId="77777777" w:rsidR="0000567A" w:rsidRPr="0051125A" w:rsidRDefault="0000567A" w:rsidP="00FD4917">
                  <w:pPr>
                    <w:pStyle w:val="DHHSbody"/>
                    <w:rPr>
                      <w:sz w:val="18"/>
                    </w:rPr>
                  </w:pPr>
                  <w:r w:rsidRPr="0051125A">
                    <w:rPr>
                      <w:sz w:val="18"/>
                    </w:rPr>
                    <w:t xml:space="preserve">Significant amendment to detail expansion. </w:t>
                  </w:r>
                </w:p>
                <w:p w14:paraId="3C7BBD17" w14:textId="77777777" w:rsidR="0000567A" w:rsidRPr="0051125A" w:rsidRDefault="0000567A" w:rsidP="00FD4917">
                  <w:pPr>
                    <w:pStyle w:val="DHHSbody"/>
                    <w:rPr>
                      <w:sz w:val="18"/>
                    </w:rPr>
                  </w:pPr>
                  <w:r w:rsidRPr="0051125A">
                    <w:rPr>
                      <w:sz w:val="18"/>
                    </w:rPr>
                    <w:t>Amendment to attachment 1 templates.</w:t>
                  </w:r>
                </w:p>
              </w:tc>
            </w:tr>
            <w:tr w:rsidR="00686D58" w14:paraId="185469B1" w14:textId="77777777" w:rsidTr="00FD4917">
              <w:trPr>
                <w:trHeight w:val="263"/>
                <w:jc w:val="center"/>
              </w:trPr>
              <w:tc>
                <w:tcPr>
                  <w:tcW w:w="877" w:type="dxa"/>
                  <w:shd w:val="clear" w:color="auto" w:fill="auto"/>
                </w:tcPr>
                <w:p w14:paraId="00089435" w14:textId="68E82DAC" w:rsidR="00686D58" w:rsidRPr="001908F3" w:rsidRDefault="00A83724" w:rsidP="00686D58">
                  <w:pPr>
                    <w:pStyle w:val="DHHStabletext"/>
                    <w:rPr>
                      <w:sz w:val="18"/>
                      <w:highlight w:val="yellow"/>
                    </w:rPr>
                  </w:pPr>
                  <w:r>
                    <w:rPr>
                      <w:sz w:val="18"/>
                      <w:highlight w:val="yellow"/>
                    </w:rPr>
                    <w:t>8</w:t>
                  </w:r>
                </w:p>
              </w:tc>
              <w:tc>
                <w:tcPr>
                  <w:tcW w:w="1106" w:type="dxa"/>
                </w:tcPr>
                <w:p w14:paraId="642A57B8" w14:textId="77B18DCA" w:rsidR="00686D58" w:rsidRPr="0081450D" w:rsidRDefault="008872FA" w:rsidP="00686D58">
                  <w:pPr>
                    <w:pStyle w:val="DHHStabletext"/>
                    <w:rPr>
                      <w:sz w:val="18"/>
                      <w:highlight w:val="yellow"/>
                    </w:rPr>
                  </w:pPr>
                  <w:r>
                    <w:rPr>
                      <w:sz w:val="18"/>
                      <w:highlight w:val="yellow"/>
                    </w:rPr>
                    <w:t>October</w:t>
                  </w:r>
                  <w:r w:rsidRPr="001908F3">
                    <w:rPr>
                      <w:sz w:val="18"/>
                      <w:highlight w:val="yellow"/>
                    </w:rPr>
                    <w:t xml:space="preserve"> </w:t>
                  </w:r>
                  <w:r w:rsidR="00686D58" w:rsidRPr="001908F3">
                    <w:rPr>
                      <w:sz w:val="18"/>
                      <w:highlight w:val="yellow"/>
                    </w:rPr>
                    <w:t xml:space="preserve">2022 </w:t>
                  </w:r>
                </w:p>
              </w:tc>
              <w:tc>
                <w:tcPr>
                  <w:tcW w:w="3260" w:type="dxa"/>
                </w:tcPr>
                <w:p w14:paraId="47741CF7" w14:textId="25D45A1F" w:rsidR="00325711" w:rsidRPr="0081450D" w:rsidRDefault="00AA59E8" w:rsidP="00325711">
                  <w:pPr>
                    <w:pStyle w:val="DHHSbody"/>
                    <w:rPr>
                      <w:sz w:val="18"/>
                      <w:highlight w:val="yellow"/>
                    </w:rPr>
                  </w:pPr>
                  <w:r>
                    <w:rPr>
                      <w:sz w:val="18"/>
                      <w:highlight w:val="yellow"/>
                    </w:rPr>
                    <w:t xml:space="preserve">Multiple sections updated </w:t>
                  </w:r>
                </w:p>
              </w:tc>
              <w:tc>
                <w:tcPr>
                  <w:tcW w:w="4051" w:type="dxa"/>
                </w:tcPr>
                <w:p w14:paraId="3D7F2E65" w14:textId="77777777" w:rsidR="00686D58" w:rsidRDefault="00686D58" w:rsidP="00686D58">
                  <w:pPr>
                    <w:pStyle w:val="DHHSbody"/>
                    <w:rPr>
                      <w:sz w:val="18"/>
                      <w:highlight w:val="yellow"/>
                    </w:rPr>
                  </w:pPr>
                  <w:r w:rsidRPr="0081450D">
                    <w:rPr>
                      <w:sz w:val="18"/>
                      <w:highlight w:val="yellow"/>
                    </w:rPr>
                    <w:t xml:space="preserve">Significant amendment to detail expansion. </w:t>
                  </w:r>
                </w:p>
                <w:p w14:paraId="74C47684" w14:textId="65EAD95F" w:rsidR="00325711" w:rsidRDefault="00325711" w:rsidP="00325711">
                  <w:pPr>
                    <w:pStyle w:val="DHHSbody"/>
                    <w:rPr>
                      <w:sz w:val="18"/>
                      <w:highlight w:val="yellow"/>
                    </w:rPr>
                  </w:pPr>
                  <w:r>
                    <w:rPr>
                      <w:sz w:val="18"/>
                      <w:highlight w:val="yellow"/>
                    </w:rPr>
                    <w:t xml:space="preserve">Sections 1, 4, 5, 8, 10.2.1, 10.5, </w:t>
                  </w:r>
                  <w:r w:rsidR="000457B5">
                    <w:rPr>
                      <w:sz w:val="18"/>
                      <w:highlight w:val="yellow"/>
                    </w:rPr>
                    <w:t xml:space="preserve">and </w:t>
                  </w:r>
                  <w:r>
                    <w:rPr>
                      <w:sz w:val="18"/>
                      <w:highlight w:val="yellow"/>
                    </w:rPr>
                    <w:t xml:space="preserve">13 with significant edits. Other minor edits to </w:t>
                  </w:r>
                  <w:r w:rsidR="000A333D">
                    <w:rPr>
                      <w:sz w:val="18"/>
                      <w:highlight w:val="yellow"/>
                    </w:rPr>
                    <w:t xml:space="preserve">improve readability and </w:t>
                  </w:r>
                  <w:r>
                    <w:rPr>
                      <w:sz w:val="18"/>
                      <w:highlight w:val="yellow"/>
                    </w:rPr>
                    <w:t xml:space="preserve">update </w:t>
                  </w:r>
                  <w:r w:rsidR="00F57F7D">
                    <w:rPr>
                      <w:sz w:val="18"/>
                      <w:highlight w:val="yellow"/>
                    </w:rPr>
                    <w:t>hyperlinks and references.</w:t>
                  </w:r>
                </w:p>
                <w:p w14:paraId="4C87FF27" w14:textId="561F61EF" w:rsidR="00686D58" w:rsidRPr="0081450D" w:rsidRDefault="00085D60" w:rsidP="00686D58">
                  <w:pPr>
                    <w:pStyle w:val="DHHSbody"/>
                    <w:rPr>
                      <w:sz w:val="18"/>
                      <w:highlight w:val="yellow"/>
                    </w:rPr>
                  </w:pPr>
                  <w:r>
                    <w:rPr>
                      <w:sz w:val="18"/>
                      <w:highlight w:val="yellow"/>
                    </w:rPr>
                    <w:t xml:space="preserve">Removal </w:t>
                  </w:r>
                  <w:r w:rsidR="00177264">
                    <w:rPr>
                      <w:sz w:val="18"/>
                      <w:highlight w:val="yellow"/>
                    </w:rPr>
                    <w:t>of</w:t>
                  </w:r>
                  <w:r w:rsidR="00686D58" w:rsidRPr="0081450D">
                    <w:rPr>
                      <w:sz w:val="18"/>
                      <w:highlight w:val="yellow"/>
                    </w:rPr>
                    <w:t xml:space="preserve"> </w:t>
                  </w:r>
                  <w:r w:rsidR="0051125A">
                    <w:rPr>
                      <w:sz w:val="18"/>
                      <w:highlight w:val="yellow"/>
                    </w:rPr>
                    <w:t>a</w:t>
                  </w:r>
                  <w:r w:rsidR="00686D58" w:rsidRPr="0081450D">
                    <w:rPr>
                      <w:sz w:val="18"/>
                      <w:highlight w:val="yellow"/>
                    </w:rPr>
                    <w:t>ttachment 1 templates.</w:t>
                  </w:r>
                  <w:r w:rsidR="00D4148D">
                    <w:rPr>
                      <w:sz w:val="18"/>
                      <w:highlight w:val="yellow"/>
                    </w:rPr>
                    <w:t xml:space="preserve"> </w:t>
                  </w:r>
                  <w:r w:rsidR="00155FD0">
                    <w:rPr>
                      <w:sz w:val="18"/>
                      <w:highlight w:val="yellow"/>
                    </w:rPr>
                    <w:t xml:space="preserve">Please contact </w:t>
                  </w:r>
                  <w:hyperlink r:id="rId24" w:history="1">
                    <w:r w:rsidR="00155FD0" w:rsidRPr="00F13C63">
                      <w:rPr>
                        <w:rStyle w:val="Hyperlink"/>
                        <w:sz w:val="18"/>
                        <w:highlight w:val="yellow"/>
                      </w:rPr>
                      <w:t>immunisation@health.vic.gov.au</w:t>
                    </w:r>
                  </w:hyperlink>
                  <w:r w:rsidR="00155FD0">
                    <w:rPr>
                      <w:sz w:val="18"/>
                      <w:highlight w:val="yellow"/>
                    </w:rPr>
                    <w:t xml:space="preserve"> </w:t>
                  </w:r>
                  <w:r w:rsidR="00290AEC">
                    <w:rPr>
                      <w:sz w:val="18"/>
                      <w:highlight w:val="yellow"/>
                    </w:rPr>
                    <w:t>if you require</w:t>
                  </w:r>
                  <w:r w:rsidR="00155FD0">
                    <w:rPr>
                      <w:sz w:val="18"/>
                      <w:highlight w:val="yellow"/>
                    </w:rPr>
                    <w:t xml:space="preserve"> a copy of these templates.</w:t>
                  </w:r>
                </w:p>
              </w:tc>
            </w:tr>
          </w:tbl>
          <w:p w14:paraId="2F1A8234" w14:textId="77777777" w:rsidR="0000567A" w:rsidRDefault="0000567A" w:rsidP="00FD4917"/>
          <w:p w14:paraId="0CD6289A" w14:textId="77777777" w:rsidR="0000567A" w:rsidRDefault="0000567A" w:rsidP="00FD4917"/>
          <w:p w14:paraId="37684048" w14:textId="2701D85D" w:rsidR="0000567A" w:rsidRPr="00DF661A" w:rsidRDefault="0000567A" w:rsidP="00FD4917"/>
        </w:tc>
      </w:tr>
      <w:tr w:rsidR="0000567A" w:rsidRPr="003072C6" w14:paraId="73B6B47A" w14:textId="77777777" w:rsidTr="0000567A">
        <w:trPr>
          <w:trHeight w:val="6336"/>
        </w:trPr>
        <w:tc>
          <w:tcPr>
            <w:tcW w:w="9298" w:type="dxa"/>
            <w:vAlign w:val="bottom"/>
          </w:tcPr>
          <w:p w14:paraId="2E79EF46" w14:textId="0CFCE378" w:rsidR="0000567A" w:rsidRPr="00605B5B" w:rsidRDefault="0000567A" w:rsidP="00FD4917">
            <w:pPr>
              <w:spacing w:after="200" w:line="300" w:lineRule="atLeast"/>
              <w:rPr>
                <w:rFonts w:ascii="Arial" w:eastAsia="Times" w:hAnsi="Arial"/>
                <w:sz w:val="24"/>
                <w:szCs w:val="19"/>
              </w:rPr>
            </w:pPr>
            <w:r w:rsidRPr="00605B5B">
              <w:rPr>
                <w:rFonts w:ascii="Arial" w:eastAsia="Times" w:hAnsi="Arial"/>
                <w:sz w:val="24"/>
                <w:szCs w:val="19"/>
              </w:rPr>
              <w:lastRenderedPageBreak/>
              <w:t>To receive this publication in an accessible format</w:t>
            </w:r>
            <w:r>
              <w:rPr>
                <w:rFonts w:ascii="Arial" w:eastAsia="Times" w:hAnsi="Arial"/>
                <w:sz w:val="24"/>
                <w:szCs w:val="19"/>
              </w:rPr>
              <w:t>,</w:t>
            </w:r>
            <w:r w:rsidRPr="00605B5B">
              <w:rPr>
                <w:rFonts w:ascii="Arial" w:eastAsia="Times" w:hAnsi="Arial"/>
                <w:sz w:val="24"/>
                <w:szCs w:val="19"/>
              </w:rPr>
              <w:t xml:space="preserve"> </w:t>
            </w:r>
            <w:r w:rsidRPr="00885740">
              <w:rPr>
                <w:rFonts w:ascii="Arial" w:eastAsia="Times" w:hAnsi="Arial" w:cs="Arial"/>
                <w:sz w:val="24"/>
                <w:szCs w:val="24"/>
              </w:rPr>
              <w:t xml:space="preserve">phone </w:t>
            </w:r>
            <w:r w:rsidRPr="00885740">
              <w:rPr>
                <w:rFonts w:ascii="Arial" w:hAnsi="Arial" w:cs="Arial"/>
                <w:sz w:val="24"/>
                <w:szCs w:val="24"/>
                <w:shd w:val="clear" w:color="auto" w:fill="FFFFFF"/>
              </w:rPr>
              <w:t>1300 882 008</w:t>
            </w:r>
            <w:r w:rsidRPr="00885740">
              <w:rPr>
                <w:rFonts w:ascii="Arial" w:eastAsia="Times" w:hAnsi="Arial"/>
                <w:sz w:val="24"/>
                <w:szCs w:val="19"/>
              </w:rPr>
              <w:t>, using the National Relay Service 13 36 77 if required, or email immunisation@</w:t>
            </w:r>
            <w:r w:rsidR="000D6F8D">
              <w:rPr>
                <w:rFonts w:ascii="Arial" w:eastAsia="Times" w:hAnsi="Arial"/>
                <w:sz w:val="24"/>
                <w:szCs w:val="19"/>
              </w:rPr>
              <w:t>health</w:t>
            </w:r>
            <w:r w:rsidRPr="00885740">
              <w:rPr>
                <w:rFonts w:ascii="Arial" w:eastAsia="Times" w:hAnsi="Arial"/>
                <w:sz w:val="24"/>
                <w:szCs w:val="19"/>
              </w:rPr>
              <w:t>.vic.gov.au</w:t>
            </w:r>
          </w:p>
          <w:p w14:paraId="16DD1D89" w14:textId="77777777" w:rsidR="0000567A" w:rsidRPr="00605B5B" w:rsidRDefault="0000567A" w:rsidP="00FD4917">
            <w:pPr>
              <w:spacing w:after="120" w:line="270" w:lineRule="atLeast"/>
              <w:rPr>
                <w:rFonts w:ascii="Arial" w:eastAsia="Times" w:hAnsi="Arial"/>
              </w:rPr>
            </w:pPr>
            <w:r w:rsidRPr="00605B5B">
              <w:rPr>
                <w:rFonts w:ascii="Arial" w:eastAsia="Times" w:hAnsi="Arial"/>
              </w:rPr>
              <w:t>Authorised and published by the Victorian Governmen</w:t>
            </w:r>
            <w:r>
              <w:rPr>
                <w:rFonts w:ascii="Arial" w:eastAsia="Times" w:hAnsi="Arial"/>
              </w:rPr>
              <w:t>t, 1 Treasury Place, Melbourne.</w:t>
            </w:r>
          </w:p>
          <w:p w14:paraId="3BC2C0B9" w14:textId="64E1A80F" w:rsidR="0000567A" w:rsidRPr="00605B5B" w:rsidRDefault="0000567A" w:rsidP="00FD4917">
            <w:pPr>
              <w:spacing w:after="120" w:line="270" w:lineRule="atLeast"/>
              <w:rPr>
                <w:rFonts w:ascii="Arial" w:eastAsia="Times" w:hAnsi="Arial"/>
              </w:rPr>
            </w:pPr>
            <w:r w:rsidRPr="00605B5B">
              <w:rPr>
                <w:rFonts w:ascii="Arial" w:eastAsia="Times" w:hAnsi="Arial"/>
              </w:rPr>
              <w:t>© State of Victoria, Department of Health</w:t>
            </w:r>
            <w:r>
              <w:rPr>
                <w:rFonts w:ascii="Arial" w:eastAsia="Times" w:hAnsi="Arial"/>
              </w:rPr>
              <w:t>,</w:t>
            </w:r>
            <w:r w:rsidRPr="00885740">
              <w:rPr>
                <w:rFonts w:ascii="Arial" w:eastAsia="Times" w:hAnsi="Arial"/>
              </w:rPr>
              <w:t xml:space="preserve"> </w:t>
            </w:r>
            <w:r w:rsidR="000D6F8D">
              <w:rPr>
                <w:rFonts w:ascii="Arial" w:eastAsia="Times" w:hAnsi="Arial"/>
                <w:highlight w:val="yellow"/>
              </w:rPr>
              <w:t>3 October</w:t>
            </w:r>
            <w:r w:rsidRPr="00FE1740">
              <w:rPr>
                <w:rFonts w:ascii="Arial" w:eastAsia="Times" w:hAnsi="Arial"/>
                <w:highlight w:val="yellow"/>
              </w:rPr>
              <w:t xml:space="preserve"> 2022.</w:t>
            </w:r>
          </w:p>
          <w:p w14:paraId="39685CA3" w14:textId="184C262F" w:rsidR="0000567A" w:rsidRPr="003072C6" w:rsidRDefault="0000567A" w:rsidP="00FD4917">
            <w:pPr>
              <w:spacing w:after="120" w:line="270" w:lineRule="atLeast"/>
            </w:pPr>
            <w:r w:rsidRPr="00AF24AD">
              <w:rPr>
                <w:rFonts w:ascii="Arial" w:eastAsia="Times" w:hAnsi="Arial"/>
                <w:szCs w:val="19"/>
              </w:rPr>
              <w:t xml:space="preserve">Available at </w:t>
            </w:r>
            <w:r w:rsidR="00480EBD" w:rsidRPr="00BB0AA1">
              <w:rPr>
                <w:rFonts w:ascii="Arial" w:hAnsi="Arial" w:cs="Arial"/>
              </w:rPr>
              <w:t>https://www.health.vic.gov.au/public-health/immunisation</w:t>
            </w:r>
            <w:r w:rsidR="00480EBD">
              <w:rPr>
                <w:rFonts w:ascii="Arial" w:eastAsia="Times" w:hAnsi="Arial"/>
              </w:rPr>
              <w:t xml:space="preserve"> </w:t>
            </w:r>
          </w:p>
        </w:tc>
      </w:tr>
      <w:tr w:rsidR="0000567A" w:rsidRPr="003072C6" w14:paraId="1F2454DE" w14:textId="77777777" w:rsidTr="0000567A">
        <w:tc>
          <w:tcPr>
            <w:tcW w:w="9298" w:type="dxa"/>
            <w:vAlign w:val="bottom"/>
          </w:tcPr>
          <w:p w14:paraId="3D27787E" w14:textId="77777777" w:rsidR="0000567A" w:rsidRDefault="0000567A" w:rsidP="00FD4917">
            <w:pPr>
              <w:pStyle w:val="DHHSbody"/>
            </w:pPr>
          </w:p>
          <w:p w14:paraId="5C27B284" w14:textId="77777777" w:rsidR="0000567A" w:rsidRDefault="0000567A" w:rsidP="00FD4917">
            <w:pPr>
              <w:pStyle w:val="DHHSbody"/>
            </w:pPr>
          </w:p>
          <w:p w14:paraId="45AE7A59" w14:textId="77777777" w:rsidR="0000567A" w:rsidRDefault="0000567A" w:rsidP="00FD4917">
            <w:pPr>
              <w:pStyle w:val="DHHSbody"/>
            </w:pPr>
          </w:p>
          <w:p w14:paraId="6459118C" w14:textId="77777777" w:rsidR="0000567A" w:rsidRDefault="0000567A" w:rsidP="00FD4917">
            <w:pPr>
              <w:pStyle w:val="DHHSbody"/>
            </w:pPr>
          </w:p>
          <w:p w14:paraId="3BDA02D9" w14:textId="77777777" w:rsidR="0000567A" w:rsidRDefault="0000567A" w:rsidP="00FD4917">
            <w:pPr>
              <w:pStyle w:val="DHHSbody"/>
            </w:pPr>
          </w:p>
          <w:p w14:paraId="24F95EA5" w14:textId="77777777" w:rsidR="0000567A" w:rsidRDefault="0000567A" w:rsidP="00FD4917">
            <w:pPr>
              <w:pStyle w:val="DHHSbody"/>
            </w:pPr>
          </w:p>
          <w:p w14:paraId="4A310040" w14:textId="77777777" w:rsidR="0000567A" w:rsidRDefault="0000567A" w:rsidP="00FD4917">
            <w:pPr>
              <w:pStyle w:val="DHHSbody"/>
            </w:pPr>
          </w:p>
          <w:p w14:paraId="33F7D6B8" w14:textId="77777777" w:rsidR="0000567A" w:rsidRDefault="0000567A" w:rsidP="00FD4917">
            <w:pPr>
              <w:pStyle w:val="DHHSbody"/>
            </w:pPr>
          </w:p>
          <w:p w14:paraId="67CFA020" w14:textId="77777777" w:rsidR="0000567A" w:rsidRDefault="0000567A" w:rsidP="00FD4917">
            <w:pPr>
              <w:pStyle w:val="DHHSbody"/>
            </w:pPr>
          </w:p>
          <w:p w14:paraId="3E070B6A" w14:textId="77777777" w:rsidR="0000567A" w:rsidRDefault="0000567A" w:rsidP="00FD4917">
            <w:pPr>
              <w:pStyle w:val="DHHSbody"/>
            </w:pPr>
          </w:p>
          <w:p w14:paraId="544CD4AD" w14:textId="77777777" w:rsidR="0000567A" w:rsidRDefault="0000567A" w:rsidP="00FD4917">
            <w:pPr>
              <w:pStyle w:val="DHHSbody"/>
            </w:pPr>
          </w:p>
          <w:p w14:paraId="4EC80FFD" w14:textId="77777777" w:rsidR="0000567A" w:rsidRDefault="0000567A" w:rsidP="00FD4917">
            <w:pPr>
              <w:pStyle w:val="DHHSbody"/>
            </w:pPr>
          </w:p>
          <w:p w14:paraId="449676B7" w14:textId="77777777" w:rsidR="0000567A" w:rsidRDefault="0000567A" w:rsidP="00FD4917">
            <w:pPr>
              <w:pStyle w:val="DHHSbody"/>
            </w:pPr>
          </w:p>
          <w:p w14:paraId="6CBB2B52" w14:textId="77777777" w:rsidR="0000567A" w:rsidRDefault="0000567A" w:rsidP="00FD4917">
            <w:pPr>
              <w:pStyle w:val="DHHSbody"/>
            </w:pPr>
          </w:p>
          <w:p w14:paraId="545707C4" w14:textId="77777777" w:rsidR="0000567A" w:rsidRDefault="0000567A" w:rsidP="00FD4917">
            <w:pPr>
              <w:pStyle w:val="DHHSbody"/>
            </w:pPr>
          </w:p>
          <w:p w14:paraId="6EA593D0" w14:textId="77777777" w:rsidR="0000567A" w:rsidRDefault="0000567A" w:rsidP="00FD4917">
            <w:pPr>
              <w:pStyle w:val="DHHSbody"/>
            </w:pPr>
          </w:p>
          <w:p w14:paraId="51B7EB31" w14:textId="77777777" w:rsidR="0000567A" w:rsidRDefault="0000567A" w:rsidP="00FD4917">
            <w:pPr>
              <w:pStyle w:val="DHHSbody"/>
            </w:pPr>
          </w:p>
          <w:p w14:paraId="3662E3DD" w14:textId="77777777" w:rsidR="0000567A" w:rsidRDefault="0000567A" w:rsidP="00FD4917">
            <w:pPr>
              <w:pStyle w:val="DHHSbody"/>
            </w:pPr>
          </w:p>
          <w:p w14:paraId="608AC7E4" w14:textId="77777777" w:rsidR="0000567A" w:rsidRDefault="0000567A" w:rsidP="00FD4917">
            <w:pPr>
              <w:pStyle w:val="DHHSbody"/>
            </w:pPr>
          </w:p>
          <w:p w14:paraId="30BCC468" w14:textId="77777777" w:rsidR="0000567A" w:rsidRDefault="0000567A" w:rsidP="00FD4917">
            <w:pPr>
              <w:pStyle w:val="DHHSbody"/>
            </w:pPr>
          </w:p>
          <w:p w14:paraId="07F1528D" w14:textId="77777777" w:rsidR="0000567A" w:rsidRDefault="0000567A" w:rsidP="00FD4917">
            <w:pPr>
              <w:pStyle w:val="DHHSbody"/>
            </w:pPr>
          </w:p>
          <w:p w14:paraId="43368F4D" w14:textId="54C796CE" w:rsidR="0000567A" w:rsidRPr="003072C6" w:rsidRDefault="0000567A" w:rsidP="00FD4917">
            <w:pPr>
              <w:pStyle w:val="DHHSbody"/>
            </w:pPr>
          </w:p>
        </w:tc>
      </w:tr>
    </w:tbl>
    <w:p w14:paraId="4FD87E99" w14:textId="77777777" w:rsidR="0000567A" w:rsidRPr="0000567A" w:rsidRDefault="0000567A" w:rsidP="0000567A">
      <w:pPr>
        <w:pStyle w:val="DHHSTOCheadingreport"/>
        <w:ind w:left="0" w:firstLine="0"/>
        <w:rPr>
          <w:rFonts w:cs="Arial"/>
        </w:rPr>
      </w:pPr>
      <w:bookmarkStart w:id="2" w:name="_Hlk103867609"/>
      <w:bookmarkStart w:id="3" w:name="_Hlk103867768"/>
      <w:r w:rsidRPr="0000567A">
        <w:rPr>
          <w:rFonts w:cs="Arial"/>
        </w:rPr>
        <w:lastRenderedPageBreak/>
        <w:t>Contents</w:t>
      </w:r>
    </w:p>
    <w:p w14:paraId="1E0CFB95" w14:textId="46F644D6" w:rsidR="00CD5E1C" w:rsidRPr="00CD5E1C" w:rsidRDefault="0000567A">
      <w:pPr>
        <w:pStyle w:val="TOC1"/>
        <w:tabs>
          <w:tab w:val="left" w:pos="567"/>
        </w:tabs>
        <w:rPr>
          <w:rFonts w:ascii="Arial" w:eastAsiaTheme="minorEastAsia" w:hAnsi="Arial" w:cs="Arial"/>
          <w:b w:val="0"/>
          <w:sz w:val="22"/>
          <w:szCs w:val="22"/>
          <w:lang w:eastAsia="en-AU"/>
        </w:rPr>
      </w:pPr>
      <w:r w:rsidRPr="00D34C1F">
        <w:rPr>
          <w:rFonts w:ascii="Arial" w:hAnsi="Arial" w:cs="Arial"/>
          <w:noProof w:val="0"/>
          <w:sz w:val="18"/>
          <w:szCs w:val="18"/>
        </w:rPr>
        <w:fldChar w:fldCharType="begin"/>
      </w:r>
      <w:r w:rsidRPr="00D34C1F">
        <w:rPr>
          <w:rFonts w:ascii="Arial" w:hAnsi="Arial" w:cs="Arial"/>
          <w:noProof w:val="0"/>
          <w:sz w:val="18"/>
          <w:szCs w:val="18"/>
        </w:rPr>
        <w:instrText xml:space="preserve"> TOC \h \z \t "Heading 1,1,Heading 2,2" </w:instrText>
      </w:r>
      <w:r w:rsidRPr="00D34C1F">
        <w:rPr>
          <w:rFonts w:ascii="Arial" w:hAnsi="Arial" w:cs="Arial"/>
          <w:noProof w:val="0"/>
          <w:sz w:val="18"/>
          <w:szCs w:val="18"/>
        </w:rPr>
        <w:fldChar w:fldCharType="separate"/>
      </w:r>
      <w:hyperlink w:anchor="_Toc115426467" w:history="1">
        <w:r w:rsidR="00CD5E1C" w:rsidRPr="00CD5E1C">
          <w:rPr>
            <w:rStyle w:val="Hyperlink"/>
            <w:rFonts w:ascii="Arial" w:hAnsi="Arial" w:cs="Arial"/>
            <w:highlight w:val="yellow"/>
          </w:rPr>
          <w:t>1.</w:t>
        </w:r>
        <w:r w:rsidR="00CD5E1C" w:rsidRPr="00CD5E1C">
          <w:rPr>
            <w:rFonts w:ascii="Arial" w:eastAsiaTheme="minorEastAsia" w:hAnsi="Arial" w:cs="Arial"/>
            <w:b w:val="0"/>
            <w:sz w:val="22"/>
            <w:szCs w:val="22"/>
            <w:lang w:eastAsia="en-AU"/>
          </w:rPr>
          <w:tab/>
        </w:r>
        <w:r w:rsidR="00CD5E1C" w:rsidRPr="00CD5E1C">
          <w:rPr>
            <w:rStyle w:val="Hyperlink"/>
            <w:rFonts w:ascii="Arial" w:hAnsi="Arial" w:cs="Arial"/>
            <w:highlight w:val="yellow"/>
          </w:rPr>
          <w:t>Introduction</w:t>
        </w:r>
        <w:r w:rsidR="00CD5E1C" w:rsidRPr="00CD5E1C">
          <w:rPr>
            <w:rFonts w:ascii="Arial" w:hAnsi="Arial" w:cs="Arial"/>
            <w:webHidden/>
          </w:rPr>
          <w:tab/>
        </w:r>
        <w:r w:rsidR="00CD5E1C" w:rsidRPr="00CD5E1C">
          <w:rPr>
            <w:rFonts w:ascii="Arial" w:hAnsi="Arial" w:cs="Arial"/>
            <w:webHidden/>
          </w:rPr>
          <w:fldChar w:fldCharType="begin"/>
        </w:r>
        <w:r w:rsidR="00CD5E1C" w:rsidRPr="00CD5E1C">
          <w:rPr>
            <w:rFonts w:ascii="Arial" w:hAnsi="Arial" w:cs="Arial"/>
            <w:webHidden/>
          </w:rPr>
          <w:instrText xml:space="preserve"> PAGEREF _Toc115426467 \h </w:instrText>
        </w:r>
        <w:r w:rsidR="00CD5E1C" w:rsidRPr="00CD5E1C">
          <w:rPr>
            <w:rFonts w:ascii="Arial" w:hAnsi="Arial" w:cs="Arial"/>
            <w:webHidden/>
          </w:rPr>
        </w:r>
        <w:r w:rsidR="00CD5E1C" w:rsidRPr="00CD5E1C">
          <w:rPr>
            <w:rFonts w:ascii="Arial" w:hAnsi="Arial" w:cs="Arial"/>
            <w:webHidden/>
          </w:rPr>
          <w:fldChar w:fldCharType="separate"/>
        </w:r>
        <w:r w:rsidR="00CD5E1C" w:rsidRPr="00CD5E1C">
          <w:rPr>
            <w:rFonts w:ascii="Arial" w:hAnsi="Arial" w:cs="Arial"/>
            <w:webHidden/>
          </w:rPr>
          <w:t>7</w:t>
        </w:r>
        <w:r w:rsidR="00CD5E1C" w:rsidRPr="00CD5E1C">
          <w:rPr>
            <w:rFonts w:ascii="Arial" w:hAnsi="Arial" w:cs="Arial"/>
            <w:webHidden/>
          </w:rPr>
          <w:fldChar w:fldCharType="end"/>
        </w:r>
      </w:hyperlink>
    </w:p>
    <w:p w14:paraId="731C461D" w14:textId="7B1C9336" w:rsidR="00CD5E1C" w:rsidRPr="00CD5E1C" w:rsidRDefault="007071D0">
      <w:pPr>
        <w:pStyle w:val="TOC1"/>
        <w:tabs>
          <w:tab w:val="left" w:pos="567"/>
        </w:tabs>
        <w:rPr>
          <w:rFonts w:ascii="Arial" w:eastAsiaTheme="minorEastAsia" w:hAnsi="Arial" w:cs="Arial"/>
          <w:b w:val="0"/>
          <w:sz w:val="22"/>
          <w:szCs w:val="22"/>
          <w:lang w:eastAsia="en-AU"/>
        </w:rPr>
      </w:pPr>
      <w:hyperlink w:anchor="_Toc115426468" w:history="1">
        <w:r w:rsidR="00CD5E1C" w:rsidRPr="00CD5E1C">
          <w:rPr>
            <w:rStyle w:val="Hyperlink"/>
            <w:rFonts w:ascii="Arial" w:hAnsi="Arial" w:cs="Arial"/>
          </w:rPr>
          <w:t>2.</w:t>
        </w:r>
        <w:r w:rsidR="00CD5E1C" w:rsidRPr="00CD5E1C">
          <w:rPr>
            <w:rFonts w:ascii="Arial" w:eastAsiaTheme="minorEastAsia" w:hAnsi="Arial" w:cs="Arial"/>
            <w:b w:val="0"/>
            <w:sz w:val="22"/>
            <w:szCs w:val="22"/>
            <w:lang w:eastAsia="en-AU"/>
          </w:rPr>
          <w:tab/>
        </w:r>
        <w:r w:rsidR="00CD5E1C" w:rsidRPr="00CD5E1C">
          <w:rPr>
            <w:rStyle w:val="Hyperlink"/>
            <w:rFonts w:ascii="Arial" w:hAnsi="Arial" w:cs="Arial"/>
          </w:rPr>
          <w:t>Regulations</w:t>
        </w:r>
        <w:r w:rsidR="00CD5E1C" w:rsidRPr="00CD5E1C">
          <w:rPr>
            <w:rFonts w:ascii="Arial" w:hAnsi="Arial" w:cs="Arial"/>
            <w:webHidden/>
          </w:rPr>
          <w:tab/>
        </w:r>
        <w:r w:rsidR="00CD5E1C" w:rsidRPr="00CD5E1C">
          <w:rPr>
            <w:rFonts w:ascii="Arial" w:hAnsi="Arial" w:cs="Arial"/>
            <w:webHidden/>
          </w:rPr>
          <w:fldChar w:fldCharType="begin"/>
        </w:r>
        <w:r w:rsidR="00CD5E1C" w:rsidRPr="00CD5E1C">
          <w:rPr>
            <w:rFonts w:ascii="Arial" w:hAnsi="Arial" w:cs="Arial"/>
            <w:webHidden/>
          </w:rPr>
          <w:instrText xml:space="preserve"> PAGEREF _Toc115426468 \h </w:instrText>
        </w:r>
        <w:r w:rsidR="00CD5E1C" w:rsidRPr="00CD5E1C">
          <w:rPr>
            <w:rFonts w:ascii="Arial" w:hAnsi="Arial" w:cs="Arial"/>
            <w:webHidden/>
          </w:rPr>
        </w:r>
        <w:r w:rsidR="00CD5E1C" w:rsidRPr="00CD5E1C">
          <w:rPr>
            <w:rFonts w:ascii="Arial" w:hAnsi="Arial" w:cs="Arial"/>
            <w:webHidden/>
          </w:rPr>
          <w:fldChar w:fldCharType="separate"/>
        </w:r>
        <w:r w:rsidR="00CD5E1C" w:rsidRPr="00CD5E1C">
          <w:rPr>
            <w:rFonts w:ascii="Arial" w:hAnsi="Arial" w:cs="Arial"/>
            <w:webHidden/>
          </w:rPr>
          <w:t>9</w:t>
        </w:r>
        <w:r w:rsidR="00CD5E1C" w:rsidRPr="00CD5E1C">
          <w:rPr>
            <w:rFonts w:ascii="Arial" w:hAnsi="Arial" w:cs="Arial"/>
            <w:webHidden/>
          </w:rPr>
          <w:fldChar w:fldCharType="end"/>
        </w:r>
      </w:hyperlink>
    </w:p>
    <w:p w14:paraId="1EBAAF36" w14:textId="6CF4F80E" w:rsidR="00CD5E1C" w:rsidRPr="00CD5E1C" w:rsidRDefault="007071D0">
      <w:pPr>
        <w:pStyle w:val="TOC1"/>
        <w:tabs>
          <w:tab w:val="left" w:pos="567"/>
        </w:tabs>
        <w:rPr>
          <w:rFonts w:ascii="Arial" w:eastAsiaTheme="minorEastAsia" w:hAnsi="Arial" w:cs="Arial"/>
          <w:b w:val="0"/>
          <w:sz w:val="22"/>
          <w:szCs w:val="22"/>
          <w:lang w:eastAsia="en-AU"/>
        </w:rPr>
      </w:pPr>
      <w:hyperlink w:anchor="_Toc115426469" w:history="1">
        <w:r w:rsidR="00CD5E1C" w:rsidRPr="00CD5E1C">
          <w:rPr>
            <w:rStyle w:val="Hyperlink"/>
            <w:rFonts w:ascii="Arial" w:hAnsi="Arial" w:cs="Arial"/>
          </w:rPr>
          <w:t>3.</w:t>
        </w:r>
        <w:r w:rsidR="00CD5E1C" w:rsidRPr="00CD5E1C">
          <w:rPr>
            <w:rFonts w:ascii="Arial" w:eastAsiaTheme="minorEastAsia" w:hAnsi="Arial" w:cs="Arial"/>
            <w:b w:val="0"/>
            <w:sz w:val="22"/>
            <w:szCs w:val="22"/>
            <w:lang w:eastAsia="en-AU"/>
          </w:rPr>
          <w:tab/>
        </w:r>
        <w:r w:rsidR="00CD5E1C" w:rsidRPr="00CD5E1C">
          <w:rPr>
            <w:rStyle w:val="Hyperlink"/>
            <w:rFonts w:ascii="Arial" w:hAnsi="Arial" w:cs="Arial"/>
          </w:rPr>
          <w:t>Approval</w:t>
        </w:r>
        <w:r w:rsidR="00CD5E1C" w:rsidRPr="00CD5E1C">
          <w:rPr>
            <w:rFonts w:ascii="Arial" w:hAnsi="Arial" w:cs="Arial"/>
            <w:webHidden/>
          </w:rPr>
          <w:tab/>
        </w:r>
        <w:r w:rsidR="00CD5E1C" w:rsidRPr="00CD5E1C">
          <w:rPr>
            <w:rFonts w:ascii="Arial" w:hAnsi="Arial" w:cs="Arial"/>
            <w:webHidden/>
          </w:rPr>
          <w:fldChar w:fldCharType="begin"/>
        </w:r>
        <w:r w:rsidR="00CD5E1C" w:rsidRPr="00CD5E1C">
          <w:rPr>
            <w:rFonts w:ascii="Arial" w:hAnsi="Arial" w:cs="Arial"/>
            <w:webHidden/>
          </w:rPr>
          <w:instrText xml:space="preserve"> PAGEREF _Toc115426469 \h </w:instrText>
        </w:r>
        <w:r w:rsidR="00CD5E1C" w:rsidRPr="00CD5E1C">
          <w:rPr>
            <w:rFonts w:ascii="Arial" w:hAnsi="Arial" w:cs="Arial"/>
            <w:webHidden/>
          </w:rPr>
        </w:r>
        <w:r w:rsidR="00CD5E1C" w:rsidRPr="00CD5E1C">
          <w:rPr>
            <w:rFonts w:ascii="Arial" w:hAnsi="Arial" w:cs="Arial"/>
            <w:webHidden/>
          </w:rPr>
          <w:fldChar w:fldCharType="separate"/>
        </w:r>
        <w:r w:rsidR="00CD5E1C" w:rsidRPr="00CD5E1C">
          <w:rPr>
            <w:rFonts w:ascii="Arial" w:hAnsi="Arial" w:cs="Arial"/>
            <w:webHidden/>
          </w:rPr>
          <w:t>9</w:t>
        </w:r>
        <w:r w:rsidR="00CD5E1C" w:rsidRPr="00CD5E1C">
          <w:rPr>
            <w:rFonts w:ascii="Arial" w:hAnsi="Arial" w:cs="Arial"/>
            <w:webHidden/>
          </w:rPr>
          <w:fldChar w:fldCharType="end"/>
        </w:r>
      </w:hyperlink>
    </w:p>
    <w:p w14:paraId="7AE07B03" w14:textId="4C94646F" w:rsidR="00CD5E1C" w:rsidRPr="00CD5E1C" w:rsidRDefault="007071D0">
      <w:pPr>
        <w:pStyle w:val="TOC1"/>
        <w:tabs>
          <w:tab w:val="left" w:pos="567"/>
        </w:tabs>
        <w:rPr>
          <w:rFonts w:ascii="Arial" w:eastAsiaTheme="minorEastAsia" w:hAnsi="Arial" w:cs="Arial"/>
          <w:b w:val="0"/>
          <w:sz w:val="22"/>
          <w:szCs w:val="22"/>
          <w:lang w:eastAsia="en-AU"/>
        </w:rPr>
      </w:pPr>
      <w:hyperlink w:anchor="_Toc115426470" w:history="1">
        <w:r w:rsidR="00CD5E1C" w:rsidRPr="00CD5E1C">
          <w:rPr>
            <w:rStyle w:val="Hyperlink"/>
            <w:rFonts w:ascii="Arial" w:hAnsi="Arial" w:cs="Arial"/>
            <w:highlight w:val="yellow"/>
          </w:rPr>
          <w:t>4.</w:t>
        </w:r>
        <w:r w:rsidR="00CD5E1C" w:rsidRPr="00CD5E1C">
          <w:rPr>
            <w:rFonts w:ascii="Arial" w:eastAsiaTheme="minorEastAsia" w:hAnsi="Arial" w:cs="Arial"/>
            <w:b w:val="0"/>
            <w:sz w:val="22"/>
            <w:szCs w:val="22"/>
            <w:lang w:eastAsia="en-AU"/>
          </w:rPr>
          <w:tab/>
        </w:r>
        <w:r w:rsidR="00CD5E1C" w:rsidRPr="00CD5E1C">
          <w:rPr>
            <w:rStyle w:val="Hyperlink"/>
            <w:rFonts w:ascii="Arial" w:hAnsi="Arial" w:cs="Arial"/>
            <w:highlight w:val="yellow"/>
          </w:rPr>
          <w:t>Pharmacist Immunisers and Service Providers</w:t>
        </w:r>
        <w:r w:rsidR="00CD5E1C" w:rsidRPr="00CD5E1C">
          <w:rPr>
            <w:rFonts w:ascii="Arial" w:hAnsi="Arial" w:cs="Arial"/>
            <w:webHidden/>
          </w:rPr>
          <w:tab/>
        </w:r>
        <w:r w:rsidR="00CD5E1C" w:rsidRPr="00CD5E1C">
          <w:rPr>
            <w:rFonts w:ascii="Arial" w:hAnsi="Arial" w:cs="Arial"/>
            <w:webHidden/>
          </w:rPr>
          <w:fldChar w:fldCharType="begin"/>
        </w:r>
        <w:r w:rsidR="00CD5E1C" w:rsidRPr="00CD5E1C">
          <w:rPr>
            <w:rFonts w:ascii="Arial" w:hAnsi="Arial" w:cs="Arial"/>
            <w:webHidden/>
          </w:rPr>
          <w:instrText xml:space="preserve"> PAGEREF _Toc115426470 \h </w:instrText>
        </w:r>
        <w:r w:rsidR="00CD5E1C" w:rsidRPr="00CD5E1C">
          <w:rPr>
            <w:rFonts w:ascii="Arial" w:hAnsi="Arial" w:cs="Arial"/>
            <w:webHidden/>
          </w:rPr>
        </w:r>
        <w:r w:rsidR="00CD5E1C" w:rsidRPr="00CD5E1C">
          <w:rPr>
            <w:rFonts w:ascii="Arial" w:hAnsi="Arial" w:cs="Arial"/>
            <w:webHidden/>
          </w:rPr>
          <w:fldChar w:fldCharType="separate"/>
        </w:r>
        <w:r w:rsidR="00CD5E1C" w:rsidRPr="00CD5E1C">
          <w:rPr>
            <w:rFonts w:ascii="Arial" w:hAnsi="Arial" w:cs="Arial"/>
            <w:webHidden/>
          </w:rPr>
          <w:t>10</w:t>
        </w:r>
        <w:r w:rsidR="00CD5E1C" w:rsidRPr="00CD5E1C">
          <w:rPr>
            <w:rFonts w:ascii="Arial" w:hAnsi="Arial" w:cs="Arial"/>
            <w:webHidden/>
          </w:rPr>
          <w:fldChar w:fldCharType="end"/>
        </w:r>
      </w:hyperlink>
    </w:p>
    <w:p w14:paraId="10DC1E79" w14:textId="4F64E9D3" w:rsidR="00CD5E1C" w:rsidRPr="00CD5E1C" w:rsidRDefault="007071D0">
      <w:pPr>
        <w:pStyle w:val="TOC1"/>
        <w:tabs>
          <w:tab w:val="left" w:pos="567"/>
        </w:tabs>
        <w:rPr>
          <w:rFonts w:ascii="Arial" w:eastAsiaTheme="minorEastAsia" w:hAnsi="Arial" w:cs="Arial"/>
          <w:b w:val="0"/>
          <w:sz w:val="22"/>
          <w:szCs w:val="22"/>
          <w:lang w:eastAsia="en-AU"/>
        </w:rPr>
      </w:pPr>
      <w:hyperlink w:anchor="_Toc115426471" w:history="1">
        <w:r w:rsidR="00CD5E1C" w:rsidRPr="00CD5E1C">
          <w:rPr>
            <w:rStyle w:val="Hyperlink"/>
            <w:rFonts w:ascii="Arial" w:hAnsi="Arial" w:cs="Arial"/>
            <w:highlight w:val="yellow"/>
          </w:rPr>
          <w:t>5.</w:t>
        </w:r>
        <w:r w:rsidR="00CD5E1C" w:rsidRPr="00CD5E1C">
          <w:rPr>
            <w:rFonts w:ascii="Arial" w:eastAsiaTheme="minorEastAsia" w:hAnsi="Arial" w:cs="Arial"/>
            <w:b w:val="0"/>
            <w:sz w:val="22"/>
            <w:szCs w:val="22"/>
            <w:lang w:eastAsia="en-AU"/>
          </w:rPr>
          <w:tab/>
        </w:r>
        <w:r w:rsidR="00CD5E1C" w:rsidRPr="00CD5E1C">
          <w:rPr>
            <w:rStyle w:val="Hyperlink"/>
            <w:rFonts w:ascii="Arial" w:hAnsi="Arial" w:cs="Arial"/>
            <w:highlight w:val="yellow"/>
          </w:rPr>
          <w:t>Training</w:t>
        </w:r>
        <w:r w:rsidR="00CD5E1C" w:rsidRPr="00CD5E1C">
          <w:rPr>
            <w:rFonts w:ascii="Arial" w:hAnsi="Arial" w:cs="Arial"/>
            <w:webHidden/>
          </w:rPr>
          <w:tab/>
        </w:r>
        <w:r w:rsidR="00CD5E1C" w:rsidRPr="00CD5E1C">
          <w:rPr>
            <w:rFonts w:ascii="Arial" w:hAnsi="Arial" w:cs="Arial"/>
            <w:webHidden/>
          </w:rPr>
          <w:fldChar w:fldCharType="begin"/>
        </w:r>
        <w:r w:rsidR="00CD5E1C" w:rsidRPr="00CD5E1C">
          <w:rPr>
            <w:rFonts w:ascii="Arial" w:hAnsi="Arial" w:cs="Arial"/>
            <w:webHidden/>
          </w:rPr>
          <w:instrText xml:space="preserve"> PAGEREF _Toc115426471 \h </w:instrText>
        </w:r>
        <w:r w:rsidR="00CD5E1C" w:rsidRPr="00CD5E1C">
          <w:rPr>
            <w:rFonts w:ascii="Arial" w:hAnsi="Arial" w:cs="Arial"/>
            <w:webHidden/>
          </w:rPr>
        </w:r>
        <w:r w:rsidR="00CD5E1C" w:rsidRPr="00CD5E1C">
          <w:rPr>
            <w:rFonts w:ascii="Arial" w:hAnsi="Arial" w:cs="Arial"/>
            <w:webHidden/>
          </w:rPr>
          <w:fldChar w:fldCharType="separate"/>
        </w:r>
        <w:r w:rsidR="00CD5E1C" w:rsidRPr="00CD5E1C">
          <w:rPr>
            <w:rFonts w:ascii="Arial" w:hAnsi="Arial" w:cs="Arial"/>
            <w:webHidden/>
          </w:rPr>
          <w:t>10</w:t>
        </w:r>
        <w:r w:rsidR="00CD5E1C" w:rsidRPr="00CD5E1C">
          <w:rPr>
            <w:rFonts w:ascii="Arial" w:hAnsi="Arial" w:cs="Arial"/>
            <w:webHidden/>
          </w:rPr>
          <w:fldChar w:fldCharType="end"/>
        </w:r>
      </w:hyperlink>
    </w:p>
    <w:p w14:paraId="6789CF83" w14:textId="3D9D1940" w:rsidR="00CD5E1C" w:rsidRPr="00CD5E1C" w:rsidRDefault="007071D0">
      <w:pPr>
        <w:pStyle w:val="TOC2"/>
        <w:tabs>
          <w:tab w:val="left" w:pos="567"/>
        </w:tabs>
        <w:rPr>
          <w:rFonts w:ascii="Arial" w:eastAsiaTheme="minorEastAsia" w:hAnsi="Arial" w:cs="Arial"/>
          <w:sz w:val="22"/>
          <w:szCs w:val="22"/>
          <w:lang w:eastAsia="en-AU"/>
        </w:rPr>
      </w:pPr>
      <w:hyperlink w:anchor="_Toc115426472" w:history="1">
        <w:r w:rsidR="00CD5E1C" w:rsidRPr="00CD5E1C">
          <w:rPr>
            <w:rStyle w:val="Hyperlink"/>
            <w:rFonts w:ascii="Arial" w:hAnsi="Arial" w:cs="Arial"/>
          </w:rPr>
          <w:t>5.1</w:t>
        </w:r>
        <w:r w:rsidR="00CD5E1C" w:rsidRPr="00CD5E1C">
          <w:rPr>
            <w:rFonts w:ascii="Arial" w:eastAsiaTheme="minorEastAsia" w:hAnsi="Arial" w:cs="Arial"/>
            <w:sz w:val="22"/>
            <w:szCs w:val="22"/>
            <w:lang w:eastAsia="en-AU"/>
          </w:rPr>
          <w:tab/>
        </w:r>
        <w:r w:rsidR="00CD5E1C" w:rsidRPr="00CD5E1C">
          <w:rPr>
            <w:rStyle w:val="Hyperlink"/>
            <w:rFonts w:ascii="Arial" w:hAnsi="Arial" w:cs="Arial"/>
          </w:rPr>
          <w:t>Japanese encephalitis (JE) vaccine-specific training</w:t>
        </w:r>
        <w:r w:rsidR="00CD5E1C" w:rsidRPr="00CD5E1C">
          <w:rPr>
            <w:rFonts w:ascii="Arial" w:hAnsi="Arial" w:cs="Arial"/>
            <w:webHidden/>
          </w:rPr>
          <w:tab/>
        </w:r>
        <w:r w:rsidR="00CD5E1C" w:rsidRPr="00CD5E1C">
          <w:rPr>
            <w:rFonts w:ascii="Arial" w:hAnsi="Arial" w:cs="Arial"/>
            <w:webHidden/>
          </w:rPr>
          <w:fldChar w:fldCharType="begin"/>
        </w:r>
        <w:r w:rsidR="00CD5E1C" w:rsidRPr="00CD5E1C">
          <w:rPr>
            <w:rFonts w:ascii="Arial" w:hAnsi="Arial" w:cs="Arial"/>
            <w:webHidden/>
          </w:rPr>
          <w:instrText xml:space="preserve"> PAGEREF _Toc115426472 \h </w:instrText>
        </w:r>
        <w:r w:rsidR="00CD5E1C" w:rsidRPr="00CD5E1C">
          <w:rPr>
            <w:rFonts w:ascii="Arial" w:hAnsi="Arial" w:cs="Arial"/>
            <w:webHidden/>
          </w:rPr>
        </w:r>
        <w:r w:rsidR="00CD5E1C" w:rsidRPr="00CD5E1C">
          <w:rPr>
            <w:rFonts w:ascii="Arial" w:hAnsi="Arial" w:cs="Arial"/>
            <w:webHidden/>
          </w:rPr>
          <w:fldChar w:fldCharType="separate"/>
        </w:r>
        <w:r w:rsidR="00CD5E1C" w:rsidRPr="00CD5E1C">
          <w:rPr>
            <w:rFonts w:ascii="Arial" w:hAnsi="Arial" w:cs="Arial"/>
            <w:webHidden/>
          </w:rPr>
          <w:t>11</w:t>
        </w:r>
        <w:r w:rsidR="00CD5E1C" w:rsidRPr="00CD5E1C">
          <w:rPr>
            <w:rFonts w:ascii="Arial" w:hAnsi="Arial" w:cs="Arial"/>
            <w:webHidden/>
          </w:rPr>
          <w:fldChar w:fldCharType="end"/>
        </w:r>
      </w:hyperlink>
    </w:p>
    <w:p w14:paraId="2CEAC057" w14:textId="0730B23E" w:rsidR="00CD5E1C" w:rsidRPr="00CD5E1C" w:rsidRDefault="007071D0">
      <w:pPr>
        <w:pStyle w:val="TOC2"/>
        <w:tabs>
          <w:tab w:val="left" w:pos="567"/>
        </w:tabs>
        <w:rPr>
          <w:rFonts w:ascii="Arial" w:eastAsiaTheme="minorEastAsia" w:hAnsi="Arial" w:cs="Arial"/>
          <w:sz w:val="22"/>
          <w:szCs w:val="22"/>
          <w:lang w:eastAsia="en-AU"/>
        </w:rPr>
      </w:pPr>
      <w:hyperlink w:anchor="_Toc115426473" w:history="1">
        <w:r w:rsidR="00CD5E1C" w:rsidRPr="00CD5E1C">
          <w:rPr>
            <w:rStyle w:val="Hyperlink"/>
            <w:rFonts w:ascii="Arial" w:hAnsi="Arial" w:cs="Arial"/>
            <w:highlight w:val="yellow"/>
          </w:rPr>
          <w:t>5.2</w:t>
        </w:r>
        <w:r w:rsidR="00CD5E1C" w:rsidRPr="00CD5E1C">
          <w:rPr>
            <w:rFonts w:ascii="Arial" w:eastAsiaTheme="minorEastAsia" w:hAnsi="Arial" w:cs="Arial"/>
            <w:sz w:val="22"/>
            <w:szCs w:val="22"/>
            <w:lang w:eastAsia="en-AU"/>
          </w:rPr>
          <w:tab/>
        </w:r>
        <w:r w:rsidR="00CD5E1C" w:rsidRPr="00CD5E1C">
          <w:rPr>
            <w:rStyle w:val="Hyperlink"/>
            <w:rFonts w:ascii="Arial" w:hAnsi="Arial" w:cs="Arial"/>
            <w:highlight w:val="yellow"/>
          </w:rPr>
          <w:t>Monkeypox (MPX) vaccine-specific training</w:t>
        </w:r>
        <w:r w:rsidR="00CD5E1C" w:rsidRPr="00CD5E1C">
          <w:rPr>
            <w:rFonts w:ascii="Arial" w:hAnsi="Arial" w:cs="Arial"/>
            <w:webHidden/>
          </w:rPr>
          <w:tab/>
        </w:r>
        <w:r w:rsidR="00CD5E1C" w:rsidRPr="00CD5E1C">
          <w:rPr>
            <w:rFonts w:ascii="Arial" w:hAnsi="Arial" w:cs="Arial"/>
            <w:webHidden/>
          </w:rPr>
          <w:fldChar w:fldCharType="begin"/>
        </w:r>
        <w:r w:rsidR="00CD5E1C" w:rsidRPr="00CD5E1C">
          <w:rPr>
            <w:rFonts w:ascii="Arial" w:hAnsi="Arial" w:cs="Arial"/>
            <w:webHidden/>
          </w:rPr>
          <w:instrText xml:space="preserve"> PAGEREF _Toc115426473 \h </w:instrText>
        </w:r>
        <w:r w:rsidR="00CD5E1C" w:rsidRPr="00CD5E1C">
          <w:rPr>
            <w:rFonts w:ascii="Arial" w:hAnsi="Arial" w:cs="Arial"/>
            <w:webHidden/>
          </w:rPr>
        </w:r>
        <w:r w:rsidR="00CD5E1C" w:rsidRPr="00CD5E1C">
          <w:rPr>
            <w:rFonts w:ascii="Arial" w:hAnsi="Arial" w:cs="Arial"/>
            <w:webHidden/>
          </w:rPr>
          <w:fldChar w:fldCharType="separate"/>
        </w:r>
        <w:r w:rsidR="00CD5E1C" w:rsidRPr="00CD5E1C">
          <w:rPr>
            <w:rFonts w:ascii="Arial" w:hAnsi="Arial" w:cs="Arial"/>
            <w:webHidden/>
          </w:rPr>
          <w:t>11</w:t>
        </w:r>
        <w:r w:rsidR="00CD5E1C" w:rsidRPr="00CD5E1C">
          <w:rPr>
            <w:rFonts w:ascii="Arial" w:hAnsi="Arial" w:cs="Arial"/>
            <w:webHidden/>
          </w:rPr>
          <w:fldChar w:fldCharType="end"/>
        </w:r>
      </w:hyperlink>
    </w:p>
    <w:p w14:paraId="44E184B9" w14:textId="44D7C805" w:rsidR="00CD5E1C" w:rsidRPr="00CD5E1C" w:rsidRDefault="007071D0">
      <w:pPr>
        <w:pStyle w:val="TOC2"/>
        <w:tabs>
          <w:tab w:val="left" w:pos="567"/>
        </w:tabs>
        <w:rPr>
          <w:rFonts w:ascii="Arial" w:eastAsiaTheme="minorEastAsia" w:hAnsi="Arial" w:cs="Arial"/>
          <w:sz w:val="22"/>
          <w:szCs w:val="22"/>
          <w:lang w:eastAsia="en-AU"/>
        </w:rPr>
      </w:pPr>
      <w:hyperlink w:anchor="_Toc115426474" w:history="1">
        <w:r w:rsidR="00CD5E1C" w:rsidRPr="00CD5E1C">
          <w:rPr>
            <w:rStyle w:val="Hyperlink"/>
            <w:rFonts w:ascii="Arial" w:hAnsi="Arial" w:cs="Arial"/>
          </w:rPr>
          <w:t>5.3</w:t>
        </w:r>
        <w:r w:rsidR="00CD5E1C" w:rsidRPr="00CD5E1C">
          <w:rPr>
            <w:rFonts w:ascii="Arial" w:eastAsiaTheme="minorEastAsia" w:hAnsi="Arial" w:cs="Arial"/>
            <w:sz w:val="22"/>
            <w:szCs w:val="22"/>
            <w:lang w:eastAsia="en-AU"/>
          </w:rPr>
          <w:tab/>
        </w:r>
        <w:r w:rsidR="00CD5E1C" w:rsidRPr="00CD5E1C">
          <w:rPr>
            <w:rStyle w:val="Hyperlink"/>
            <w:rFonts w:ascii="Arial" w:hAnsi="Arial" w:cs="Arial"/>
          </w:rPr>
          <w:t>Vaccinating younger cohorts</w:t>
        </w:r>
        <w:r w:rsidR="00CD5E1C" w:rsidRPr="00CD5E1C">
          <w:rPr>
            <w:rFonts w:ascii="Arial" w:hAnsi="Arial" w:cs="Arial"/>
            <w:webHidden/>
          </w:rPr>
          <w:tab/>
        </w:r>
        <w:r w:rsidR="00CD5E1C" w:rsidRPr="00CD5E1C">
          <w:rPr>
            <w:rFonts w:ascii="Arial" w:hAnsi="Arial" w:cs="Arial"/>
            <w:webHidden/>
          </w:rPr>
          <w:fldChar w:fldCharType="begin"/>
        </w:r>
        <w:r w:rsidR="00CD5E1C" w:rsidRPr="00CD5E1C">
          <w:rPr>
            <w:rFonts w:ascii="Arial" w:hAnsi="Arial" w:cs="Arial"/>
            <w:webHidden/>
          </w:rPr>
          <w:instrText xml:space="preserve"> PAGEREF _Toc115426474 \h </w:instrText>
        </w:r>
        <w:r w:rsidR="00CD5E1C" w:rsidRPr="00CD5E1C">
          <w:rPr>
            <w:rFonts w:ascii="Arial" w:hAnsi="Arial" w:cs="Arial"/>
            <w:webHidden/>
          </w:rPr>
        </w:r>
        <w:r w:rsidR="00CD5E1C" w:rsidRPr="00CD5E1C">
          <w:rPr>
            <w:rFonts w:ascii="Arial" w:hAnsi="Arial" w:cs="Arial"/>
            <w:webHidden/>
          </w:rPr>
          <w:fldChar w:fldCharType="separate"/>
        </w:r>
        <w:r w:rsidR="00CD5E1C" w:rsidRPr="00CD5E1C">
          <w:rPr>
            <w:rFonts w:ascii="Arial" w:hAnsi="Arial" w:cs="Arial"/>
            <w:webHidden/>
          </w:rPr>
          <w:t>11</w:t>
        </w:r>
        <w:r w:rsidR="00CD5E1C" w:rsidRPr="00CD5E1C">
          <w:rPr>
            <w:rFonts w:ascii="Arial" w:hAnsi="Arial" w:cs="Arial"/>
            <w:webHidden/>
          </w:rPr>
          <w:fldChar w:fldCharType="end"/>
        </w:r>
      </w:hyperlink>
    </w:p>
    <w:p w14:paraId="1AAD931D" w14:textId="287405FA" w:rsidR="00CD5E1C" w:rsidRPr="00CD5E1C" w:rsidRDefault="007071D0">
      <w:pPr>
        <w:pStyle w:val="TOC2"/>
        <w:tabs>
          <w:tab w:val="left" w:pos="567"/>
        </w:tabs>
        <w:rPr>
          <w:rFonts w:ascii="Arial" w:eastAsiaTheme="minorEastAsia" w:hAnsi="Arial" w:cs="Arial"/>
          <w:sz w:val="22"/>
          <w:szCs w:val="22"/>
          <w:lang w:eastAsia="en-AU"/>
        </w:rPr>
      </w:pPr>
      <w:hyperlink w:anchor="_Toc115426475" w:history="1">
        <w:r w:rsidR="00CD5E1C" w:rsidRPr="00CD5E1C">
          <w:rPr>
            <w:rStyle w:val="Hyperlink"/>
            <w:rFonts w:ascii="Arial" w:hAnsi="Arial" w:cs="Arial"/>
          </w:rPr>
          <w:t>5.4</w:t>
        </w:r>
        <w:r w:rsidR="00CD5E1C" w:rsidRPr="00CD5E1C">
          <w:rPr>
            <w:rFonts w:ascii="Arial" w:eastAsiaTheme="minorEastAsia" w:hAnsi="Arial" w:cs="Arial"/>
            <w:sz w:val="22"/>
            <w:szCs w:val="22"/>
            <w:lang w:eastAsia="en-AU"/>
          </w:rPr>
          <w:tab/>
        </w:r>
        <w:r w:rsidR="00CD5E1C" w:rsidRPr="00CD5E1C">
          <w:rPr>
            <w:rStyle w:val="Hyperlink"/>
            <w:rFonts w:ascii="Arial" w:hAnsi="Arial" w:cs="Arial"/>
          </w:rPr>
          <w:t>General training requirements</w:t>
        </w:r>
        <w:r w:rsidR="00CD5E1C" w:rsidRPr="00CD5E1C">
          <w:rPr>
            <w:rFonts w:ascii="Arial" w:hAnsi="Arial" w:cs="Arial"/>
            <w:webHidden/>
          </w:rPr>
          <w:tab/>
        </w:r>
        <w:r w:rsidR="00CD5E1C" w:rsidRPr="00CD5E1C">
          <w:rPr>
            <w:rFonts w:ascii="Arial" w:hAnsi="Arial" w:cs="Arial"/>
            <w:webHidden/>
          </w:rPr>
          <w:fldChar w:fldCharType="begin"/>
        </w:r>
        <w:r w:rsidR="00CD5E1C" w:rsidRPr="00CD5E1C">
          <w:rPr>
            <w:rFonts w:ascii="Arial" w:hAnsi="Arial" w:cs="Arial"/>
            <w:webHidden/>
          </w:rPr>
          <w:instrText xml:space="preserve"> PAGEREF _Toc115426475 \h </w:instrText>
        </w:r>
        <w:r w:rsidR="00CD5E1C" w:rsidRPr="00CD5E1C">
          <w:rPr>
            <w:rFonts w:ascii="Arial" w:hAnsi="Arial" w:cs="Arial"/>
            <w:webHidden/>
          </w:rPr>
        </w:r>
        <w:r w:rsidR="00CD5E1C" w:rsidRPr="00CD5E1C">
          <w:rPr>
            <w:rFonts w:ascii="Arial" w:hAnsi="Arial" w:cs="Arial"/>
            <w:webHidden/>
          </w:rPr>
          <w:fldChar w:fldCharType="separate"/>
        </w:r>
        <w:r w:rsidR="00CD5E1C" w:rsidRPr="00CD5E1C">
          <w:rPr>
            <w:rFonts w:ascii="Arial" w:hAnsi="Arial" w:cs="Arial"/>
            <w:webHidden/>
          </w:rPr>
          <w:t>12</w:t>
        </w:r>
        <w:r w:rsidR="00CD5E1C" w:rsidRPr="00CD5E1C">
          <w:rPr>
            <w:rFonts w:ascii="Arial" w:hAnsi="Arial" w:cs="Arial"/>
            <w:webHidden/>
          </w:rPr>
          <w:fldChar w:fldCharType="end"/>
        </w:r>
      </w:hyperlink>
    </w:p>
    <w:p w14:paraId="0FF17437" w14:textId="25C54155" w:rsidR="00CD5E1C" w:rsidRPr="00CD5E1C" w:rsidRDefault="007071D0">
      <w:pPr>
        <w:pStyle w:val="TOC1"/>
        <w:tabs>
          <w:tab w:val="left" w:pos="567"/>
        </w:tabs>
        <w:rPr>
          <w:rFonts w:ascii="Arial" w:eastAsiaTheme="minorEastAsia" w:hAnsi="Arial" w:cs="Arial"/>
          <w:b w:val="0"/>
          <w:sz w:val="22"/>
          <w:szCs w:val="22"/>
          <w:lang w:eastAsia="en-AU"/>
        </w:rPr>
      </w:pPr>
      <w:hyperlink w:anchor="_Toc115426476" w:history="1">
        <w:r w:rsidR="00CD5E1C" w:rsidRPr="00CD5E1C">
          <w:rPr>
            <w:rStyle w:val="Hyperlink"/>
            <w:rFonts w:ascii="Arial" w:hAnsi="Arial" w:cs="Arial"/>
          </w:rPr>
          <w:t>6.</w:t>
        </w:r>
        <w:r w:rsidR="00CD5E1C" w:rsidRPr="00CD5E1C">
          <w:rPr>
            <w:rFonts w:ascii="Arial" w:eastAsiaTheme="minorEastAsia" w:hAnsi="Arial" w:cs="Arial"/>
            <w:b w:val="0"/>
            <w:sz w:val="22"/>
            <w:szCs w:val="22"/>
            <w:lang w:eastAsia="en-AU"/>
          </w:rPr>
          <w:tab/>
        </w:r>
        <w:r w:rsidR="00CD5E1C" w:rsidRPr="00CD5E1C">
          <w:rPr>
            <w:rStyle w:val="Hyperlink"/>
            <w:rFonts w:ascii="Arial" w:hAnsi="Arial" w:cs="Arial"/>
          </w:rPr>
          <w:t>Code of conduct and professional practice standards</w:t>
        </w:r>
        <w:r w:rsidR="00CD5E1C" w:rsidRPr="00CD5E1C">
          <w:rPr>
            <w:rFonts w:ascii="Arial" w:hAnsi="Arial" w:cs="Arial"/>
            <w:webHidden/>
          </w:rPr>
          <w:tab/>
        </w:r>
        <w:r w:rsidR="00CD5E1C" w:rsidRPr="00CD5E1C">
          <w:rPr>
            <w:rFonts w:ascii="Arial" w:hAnsi="Arial" w:cs="Arial"/>
            <w:webHidden/>
          </w:rPr>
          <w:fldChar w:fldCharType="begin"/>
        </w:r>
        <w:r w:rsidR="00CD5E1C" w:rsidRPr="00CD5E1C">
          <w:rPr>
            <w:rFonts w:ascii="Arial" w:hAnsi="Arial" w:cs="Arial"/>
            <w:webHidden/>
          </w:rPr>
          <w:instrText xml:space="preserve"> PAGEREF _Toc115426476 \h </w:instrText>
        </w:r>
        <w:r w:rsidR="00CD5E1C" w:rsidRPr="00CD5E1C">
          <w:rPr>
            <w:rFonts w:ascii="Arial" w:hAnsi="Arial" w:cs="Arial"/>
            <w:webHidden/>
          </w:rPr>
        </w:r>
        <w:r w:rsidR="00CD5E1C" w:rsidRPr="00CD5E1C">
          <w:rPr>
            <w:rFonts w:ascii="Arial" w:hAnsi="Arial" w:cs="Arial"/>
            <w:webHidden/>
          </w:rPr>
          <w:fldChar w:fldCharType="separate"/>
        </w:r>
        <w:r w:rsidR="00CD5E1C" w:rsidRPr="00CD5E1C">
          <w:rPr>
            <w:rFonts w:ascii="Arial" w:hAnsi="Arial" w:cs="Arial"/>
            <w:webHidden/>
          </w:rPr>
          <w:t>13</w:t>
        </w:r>
        <w:r w:rsidR="00CD5E1C" w:rsidRPr="00CD5E1C">
          <w:rPr>
            <w:rFonts w:ascii="Arial" w:hAnsi="Arial" w:cs="Arial"/>
            <w:webHidden/>
          </w:rPr>
          <w:fldChar w:fldCharType="end"/>
        </w:r>
      </w:hyperlink>
    </w:p>
    <w:p w14:paraId="3D0409B1" w14:textId="11E41D05" w:rsidR="00CD5E1C" w:rsidRPr="00CD5E1C" w:rsidRDefault="007071D0">
      <w:pPr>
        <w:pStyle w:val="TOC1"/>
        <w:tabs>
          <w:tab w:val="left" w:pos="567"/>
        </w:tabs>
        <w:rPr>
          <w:rFonts w:ascii="Arial" w:eastAsiaTheme="minorEastAsia" w:hAnsi="Arial" w:cs="Arial"/>
          <w:b w:val="0"/>
          <w:sz w:val="22"/>
          <w:szCs w:val="22"/>
          <w:lang w:eastAsia="en-AU"/>
        </w:rPr>
      </w:pPr>
      <w:hyperlink w:anchor="_Toc115426477" w:history="1">
        <w:r w:rsidR="00CD5E1C" w:rsidRPr="00CD5E1C">
          <w:rPr>
            <w:rStyle w:val="Hyperlink"/>
            <w:rFonts w:ascii="Arial" w:hAnsi="Arial" w:cs="Arial"/>
          </w:rPr>
          <w:t>7.</w:t>
        </w:r>
        <w:r w:rsidR="00CD5E1C" w:rsidRPr="00CD5E1C">
          <w:rPr>
            <w:rFonts w:ascii="Arial" w:eastAsiaTheme="minorEastAsia" w:hAnsi="Arial" w:cs="Arial"/>
            <w:b w:val="0"/>
            <w:sz w:val="22"/>
            <w:szCs w:val="22"/>
            <w:lang w:eastAsia="en-AU"/>
          </w:rPr>
          <w:tab/>
        </w:r>
        <w:r w:rsidR="00CD5E1C" w:rsidRPr="00CD5E1C">
          <w:rPr>
            <w:rStyle w:val="Hyperlink"/>
            <w:rFonts w:ascii="Arial" w:hAnsi="Arial" w:cs="Arial"/>
          </w:rPr>
          <w:t>Vaccines</w:t>
        </w:r>
        <w:r w:rsidR="00CD5E1C" w:rsidRPr="00CD5E1C">
          <w:rPr>
            <w:rFonts w:ascii="Arial" w:hAnsi="Arial" w:cs="Arial"/>
            <w:webHidden/>
          </w:rPr>
          <w:tab/>
        </w:r>
        <w:r w:rsidR="00CD5E1C" w:rsidRPr="00CD5E1C">
          <w:rPr>
            <w:rFonts w:ascii="Arial" w:hAnsi="Arial" w:cs="Arial"/>
            <w:webHidden/>
          </w:rPr>
          <w:fldChar w:fldCharType="begin"/>
        </w:r>
        <w:r w:rsidR="00CD5E1C" w:rsidRPr="00CD5E1C">
          <w:rPr>
            <w:rFonts w:ascii="Arial" w:hAnsi="Arial" w:cs="Arial"/>
            <w:webHidden/>
          </w:rPr>
          <w:instrText xml:space="preserve"> PAGEREF _Toc115426477 \h </w:instrText>
        </w:r>
        <w:r w:rsidR="00CD5E1C" w:rsidRPr="00CD5E1C">
          <w:rPr>
            <w:rFonts w:ascii="Arial" w:hAnsi="Arial" w:cs="Arial"/>
            <w:webHidden/>
          </w:rPr>
        </w:r>
        <w:r w:rsidR="00CD5E1C" w:rsidRPr="00CD5E1C">
          <w:rPr>
            <w:rFonts w:ascii="Arial" w:hAnsi="Arial" w:cs="Arial"/>
            <w:webHidden/>
          </w:rPr>
          <w:fldChar w:fldCharType="separate"/>
        </w:r>
        <w:r w:rsidR="00CD5E1C" w:rsidRPr="00CD5E1C">
          <w:rPr>
            <w:rFonts w:ascii="Arial" w:hAnsi="Arial" w:cs="Arial"/>
            <w:webHidden/>
          </w:rPr>
          <w:t>14</w:t>
        </w:r>
        <w:r w:rsidR="00CD5E1C" w:rsidRPr="00CD5E1C">
          <w:rPr>
            <w:rFonts w:ascii="Arial" w:hAnsi="Arial" w:cs="Arial"/>
            <w:webHidden/>
          </w:rPr>
          <w:fldChar w:fldCharType="end"/>
        </w:r>
      </w:hyperlink>
    </w:p>
    <w:p w14:paraId="5EF4AF7A" w14:textId="12BF6D03" w:rsidR="00CD5E1C" w:rsidRPr="00CD5E1C" w:rsidRDefault="007071D0">
      <w:pPr>
        <w:pStyle w:val="TOC1"/>
        <w:tabs>
          <w:tab w:val="left" w:pos="567"/>
        </w:tabs>
        <w:rPr>
          <w:rFonts w:ascii="Arial" w:eastAsiaTheme="minorEastAsia" w:hAnsi="Arial" w:cs="Arial"/>
          <w:b w:val="0"/>
          <w:sz w:val="22"/>
          <w:szCs w:val="22"/>
          <w:lang w:eastAsia="en-AU"/>
        </w:rPr>
      </w:pPr>
      <w:hyperlink w:anchor="_Toc115426478" w:history="1">
        <w:r w:rsidR="00CD5E1C" w:rsidRPr="00CD5E1C">
          <w:rPr>
            <w:rStyle w:val="Hyperlink"/>
            <w:rFonts w:ascii="Arial" w:hAnsi="Arial" w:cs="Arial"/>
            <w:highlight w:val="yellow"/>
          </w:rPr>
          <w:t>8.</w:t>
        </w:r>
        <w:r w:rsidR="00CD5E1C" w:rsidRPr="00CD5E1C">
          <w:rPr>
            <w:rFonts w:ascii="Arial" w:eastAsiaTheme="minorEastAsia" w:hAnsi="Arial" w:cs="Arial"/>
            <w:b w:val="0"/>
            <w:sz w:val="22"/>
            <w:szCs w:val="22"/>
            <w:lang w:eastAsia="en-AU"/>
          </w:rPr>
          <w:tab/>
        </w:r>
        <w:r w:rsidR="00CD5E1C" w:rsidRPr="00CD5E1C">
          <w:rPr>
            <w:rStyle w:val="Hyperlink"/>
            <w:rFonts w:ascii="Arial" w:hAnsi="Arial" w:cs="Arial"/>
            <w:highlight w:val="yellow"/>
          </w:rPr>
          <w:t>Target groups under the Approval</w:t>
        </w:r>
        <w:r w:rsidR="00CD5E1C" w:rsidRPr="00CD5E1C">
          <w:rPr>
            <w:rFonts w:ascii="Arial" w:hAnsi="Arial" w:cs="Arial"/>
            <w:webHidden/>
          </w:rPr>
          <w:tab/>
        </w:r>
        <w:r w:rsidR="00CD5E1C" w:rsidRPr="00CD5E1C">
          <w:rPr>
            <w:rFonts w:ascii="Arial" w:hAnsi="Arial" w:cs="Arial"/>
            <w:webHidden/>
          </w:rPr>
          <w:fldChar w:fldCharType="begin"/>
        </w:r>
        <w:r w:rsidR="00CD5E1C" w:rsidRPr="00CD5E1C">
          <w:rPr>
            <w:rFonts w:ascii="Arial" w:hAnsi="Arial" w:cs="Arial"/>
            <w:webHidden/>
          </w:rPr>
          <w:instrText xml:space="preserve"> PAGEREF _Toc115426478 \h </w:instrText>
        </w:r>
        <w:r w:rsidR="00CD5E1C" w:rsidRPr="00CD5E1C">
          <w:rPr>
            <w:rFonts w:ascii="Arial" w:hAnsi="Arial" w:cs="Arial"/>
            <w:webHidden/>
          </w:rPr>
        </w:r>
        <w:r w:rsidR="00CD5E1C" w:rsidRPr="00CD5E1C">
          <w:rPr>
            <w:rFonts w:ascii="Arial" w:hAnsi="Arial" w:cs="Arial"/>
            <w:webHidden/>
          </w:rPr>
          <w:fldChar w:fldCharType="separate"/>
        </w:r>
        <w:r w:rsidR="00CD5E1C" w:rsidRPr="00CD5E1C">
          <w:rPr>
            <w:rFonts w:ascii="Arial" w:hAnsi="Arial" w:cs="Arial"/>
            <w:webHidden/>
          </w:rPr>
          <w:t>14</w:t>
        </w:r>
        <w:r w:rsidR="00CD5E1C" w:rsidRPr="00CD5E1C">
          <w:rPr>
            <w:rFonts w:ascii="Arial" w:hAnsi="Arial" w:cs="Arial"/>
            <w:webHidden/>
          </w:rPr>
          <w:fldChar w:fldCharType="end"/>
        </w:r>
      </w:hyperlink>
    </w:p>
    <w:p w14:paraId="6BFCD5E7" w14:textId="1BE5A99D" w:rsidR="00CD5E1C" w:rsidRPr="00CD5E1C" w:rsidRDefault="007071D0">
      <w:pPr>
        <w:pStyle w:val="TOC2"/>
        <w:tabs>
          <w:tab w:val="left" w:pos="567"/>
        </w:tabs>
        <w:rPr>
          <w:rFonts w:ascii="Arial" w:eastAsiaTheme="minorEastAsia" w:hAnsi="Arial" w:cs="Arial"/>
          <w:sz w:val="22"/>
          <w:szCs w:val="22"/>
          <w:lang w:eastAsia="en-AU"/>
        </w:rPr>
      </w:pPr>
      <w:hyperlink w:anchor="_Toc115426479" w:history="1">
        <w:r w:rsidR="00CD5E1C" w:rsidRPr="00CD5E1C">
          <w:rPr>
            <w:rStyle w:val="Hyperlink"/>
            <w:rFonts w:ascii="Arial" w:hAnsi="Arial" w:cs="Arial"/>
          </w:rPr>
          <w:t>8.1</w:t>
        </w:r>
        <w:r w:rsidR="00CD5E1C" w:rsidRPr="00CD5E1C">
          <w:rPr>
            <w:rFonts w:ascii="Arial" w:eastAsiaTheme="minorEastAsia" w:hAnsi="Arial" w:cs="Arial"/>
            <w:sz w:val="22"/>
            <w:szCs w:val="22"/>
            <w:lang w:eastAsia="en-AU"/>
          </w:rPr>
          <w:tab/>
        </w:r>
        <w:r w:rsidR="00CD5E1C" w:rsidRPr="00CD5E1C">
          <w:rPr>
            <w:rStyle w:val="Hyperlink"/>
            <w:rFonts w:ascii="Arial" w:hAnsi="Arial" w:cs="Arial"/>
          </w:rPr>
          <w:t>Influenza vaccine</w:t>
        </w:r>
        <w:r w:rsidR="00CD5E1C" w:rsidRPr="00CD5E1C">
          <w:rPr>
            <w:rFonts w:ascii="Arial" w:hAnsi="Arial" w:cs="Arial"/>
            <w:webHidden/>
          </w:rPr>
          <w:tab/>
        </w:r>
        <w:r w:rsidR="00CD5E1C" w:rsidRPr="00CD5E1C">
          <w:rPr>
            <w:rFonts w:ascii="Arial" w:hAnsi="Arial" w:cs="Arial"/>
            <w:webHidden/>
          </w:rPr>
          <w:fldChar w:fldCharType="begin"/>
        </w:r>
        <w:r w:rsidR="00CD5E1C" w:rsidRPr="00CD5E1C">
          <w:rPr>
            <w:rFonts w:ascii="Arial" w:hAnsi="Arial" w:cs="Arial"/>
            <w:webHidden/>
          </w:rPr>
          <w:instrText xml:space="preserve"> PAGEREF _Toc115426479 \h </w:instrText>
        </w:r>
        <w:r w:rsidR="00CD5E1C" w:rsidRPr="00CD5E1C">
          <w:rPr>
            <w:rFonts w:ascii="Arial" w:hAnsi="Arial" w:cs="Arial"/>
            <w:webHidden/>
          </w:rPr>
        </w:r>
        <w:r w:rsidR="00CD5E1C" w:rsidRPr="00CD5E1C">
          <w:rPr>
            <w:rFonts w:ascii="Arial" w:hAnsi="Arial" w:cs="Arial"/>
            <w:webHidden/>
          </w:rPr>
          <w:fldChar w:fldCharType="separate"/>
        </w:r>
        <w:r w:rsidR="00CD5E1C" w:rsidRPr="00CD5E1C">
          <w:rPr>
            <w:rFonts w:ascii="Arial" w:hAnsi="Arial" w:cs="Arial"/>
            <w:webHidden/>
          </w:rPr>
          <w:t>14</w:t>
        </w:r>
        <w:r w:rsidR="00CD5E1C" w:rsidRPr="00CD5E1C">
          <w:rPr>
            <w:rFonts w:ascii="Arial" w:hAnsi="Arial" w:cs="Arial"/>
            <w:webHidden/>
          </w:rPr>
          <w:fldChar w:fldCharType="end"/>
        </w:r>
      </w:hyperlink>
    </w:p>
    <w:p w14:paraId="5DA6DF0D" w14:textId="4746F19C" w:rsidR="00CD5E1C" w:rsidRPr="00CD5E1C" w:rsidRDefault="007071D0">
      <w:pPr>
        <w:pStyle w:val="TOC2"/>
        <w:tabs>
          <w:tab w:val="left" w:pos="567"/>
        </w:tabs>
        <w:rPr>
          <w:rFonts w:ascii="Arial" w:eastAsiaTheme="minorEastAsia" w:hAnsi="Arial" w:cs="Arial"/>
          <w:sz w:val="22"/>
          <w:szCs w:val="22"/>
          <w:lang w:eastAsia="en-AU"/>
        </w:rPr>
      </w:pPr>
      <w:hyperlink w:anchor="_Toc115426480" w:history="1">
        <w:r w:rsidR="00CD5E1C" w:rsidRPr="00CD5E1C">
          <w:rPr>
            <w:rStyle w:val="Hyperlink"/>
            <w:rFonts w:ascii="Arial" w:hAnsi="Arial" w:cs="Arial"/>
            <w:highlight w:val="yellow"/>
          </w:rPr>
          <w:t>8.2</w:t>
        </w:r>
        <w:r w:rsidR="00CD5E1C" w:rsidRPr="00CD5E1C">
          <w:rPr>
            <w:rFonts w:ascii="Arial" w:eastAsiaTheme="minorEastAsia" w:hAnsi="Arial" w:cs="Arial"/>
            <w:sz w:val="22"/>
            <w:szCs w:val="22"/>
            <w:lang w:eastAsia="en-AU"/>
          </w:rPr>
          <w:tab/>
        </w:r>
        <w:r w:rsidR="00CD5E1C" w:rsidRPr="00CD5E1C">
          <w:rPr>
            <w:rStyle w:val="Hyperlink"/>
            <w:rFonts w:ascii="Arial" w:hAnsi="Arial" w:cs="Arial"/>
            <w:highlight w:val="yellow"/>
          </w:rPr>
          <w:t>Diphtheria-tetanus-pertussis (DTP) vaccines</w:t>
        </w:r>
        <w:r w:rsidR="00CD5E1C" w:rsidRPr="00CD5E1C">
          <w:rPr>
            <w:rFonts w:ascii="Arial" w:hAnsi="Arial" w:cs="Arial"/>
            <w:webHidden/>
          </w:rPr>
          <w:tab/>
        </w:r>
        <w:r w:rsidR="00CD5E1C" w:rsidRPr="00CD5E1C">
          <w:rPr>
            <w:rFonts w:ascii="Arial" w:hAnsi="Arial" w:cs="Arial"/>
            <w:webHidden/>
          </w:rPr>
          <w:fldChar w:fldCharType="begin"/>
        </w:r>
        <w:r w:rsidR="00CD5E1C" w:rsidRPr="00CD5E1C">
          <w:rPr>
            <w:rFonts w:ascii="Arial" w:hAnsi="Arial" w:cs="Arial"/>
            <w:webHidden/>
          </w:rPr>
          <w:instrText xml:space="preserve"> PAGEREF _Toc115426480 \h </w:instrText>
        </w:r>
        <w:r w:rsidR="00CD5E1C" w:rsidRPr="00CD5E1C">
          <w:rPr>
            <w:rFonts w:ascii="Arial" w:hAnsi="Arial" w:cs="Arial"/>
            <w:webHidden/>
          </w:rPr>
        </w:r>
        <w:r w:rsidR="00CD5E1C" w:rsidRPr="00CD5E1C">
          <w:rPr>
            <w:rFonts w:ascii="Arial" w:hAnsi="Arial" w:cs="Arial"/>
            <w:webHidden/>
          </w:rPr>
          <w:fldChar w:fldCharType="separate"/>
        </w:r>
        <w:r w:rsidR="00CD5E1C" w:rsidRPr="00CD5E1C">
          <w:rPr>
            <w:rFonts w:ascii="Arial" w:hAnsi="Arial" w:cs="Arial"/>
            <w:webHidden/>
          </w:rPr>
          <w:t>14</w:t>
        </w:r>
        <w:r w:rsidR="00CD5E1C" w:rsidRPr="00CD5E1C">
          <w:rPr>
            <w:rFonts w:ascii="Arial" w:hAnsi="Arial" w:cs="Arial"/>
            <w:webHidden/>
          </w:rPr>
          <w:fldChar w:fldCharType="end"/>
        </w:r>
      </w:hyperlink>
    </w:p>
    <w:p w14:paraId="65C7D15C" w14:textId="08ECC522" w:rsidR="00CD5E1C" w:rsidRPr="00CD5E1C" w:rsidRDefault="007071D0">
      <w:pPr>
        <w:pStyle w:val="TOC2"/>
        <w:tabs>
          <w:tab w:val="left" w:pos="567"/>
        </w:tabs>
        <w:rPr>
          <w:rFonts w:ascii="Arial" w:eastAsiaTheme="minorEastAsia" w:hAnsi="Arial" w:cs="Arial"/>
          <w:sz w:val="22"/>
          <w:szCs w:val="22"/>
          <w:lang w:eastAsia="en-AU"/>
        </w:rPr>
      </w:pPr>
      <w:hyperlink w:anchor="_Toc115426481" w:history="1">
        <w:r w:rsidR="00CD5E1C" w:rsidRPr="00CD5E1C">
          <w:rPr>
            <w:rStyle w:val="Hyperlink"/>
            <w:rFonts w:ascii="Arial" w:eastAsia="Times" w:hAnsi="Arial" w:cs="Arial"/>
            <w:highlight w:val="yellow"/>
          </w:rPr>
          <w:t>8.3</w:t>
        </w:r>
        <w:r w:rsidR="00CD5E1C" w:rsidRPr="00CD5E1C">
          <w:rPr>
            <w:rFonts w:ascii="Arial" w:eastAsiaTheme="minorEastAsia" w:hAnsi="Arial" w:cs="Arial"/>
            <w:sz w:val="22"/>
            <w:szCs w:val="22"/>
            <w:lang w:eastAsia="en-AU"/>
          </w:rPr>
          <w:tab/>
        </w:r>
        <w:r w:rsidR="00CD5E1C" w:rsidRPr="00CD5E1C">
          <w:rPr>
            <w:rStyle w:val="Hyperlink"/>
            <w:rFonts w:ascii="Arial" w:eastAsia="Times" w:hAnsi="Arial" w:cs="Arial"/>
            <w:highlight w:val="yellow"/>
          </w:rPr>
          <w:t>Human papillomavirus (HPV) vaccine</w:t>
        </w:r>
        <w:r w:rsidR="00CD5E1C" w:rsidRPr="00CD5E1C">
          <w:rPr>
            <w:rFonts w:ascii="Arial" w:hAnsi="Arial" w:cs="Arial"/>
            <w:webHidden/>
          </w:rPr>
          <w:tab/>
        </w:r>
        <w:r w:rsidR="00CD5E1C" w:rsidRPr="00CD5E1C">
          <w:rPr>
            <w:rFonts w:ascii="Arial" w:hAnsi="Arial" w:cs="Arial"/>
            <w:webHidden/>
          </w:rPr>
          <w:fldChar w:fldCharType="begin"/>
        </w:r>
        <w:r w:rsidR="00CD5E1C" w:rsidRPr="00CD5E1C">
          <w:rPr>
            <w:rFonts w:ascii="Arial" w:hAnsi="Arial" w:cs="Arial"/>
            <w:webHidden/>
          </w:rPr>
          <w:instrText xml:space="preserve"> PAGEREF _Toc115426481 \h </w:instrText>
        </w:r>
        <w:r w:rsidR="00CD5E1C" w:rsidRPr="00CD5E1C">
          <w:rPr>
            <w:rFonts w:ascii="Arial" w:hAnsi="Arial" w:cs="Arial"/>
            <w:webHidden/>
          </w:rPr>
        </w:r>
        <w:r w:rsidR="00CD5E1C" w:rsidRPr="00CD5E1C">
          <w:rPr>
            <w:rFonts w:ascii="Arial" w:hAnsi="Arial" w:cs="Arial"/>
            <w:webHidden/>
          </w:rPr>
          <w:fldChar w:fldCharType="separate"/>
        </w:r>
        <w:r w:rsidR="00CD5E1C" w:rsidRPr="00CD5E1C">
          <w:rPr>
            <w:rFonts w:ascii="Arial" w:hAnsi="Arial" w:cs="Arial"/>
            <w:webHidden/>
          </w:rPr>
          <w:t>15</w:t>
        </w:r>
        <w:r w:rsidR="00CD5E1C" w:rsidRPr="00CD5E1C">
          <w:rPr>
            <w:rFonts w:ascii="Arial" w:hAnsi="Arial" w:cs="Arial"/>
            <w:webHidden/>
          </w:rPr>
          <w:fldChar w:fldCharType="end"/>
        </w:r>
      </w:hyperlink>
    </w:p>
    <w:p w14:paraId="3DB795E2" w14:textId="3C86FA89" w:rsidR="00CD5E1C" w:rsidRPr="00CD5E1C" w:rsidRDefault="007071D0">
      <w:pPr>
        <w:pStyle w:val="TOC2"/>
        <w:tabs>
          <w:tab w:val="left" w:pos="567"/>
        </w:tabs>
        <w:rPr>
          <w:rFonts w:ascii="Arial" w:eastAsiaTheme="minorEastAsia" w:hAnsi="Arial" w:cs="Arial"/>
          <w:sz w:val="22"/>
          <w:szCs w:val="22"/>
          <w:lang w:eastAsia="en-AU"/>
        </w:rPr>
      </w:pPr>
      <w:hyperlink w:anchor="_Toc115426482" w:history="1">
        <w:r w:rsidR="00CD5E1C" w:rsidRPr="00CD5E1C">
          <w:rPr>
            <w:rStyle w:val="Hyperlink"/>
            <w:rFonts w:ascii="Arial" w:hAnsi="Arial" w:cs="Arial"/>
          </w:rPr>
          <w:t>8.4</w:t>
        </w:r>
        <w:r w:rsidR="00CD5E1C" w:rsidRPr="00CD5E1C">
          <w:rPr>
            <w:rFonts w:ascii="Arial" w:eastAsiaTheme="minorEastAsia" w:hAnsi="Arial" w:cs="Arial"/>
            <w:sz w:val="22"/>
            <w:szCs w:val="22"/>
            <w:lang w:eastAsia="en-AU"/>
          </w:rPr>
          <w:tab/>
        </w:r>
        <w:r w:rsidR="00CD5E1C" w:rsidRPr="00CD5E1C">
          <w:rPr>
            <w:rStyle w:val="Hyperlink"/>
            <w:rFonts w:ascii="Arial" w:hAnsi="Arial" w:cs="Arial"/>
          </w:rPr>
          <w:t>Measles-mumps-rubella vaccine</w:t>
        </w:r>
        <w:r w:rsidR="00CD5E1C" w:rsidRPr="00CD5E1C">
          <w:rPr>
            <w:rFonts w:ascii="Arial" w:hAnsi="Arial" w:cs="Arial"/>
            <w:webHidden/>
          </w:rPr>
          <w:tab/>
        </w:r>
        <w:r w:rsidR="00CD5E1C" w:rsidRPr="00CD5E1C">
          <w:rPr>
            <w:rFonts w:ascii="Arial" w:hAnsi="Arial" w:cs="Arial"/>
            <w:webHidden/>
          </w:rPr>
          <w:fldChar w:fldCharType="begin"/>
        </w:r>
        <w:r w:rsidR="00CD5E1C" w:rsidRPr="00CD5E1C">
          <w:rPr>
            <w:rFonts w:ascii="Arial" w:hAnsi="Arial" w:cs="Arial"/>
            <w:webHidden/>
          </w:rPr>
          <w:instrText xml:space="preserve"> PAGEREF _Toc115426482 \h </w:instrText>
        </w:r>
        <w:r w:rsidR="00CD5E1C" w:rsidRPr="00CD5E1C">
          <w:rPr>
            <w:rFonts w:ascii="Arial" w:hAnsi="Arial" w:cs="Arial"/>
            <w:webHidden/>
          </w:rPr>
        </w:r>
        <w:r w:rsidR="00CD5E1C" w:rsidRPr="00CD5E1C">
          <w:rPr>
            <w:rFonts w:ascii="Arial" w:hAnsi="Arial" w:cs="Arial"/>
            <w:webHidden/>
          </w:rPr>
          <w:fldChar w:fldCharType="separate"/>
        </w:r>
        <w:r w:rsidR="00CD5E1C" w:rsidRPr="00CD5E1C">
          <w:rPr>
            <w:rFonts w:ascii="Arial" w:hAnsi="Arial" w:cs="Arial"/>
            <w:webHidden/>
          </w:rPr>
          <w:t>15</w:t>
        </w:r>
        <w:r w:rsidR="00CD5E1C" w:rsidRPr="00CD5E1C">
          <w:rPr>
            <w:rFonts w:ascii="Arial" w:hAnsi="Arial" w:cs="Arial"/>
            <w:webHidden/>
          </w:rPr>
          <w:fldChar w:fldCharType="end"/>
        </w:r>
      </w:hyperlink>
    </w:p>
    <w:p w14:paraId="46FDC250" w14:textId="03A864EE" w:rsidR="00CD5E1C" w:rsidRPr="00CD5E1C" w:rsidRDefault="007071D0">
      <w:pPr>
        <w:pStyle w:val="TOC2"/>
        <w:tabs>
          <w:tab w:val="left" w:pos="567"/>
        </w:tabs>
        <w:rPr>
          <w:rFonts w:ascii="Arial" w:eastAsiaTheme="minorEastAsia" w:hAnsi="Arial" w:cs="Arial"/>
          <w:sz w:val="22"/>
          <w:szCs w:val="22"/>
          <w:lang w:eastAsia="en-AU"/>
        </w:rPr>
      </w:pPr>
      <w:hyperlink w:anchor="_Toc115426483" w:history="1">
        <w:r w:rsidR="00CD5E1C" w:rsidRPr="00CD5E1C">
          <w:rPr>
            <w:rStyle w:val="Hyperlink"/>
            <w:rFonts w:ascii="Arial" w:hAnsi="Arial" w:cs="Arial"/>
          </w:rPr>
          <w:t>8.5</w:t>
        </w:r>
        <w:r w:rsidR="00CD5E1C" w:rsidRPr="00CD5E1C">
          <w:rPr>
            <w:rFonts w:ascii="Arial" w:eastAsiaTheme="minorEastAsia" w:hAnsi="Arial" w:cs="Arial"/>
            <w:sz w:val="22"/>
            <w:szCs w:val="22"/>
            <w:lang w:eastAsia="en-AU"/>
          </w:rPr>
          <w:tab/>
        </w:r>
        <w:r w:rsidR="00CD5E1C" w:rsidRPr="00CD5E1C">
          <w:rPr>
            <w:rStyle w:val="Hyperlink"/>
            <w:rFonts w:ascii="Arial" w:hAnsi="Arial" w:cs="Arial"/>
          </w:rPr>
          <w:t>Meningococcal ACWY vaccine</w:t>
        </w:r>
        <w:r w:rsidR="00CD5E1C" w:rsidRPr="00CD5E1C">
          <w:rPr>
            <w:rFonts w:ascii="Arial" w:hAnsi="Arial" w:cs="Arial"/>
            <w:webHidden/>
          </w:rPr>
          <w:tab/>
        </w:r>
        <w:r w:rsidR="00CD5E1C" w:rsidRPr="00CD5E1C">
          <w:rPr>
            <w:rFonts w:ascii="Arial" w:hAnsi="Arial" w:cs="Arial"/>
            <w:webHidden/>
          </w:rPr>
          <w:fldChar w:fldCharType="begin"/>
        </w:r>
        <w:r w:rsidR="00CD5E1C" w:rsidRPr="00CD5E1C">
          <w:rPr>
            <w:rFonts w:ascii="Arial" w:hAnsi="Arial" w:cs="Arial"/>
            <w:webHidden/>
          </w:rPr>
          <w:instrText xml:space="preserve"> PAGEREF _Toc115426483 \h </w:instrText>
        </w:r>
        <w:r w:rsidR="00CD5E1C" w:rsidRPr="00CD5E1C">
          <w:rPr>
            <w:rFonts w:ascii="Arial" w:hAnsi="Arial" w:cs="Arial"/>
            <w:webHidden/>
          </w:rPr>
        </w:r>
        <w:r w:rsidR="00CD5E1C" w:rsidRPr="00CD5E1C">
          <w:rPr>
            <w:rFonts w:ascii="Arial" w:hAnsi="Arial" w:cs="Arial"/>
            <w:webHidden/>
          </w:rPr>
          <w:fldChar w:fldCharType="separate"/>
        </w:r>
        <w:r w:rsidR="00CD5E1C" w:rsidRPr="00CD5E1C">
          <w:rPr>
            <w:rFonts w:ascii="Arial" w:hAnsi="Arial" w:cs="Arial"/>
            <w:webHidden/>
          </w:rPr>
          <w:t>15</w:t>
        </w:r>
        <w:r w:rsidR="00CD5E1C" w:rsidRPr="00CD5E1C">
          <w:rPr>
            <w:rFonts w:ascii="Arial" w:hAnsi="Arial" w:cs="Arial"/>
            <w:webHidden/>
          </w:rPr>
          <w:fldChar w:fldCharType="end"/>
        </w:r>
      </w:hyperlink>
    </w:p>
    <w:p w14:paraId="10144E48" w14:textId="43455537" w:rsidR="00CD5E1C" w:rsidRPr="00CD5E1C" w:rsidRDefault="007071D0">
      <w:pPr>
        <w:pStyle w:val="TOC2"/>
        <w:tabs>
          <w:tab w:val="left" w:pos="567"/>
        </w:tabs>
        <w:rPr>
          <w:rFonts w:ascii="Arial" w:eastAsiaTheme="minorEastAsia" w:hAnsi="Arial" w:cs="Arial"/>
          <w:sz w:val="22"/>
          <w:szCs w:val="22"/>
          <w:lang w:eastAsia="en-AU"/>
        </w:rPr>
      </w:pPr>
      <w:hyperlink w:anchor="_Toc115426484" w:history="1">
        <w:r w:rsidR="00CD5E1C" w:rsidRPr="00CD5E1C">
          <w:rPr>
            <w:rStyle w:val="Hyperlink"/>
            <w:rFonts w:ascii="Arial" w:eastAsia="Times" w:hAnsi="Arial" w:cs="Arial"/>
            <w:highlight w:val="yellow"/>
          </w:rPr>
          <w:t>8.6</w:t>
        </w:r>
        <w:r w:rsidR="00CD5E1C" w:rsidRPr="00CD5E1C">
          <w:rPr>
            <w:rFonts w:ascii="Arial" w:eastAsiaTheme="minorEastAsia" w:hAnsi="Arial" w:cs="Arial"/>
            <w:sz w:val="22"/>
            <w:szCs w:val="22"/>
            <w:lang w:eastAsia="en-AU"/>
          </w:rPr>
          <w:tab/>
        </w:r>
        <w:r w:rsidR="00CD5E1C" w:rsidRPr="00CD5E1C">
          <w:rPr>
            <w:rStyle w:val="Hyperlink"/>
            <w:rFonts w:ascii="Arial" w:eastAsia="Times" w:hAnsi="Arial" w:cs="Arial"/>
            <w:highlight w:val="yellow"/>
          </w:rPr>
          <w:t>Pneumococcal vaccine</w:t>
        </w:r>
        <w:r w:rsidR="00CD5E1C" w:rsidRPr="00CD5E1C">
          <w:rPr>
            <w:rFonts w:ascii="Arial" w:hAnsi="Arial" w:cs="Arial"/>
            <w:webHidden/>
          </w:rPr>
          <w:tab/>
        </w:r>
        <w:r w:rsidR="00CD5E1C" w:rsidRPr="00CD5E1C">
          <w:rPr>
            <w:rFonts w:ascii="Arial" w:hAnsi="Arial" w:cs="Arial"/>
            <w:webHidden/>
          </w:rPr>
          <w:fldChar w:fldCharType="begin"/>
        </w:r>
        <w:r w:rsidR="00CD5E1C" w:rsidRPr="00CD5E1C">
          <w:rPr>
            <w:rFonts w:ascii="Arial" w:hAnsi="Arial" w:cs="Arial"/>
            <w:webHidden/>
          </w:rPr>
          <w:instrText xml:space="preserve"> PAGEREF _Toc115426484 \h </w:instrText>
        </w:r>
        <w:r w:rsidR="00CD5E1C" w:rsidRPr="00CD5E1C">
          <w:rPr>
            <w:rFonts w:ascii="Arial" w:hAnsi="Arial" w:cs="Arial"/>
            <w:webHidden/>
          </w:rPr>
        </w:r>
        <w:r w:rsidR="00CD5E1C" w:rsidRPr="00CD5E1C">
          <w:rPr>
            <w:rFonts w:ascii="Arial" w:hAnsi="Arial" w:cs="Arial"/>
            <w:webHidden/>
          </w:rPr>
          <w:fldChar w:fldCharType="separate"/>
        </w:r>
        <w:r w:rsidR="00CD5E1C" w:rsidRPr="00CD5E1C">
          <w:rPr>
            <w:rFonts w:ascii="Arial" w:hAnsi="Arial" w:cs="Arial"/>
            <w:webHidden/>
          </w:rPr>
          <w:t>15</w:t>
        </w:r>
        <w:r w:rsidR="00CD5E1C" w:rsidRPr="00CD5E1C">
          <w:rPr>
            <w:rFonts w:ascii="Arial" w:hAnsi="Arial" w:cs="Arial"/>
            <w:webHidden/>
          </w:rPr>
          <w:fldChar w:fldCharType="end"/>
        </w:r>
      </w:hyperlink>
    </w:p>
    <w:p w14:paraId="760BE41D" w14:textId="3BBDEE93" w:rsidR="00CD5E1C" w:rsidRPr="00CD5E1C" w:rsidRDefault="007071D0">
      <w:pPr>
        <w:pStyle w:val="TOC2"/>
        <w:tabs>
          <w:tab w:val="left" w:pos="567"/>
        </w:tabs>
        <w:rPr>
          <w:rFonts w:ascii="Arial" w:eastAsiaTheme="minorEastAsia" w:hAnsi="Arial" w:cs="Arial"/>
          <w:sz w:val="22"/>
          <w:szCs w:val="22"/>
          <w:lang w:eastAsia="en-AU"/>
        </w:rPr>
      </w:pPr>
      <w:hyperlink w:anchor="_Toc115426485" w:history="1">
        <w:r w:rsidR="00CD5E1C" w:rsidRPr="00CD5E1C">
          <w:rPr>
            <w:rStyle w:val="Hyperlink"/>
            <w:rFonts w:ascii="Arial" w:eastAsia="Times" w:hAnsi="Arial" w:cs="Arial"/>
            <w:highlight w:val="yellow"/>
          </w:rPr>
          <w:t>8.7</w:t>
        </w:r>
        <w:r w:rsidR="00CD5E1C" w:rsidRPr="00CD5E1C">
          <w:rPr>
            <w:rFonts w:ascii="Arial" w:eastAsiaTheme="minorEastAsia" w:hAnsi="Arial" w:cs="Arial"/>
            <w:sz w:val="22"/>
            <w:szCs w:val="22"/>
            <w:lang w:eastAsia="en-AU"/>
          </w:rPr>
          <w:tab/>
        </w:r>
        <w:r w:rsidR="00CD5E1C" w:rsidRPr="00CD5E1C">
          <w:rPr>
            <w:rStyle w:val="Hyperlink"/>
            <w:rFonts w:ascii="Arial" w:eastAsia="Times" w:hAnsi="Arial" w:cs="Arial"/>
            <w:highlight w:val="yellow"/>
          </w:rPr>
          <w:t>Herpes zoster vaccine</w:t>
        </w:r>
        <w:r w:rsidR="00CD5E1C" w:rsidRPr="00CD5E1C">
          <w:rPr>
            <w:rFonts w:ascii="Arial" w:hAnsi="Arial" w:cs="Arial"/>
            <w:webHidden/>
          </w:rPr>
          <w:tab/>
        </w:r>
        <w:r w:rsidR="00CD5E1C" w:rsidRPr="00CD5E1C">
          <w:rPr>
            <w:rFonts w:ascii="Arial" w:hAnsi="Arial" w:cs="Arial"/>
            <w:webHidden/>
          </w:rPr>
          <w:fldChar w:fldCharType="begin"/>
        </w:r>
        <w:r w:rsidR="00CD5E1C" w:rsidRPr="00CD5E1C">
          <w:rPr>
            <w:rFonts w:ascii="Arial" w:hAnsi="Arial" w:cs="Arial"/>
            <w:webHidden/>
          </w:rPr>
          <w:instrText xml:space="preserve"> PAGEREF _Toc115426485 \h </w:instrText>
        </w:r>
        <w:r w:rsidR="00CD5E1C" w:rsidRPr="00CD5E1C">
          <w:rPr>
            <w:rFonts w:ascii="Arial" w:hAnsi="Arial" w:cs="Arial"/>
            <w:webHidden/>
          </w:rPr>
        </w:r>
        <w:r w:rsidR="00CD5E1C" w:rsidRPr="00CD5E1C">
          <w:rPr>
            <w:rFonts w:ascii="Arial" w:hAnsi="Arial" w:cs="Arial"/>
            <w:webHidden/>
          </w:rPr>
          <w:fldChar w:fldCharType="separate"/>
        </w:r>
        <w:r w:rsidR="00CD5E1C" w:rsidRPr="00CD5E1C">
          <w:rPr>
            <w:rFonts w:ascii="Arial" w:hAnsi="Arial" w:cs="Arial"/>
            <w:webHidden/>
          </w:rPr>
          <w:t>16</w:t>
        </w:r>
        <w:r w:rsidR="00CD5E1C" w:rsidRPr="00CD5E1C">
          <w:rPr>
            <w:rFonts w:ascii="Arial" w:hAnsi="Arial" w:cs="Arial"/>
            <w:webHidden/>
          </w:rPr>
          <w:fldChar w:fldCharType="end"/>
        </w:r>
      </w:hyperlink>
    </w:p>
    <w:p w14:paraId="413B2312" w14:textId="65DF3198" w:rsidR="00CD5E1C" w:rsidRPr="00CD5E1C" w:rsidRDefault="007071D0">
      <w:pPr>
        <w:pStyle w:val="TOC2"/>
        <w:tabs>
          <w:tab w:val="left" w:pos="567"/>
        </w:tabs>
        <w:rPr>
          <w:rFonts w:ascii="Arial" w:eastAsiaTheme="minorEastAsia" w:hAnsi="Arial" w:cs="Arial"/>
          <w:sz w:val="22"/>
          <w:szCs w:val="22"/>
          <w:lang w:eastAsia="en-AU"/>
        </w:rPr>
      </w:pPr>
      <w:hyperlink w:anchor="_Toc115426486" w:history="1">
        <w:r w:rsidR="00CD5E1C" w:rsidRPr="00CD5E1C">
          <w:rPr>
            <w:rStyle w:val="Hyperlink"/>
            <w:rFonts w:ascii="Arial" w:hAnsi="Arial" w:cs="Arial"/>
            <w:highlight w:val="yellow"/>
          </w:rPr>
          <w:t>8.8</w:t>
        </w:r>
        <w:r w:rsidR="00CD5E1C" w:rsidRPr="00CD5E1C">
          <w:rPr>
            <w:rFonts w:ascii="Arial" w:eastAsiaTheme="minorEastAsia" w:hAnsi="Arial" w:cs="Arial"/>
            <w:sz w:val="22"/>
            <w:szCs w:val="22"/>
            <w:lang w:eastAsia="en-AU"/>
          </w:rPr>
          <w:tab/>
        </w:r>
        <w:r w:rsidR="00CD5E1C" w:rsidRPr="00CD5E1C">
          <w:rPr>
            <w:rStyle w:val="Hyperlink"/>
            <w:rFonts w:ascii="Arial" w:hAnsi="Arial" w:cs="Arial"/>
            <w:highlight w:val="yellow"/>
          </w:rPr>
          <w:t>COVID-19 vaccine</w:t>
        </w:r>
        <w:r w:rsidR="00CD5E1C" w:rsidRPr="00CD5E1C">
          <w:rPr>
            <w:rFonts w:ascii="Arial" w:hAnsi="Arial" w:cs="Arial"/>
            <w:webHidden/>
          </w:rPr>
          <w:tab/>
        </w:r>
        <w:r w:rsidR="00CD5E1C" w:rsidRPr="00CD5E1C">
          <w:rPr>
            <w:rFonts w:ascii="Arial" w:hAnsi="Arial" w:cs="Arial"/>
            <w:webHidden/>
          </w:rPr>
          <w:fldChar w:fldCharType="begin"/>
        </w:r>
        <w:r w:rsidR="00CD5E1C" w:rsidRPr="00CD5E1C">
          <w:rPr>
            <w:rFonts w:ascii="Arial" w:hAnsi="Arial" w:cs="Arial"/>
            <w:webHidden/>
          </w:rPr>
          <w:instrText xml:space="preserve"> PAGEREF _Toc115426486 \h </w:instrText>
        </w:r>
        <w:r w:rsidR="00CD5E1C" w:rsidRPr="00CD5E1C">
          <w:rPr>
            <w:rFonts w:ascii="Arial" w:hAnsi="Arial" w:cs="Arial"/>
            <w:webHidden/>
          </w:rPr>
        </w:r>
        <w:r w:rsidR="00CD5E1C" w:rsidRPr="00CD5E1C">
          <w:rPr>
            <w:rFonts w:ascii="Arial" w:hAnsi="Arial" w:cs="Arial"/>
            <w:webHidden/>
          </w:rPr>
          <w:fldChar w:fldCharType="separate"/>
        </w:r>
        <w:r w:rsidR="00CD5E1C" w:rsidRPr="00CD5E1C">
          <w:rPr>
            <w:rFonts w:ascii="Arial" w:hAnsi="Arial" w:cs="Arial"/>
            <w:webHidden/>
          </w:rPr>
          <w:t>17</w:t>
        </w:r>
        <w:r w:rsidR="00CD5E1C" w:rsidRPr="00CD5E1C">
          <w:rPr>
            <w:rFonts w:ascii="Arial" w:hAnsi="Arial" w:cs="Arial"/>
            <w:webHidden/>
          </w:rPr>
          <w:fldChar w:fldCharType="end"/>
        </w:r>
      </w:hyperlink>
    </w:p>
    <w:p w14:paraId="14BD512B" w14:textId="39782EF1" w:rsidR="00CD5E1C" w:rsidRPr="00CD5E1C" w:rsidRDefault="007071D0">
      <w:pPr>
        <w:pStyle w:val="TOC2"/>
        <w:tabs>
          <w:tab w:val="left" w:pos="567"/>
        </w:tabs>
        <w:rPr>
          <w:rFonts w:ascii="Arial" w:eastAsiaTheme="minorEastAsia" w:hAnsi="Arial" w:cs="Arial"/>
          <w:sz w:val="22"/>
          <w:szCs w:val="22"/>
          <w:lang w:eastAsia="en-AU"/>
        </w:rPr>
      </w:pPr>
      <w:hyperlink w:anchor="_Toc115426487" w:history="1">
        <w:r w:rsidR="00CD5E1C" w:rsidRPr="00CD5E1C">
          <w:rPr>
            <w:rStyle w:val="Hyperlink"/>
            <w:rFonts w:ascii="Arial" w:hAnsi="Arial" w:cs="Arial"/>
          </w:rPr>
          <w:t>8.9</w:t>
        </w:r>
        <w:r w:rsidR="00CD5E1C" w:rsidRPr="00CD5E1C">
          <w:rPr>
            <w:rFonts w:ascii="Arial" w:eastAsiaTheme="minorEastAsia" w:hAnsi="Arial" w:cs="Arial"/>
            <w:sz w:val="22"/>
            <w:szCs w:val="22"/>
            <w:lang w:eastAsia="en-AU"/>
          </w:rPr>
          <w:tab/>
        </w:r>
        <w:r w:rsidR="00CD5E1C" w:rsidRPr="00CD5E1C">
          <w:rPr>
            <w:rStyle w:val="Hyperlink"/>
            <w:rFonts w:ascii="Arial" w:hAnsi="Arial" w:cs="Arial"/>
          </w:rPr>
          <w:t>Japanese encephalitis (JE) Vaccine</w:t>
        </w:r>
        <w:r w:rsidR="00CD5E1C" w:rsidRPr="00CD5E1C">
          <w:rPr>
            <w:rFonts w:ascii="Arial" w:hAnsi="Arial" w:cs="Arial"/>
            <w:webHidden/>
          </w:rPr>
          <w:tab/>
        </w:r>
        <w:r w:rsidR="00CD5E1C" w:rsidRPr="00CD5E1C">
          <w:rPr>
            <w:rFonts w:ascii="Arial" w:hAnsi="Arial" w:cs="Arial"/>
            <w:webHidden/>
          </w:rPr>
          <w:fldChar w:fldCharType="begin"/>
        </w:r>
        <w:r w:rsidR="00CD5E1C" w:rsidRPr="00CD5E1C">
          <w:rPr>
            <w:rFonts w:ascii="Arial" w:hAnsi="Arial" w:cs="Arial"/>
            <w:webHidden/>
          </w:rPr>
          <w:instrText xml:space="preserve"> PAGEREF _Toc115426487 \h </w:instrText>
        </w:r>
        <w:r w:rsidR="00CD5E1C" w:rsidRPr="00CD5E1C">
          <w:rPr>
            <w:rFonts w:ascii="Arial" w:hAnsi="Arial" w:cs="Arial"/>
            <w:webHidden/>
          </w:rPr>
        </w:r>
        <w:r w:rsidR="00CD5E1C" w:rsidRPr="00CD5E1C">
          <w:rPr>
            <w:rFonts w:ascii="Arial" w:hAnsi="Arial" w:cs="Arial"/>
            <w:webHidden/>
          </w:rPr>
          <w:fldChar w:fldCharType="separate"/>
        </w:r>
        <w:r w:rsidR="00CD5E1C" w:rsidRPr="00CD5E1C">
          <w:rPr>
            <w:rFonts w:ascii="Arial" w:hAnsi="Arial" w:cs="Arial"/>
            <w:webHidden/>
          </w:rPr>
          <w:t>17</w:t>
        </w:r>
        <w:r w:rsidR="00CD5E1C" w:rsidRPr="00CD5E1C">
          <w:rPr>
            <w:rFonts w:ascii="Arial" w:hAnsi="Arial" w:cs="Arial"/>
            <w:webHidden/>
          </w:rPr>
          <w:fldChar w:fldCharType="end"/>
        </w:r>
      </w:hyperlink>
    </w:p>
    <w:p w14:paraId="3DDF9A1D" w14:textId="55C84EB5" w:rsidR="00CD5E1C" w:rsidRPr="00CD5E1C" w:rsidRDefault="007071D0">
      <w:pPr>
        <w:pStyle w:val="TOC2"/>
        <w:tabs>
          <w:tab w:val="left" w:pos="851"/>
        </w:tabs>
        <w:rPr>
          <w:rFonts w:ascii="Arial" w:eastAsiaTheme="minorEastAsia" w:hAnsi="Arial" w:cs="Arial"/>
          <w:sz w:val="22"/>
          <w:szCs w:val="22"/>
          <w:lang w:eastAsia="en-AU"/>
        </w:rPr>
      </w:pPr>
      <w:hyperlink w:anchor="_Toc115426488" w:history="1">
        <w:r w:rsidR="00CD5E1C" w:rsidRPr="00CD5E1C">
          <w:rPr>
            <w:rStyle w:val="Hyperlink"/>
            <w:rFonts w:ascii="Arial" w:hAnsi="Arial" w:cs="Arial"/>
            <w:highlight w:val="yellow"/>
          </w:rPr>
          <w:t>8.10</w:t>
        </w:r>
        <w:r w:rsidR="00CD5E1C" w:rsidRPr="00CD5E1C">
          <w:rPr>
            <w:rFonts w:ascii="Arial" w:eastAsiaTheme="minorEastAsia" w:hAnsi="Arial" w:cs="Arial"/>
            <w:sz w:val="22"/>
            <w:szCs w:val="22"/>
            <w:lang w:eastAsia="en-AU"/>
          </w:rPr>
          <w:tab/>
        </w:r>
        <w:r w:rsidR="00CD5E1C" w:rsidRPr="00CD5E1C">
          <w:rPr>
            <w:rStyle w:val="Hyperlink"/>
            <w:rFonts w:ascii="Arial" w:hAnsi="Arial" w:cs="Arial"/>
            <w:highlight w:val="yellow"/>
          </w:rPr>
          <w:t>Monkeypox vaccine</w:t>
        </w:r>
        <w:r w:rsidR="00CD5E1C" w:rsidRPr="00CD5E1C">
          <w:rPr>
            <w:rFonts w:ascii="Arial" w:hAnsi="Arial" w:cs="Arial"/>
            <w:webHidden/>
          </w:rPr>
          <w:tab/>
        </w:r>
        <w:r w:rsidR="00CD5E1C" w:rsidRPr="00CD5E1C">
          <w:rPr>
            <w:rFonts w:ascii="Arial" w:hAnsi="Arial" w:cs="Arial"/>
            <w:webHidden/>
          </w:rPr>
          <w:fldChar w:fldCharType="begin"/>
        </w:r>
        <w:r w:rsidR="00CD5E1C" w:rsidRPr="00CD5E1C">
          <w:rPr>
            <w:rFonts w:ascii="Arial" w:hAnsi="Arial" w:cs="Arial"/>
            <w:webHidden/>
          </w:rPr>
          <w:instrText xml:space="preserve"> PAGEREF _Toc115426488 \h </w:instrText>
        </w:r>
        <w:r w:rsidR="00CD5E1C" w:rsidRPr="00CD5E1C">
          <w:rPr>
            <w:rFonts w:ascii="Arial" w:hAnsi="Arial" w:cs="Arial"/>
            <w:webHidden/>
          </w:rPr>
        </w:r>
        <w:r w:rsidR="00CD5E1C" w:rsidRPr="00CD5E1C">
          <w:rPr>
            <w:rFonts w:ascii="Arial" w:hAnsi="Arial" w:cs="Arial"/>
            <w:webHidden/>
          </w:rPr>
          <w:fldChar w:fldCharType="separate"/>
        </w:r>
        <w:r w:rsidR="00CD5E1C" w:rsidRPr="00CD5E1C">
          <w:rPr>
            <w:rFonts w:ascii="Arial" w:hAnsi="Arial" w:cs="Arial"/>
            <w:webHidden/>
          </w:rPr>
          <w:t>17</w:t>
        </w:r>
        <w:r w:rsidR="00CD5E1C" w:rsidRPr="00CD5E1C">
          <w:rPr>
            <w:rFonts w:ascii="Arial" w:hAnsi="Arial" w:cs="Arial"/>
            <w:webHidden/>
          </w:rPr>
          <w:fldChar w:fldCharType="end"/>
        </w:r>
      </w:hyperlink>
    </w:p>
    <w:p w14:paraId="46282CEA" w14:textId="4D0776D7" w:rsidR="00CD5E1C" w:rsidRPr="00CD5E1C" w:rsidRDefault="007071D0">
      <w:pPr>
        <w:pStyle w:val="TOC2"/>
        <w:tabs>
          <w:tab w:val="left" w:pos="851"/>
        </w:tabs>
        <w:rPr>
          <w:rFonts w:ascii="Arial" w:eastAsiaTheme="minorEastAsia" w:hAnsi="Arial" w:cs="Arial"/>
          <w:sz w:val="22"/>
          <w:szCs w:val="22"/>
          <w:lang w:eastAsia="en-AU"/>
        </w:rPr>
      </w:pPr>
      <w:hyperlink w:anchor="_Toc115426489" w:history="1">
        <w:r w:rsidR="00CD5E1C" w:rsidRPr="00CD5E1C">
          <w:rPr>
            <w:rStyle w:val="Hyperlink"/>
            <w:rFonts w:ascii="Arial" w:hAnsi="Arial" w:cs="Arial"/>
            <w:highlight w:val="yellow"/>
          </w:rPr>
          <w:t>8.11</w:t>
        </w:r>
        <w:r w:rsidR="00CD5E1C" w:rsidRPr="00CD5E1C">
          <w:rPr>
            <w:rFonts w:ascii="Arial" w:eastAsiaTheme="minorEastAsia" w:hAnsi="Arial" w:cs="Arial"/>
            <w:sz w:val="22"/>
            <w:szCs w:val="22"/>
            <w:lang w:eastAsia="en-AU"/>
          </w:rPr>
          <w:tab/>
        </w:r>
        <w:r w:rsidR="00CD5E1C" w:rsidRPr="00CD5E1C">
          <w:rPr>
            <w:rStyle w:val="Hyperlink"/>
            <w:rFonts w:ascii="Arial" w:hAnsi="Arial" w:cs="Arial"/>
            <w:highlight w:val="yellow"/>
          </w:rPr>
          <w:t>Exclusions</w:t>
        </w:r>
        <w:r w:rsidR="00CD5E1C" w:rsidRPr="00CD5E1C">
          <w:rPr>
            <w:rFonts w:ascii="Arial" w:hAnsi="Arial" w:cs="Arial"/>
            <w:webHidden/>
          </w:rPr>
          <w:tab/>
        </w:r>
        <w:r w:rsidR="00CD5E1C" w:rsidRPr="00CD5E1C">
          <w:rPr>
            <w:rFonts w:ascii="Arial" w:hAnsi="Arial" w:cs="Arial"/>
            <w:webHidden/>
          </w:rPr>
          <w:fldChar w:fldCharType="begin"/>
        </w:r>
        <w:r w:rsidR="00CD5E1C" w:rsidRPr="00CD5E1C">
          <w:rPr>
            <w:rFonts w:ascii="Arial" w:hAnsi="Arial" w:cs="Arial"/>
            <w:webHidden/>
          </w:rPr>
          <w:instrText xml:space="preserve"> PAGEREF _Toc115426489 \h </w:instrText>
        </w:r>
        <w:r w:rsidR="00CD5E1C" w:rsidRPr="00CD5E1C">
          <w:rPr>
            <w:rFonts w:ascii="Arial" w:hAnsi="Arial" w:cs="Arial"/>
            <w:webHidden/>
          </w:rPr>
        </w:r>
        <w:r w:rsidR="00CD5E1C" w:rsidRPr="00CD5E1C">
          <w:rPr>
            <w:rFonts w:ascii="Arial" w:hAnsi="Arial" w:cs="Arial"/>
            <w:webHidden/>
          </w:rPr>
          <w:fldChar w:fldCharType="separate"/>
        </w:r>
        <w:r w:rsidR="00CD5E1C" w:rsidRPr="00CD5E1C">
          <w:rPr>
            <w:rFonts w:ascii="Arial" w:hAnsi="Arial" w:cs="Arial"/>
            <w:webHidden/>
          </w:rPr>
          <w:t>17</w:t>
        </w:r>
        <w:r w:rsidR="00CD5E1C" w:rsidRPr="00CD5E1C">
          <w:rPr>
            <w:rFonts w:ascii="Arial" w:hAnsi="Arial" w:cs="Arial"/>
            <w:webHidden/>
          </w:rPr>
          <w:fldChar w:fldCharType="end"/>
        </w:r>
      </w:hyperlink>
    </w:p>
    <w:p w14:paraId="0E4FF9CF" w14:textId="2AF11B06" w:rsidR="00CD5E1C" w:rsidRPr="00CD5E1C" w:rsidRDefault="007071D0">
      <w:pPr>
        <w:pStyle w:val="TOC1"/>
        <w:tabs>
          <w:tab w:val="left" w:pos="567"/>
        </w:tabs>
        <w:rPr>
          <w:rFonts w:ascii="Arial" w:eastAsiaTheme="minorEastAsia" w:hAnsi="Arial" w:cs="Arial"/>
          <w:b w:val="0"/>
          <w:sz w:val="22"/>
          <w:szCs w:val="22"/>
          <w:lang w:eastAsia="en-AU"/>
        </w:rPr>
      </w:pPr>
      <w:hyperlink w:anchor="_Toc115426490" w:history="1">
        <w:r w:rsidR="00CD5E1C" w:rsidRPr="00CD5E1C">
          <w:rPr>
            <w:rStyle w:val="Hyperlink"/>
            <w:rFonts w:ascii="Arial" w:hAnsi="Arial" w:cs="Arial"/>
          </w:rPr>
          <w:t>9.</w:t>
        </w:r>
        <w:r w:rsidR="00CD5E1C" w:rsidRPr="00CD5E1C">
          <w:rPr>
            <w:rFonts w:ascii="Arial" w:eastAsiaTheme="minorEastAsia" w:hAnsi="Arial" w:cs="Arial"/>
            <w:b w:val="0"/>
            <w:sz w:val="22"/>
            <w:szCs w:val="22"/>
            <w:lang w:eastAsia="en-AU"/>
          </w:rPr>
          <w:tab/>
        </w:r>
        <w:r w:rsidR="00CD5E1C" w:rsidRPr="00CD5E1C">
          <w:rPr>
            <w:rStyle w:val="Hyperlink"/>
            <w:rFonts w:ascii="Arial" w:hAnsi="Arial" w:cs="Arial"/>
          </w:rPr>
          <w:t>Clinical governance and risk management</w:t>
        </w:r>
        <w:r w:rsidR="00CD5E1C" w:rsidRPr="00CD5E1C">
          <w:rPr>
            <w:rFonts w:ascii="Arial" w:hAnsi="Arial" w:cs="Arial"/>
            <w:webHidden/>
          </w:rPr>
          <w:tab/>
        </w:r>
        <w:r w:rsidR="00CD5E1C" w:rsidRPr="00CD5E1C">
          <w:rPr>
            <w:rFonts w:ascii="Arial" w:hAnsi="Arial" w:cs="Arial"/>
            <w:webHidden/>
          </w:rPr>
          <w:fldChar w:fldCharType="begin"/>
        </w:r>
        <w:r w:rsidR="00CD5E1C" w:rsidRPr="00CD5E1C">
          <w:rPr>
            <w:rFonts w:ascii="Arial" w:hAnsi="Arial" w:cs="Arial"/>
            <w:webHidden/>
          </w:rPr>
          <w:instrText xml:space="preserve"> PAGEREF _Toc115426490 \h </w:instrText>
        </w:r>
        <w:r w:rsidR="00CD5E1C" w:rsidRPr="00CD5E1C">
          <w:rPr>
            <w:rFonts w:ascii="Arial" w:hAnsi="Arial" w:cs="Arial"/>
            <w:webHidden/>
          </w:rPr>
        </w:r>
        <w:r w:rsidR="00CD5E1C" w:rsidRPr="00CD5E1C">
          <w:rPr>
            <w:rFonts w:ascii="Arial" w:hAnsi="Arial" w:cs="Arial"/>
            <w:webHidden/>
          </w:rPr>
          <w:fldChar w:fldCharType="separate"/>
        </w:r>
        <w:r w:rsidR="00CD5E1C" w:rsidRPr="00CD5E1C">
          <w:rPr>
            <w:rFonts w:ascii="Arial" w:hAnsi="Arial" w:cs="Arial"/>
            <w:webHidden/>
          </w:rPr>
          <w:t>19</w:t>
        </w:r>
        <w:r w:rsidR="00CD5E1C" w:rsidRPr="00CD5E1C">
          <w:rPr>
            <w:rFonts w:ascii="Arial" w:hAnsi="Arial" w:cs="Arial"/>
            <w:webHidden/>
          </w:rPr>
          <w:fldChar w:fldCharType="end"/>
        </w:r>
      </w:hyperlink>
    </w:p>
    <w:p w14:paraId="2D2F23C9" w14:textId="2AE6B209" w:rsidR="00CD5E1C" w:rsidRPr="00CD5E1C" w:rsidRDefault="007071D0">
      <w:pPr>
        <w:pStyle w:val="TOC2"/>
        <w:tabs>
          <w:tab w:val="left" w:pos="567"/>
        </w:tabs>
        <w:rPr>
          <w:rFonts w:ascii="Arial" w:eastAsiaTheme="minorEastAsia" w:hAnsi="Arial" w:cs="Arial"/>
          <w:sz w:val="22"/>
          <w:szCs w:val="22"/>
          <w:lang w:eastAsia="en-AU"/>
        </w:rPr>
      </w:pPr>
      <w:hyperlink w:anchor="_Toc115426491" w:history="1">
        <w:r w:rsidR="00CD5E1C" w:rsidRPr="00CD5E1C">
          <w:rPr>
            <w:rStyle w:val="Hyperlink"/>
            <w:rFonts w:ascii="Arial" w:hAnsi="Arial" w:cs="Arial"/>
          </w:rPr>
          <w:t>9.1</w:t>
        </w:r>
        <w:r w:rsidR="00CD5E1C" w:rsidRPr="00CD5E1C">
          <w:rPr>
            <w:rFonts w:ascii="Arial" w:eastAsiaTheme="minorEastAsia" w:hAnsi="Arial" w:cs="Arial"/>
            <w:sz w:val="22"/>
            <w:szCs w:val="22"/>
            <w:lang w:eastAsia="en-AU"/>
          </w:rPr>
          <w:tab/>
        </w:r>
        <w:r w:rsidR="00CD5E1C" w:rsidRPr="00CD5E1C">
          <w:rPr>
            <w:rStyle w:val="Hyperlink"/>
            <w:rFonts w:ascii="Arial" w:hAnsi="Arial" w:cs="Arial"/>
          </w:rPr>
          <w:t>Victoria’s clinical governance framework</w:t>
        </w:r>
        <w:r w:rsidR="00CD5E1C" w:rsidRPr="00CD5E1C">
          <w:rPr>
            <w:rFonts w:ascii="Arial" w:hAnsi="Arial" w:cs="Arial"/>
            <w:webHidden/>
          </w:rPr>
          <w:tab/>
        </w:r>
        <w:r w:rsidR="00CD5E1C" w:rsidRPr="00CD5E1C">
          <w:rPr>
            <w:rFonts w:ascii="Arial" w:hAnsi="Arial" w:cs="Arial"/>
            <w:webHidden/>
          </w:rPr>
          <w:fldChar w:fldCharType="begin"/>
        </w:r>
        <w:r w:rsidR="00CD5E1C" w:rsidRPr="00CD5E1C">
          <w:rPr>
            <w:rFonts w:ascii="Arial" w:hAnsi="Arial" w:cs="Arial"/>
            <w:webHidden/>
          </w:rPr>
          <w:instrText xml:space="preserve"> PAGEREF _Toc115426491 \h </w:instrText>
        </w:r>
        <w:r w:rsidR="00CD5E1C" w:rsidRPr="00CD5E1C">
          <w:rPr>
            <w:rFonts w:ascii="Arial" w:hAnsi="Arial" w:cs="Arial"/>
            <w:webHidden/>
          </w:rPr>
        </w:r>
        <w:r w:rsidR="00CD5E1C" w:rsidRPr="00CD5E1C">
          <w:rPr>
            <w:rFonts w:ascii="Arial" w:hAnsi="Arial" w:cs="Arial"/>
            <w:webHidden/>
          </w:rPr>
          <w:fldChar w:fldCharType="separate"/>
        </w:r>
        <w:r w:rsidR="00CD5E1C" w:rsidRPr="00CD5E1C">
          <w:rPr>
            <w:rFonts w:ascii="Arial" w:hAnsi="Arial" w:cs="Arial"/>
            <w:webHidden/>
          </w:rPr>
          <w:t>19</w:t>
        </w:r>
        <w:r w:rsidR="00CD5E1C" w:rsidRPr="00CD5E1C">
          <w:rPr>
            <w:rFonts w:ascii="Arial" w:hAnsi="Arial" w:cs="Arial"/>
            <w:webHidden/>
          </w:rPr>
          <w:fldChar w:fldCharType="end"/>
        </w:r>
      </w:hyperlink>
    </w:p>
    <w:p w14:paraId="047CA898" w14:textId="6A694B9A" w:rsidR="00CD5E1C" w:rsidRPr="00CD5E1C" w:rsidRDefault="007071D0">
      <w:pPr>
        <w:pStyle w:val="TOC2"/>
        <w:tabs>
          <w:tab w:val="left" w:pos="567"/>
        </w:tabs>
        <w:rPr>
          <w:rFonts w:ascii="Arial" w:eastAsiaTheme="minorEastAsia" w:hAnsi="Arial" w:cs="Arial"/>
          <w:sz w:val="22"/>
          <w:szCs w:val="22"/>
          <w:lang w:eastAsia="en-AU"/>
        </w:rPr>
      </w:pPr>
      <w:hyperlink w:anchor="_Toc115426492" w:history="1">
        <w:r w:rsidR="00CD5E1C" w:rsidRPr="00CD5E1C">
          <w:rPr>
            <w:rStyle w:val="Hyperlink"/>
            <w:rFonts w:ascii="Arial" w:hAnsi="Arial" w:cs="Arial"/>
          </w:rPr>
          <w:t>9.2</w:t>
        </w:r>
        <w:r w:rsidR="00CD5E1C" w:rsidRPr="00CD5E1C">
          <w:rPr>
            <w:rFonts w:ascii="Arial" w:eastAsiaTheme="minorEastAsia" w:hAnsi="Arial" w:cs="Arial"/>
            <w:sz w:val="22"/>
            <w:szCs w:val="22"/>
            <w:lang w:eastAsia="en-AU"/>
          </w:rPr>
          <w:tab/>
        </w:r>
        <w:r w:rsidR="00CD5E1C" w:rsidRPr="00CD5E1C">
          <w:rPr>
            <w:rStyle w:val="Hyperlink"/>
            <w:rFonts w:ascii="Arial" w:hAnsi="Arial" w:cs="Arial"/>
          </w:rPr>
          <w:t>Supporting clinical governance</w:t>
        </w:r>
        <w:r w:rsidR="00CD5E1C" w:rsidRPr="00CD5E1C">
          <w:rPr>
            <w:rFonts w:ascii="Arial" w:hAnsi="Arial" w:cs="Arial"/>
            <w:webHidden/>
          </w:rPr>
          <w:tab/>
        </w:r>
        <w:r w:rsidR="00CD5E1C" w:rsidRPr="00CD5E1C">
          <w:rPr>
            <w:rFonts w:ascii="Arial" w:hAnsi="Arial" w:cs="Arial"/>
            <w:webHidden/>
          </w:rPr>
          <w:fldChar w:fldCharType="begin"/>
        </w:r>
        <w:r w:rsidR="00CD5E1C" w:rsidRPr="00CD5E1C">
          <w:rPr>
            <w:rFonts w:ascii="Arial" w:hAnsi="Arial" w:cs="Arial"/>
            <w:webHidden/>
          </w:rPr>
          <w:instrText xml:space="preserve"> PAGEREF _Toc115426492 \h </w:instrText>
        </w:r>
        <w:r w:rsidR="00CD5E1C" w:rsidRPr="00CD5E1C">
          <w:rPr>
            <w:rFonts w:ascii="Arial" w:hAnsi="Arial" w:cs="Arial"/>
            <w:webHidden/>
          </w:rPr>
        </w:r>
        <w:r w:rsidR="00CD5E1C" w:rsidRPr="00CD5E1C">
          <w:rPr>
            <w:rFonts w:ascii="Arial" w:hAnsi="Arial" w:cs="Arial"/>
            <w:webHidden/>
          </w:rPr>
          <w:fldChar w:fldCharType="separate"/>
        </w:r>
        <w:r w:rsidR="00CD5E1C" w:rsidRPr="00CD5E1C">
          <w:rPr>
            <w:rFonts w:ascii="Arial" w:hAnsi="Arial" w:cs="Arial"/>
            <w:webHidden/>
          </w:rPr>
          <w:t>20</w:t>
        </w:r>
        <w:r w:rsidR="00CD5E1C" w:rsidRPr="00CD5E1C">
          <w:rPr>
            <w:rFonts w:ascii="Arial" w:hAnsi="Arial" w:cs="Arial"/>
            <w:webHidden/>
          </w:rPr>
          <w:fldChar w:fldCharType="end"/>
        </w:r>
      </w:hyperlink>
    </w:p>
    <w:p w14:paraId="3D5C8924" w14:textId="77947142" w:rsidR="00CD5E1C" w:rsidRPr="00CD5E1C" w:rsidRDefault="007071D0">
      <w:pPr>
        <w:pStyle w:val="TOC2"/>
        <w:tabs>
          <w:tab w:val="left" w:pos="567"/>
        </w:tabs>
        <w:rPr>
          <w:rFonts w:ascii="Arial" w:eastAsiaTheme="minorEastAsia" w:hAnsi="Arial" w:cs="Arial"/>
          <w:sz w:val="22"/>
          <w:szCs w:val="22"/>
          <w:lang w:eastAsia="en-AU"/>
        </w:rPr>
      </w:pPr>
      <w:hyperlink w:anchor="_Toc115426493" w:history="1">
        <w:r w:rsidR="00CD5E1C" w:rsidRPr="00CD5E1C">
          <w:rPr>
            <w:rStyle w:val="Hyperlink"/>
            <w:rFonts w:ascii="Arial" w:hAnsi="Arial" w:cs="Arial"/>
          </w:rPr>
          <w:t>9.3</w:t>
        </w:r>
        <w:r w:rsidR="00CD5E1C" w:rsidRPr="00CD5E1C">
          <w:rPr>
            <w:rFonts w:ascii="Arial" w:eastAsiaTheme="minorEastAsia" w:hAnsi="Arial" w:cs="Arial"/>
            <w:sz w:val="22"/>
            <w:szCs w:val="22"/>
            <w:lang w:eastAsia="en-AU"/>
          </w:rPr>
          <w:tab/>
        </w:r>
        <w:r w:rsidR="00CD5E1C" w:rsidRPr="00CD5E1C">
          <w:rPr>
            <w:rStyle w:val="Hyperlink"/>
            <w:rFonts w:ascii="Arial" w:hAnsi="Arial" w:cs="Arial"/>
          </w:rPr>
          <w:t>Other safety requirements</w:t>
        </w:r>
        <w:r w:rsidR="00CD5E1C" w:rsidRPr="00CD5E1C">
          <w:rPr>
            <w:rFonts w:ascii="Arial" w:hAnsi="Arial" w:cs="Arial"/>
            <w:webHidden/>
          </w:rPr>
          <w:tab/>
        </w:r>
        <w:r w:rsidR="00CD5E1C" w:rsidRPr="00CD5E1C">
          <w:rPr>
            <w:rFonts w:ascii="Arial" w:hAnsi="Arial" w:cs="Arial"/>
            <w:webHidden/>
          </w:rPr>
          <w:fldChar w:fldCharType="begin"/>
        </w:r>
        <w:r w:rsidR="00CD5E1C" w:rsidRPr="00CD5E1C">
          <w:rPr>
            <w:rFonts w:ascii="Arial" w:hAnsi="Arial" w:cs="Arial"/>
            <w:webHidden/>
          </w:rPr>
          <w:instrText xml:space="preserve"> PAGEREF _Toc115426493 \h </w:instrText>
        </w:r>
        <w:r w:rsidR="00CD5E1C" w:rsidRPr="00CD5E1C">
          <w:rPr>
            <w:rFonts w:ascii="Arial" w:hAnsi="Arial" w:cs="Arial"/>
            <w:webHidden/>
          </w:rPr>
        </w:r>
        <w:r w:rsidR="00CD5E1C" w:rsidRPr="00CD5E1C">
          <w:rPr>
            <w:rFonts w:ascii="Arial" w:hAnsi="Arial" w:cs="Arial"/>
            <w:webHidden/>
          </w:rPr>
          <w:fldChar w:fldCharType="separate"/>
        </w:r>
        <w:r w:rsidR="00CD5E1C" w:rsidRPr="00CD5E1C">
          <w:rPr>
            <w:rFonts w:ascii="Arial" w:hAnsi="Arial" w:cs="Arial"/>
            <w:webHidden/>
          </w:rPr>
          <w:t>20</w:t>
        </w:r>
        <w:r w:rsidR="00CD5E1C" w:rsidRPr="00CD5E1C">
          <w:rPr>
            <w:rFonts w:ascii="Arial" w:hAnsi="Arial" w:cs="Arial"/>
            <w:webHidden/>
          </w:rPr>
          <w:fldChar w:fldCharType="end"/>
        </w:r>
      </w:hyperlink>
    </w:p>
    <w:p w14:paraId="2205ED37" w14:textId="50E28CFF" w:rsidR="00CD5E1C" w:rsidRPr="00CD5E1C" w:rsidRDefault="007071D0">
      <w:pPr>
        <w:pStyle w:val="TOC1"/>
        <w:tabs>
          <w:tab w:val="left" w:pos="567"/>
        </w:tabs>
        <w:rPr>
          <w:rFonts w:ascii="Arial" w:eastAsiaTheme="minorEastAsia" w:hAnsi="Arial" w:cs="Arial"/>
          <w:b w:val="0"/>
          <w:sz w:val="22"/>
          <w:szCs w:val="22"/>
          <w:lang w:eastAsia="en-AU"/>
        </w:rPr>
      </w:pPr>
      <w:hyperlink w:anchor="_Toc115426494" w:history="1">
        <w:r w:rsidR="00CD5E1C" w:rsidRPr="00CD5E1C">
          <w:rPr>
            <w:rStyle w:val="Hyperlink"/>
            <w:rFonts w:ascii="Arial" w:hAnsi="Arial" w:cs="Arial"/>
            <w:highlight w:val="yellow"/>
          </w:rPr>
          <w:t>10.</w:t>
        </w:r>
        <w:r w:rsidR="00CD5E1C" w:rsidRPr="00CD5E1C">
          <w:rPr>
            <w:rFonts w:ascii="Arial" w:eastAsiaTheme="minorEastAsia" w:hAnsi="Arial" w:cs="Arial"/>
            <w:b w:val="0"/>
            <w:sz w:val="22"/>
            <w:szCs w:val="22"/>
            <w:lang w:eastAsia="en-AU"/>
          </w:rPr>
          <w:tab/>
        </w:r>
        <w:r w:rsidR="00CD5E1C" w:rsidRPr="00CD5E1C">
          <w:rPr>
            <w:rStyle w:val="Hyperlink"/>
            <w:rFonts w:ascii="Arial" w:hAnsi="Arial" w:cs="Arial"/>
            <w:highlight w:val="yellow"/>
          </w:rPr>
          <w:t>Premises, professional governance and staffing</w:t>
        </w:r>
        <w:r w:rsidR="00CD5E1C" w:rsidRPr="00CD5E1C">
          <w:rPr>
            <w:rFonts w:ascii="Arial" w:hAnsi="Arial" w:cs="Arial"/>
            <w:webHidden/>
          </w:rPr>
          <w:tab/>
        </w:r>
        <w:r w:rsidR="00CD5E1C" w:rsidRPr="00CD5E1C">
          <w:rPr>
            <w:rFonts w:ascii="Arial" w:hAnsi="Arial" w:cs="Arial"/>
            <w:webHidden/>
          </w:rPr>
          <w:fldChar w:fldCharType="begin"/>
        </w:r>
        <w:r w:rsidR="00CD5E1C" w:rsidRPr="00CD5E1C">
          <w:rPr>
            <w:rFonts w:ascii="Arial" w:hAnsi="Arial" w:cs="Arial"/>
            <w:webHidden/>
          </w:rPr>
          <w:instrText xml:space="preserve"> PAGEREF _Toc115426494 \h </w:instrText>
        </w:r>
        <w:r w:rsidR="00CD5E1C" w:rsidRPr="00CD5E1C">
          <w:rPr>
            <w:rFonts w:ascii="Arial" w:hAnsi="Arial" w:cs="Arial"/>
            <w:webHidden/>
          </w:rPr>
        </w:r>
        <w:r w:rsidR="00CD5E1C" w:rsidRPr="00CD5E1C">
          <w:rPr>
            <w:rFonts w:ascii="Arial" w:hAnsi="Arial" w:cs="Arial"/>
            <w:webHidden/>
          </w:rPr>
          <w:fldChar w:fldCharType="separate"/>
        </w:r>
        <w:r w:rsidR="00CD5E1C" w:rsidRPr="00CD5E1C">
          <w:rPr>
            <w:rFonts w:ascii="Arial" w:hAnsi="Arial" w:cs="Arial"/>
            <w:webHidden/>
          </w:rPr>
          <w:t>20</w:t>
        </w:r>
        <w:r w:rsidR="00CD5E1C" w:rsidRPr="00CD5E1C">
          <w:rPr>
            <w:rFonts w:ascii="Arial" w:hAnsi="Arial" w:cs="Arial"/>
            <w:webHidden/>
          </w:rPr>
          <w:fldChar w:fldCharType="end"/>
        </w:r>
      </w:hyperlink>
    </w:p>
    <w:p w14:paraId="586A273A" w14:textId="1BDADAEB" w:rsidR="00CD5E1C" w:rsidRPr="00CD5E1C" w:rsidRDefault="007071D0">
      <w:pPr>
        <w:pStyle w:val="TOC2"/>
        <w:tabs>
          <w:tab w:val="left" w:pos="851"/>
        </w:tabs>
        <w:rPr>
          <w:rFonts w:ascii="Arial" w:eastAsiaTheme="minorEastAsia" w:hAnsi="Arial" w:cs="Arial"/>
          <w:sz w:val="22"/>
          <w:szCs w:val="22"/>
          <w:lang w:eastAsia="en-AU"/>
        </w:rPr>
      </w:pPr>
      <w:hyperlink w:anchor="_Toc115426495" w:history="1">
        <w:r w:rsidR="00CD5E1C" w:rsidRPr="00CD5E1C">
          <w:rPr>
            <w:rStyle w:val="Hyperlink"/>
            <w:rFonts w:ascii="Arial" w:hAnsi="Arial" w:cs="Arial"/>
          </w:rPr>
          <w:t>10.1</w:t>
        </w:r>
        <w:r w:rsidR="00CD5E1C" w:rsidRPr="00CD5E1C">
          <w:rPr>
            <w:rFonts w:ascii="Arial" w:eastAsiaTheme="minorEastAsia" w:hAnsi="Arial" w:cs="Arial"/>
            <w:sz w:val="22"/>
            <w:szCs w:val="22"/>
            <w:lang w:eastAsia="en-AU"/>
          </w:rPr>
          <w:tab/>
        </w:r>
        <w:r w:rsidR="00CD5E1C" w:rsidRPr="00CD5E1C">
          <w:rPr>
            <w:rStyle w:val="Hyperlink"/>
            <w:rFonts w:ascii="Arial" w:hAnsi="Arial" w:cs="Arial"/>
          </w:rPr>
          <w:t>Premises</w:t>
        </w:r>
        <w:r w:rsidR="00CD5E1C" w:rsidRPr="00CD5E1C">
          <w:rPr>
            <w:rFonts w:ascii="Arial" w:hAnsi="Arial" w:cs="Arial"/>
            <w:webHidden/>
          </w:rPr>
          <w:tab/>
        </w:r>
        <w:r w:rsidR="00CD5E1C" w:rsidRPr="00CD5E1C">
          <w:rPr>
            <w:rFonts w:ascii="Arial" w:hAnsi="Arial" w:cs="Arial"/>
            <w:webHidden/>
          </w:rPr>
          <w:fldChar w:fldCharType="begin"/>
        </w:r>
        <w:r w:rsidR="00CD5E1C" w:rsidRPr="00CD5E1C">
          <w:rPr>
            <w:rFonts w:ascii="Arial" w:hAnsi="Arial" w:cs="Arial"/>
            <w:webHidden/>
          </w:rPr>
          <w:instrText xml:space="preserve"> PAGEREF _Toc115426495 \h </w:instrText>
        </w:r>
        <w:r w:rsidR="00CD5E1C" w:rsidRPr="00CD5E1C">
          <w:rPr>
            <w:rFonts w:ascii="Arial" w:hAnsi="Arial" w:cs="Arial"/>
            <w:webHidden/>
          </w:rPr>
        </w:r>
        <w:r w:rsidR="00CD5E1C" w:rsidRPr="00CD5E1C">
          <w:rPr>
            <w:rFonts w:ascii="Arial" w:hAnsi="Arial" w:cs="Arial"/>
            <w:webHidden/>
          </w:rPr>
          <w:fldChar w:fldCharType="separate"/>
        </w:r>
        <w:r w:rsidR="00CD5E1C" w:rsidRPr="00CD5E1C">
          <w:rPr>
            <w:rFonts w:ascii="Arial" w:hAnsi="Arial" w:cs="Arial"/>
            <w:webHidden/>
          </w:rPr>
          <w:t>20</w:t>
        </w:r>
        <w:r w:rsidR="00CD5E1C" w:rsidRPr="00CD5E1C">
          <w:rPr>
            <w:rFonts w:ascii="Arial" w:hAnsi="Arial" w:cs="Arial"/>
            <w:webHidden/>
          </w:rPr>
          <w:fldChar w:fldCharType="end"/>
        </w:r>
      </w:hyperlink>
    </w:p>
    <w:p w14:paraId="7B6FCA83" w14:textId="65A4F245" w:rsidR="00CD5E1C" w:rsidRPr="00CD5E1C" w:rsidRDefault="007071D0">
      <w:pPr>
        <w:pStyle w:val="TOC2"/>
        <w:tabs>
          <w:tab w:val="left" w:pos="851"/>
        </w:tabs>
        <w:rPr>
          <w:rFonts w:ascii="Arial" w:eastAsiaTheme="minorEastAsia" w:hAnsi="Arial" w:cs="Arial"/>
          <w:sz w:val="22"/>
          <w:szCs w:val="22"/>
          <w:lang w:eastAsia="en-AU"/>
        </w:rPr>
      </w:pPr>
      <w:hyperlink w:anchor="_Toc115426496" w:history="1">
        <w:r w:rsidR="00CD5E1C" w:rsidRPr="00CD5E1C">
          <w:rPr>
            <w:rStyle w:val="Hyperlink"/>
            <w:rFonts w:ascii="Arial" w:hAnsi="Arial" w:cs="Arial"/>
            <w:highlight w:val="yellow"/>
          </w:rPr>
          <w:t>10.2</w:t>
        </w:r>
        <w:r w:rsidR="00CD5E1C" w:rsidRPr="00CD5E1C">
          <w:rPr>
            <w:rFonts w:ascii="Arial" w:eastAsiaTheme="minorEastAsia" w:hAnsi="Arial" w:cs="Arial"/>
            <w:sz w:val="22"/>
            <w:szCs w:val="22"/>
            <w:lang w:eastAsia="en-AU"/>
          </w:rPr>
          <w:tab/>
        </w:r>
        <w:r w:rsidR="00CD5E1C" w:rsidRPr="00CD5E1C">
          <w:rPr>
            <w:rStyle w:val="Hyperlink"/>
            <w:rFonts w:ascii="Arial" w:hAnsi="Arial" w:cs="Arial"/>
            <w:highlight w:val="yellow"/>
          </w:rPr>
          <w:t>Registration of premises</w:t>
        </w:r>
        <w:r w:rsidR="00CD5E1C" w:rsidRPr="00CD5E1C">
          <w:rPr>
            <w:rFonts w:ascii="Arial" w:hAnsi="Arial" w:cs="Arial"/>
            <w:webHidden/>
          </w:rPr>
          <w:tab/>
        </w:r>
        <w:r w:rsidR="00CD5E1C" w:rsidRPr="00CD5E1C">
          <w:rPr>
            <w:rFonts w:ascii="Arial" w:hAnsi="Arial" w:cs="Arial"/>
            <w:webHidden/>
          </w:rPr>
          <w:fldChar w:fldCharType="begin"/>
        </w:r>
        <w:r w:rsidR="00CD5E1C" w:rsidRPr="00CD5E1C">
          <w:rPr>
            <w:rFonts w:ascii="Arial" w:hAnsi="Arial" w:cs="Arial"/>
            <w:webHidden/>
          </w:rPr>
          <w:instrText xml:space="preserve"> PAGEREF _Toc115426496 \h </w:instrText>
        </w:r>
        <w:r w:rsidR="00CD5E1C" w:rsidRPr="00CD5E1C">
          <w:rPr>
            <w:rFonts w:ascii="Arial" w:hAnsi="Arial" w:cs="Arial"/>
            <w:webHidden/>
          </w:rPr>
        </w:r>
        <w:r w:rsidR="00CD5E1C" w:rsidRPr="00CD5E1C">
          <w:rPr>
            <w:rFonts w:ascii="Arial" w:hAnsi="Arial" w:cs="Arial"/>
            <w:webHidden/>
          </w:rPr>
          <w:fldChar w:fldCharType="separate"/>
        </w:r>
        <w:r w:rsidR="00CD5E1C" w:rsidRPr="00CD5E1C">
          <w:rPr>
            <w:rFonts w:ascii="Arial" w:hAnsi="Arial" w:cs="Arial"/>
            <w:webHidden/>
          </w:rPr>
          <w:t>22</w:t>
        </w:r>
        <w:r w:rsidR="00CD5E1C" w:rsidRPr="00CD5E1C">
          <w:rPr>
            <w:rFonts w:ascii="Arial" w:hAnsi="Arial" w:cs="Arial"/>
            <w:webHidden/>
          </w:rPr>
          <w:fldChar w:fldCharType="end"/>
        </w:r>
      </w:hyperlink>
    </w:p>
    <w:p w14:paraId="0AB8F9C1" w14:textId="55D5C33D" w:rsidR="00CD5E1C" w:rsidRPr="00CD5E1C" w:rsidRDefault="007071D0">
      <w:pPr>
        <w:pStyle w:val="TOC2"/>
        <w:tabs>
          <w:tab w:val="left" w:pos="851"/>
        </w:tabs>
        <w:rPr>
          <w:rFonts w:ascii="Arial" w:eastAsiaTheme="minorEastAsia" w:hAnsi="Arial" w:cs="Arial"/>
          <w:sz w:val="22"/>
          <w:szCs w:val="22"/>
          <w:lang w:eastAsia="en-AU"/>
        </w:rPr>
      </w:pPr>
      <w:hyperlink w:anchor="_Toc115426497" w:history="1">
        <w:r w:rsidR="00CD5E1C" w:rsidRPr="00CD5E1C">
          <w:rPr>
            <w:rStyle w:val="Hyperlink"/>
            <w:rFonts w:ascii="Arial" w:hAnsi="Arial" w:cs="Arial"/>
          </w:rPr>
          <w:t>10.3</w:t>
        </w:r>
        <w:r w:rsidR="00CD5E1C" w:rsidRPr="00CD5E1C">
          <w:rPr>
            <w:rFonts w:ascii="Arial" w:eastAsiaTheme="minorEastAsia" w:hAnsi="Arial" w:cs="Arial"/>
            <w:sz w:val="22"/>
            <w:szCs w:val="22"/>
            <w:lang w:eastAsia="en-AU"/>
          </w:rPr>
          <w:tab/>
        </w:r>
        <w:r w:rsidR="00CD5E1C" w:rsidRPr="00CD5E1C">
          <w:rPr>
            <w:rStyle w:val="Hyperlink"/>
            <w:rFonts w:ascii="Arial" w:hAnsi="Arial" w:cs="Arial"/>
          </w:rPr>
          <w:t>Insurance</w:t>
        </w:r>
        <w:r w:rsidR="00CD5E1C" w:rsidRPr="00CD5E1C">
          <w:rPr>
            <w:rFonts w:ascii="Arial" w:hAnsi="Arial" w:cs="Arial"/>
            <w:webHidden/>
          </w:rPr>
          <w:tab/>
        </w:r>
        <w:r w:rsidR="00CD5E1C" w:rsidRPr="00CD5E1C">
          <w:rPr>
            <w:rFonts w:ascii="Arial" w:hAnsi="Arial" w:cs="Arial"/>
            <w:webHidden/>
          </w:rPr>
          <w:fldChar w:fldCharType="begin"/>
        </w:r>
        <w:r w:rsidR="00CD5E1C" w:rsidRPr="00CD5E1C">
          <w:rPr>
            <w:rFonts w:ascii="Arial" w:hAnsi="Arial" w:cs="Arial"/>
            <w:webHidden/>
          </w:rPr>
          <w:instrText xml:space="preserve"> PAGEREF _Toc115426497 \h </w:instrText>
        </w:r>
        <w:r w:rsidR="00CD5E1C" w:rsidRPr="00CD5E1C">
          <w:rPr>
            <w:rFonts w:ascii="Arial" w:hAnsi="Arial" w:cs="Arial"/>
            <w:webHidden/>
          </w:rPr>
        </w:r>
        <w:r w:rsidR="00CD5E1C" w:rsidRPr="00CD5E1C">
          <w:rPr>
            <w:rFonts w:ascii="Arial" w:hAnsi="Arial" w:cs="Arial"/>
            <w:webHidden/>
          </w:rPr>
          <w:fldChar w:fldCharType="separate"/>
        </w:r>
        <w:r w:rsidR="00CD5E1C" w:rsidRPr="00CD5E1C">
          <w:rPr>
            <w:rFonts w:ascii="Arial" w:hAnsi="Arial" w:cs="Arial"/>
            <w:webHidden/>
          </w:rPr>
          <w:t>23</w:t>
        </w:r>
        <w:r w:rsidR="00CD5E1C" w:rsidRPr="00CD5E1C">
          <w:rPr>
            <w:rFonts w:ascii="Arial" w:hAnsi="Arial" w:cs="Arial"/>
            <w:webHidden/>
          </w:rPr>
          <w:fldChar w:fldCharType="end"/>
        </w:r>
      </w:hyperlink>
    </w:p>
    <w:p w14:paraId="755225D2" w14:textId="3B733C6B" w:rsidR="00CD5E1C" w:rsidRPr="00CD5E1C" w:rsidRDefault="007071D0">
      <w:pPr>
        <w:pStyle w:val="TOC2"/>
        <w:tabs>
          <w:tab w:val="left" w:pos="851"/>
        </w:tabs>
        <w:rPr>
          <w:rFonts w:ascii="Arial" w:eastAsiaTheme="minorEastAsia" w:hAnsi="Arial" w:cs="Arial"/>
          <w:sz w:val="22"/>
          <w:szCs w:val="22"/>
          <w:lang w:eastAsia="en-AU"/>
        </w:rPr>
      </w:pPr>
      <w:hyperlink w:anchor="_Toc115426498" w:history="1">
        <w:r w:rsidR="00CD5E1C" w:rsidRPr="00CD5E1C">
          <w:rPr>
            <w:rStyle w:val="Hyperlink"/>
            <w:rFonts w:ascii="Arial" w:hAnsi="Arial" w:cs="Arial"/>
          </w:rPr>
          <w:t>10.4</w:t>
        </w:r>
        <w:r w:rsidR="00CD5E1C" w:rsidRPr="00CD5E1C">
          <w:rPr>
            <w:rFonts w:ascii="Arial" w:eastAsiaTheme="minorEastAsia" w:hAnsi="Arial" w:cs="Arial"/>
            <w:sz w:val="22"/>
            <w:szCs w:val="22"/>
            <w:lang w:eastAsia="en-AU"/>
          </w:rPr>
          <w:tab/>
        </w:r>
        <w:r w:rsidR="00CD5E1C" w:rsidRPr="00CD5E1C">
          <w:rPr>
            <w:rStyle w:val="Hyperlink"/>
            <w:rFonts w:ascii="Arial" w:hAnsi="Arial" w:cs="Arial"/>
          </w:rPr>
          <w:t>Accreditation</w:t>
        </w:r>
        <w:r w:rsidR="00CD5E1C" w:rsidRPr="00CD5E1C">
          <w:rPr>
            <w:rFonts w:ascii="Arial" w:hAnsi="Arial" w:cs="Arial"/>
            <w:webHidden/>
          </w:rPr>
          <w:tab/>
        </w:r>
        <w:r w:rsidR="00CD5E1C" w:rsidRPr="00CD5E1C">
          <w:rPr>
            <w:rFonts w:ascii="Arial" w:hAnsi="Arial" w:cs="Arial"/>
            <w:webHidden/>
          </w:rPr>
          <w:fldChar w:fldCharType="begin"/>
        </w:r>
        <w:r w:rsidR="00CD5E1C" w:rsidRPr="00CD5E1C">
          <w:rPr>
            <w:rFonts w:ascii="Arial" w:hAnsi="Arial" w:cs="Arial"/>
            <w:webHidden/>
          </w:rPr>
          <w:instrText xml:space="preserve"> PAGEREF _Toc115426498 \h </w:instrText>
        </w:r>
        <w:r w:rsidR="00CD5E1C" w:rsidRPr="00CD5E1C">
          <w:rPr>
            <w:rFonts w:ascii="Arial" w:hAnsi="Arial" w:cs="Arial"/>
            <w:webHidden/>
          </w:rPr>
        </w:r>
        <w:r w:rsidR="00CD5E1C" w:rsidRPr="00CD5E1C">
          <w:rPr>
            <w:rFonts w:ascii="Arial" w:hAnsi="Arial" w:cs="Arial"/>
            <w:webHidden/>
          </w:rPr>
          <w:fldChar w:fldCharType="separate"/>
        </w:r>
        <w:r w:rsidR="00CD5E1C" w:rsidRPr="00CD5E1C">
          <w:rPr>
            <w:rFonts w:ascii="Arial" w:hAnsi="Arial" w:cs="Arial"/>
            <w:webHidden/>
          </w:rPr>
          <w:t>23</w:t>
        </w:r>
        <w:r w:rsidR="00CD5E1C" w:rsidRPr="00CD5E1C">
          <w:rPr>
            <w:rFonts w:ascii="Arial" w:hAnsi="Arial" w:cs="Arial"/>
            <w:webHidden/>
          </w:rPr>
          <w:fldChar w:fldCharType="end"/>
        </w:r>
      </w:hyperlink>
    </w:p>
    <w:p w14:paraId="6B81D8C8" w14:textId="6C16F176" w:rsidR="00CD5E1C" w:rsidRPr="00CD5E1C" w:rsidRDefault="007071D0">
      <w:pPr>
        <w:pStyle w:val="TOC2"/>
        <w:tabs>
          <w:tab w:val="left" w:pos="851"/>
        </w:tabs>
        <w:rPr>
          <w:rFonts w:ascii="Arial" w:eastAsiaTheme="minorEastAsia" w:hAnsi="Arial" w:cs="Arial"/>
          <w:sz w:val="22"/>
          <w:szCs w:val="22"/>
          <w:lang w:eastAsia="en-AU"/>
        </w:rPr>
      </w:pPr>
      <w:hyperlink w:anchor="_Toc115426499" w:history="1">
        <w:r w:rsidR="00CD5E1C" w:rsidRPr="00CD5E1C">
          <w:rPr>
            <w:rStyle w:val="Hyperlink"/>
            <w:rFonts w:ascii="Arial" w:hAnsi="Arial" w:cs="Arial"/>
            <w:highlight w:val="yellow"/>
          </w:rPr>
          <w:t>10.5</w:t>
        </w:r>
        <w:r w:rsidR="00CD5E1C" w:rsidRPr="00CD5E1C">
          <w:rPr>
            <w:rFonts w:ascii="Arial" w:eastAsiaTheme="minorEastAsia" w:hAnsi="Arial" w:cs="Arial"/>
            <w:sz w:val="22"/>
            <w:szCs w:val="22"/>
            <w:lang w:eastAsia="en-AU"/>
          </w:rPr>
          <w:tab/>
        </w:r>
        <w:r w:rsidR="00CD5E1C" w:rsidRPr="00CD5E1C">
          <w:rPr>
            <w:rStyle w:val="Hyperlink"/>
            <w:rFonts w:ascii="Arial" w:hAnsi="Arial" w:cs="Arial"/>
            <w:highlight w:val="yellow"/>
          </w:rPr>
          <w:t>Advertising</w:t>
        </w:r>
        <w:r w:rsidR="00CD5E1C" w:rsidRPr="00CD5E1C">
          <w:rPr>
            <w:rFonts w:ascii="Arial" w:hAnsi="Arial" w:cs="Arial"/>
            <w:webHidden/>
          </w:rPr>
          <w:tab/>
        </w:r>
        <w:r w:rsidR="00CD5E1C" w:rsidRPr="00CD5E1C">
          <w:rPr>
            <w:rFonts w:ascii="Arial" w:hAnsi="Arial" w:cs="Arial"/>
            <w:webHidden/>
          </w:rPr>
          <w:fldChar w:fldCharType="begin"/>
        </w:r>
        <w:r w:rsidR="00CD5E1C" w:rsidRPr="00CD5E1C">
          <w:rPr>
            <w:rFonts w:ascii="Arial" w:hAnsi="Arial" w:cs="Arial"/>
            <w:webHidden/>
          </w:rPr>
          <w:instrText xml:space="preserve"> PAGEREF _Toc115426499 \h </w:instrText>
        </w:r>
        <w:r w:rsidR="00CD5E1C" w:rsidRPr="00CD5E1C">
          <w:rPr>
            <w:rFonts w:ascii="Arial" w:hAnsi="Arial" w:cs="Arial"/>
            <w:webHidden/>
          </w:rPr>
        </w:r>
        <w:r w:rsidR="00CD5E1C" w:rsidRPr="00CD5E1C">
          <w:rPr>
            <w:rFonts w:ascii="Arial" w:hAnsi="Arial" w:cs="Arial"/>
            <w:webHidden/>
          </w:rPr>
          <w:fldChar w:fldCharType="separate"/>
        </w:r>
        <w:r w:rsidR="00CD5E1C" w:rsidRPr="00CD5E1C">
          <w:rPr>
            <w:rFonts w:ascii="Arial" w:hAnsi="Arial" w:cs="Arial"/>
            <w:webHidden/>
          </w:rPr>
          <w:t>23</w:t>
        </w:r>
        <w:r w:rsidR="00CD5E1C" w:rsidRPr="00CD5E1C">
          <w:rPr>
            <w:rFonts w:ascii="Arial" w:hAnsi="Arial" w:cs="Arial"/>
            <w:webHidden/>
          </w:rPr>
          <w:fldChar w:fldCharType="end"/>
        </w:r>
      </w:hyperlink>
    </w:p>
    <w:p w14:paraId="6F665548" w14:textId="6C069A65" w:rsidR="00CD5E1C" w:rsidRPr="00CD5E1C" w:rsidRDefault="007071D0">
      <w:pPr>
        <w:pStyle w:val="TOC2"/>
        <w:tabs>
          <w:tab w:val="left" w:pos="851"/>
        </w:tabs>
        <w:rPr>
          <w:rFonts w:ascii="Arial" w:eastAsiaTheme="minorEastAsia" w:hAnsi="Arial" w:cs="Arial"/>
          <w:sz w:val="22"/>
          <w:szCs w:val="22"/>
          <w:lang w:eastAsia="en-AU"/>
        </w:rPr>
      </w:pPr>
      <w:hyperlink w:anchor="_Toc115426500" w:history="1">
        <w:r w:rsidR="00CD5E1C" w:rsidRPr="00CD5E1C">
          <w:rPr>
            <w:rStyle w:val="Hyperlink"/>
            <w:rFonts w:ascii="Arial" w:hAnsi="Arial" w:cs="Arial"/>
          </w:rPr>
          <w:t>10.6</w:t>
        </w:r>
        <w:r w:rsidR="00CD5E1C" w:rsidRPr="00CD5E1C">
          <w:rPr>
            <w:rFonts w:ascii="Arial" w:eastAsiaTheme="minorEastAsia" w:hAnsi="Arial" w:cs="Arial"/>
            <w:sz w:val="22"/>
            <w:szCs w:val="22"/>
            <w:lang w:eastAsia="en-AU"/>
          </w:rPr>
          <w:tab/>
        </w:r>
        <w:r w:rsidR="00CD5E1C" w:rsidRPr="00CD5E1C">
          <w:rPr>
            <w:rStyle w:val="Hyperlink"/>
            <w:rFonts w:ascii="Arial" w:hAnsi="Arial" w:cs="Arial"/>
          </w:rPr>
          <w:t>Professional governance and staffing arrangements</w:t>
        </w:r>
        <w:r w:rsidR="00CD5E1C" w:rsidRPr="00CD5E1C">
          <w:rPr>
            <w:rFonts w:ascii="Arial" w:hAnsi="Arial" w:cs="Arial"/>
            <w:webHidden/>
          </w:rPr>
          <w:tab/>
        </w:r>
        <w:r w:rsidR="00CD5E1C" w:rsidRPr="00CD5E1C">
          <w:rPr>
            <w:rFonts w:ascii="Arial" w:hAnsi="Arial" w:cs="Arial"/>
            <w:webHidden/>
          </w:rPr>
          <w:fldChar w:fldCharType="begin"/>
        </w:r>
        <w:r w:rsidR="00CD5E1C" w:rsidRPr="00CD5E1C">
          <w:rPr>
            <w:rFonts w:ascii="Arial" w:hAnsi="Arial" w:cs="Arial"/>
            <w:webHidden/>
          </w:rPr>
          <w:instrText xml:space="preserve"> PAGEREF _Toc115426500 \h </w:instrText>
        </w:r>
        <w:r w:rsidR="00CD5E1C" w:rsidRPr="00CD5E1C">
          <w:rPr>
            <w:rFonts w:ascii="Arial" w:hAnsi="Arial" w:cs="Arial"/>
            <w:webHidden/>
          </w:rPr>
        </w:r>
        <w:r w:rsidR="00CD5E1C" w:rsidRPr="00CD5E1C">
          <w:rPr>
            <w:rFonts w:ascii="Arial" w:hAnsi="Arial" w:cs="Arial"/>
            <w:webHidden/>
          </w:rPr>
          <w:fldChar w:fldCharType="separate"/>
        </w:r>
        <w:r w:rsidR="00CD5E1C" w:rsidRPr="00CD5E1C">
          <w:rPr>
            <w:rFonts w:ascii="Arial" w:hAnsi="Arial" w:cs="Arial"/>
            <w:webHidden/>
          </w:rPr>
          <w:t>23</w:t>
        </w:r>
        <w:r w:rsidR="00CD5E1C" w:rsidRPr="00CD5E1C">
          <w:rPr>
            <w:rFonts w:ascii="Arial" w:hAnsi="Arial" w:cs="Arial"/>
            <w:webHidden/>
          </w:rPr>
          <w:fldChar w:fldCharType="end"/>
        </w:r>
      </w:hyperlink>
    </w:p>
    <w:p w14:paraId="43E2A943" w14:textId="3B1D34D5" w:rsidR="00CD5E1C" w:rsidRPr="00CD5E1C" w:rsidRDefault="007071D0">
      <w:pPr>
        <w:pStyle w:val="TOC1"/>
        <w:tabs>
          <w:tab w:val="left" w:pos="567"/>
        </w:tabs>
        <w:rPr>
          <w:rFonts w:ascii="Arial" w:eastAsiaTheme="minorEastAsia" w:hAnsi="Arial" w:cs="Arial"/>
          <w:b w:val="0"/>
          <w:sz w:val="22"/>
          <w:szCs w:val="22"/>
          <w:lang w:eastAsia="en-AU"/>
        </w:rPr>
      </w:pPr>
      <w:hyperlink w:anchor="_Toc115426501" w:history="1">
        <w:r w:rsidR="00CD5E1C" w:rsidRPr="00CD5E1C">
          <w:rPr>
            <w:rStyle w:val="Hyperlink"/>
            <w:rFonts w:ascii="Arial" w:hAnsi="Arial" w:cs="Arial"/>
          </w:rPr>
          <w:t>11.</w:t>
        </w:r>
        <w:r w:rsidR="00CD5E1C" w:rsidRPr="00CD5E1C">
          <w:rPr>
            <w:rFonts w:ascii="Arial" w:eastAsiaTheme="minorEastAsia" w:hAnsi="Arial" w:cs="Arial"/>
            <w:b w:val="0"/>
            <w:sz w:val="22"/>
            <w:szCs w:val="22"/>
            <w:lang w:eastAsia="en-AU"/>
          </w:rPr>
          <w:tab/>
        </w:r>
        <w:r w:rsidR="00CD5E1C" w:rsidRPr="00CD5E1C">
          <w:rPr>
            <w:rStyle w:val="Hyperlink"/>
            <w:rFonts w:ascii="Arial" w:hAnsi="Arial" w:cs="Arial"/>
          </w:rPr>
          <w:t>Equipment and resources</w:t>
        </w:r>
        <w:r w:rsidR="00CD5E1C" w:rsidRPr="00CD5E1C">
          <w:rPr>
            <w:rFonts w:ascii="Arial" w:hAnsi="Arial" w:cs="Arial"/>
            <w:webHidden/>
          </w:rPr>
          <w:tab/>
        </w:r>
        <w:r w:rsidR="00CD5E1C" w:rsidRPr="00CD5E1C">
          <w:rPr>
            <w:rFonts w:ascii="Arial" w:hAnsi="Arial" w:cs="Arial"/>
            <w:webHidden/>
          </w:rPr>
          <w:fldChar w:fldCharType="begin"/>
        </w:r>
        <w:r w:rsidR="00CD5E1C" w:rsidRPr="00CD5E1C">
          <w:rPr>
            <w:rFonts w:ascii="Arial" w:hAnsi="Arial" w:cs="Arial"/>
            <w:webHidden/>
          </w:rPr>
          <w:instrText xml:space="preserve"> PAGEREF _Toc115426501 \h </w:instrText>
        </w:r>
        <w:r w:rsidR="00CD5E1C" w:rsidRPr="00CD5E1C">
          <w:rPr>
            <w:rFonts w:ascii="Arial" w:hAnsi="Arial" w:cs="Arial"/>
            <w:webHidden/>
          </w:rPr>
        </w:r>
        <w:r w:rsidR="00CD5E1C" w:rsidRPr="00CD5E1C">
          <w:rPr>
            <w:rFonts w:ascii="Arial" w:hAnsi="Arial" w:cs="Arial"/>
            <w:webHidden/>
          </w:rPr>
          <w:fldChar w:fldCharType="separate"/>
        </w:r>
        <w:r w:rsidR="00CD5E1C" w:rsidRPr="00CD5E1C">
          <w:rPr>
            <w:rFonts w:ascii="Arial" w:hAnsi="Arial" w:cs="Arial"/>
            <w:webHidden/>
          </w:rPr>
          <w:t>25</w:t>
        </w:r>
        <w:r w:rsidR="00CD5E1C" w:rsidRPr="00CD5E1C">
          <w:rPr>
            <w:rFonts w:ascii="Arial" w:hAnsi="Arial" w:cs="Arial"/>
            <w:webHidden/>
          </w:rPr>
          <w:fldChar w:fldCharType="end"/>
        </w:r>
      </w:hyperlink>
    </w:p>
    <w:p w14:paraId="69843DCA" w14:textId="2DAD526C" w:rsidR="00CD5E1C" w:rsidRPr="00CD5E1C" w:rsidRDefault="007071D0">
      <w:pPr>
        <w:pStyle w:val="TOC2"/>
        <w:tabs>
          <w:tab w:val="left" w:pos="851"/>
        </w:tabs>
        <w:rPr>
          <w:rFonts w:ascii="Arial" w:eastAsiaTheme="minorEastAsia" w:hAnsi="Arial" w:cs="Arial"/>
          <w:sz w:val="22"/>
          <w:szCs w:val="22"/>
          <w:lang w:eastAsia="en-AU"/>
        </w:rPr>
      </w:pPr>
      <w:hyperlink w:anchor="_Toc115426502" w:history="1">
        <w:r w:rsidR="00CD5E1C" w:rsidRPr="00CD5E1C">
          <w:rPr>
            <w:rStyle w:val="Hyperlink"/>
            <w:rFonts w:ascii="Arial" w:hAnsi="Arial" w:cs="Arial"/>
          </w:rPr>
          <w:t>11.1</w:t>
        </w:r>
        <w:r w:rsidR="00CD5E1C" w:rsidRPr="00CD5E1C">
          <w:rPr>
            <w:rFonts w:ascii="Arial" w:eastAsiaTheme="minorEastAsia" w:hAnsi="Arial" w:cs="Arial"/>
            <w:sz w:val="22"/>
            <w:szCs w:val="22"/>
            <w:lang w:eastAsia="en-AU"/>
          </w:rPr>
          <w:tab/>
        </w:r>
        <w:r w:rsidR="00CD5E1C" w:rsidRPr="00CD5E1C">
          <w:rPr>
            <w:rStyle w:val="Hyperlink"/>
            <w:rFonts w:ascii="Arial" w:hAnsi="Arial" w:cs="Arial"/>
          </w:rPr>
          <w:t>Anaphylaxis response kit</w:t>
        </w:r>
        <w:r w:rsidR="00CD5E1C" w:rsidRPr="00CD5E1C">
          <w:rPr>
            <w:rFonts w:ascii="Arial" w:hAnsi="Arial" w:cs="Arial"/>
            <w:webHidden/>
          </w:rPr>
          <w:tab/>
        </w:r>
        <w:r w:rsidR="00CD5E1C" w:rsidRPr="00CD5E1C">
          <w:rPr>
            <w:rFonts w:ascii="Arial" w:hAnsi="Arial" w:cs="Arial"/>
            <w:webHidden/>
          </w:rPr>
          <w:fldChar w:fldCharType="begin"/>
        </w:r>
        <w:r w:rsidR="00CD5E1C" w:rsidRPr="00CD5E1C">
          <w:rPr>
            <w:rFonts w:ascii="Arial" w:hAnsi="Arial" w:cs="Arial"/>
            <w:webHidden/>
          </w:rPr>
          <w:instrText xml:space="preserve"> PAGEREF _Toc115426502 \h </w:instrText>
        </w:r>
        <w:r w:rsidR="00CD5E1C" w:rsidRPr="00CD5E1C">
          <w:rPr>
            <w:rFonts w:ascii="Arial" w:hAnsi="Arial" w:cs="Arial"/>
            <w:webHidden/>
          </w:rPr>
        </w:r>
        <w:r w:rsidR="00CD5E1C" w:rsidRPr="00CD5E1C">
          <w:rPr>
            <w:rFonts w:ascii="Arial" w:hAnsi="Arial" w:cs="Arial"/>
            <w:webHidden/>
          </w:rPr>
          <w:fldChar w:fldCharType="separate"/>
        </w:r>
        <w:r w:rsidR="00CD5E1C" w:rsidRPr="00CD5E1C">
          <w:rPr>
            <w:rFonts w:ascii="Arial" w:hAnsi="Arial" w:cs="Arial"/>
            <w:webHidden/>
          </w:rPr>
          <w:t>26</w:t>
        </w:r>
        <w:r w:rsidR="00CD5E1C" w:rsidRPr="00CD5E1C">
          <w:rPr>
            <w:rFonts w:ascii="Arial" w:hAnsi="Arial" w:cs="Arial"/>
            <w:webHidden/>
          </w:rPr>
          <w:fldChar w:fldCharType="end"/>
        </w:r>
      </w:hyperlink>
    </w:p>
    <w:p w14:paraId="11434F0B" w14:textId="59E0C83C" w:rsidR="00CD5E1C" w:rsidRPr="00CD5E1C" w:rsidRDefault="007071D0">
      <w:pPr>
        <w:pStyle w:val="TOC1"/>
        <w:tabs>
          <w:tab w:val="left" w:pos="567"/>
        </w:tabs>
        <w:rPr>
          <w:rFonts w:ascii="Arial" w:eastAsiaTheme="minorEastAsia" w:hAnsi="Arial" w:cs="Arial"/>
          <w:b w:val="0"/>
          <w:sz w:val="22"/>
          <w:szCs w:val="22"/>
          <w:lang w:eastAsia="en-AU"/>
        </w:rPr>
      </w:pPr>
      <w:hyperlink w:anchor="_Toc115426503" w:history="1">
        <w:r w:rsidR="00CD5E1C" w:rsidRPr="00CD5E1C">
          <w:rPr>
            <w:rStyle w:val="Hyperlink"/>
            <w:rFonts w:ascii="Arial" w:hAnsi="Arial" w:cs="Arial"/>
          </w:rPr>
          <w:t>12.</w:t>
        </w:r>
        <w:r w:rsidR="00CD5E1C" w:rsidRPr="00CD5E1C">
          <w:rPr>
            <w:rFonts w:ascii="Arial" w:eastAsiaTheme="minorEastAsia" w:hAnsi="Arial" w:cs="Arial"/>
            <w:b w:val="0"/>
            <w:sz w:val="22"/>
            <w:szCs w:val="22"/>
            <w:lang w:eastAsia="en-AU"/>
          </w:rPr>
          <w:tab/>
        </w:r>
        <w:r w:rsidR="00CD5E1C" w:rsidRPr="00CD5E1C">
          <w:rPr>
            <w:rStyle w:val="Hyperlink"/>
            <w:rFonts w:ascii="Arial" w:hAnsi="Arial" w:cs="Arial"/>
          </w:rPr>
          <w:t>Protocols</w:t>
        </w:r>
        <w:r w:rsidR="00CD5E1C" w:rsidRPr="00CD5E1C">
          <w:rPr>
            <w:rFonts w:ascii="Arial" w:hAnsi="Arial" w:cs="Arial"/>
            <w:webHidden/>
          </w:rPr>
          <w:tab/>
        </w:r>
        <w:r w:rsidR="00CD5E1C" w:rsidRPr="00CD5E1C">
          <w:rPr>
            <w:rFonts w:ascii="Arial" w:hAnsi="Arial" w:cs="Arial"/>
            <w:webHidden/>
          </w:rPr>
          <w:fldChar w:fldCharType="begin"/>
        </w:r>
        <w:r w:rsidR="00CD5E1C" w:rsidRPr="00CD5E1C">
          <w:rPr>
            <w:rFonts w:ascii="Arial" w:hAnsi="Arial" w:cs="Arial"/>
            <w:webHidden/>
          </w:rPr>
          <w:instrText xml:space="preserve"> PAGEREF _Toc115426503 \h </w:instrText>
        </w:r>
        <w:r w:rsidR="00CD5E1C" w:rsidRPr="00CD5E1C">
          <w:rPr>
            <w:rFonts w:ascii="Arial" w:hAnsi="Arial" w:cs="Arial"/>
            <w:webHidden/>
          </w:rPr>
        </w:r>
        <w:r w:rsidR="00CD5E1C" w:rsidRPr="00CD5E1C">
          <w:rPr>
            <w:rFonts w:ascii="Arial" w:hAnsi="Arial" w:cs="Arial"/>
            <w:webHidden/>
          </w:rPr>
          <w:fldChar w:fldCharType="separate"/>
        </w:r>
        <w:r w:rsidR="00CD5E1C" w:rsidRPr="00CD5E1C">
          <w:rPr>
            <w:rFonts w:ascii="Arial" w:hAnsi="Arial" w:cs="Arial"/>
            <w:webHidden/>
          </w:rPr>
          <w:t>27</w:t>
        </w:r>
        <w:r w:rsidR="00CD5E1C" w:rsidRPr="00CD5E1C">
          <w:rPr>
            <w:rFonts w:ascii="Arial" w:hAnsi="Arial" w:cs="Arial"/>
            <w:webHidden/>
          </w:rPr>
          <w:fldChar w:fldCharType="end"/>
        </w:r>
      </w:hyperlink>
    </w:p>
    <w:p w14:paraId="5E3C189C" w14:textId="3E5ABB97" w:rsidR="00CD5E1C" w:rsidRPr="00CD5E1C" w:rsidRDefault="007071D0">
      <w:pPr>
        <w:pStyle w:val="TOC2"/>
        <w:tabs>
          <w:tab w:val="left" w:pos="851"/>
        </w:tabs>
        <w:rPr>
          <w:rFonts w:ascii="Arial" w:eastAsiaTheme="minorEastAsia" w:hAnsi="Arial" w:cs="Arial"/>
          <w:sz w:val="22"/>
          <w:szCs w:val="22"/>
          <w:lang w:eastAsia="en-AU"/>
        </w:rPr>
      </w:pPr>
      <w:hyperlink w:anchor="_Toc115426504" w:history="1">
        <w:r w:rsidR="00CD5E1C" w:rsidRPr="00CD5E1C">
          <w:rPr>
            <w:rStyle w:val="Hyperlink"/>
            <w:rFonts w:ascii="Arial" w:hAnsi="Arial" w:cs="Arial"/>
          </w:rPr>
          <w:t>12.1</w:t>
        </w:r>
        <w:r w:rsidR="00CD5E1C" w:rsidRPr="00CD5E1C">
          <w:rPr>
            <w:rFonts w:ascii="Arial" w:eastAsiaTheme="minorEastAsia" w:hAnsi="Arial" w:cs="Arial"/>
            <w:sz w:val="22"/>
            <w:szCs w:val="22"/>
            <w:lang w:eastAsia="en-AU"/>
          </w:rPr>
          <w:tab/>
        </w:r>
        <w:r w:rsidR="00CD5E1C" w:rsidRPr="00CD5E1C">
          <w:rPr>
            <w:rStyle w:val="Hyperlink"/>
            <w:rFonts w:ascii="Arial" w:hAnsi="Arial" w:cs="Arial"/>
          </w:rPr>
          <w:t>Emergency response protocol</w:t>
        </w:r>
        <w:r w:rsidR="00CD5E1C" w:rsidRPr="00CD5E1C">
          <w:rPr>
            <w:rFonts w:ascii="Arial" w:hAnsi="Arial" w:cs="Arial"/>
            <w:webHidden/>
          </w:rPr>
          <w:tab/>
        </w:r>
        <w:r w:rsidR="00CD5E1C" w:rsidRPr="00CD5E1C">
          <w:rPr>
            <w:rFonts w:ascii="Arial" w:hAnsi="Arial" w:cs="Arial"/>
            <w:webHidden/>
          </w:rPr>
          <w:fldChar w:fldCharType="begin"/>
        </w:r>
        <w:r w:rsidR="00CD5E1C" w:rsidRPr="00CD5E1C">
          <w:rPr>
            <w:rFonts w:ascii="Arial" w:hAnsi="Arial" w:cs="Arial"/>
            <w:webHidden/>
          </w:rPr>
          <w:instrText xml:space="preserve"> PAGEREF _Toc115426504 \h </w:instrText>
        </w:r>
        <w:r w:rsidR="00CD5E1C" w:rsidRPr="00CD5E1C">
          <w:rPr>
            <w:rFonts w:ascii="Arial" w:hAnsi="Arial" w:cs="Arial"/>
            <w:webHidden/>
          </w:rPr>
        </w:r>
        <w:r w:rsidR="00CD5E1C" w:rsidRPr="00CD5E1C">
          <w:rPr>
            <w:rFonts w:ascii="Arial" w:hAnsi="Arial" w:cs="Arial"/>
            <w:webHidden/>
          </w:rPr>
          <w:fldChar w:fldCharType="separate"/>
        </w:r>
        <w:r w:rsidR="00CD5E1C" w:rsidRPr="00CD5E1C">
          <w:rPr>
            <w:rFonts w:ascii="Arial" w:hAnsi="Arial" w:cs="Arial"/>
            <w:webHidden/>
          </w:rPr>
          <w:t>27</w:t>
        </w:r>
        <w:r w:rsidR="00CD5E1C" w:rsidRPr="00CD5E1C">
          <w:rPr>
            <w:rFonts w:ascii="Arial" w:hAnsi="Arial" w:cs="Arial"/>
            <w:webHidden/>
          </w:rPr>
          <w:fldChar w:fldCharType="end"/>
        </w:r>
      </w:hyperlink>
    </w:p>
    <w:p w14:paraId="4288FAAE" w14:textId="3B772ACE" w:rsidR="00CD5E1C" w:rsidRPr="00CD5E1C" w:rsidRDefault="007071D0">
      <w:pPr>
        <w:pStyle w:val="TOC2"/>
        <w:tabs>
          <w:tab w:val="left" w:pos="851"/>
        </w:tabs>
        <w:rPr>
          <w:rFonts w:ascii="Arial" w:eastAsiaTheme="minorEastAsia" w:hAnsi="Arial" w:cs="Arial"/>
          <w:sz w:val="22"/>
          <w:szCs w:val="22"/>
          <w:lang w:eastAsia="en-AU"/>
        </w:rPr>
      </w:pPr>
      <w:hyperlink w:anchor="_Toc115426505" w:history="1">
        <w:r w:rsidR="00CD5E1C" w:rsidRPr="00CD5E1C">
          <w:rPr>
            <w:rStyle w:val="Hyperlink"/>
            <w:rFonts w:ascii="Arial" w:hAnsi="Arial" w:cs="Arial"/>
          </w:rPr>
          <w:t>12.2</w:t>
        </w:r>
        <w:r w:rsidR="00CD5E1C" w:rsidRPr="00CD5E1C">
          <w:rPr>
            <w:rFonts w:ascii="Arial" w:eastAsiaTheme="minorEastAsia" w:hAnsi="Arial" w:cs="Arial"/>
            <w:sz w:val="22"/>
            <w:szCs w:val="22"/>
            <w:lang w:eastAsia="en-AU"/>
          </w:rPr>
          <w:tab/>
        </w:r>
        <w:r w:rsidR="00CD5E1C" w:rsidRPr="00CD5E1C">
          <w:rPr>
            <w:rStyle w:val="Hyperlink"/>
            <w:rFonts w:ascii="Arial" w:hAnsi="Arial" w:cs="Arial"/>
          </w:rPr>
          <w:t>Cold-chain maintenance</w:t>
        </w:r>
        <w:r w:rsidR="00CD5E1C" w:rsidRPr="00CD5E1C">
          <w:rPr>
            <w:rFonts w:ascii="Arial" w:hAnsi="Arial" w:cs="Arial"/>
            <w:webHidden/>
          </w:rPr>
          <w:tab/>
        </w:r>
        <w:r w:rsidR="00CD5E1C" w:rsidRPr="00CD5E1C">
          <w:rPr>
            <w:rFonts w:ascii="Arial" w:hAnsi="Arial" w:cs="Arial"/>
            <w:webHidden/>
          </w:rPr>
          <w:fldChar w:fldCharType="begin"/>
        </w:r>
        <w:r w:rsidR="00CD5E1C" w:rsidRPr="00CD5E1C">
          <w:rPr>
            <w:rFonts w:ascii="Arial" w:hAnsi="Arial" w:cs="Arial"/>
            <w:webHidden/>
          </w:rPr>
          <w:instrText xml:space="preserve"> PAGEREF _Toc115426505 \h </w:instrText>
        </w:r>
        <w:r w:rsidR="00CD5E1C" w:rsidRPr="00CD5E1C">
          <w:rPr>
            <w:rFonts w:ascii="Arial" w:hAnsi="Arial" w:cs="Arial"/>
            <w:webHidden/>
          </w:rPr>
        </w:r>
        <w:r w:rsidR="00CD5E1C" w:rsidRPr="00CD5E1C">
          <w:rPr>
            <w:rFonts w:ascii="Arial" w:hAnsi="Arial" w:cs="Arial"/>
            <w:webHidden/>
          </w:rPr>
          <w:fldChar w:fldCharType="separate"/>
        </w:r>
        <w:r w:rsidR="00CD5E1C" w:rsidRPr="00CD5E1C">
          <w:rPr>
            <w:rFonts w:ascii="Arial" w:hAnsi="Arial" w:cs="Arial"/>
            <w:webHidden/>
          </w:rPr>
          <w:t>27</w:t>
        </w:r>
        <w:r w:rsidR="00CD5E1C" w:rsidRPr="00CD5E1C">
          <w:rPr>
            <w:rFonts w:ascii="Arial" w:hAnsi="Arial" w:cs="Arial"/>
            <w:webHidden/>
          </w:rPr>
          <w:fldChar w:fldCharType="end"/>
        </w:r>
      </w:hyperlink>
    </w:p>
    <w:p w14:paraId="1C05AF2B" w14:textId="48A91C53" w:rsidR="00CD5E1C" w:rsidRPr="00CD5E1C" w:rsidRDefault="007071D0">
      <w:pPr>
        <w:pStyle w:val="TOC2"/>
        <w:tabs>
          <w:tab w:val="left" w:pos="851"/>
        </w:tabs>
        <w:rPr>
          <w:rFonts w:ascii="Arial" w:eastAsiaTheme="minorEastAsia" w:hAnsi="Arial" w:cs="Arial"/>
          <w:sz w:val="22"/>
          <w:szCs w:val="22"/>
          <w:lang w:eastAsia="en-AU"/>
        </w:rPr>
      </w:pPr>
      <w:hyperlink w:anchor="_Toc115426506" w:history="1">
        <w:r w:rsidR="00CD5E1C" w:rsidRPr="00CD5E1C">
          <w:rPr>
            <w:rStyle w:val="Hyperlink"/>
            <w:rFonts w:ascii="Arial" w:hAnsi="Arial" w:cs="Arial"/>
          </w:rPr>
          <w:t>12.3</w:t>
        </w:r>
        <w:r w:rsidR="00CD5E1C" w:rsidRPr="00CD5E1C">
          <w:rPr>
            <w:rFonts w:ascii="Arial" w:eastAsiaTheme="minorEastAsia" w:hAnsi="Arial" w:cs="Arial"/>
            <w:sz w:val="22"/>
            <w:szCs w:val="22"/>
            <w:lang w:eastAsia="en-AU"/>
          </w:rPr>
          <w:tab/>
        </w:r>
        <w:r w:rsidR="00CD5E1C" w:rsidRPr="00CD5E1C">
          <w:rPr>
            <w:rStyle w:val="Hyperlink"/>
            <w:rFonts w:ascii="Arial" w:hAnsi="Arial" w:cs="Arial"/>
          </w:rPr>
          <w:t>Assessment and consent</w:t>
        </w:r>
        <w:r w:rsidR="00CD5E1C" w:rsidRPr="00CD5E1C">
          <w:rPr>
            <w:rFonts w:ascii="Arial" w:hAnsi="Arial" w:cs="Arial"/>
            <w:webHidden/>
          </w:rPr>
          <w:tab/>
        </w:r>
        <w:r w:rsidR="00CD5E1C" w:rsidRPr="00CD5E1C">
          <w:rPr>
            <w:rFonts w:ascii="Arial" w:hAnsi="Arial" w:cs="Arial"/>
            <w:webHidden/>
          </w:rPr>
          <w:fldChar w:fldCharType="begin"/>
        </w:r>
        <w:r w:rsidR="00CD5E1C" w:rsidRPr="00CD5E1C">
          <w:rPr>
            <w:rFonts w:ascii="Arial" w:hAnsi="Arial" w:cs="Arial"/>
            <w:webHidden/>
          </w:rPr>
          <w:instrText xml:space="preserve"> PAGEREF _Toc115426506 \h </w:instrText>
        </w:r>
        <w:r w:rsidR="00CD5E1C" w:rsidRPr="00CD5E1C">
          <w:rPr>
            <w:rFonts w:ascii="Arial" w:hAnsi="Arial" w:cs="Arial"/>
            <w:webHidden/>
          </w:rPr>
        </w:r>
        <w:r w:rsidR="00CD5E1C" w:rsidRPr="00CD5E1C">
          <w:rPr>
            <w:rFonts w:ascii="Arial" w:hAnsi="Arial" w:cs="Arial"/>
            <w:webHidden/>
          </w:rPr>
          <w:fldChar w:fldCharType="separate"/>
        </w:r>
        <w:r w:rsidR="00CD5E1C" w:rsidRPr="00CD5E1C">
          <w:rPr>
            <w:rFonts w:ascii="Arial" w:hAnsi="Arial" w:cs="Arial"/>
            <w:webHidden/>
          </w:rPr>
          <w:t>28</w:t>
        </w:r>
        <w:r w:rsidR="00CD5E1C" w:rsidRPr="00CD5E1C">
          <w:rPr>
            <w:rFonts w:ascii="Arial" w:hAnsi="Arial" w:cs="Arial"/>
            <w:webHidden/>
          </w:rPr>
          <w:fldChar w:fldCharType="end"/>
        </w:r>
      </w:hyperlink>
    </w:p>
    <w:p w14:paraId="211DC2D0" w14:textId="3818A47C" w:rsidR="00CD5E1C" w:rsidRPr="00CD5E1C" w:rsidRDefault="007071D0">
      <w:pPr>
        <w:pStyle w:val="TOC2"/>
        <w:tabs>
          <w:tab w:val="left" w:pos="851"/>
        </w:tabs>
        <w:rPr>
          <w:rFonts w:ascii="Arial" w:eastAsiaTheme="minorEastAsia" w:hAnsi="Arial" w:cs="Arial"/>
          <w:sz w:val="22"/>
          <w:szCs w:val="22"/>
          <w:lang w:eastAsia="en-AU"/>
        </w:rPr>
      </w:pPr>
      <w:hyperlink w:anchor="_Toc115426507" w:history="1">
        <w:r w:rsidR="00CD5E1C" w:rsidRPr="00CD5E1C">
          <w:rPr>
            <w:rStyle w:val="Hyperlink"/>
            <w:rFonts w:ascii="Arial" w:hAnsi="Arial" w:cs="Arial"/>
          </w:rPr>
          <w:t>12.4</w:t>
        </w:r>
        <w:r w:rsidR="00CD5E1C" w:rsidRPr="00CD5E1C">
          <w:rPr>
            <w:rFonts w:ascii="Arial" w:eastAsiaTheme="minorEastAsia" w:hAnsi="Arial" w:cs="Arial"/>
            <w:sz w:val="22"/>
            <w:szCs w:val="22"/>
            <w:lang w:eastAsia="en-AU"/>
          </w:rPr>
          <w:tab/>
        </w:r>
        <w:r w:rsidR="00CD5E1C" w:rsidRPr="00CD5E1C">
          <w:rPr>
            <w:rStyle w:val="Hyperlink"/>
            <w:rFonts w:ascii="Arial" w:hAnsi="Arial" w:cs="Arial"/>
          </w:rPr>
          <w:t>Consent on behalf of a child or adolescent</w:t>
        </w:r>
        <w:r w:rsidR="00CD5E1C" w:rsidRPr="00CD5E1C">
          <w:rPr>
            <w:rFonts w:ascii="Arial" w:hAnsi="Arial" w:cs="Arial"/>
            <w:webHidden/>
          </w:rPr>
          <w:tab/>
        </w:r>
        <w:r w:rsidR="00CD5E1C" w:rsidRPr="00CD5E1C">
          <w:rPr>
            <w:rFonts w:ascii="Arial" w:hAnsi="Arial" w:cs="Arial"/>
            <w:webHidden/>
          </w:rPr>
          <w:fldChar w:fldCharType="begin"/>
        </w:r>
        <w:r w:rsidR="00CD5E1C" w:rsidRPr="00CD5E1C">
          <w:rPr>
            <w:rFonts w:ascii="Arial" w:hAnsi="Arial" w:cs="Arial"/>
            <w:webHidden/>
          </w:rPr>
          <w:instrText xml:space="preserve"> PAGEREF _Toc115426507 \h </w:instrText>
        </w:r>
        <w:r w:rsidR="00CD5E1C" w:rsidRPr="00CD5E1C">
          <w:rPr>
            <w:rFonts w:ascii="Arial" w:hAnsi="Arial" w:cs="Arial"/>
            <w:webHidden/>
          </w:rPr>
        </w:r>
        <w:r w:rsidR="00CD5E1C" w:rsidRPr="00CD5E1C">
          <w:rPr>
            <w:rFonts w:ascii="Arial" w:hAnsi="Arial" w:cs="Arial"/>
            <w:webHidden/>
          </w:rPr>
          <w:fldChar w:fldCharType="separate"/>
        </w:r>
        <w:r w:rsidR="00CD5E1C" w:rsidRPr="00CD5E1C">
          <w:rPr>
            <w:rFonts w:ascii="Arial" w:hAnsi="Arial" w:cs="Arial"/>
            <w:webHidden/>
          </w:rPr>
          <w:t>28</w:t>
        </w:r>
        <w:r w:rsidR="00CD5E1C" w:rsidRPr="00CD5E1C">
          <w:rPr>
            <w:rFonts w:ascii="Arial" w:hAnsi="Arial" w:cs="Arial"/>
            <w:webHidden/>
          </w:rPr>
          <w:fldChar w:fldCharType="end"/>
        </w:r>
      </w:hyperlink>
    </w:p>
    <w:p w14:paraId="0DC77643" w14:textId="1FFD9D11" w:rsidR="00CD5E1C" w:rsidRPr="00CD5E1C" w:rsidRDefault="007071D0">
      <w:pPr>
        <w:pStyle w:val="TOC2"/>
        <w:tabs>
          <w:tab w:val="left" w:pos="851"/>
        </w:tabs>
        <w:rPr>
          <w:rFonts w:ascii="Arial" w:eastAsiaTheme="minorEastAsia" w:hAnsi="Arial" w:cs="Arial"/>
          <w:sz w:val="22"/>
          <w:szCs w:val="22"/>
          <w:lang w:eastAsia="en-AU"/>
        </w:rPr>
      </w:pPr>
      <w:hyperlink w:anchor="_Toc115426508" w:history="1">
        <w:r w:rsidR="00CD5E1C" w:rsidRPr="00CD5E1C">
          <w:rPr>
            <w:rStyle w:val="Hyperlink"/>
            <w:rFonts w:ascii="Arial" w:hAnsi="Arial" w:cs="Arial"/>
          </w:rPr>
          <w:t>12.5</w:t>
        </w:r>
        <w:r w:rsidR="00CD5E1C" w:rsidRPr="00CD5E1C">
          <w:rPr>
            <w:rFonts w:ascii="Arial" w:eastAsiaTheme="minorEastAsia" w:hAnsi="Arial" w:cs="Arial"/>
            <w:sz w:val="22"/>
            <w:szCs w:val="22"/>
            <w:lang w:eastAsia="en-AU"/>
          </w:rPr>
          <w:tab/>
        </w:r>
        <w:r w:rsidR="00CD5E1C" w:rsidRPr="00CD5E1C">
          <w:rPr>
            <w:rStyle w:val="Hyperlink"/>
            <w:rFonts w:ascii="Arial" w:hAnsi="Arial" w:cs="Arial"/>
          </w:rPr>
          <w:t>Monitoring</w:t>
        </w:r>
        <w:r w:rsidR="00CD5E1C" w:rsidRPr="00CD5E1C">
          <w:rPr>
            <w:rFonts w:ascii="Arial" w:hAnsi="Arial" w:cs="Arial"/>
            <w:webHidden/>
          </w:rPr>
          <w:tab/>
        </w:r>
        <w:r w:rsidR="00CD5E1C" w:rsidRPr="00CD5E1C">
          <w:rPr>
            <w:rFonts w:ascii="Arial" w:hAnsi="Arial" w:cs="Arial"/>
            <w:webHidden/>
          </w:rPr>
          <w:fldChar w:fldCharType="begin"/>
        </w:r>
        <w:r w:rsidR="00CD5E1C" w:rsidRPr="00CD5E1C">
          <w:rPr>
            <w:rFonts w:ascii="Arial" w:hAnsi="Arial" w:cs="Arial"/>
            <w:webHidden/>
          </w:rPr>
          <w:instrText xml:space="preserve"> PAGEREF _Toc115426508 \h </w:instrText>
        </w:r>
        <w:r w:rsidR="00CD5E1C" w:rsidRPr="00CD5E1C">
          <w:rPr>
            <w:rFonts w:ascii="Arial" w:hAnsi="Arial" w:cs="Arial"/>
            <w:webHidden/>
          </w:rPr>
        </w:r>
        <w:r w:rsidR="00CD5E1C" w:rsidRPr="00CD5E1C">
          <w:rPr>
            <w:rFonts w:ascii="Arial" w:hAnsi="Arial" w:cs="Arial"/>
            <w:webHidden/>
          </w:rPr>
          <w:fldChar w:fldCharType="separate"/>
        </w:r>
        <w:r w:rsidR="00CD5E1C" w:rsidRPr="00CD5E1C">
          <w:rPr>
            <w:rFonts w:ascii="Arial" w:hAnsi="Arial" w:cs="Arial"/>
            <w:webHidden/>
          </w:rPr>
          <w:t>29</w:t>
        </w:r>
        <w:r w:rsidR="00CD5E1C" w:rsidRPr="00CD5E1C">
          <w:rPr>
            <w:rFonts w:ascii="Arial" w:hAnsi="Arial" w:cs="Arial"/>
            <w:webHidden/>
          </w:rPr>
          <w:fldChar w:fldCharType="end"/>
        </w:r>
      </w:hyperlink>
    </w:p>
    <w:p w14:paraId="3810B3DE" w14:textId="48C8DCBF" w:rsidR="00CD5E1C" w:rsidRPr="00CD5E1C" w:rsidRDefault="007071D0">
      <w:pPr>
        <w:pStyle w:val="TOC2"/>
        <w:tabs>
          <w:tab w:val="left" w:pos="851"/>
        </w:tabs>
        <w:rPr>
          <w:rFonts w:ascii="Arial" w:eastAsiaTheme="minorEastAsia" w:hAnsi="Arial" w:cs="Arial"/>
          <w:sz w:val="22"/>
          <w:szCs w:val="22"/>
          <w:lang w:eastAsia="en-AU"/>
        </w:rPr>
      </w:pPr>
      <w:hyperlink w:anchor="_Toc115426509" w:history="1">
        <w:r w:rsidR="00CD5E1C" w:rsidRPr="00CD5E1C">
          <w:rPr>
            <w:rStyle w:val="Hyperlink"/>
            <w:rFonts w:ascii="Arial" w:hAnsi="Arial" w:cs="Arial"/>
          </w:rPr>
          <w:t>12.6</w:t>
        </w:r>
        <w:r w:rsidR="00CD5E1C" w:rsidRPr="00CD5E1C">
          <w:rPr>
            <w:rFonts w:ascii="Arial" w:eastAsiaTheme="minorEastAsia" w:hAnsi="Arial" w:cs="Arial"/>
            <w:sz w:val="22"/>
            <w:szCs w:val="22"/>
            <w:lang w:eastAsia="en-AU"/>
          </w:rPr>
          <w:tab/>
        </w:r>
        <w:r w:rsidR="00CD5E1C" w:rsidRPr="00CD5E1C">
          <w:rPr>
            <w:rStyle w:val="Hyperlink"/>
            <w:rFonts w:ascii="Arial" w:hAnsi="Arial" w:cs="Arial"/>
          </w:rPr>
          <w:t>Adverse events</w:t>
        </w:r>
        <w:r w:rsidR="00CD5E1C" w:rsidRPr="00CD5E1C">
          <w:rPr>
            <w:rFonts w:ascii="Arial" w:hAnsi="Arial" w:cs="Arial"/>
            <w:webHidden/>
          </w:rPr>
          <w:tab/>
        </w:r>
        <w:r w:rsidR="00CD5E1C" w:rsidRPr="00CD5E1C">
          <w:rPr>
            <w:rFonts w:ascii="Arial" w:hAnsi="Arial" w:cs="Arial"/>
            <w:webHidden/>
          </w:rPr>
          <w:fldChar w:fldCharType="begin"/>
        </w:r>
        <w:r w:rsidR="00CD5E1C" w:rsidRPr="00CD5E1C">
          <w:rPr>
            <w:rFonts w:ascii="Arial" w:hAnsi="Arial" w:cs="Arial"/>
            <w:webHidden/>
          </w:rPr>
          <w:instrText xml:space="preserve"> PAGEREF _Toc115426509 \h </w:instrText>
        </w:r>
        <w:r w:rsidR="00CD5E1C" w:rsidRPr="00CD5E1C">
          <w:rPr>
            <w:rFonts w:ascii="Arial" w:hAnsi="Arial" w:cs="Arial"/>
            <w:webHidden/>
          </w:rPr>
        </w:r>
        <w:r w:rsidR="00CD5E1C" w:rsidRPr="00CD5E1C">
          <w:rPr>
            <w:rFonts w:ascii="Arial" w:hAnsi="Arial" w:cs="Arial"/>
            <w:webHidden/>
          </w:rPr>
          <w:fldChar w:fldCharType="separate"/>
        </w:r>
        <w:r w:rsidR="00CD5E1C" w:rsidRPr="00CD5E1C">
          <w:rPr>
            <w:rFonts w:ascii="Arial" w:hAnsi="Arial" w:cs="Arial"/>
            <w:webHidden/>
          </w:rPr>
          <w:t>29</w:t>
        </w:r>
        <w:r w:rsidR="00CD5E1C" w:rsidRPr="00CD5E1C">
          <w:rPr>
            <w:rFonts w:ascii="Arial" w:hAnsi="Arial" w:cs="Arial"/>
            <w:webHidden/>
          </w:rPr>
          <w:fldChar w:fldCharType="end"/>
        </w:r>
      </w:hyperlink>
    </w:p>
    <w:p w14:paraId="73D12915" w14:textId="2B2A64F9" w:rsidR="00CD5E1C" w:rsidRPr="00CD5E1C" w:rsidRDefault="007071D0">
      <w:pPr>
        <w:pStyle w:val="TOC2"/>
        <w:tabs>
          <w:tab w:val="left" w:pos="851"/>
        </w:tabs>
        <w:rPr>
          <w:rFonts w:ascii="Arial" w:eastAsiaTheme="minorEastAsia" w:hAnsi="Arial" w:cs="Arial"/>
          <w:sz w:val="22"/>
          <w:szCs w:val="22"/>
          <w:lang w:eastAsia="en-AU"/>
        </w:rPr>
      </w:pPr>
      <w:hyperlink w:anchor="_Toc115426510" w:history="1">
        <w:r w:rsidR="00CD5E1C" w:rsidRPr="00CD5E1C">
          <w:rPr>
            <w:rStyle w:val="Hyperlink"/>
            <w:rFonts w:ascii="Arial" w:hAnsi="Arial" w:cs="Arial"/>
          </w:rPr>
          <w:t>12.7</w:t>
        </w:r>
        <w:r w:rsidR="00CD5E1C" w:rsidRPr="00CD5E1C">
          <w:rPr>
            <w:rFonts w:ascii="Arial" w:eastAsiaTheme="minorEastAsia" w:hAnsi="Arial" w:cs="Arial"/>
            <w:sz w:val="22"/>
            <w:szCs w:val="22"/>
            <w:lang w:eastAsia="en-AU"/>
          </w:rPr>
          <w:tab/>
        </w:r>
        <w:r w:rsidR="00CD5E1C" w:rsidRPr="00CD5E1C">
          <w:rPr>
            <w:rStyle w:val="Hyperlink"/>
            <w:rFonts w:ascii="Arial" w:hAnsi="Arial" w:cs="Arial"/>
          </w:rPr>
          <w:t>Record keeping and reporting</w:t>
        </w:r>
        <w:r w:rsidR="00CD5E1C" w:rsidRPr="00CD5E1C">
          <w:rPr>
            <w:rFonts w:ascii="Arial" w:hAnsi="Arial" w:cs="Arial"/>
            <w:webHidden/>
          </w:rPr>
          <w:tab/>
        </w:r>
        <w:r w:rsidR="00CD5E1C" w:rsidRPr="00CD5E1C">
          <w:rPr>
            <w:rFonts w:ascii="Arial" w:hAnsi="Arial" w:cs="Arial"/>
            <w:webHidden/>
          </w:rPr>
          <w:fldChar w:fldCharType="begin"/>
        </w:r>
        <w:r w:rsidR="00CD5E1C" w:rsidRPr="00CD5E1C">
          <w:rPr>
            <w:rFonts w:ascii="Arial" w:hAnsi="Arial" w:cs="Arial"/>
            <w:webHidden/>
          </w:rPr>
          <w:instrText xml:space="preserve"> PAGEREF _Toc115426510 \h </w:instrText>
        </w:r>
        <w:r w:rsidR="00CD5E1C" w:rsidRPr="00CD5E1C">
          <w:rPr>
            <w:rFonts w:ascii="Arial" w:hAnsi="Arial" w:cs="Arial"/>
            <w:webHidden/>
          </w:rPr>
        </w:r>
        <w:r w:rsidR="00CD5E1C" w:rsidRPr="00CD5E1C">
          <w:rPr>
            <w:rFonts w:ascii="Arial" w:hAnsi="Arial" w:cs="Arial"/>
            <w:webHidden/>
          </w:rPr>
          <w:fldChar w:fldCharType="separate"/>
        </w:r>
        <w:r w:rsidR="00CD5E1C" w:rsidRPr="00CD5E1C">
          <w:rPr>
            <w:rFonts w:ascii="Arial" w:hAnsi="Arial" w:cs="Arial"/>
            <w:webHidden/>
          </w:rPr>
          <w:t>29</w:t>
        </w:r>
        <w:r w:rsidR="00CD5E1C" w:rsidRPr="00CD5E1C">
          <w:rPr>
            <w:rFonts w:ascii="Arial" w:hAnsi="Arial" w:cs="Arial"/>
            <w:webHidden/>
          </w:rPr>
          <w:fldChar w:fldCharType="end"/>
        </w:r>
      </w:hyperlink>
    </w:p>
    <w:p w14:paraId="3A21F7E0" w14:textId="4BDC9DAF" w:rsidR="00CD5E1C" w:rsidRPr="00CD5E1C" w:rsidRDefault="007071D0">
      <w:pPr>
        <w:pStyle w:val="TOC2"/>
        <w:tabs>
          <w:tab w:val="left" w:pos="851"/>
        </w:tabs>
        <w:rPr>
          <w:rFonts w:ascii="Arial" w:eastAsiaTheme="minorEastAsia" w:hAnsi="Arial" w:cs="Arial"/>
          <w:sz w:val="22"/>
          <w:szCs w:val="22"/>
          <w:lang w:eastAsia="en-AU"/>
        </w:rPr>
      </w:pPr>
      <w:hyperlink w:anchor="_Toc115426511" w:history="1">
        <w:r w:rsidR="00CD5E1C" w:rsidRPr="00CD5E1C">
          <w:rPr>
            <w:rStyle w:val="Hyperlink"/>
            <w:rFonts w:ascii="Arial" w:hAnsi="Arial" w:cs="Arial"/>
          </w:rPr>
          <w:t>12.8</w:t>
        </w:r>
        <w:r w:rsidR="00CD5E1C" w:rsidRPr="00CD5E1C">
          <w:rPr>
            <w:rFonts w:ascii="Arial" w:eastAsiaTheme="minorEastAsia" w:hAnsi="Arial" w:cs="Arial"/>
            <w:sz w:val="22"/>
            <w:szCs w:val="22"/>
            <w:lang w:eastAsia="en-AU"/>
          </w:rPr>
          <w:tab/>
        </w:r>
        <w:r w:rsidR="00CD5E1C" w:rsidRPr="00CD5E1C">
          <w:rPr>
            <w:rStyle w:val="Hyperlink"/>
            <w:rFonts w:ascii="Arial" w:hAnsi="Arial" w:cs="Arial"/>
          </w:rPr>
          <w:t>Reporting adverse events</w:t>
        </w:r>
        <w:r w:rsidR="00CD5E1C" w:rsidRPr="00CD5E1C">
          <w:rPr>
            <w:rFonts w:ascii="Arial" w:hAnsi="Arial" w:cs="Arial"/>
            <w:webHidden/>
          </w:rPr>
          <w:tab/>
        </w:r>
        <w:r w:rsidR="00CD5E1C" w:rsidRPr="00CD5E1C">
          <w:rPr>
            <w:rFonts w:ascii="Arial" w:hAnsi="Arial" w:cs="Arial"/>
            <w:webHidden/>
          </w:rPr>
          <w:fldChar w:fldCharType="begin"/>
        </w:r>
        <w:r w:rsidR="00CD5E1C" w:rsidRPr="00CD5E1C">
          <w:rPr>
            <w:rFonts w:ascii="Arial" w:hAnsi="Arial" w:cs="Arial"/>
            <w:webHidden/>
          </w:rPr>
          <w:instrText xml:space="preserve"> PAGEREF _Toc115426511 \h </w:instrText>
        </w:r>
        <w:r w:rsidR="00CD5E1C" w:rsidRPr="00CD5E1C">
          <w:rPr>
            <w:rFonts w:ascii="Arial" w:hAnsi="Arial" w:cs="Arial"/>
            <w:webHidden/>
          </w:rPr>
        </w:r>
        <w:r w:rsidR="00CD5E1C" w:rsidRPr="00CD5E1C">
          <w:rPr>
            <w:rFonts w:ascii="Arial" w:hAnsi="Arial" w:cs="Arial"/>
            <w:webHidden/>
          </w:rPr>
          <w:fldChar w:fldCharType="separate"/>
        </w:r>
        <w:r w:rsidR="00CD5E1C" w:rsidRPr="00CD5E1C">
          <w:rPr>
            <w:rFonts w:ascii="Arial" w:hAnsi="Arial" w:cs="Arial"/>
            <w:webHidden/>
          </w:rPr>
          <w:t>3</w:t>
        </w:r>
        <w:r w:rsidR="00E2521A">
          <w:rPr>
            <w:rFonts w:ascii="Arial" w:hAnsi="Arial" w:cs="Arial"/>
            <w:webHidden/>
          </w:rPr>
          <w:t>1</w:t>
        </w:r>
        <w:r w:rsidR="00CD5E1C" w:rsidRPr="00CD5E1C">
          <w:rPr>
            <w:rFonts w:ascii="Arial" w:hAnsi="Arial" w:cs="Arial"/>
            <w:webHidden/>
          </w:rPr>
          <w:fldChar w:fldCharType="end"/>
        </w:r>
      </w:hyperlink>
    </w:p>
    <w:p w14:paraId="442F1FEC" w14:textId="6BFAE443" w:rsidR="00CD5E1C" w:rsidRPr="00CD5E1C" w:rsidRDefault="007071D0">
      <w:pPr>
        <w:pStyle w:val="TOC2"/>
        <w:tabs>
          <w:tab w:val="left" w:pos="851"/>
        </w:tabs>
        <w:rPr>
          <w:rFonts w:ascii="Arial" w:eastAsiaTheme="minorEastAsia" w:hAnsi="Arial" w:cs="Arial"/>
          <w:sz w:val="22"/>
          <w:szCs w:val="22"/>
          <w:lang w:eastAsia="en-AU"/>
        </w:rPr>
      </w:pPr>
      <w:hyperlink w:anchor="_Toc115426512" w:history="1">
        <w:r w:rsidR="00CD5E1C" w:rsidRPr="00CD5E1C">
          <w:rPr>
            <w:rStyle w:val="Hyperlink"/>
            <w:rFonts w:ascii="Arial" w:hAnsi="Arial" w:cs="Arial"/>
          </w:rPr>
          <w:t>12.9</w:t>
        </w:r>
        <w:r w:rsidR="00CD5E1C" w:rsidRPr="00CD5E1C">
          <w:rPr>
            <w:rFonts w:ascii="Arial" w:eastAsiaTheme="minorEastAsia" w:hAnsi="Arial" w:cs="Arial"/>
            <w:sz w:val="22"/>
            <w:szCs w:val="22"/>
            <w:lang w:eastAsia="en-AU"/>
          </w:rPr>
          <w:tab/>
        </w:r>
        <w:r w:rsidR="00CD5E1C" w:rsidRPr="00CD5E1C">
          <w:rPr>
            <w:rStyle w:val="Hyperlink"/>
            <w:rFonts w:ascii="Arial" w:hAnsi="Arial" w:cs="Arial"/>
          </w:rPr>
          <w:t>Immunisation registers</w:t>
        </w:r>
        <w:r w:rsidR="00CD5E1C" w:rsidRPr="00CD5E1C">
          <w:rPr>
            <w:rFonts w:ascii="Arial" w:hAnsi="Arial" w:cs="Arial"/>
            <w:webHidden/>
          </w:rPr>
          <w:tab/>
        </w:r>
        <w:r w:rsidR="00CD5E1C" w:rsidRPr="00CD5E1C">
          <w:rPr>
            <w:rFonts w:ascii="Arial" w:hAnsi="Arial" w:cs="Arial"/>
            <w:webHidden/>
          </w:rPr>
          <w:fldChar w:fldCharType="begin"/>
        </w:r>
        <w:r w:rsidR="00CD5E1C" w:rsidRPr="00CD5E1C">
          <w:rPr>
            <w:rFonts w:ascii="Arial" w:hAnsi="Arial" w:cs="Arial"/>
            <w:webHidden/>
          </w:rPr>
          <w:instrText xml:space="preserve"> PAGEREF _Toc115426512 \h </w:instrText>
        </w:r>
        <w:r w:rsidR="00CD5E1C" w:rsidRPr="00CD5E1C">
          <w:rPr>
            <w:rFonts w:ascii="Arial" w:hAnsi="Arial" w:cs="Arial"/>
            <w:webHidden/>
          </w:rPr>
        </w:r>
        <w:r w:rsidR="00CD5E1C" w:rsidRPr="00CD5E1C">
          <w:rPr>
            <w:rFonts w:ascii="Arial" w:hAnsi="Arial" w:cs="Arial"/>
            <w:webHidden/>
          </w:rPr>
          <w:fldChar w:fldCharType="separate"/>
        </w:r>
        <w:r w:rsidR="00CD5E1C" w:rsidRPr="00CD5E1C">
          <w:rPr>
            <w:rFonts w:ascii="Arial" w:hAnsi="Arial" w:cs="Arial"/>
            <w:webHidden/>
          </w:rPr>
          <w:t>3</w:t>
        </w:r>
        <w:r w:rsidR="00590C95">
          <w:rPr>
            <w:rFonts w:ascii="Arial" w:hAnsi="Arial" w:cs="Arial"/>
            <w:webHidden/>
          </w:rPr>
          <w:t>1</w:t>
        </w:r>
        <w:r w:rsidR="00CD5E1C" w:rsidRPr="00CD5E1C">
          <w:rPr>
            <w:rFonts w:ascii="Arial" w:hAnsi="Arial" w:cs="Arial"/>
            <w:webHidden/>
          </w:rPr>
          <w:fldChar w:fldCharType="end"/>
        </w:r>
      </w:hyperlink>
    </w:p>
    <w:p w14:paraId="5EE86884" w14:textId="5374509C" w:rsidR="00CD5E1C" w:rsidRPr="00CD5E1C" w:rsidRDefault="007071D0">
      <w:pPr>
        <w:pStyle w:val="TOC2"/>
        <w:tabs>
          <w:tab w:val="left" w:pos="851"/>
        </w:tabs>
        <w:rPr>
          <w:rFonts w:ascii="Arial" w:eastAsiaTheme="minorEastAsia" w:hAnsi="Arial" w:cs="Arial"/>
          <w:sz w:val="22"/>
          <w:szCs w:val="22"/>
          <w:lang w:eastAsia="en-AU"/>
        </w:rPr>
      </w:pPr>
      <w:hyperlink w:anchor="_Toc115426513" w:history="1">
        <w:r w:rsidR="00CD5E1C" w:rsidRPr="00CD5E1C">
          <w:rPr>
            <w:rStyle w:val="Hyperlink"/>
            <w:rFonts w:ascii="Arial" w:eastAsia="MS Gothic" w:hAnsi="Arial" w:cs="Arial"/>
          </w:rPr>
          <w:t>12.10</w:t>
        </w:r>
        <w:r w:rsidR="00CD5E1C" w:rsidRPr="00CD5E1C">
          <w:rPr>
            <w:rFonts w:ascii="Arial" w:eastAsiaTheme="minorEastAsia" w:hAnsi="Arial" w:cs="Arial"/>
            <w:sz w:val="22"/>
            <w:szCs w:val="22"/>
            <w:lang w:eastAsia="en-AU"/>
          </w:rPr>
          <w:tab/>
        </w:r>
        <w:r w:rsidR="00CD5E1C" w:rsidRPr="00CD5E1C">
          <w:rPr>
            <w:rStyle w:val="Hyperlink"/>
            <w:rFonts w:ascii="Arial" w:eastAsia="MS Gothic" w:hAnsi="Arial" w:cs="Arial"/>
          </w:rPr>
          <w:t>Complaints</w:t>
        </w:r>
        <w:r w:rsidR="00CD5E1C" w:rsidRPr="00CD5E1C">
          <w:rPr>
            <w:rFonts w:ascii="Arial" w:hAnsi="Arial" w:cs="Arial"/>
            <w:webHidden/>
          </w:rPr>
          <w:tab/>
        </w:r>
        <w:r w:rsidR="00CD5E1C" w:rsidRPr="00CD5E1C">
          <w:rPr>
            <w:rFonts w:ascii="Arial" w:hAnsi="Arial" w:cs="Arial"/>
            <w:webHidden/>
          </w:rPr>
          <w:fldChar w:fldCharType="begin"/>
        </w:r>
        <w:r w:rsidR="00CD5E1C" w:rsidRPr="00CD5E1C">
          <w:rPr>
            <w:rFonts w:ascii="Arial" w:hAnsi="Arial" w:cs="Arial"/>
            <w:webHidden/>
          </w:rPr>
          <w:instrText xml:space="preserve"> PAGEREF _Toc115426513 \h </w:instrText>
        </w:r>
        <w:r w:rsidR="00CD5E1C" w:rsidRPr="00CD5E1C">
          <w:rPr>
            <w:rFonts w:ascii="Arial" w:hAnsi="Arial" w:cs="Arial"/>
            <w:webHidden/>
          </w:rPr>
        </w:r>
        <w:r w:rsidR="00CD5E1C" w:rsidRPr="00CD5E1C">
          <w:rPr>
            <w:rFonts w:ascii="Arial" w:hAnsi="Arial" w:cs="Arial"/>
            <w:webHidden/>
          </w:rPr>
          <w:fldChar w:fldCharType="separate"/>
        </w:r>
        <w:r w:rsidR="00CD5E1C" w:rsidRPr="00CD5E1C">
          <w:rPr>
            <w:rFonts w:ascii="Arial" w:hAnsi="Arial" w:cs="Arial"/>
            <w:webHidden/>
          </w:rPr>
          <w:t>3</w:t>
        </w:r>
        <w:r w:rsidR="00590C95">
          <w:rPr>
            <w:rFonts w:ascii="Arial" w:hAnsi="Arial" w:cs="Arial"/>
            <w:webHidden/>
          </w:rPr>
          <w:t>2</w:t>
        </w:r>
        <w:r w:rsidR="00CD5E1C" w:rsidRPr="00CD5E1C">
          <w:rPr>
            <w:rFonts w:ascii="Arial" w:hAnsi="Arial" w:cs="Arial"/>
            <w:webHidden/>
          </w:rPr>
          <w:fldChar w:fldCharType="end"/>
        </w:r>
      </w:hyperlink>
    </w:p>
    <w:p w14:paraId="14FE6A3F" w14:textId="653760DF" w:rsidR="00CD5E1C" w:rsidRPr="00CD5E1C" w:rsidRDefault="007071D0">
      <w:pPr>
        <w:pStyle w:val="TOC1"/>
        <w:tabs>
          <w:tab w:val="left" w:pos="567"/>
        </w:tabs>
        <w:rPr>
          <w:rFonts w:ascii="Arial" w:eastAsiaTheme="minorEastAsia" w:hAnsi="Arial" w:cs="Arial"/>
          <w:b w:val="0"/>
          <w:sz w:val="22"/>
          <w:szCs w:val="22"/>
          <w:lang w:eastAsia="en-AU"/>
        </w:rPr>
      </w:pPr>
      <w:hyperlink w:anchor="_Toc115426514" w:history="1">
        <w:r w:rsidR="00CD5E1C" w:rsidRPr="00CD5E1C">
          <w:rPr>
            <w:rStyle w:val="Hyperlink"/>
            <w:rFonts w:ascii="Arial" w:hAnsi="Arial" w:cs="Arial"/>
            <w:highlight w:val="yellow"/>
          </w:rPr>
          <w:t>13.</w:t>
        </w:r>
        <w:r w:rsidR="00CD5E1C" w:rsidRPr="00CD5E1C">
          <w:rPr>
            <w:rFonts w:ascii="Arial" w:eastAsiaTheme="minorEastAsia" w:hAnsi="Arial" w:cs="Arial"/>
            <w:b w:val="0"/>
            <w:sz w:val="22"/>
            <w:szCs w:val="22"/>
            <w:lang w:eastAsia="en-AU"/>
          </w:rPr>
          <w:tab/>
        </w:r>
        <w:r w:rsidR="00CD5E1C" w:rsidRPr="00CD5E1C">
          <w:rPr>
            <w:rStyle w:val="Hyperlink"/>
            <w:rFonts w:ascii="Arial" w:hAnsi="Arial" w:cs="Arial"/>
            <w:highlight w:val="yellow"/>
          </w:rPr>
          <w:t>Fees</w:t>
        </w:r>
        <w:r w:rsidR="00CD5E1C" w:rsidRPr="00CD5E1C">
          <w:rPr>
            <w:rFonts w:ascii="Arial" w:hAnsi="Arial" w:cs="Arial"/>
            <w:webHidden/>
          </w:rPr>
          <w:tab/>
        </w:r>
        <w:r w:rsidR="00CD5E1C" w:rsidRPr="00CD5E1C">
          <w:rPr>
            <w:rFonts w:ascii="Arial" w:hAnsi="Arial" w:cs="Arial"/>
            <w:webHidden/>
          </w:rPr>
          <w:fldChar w:fldCharType="begin"/>
        </w:r>
        <w:r w:rsidR="00CD5E1C" w:rsidRPr="00CD5E1C">
          <w:rPr>
            <w:rFonts w:ascii="Arial" w:hAnsi="Arial" w:cs="Arial"/>
            <w:webHidden/>
          </w:rPr>
          <w:instrText xml:space="preserve"> PAGEREF _Toc115426514 \h </w:instrText>
        </w:r>
        <w:r w:rsidR="00CD5E1C" w:rsidRPr="00CD5E1C">
          <w:rPr>
            <w:rFonts w:ascii="Arial" w:hAnsi="Arial" w:cs="Arial"/>
            <w:webHidden/>
          </w:rPr>
        </w:r>
        <w:r w:rsidR="00CD5E1C" w:rsidRPr="00CD5E1C">
          <w:rPr>
            <w:rFonts w:ascii="Arial" w:hAnsi="Arial" w:cs="Arial"/>
            <w:webHidden/>
          </w:rPr>
          <w:fldChar w:fldCharType="separate"/>
        </w:r>
        <w:r w:rsidR="00CD5E1C" w:rsidRPr="00CD5E1C">
          <w:rPr>
            <w:rFonts w:ascii="Arial" w:hAnsi="Arial" w:cs="Arial"/>
            <w:webHidden/>
          </w:rPr>
          <w:t>3</w:t>
        </w:r>
        <w:r w:rsidR="00590C95">
          <w:rPr>
            <w:rFonts w:ascii="Arial" w:hAnsi="Arial" w:cs="Arial"/>
            <w:webHidden/>
          </w:rPr>
          <w:t>2</w:t>
        </w:r>
        <w:r w:rsidR="00CD5E1C" w:rsidRPr="00CD5E1C">
          <w:rPr>
            <w:rFonts w:ascii="Arial" w:hAnsi="Arial" w:cs="Arial"/>
            <w:webHidden/>
          </w:rPr>
          <w:fldChar w:fldCharType="end"/>
        </w:r>
      </w:hyperlink>
    </w:p>
    <w:p w14:paraId="7F3EA1A3" w14:textId="1719090B" w:rsidR="00CD5E1C" w:rsidRDefault="007071D0">
      <w:pPr>
        <w:pStyle w:val="TOC1"/>
        <w:tabs>
          <w:tab w:val="left" w:pos="567"/>
        </w:tabs>
        <w:rPr>
          <w:rFonts w:asciiTheme="minorHAnsi" w:eastAsiaTheme="minorEastAsia" w:hAnsiTheme="minorHAnsi" w:cstheme="minorBidi"/>
          <w:b w:val="0"/>
          <w:sz w:val="22"/>
          <w:szCs w:val="22"/>
          <w:lang w:eastAsia="en-AU"/>
        </w:rPr>
      </w:pPr>
      <w:hyperlink w:anchor="_Toc115426515" w:history="1">
        <w:r w:rsidR="00CD5E1C" w:rsidRPr="00CD5E1C">
          <w:rPr>
            <w:rStyle w:val="Hyperlink"/>
            <w:rFonts w:ascii="Arial" w:hAnsi="Arial" w:cs="Arial"/>
          </w:rPr>
          <w:t>14.</w:t>
        </w:r>
        <w:r w:rsidR="00CD5E1C" w:rsidRPr="00CD5E1C">
          <w:rPr>
            <w:rFonts w:ascii="Arial" w:eastAsiaTheme="minorEastAsia" w:hAnsi="Arial" w:cs="Arial"/>
            <w:b w:val="0"/>
            <w:sz w:val="22"/>
            <w:szCs w:val="22"/>
            <w:lang w:eastAsia="en-AU"/>
          </w:rPr>
          <w:tab/>
        </w:r>
        <w:r w:rsidR="00CD5E1C" w:rsidRPr="00CD5E1C">
          <w:rPr>
            <w:rStyle w:val="Hyperlink"/>
            <w:rFonts w:ascii="Arial" w:hAnsi="Arial" w:cs="Arial"/>
          </w:rPr>
          <w:t>Questions</w:t>
        </w:r>
        <w:r w:rsidR="00CD5E1C" w:rsidRPr="00CD5E1C">
          <w:rPr>
            <w:rFonts w:ascii="Arial" w:hAnsi="Arial" w:cs="Arial"/>
            <w:webHidden/>
          </w:rPr>
          <w:tab/>
        </w:r>
        <w:r w:rsidR="00CD5E1C" w:rsidRPr="00CD5E1C">
          <w:rPr>
            <w:rFonts w:ascii="Arial" w:hAnsi="Arial" w:cs="Arial"/>
            <w:webHidden/>
          </w:rPr>
          <w:fldChar w:fldCharType="begin"/>
        </w:r>
        <w:r w:rsidR="00CD5E1C" w:rsidRPr="00CD5E1C">
          <w:rPr>
            <w:rFonts w:ascii="Arial" w:hAnsi="Arial" w:cs="Arial"/>
            <w:webHidden/>
          </w:rPr>
          <w:instrText xml:space="preserve"> PAGEREF _Toc115426515 \h </w:instrText>
        </w:r>
        <w:r w:rsidR="00CD5E1C" w:rsidRPr="00CD5E1C">
          <w:rPr>
            <w:rFonts w:ascii="Arial" w:hAnsi="Arial" w:cs="Arial"/>
            <w:webHidden/>
          </w:rPr>
        </w:r>
        <w:r w:rsidR="00CD5E1C" w:rsidRPr="00CD5E1C">
          <w:rPr>
            <w:rFonts w:ascii="Arial" w:hAnsi="Arial" w:cs="Arial"/>
            <w:webHidden/>
          </w:rPr>
          <w:fldChar w:fldCharType="separate"/>
        </w:r>
        <w:r w:rsidR="00CD5E1C" w:rsidRPr="00CD5E1C">
          <w:rPr>
            <w:rFonts w:ascii="Arial" w:hAnsi="Arial" w:cs="Arial"/>
            <w:webHidden/>
          </w:rPr>
          <w:t>3</w:t>
        </w:r>
        <w:r w:rsidR="00590C95">
          <w:rPr>
            <w:rFonts w:ascii="Arial" w:hAnsi="Arial" w:cs="Arial"/>
            <w:webHidden/>
          </w:rPr>
          <w:t>3</w:t>
        </w:r>
        <w:r w:rsidR="00CD5E1C" w:rsidRPr="00CD5E1C">
          <w:rPr>
            <w:rFonts w:ascii="Arial" w:hAnsi="Arial" w:cs="Arial"/>
            <w:webHidden/>
          </w:rPr>
          <w:fldChar w:fldCharType="end"/>
        </w:r>
      </w:hyperlink>
    </w:p>
    <w:p w14:paraId="2315C8B7" w14:textId="20CBF79B" w:rsidR="0000567A" w:rsidRPr="00D34C1F" w:rsidRDefault="0000567A" w:rsidP="0000567A">
      <w:pPr>
        <w:pStyle w:val="Heading1"/>
        <w:spacing w:before="0"/>
        <w:ind w:left="432" w:hanging="432"/>
        <w:rPr>
          <w:bCs w:val="0"/>
          <w:sz w:val="18"/>
          <w:szCs w:val="18"/>
        </w:rPr>
      </w:pPr>
      <w:r w:rsidRPr="00D34C1F">
        <w:rPr>
          <w:sz w:val="18"/>
          <w:szCs w:val="18"/>
        </w:rPr>
        <w:fldChar w:fldCharType="end"/>
      </w:r>
      <w:bookmarkEnd w:id="2"/>
      <w:r w:rsidRPr="00D34C1F">
        <w:rPr>
          <w:sz w:val="18"/>
          <w:szCs w:val="18"/>
        </w:rPr>
        <w:br w:type="page"/>
      </w:r>
    </w:p>
    <w:p w14:paraId="15C1E7A7" w14:textId="77777777" w:rsidR="0000567A" w:rsidRPr="003A267F" w:rsidRDefault="0000567A" w:rsidP="00700529">
      <w:pPr>
        <w:pStyle w:val="Heading1"/>
        <w:numPr>
          <w:ilvl w:val="0"/>
          <w:numId w:val="28"/>
        </w:numPr>
        <w:rPr>
          <w:highlight w:val="yellow"/>
        </w:rPr>
      </w:pPr>
      <w:bookmarkStart w:id="4" w:name="_Toc115426467"/>
      <w:bookmarkStart w:id="5" w:name="_Hlk103867478"/>
      <w:r w:rsidRPr="003A267F">
        <w:rPr>
          <w:highlight w:val="yellow"/>
        </w:rPr>
        <w:lastRenderedPageBreak/>
        <w:t>Introduction</w:t>
      </w:r>
      <w:bookmarkEnd w:id="4"/>
    </w:p>
    <w:p w14:paraId="4AE0BCF8" w14:textId="77777777" w:rsidR="0000567A" w:rsidRDefault="0000567A" w:rsidP="0000567A">
      <w:pPr>
        <w:pStyle w:val="DHHSbody"/>
        <w:rPr>
          <w:rFonts w:cs="Arial"/>
        </w:rPr>
      </w:pPr>
      <w:r w:rsidRPr="6BD3CFB7">
        <w:rPr>
          <w:rFonts w:cs="Arial"/>
        </w:rPr>
        <w:t xml:space="preserve">In 2015, the Victorian Minister for Health announced implementation of the Victorian Pharmacist-Administered Vaccination Program (the program), to commence in 2016. </w:t>
      </w:r>
    </w:p>
    <w:p w14:paraId="2ABE64FD" w14:textId="6F659627" w:rsidR="0000567A" w:rsidRPr="00B220A4" w:rsidRDefault="0000567A" w:rsidP="0000567A">
      <w:pPr>
        <w:pStyle w:val="DHHSbody"/>
        <w:rPr>
          <w:rFonts w:cs="Arial"/>
        </w:rPr>
      </w:pPr>
      <w:r w:rsidRPr="005456CD">
        <w:rPr>
          <w:rFonts w:cs="Arial"/>
        </w:rPr>
        <w:t xml:space="preserve">Authorising </w:t>
      </w:r>
      <w:r w:rsidR="00393597">
        <w:rPr>
          <w:rFonts w:cs="Arial"/>
        </w:rPr>
        <w:t>P</w:t>
      </w:r>
      <w:r w:rsidRPr="00B220A4">
        <w:rPr>
          <w:rFonts w:cs="Arial"/>
        </w:rPr>
        <w:t xml:space="preserve">harmacist </w:t>
      </w:r>
      <w:r w:rsidR="00393597">
        <w:rPr>
          <w:rFonts w:cs="Arial"/>
        </w:rPr>
        <w:t>I</w:t>
      </w:r>
      <w:r w:rsidRPr="00B220A4">
        <w:rPr>
          <w:rFonts w:cs="Arial"/>
        </w:rPr>
        <w:t xml:space="preserve">mmunisers to administer approved vaccines provides greater public access to vaccination including for people who are most at risk of complications from vaccine-preventable disease. </w:t>
      </w:r>
    </w:p>
    <w:p w14:paraId="65351127" w14:textId="1D1CD0EB" w:rsidR="0000567A" w:rsidRPr="005456CD" w:rsidRDefault="0000567A" w:rsidP="0000567A">
      <w:pPr>
        <w:pStyle w:val="DHHSbody"/>
        <w:rPr>
          <w:i/>
          <w:iCs/>
        </w:rPr>
      </w:pPr>
      <w:r w:rsidRPr="00B220A4">
        <w:t xml:space="preserve">The vaccines </w:t>
      </w:r>
      <w:r w:rsidR="00393597">
        <w:t>P</w:t>
      </w:r>
      <w:r w:rsidRPr="00B220A4">
        <w:t xml:space="preserve">harmacist </w:t>
      </w:r>
      <w:r w:rsidR="00393597">
        <w:t>I</w:t>
      </w:r>
      <w:r w:rsidRPr="00B220A4">
        <w:t xml:space="preserve">mmunisers are authorised to administer, and the circumstances in which pharmacists may administer these vaccines, are set out in the </w:t>
      </w:r>
      <w:r w:rsidRPr="00B220A4">
        <w:rPr>
          <w:i/>
          <w:iCs/>
        </w:rPr>
        <w:t xml:space="preserve">Secretary Approval </w:t>
      </w:r>
      <w:r w:rsidRPr="00B220A4">
        <w:rPr>
          <w:rFonts w:cs="Arial"/>
          <w:i/>
          <w:iCs/>
        </w:rPr>
        <w:t>–</w:t>
      </w:r>
      <w:r w:rsidRPr="00B220A4">
        <w:rPr>
          <w:i/>
          <w:iCs/>
        </w:rPr>
        <w:t xml:space="preserve"> Pharmacist Immuniser (</w:t>
      </w:r>
      <w:r w:rsidRPr="00B220A4">
        <w:t>the Approval</w:t>
      </w:r>
      <w:r w:rsidRPr="00B220A4">
        <w:rPr>
          <w:i/>
          <w:iCs/>
        </w:rPr>
        <w:t>)</w:t>
      </w:r>
      <w:r w:rsidRPr="005456CD">
        <w:rPr>
          <w:rStyle w:val="FootnoteReference"/>
          <w:i/>
          <w:iCs/>
        </w:rPr>
        <w:footnoteReference w:id="2"/>
      </w:r>
      <w:r w:rsidRPr="005456CD">
        <w:rPr>
          <w:i/>
          <w:iCs/>
        </w:rPr>
        <w:t xml:space="preserve">.  </w:t>
      </w:r>
    </w:p>
    <w:p w14:paraId="3FDFFDCE" w14:textId="54B55981" w:rsidR="0000567A" w:rsidRDefault="0000567A" w:rsidP="0000567A">
      <w:pPr>
        <w:pStyle w:val="DHHSbody"/>
      </w:pPr>
      <w:r w:rsidRPr="005456CD">
        <w:t xml:space="preserve">Following </w:t>
      </w:r>
      <w:proofErr w:type="gramStart"/>
      <w:r w:rsidRPr="005456CD">
        <w:t>a number of</w:t>
      </w:r>
      <w:proofErr w:type="gramEnd"/>
      <w:r w:rsidRPr="005456CD">
        <w:t xml:space="preserve"> reviews and expansions of the program, </w:t>
      </w:r>
      <w:r w:rsidR="00393597">
        <w:t>P</w:t>
      </w:r>
      <w:r w:rsidRPr="00B220A4">
        <w:t xml:space="preserve">harmacist </w:t>
      </w:r>
      <w:r w:rsidR="00393597">
        <w:t>I</w:t>
      </w:r>
      <w:r w:rsidRPr="00B220A4">
        <w:t xml:space="preserve">mmunisers that have completed a recognised </w:t>
      </w:r>
      <w:r w:rsidR="005456CD">
        <w:t>‘</w:t>
      </w:r>
      <w:r w:rsidRPr="005456CD">
        <w:t xml:space="preserve">Immuniser </w:t>
      </w:r>
      <w:r w:rsidR="005456CD">
        <w:t>p</w:t>
      </w:r>
      <w:r w:rsidRPr="00B220A4">
        <w:t xml:space="preserve">rogram of </w:t>
      </w:r>
      <w:r w:rsidR="005456CD">
        <w:t>s</w:t>
      </w:r>
      <w:r w:rsidRPr="00B220A4">
        <w:t>tudy</w:t>
      </w:r>
      <w:r w:rsidR="005456CD">
        <w:t>’</w:t>
      </w:r>
      <w:r w:rsidRPr="005456CD">
        <w:t xml:space="preserve">, are currently authorised to administer the </w:t>
      </w:r>
      <w:r w:rsidR="00DE2D07">
        <w:t>below</w:t>
      </w:r>
      <w:r w:rsidRPr="005456CD">
        <w:t xml:space="preserve"> vaccines in Victoria:</w:t>
      </w:r>
    </w:p>
    <w:p w14:paraId="02E419EF" w14:textId="6867904B" w:rsidR="0082171D" w:rsidRPr="005456CD" w:rsidRDefault="00DE2D07" w:rsidP="00DE2D07">
      <w:pPr>
        <w:pStyle w:val="Tablecaption"/>
      </w:pPr>
      <w:r>
        <w:t>Table 1: Approved vaccines</w:t>
      </w:r>
    </w:p>
    <w:tbl>
      <w:tblPr>
        <w:tblStyle w:val="TableGrid"/>
        <w:tblW w:w="9401" w:type="dxa"/>
        <w:tblLook w:val="04A0" w:firstRow="1" w:lastRow="0" w:firstColumn="1" w:lastColumn="0" w:noHBand="0" w:noVBand="1"/>
      </w:tblPr>
      <w:tblGrid>
        <w:gridCol w:w="1555"/>
        <w:gridCol w:w="2835"/>
        <w:gridCol w:w="5011"/>
      </w:tblGrid>
      <w:tr w:rsidR="0000567A" w:rsidRPr="0081450D" w14:paraId="0E4CF1FE" w14:textId="77777777" w:rsidTr="000C751A">
        <w:trPr>
          <w:tblHeader/>
        </w:trPr>
        <w:tc>
          <w:tcPr>
            <w:tcW w:w="1555" w:type="dxa"/>
            <w:tcBorders>
              <w:top w:val="single" w:sz="4" w:space="0" w:color="auto"/>
              <w:left w:val="single" w:sz="4" w:space="0" w:color="auto"/>
              <w:bottom w:val="single" w:sz="4" w:space="0" w:color="auto"/>
              <w:right w:val="single" w:sz="4" w:space="0" w:color="auto"/>
            </w:tcBorders>
            <w:hideMark/>
          </w:tcPr>
          <w:p w14:paraId="0F188C40" w14:textId="77777777" w:rsidR="0000567A" w:rsidRPr="005456CD" w:rsidRDefault="0000567A" w:rsidP="00FD4917">
            <w:pPr>
              <w:pStyle w:val="DHHSbody"/>
              <w:tabs>
                <w:tab w:val="left" w:pos="1134"/>
              </w:tabs>
              <w:rPr>
                <w:b/>
              </w:rPr>
            </w:pPr>
            <w:r w:rsidRPr="005456CD">
              <w:rPr>
                <w:b/>
              </w:rPr>
              <w:t>Vaccine</w:t>
            </w:r>
          </w:p>
        </w:tc>
        <w:tc>
          <w:tcPr>
            <w:tcW w:w="2835" w:type="dxa"/>
            <w:tcBorders>
              <w:top w:val="single" w:sz="4" w:space="0" w:color="auto"/>
              <w:left w:val="single" w:sz="4" w:space="0" w:color="auto"/>
              <w:bottom w:val="single" w:sz="4" w:space="0" w:color="auto"/>
              <w:right w:val="single" w:sz="4" w:space="0" w:color="auto"/>
            </w:tcBorders>
            <w:hideMark/>
          </w:tcPr>
          <w:p w14:paraId="3BC92082" w14:textId="77777777" w:rsidR="0000567A" w:rsidRPr="005456CD" w:rsidRDefault="0000567A" w:rsidP="00FD4917">
            <w:pPr>
              <w:pStyle w:val="DHHSbody"/>
              <w:tabs>
                <w:tab w:val="left" w:pos="1134"/>
              </w:tabs>
              <w:rPr>
                <w:b/>
                <w:i/>
              </w:rPr>
            </w:pPr>
            <w:r w:rsidRPr="005456CD">
              <w:rPr>
                <w:b/>
              </w:rPr>
              <w:t xml:space="preserve">Approval for pharmacists to vaccinate with this vaccine </w:t>
            </w:r>
            <w:r w:rsidRPr="005456CD">
              <w:rPr>
                <w:b/>
                <w:i/>
              </w:rPr>
              <w:t>applies to</w:t>
            </w:r>
          </w:p>
        </w:tc>
        <w:tc>
          <w:tcPr>
            <w:tcW w:w="5011" w:type="dxa"/>
            <w:tcBorders>
              <w:top w:val="single" w:sz="4" w:space="0" w:color="auto"/>
              <w:left w:val="single" w:sz="4" w:space="0" w:color="auto"/>
              <w:bottom w:val="single" w:sz="4" w:space="0" w:color="auto"/>
              <w:right w:val="single" w:sz="4" w:space="0" w:color="auto"/>
            </w:tcBorders>
            <w:hideMark/>
          </w:tcPr>
          <w:p w14:paraId="2DF0E9FA" w14:textId="77777777" w:rsidR="0000567A" w:rsidRPr="005456CD" w:rsidRDefault="0000567A" w:rsidP="00FD4917">
            <w:pPr>
              <w:pStyle w:val="DHHSbody"/>
              <w:tabs>
                <w:tab w:val="left" w:pos="1134"/>
              </w:tabs>
              <w:rPr>
                <w:b/>
                <w:i/>
              </w:rPr>
            </w:pPr>
            <w:r w:rsidRPr="005456CD">
              <w:rPr>
                <w:b/>
              </w:rPr>
              <w:t xml:space="preserve">Approval for pharmacists to vaccinate with this vaccine </w:t>
            </w:r>
            <w:r w:rsidRPr="005456CD">
              <w:rPr>
                <w:b/>
                <w:i/>
              </w:rPr>
              <w:t>excludes</w:t>
            </w:r>
          </w:p>
        </w:tc>
      </w:tr>
      <w:tr w:rsidR="0000567A" w:rsidRPr="0081450D" w14:paraId="56C4A52F" w14:textId="77777777" w:rsidTr="000C751A">
        <w:tc>
          <w:tcPr>
            <w:tcW w:w="1555" w:type="dxa"/>
            <w:tcBorders>
              <w:top w:val="single" w:sz="4" w:space="0" w:color="auto"/>
              <w:left w:val="single" w:sz="4" w:space="0" w:color="auto"/>
              <w:bottom w:val="single" w:sz="4" w:space="0" w:color="auto"/>
              <w:right w:val="single" w:sz="4" w:space="0" w:color="auto"/>
            </w:tcBorders>
            <w:hideMark/>
          </w:tcPr>
          <w:p w14:paraId="38EC4C67" w14:textId="2780E62D" w:rsidR="0000567A" w:rsidRPr="005456CD" w:rsidRDefault="0000567A" w:rsidP="00FD4917">
            <w:pPr>
              <w:pStyle w:val="DHHSbody"/>
              <w:tabs>
                <w:tab w:val="left" w:pos="1134"/>
              </w:tabs>
            </w:pPr>
            <w:r w:rsidRPr="005456CD">
              <w:t xml:space="preserve">Influenza </w:t>
            </w:r>
          </w:p>
        </w:tc>
        <w:tc>
          <w:tcPr>
            <w:tcW w:w="2835" w:type="dxa"/>
            <w:tcBorders>
              <w:top w:val="single" w:sz="4" w:space="0" w:color="auto"/>
              <w:left w:val="single" w:sz="4" w:space="0" w:color="auto"/>
              <w:bottom w:val="single" w:sz="4" w:space="0" w:color="auto"/>
              <w:right w:val="single" w:sz="4" w:space="0" w:color="auto"/>
            </w:tcBorders>
            <w:hideMark/>
          </w:tcPr>
          <w:p w14:paraId="5C3BEEEC" w14:textId="170B1A5A" w:rsidR="0000567A" w:rsidRPr="005456CD" w:rsidRDefault="0000567A" w:rsidP="00700529">
            <w:pPr>
              <w:pStyle w:val="DHHSbullet1"/>
              <w:numPr>
                <w:ilvl w:val="0"/>
                <w:numId w:val="11"/>
              </w:numPr>
            </w:pPr>
            <w:r w:rsidRPr="005456CD">
              <w:t xml:space="preserve">Vaccination of people aged 5 years and </w:t>
            </w:r>
            <w:r w:rsidR="00FC1206">
              <w:t>older</w:t>
            </w:r>
            <w:r w:rsidRPr="005456CD">
              <w:t>, excluding those circumstances listed in Column 3.</w:t>
            </w:r>
          </w:p>
        </w:tc>
        <w:tc>
          <w:tcPr>
            <w:tcW w:w="5011" w:type="dxa"/>
            <w:tcBorders>
              <w:top w:val="single" w:sz="4" w:space="0" w:color="auto"/>
              <w:left w:val="single" w:sz="4" w:space="0" w:color="auto"/>
              <w:bottom w:val="single" w:sz="4" w:space="0" w:color="auto"/>
              <w:right w:val="single" w:sz="4" w:space="0" w:color="auto"/>
            </w:tcBorders>
            <w:hideMark/>
          </w:tcPr>
          <w:p w14:paraId="0249B5F8" w14:textId="1122827B" w:rsidR="0000567A" w:rsidRPr="005456CD" w:rsidRDefault="0000567A" w:rsidP="00700529">
            <w:pPr>
              <w:pStyle w:val="DHHStablebullet"/>
              <w:numPr>
                <w:ilvl w:val="6"/>
                <w:numId w:val="11"/>
              </w:numPr>
            </w:pPr>
            <w:r w:rsidRPr="005456CD">
              <w:t xml:space="preserve">Vaccination for travel </w:t>
            </w:r>
            <w:proofErr w:type="gramStart"/>
            <w:r w:rsidRPr="005456CD">
              <w:t>purposes;</w:t>
            </w:r>
            <w:proofErr w:type="gramEnd"/>
            <w:r w:rsidRPr="005456CD">
              <w:t xml:space="preserve"> </w:t>
            </w:r>
          </w:p>
          <w:p w14:paraId="60D6A397" w14:textId="1FFEA58C" w:rsidR="0000567A" w:rsidRPr="005456CD" w:rsidRDefault="0000567A" w:rsidP="00700529">
            <w:pPr>
              <w:pStyle w:val="DHHStablebullet"/>
              <w:numPr>
                <w:ilvl w:val="6"/>
                <w:numId w:val="11"/>
              </w:numPr>
            </w:pPr>
            <w:r w:rsidRPr="005456CD">
              <w:t xml:space="preserve">Vaccination of people aged 4 years and </w:t>
            </w:r>
            <w:r w:rsidR="009E13C4">
              <w:t>younger</w:t>
            </w:r>
            <w:r w:rsidRPr="005456CD">
              <w:t xml:space="preserve">; </w:t>
            </w:r>
            <w:r w:rsidR="009E13C4">
              <w:t>or</w:t>
            </w:r>
          </w:p>
          <w:p w14:paraId="254EB00D" w14:textId="77777777" w:rsidR="0000567A" w:rsidRPr="005456CD" w:rsidRDefault="0000567A" w:rsidP="00700529">
            <w:pPr>
              <w:pStyle w:val="DHHStablebullet"/>
              <w:numPr>
                <w:ilvl w:val="6"/>
                <w:numId w:val="11"/>
              </w:numPr>
            </w:pPr>
            <w:r w:rsidRPr="005456CD">
              <w:t xml:space="preserve">Vaccination of people with contraindications defined in the current edition of the </w:t>
            </w:r>
            <w:r w:rsidRPr="005456CD">
              <w:rPr>
                <w:i/>
              </w:rPr>
              <w:t>Australian Immunisation Handbook</w:t>
            </w:r>
            <w:r w:rsidRPr="005456CD">
              <w:t>.</w:t>
            </w:r>
          </w:p>
        </w:tc>
      </w:tr>
      <w:tr w:rsidR="0000567A" w:rsidRPr="0081450D" w14:paraId="4BB6CA10" w14:textId="77777777" w:rsidTr="000C751A">
        <w:tc>
          <w:tcPr>
            <w:tcW w:w="1555" w:type="dxa"/>
            <w:tcBorders>
              <w:top w:val="single" w:sz="4" w:space="0" w:color="auto"/>
              <w:left w:val="single" w:sz="4" w:space="0" w:color="auto"/>
              <w:bottom w:val="single" w:sz="4" w:space="0" w:color="auto"/>
              <w:right w:val="single" w:sz="4" w:space="0" w:color="auto"/>
            </w:tcBorders>
            <w:hideMark/>
          </w:tcPr>
          <w:p w14:paraId="5101DA55" w14:textId="3386DF96" w:rsidR="0000567A" w:rsidRPr="005456CD" w:rsidRDefault="00F03930" w:rsidP="00FD4917">
            <w:pPr>
              <w:pStyle w:val="DHHSbody"/>
              <w:tabs>
                <w:tab w:val="left" w:pos="1134"/>
              </w:tabs>
            </w:pPr>
            <w:r w:rsidRPr="00141247">
              <w:rPr>
                <w:highlight w:val="yellow"/>
              </w:rPr>
              <w:t>Diphtheria-tetanus</w:t>
            </w:r>
            <w:r w:rsidR="00FC1206" w:rsidRPr="00141247">
              <w:rPr>
                <w:highlight w:val="yellow"/>
              </w:rPr>
              <w:t>-p</w:t>
            </w:r>
            <w:r w:rsidR="0000567A" w:rsidRPr="00141247">
              <w:rPr>
                <w:highlight w:val="yellow"/>
              </w:rPr>
              <w:t>ertussis vaccines</w:t>
            </w:r>
          </w:p>
        </w:tc>
        <w:tc>
          <w:tcPr>
            <w:tcW w:w="2835" w:type="dxa"/>
            <w:tcBorders>
              <w:top w:val="single" w:sz="4" w:space="0" w:color="auto"/>
              <w:left w:val="single" w:sz="4" w:space="0" w:color="auto"/>
              <w:bottom w:val="single" w:sz="4" w:space="0" w:color="auto"/>
              <w:right w:val="single" w:sz="4" w:space="0" w:color="auto"/>
            </w:tcBorders>
            <w:hideMark/>
          </w:tcPr>
          <w:p w14:paraId="4F21DC0C" w14:textId="1B122A88" w:rsidR="0000567A" w:rsidRPr="005456CD" w:rsidRDefault="0000567A" w:rsidP="00700529">
            <w:pPr>
              <w:pStyle w:val="DHHSbullet1"/>
              <w:numPr>
                <w:ilvl w:val="0"/>
                <w:numId w:val="11"/>
              </w:numPr>
            </w:pPr>
            <w:r w:rsidRPr="005456CD">
              <w:t xml:space="preserve">Vaccination of people aged </w:t>
            </w:r>
            <w:r w:rsidRPr="005456CD">
              <w:rPr>
                <w:highlight w:val="yellow"/>
              </w:rPr>
              <w:t>1</w:t>
            </w:r>
            <w:r w:rsidR="00FC1206" w:rsidRPr="005456CD">
              <w:rPr>
                <w:highlight w:val="yellow"/>
              </w:rPr>
              <w:t>2</w:t>
            </w:r>
            <w:r w:rsidRPr="000C751A">
              <w:t xml:space="preserve"> years and </w:t>
            </w:r>
            <w:r w:rsidR="00FC1206" w:rsidRPr="000C751A">
              <w:t>o</w:t>
            </w:r>
            <w:r w:rsidR="00FC1206">
              <w:t>lder</w:t>
            </w:r>
            <w:r w:rsidRPr="005456CD">
              <w:t>, excluding those circumstances listed in Column 3.</w:t>
            </w:r>
          </w:p>
        </w:tc>
        <w:tc>
          <w:tcPr>
            <w:tcW w:w="5011" w:type="dxa"/>
            <w:tcBorders>
              <w:top w:val="single" w:sz="4" w:space="0" w:color="auto"/>
              <w:left w:val="single" w:sz="4" w:space="0" w:color="auto"/>
              <w:bottom w:val="single" w:sz="4" w:space="0" w:color="auto"/>
              <w:right w:val="single" w:sz="4" w:space="0" w:color="auto"/>
            </w:tcBorders>
            <w:hideMark/>
          </w:tcPr>
          <w:p w14:paraId="6103AB26" w14:textId="1122827B" w:rsidR="0000567A" w:rsidRPr="005456CD" w:rsidRDefault="0000567A" w:rsidP="00700529">
            <w:pPr>
              <w:pStyle w:val="DHHSbullet1lastline"/>
              <w:numPr>
                <w:ilvl w:val="1"/>
                <w:numId w:val="11"/>
              </w:numPr>
            </w:pPr>
            <w:r w:rsidRPr="005456CD">
              <w:t xml:space="preserve">Vaccination for travel </w:t>
            </w:r>
            <w:proofErr w:type="gramStart"/>
            <w:r w:rsidRPr="005456CD">
              <w:t>purposes;</w:t>
            </w:r>
            <w:proofErr w:type="gramEnd"/>
          </w:p>
          <w:p w14:paraId="64C9B522" w14:textId="61A0748E" w:rsidR="0000567A" w:rsidRPr="005456CD" w:rsidRDefault="0000567A" w:rsidP="00700529">
            <w:pPr>
              <w:pStyle w:val="DHHSbullet1lastline"/>
              <w:numPr>
                <w:ilvl w:val="1"/>
                <w:numId w:val="11"/>
              </w:numPr>
            </w:pPr>
            <w:r w:rsidRPr="005456CD">
              <w:t xml:space="preserve">Vaccination of people aged </w:t>
            </w:r>
            <w:r w:rsidR="005C34B9" w:rsidRPr="000C751A">
              <w:rPr>
                <w:highlight w:val="yellow"/>
              </w:rPr>
              <w:t xml:space="preserve">11 </w:t>
            </w:r>
            <w:r w:rsidRPr="000C751A">
              <w:rPr>
                <w:highlight w:val="yellow"/>
              </w:rPr>
              <w:t>years</w:t>
            </w:r>
            <w:r w:rsidRPr="005456CD">
              <w:t xml:space="preserve"> and </w:t>
            </w:r>
            <w:proofErr w:type="gramStart"/>
            <w:r w:rsidR="009E13C4">
              <w:t>younger</w:t>
            </w:r>
            <w:r w:rsidRPr="005456CD">
              <w:t>;</w:t>
            </w:r>
            <w:proofErr w:type="gramEnd"/>
            <w:r w:rsidRPr="005456CD">
              <w:t xml:space="preserve"> </w:t>
            </w:r>
          </w:p>
          <w:p w14:paraId="2936BB82" w14:textId="279ED475" w:rsidR="0000567A" w:rsidRPr="00B37B58" w:rsidRDefault="0000567A" w:rsidP="00700529">
            <w:pPr>
              <w:pStyle w:val="DHHSbullet1lastline"/>
              <w:numPr>
                <w:ilvl w:val="1"/>
                <w:numId w:val="11"/>
              </w:numPr>
              <w:rPr>
                <w:highlight w:val="yellow"/>
              </w:rPr>
            </w:pPr>
            <w:r w:rsidRPr="005456CD">
              <w:rPr>
                <w:highlight w:val="yellow"/>
              </w:rPr>
              <w:t xml:space="preserve">Vaccination for the express purpose of </w:t>
            </w:r>
            <w:r w:rsidR="00251A9F" w:rsidRPr="005456CD">
              <w:rPr>
                <w:highlight w:val="yellow"/>
              </w:rPr>
              <w:t>post-exposure</w:t>
            </w:r>
            <w:r w:rsidR="00234299" w:rsidRPr="005456CD">
              <w:rPr>
                <w:highlight w:val="yellow"/>
              </w:rPr>
              <w:t xml:space="preserve"> prophylaxis in people with a</w:t>
            </w:r>
            <w:r w:rsidRPr="005456CD">
              <w:rPr>
                <w:highlight w:val="yellow"/>
              </w:rPr>
              <w:t xml:space="preserve"> tetanus</w:t>
            </w:r>
            <w:r w:rsidR="00234299" w:rsidRPr="005456CD">
              <w:rPr>
                <w:highlight w:val="yellow"/>
              </w:rPr>
              <w:t xml:space="preserve">-prone </w:t>
            </w:r>
            <w:proofErr w:type="gramStart"/>
            <w:r w:rsidR="00234299" w:rsidRPr="005456CD">
              <w:rPr>
                <w:highlight w:val="yellow"/>
              </w:rPr>
              <w:t>wound</w:t>
            </w:r>
            <w:r w:rsidRPr="00B37B58">
              <w:rPr>
                <w:highlight w:val="yellow"/>
              </w:rPr>
              <w:t>;</w:t>
            </w:r>
            <w:proofErr w:type="gramEnd"/>
          </w:p>
          <w:p w14:paraId="33C4421E" w14:textId="134944DA" w:rsidR="0000567A" w:rsidRPr="00FE5CCD" w:rsidRDefault="0000567A" w:rsidP="00700529">
            <w:pPr>
              <w:pStyle w:val="DHHSbullet1lastline"/>
              <w:numPr>
                <w:ilvl w:val="1"/>
                <w:numId w:val="11"/>
              </w:numPr>
            </w:pPr>
            <w:r w:rsidRPr="00FE5CCD">
              <w:t xml:space="preserve">Vaccination of people that are contacts in the event of a case of pertussis, unless directed by the Department of </w:t>
            </w:r>
            <w:proofErr w:type="gramStart"/>
            <w:r w:rsidRPr="00FE5CCD">
              <w:t>Health;</w:t>
            </w:r>
            <w:proofErr w:type="gramEnd"/>
            <w:r w:rsidRPr="00FE5CCD">
              <w:t xml:space="preserve"> </w:t>
            </w:r>
          </w:p>
          <w:p w14:paraId="0B295537" w14:textId="77777777" w:rsidR="0000567A" w:rsidRPr="00FE5CCD" w:rsidRDefault="0000567A" w:rsidP="00700529">
            <w:pPr>
              <w:pStyle w:val="DHHSbullet1lastline"/>
              <w:numPr>
                <w:ilvl w:val="1"/>
                <w:numId w:val="11"/>
              </w:numPr>
            </w:pPr>
            <w:r w:rsidRPr="00FE5CCD">
              <w:t xml:space="preserve">Vaccination of people with contraindications defined in the current edition of the </w:t>
            </w:r>
            <w:r w:rsidRPr="00FE5CCD">
              <w:rPr>
                <w:i/>
              </w:rPr>
              <w:t>Australian Immunisation Handbook</w:t>
            </w:r>
            <w:r w:rsidRPr="00FE5CCD">
              <w:t>.</w:t>
            </w:r>
          </w:p>
        </w:tc>
      </w:tr>
      <w:tr w:rsidR="00085D60" w:rsidRPr="0081450D" w14:paraId="14A565DE" w14:textId="77777777" w:rsidTr="00FA7E4E">
        <w:tc>
          <w:tcPr>
            <w:tcW w:w="1555" w:type="dxa"/>
            <w:tcBorders>
              <w:top w:val="single" w:sz="4" w:space="0" w:color="auto"/>
              <w:left w:val="single" w:sz="4" w:space="0" w:color="auto"/>
              <w:bottom w:val="single" w:sz="4" w:space="0" w:color="auto"/>
              <w:right w:val="single" w:sz="4" w:space="0" w:color="auto"/>
            </w:tcBorders>
          </w:tcPr>
          <w:p w14:paraId="06D8184C" w14:textId="706DE0AA" w:rsidR="00CC3C6B" w:rsidRDefault="00CC3C6B" w:rsidP="00FD4917">
            <w:pPr>
              <w:pStyle w:val="DHHSbody"/>
              <w:tabs>
                <w:tab w:val="left" w:pos="1134"/>
              </w:tabs>
            </w:pPr>
            <w:r w:rsidRPr="005456CD">
              <w:rPr>
                <w:highlight w:val="yellow"/>
              </w:rPr>
              <w:t xml:space="preserve">Human papillomavirus </w:t>
            </w:r>
            <w:r>
              <w:rPr>
                <w:highlight w:val="yellow"/>
              </w:rPr>
              <w:t>(HPV)</w:t>
            </w:r>
          </w:p>
        </w:tc>
        <w:tc>
          <w:tcPr>
            <w:tcW w:w="2835" w:type="dxa"/>
            <w:tcBorders>
              <w:top w:val="single" w:sz="4" w:space="0" w:color="auto"/>
              <w:left w:val="single" w:sz="4" w:space="0" w:color="auto"/>
              <w:bottom w:val="single" w:sz="4" w:space="0" w:color="auto"/>
              <w:right w:val="single" w:sz="4" w:space="0" w:color="auto"/>
            </w:tcBorders>
          </w:tcPr>
          <w:p w14:paraId="2B28D6CE" w14:textId="40826729" w:rsidR="00CC3C6B" w:rsidRPr="005456CD" w:rsidRDefault="00CC3C6B" w:rsidP="00700529">
            <w:pPr>
              <w:pStyle w:val="DHHSbullet1"/>
              <w:numPr>
                <w:ilvl w:val="0"/>
                <w:numId w:val="11"/>
              </w:numPr>
            </w:pPr>
            <w:r w:rsidRPr="005456CD">
              <w:rPr>
                <w:highlight w:val="yellow"/>
              </w:rPr>
              <w:t xml:space="preserve">Vaccination of </w:t>
            </w:r>
            <w:r>
              <w:rPr>
                <w:highlight w:val="yellow"/>
              </w:rPr>
              <w:t>people</w:t>
            </w:r>
            <w:r w:rsidRPr="005456CD">
              <w:rPr>
                <w:highlight w:val="yellow"/>
              </w:rPr>
              <w:t xml:space="preserve"> aged 12 years and older,</w:t>
            </w:r>
            <w:r w:rsidRPr="0081450D">
              <w:rPr>
                <w:rFonts w:ascii="Cambria" w:eastAsia="Times New Roman" w:hAnsi="Cambria"/>
                <w:highlight w:val="yellow"/>
              </w:rPr>
              <w:t xml:space="preserve"> </w:t>
            </w:r>
            <w:r w:rsidRPr="005456CD">
              <w:rPr>
                <w:highlight w:val="yellow"/>
              </w:rPr>
              <w:t>excluding those circumstances listed in Column 3</w:t>
            </w:r>
            <w:r>
              <w:rPr>
                <w:highlight w:val="yellow"/>
              </w:rPr>
              <w:t>.</w:t>
            </w:r>
          </w:p>
        </w:tc>
        <w:tc>
          <w:tcPr>
            <w:tcW w:w="5011" w:type="dxa"/>
            <w:tcBorders>
              <w:top w:val="single" w:sz="4" w:space="0" w:color="auto"/>
              <w:left w:val="single" w:sz="4" w:space="0" w:color="auto"/>
              <w:bottom w:val="single" w:sz="4" w:space="0" w:color="auto"/>
              <w:right w:val="single" w:sz="4" w:space="0" w:color="auto"/>
            </w:tcBorders>
          </w:tcPr>
          <w:p w14:paraId="7A7B4DA7" w14:textId="77777777" w:rsidR="00CC3C6B" w:rsidRDefault="00CC3C6B" w:rsidP="00700529">
            <w:pPr>
              <w:pStyle w:val="DHHSbullet1lastline"/>
              <w:numPr>
                <w:ilvl w:val="1"/>
                <w:numId w:val="11"/>
              </w:numPr>
              <w:rPr>
                <w:highlight w:val="yellow"/>
              </w:rPr>
            </w:pPr>
            <w:r>
              <w:rPr>
                <w:highlight w:val="yellow"/>
              </w:rPr>
              <w:t xml:space="preserve">Vaccination for travel </w:t>
            </w:r>
            <w:proofErr w:type="gramStart"/>
            <w:r>
              <w:rPr>
                <w:highlight w:val="yellow"/>
              </w:rPr>
              <w:t>purposes;</w:t>
            </w:r>
            <w:proofErr w:type="gramEnd"/>
          </w:p>
          <w:p w14:paraId="675EE7D1" w14:textId="77777777" w:rsidR="00CC3C6B" w:rsidRPr="005456CD" w:rsidRDefault="00CC3C6B" w:rsidP="00700529">
            <w:pPr>
              <w:pStyle w:val="DHHSbullet1lastline"/>
              <w:numPr>
                <w:ilvl w:val="1"/>
                <w:numId w:val="11"/>
              </w:numPr>
              <w:rPr>
                <w:highlight w:val="yellow"/>
              </w:rPr>
            </w:pPr>
            <w:r w:rsidRPr="005456CD">
              <w:rPr>
                <w:highlight w:val="yellow"/>
              </w:rPr>
              <w:t xml:space="preserve">Vaccination of people aged 11 years and </w:t>
            </w:r>
            <w:proofErr w:type="gramStart"/>
            <w:r>
              <w:rPr>
                <w:highlight w:val="yellow"/>
              </w:rPr>
              <w:t>younger;</w:t>
            </w:r>
            <w:proofErr w:type="gramEnd"/>
            <w:r>
              <w:rPr>
                <w:highlight w:val="yellow"/>
              </w:rPr>
              <w:t xml:space="preserve"> </w:t>
            </w:r>
          </w:p>
          <w:p w14:paraId="58C56358" w14:textId="3EF02959" w:rsidR="00CC3C6B" w:rsidRPr="005456CD" w:rsidRDefault="00CC3C6B" w:rsidP="00700529">
            <w:pPr>
              <w:pStyle w:val="DHHSbullet1lastline"/>
              <w:numPr>
                <w:ilvl w:val="1"/>
                <w:numId w:val="11"/>
              </w:numPr>
            </w:pPr>
            <w:r w:rsidRPr="005456CD">
              <w:rPr>
                <w:highlight w:val="yellow"/>
              </w:rPr>
              <w:t xml:space="preserve">Vaccination of people with contraindications defined in the current edition of the </w:t>
            </w:r>
            <w:r w:rsidRPr="005456CD">
              <w:rPr>
                <w:i/>
                <w:iCs/>
                <w:highlight w:val="yellow"/>
              </w:rPr>
              <w:t>Australian Immunisation Handbook.</w:t>
            </w:r>
          </w:p>
        </w:tc>
      </w:tr>
      <w:tr w:rsidR="00B46424" w:rsidRPr="0081450D" w14:paraId="5561945F" w14:textId="77777777" w:rsidTr="00751E76">
        <w:tc>
          <w:tcPr>
            <w:tcW w:w="1555" w:type="dxa"/>
            <w:tcBorders>
              <w:top w:val="single" w:sz="4" w:space="0" w:color="auto"/>
              <w:left w:val="single" w:sz="4" w:space="0" w:color="auto"/>
              <w:bottom w:val="single" w:sz="4" w:space="0" w:color="auto"/>
              <w:right w:val="single" w:sz="4" w:space="0" w:color="auto"/>
            </w:tcBorders>
            <w:hideMark/>
          </w:tcPr>
          <w:p w14:paraId="3E72B2A9" w14:textId="77777777" w:rsidR="00B46424" w:rsidRPr="005456CD" w:rsidRDefault="00B46424" w:rsidP="00B46424">
            <w:pPr>
              <w:pStyle w:val="DHHSbody"/>
              <w:tabs>
                <w:tab w:val="left" w:pos="1134"/>
              </w:tabs>
            </w:pPr>
            <w:r w:rsidRPr="005456CD">
              <w:t xml:space="preserve">Measles-mumps-rubella </w:t>
            </w:r>
            <w:r w:rsidRPr="005456CD">
              <w:lastRenderedPageBreak/>
              <w:t>vaccine (MMR)</w:t>
            </w:r>
          </w:p>
        </w:tc>
        <w:tc>
          <w:tcPr>
            <w:tcW w:w="2835" w:type="dxa"/>
            <w:tcBorders>
              <w:top w:val="single" w:sz="4" w:space="0" w:color="auto"/>
              <w:left w:val="single" w:sz="4" w:space="0" w:color="auto"/>
              <w:bottom w:val="single" w:sz="4" w:space="0" w:color="auto"/>
              <w:right w:val="single" w:sz="4" w:space="0" w:color="auto"/>
            </w:tcBorders>
            <w:hideMark/>
          </w:tcPr>
          <w:p w14:paraId="513CD7FB" w14:textId="5B0ED0C1" w:rsidR="00B46424" w:rsidRPr="005456CD" w:rsidRDefault="00B46424" w:rsidP="00700529">
            <w:pPr>
              <w:pStyle w:val="DHHSbullet1"/>
              <w:numPr>
                <w:ilvl w:val="0"/>
                <w:numId w:val="11"/>
              </w:numPr>
            </w:pPr>
            <w:r w:rsidRPr="005456CD">
              <w:lastRenderedPageBreak/>
              <w:t>Vaccination of people aged 15 years and o</w:t>
            </w:r>
            <w:r>
              <w:t>lder</w:t>
            </w:r>
            <w:r w:rsidRPr="005456CD">
              <w:t xml:space="preserve">, </w:t>
            </w:r>
            <w:r w:rsidRPr="005456CD">
              <w:lastRenderedPageBreak/>
              <w:t>excluding those circumstances listed in Column 3.</w:t>
            </w:r>
          </w:p>
        </w:tc>
        <w:tc>
          <w:tcPr>
            <w:tcW w:w="5011" w:type="dxa"/>
            <w:tcBorders>
              <w:top w:val="single" w:sz="4" w:space="0" w:color="auto"/>
              <w:left w:val="single" w:sz="4" w:space="0" w:color="auto"/>
              <w:bottom w:val="single" w:sz="4" w:space="0" w:color="auto"/>
              <w:right w:val="single" w:sz="4" w:space="0" w:color="auto"/>
            </w:tcBorders>
            <w:hideMark/>
          </w:tcPr>
          <w:p w14:paraId="2636A92D" w14:textId="1122827B" w:rsidR="00B46424" w:rsidRPr="005456CD" w:rsidRDefault="00B46424" w:rsidP="00700529">
            <w:pPr>
              <w:pStyle w:val="DHHSbullet1lastline"/>
              <w:numPr>
                <w:ilvl w:val="1"/>
                <w:numId w:val="11"/>
              </w:numPr>
            </w:pPr>
            <w:r w:rsidRPr="005456CD">
              <w:lastRenderedPageBreak/>
              <w:t xml:space="preserve">Vaccination for travel </w:t>
            </w:r>
            <w:proofErr w:type="gramStart"/>
            <w:r w:rsidRPr="005456CD">
              <w:t>purposes;</w:t>
            </w:r>
            <w:proofErr w:type="gramEnd"/>
          </w:p>
          <w:p w14:paraId="1A04F9E4" w14:textId="626B6A08" w:rsidR="00B46424" w:rsidRPr="005456CD" w:rsidRDefault="00B46424" w:rsidP="00700529">
            <w:pPr>
              <w:pStyle w:val="DHHSbullet1lastline"/>
              <w:numPr>
                <w:ilvl w:val="1"/>
                <w:numId w:val="11"/>
              </w:numPr>
            </w:pPr>
            <w:r w:rsidRPr="005456CD">
              <w:lastRenderedPageBreak/>
              <w:t xml:space="preserve">Vaccination of people aged 14 years and </w:t>
            </w:r>
            <w:proofErr w:type="gramStart"/>
            <w:r>
              <w:t>younger</w:t>
            </w:r>
            <w:r w:rsidRPr="005456CD">
              <w:t>;</w:t>
            </w:r>
            <w:proofErr w:type="gramEnd"/>
            <w:r w:rsidRPr="005456CD">
              <w:t xml:space="preserve"> </w:t>
            </w:r>
          </w:p>
          <w:p w14:paraId="4BF371CD" w14:textId="77777777" w:rsidR="00B46424" w:rsidRPr="005456CD" w:rsidRDefault="00B46424" w:rsidP="00700529">
            <w:pPr>
              <w:pStyle w:val="DHHSbullet1lastline"/>
              <w:numPr>
                <w:ilvl w:val="1"/>
                <w:numId w:val="11"/>
              </w:numPr>
            </w:pPr>
            <w:r w:rsidRPr="005456CD">
              <w:t xml:space="preserve">Vaccination of people with contraindications defined in the current edition of the </w:t>
            </w:r>
            <w:r w:rsidRPr="005456CD">
              <w:rPr>
                <w:i/>
              </w:rPr>
              <w:t>Australian Immunisation Handbook</w:t>
            </w:r>
            <w:r w:rsidRPr="005456CD">
              <w:t>.</w:t>
            </w:r>
          </w:p>
        </w:tc>
      </w:tr>
      <w:tr w:rsidR="00B46424" w:rsidRPr="00F60EC8" w14:paraId="0316B42A" w14:textId="77777777" w:rsidTr="00751E76">
        <w:tc>
          <w:tcPr>
            <w:tcW w:w="1555" w:type="dxa"/>
            <w:tcBorders>
              <w:top w:val="single" w:sz="4" w:space="0" w:color="auto"/>
              <w:left w:val="single" w:sz="4" w:space="0" w:color="auto"/>
              <w:bottom w:val="single" w:sz="4" w:space="0" w:color="auto"/>
              <w:right w:val="single" w:sz="4" w:space="0" w:color="auto"/>
            </w:tcBorders>
            <w:hideMark/>
          </w:tcPr>
          <w:p w14:paraId="1B85E49E" w14:textId="77777777" w:rsidR="00B46424" w:rsidRPr="005456CD" w:rsidRDefault="00B46424" w:rsidP="00B46424">
            <w:pPr>
              <w:pStyle w:val="DHHSbody"/>
              <w:tabs>
                <w:tab w:val="left" w:pos="1134"/>
              </w:tabs>
            </w:pPr>
            <w:r w:rsidRPr="005456CD">
              <w:lastRenderedPageBreak/>
              <w:t>Meningococcal ACWY</w:t>
            </w:r>
          </w:p>
        </w:tc>
        <w:tc>
          <w:tcPr>
            <w:tcW w:w="2835" w:type="dxa"/>
            <w:tcBorders>
              <w:top w:val="single" w:sz="4" w:space="0" w:color="auto"/>
              <w:left w:val="single" w:sz="4" w:space="0" w:color="auto"/>
              <w:bottom w:val="single" w:sz="4" w:space="0" w:color="auto"/>
              <w:right w:val="single" w:sz="4" w:space="0" w:color="auto"/>
            </w:tcBorders>
            <w:hideMark/>
          </w:tcPr>
          <w:p w14:paraId="7AA04EA5" w14:textId="4DCFA0A7" w:rsidR="00B46424" w:rsidRPr="005456CD" w:rsidRDefault="00B46424" w:rsidP="00700529">
            <w:pPr>
              <w:pStyle w:val="DHHSbullet1"/>
              <w:numPr>
                <w:ilvl w:val="0"/>
                <w:numId w:val="11"/>
              </w:numPr>
            </w:pPr>
            <w:r w:rsidRPr="005456CD">
              <w:t>Vaccination of people aged 15 years and o</w:t>
            </w:r>
            <w:r>
              <w:t>lder</w:t>
            </w:r>
            <w:r w:rsidRPr="005456CD">
              <w:t>, excluding those circumstances listed in Column 3</w:t>
            </w:r>
            <w:r>
              <w:t>.</w:t>
            </w:r>
          </w:p>
        </w:tc>
        <w:tc>
          <w:tcPr>
            <w:tcW w:w="5011" w:type="dxa"/>
            <w:tcBorders>
              <w:top w:val="single" w:sz="4" w:space="0" w:color="auto"/>
              <w:left w:val="single" w:sz="4" w:space="0" w:color="auto"/>
              <w:bottom w:val="single" w:sz="4" w:space="0" w:color="auto"/>
              <w:right w:val="single" w:sz="4" w:space="0" w:color="auto"/>
            </w:tcBorders>
            <w:hideMark/>
          </w:tcPr>
          <w:p w14:paraId="72F61A8E" w14:textId="1122827B" w:rsidR="00B46424" w:rsidRPr="005456CD" w:rsidRDefault="00B46424" w:rsidP="00700529">
            <w:pPr>
              <w:pStyle w:val="DHHSbullet1lastline"/>
              <w:numPr>
                <w:ilvl w:val="1"/>
                <w:numId w:val="11"/>
              </w:numPr>
            </w:pPr>
            <w:r w:rsidRPr="005456CD">
              <w:t xml:space="preserve">Vaccination for travel </w:t>
            </w:r>
            <w:proofErr w:type="gramStart"/>
            <w:r w:rsidRPr="005456CD">
              <w:t>purposes;</w:t>
            </w:r>
            <w:proofErr w:type="gramEnd"/>
          </w:p>
          <w:p w14:paraId="6665BB49" w14:textId="31530827" w:rsidR="00B46424" w:rsidRPr="005456CD" w:rsidRDefault="00B46424" w:rsidP="00700529">
            <w:pPr>
              <w:pStyle w:val="DHHSbullet1lastline"/>
              <w:numPr>
                <w:ilvl w:val="1"/>
                <w:numId w:val="11"/>
              </w:numPr>
            </w:pPr>
            <w:r w:rsidRPr="005456CD">
              <w:t xml:space="preserve">Vaccination of people aged 14 years and </w:t>
            </w:r>
            <w:proofErr w:type="gramStart"/>
            <w:r>
              <w:t>younger</w:t>
            </w:r>
            <w:r w:rsidRPr="005456CD">
              <w:t>;</w:t>
            </w:r>
            <w:proofErr w:type="gramEnd"/>
            <w:r w:rsidRPr="005456CD">
              <w:t xml:space="preserve"> </w:t>
            </w:r>
          </w:p>
          <w:p w14:paraId="67CEC98A" w14:textId="77777777" w:rsidR="00B46424" w:rsidRPr="005456CD" w:rsidRDefault="00B46424" w:rsidP="00700529">
            <w:pPr>
              <w:pStyle w:val="DHHSbullet1lastline"/>
              <w:numPr>
                <w:ilvl w:val="1"/>
                <w:numId w:val="11"/>
              </w:numPr>
            </w:pPr>
            <w:r w:rsidRPr="005456CD">
              <w:t xml:space="preserve">Vaccination of people with contraindications defined in the current edition of the </w:t>
            </w:r>
            <w:r w:rsidRPr="005456CD">
              <w:rPr>
                <w:i/>
              </w:rPr>
              <w:t>Australian Immunisation Handbook</w:t>
            </w:r>
            <w:r w:rsidRPr="005456CD">
              <w:t>.</w:t>
            </w:r>
          </w:p>
        </w:tc>
      </w:tr>
      <w:tr w:rsidR="00085D60" w:rsidRPr="00F60EC8" w14:paraId="6F82B1E4" w14:textId="77777777" w:rsidTr="00FA7E4E">
        <w:tc>
          <w:tcPr>
            <w:tcW w:w="1555" w:type="dxa"/>
            <w:tcBorders>
              <w:top w:val="single" w:sz="4" w:space="0" w:color="auto"/>
              <w:left w:val="single" w:sz="4" w:space="0" w:color="auto"/>
              <w:bottom w:val="single" w:sz="4" w:space="0" w:color="auto"/>
              <w:right w:val="single" w:sz="4" w:space="0" w:color="auto"/>
            </w:tcBorders>
          </w:tcPr>
          <w:p w14:paraId="13D3BE7E" w14:textId="326C1DCB" w:rsidR="00B46424" w:rsidRPr="005456CD" w:rsidRDefault="00B46424" w:rsidP="00B46424">
            <w:pPr>
              <w:pStyle w:val="DHHSbody"/>
              <w:tabs>
                <w:tab w:val="left" w:pos="1134"/>
              </w:tabs>
              <w:rPr>
                <w:highlight w:val="yellow"/>
              </w:rPr>
            </w:pPr>
            <w:r w:rsidRPr="005456CD">
              <w:rPr>
                <w:highlight w:val="yellow"/>
              </w:rPr>
              <w:t xml:space="preserve">Pneumococcal </w:t>
            </w:r>
          </w:p>
        </w:tc>
        <w:tc>
          <w:tcPr>
            <w:tcW w:w="2835" w:type="dxa"/>
            <w:tcBorders>
              <w:top w:val="single" w:sz="4" w:space="0" w:color="auto"/>
              <w:left w:val="single" w:sz="4" w:space="0" w:color="auto"/>
              <w:bottom w:val="single" w:sz="4" w:space="0" w:color="auto"/>
              <w:right w:val="single" w:sz="4" w:space="0" w:color="auto"/>
            </w:tcBorders>
          </w:tcPr>
          <w:p w14:paraId="3D3F9ED9" w14:textId="78BFC2D1" w:rsidR="00B46424" w:rsidRPr="005456CD" w:rsidRDefault="00B46424" w:rsidP="00700529">
            <w:pPr>
              <w:pStyle w:val="DHHSbullet1"/>
              <w:numPr>
                <w:ilvl w:val="0"/>
                <w:numId w:val="11"/>
              </w:numPr>
              <w:rPr>
                <w:highlight w:val="yellow"/>
              </w:rPr>
            </w:pPr>
            <w:r w:rsidRPr="005456CD">
              <w:rPr>
                <w:highlight w:val="yellow"/>
              </w:rPr>
              <w:t xml:space="preserve">Vaccination of </w:t>
            </w:r>
            <w:r>
              <w:rPr>
                <w:highlight w:val="yellow"/>
              </w:rPr>
              <w:t>people</w:t>
            </w:r>
            <w:r w:rsidRPr="005456CD">
              <w:rPr>
                <w:highlight w:val="yellow"/>
              </w:rPr>
              <w:t xml:space="preserve"> aged 50 years and older, excluding those circumstances listed in Column 3</w:t>
            </w:r>
          </w:p>
        </w:tc>
        <w:tc>
          <w:tcPr>
            <w:tcW w:w="5011" w:type="dxa"/>
            <w:tcBorders>
              <w:top w:val="single" w:sz="4" w:space="0" w:color="auto"/>
              <w:left w:val="single" w:sz="4" w:space="0" w:color="auto"/>
              <w:bottom w:val="single" w:sz="4" w:space="0" w:color="auto"/>
              <w:right w:val="single" w:sz="4" w:space="0" w:color="auto"/>
            </w:tcBorders>
          </w:tcPr>
          <w:p w14:paraId="518D6D7E" w14:textId="140D3207" w:rsidR="00B46424" w:rsidRDefault="00B46424" w:rsidP="00700529">
            <w:pPr>
              <w:pStyle w:val="DHHSbullet1lastline"/>
              <w:numPr>
                <w:ilvl w:val="1"/>
                <w:numId w:val="11"/>
              </w:numPr>
              <w:rPr>
                <w:highlight w:val="yellow"/>
              </w:rPr>
            </w:pPr>
            <w:r>
              <w:rPr>
                <w:highlight w:val="yellow"/>
              </w:rPr>
              <w:t xml:space="preserve">Vaccination for travel </w:t>
            </w:r>
            <w:proofErr w:type="gramStart"/>
            <w:r>
              <w:rPr>
                <w:highlight w:val="yellow"/>
              </w:rPr>
              <w:t>purposes;</w:t>
            </w:r>
            <w:proofErr w:type="gramEnd"/>
          </w:p>
          <w:p w14:paraId="21E98371" w14:textId="6FA1D677" w:rsidR="00B46424" w:rsidRPr="005456CD" w:rsidRDefault="00B46424" w:rsidP="00700529">
            <w:pPr>
              <w:pStyle w:val="DHHSbullet1lastline"/>
              <w:numPr>
                <w:ilvl w:val="1"/>
                <w:numId w:val="11"/>
              </w:numPr>
              <w:rPr>
                <w:highlight w:val="yellow"/>
              </w:rPr>
            </w:pPr>
            <w:r w:rsidRPr="005456CD">
              <w:rPr>
                <w:highlight w:val="yellow"/>
              </w:rPr>
              <w:t xml:space="preserve">Vaccination of people aged 49 years and </w:t>
            </w:r>
            <w:proofErr w:type="gramStart"/>
            <w:r>
              <w:rPr>
                <w:highlight w:val="yellow"/>
              </w:rPr>
              <w:t>younger;</w:t>
            </w:r>
            <w:proofErr w:type="gramEnd"/>
          </w:p>
          <w:p w14:paraId="4CBDB1B7" w14:textId="63033899" w:rsidR="00B46424" w:rsidRPr="005456CD" w:rsidRDefault="00B46424" w:rsidP="00700529">
            <w:pPr>
              <w:pStyle w:val="DHHSbullet1lastline"/>
              <w:numPr>
                <w:ilvl w:val="1"/>
                <w:numId w:val="11"/>
              </w:numPr>
              <w:rPr>
                <w:i/>
                <w:highlight w:val="yellow"/>
              </w:rPr>
            </w:pPr>
            <w:r w:rsidRPr="005456CD">
              <w:rPr>
                <w:highlight w:val="yellow"/>
              </w:rPr>
              <w:t xml:space="preserve">Vaccination of people with contraindications defined in the current edition of the </w:t>
            </w:r>
            <w:r w:rsidRPr="005456CD">
              <w:rPr>
                <w:i/>
                <w:iCs/>
                <w:highlight w:val="yellow"/>
              </w:rPr>
              <w:t xml:space="preserve">Australian Immunisation Handbook. </w:t>
            </w:r>
          </w:p>
        </w:tc>
      </w:tr>
      <w:tr w:rsidR="00085D60" w:rsidRPr="00F60EC8" w14:paraId="13408F68" w14:textId="77777777" w:rsidTr="00FA7E4E">
        <w:tc>
          <w:tcPr>
            <w:tcW w:w="1555" w:type="dxa"/>
            <w:tcBorders>
              <w:top w:val="single" w:sz="4" w:space="0" w:color="auto"/>
              <w:left w:val="single" w:sz="4" w:space="0" w:color="auto"/>
              <w:bottom w:val="single" w:sz="4" w:space="0" w:color="auto"/>
              <w:right w:val="single" w:sz="4" w:space="0" w:color="auto"/>
            </w:tcBorders>
          </w:tcPr>
          <w:p w14:paraId="11513910" w14:textId="2EAD8DE4" w:rsidR="00B46424" w:rsidRPr="005456CD" w:rsidRDefault="00B46424" w:rsidP="00B46424">
            <w:pPr>
              <w:pStyle w:val="DHHSbody"/>
              <w:tabs>
                <w:tab w:val="left" w:pos="1134"/>
              </w:tabs>
              <w:rPr>
                <w:highlight w:val="yellow"/>
              </w:rPr>
            </w:pPr>
            <w:r w:rsidRPr="005456CD">
              <w:rPr>
                <w:highlight w:val="yellow"/>
              </w:rPr>
              <w:t>Herpes zoster</w:t>
            </w:r>
            <w:r>
              <w:rPr>
                <w:highlight w:val="yellow"/>
              </w:rPr>
              <w:t>/varicella zoster</w:t>
            </w:r>
            <w:r w:rsidRPr="005456CD">
              <w:rPr>
                <w:highlight w:val="yellow"/>
              </w:rPr>
              <w:t xml:space="preserve"> </w:t>
            </w:r>
          </w:p>
        </w:tc>
        <w:tc>
          <w:tcPr>
            <w:tcW w:w="2835" w:type="dxa"/>
            <w:tcBorders>
              <w:top w:val="single" w:sz="4" w:space="0" w:color="auto"/>
              <w:left w:val="single" w:sz="4" w:space="0" w:color="auto"/>
              <w:bottom w:val="single" w:sz="4" w:space="0" w:color="auto"/>
              <w:right w:val="single" w:sz="4" w:space="0" w:color="auto"/>
            </w:tcBorders>
          </w:tcPr>
          <w:p w14:paraId="7406D5B4" w14:textId="532924A4" w:rsidR="00B46424" w:rsidRPr="005456CD" w:rsidRDefault="00B46424" w:rsidP="00700529">
            <w:pPr>
              <w:pStyle w:val="DHHSbullet1"/>
              <w:numPr>
                <w:ilvl w:val="0"/>
                <w:numId w:val="11"/>
              </w:numPr>
              <w:rPr>
                <w:highlight w:val="yellow"/>
              </w:rPr>
            </w:pPr>
            <w:r w:rsidRPr="005456CD">
              <w:rPr>
                <w:highlight w:val="yellow"/>
              </w:rPr>
              <w:t>Vaccination of p</w:t>
            </w:r>
            <w:r>
              <w:rPr>
                <w:highlight w:val="yellow"/>
              </w:rPr>
              <w:t>eople</w:t>
            </w:r>
            <w:r w:rsidRPr="005456CD">
              <w:rPr>
                <w:highlight w:val="yellow"/>
              </w:rPr>
              <w:t xml:space="preserve"> aged 50 years and older, excluding those circumstances </w:t>
            </w:r>
            <w:r>
              <w:rPr>
                <w:highlight w:val="yellow"/>
              </w:rPr>
              <w:t xml:space="preserve">listed </w:t>
            </w:r>
            <w:r w:rsidRPr="005456CD">
              <w:rPr>
                <w:highlight w:val="yellow"/>
              </w:rPr>
              <w:t xml:space="preserve">in Column 3 </w:t>
            </w:r>
          </w:p>
        </w:tc>
        <w:tc>
          <w:tcPr>
            <w:tcW w:w="5011" w:type="dxa"/>
            <w:tcBorders>
              <w:top w:val="single" w:sz="4" w:space="0" w:color="auto"/>
              <w:left w:val="single" w:sz="4" w:space="0" w:color="auto"/>
              <w:bottom w:val="single" w:sz="4" w:space="0" w:color="auto"/>
              <w:right w:val="single" w:sz="4" w:space="0" w:color="auto"/>
            </w:tcBorders>
          </w:tcPr>
          <w:p w14:paraId="04750D1C" w14:textId="309EE320" w:rsidR="00B46424" w:rsidRDefault="00B46424" w:rsidP="00700529">
            <w:pPr>
              <w:pStyle w:val="DHHSbullet1lastline"/>
              <w:numPr>
                <w:ilvl w:val="1"/>
                <w:numId w:val="11"/>
              </w:numPr>
              <w:rPr>
                <w:highlight w:val="yellow"/>
              </w:rPr>
            </w:pPr>
            <w:r>
              <w:rPr>
                <w:highlight w:val="yellow"/>
              </w:rPr>
              <w:t xml:space="preserve">Vaccination for travel </w:t>
            </w:r>
            <w:proofErr w:type="gramStart"/>
            <w:r>
              <w:rPr>
                <w:highlight w:val="yellow"/>
              </w:rPr>
              <w:t>purposes;</w:t>
            </w:r>
            <w:proofErr w:type="gramEnd"/>
          </w:p>
          <w:p w14:paraId="4820D687" w14:textId="6C6F85FC" w:rsidR="00B46424" w:rsidRPr="005456CD" w:rsidRDefault="00B46424" w:rsidP="00700529">
            <w:pPr>
              <w:pStyle w:val="DHHSbullet1lastline"/>
              <w:numPr>
                <w:ilvl w:val="1"/>
                <w:numId w:val="11"/>
              </w:numPr>
              <w:rPr>
                <w:highlight w:val="yellow"/>
              </w:rPr>
            </w:pPr>
            <w:r w:rsidRPr="005456CD">
              <w:rPr>
                <w:highlight w:val="yellow"/>
              </w:rPr>
              <w:t xml:space="preserve">Vaccination of people aged 49 years and </w:t>
            </w:r>
            <w:proofErr w:type="gramStart"/>
            <w:r>
              <w:rPr>
                <w:highlight w:val="yellow"/>
              </w:rPr>
              <w:t>younger;</w:t>
            </w:r>
            <w:proofErr w:type="gramEnd"/>
          </w:p>
          <w:p w14:paraId="454151C0" w14:textId="305977CF" w:rsidR="00B46424" w:rsidRPr="005456CD" w:rsidRDefault="00B46424" w:rsidP="00700529">
            <w:pPr>
              <w:pStyle w:val="DHHSbullet1lastline"/>
              <w:numPr>
                <w:ilvl w:val="1"/>
                <w:numId w:val="11"/>
              </w:numPr>
              <w:rPr>
                <w:i/>
                <w:highlight w:val="yellow"/>
              </w:rPr>
            </w:pPr>
            <w:r w:rsidRPr="005456CD">
              <w:rPr>
                <w:highlight w:val="yellow"/>
              </w:rPr>
              <w:t xml:space="preserve">Vaccination of people with contraindications defined in the current edition of the </w:t>
            </w:r>
            <w:r w:rsidRPr="005456CD">
              <w:rPr>
                <w:i/>
                <w:iCs/>
                <w:highlight w:val="yellow"/>
              </w:rPr>
              <w:t xml:space="preserve">Australian Immunisation Handbook. </w:t>
            </w:r>
          </w:p>
        </w:tc>
      </w:tr>
    </w:tbl>
    <w:p w14:paraId="190A5A7F" w14:textId="77777777" w:rsidR="0000567A" w:rsidRPr="00F60EC8" w:rsidRDefault="0000567A" w:rsidP="0000567A">
      <w:pPr>
        <w:pStyle w:val="DHHSbody"/>
        <w:rPr>
          <w:b/>
          <w:sz w:val="21"/>
          <w:szCs w:val="21"/>
          <w:highlight w:val="yellow"/>
        </w:rPr>
      </w:pPr>
    </w:p>
    <w:p w14:paraId="3D3E6633" w14:textId="77777777" w:rsidR="0000567A" w:rsidRPr="005456CD" w:rsidRDefault="0000567A" w:rsidP="0000567A">
      <w:pPr>
        <w:pStyle w:val="DHHSbody"/>
        <w:rPr>
          <w:bCs/>
        </w:rPr>
      </w:pPr>
      <w:r w:rsidRPr="005456CD">
        <w:rPr>
          <w:bCs/>
        </w:rPr>
        <w:t xml:space="preserve">Pharmacist immunisers that have also completed an additional </w:t>
      </w:r>
      <w:r w:rsidRPr="005456CD">
        <w:rPr>
          <w:rFonts w:cs="Arial"/>
          <w:i/>
          <w:iCs/>
          <w:color w:val="000000" w:themeColor="text1"/>
          <w:szCs w:val="22"/>
        </w:rPr>
        <w:t xml:space="preserve">Japanese encephalitis - eLearning module </w:t>
      </w:r>
      <w:r w:rsidRPr="005456CD">
        <w:rPr>
          <w:rFonts w:cs="Arial"/>
          <w:color w:val="000000" w:themeColor="text1"/>
          <w:szCs w:val="22"/>
        </w:rPr>
        <w:t>may also administer:</w:t>
      </w:r>
    </w:p>
    <w:tbl>
      <w:tblPr>
        <w:tblStyle w:val="TableGrid"/>
        <w:tblW w:w="9351" w:type="dxa"/>
        <w:tblLook w:val="04A0" w:firstRow="1" w:lastRow="0" w:firstColumn="1" w:lastColumn="0" w:noHBand="0" w:noVBand="1"/>
      </w:tblPr>
      <w:tblGrid>
        <w:gridCol w:w="1555"/>
        <w:gridCol w:w="2835"/>
        <w:gridCol w:w="4961"/>
      </w:tblGrid>
      <w:tr w:rsidR="0000567A" w:rsidRPr="0081450D" w14:paraId="5CD6DB97" w14:textId="77777777" w:rsidTr="00920209">
        <w:tc>
          <w:tcPr>
            <w:tcW w:w="1555" w:type="dxa"/>
            <w:hideMark/>
          </w:tcPr>
          <w:p w14:paraId="1DE37584" w14:textId="77777777" w:rsidR="0000567A" w:rsidRPr="005456CD" w:rsidRDefault="0000567A" w:rsidP="00FD4917">
            <w:pPr>
              <w:pStyle w:val="DHHSbody"/>
              <w:tabs>
                <w:tab w:val="left" w:pos="1134"/>
              </w:tabs>
              <w:rPr>
                <w:b/>
              </w:rPr>
            </w:pPr>
            <w:r w:rsidRPr="005456CD">
              <w:rPr>
                <w:b/>
              </w:rPr>
              <w:t>Vaccine</w:t>
            </w:r>
          </w:p>
        </w:tc>
        <w:tc>
          <w:tcPr>
            <w:tcW w:w="2835" w:type="dxa"/>
            <w:hideMark/>
          </w:tcPr>
          <w:p w14:paraId="3A200B44" w14:textId="77777777" w:rsidR="0000567A" w:rsidRPr="005456CD" w:rsidRDefault="0000567A" w:rsidP="00FD4917">
            <w:pPr>
              <w:pStyle w:val="DHHSbody"/>
              <w:tabs>
                <w:tab w:val="left" w:pos="1134"/>
              </w:tabs>
              <w:rPr>
                <w:b/>
                <w:i/>
              </w:rPr>
            </w:pPr>
            <w:r w:rsidRPr="005456CD">
              <w:rPr>
                <w:b/>
              </w:rPr>
              <w:t xml:space="preserve">Approval for pharmacists to vaccinate with this vaccine </w:t>
            </w:r>
            <w:r w:rsidRPr="005456CD">
              <w:rPr>
                <w:b/>
                <w:i/>
              </w:rPr>
              <w:t>applies to</w:t>
            </w:r>
          </w:p>
        </w:tc>
        <w:tc>
          <w:tcPr>
            <w:tcW w:w="4961" w:type="dxa"/>
            <w:hideMark/>
          </w:tcPr>
          <w:p w14:paraId="7A5D0006" w14:textId="77777777" w:rsidR="0000567A" w:rsidRPr="005456CD" w:rsidRDefault="0000567A" w:rsidP="00FD4917">
            <w:pPr>
              <w:pStyle w:val="DHHSbody"/>
              <w:tabs>
                <w:tab w:val="left" w:pos="1134"/>
              </w:tabs>
              <w:rPr>
                <w:b/>
                <w:i/>
              </w:rPr>
            </w:pPr>
            <w:r w:rsidRPr="005456CD">
              <w:rPr>
                <w:b/>
              </w:rPr>
              <w:t xml:space="preserve">Approval for pharmacists to vaccinate with this vaccine </w:t>
            </w:r>
            <w:r w:rsidRPr="005456CD">
              <w:rPr>
                <w:b/>
                <w:i/>
              </w:rPr>
              <w:t>excludes</w:t>
            </w:r>
          </w:p>
        </w:tc>
      </w:tr>
      <w:tr w:rsidR="0000567A" w:rsidRPr="001E3BB3" w14:paraId="6DECCCAC" w14:textId="77777777" w:rsidTr="00920209">
        <w:tc>
          <w:tcPr>
            <w:tcW w:w="1555" w:type="dxa"/>
            <w:tcBorders>
              <w:top w:val="single" w:sz="4" w:space="0" w:color="auto"/>
              <w:left w:val="single" w:sz="4" w:space="0" w:color="auto"/>
              <w:bottom w:val="single" w:sz="4" w:space="0" w:color="auto"/>
              <w:right w:val="single" w:sz="4" w:space="0" w:color="auto"/>
            </w:tcBorders>
            <w:hideMark/>
          </w:tcPr>
          <w:p w14:paraId="39B321F9" w14:textId="2F449397" w:rsidR="0000567A" w:rsidRPr="005456CD" w:rsidRDefault="0000567A" w:rsidP="00FD4917">
            <w:pPr>
              <w:pStyle w:val="DHHSbody"/>
              <w:tabs>
                <w:tab w:val="left" w:pos="1134"/>
              </w:tabs>
            </w:pPr>
            <w:r w:rsidRPr="005456CD">
              <w:t xml:space="preserve">Japanese encephalitis (JE) </w:t>
            </w:r>
          </w:p>
        </w:tc>
        <w:tc>
          <w:tcPr>
            <w:tcW w:w="2835" w:type="dxa"/>
            <w:tcBorders>
              <w:top w:val="single" w:sz="4" w:space="0" w:color="auto"/>
              <w:left w:val="single" w:sz="4" w:space="0" w:color="auto"/>
              <w:bottom w:val="single" w:sz="4" w:space="0" w:color="auto"/>
              <w:right w:val="single" w:sz="4" w:space="0" w:color="auto"/>
            </w:tcBorders>
            <w:hideMark/>
          </w:tcPr>
          <w:p w14:paraId="282B1970" w14:textId="474A8946" w:rsidR="0000567A" w:rsidRPr="005456CD" w:rsidRDefault="0000567A" w:rsidP="00700529">
            <w:pPr>
              <w:pStyle w:val="DHHSbullet1"/>
              <w:numPr>
                <w:ilvl w:val="0"/>
                <w:numId w:val="11"/>
              </w:numPr>
            </w:pPr>
            <w:r w:rsidRPr="005456CD">
              <w:rPr>
                <w:rFonts w:cs="Arial"/>
              </w:rPr>
              <w:t xml:space="preserve">Vaccination of people </w:t>
            </w:r>
            <w:r w:rsidR="2E5A12D1" w:rsidRPr="5B7D9D66">
              <w:rPr>
                <w:rFonts w:cs="Arial"/>
                <w:highlight w:val="yellow"/>
              </w:rPr>
              <w:t>aged 5 years and older</w:t>
            </w:r>
            <w:r w:rsidR="2E5A12D1" w:rsidRPr="5B7D9D66">
              <w:rPr>
                <w:rFonts w:cs="Arial"/>
              </w:rPr>
              <w:t xml:space="preserve"> </w:t>
            </w:r>
            <w:r w:rsidRPr="005456CD">
              <w:rPr>
                <w:rFonts w:cs="Arial"/>
              </w:rPr>
              <w:t xml:space="preserve">that are recommended for vaccination as listed on the Victorian </w:t>
            </w:r>
            <w:r w:rsidRPr="005456CD">
              <w:t>Department of Health’s Japanese encephalitis in Victoria website</w:t>
            </w:r>
            <w:r w:rsidRPr="0081450D">
              <w:rPr>
                <w:rStyle w:val="FootnoteReference"/>
              </w:rPr>
              <w:footnoteReference w:id="3"/>
            </w:r>
            <w:r w:rsidRPr="005456CD">
              <w:t xml:space="preserve"> as amended from time to time.</w:t>
            </w:r>
          </w:p>
        </w:tc>
        <w:tc>
          <w:tcPr>
            <w:tcW w:w="4961" w:type="dxa"/>
            <w:tcBorders>
              <w:top w:val="single" w:sz="4" w:space="0" w:color="auto"/>
              <w:left w:val="single" w:sz="4" w:space="0" w:color="auto"/>
              <w:bottom w:val="single" w:sz="4" w:space="0" w:color="auto"/>
              <w:right w:val="single" w:sz="4" w:space="0" w:color="auto"/>
            </w:tcBorders>
            <w:hideMark/>
          </w:tcPr>
          <w:p w14:paraId="187B9836" w14:textId="69F1C622" w:rsidR="0000567A" w:rsidRPr="005456CD" w:rsidRDefault="0000567A" w:rsidP="00700529">
            <w:pPr>
              <w:pStyle w:val="DHHStablebullet"/>
              <w:numPr>
                <w:ilvl w:val="6"/>
                <w:numId w:val="11"/>
              </w:numPr>
            </w:pPr>
            <w:r w:rsidRPr="005456CD">
              <w:t xml:space="preserve">Vaccination for people not recommended for </w:t>
            </w:r>
            <w:proofErr w:type="gramStart"/>
            <w:r w:rsidRPr="005456CD">
              <w:t>vaccination</w:t>
            </w:r>
            <w:r w:rsidR="00922F15">
              <w:t>;</w:t>
            </w:r>
            <w:proofErr w:type="gramEnd"/>
          </w:p>
          <w:p w14:paraId="588AFDC6" w14:textId="7B4AF46B" w:rsidR="0000567A" w:rsidRPr="005456CD" w:rsidRDefault="0000567A" w:rsidP="00700529">
            <w:pPr>
              <w:pStyle w:val="DHHStablebullet"/>
              <w:numPr>
                <w:ilvl w:val="6"/>
                <w:numId w:val="11"/>
              </w:numPr>
            </w:pPr>
            <w:r w:rsidRPr="005456CD">
              <w:t xml:space="preserve">Vaccination for travel </w:t>
            </w:r>
            <w:proofErr w:type="gramStart"/>
            <w:r w:rsidRPr="005456CD">
              <w:t>purposes</w:t>
            </w:r>
            <w:r w:rsidR="00922F15">
              <w:t>;</w:t>
            </w:r>
            <w:proofErr w:type="gramEnd"/>
          </w:p>
          <w:p w14:paraId="67366A92" w14:textId="23B3904A" w:rsidR="0000567A" w:rsidRPr="005456CD" w:rsidRDefault="0000567A" w:rsidP="00700529">
            <w:pPr>
              <w:pStyle w:val="DHHStablebullet"/>
              <w:numPr>
                <w:ilvl w:val="6"/>
                <w:numId w:val="11"/>
              </w:numPr>
            </w:pPr>
            <w:r w:rsidRPr="005456CD">
              <w:t xml:space="preserve">Vaccination of people aged 4 years and </w:t>
            </w:r>
            <w:proofErr w:type="gramStart"/>
            <w:r w:rsidR="00AE789F">
              <w:t>younger</w:t>
            </w:r>
            <w:r w:rsidRPr="005456CD">
              <w:t>;</w:t>
            </w:r>
            <w:proofErr w:type="gramEnd"/>
          </w:p>
          <w:p w14:paraId="2DA3547B" w14:textId="77777777" w:rsidR="0000567A" w:rsidRPr="005456CD" w:rsidRDefault="0000567A" w:rsidP="00700529">
            <w:pPr>
              <w:pStyle w:val="DHHSbullet1lastline"/>
              <w:numPr>
                <w:ilvl w:val="1"/>
                <w:numId w:val="11"/>
              </w:numPr>
            </w:pPr>
            <w:r w:rsidRPr="005456CD">
              <w:t xml:space="preserve">Vaccination of people with contraindications defined in the current edition of the </w:t>
            </w:r>
            <w:r w:rsidRPr="005456CD">
              <w:rPr>
                <w:i/>
              </w:rPr>
              <w:t>Australian Immunisation Handbook</w:t>
            </w:r>
            <w:r w:rsidRPr="005456CD">
              <w:t>.</w:t>
            </w:r>
          </w:p>
        </w:tc>
      </w:tr>
    </w:tbl>
    <w:p w14:paraId="3074C218" w14:textId="77777777" w:rsidR="0000567A" w:rsidRPr="005A544C" w:rsidRDefault="0000567A" w:rsidP="0000567A">
      <w:pPr>
        <w:pStyle w:val="DHHSbody"/>
      </w:pPr>
    </w:p>
    <w:p w14:paraId="684144CA" w14:textId="01FF7625" w:rsidR="00A33362" w:rsidRPr="001908F3" w:rsidRDefault="00A33362" w:rsidP="00A33362">
      <w:pPr>
        <w:pStyle w:val="DHHSbody"/>
        <w:rPr>
          <w:bCs/>
          <w:highlight w:val="yellow"/>
        </w:rPr>
      </w:pPr>
      <w:r w:rsidRPr="0081450D">
        <w:rPr>
          <w:bCs/>
          <w:highlight w:val="yellow"/>
        </w:rPr>
        <w:lastRenderedPageBreak/>
        <w:t xml:space="preserve">Pharmacist immunisers that have also completed an additional </w:t>
      </w:r>
      <w:r w:rsidRPr="0081450D">
        <w:rPr>
          <w:rFonts w:cs="Arial"/>
          <w:i/>
          <w:color w:val="000000" w:themeColor="text1"/>
          <w:szCs w:val="22"/>
          <w:highlight w:val="yellow"/>
        </w:rPr>
        <w:t>Monkeypox</w:t>
      </w:r>
      <w:r w:rsidR="000813FB">
        <w:rPr>
          <w:rFonts w:cs="Arial"/>
          <w:i/>
          <w:color w:val="000000" w:themeColor="text1"/>
          <w:szCs w:val="22"/>
          <w:highlight w:val="yellow"/>
        </w:rPr>
        <w:t xml:space="preserve"> vaccination</w:t>
      </w:r>
      <w:r w:rsidRPr="0081450D">
        <w:rPr>
          <w:rFonts w:cs="Arial"/>
          <w:i/>
          <w:color w:val="000000" w:themeColor="text1"/>
          <w:szCs w:val="22"/>
          <w:highlight w:val="yellow"/>
        </w:rPr>
        <w:t xml:space="preserve"> eLearning module</w:t>
      </w:r>
      <w:r w:rsidRPr="0081450D">
        <w:rPr>
          <w:rFonts w:cs="Arial"/>
          <w:i/>
          <w:iCs/>
          <w:color w:val="000000" w:themeColor="text1"/>
          <w:szCs w:val="22"/>
          <w:highlight w:val="yellow"/>
        </w:rPr>
        <w:t xml:space="preserve"> </w:t>
      </w:r>
      <w:r w:rsidRPr="0081450D">
        <w:rPr>
          <w:rFonts w:cs="Arial"/>
          <w:color w:val="000000" w:themeColor="text1"/>
          <w:szCs w:val="22"/>
          <w:highlight w:val="yellow"/>
        </w:rPr>
        <w:t>may also administer:</w:t>
      </w:r>
    </w:p>
    <w:tbl>
      <w:tblPr>
        <w:tblStyle w:val="TableGrid"/>
        <w:tblW w:w="9351" w:type="dxa"/>
        <w:tblLook w:val="04A0" w:firstRow="1" w:lastRow="0" w:firstColumn="1" w:lastColumn="0" w:noHBand="0" w:noVBand="1"/>
      </w:tblPr>
      <w:tblGrid>
        <w:gridCol w:w="1560"/>
        <w:gridCol w:w="2805"/>
        <w:gridCol w:w="4986"/>
      </w:tblGrid>
      <w:tr w:rsidR="00085D60" w:rsidRPr="0081450D" w14:paraId="1B3FEC43" w14:textId="77777777" w:rsidTr="2795E04B">
        <w:trPr>
          <w:trHeight w:val="300"/>
        </w:trPr>
        <w:tc>
          <w:tcPr>
            <w:tcW w:w="1560" w:type="dxa"/>
            <w:hideMark/>
          </w:tcPr>
          <w:p w14:paraId="2AF8DA31" w14:textId="77777777" w:rsidR="00A33362" w:rsidRPr="0081450D" w:rsidRDefault="00A33362" w:rsidP="00FD4917">
            <w:pPr>
              <w:pStyle w:val="DHHSbody"/>
              <w:tabs>
                <w:tab w:val="left" w:pos="1134"/>
              </w:tabs>
              <w:rPr>
                <w:b/>
                <w:highlight w:val="yellow"/>
              </w:rPr>
            </w:pPr>
            <w:r w:rsidRPr="001908F3">
              <w:rPr>
                <w:b/>
                <w:highlight w:val="yellow"/>
              </w:rPr>
              <w:t>Vaccine</w:t>
            </w:r>
          </w:p>
        </w:tc>
        <w:tc>
          <w:tcPr>
            <w:tcW w:w="2805" w:type="dxa"/>
            <w:hideMark/>
          </w:tcPr>
          <w:p w14:paraId="27D7575A" w14:textId="77777777" w:rsidR="00A33362" w:rsidRPr="0081450D" w:rsidRDefault="00A33362" w:rsidP="00FD4917">
            <w:pPr>
              <w:pStyle w:val="DHHSbody"/>
              <w:tabs>
                <w:tab w:val="left" w:pos="1134"/>
              </w:tabs>
              <w:rPr>
                <w:b/>
                <w:i/>
                <w:highlight w:val="yellow"/>
              </w:rPr>
            </w:pPr>
            <w:r w:rsidRPr="0081450D">
              <w:rPr>
                <w:b/>
                <w:highlight w:val="yellow"/>
              </w:rPr>
              <w:t xml:space="preserve">Approval for pharmacists to vaccinate with this vaccine </w:t>
            </w:r>
            <w:r w:rsidRPr="0081450D">
              <w:rPr>
                <w:b/>
                <w:i/>
                <w:highlight w:val="yellow"/>
              </w:rPr>
              <w:t>applies to</w:t>
            </w:r>
          </w:p>
        </w:tc>
        <w:tc>
          <w:tcPr>
            <w:tcW w:w="4986" w:type="dxa"/>
            <w:hideMark/>
          </w:tcPr>
          <w:p w14:paraId="0B3EF177" w14:textId="77777777" w:rsidR="00A33362" w:rsidRPr="0081450D" w:rsidRDefault="00A33362" w:rsidP="00FD4917">
            <w:pPr>
              <w:pStyle w:val="DHHSbody"/>
              <w:tabs>
                <w:tab w:val="left" w:pos="1134"/>
              </w:tabs>
              <w:rPr>
                <w:b/>
                <w:i/>
                <w:highlight w:val="yellow"/>
              </w:rPr>
            </w:pPr>
            <w:r w:rsidRPr="0081450D">
              <w:rPr>
                <w:b/>
                <w:highlight w:val="yellow"/>
              </w:rPr>
              <w:t xml:space="preserve">Approval for pharmacists to vaccinate with this vaccine </w:t>
            </w:r>
            <w:r w:rsidRPr="0081450D">
              <w:rPr>
                <w:b/>
                <w:i/>
                <w:highlight w:val="yellow"/>
              </w:rPr>
              <w:t>excludes</w:t>
            </w:r>
          </w:p>
        </w:tc>
      </w:tr>
      <w:tr w:rsidR="00085D60" w:rsidRPr="001E3BB3" w14:paraId="5D5A392F" w14:textId="77777777" w:rsidTr="2795E04B">
        <w:trPr>
          <w:trHeight w:val="300"/>
        </w:trPr>
        <w:tc>
          <w:tcPr>
            <w:tcW w:w="1560" w:type="dxa"/>
            <w:tcBorders>
              <w:top w:val="single" w:sz="4" w:space="0" w:color="auto"/>
              <w:left w:val="single" w:sz="4" w:space="0" w:color="auto"/>
              <w:bottom w:val="single" w:sz="4" w:space="0" w:color="auto"/>
              <w:right w:val="single" w:sz="4" w:space="0" w:color="auto"/>
            </w:tcBorders>
            <w:hideMark/>
          </w:tcPr>
          <w:p w14:paraId="1682EC8D" w14:textId="2810DC54" w:rsidR="00A33362" w:rsidRPr="0081450D" w:rsidRDefault="00A33362" w:rsidP="00FD4917">
            <w:pPr>
              <w:pStyle w:val="DHHSbody"/>
              <w:tabs>
                <w:tab w:val="left" w:pos="1134"/>
              </w:tabs>
              <w:rPr>
                <w:highlight w:val="yellow"/>
              </w:rPr>
            </w:pPr>
            <w:r w:rsidRPr="2795E04B">
              <w:rPr>
                <w:highlight w:val="yellow"/>
              </w:rPr>
              <w:t>Monkeypox</w:t>
            </w:r>
            <w:r w:rsidR="00F811DD" w:rsidRPr="2795E04B">
              <w:rPr>
                <w:highlight w:val="yellow"/>
              </w:rPr>
              <w:t>/</w:t>
            </w:r>
            <w:r w:rsidR="2192C22C" w:rsidRPr="2795E04B">
              <w:rPr>
                <w:highlight w:val="yellow"/>
              </w:rPr>
              <w:t xml:space="preserve"> </w:t>
            </w:r>
            <w:r w:rsidR="00F811DD" w:rsidRPr="2795E04B">
              <w:rPr>
                <w:highlight w:val="yellow"/>
              </w:rPr>
              <w:t>smallpox/ vaccin</w:t>
            </w:r>
            <w:r w:rsidR="00956543" w:rsidRPr="2795E04B">
              <w:rPr>
                <w:highlight w:val="yellow"/>
              </w:rPr>
              <w:t>i</w:t>
            </w:r>
            <w:r w:rsidR="00F811DD" w:rsidRPr="2795E04B">
              <w:rPr>
                <w:highlight w:val="yellow"/>
              </w:rPr>
              <w:t>a</w:t>
            </w:r>
            <w:r w:rsidR="00956543" w:rsidRPr="2795E04B">
              <w:rPr>
                <w:highlight w:val="yellow"/>
              </w:rPr>
              <w:t xml:space="preserve"> virus</w:t>
            </w:r>
            <w:r w:rsidRPr="2795E04B">
              <w:rPr>
                <w:highlight w:val="yellow"/>
              </w:rPr>
              <w:t xml:space="preserve"> (MPX) </w:t>
            </w:r>
          </w:p>
        </w:tc>
        <w:tc>
          <w:tcPr>
            <w:tcW w:w="2805" w:type="dxa"/>
            <w:tcBorders>
              <w:top w:val="single" w:sz="4" w:space="0" w:color="auto"/>
              <w:left w:val="single" w:sz="4" w:space="0" w:color="auto"/>
              <w:bottom w:val="single" w:sz="4" w:space="0" w:color="auto"/>
              <w:right w:val="single" w:sz="4" w:space="0" w:color="auto"/>
            </w:tcBorders>
            <w:hideMark/>
          </w:tcPr>
          <w:p w14:paraId="17D23359" w14:textId="0FFCA794" w:rsidR="00A33362" w:rsidRDefault="00A33362" w:rsidP="00700529">
            <w:pPr>
              <w:pStyle w:val="DHHSbullet1"/>
              <w:numPr>
                <w:ilvl w:val="0"/>
                <w:numId w:val="11"/>
              </w:numPr>
              <w:rPr>
                <w:highlight w:val="yellow"/>
              </w:rPr>
            </w:pPr>
            <w:r w:rsidRPr="001908F3">
              <w:rPr>
                <w:rFonts w:cs="Arial"/>
                <w:highlight w:val="yellow"/>
              </w:rPr>
              <w:t>Vaccination of people</w:t>
            </w:r>
            <w:r w:rsidR="00F81105">
              <w:rPr>
                <w:rFonts w:cs="Arial"/>
                <w:highlight w:val="yellow"/>
              </w:rPr>
              <w:t xml:space="preserve"> aged 5 years and older</w:t>
            </w:r>
            <w:r w:rsidRPr="001908F3">
              <w:rPr>
                <w:rFonts w:cs="Arial"/>
                <w:highlight w:val="yellow"/>
              </w:rPr>
              <w:t xml:space="preserve"> that are recommended for vaccination as listed on the Victorian </w:t>
            </w:r>
            <w:r w:rsidRPr="001908F3">
              <w:rPr>
                <w:highlight w:val="yellow"/>
              </w:rPr>
              <w:t xml:space="preserve">Department of Health’s </w:t>
            </w:r>
            <w:r w:rsidRPr="009A1FDF">
              <w:rPr>
                <w:highlight w:val="yellow"/>
              </w:rPr>
              <w:t xml:space="preserve">Monkeypox </w:t>
            </w:r>
            <w:r w:rsidRPr="0081450D">
              <w:rPr>
                <w:highlight w:val="yellow"/>
              </w:rPr>
              <w:t>web</w:t>
            </w:r>
            <w:r w:rsidR="00B245DB">
              <w:rPr>
                <w:highlight w:val="yellow"/>
              </w:rPr>
              <w:t>page</w:t>
            </w:r>
            <w:r w:rsidR="009A04BF">
              <w:rPr>
                <w:rStyle w:val="FootnoteReference"/>
                <w:highlight w:val="yellow"/>
              </w:rPr>
              <w:footnoteReference w:id="4"/>
            </w:r>
            <w:r w:rsidRPr="009B454E">
              <w:rPr>
                <w:highlight w:val="yellow"/>
              </w:rPr>
              <w:t xml:space="preserve"> </w:t>
            </w:r>
            <w:r w:rsidRPr="0081450D">
              <w:rPr>
                <w:highlight w:val="yellow"/>
              </w:rPr>
              <w:t>as amended from time to time.</w:t>
            </w:r>
          </w:p>
          <w:p w14:paraId="37B9AB13" w14:textId="4BE6B1F7" w:rsidR="00200E7E" w:rsidRPr="001908F3" w:rsidRDefault="00200E7E" w:rsidP="009A1FDF">
            <w:pPr>
              <w:pStyle w:val="DHHSbullet1"/>
              <w:ind w:left="0" w:firstLine="0"/>
              <w:rPr>
                <w:highlight w:val="yellow"/>
              </w:rPr>
            </w:pPr>
          </w:p>
        </w:tc>
        <w:tc>
          <w:tcPr>
            <w:tcW w:w="4986" w:type="dxa"/>
            <w:tcBorders>
              <w:top w:val="single" w:sz="4" w:space="0" w:color="auto"/>
              <w:left w:val="single" w:sz="4" w:space="0" w:color="auto"/>
              <w:bottom w:val="single" w:sz="4" w:space="0" w:color="auto"/>
              <w:right w:val="single" w:sz="4" w:space="0" w:color="auto"/>
            </w:tcBorders>
            <w:hideMark/>
          </w:tcPr>
          <w:p w14:paraId="68E4C72D" w14:textId="195657AF" w:rsidR="00A33362" w:rsidRPr="009A1FDF" w:rsidRDefault="00A33362" w:rsidP="00700529">
            <w:pPr>
              <w:pStyle w:val="DHHStablebullet"/>
              <w:numPr>
                <w:ilvl w:val="6"/>
                <w:numId w:val="11"/>
              </w:numPr>
              <w:rPr>
                <w:highlight w:val="yellow"/>
              </w:rPr>
            </w:pPr>
            <w:r w:rsidRPr="001908F3">
              <w:rPr>
                <w:highlight w:val="yellow"/>
              </w:rPr>
              <w:t xml:space="preserve">Vaccination for people not recommended for </w:t>
            </w:r>
            <w:proofErr w:type="gramStart"/>
            <w:r w:rsidRPr="001908F3">
              <w:rPr>
                <w:highlight w:val="yellow"/>
              </w:rPr>
              <w:t>vaccination</w:t>
            </w:r>
            <w:r w:rsidR="009A04BF">
              <w:rPr>
                <w:highlight w:val="yellow"/>
              </w:rPr>
              <w:t>;</w:t>
            </w:r>
            <w:proofErr w:type="gramEnd"/>
          </w:p>
          <w:p w14:paraId="2BB9E9EF" w14:textId="61ACB72D" w:rsidR="00A33362" w:rsidRPr="009B454E" w:rsidRDefault="00A33362" w:rsidP="00700529">
            <w:pPr>
              <w:pStyle w:val="DHHStablebullet"/>
              <w:numPr>
                <w:ilvl w:val="6"/>
                <w:numId w:val="11"/>
              </w:numPr>
              <w:rPr>
                <w:highlight w:val="yellow"/>
              </w:rPr>
            </w:pPr>
            <w:r w:rsidRPr="0081450D">
              <w:rPr>
                <w:highlight w:val="yellow"/>
              </w:rPr>
              <w:t>Vaccination for travel purposes</w:t>
            </w:r>
            <w:r w:rsidR="00045BCD">
              <w:rPr>
                <w:highlight w:val="yellow"/>
              </w:rPr>
              <w:t xml:space="preserve"> other than those pe</w:t>
            </w:r>
            <w:r w:rsidR="0066013A">
              <w:rPr>
                <w:highlight w:val="yellow"/>
              </w:rPr>
              <w:t>ople</w:t>
            </w:r>
            <w:r w:rsidR="00045BCD">
              <w:rPr>
                <w:highlight w:val="yellow"/>
              </w:rPr>
              <w:t xml:space="preserve"> recommended</w:t>
            </w:r>
            <w:r w:rsidR="0066013A">
              <w:rPr>
                <w:highlight w:val="yellow"/>
              </w:rPr>
              <w:t xml:space="preserve"> for vaccination as listed on the Department of Health’s Monkeypox </w:t>
            </w:r>
            <w:proofErr w:type="gramStart"/>
            <w:r w:rsidR="0066013A">
              <w:rPr>
                <w:highlight w:val="yellow"/>
              </w:rPr>
              <w:t>webpage</w:t>
            </w:r>
            <w:r w:rsidR="005D7198" w:rsidRPr="009A1FDF">
              <w:rPr>
                <w:highlight w:val="yellow"/>
                <w:vertAlign w:val="superscript"/>
              </w:rPr>
              <w:t>3</w:t>
            </w:r>
            <w:r w:rsidR="005D7198">
              <w:rPr>
                <w:highlight w:val="yellow"/>
              </w:rPr>
              <w:t>;</w:t>
            </w:r>
            <w:proofErr w:type="gramEnd"/>
            <w:r w:rsidR="00045BCD">
              <w:rPr>
                <w:highlight w:val="yellow"/>
              </w:rPr>
              <w:t xml:space="preserve"> </w:t>
            </w:r>
          </w:p>
          <w:p w14:paraId="5E2F9220" w14:textId="6BD047DB" w:rsidR="00A33362" w:rsidRPr="009A1FDF" w:rsidRDefault="00A33362" w:rsidP="00700529">
            <w:pPr>
              <w:pStyle w:val="DHHStablebullet"/>
              <w:numPr>
                <w:ilvl w:val="6"/>
                <w:numId w:val="11"/>
              </w:numPr>
              <w:rPr>
                <w:highlight w:val="yellow"/>
              </w:rPr>
            </w:pPr>
            <w:r w:rsidRPr="001908F3">
              <w:rPr>
                <w:highlight w:val="yellow"/>
              </w:rPr>
              <w:t xml:space="preserve">Vaccination of people aged 4 years and </w:t>
            </w:r>
            <w:proofErr w:type="gramStart"/>
            <w:r w:rsidR="005D7198">
              <w:rPr>
                <w:highlight w:val="yellow"/>
              </w:rPr>
              <w:t>younger;</w:t>
            </w:r>
            <w:proofErr w:type="gramEnd"/>
            <w:r w:rsidRPr="001908F3">
              <w:rPr>
                <w:highlight w:val="yellow"/>
              </w:rPr>
              <w:t xml:space="preserve"> </w:t>
            </w:r>
          </w:p>
          <w:p w14:paraId="1D1397B9" w14:textId="2176F4CF" w:rsidR="005A3EDA" w:rsidRPr="0081450D" w:rsidRDefault="00A40205" w:rsidP="00700529">
            <w:pPr>
              <w:pStyle w:val="DHHStablebullet"/>
              <w:numPr>
                <w:ilvl w:val="6"/>
                <w:numId w:val="11"/>
              </w:numPr>
              <w:rPr>
                <w:highlight w:val="yellow"/>
              </w:rPr>
            </w:pPr>
            <w:r w:rsidRPr="009A1FDF">
              <w:rPr>
                <w:highlight w:val="yellow"/>
              </w:rPr>
              <w:t xml:space="preserve">Vaccination of people with contraindications defined </w:t>
            </w:r>
            <w:r w:rsidR="005D7198">
              <w:rPr>
                <w:highlight w:val="yellow"/>
              </w:rPr>
              <w:t xml:space="preserve">in the current edition of the </w:t>
            </w:r>
            <w:r w:rsidR="005D7198">
              <w:rPr>
                <w:i/>
                <w:iCs/>
                <w:highlight w:val="yellow"/>
              </w:rPr>
              <w:t>Australian Immunisation Handbook</w:t>
            </w:r>
            <w:r w:rsidR="005D7198">
              <w:rPr>
                <w:highlight w:val="yellow"/>
              </w:rPr>
              <w:t xml:space="preserve"> (or current recommendations issued by the Australian Technical Advisory Group on Immunisation (ATAGI)</w:t>
            </w:r>
            <w:r w:rsidR="00221E9D">
              <w:rPr>
                <w:highlight w:val="yellow"/>
              </w:rPr>
              <w:t>.</w:t>
            </w:r>
          </w:p>
        </w:tc>
      </w:tr>
    </w:tbl>
    <w:p w14:paraId="0A46E3DF" w14:textId="77777777" w:rsidR="0000567A" w:rsidRDefault="0000567A" w:rsidP="0000567A">
      <w:pPr>
        <w:pStyle w:val="DHHSbody"/>
        <w:rPr>
          <w:rFonts w:cs="Arial"/>
        </w:rPr>
      </w:pPr>
    </w:p>
    <w:p w14:paraId="433EAF17" w14:textId="72F8A388" w:rsidR="00A8290D" w:rsidRPr="00E92919" w:rsidRDefault="00A8290D" w:rsidP="0000567A">
      <w:pPr>
        <w:pStyle w:val="DHHSbody"/>
        <w:rPr>
          <w:rFonts w:cs="Arial"/>
          <w:i/>
          <w:highlight w:val="yellow"/>
        </w:rPr>
      </w:pPr>
      <w:r w:rsidRPr="00E92919">
        <w:rPr>
          <w:rFonts w:cs="Arial"/>
          <w:i/>
          <w:highlight w:val="yellow"/>
        </w:rPr>
        <w:t>Pharmacist Immunisers administering the MPX vaccine intradermally</w:t>
      </w:r>
    </w:p>
    <w:p w14:paraId="49218DC7" w14:textId="12A47540" w:rsidR="002B6C27" w:rsidRPr="0035519A" w:rsidRDefault="00A8290D" w:rsidP="002B6C27">
      <w:pPr>
        <w:pStyle w:val="DHHSbody"/>
        <w:rPr>
          <w:rStyle w:val="normaltextrun"/>
          <w:rFonts w:cs="Arial"/>
          <w:color w:val="000000"/>
          <w:shd w:val="clear" w:color="auto" w:fill="FFFFFF"/>
        </w:rPr>
      </w:pPr>
      <w:r w:rsidRPr="00E92919">
        <w:rPr>
          <w:rStyle w:val="normaltextrun"/>
          <w:rFonts w:cs="Arial"/>
          <w:color w:val="000000"/>
          <w:highlight w:val="yellow"/>
          <w:shd w:val="clear" w:color="auto" w:fill="FFFFFF"/>
        </w:rPr>
        <w:t xml:space="preserve">An intradermal injection </w:t>
      </w:r>
      <w:r w:rsidR="00D13FF6" w:rsidRPr="00E92919">
        <w:rPr>
          <w:rStyle w:val="normaltextrun"/>
          <w:rFonts w:cs="Arial"/>
          <w:color w:val="000000"/>
          <w:highlight w:val="yellow"/>
          <w:shd w:val="clear" w:color="auto" w:fill="FFFFFF"/>
        </w:rPr>
        <w:t xml:space="preserve">- </w:t>
      </w:r>
      <w:r w:rsidRPr="00E92919">
        <w:rPr>
          <w:rStyle w:val="normaltextrun"/>
          <w:rFonts w:cs="Arial"/>
          <w:color w:val="000000"/>
          <w:highlight w:val="yellow"/>
          <w:shd w:val="clear" w:color="auto" w:fill="FFFFFF"/>
        </w:rPr>
        <w:t xml:space="preserve">skills and competencies </w:t>
      </w:r>
      <w:r w:rsidR="00AF793C" w:rsidRPr="00E92919">
        <w:rPr>
          <w:rStyle w:val="normaltextrun"/>
          <w:rFonts w:cs="Arial"/>
          <w:color w:val="000000"/>
          <w:highlight w:val="yellow"/>
          <w:shd w:val="clear" w:color="auto" w:fill="FFFFFF"/>
        </w:rPr>
        <w:t>assessment</w:t>
      </w:r>
      <w:r w:rsidRPr="00E92919">
        <w:rPr>
          <w:rStyle w:val="normaltextrun"/>
          <w:rFonts w:cs="Arial"/>
          <w:color w:val="000000"/>
          <w:highlight w:val="yellow"/>
          <w:shd w:val="clear" w:color="auto" w:fill="FFFFFF"/>
        </w:rPr>
        <w:t xml:space="preserve"> </w:t>
      </w:r>
      <w:r w:rsidR="00937F1B" w:rsidRPr="00E92919">
        <w:rPr>
          <w:rStyle w:val="normaltextrun"/>
          <w:rFonts w:cs="Arial"/>
          <w:color w:val="000000"/>
          <w:highlight w:val="yellow"/>
          <w:shd w:val="clear" w:color="auto" w:fill="FFFFFF"/>
        </w:rPr>
        <w:t xml:space="preserve">must be </w:t>
      </w:r>
      <w:r w:rsidR="00E727F1" w:rsidRPr="00E92919">
        <w:rPr>
          <w:rStyle w:val="normaltextrun"/>
          <w:rFonts w:cs="Arial"/>
          <w:color w:val="000000"/>
          <w:highlight w:val="yellow"/>
          <w:shd w:val="clear" w:color="auto" w:fill="FFFFFF"/>
        </w:rPr>
        <w:t xml:space="preserve">satisfactorily </w:t>
      </w:r>
      <w:r w:rsidR="00937F1B" w:rsidRPr="00E92919">
        <w:rPr>
          <w:rStyle w:val="normaltextrun"/>
          <w:rFonts w:cs="Arial"/>
          <w:color w:val="000000"/>
          <w:highlight w:val="yellow"/>
          <w:shd w:val="clear" w:color="auto" w:fill="FFFFFF"/>
        </w:rPr>
        <w:t>completed by Pharmacist I</w:t>
      </w:r>
      <w:r w:rsidRPr="00E92919">
        <w:rPr>
          <w:rStyle w:val="normaltextrun"/>
          <w:rFonts w:cs="Arial"/>
          <w:color w:val="000000"/>
          <w:highlight w:val="yellow"/>
          <w:shd w:val="clear" w:color="auto" w:fill="FFFFFF"/>
        </w:rPr>
        <w:t xml:space="preserve">mmunisers </w:t>
      </w:r>
      <w:r w:rsidR="00937F1B" w:rsidRPr="00E92919">
        <w:rPr>
          <w:rStyle w:val="normaltextrun"/>
          <w:rFonts w:cs="Arial"/>
          <w:color w:val="000000"/>
          <w:highlight w:val="yellow"/>
          <w:shd w:val="clear" w:color="auto" w:fill="FFFFFF"/>
        </w:rPr>
        <w:t xml:space="preserve">prior to administering the MPX vaccine intradermally. </w:t>
      </w:r>
      <w:r w:rsidR="002B6C27" w:rsidRPr="00E92919">
        <w:rPr>
          <w:rStyle w:val="eop"/>
          <w:rFonts w:cs="Arial"/>
          <w:color w:val="000000"/>
          <w:highlight w:val="yellow"/>
          <w:shd w:val="clear" w:color="auto" w:fill="FFFFFF"/>
        </w:rPr>
        <w:t xml:space="preserve">The </w:t>
      </w:r>
      <w:r w:rsidR="00EA4FAB" w:rsidRPr="00E92919">
        <w:rPr>
          <w:rStyle w:val="eop"/>
          <w:rFonts w:cs="Arial"/>
          <w:color w:val="000000"/>
          <w:highlight w:val="yellow"/>
          <w:shd w:val="clear" w:color="auto" w:fill="FFFFFF"/>
        </w:rPr>
        <w:t xml:space="preserve">assessment </w:t>
      </w:r>
      <w:r w:rsidR="002B6C27" w:rsidRPr="00E92919">
        <w:rPr>
          <w:rStyle w:val="eop"/>
          <w:rFonts w:cs="Arial"/>
          <w:color w:val="000000"/>
          <w:highlight w:val="yellow"/>
          <w:shd w:val="clear" w:color="auto" w:fill="FFFFFF"/>
        </w:rPr>
        <w:t xml:space="preserve">checklist is available within the </w:t>
      </w:r>
      <w:r w:rsidR="002B6C27" w:rsidRPr="00E92919">
        <w:rPr>
          <w:i/>
          <w:highlight w:val="yellow"/>
        </w:rPr>
        <w:t>Victorian monkeypox vaccination program guidelines</w:t>
      </w:r>
      <w:r w:rsidR="002B6C27" w:rsidRPr="00E92919">
        <w:rPr>
          <w:rStyle w:val="FootnoteReference"/>
          <w:i/>
          <w:highlight w:val="yellow"/>
        </w:rPr>
        <w:footnoteReference w:id="5"/>
      </w:r>
      <w:r w:rsidR="00A405AA" w:rsidRPr="00E92919">
        <w:rPr>
          <w:highlight w:val="yellow"/>
        </w:rPr>
        <w:t>.</w:t>
      </w:r>
      <w:r w:rsidR="002C011A">
        <w:rPr>
          <w:highlight w:val="yellow"/>
        </w:rPr>
        <w:t xml:space="preserve"> </w:t>
      </w:r>
      <w:r w:rsidR="002C011A" w:rsidRPr="00C02279">
        <w:rPr>
          <w:rStyle w:val="normaltextrun"/>
          <w:rFonts w:cs="Arial"/>
          <w:highlight w:val="yellow"/>
          <w:shd w:val="clear" w:color="auto" w:fill="FFFFFF"/>
        </w:rPr>
        <w:t>Pharmacist</w:t>
      </w:r>
      <w:r w:rsidR="002B6C27" w:rsidRPr="002C011A">
        <w:rPr>
          <w:highlight w:val="yellow"/>
        </w:rPr>
        <w:t xml:space="preserve"> </w:t>
      </w:r>
      <w:r w:rsidR="002B6C27" w:rsidRPr="00E92919">
        <w:rPr>
          <w:highlight w:val="yellow"/>
        </w:rPr>
        <w:t xml:space="preserve">Immunisers </w:t>
      </w:r>
      <w:r w:rsidR="002B6C27" w:rsidRPr="00794DC2">
        <w:rPr>
          <w:highlight w:val="yellow"/>
        </w:rPr>
        <w:t xml:space="preserve">must additionally comply with the </w:t>
      </w:r>
      <w:r w:rsidR="002B6C27" w:rsidRPr="00794DC2">
        <w:rPr>
          <w:i/>
          <w:highlight w:val="yellow"/>
        </w:rPr>
        <w:t>Victorian monkeypox vaccination program guidelines</w:t>
      </w:r>
      <w:r w:rsidR="002B6C27" w:rsidRPr="00794DC2">
        <w:rPr>
          <w:highlight w:val="yellow"/>
        </w:rPr>
        <w:t xml:space="preserve"> when administering the MPX vaccine.</w:t>
      </w:r>
      <w:r w:rsidR="002B6C27" w:rsidRPr="00794DC2">
        <w:rPr>
          <w:rStyle w:val="normaltextrun"/>
          <w:rFonts w:cs="Arial"/>
          <w:color w:val="333333"/>
          <w:highlight w:val="yellow"/>
          <w:shd w:val="clear" w:color="auto" w:fill="FFFFFF"/>
        </w:rPr>
        <w:t> </w:t>
      </w:r>
      <w:r w:rsidR="007B68AA" w:rsidRPr="00975BC9">
        <w:rPr>
          <w:rStyle w:val="normaltextrun"/>
          <w:rFonts w:cs="Arial"/>
          <w:highlight w:val="yellow"/>
          <w:shd w:val="clear" w:color="auto" w:fill="FFFFFF"/>
        </w:rPr>
        <w:t xml:space="preserve">Further detail about the </w:t>
      </w:r>
      <w:r w:rsidR="00FB73D7" w:rsidRPr="00975BC9">
        <w:rPr>
          <w:rStyle w:val="normaltextrun"/>
          <w:rFonts w:cs="Arial"/>
          <w:highlight w:val="yellow"/>
          <w:shd w:val="clear" w:color="auto" w:fill="FFFFFF"/>
        </w:rPr>
        <w:t>educational requirements of Pharmacist Immunisers is included in the ‘</w:t>
      </w:r>
      <w:hyperlink w:anchor="_Toc452486141" w:history="1">
        <w:r w:rsidR="00EB7597" w:rsidRPr="009F2B4C">
          <w:rPr>
            <w:rStyle w:val="Hyperlink"/>
            <w:rFonts w:cs="Arial"/>
            <w:highlight w:val="yellow"/>
            <w:shd w:val="clear" w:color="auto" w:fill="FFFFFF"/>
          </w:rPr>
          <w:t>Training</w:t>
        </w:r>
      </w:hyperlink>
      <w:r w:rsidR="00FB73D7" w:rsidRPr="00975BC9">
        <w:rPr>
          <w:rStyle w:val="normaltextrun"/>
          <w:rFonts w:cs="Arial"/>
          <w:highlight w:val="yellow"/>
          <w:shd w:val="clear" w:color="auto" w:fill="FFFFFF"/>
        </w:rPr>
        <w:t>’ section of these Guidelines below.</w:t>
      </w:r>
    </w:p>
    <w:p w14:paraId="0F407416" w14:textId="73947EBA" w:rsidR="00937F1B" w:rsidRPr="008440C2" w:rsidRDefault="00E4100C" w:rsidP="0000567A">
      <w:pPr>
        <w:pStyle w:val="DHHSbody"/>
        <w:rPr>
          <w:rFonts w:cs="Arial"/>
          <w:i/>
          <w:iCs/>
        </w:rPr>
      </w:pPr>
      <w:r>
        <w:rPr>
          <w:rFonts w:cs="Arial"/>
          <w:i/>
          <w:iCs/>
        </w:rPr>
        <w:t>Pharmacist Immunisers administering COVID-19 vaccines</w:t>
      </w:r>
    </w:p>
    <w:p w14:paraId="5CA08A9F" w14:textId="56912F1A" w:rsidR="0000567A" w:rsidRPr="009D04E8" w:rsidRDefault="0000567A" w:rsidP="0000567A">
      <w:pPr>
        <w:pStyle w:val="DHHSbody"/>
      </w:pPr>
      <w:r w:rsidRPr="005B5B70">
        <w:rPr>
          <w:highlight w:val="yellow"/>
        </w:rPr>
        <w:t xml:space="preserve">In February 2021, </w:t>
      </w:r>
      <w:r w:rsidR="00782025">
        <w:rPr>
          <w:highlight w:val="yellow"/>
        </w:rPr>
        <w:t>P</w:t>
      </w:r>
      <w:r w:rsidRPr="005B5B70">
        <w:rPr>
          <w:highlight w:val="yellow"/>
        </w:rPr>
        <w:t xml:space="preserve">harmacist </w:t>
      </w:r>
      <w:r w:rsidR="00782025">
        <w:rPr>
          <w:highlight w:val="yellow"/>
        </w:rPr>
        <w:t>I</w:t>
      </w:r>
      <w:r w:rsidRPr="005B5B70">
        <w:rPr>
          <w:highlight w:val="yellow"/>
        </w:rPr>
        <w:t xml:space="preserve">mmunisers were authorised to administer </w:t>
      </w:r>
      <w:r w:rsidR="003B2195" w:rsidRPr="005B5B70">
        <w:rPr>
          <w:highlight w:val="yellow"/>
        </w:rPr>
        <w:t xml:space="preserve">any </w:t>
      </w:r>
      <w:r w:rsidRPr="005B5B70">
        <w:rPr>
          <w:highlight w:val="yellow"/>
        </w:rPr>
        <w:t>COVID-19 vaccine approved by the Therapeutic Goods Administration</w:t>
      </w:r>
      <w:r w:rsidR="00B204A5" w:rsidRPr="005B5B70">
        <w:rPr>
          <w:highlight w:val="yellow"/>
        </w:rPr>
        <w:t xml:space="preserve"> (TGA)</w:t>
      </w:r>
      <w:r w:rsidR="00076496" w:rsidRPr="005B5B70">
        <w:rPr>
          <w:highlight w:val="yellow"/>
        </w:rPr>
        <w:t xml:space="preserve"> to persons </w:t>
      </w:r>
      <w:r w:rsidR="00FE28D7" w:rsidRPr="005B5B70">
        <w:rPr>
          <w:highlight w:val="yellow"/>
        </w:rPr>
        <w:t xml:space="preserve">included in the patient group for which the COVID-19 vaccine is </w:t>
      </w:r>
      <w:r w:rsidR="00B204A5" w:rsidRPr="005B5B70">
        <w:rPr>
          <w:highlight w:val="yellow"/>
        </w:rPr>
        <w:t xml:space="preserve">approved by the TGA </w:t>
      </w:r>
      <w:proofErr w:type="gramStart"/>
      <w:r w:rsidR="00B204A5" w:rsidRPr="005B5B70">
        <w:rPr>
          <w:highlight w:val="yellow"/>
        </w:rPr>
        <w:t>for, or</w:t>
      </w:r>
      <w:proofErr w:type="gramEnd"/>
      <w:r w:rsidR="00B204A5" w:rsidRPr="005B5B70">
        <w:rPr>
          <w:highlight w:val="yellow"/>
        </w:rPr>
        <w:t xml:space="preserve"> recommended by ATAGI for</w:t>
      </w:r>
      <w:r w:rsidRPr="005B5B70">
        <w:rPr>
          <w:highlight w:val="yellow"/>
        </w:rPr>
        <w:t xml:space="preserve">. This authorisation was part of Victoria’s COVID-19 response and was the subject of a separate COVID-19 Secretary Approval: Pharmacist Immunisers. </w:t>
      </w:r>
      <w:r w:rsidR="0021220D" w:rsidRPr="005B5B70">
        <w:rPr>
          <w:highlight w:val="yellow"/>
        </w:rPr>
        <w:t>The COVID-19 Secretary Approval</w:t>
      </w:r>
      <w:r w:rsidR="00FD1652" w:rsidRPr="005B5B70">
        <w:rPr>
          <w:highlight w:val="yellow"/>
        </w:rPr>
        <w:t>, i</w:t>
      </w:r>
      <w:r w:rsidRPr="005B5B70">
        <w:rPr>
          <w:highlight w:val="yellow"/>
        </w:rPr>
        <w:t xml:space="preserve">nformation about the COVID-19 vaccine-related authorisation and requirements can be accessed via the </w:t>
      </w:r>
      <w:r w:rsidR="009C0200" w:rsidRPr="005B5B70">
        <w:rPr>
          <w:highlight w:val="yellow"/>
        </w:rPr>
        <w:t xml:space="preserve">Department of Health’s </w:t>
      </w:r>
      <w:r w:rsidR="00D33BCA" w:rsidRPr="00BA74D2">
        <w:rPr>
          <w:i/>
          <w:iCs/>
          <w:highlight w:val="yellow"/>
        </w:rPr>
        <w:t xml:space="preserve">Information for </w:t>
      </w:r>
      <w:r w:rsidRPr="00BA74D2">
        <w:rPr>
          <w:i/>
          <w:iCs/>
          <w:highlight w:val="yellow"/>
        </w:rPr>
        <w:t xml:space="preserve">COVID-19 </w:t>
      </w:r>
      <w:r w:rsidR="00D33BCA" w:rsidRPr="00BA74D2">
        <w:rPr>
          <w:i/>
          <w:iCs/>
          <w:highlight w:val="yellow"/>
        </w:rPr>
        <w:t>vaccine providers</w:t>
      </w:r>
      <w:r w:rsidRPr="005B5B70">
        <w:rPr>
          <w:highlight w:val="yellow"/>
        </w:rPr>
        <w:t xml:space="preserve"> website</w:t>
      </w:r>
      <w:r w:rsidR="00F27F3B" w:rsidRPr="00172878">
        <w:rPr>
          <w:highlight w:val="yellow"/>
          <w:vertAlign w:val="superscript"/>
        </w:rPr>
        <w:t>4</w:t>
      </w:r>
      <w:r w:rsidR="009D04E8">
        <w:t>.</w:t>
      </w:r>
    </w:p>
    <w:p w14:paraId="15F2E0D6" w14:textId="433E1F0F" w:rsidR="0000567A" w:rsidRDefault="0000567A" w:rsidP="0000567A">
      <w:pPr>
        <w:pStyle w:val="DHHSbody"/>
      </w:pPr>
      <w:r>
        <w:t xml:space="preserve">Many of the vaccines administered by pharmacists are government funded. </w:t>
      </w:r>
      <w:r w:rsidRPr="00B4611F">
        <w:t xml:space="preserve">The </w:t>
      </w:r>
      <w:r w:rsidRPr="00E2481D">
        <w:rPr>
          <w:i/>
        </w:rPr>
        <w:t>Victorian Pharmacist-Administered Vaccination Program Guidelines</w:t>
      </w:r>
      <w:r>
        <w:t xml:space="preserve"> (G</w:t>
      </w:r>
      <w:r w:rsidRPr="00B4611F">
        <w:t>uidelines</w:t>
      </w:r>
      <w:r>
        <w:t>)</w:t>
      </w:r>
      <w:r w:rsidRPr="00B4611F">
        <w:t xml:space="preserve"> describe the requirements of </w:t>
      </w:r>
      <w:r>
        <w:t>the program</w:t>
      </w:r>
      <w:r w:rsidRPr="00B4611F">
        <w:t xml:space="preserve"> and support registered pharmacists to provide safe, high</w:t>
      </w:r>
      <w:r>
        <w:t xml:space="preserve"> </w:t>
      </w:r>
      <w:r w:rsidRPr="00B4611F">
        <w:t xml:space="preserve">quality immunisation services. </w:t>
      </w:r>
    </w:p>
    <w:p w14:paraId="21A83AE0" w14:textId="77777777" w:rsidR="0000567A" w:rsidRPr="00446E33" w:rsidRDefault="0000567A" w:rsidP="00700529">
      <w:pPr>
        <w:pStyle w:val="Heading1"/>
        <w:numPr>
          <w:ilvl w:val="0"/>
          <w:numId w:val="28"/>
        </w:numPr>
        <w:rPr>
          <w:sz w:val="40"/>
          <w:szCs w:val="40"/>
        </w:rPr>
      </w:pPr>
      <w:bookmarkStart w:id="6" w:name="_Toc115426468"/>
      <w:r w:rsidRPr="00446E33">
        <w:rPr>
          <w:sz w:val="40"/>
          <w:szCs w:val="40"/>
        </w:rPr>
        <w:t>Regulations</w:t>
      </w:r>
      <w:bookmarkEnd w:id="6"/>
    </w:p>
    <w:p w14:paraId="4DE761A4" w14:textId="77777777" w:rsidR="0000567A" w:rsidRPr="00B4611F" w:rsidRDefault="0000567A" w:rsidP="0000567A">
      <w:pPr>
        <w:pStyle w:val="DHHSbody"/>
      </w:pPr>
      <w:r w:rsidRPr="00B4611F">
        <w:t xml:space="preserve">The </w:t>
      </w:r>
      <w:r w:rsidRPr="00E2481D">
        <w:rPr>
          <w:i/>
        </w:rPr>
        <w:t>Drugs, Poisons and Controlled Substances Regulations 2017</w:t>
      </w:r>
      <w:r w:rsidRPr="00B4611F">
        <w:t xml:space="preserve"> (the </w:t>
      </w:r>
      <w:r>
        <w:t>R</w:t>
      </w:r>
      <w:r w:rsidRPr="00B4611F">
        <w:t xml:space="preserve">egulations) enable the Secretary of the </w:t>
      </w:r>
      <w:r>
        <w:t>d</w:t>
      </w:r>
      <w:r w:rsidRPr="00B4611F">
        <w:t xml:space="preserve">epartment to approve a Schedule 4 poison for administration by a pharmacist, and to specify the conditions in which a pharmacist is authorised to administer a Schedule 4 poison. </w:t>
      </w:r>
    </w:p>
    <w:p w14:paraId="4099A83F" w14:textId="2ED84080" w:rsidR="0000567A" w:rsidRPr="00F60EC8" w:rsidRDefault="0000567A" w:rsidP="0000567A">
      <w:pPr>
        <w:pStyle w:val="DHHSbody"/>
      </w:pPr>
      <w:r w:rsidRPr="00960200">
        <w:lastRenderedPageBreak/>
        <w:t xml:space="preserve">Pharmacists are permitted to possess and administer Schedule 3 poisons pursuant to Regulation 141 of the Regulations. Accordingly, pharmacists are permitted to possess and administer Schedule 3 Poisons that are necessary for the treatment of anaphylactic reactions to </w:t>
      </w:r>
      <w:r w:rsidR="001C650C">
        <w:t>a</w:t>
      </w:r>
      <w:r w:rsidR="00960200" w:rsidRPr="00960200">
        <w:t xml:space="preserve"> </w:t>
      </w:r>
      <w:r w:rsidR="000874FD">
        <w:t>vaccine</w:t>
      </w:r>
      <w:r w:rsidRPr="00960200">
        <w:t xml:space="preserve">. Those Schedule 3 </w:t>
      </w:r>
      <w:r w:rsidR="000874FD">
        <w:t>p</w:t>
      </w:r>
      <w:r w:rsidRPr="00245C2E">
        <w:t>oisons should be kept on hand and utilised should they be required at the time the vaccine is administered.</w:t>
      </w:r>
    </w:p>
    <w:p w14:paraId="61D8404B" w14:textId="77777777" w:rsidR="0000567A" w:rsidRPr="00B4611F" w:rsidRDefault="0000567A" w:rsidP="0000567A">
      <w:pPr>
        <w:pStyle w:val="DHHSbody"/>
      </w:pPr>
      <w:r w:rsidRPr="003928E4">
        <w:t>The Regulations are available from Victoria Law Today</w:t>
      </w:r>
      <w:r w:rsidRPr="00A33DA4">
        <w:t xml:space="preserve"> at &lt;</w:t>
      </w:r>
      <w:hyperlink r:id="rId25" w:history="1">
        <w:r w:rsidRPr="003928E4">
          <w:rPr>
            <w:rStyle w:val="Hyperlink"/>
            <w:rFonts w:cs="Arial"/>
          </w:rPr>
          <w:t>http://www.legislation.vic.gov.au/</w:t>
        </w:r>
      </w:hyperlink>
      <w:r w:rsidRPr="003928E4">
        <w:t>&gt;.</w:t>
      </w:r>
    </w:p>
    <w:p w14:paraId="40275B0E" w14:textId="77777777" w:rsidR="0000567A" w:rsidRPr="00446E33" w:rsidRDefault="0000567A" w:rsidP="00700529">
      <w:pPr>
        <w:pStyle w:val="Heading1"/>
        <w:numPr>
          <w:ilvl w:val="0"/>
          <w:numId w:val="28"/>
        </w:numPr>
        <w:rPr>
          <w:sz w:val="40"/>
          <w:szCs w:val="40"/>
        </w:rPr>
      </w:pPr>
      <w:bookmarkStart w:id="7" w:name="_Toc115426469"/>
      <w:r w:rsidRPr="00446E33">
        <w:rPr>
          <w:sz w:val="40"/>
          <w:szCs w:val="40"/>
        </w:rPr>
        <w:t>Approval</w:t>
      </w:r>
      <w:bookmarkEnd w:id="7"/>
    </w:p>
    <w:p w14:paraId="40DD11CF" w14:textId="77777777" w:rsidR="0000567A" w:rsidRPr="00B4611F" w:rsidRDefault="0000567A" w:rsidP="0000567A">
      <w:pPr>
        <w:pStyle w:val="DHHSbody"/>
      </w:pPr>
      <w:r>
        <w:t>The</w:t>
      </w:r>
      <w:r w:rsidRPr="00B4611F">
        <w:t xml:space="preserve"> Approval</w:t>
      </w:r>
      <w:r>
        <w:t xml:space="preserve"> </w:t>
      </w:r>
      <w:r w:rsidRPr="00B4611F">
        <w:t xml:space="preserve">defines the conditions </w:t>
      </w:r>
      <w:r>
        <w:t>under</w:t>
      </w:r>
      <w:r w:rsidRPr="00B4611F">
        <w:t xml:space="preserve"> which a pharmacist is authorised to administer a Schedule 4 poison. The </w:t>
      </w:r>
      <w:r>
        <w:t xml:space="preserve">Approval </w:t>
      </w:r>
      <w:r w:rsidRPr="00B4611F">
        <w:t>sets out conditions in relation to:</w:t>
      </w:r>
    </w:p>
    <w:p w14:paraId="7C011759" w14:textId="77777777" w:rsidR="0000567A" w:rsidRDefault="0000567A" w:rsidP="00700529">
      <w:pPr>
        <w:pStyle w:val="DHHSbullet1"/>
        <w:numPr>
          <w:ilvl w:val="0"/>
          <w:numId w:val="9"/>
        </w:numPr>
        <w:spacing w:line="240" w:lineRule="auto"/>
        <w:ind w:left="993" w:hanging="567"/>
      </w:pPr>
      <w:r>
        <w:t>r</w:t>
      </w:r>
      <w:r w:rsidRPr="001628B1">
        <w:t>egistration and training</w:t>
      </w:r>
    </w:p>
    <w:p w14:paraId="50E9B9C7" w14:textId="77777777" w:rsidR="0000567A" w:rsidRDefault="0000567A" w:rsidP="00700529">
      <w:pPr>
        <w:pStyle w:val="DHHSbullet1"/>
        <w:numPr>
          <w:ilvl w:val="0"/>
          <w:numId w:val="9"/>
        </w:numPr>
        <w:spacing w:line="240" w:lineRule="auto"/>
        <w:ind w:left="993" w:hanging="567"/>
      </w:pPr>
      <w:r>
        <w:t>recency of practice and continuing professional development</w:t>
      </w:r>
    </w:p>
    <w:p w14:paraId="3188D84B" w14:textId="77777777" w:rsidR="0000567A" w:rsidRPr="001628B1" w:rsidRDefault="0000567A" w:rsidP="00700529">
      <w:pPr>
        <w:pStyle w:val="DHHSbullet1"/>
        <w:numPr>
          <w:ilvl w:val="0"/>
          <w:numId w:val="9"/>
        </w:numPr>
        <w:spacing w:line="240" w:lineRule="auto"/>
        <w:ind w:left="993" w:hanging="567"/>
      </w:pPr>
      <w:r>
        <w:t>p</w:t>
      </w:r>
      <w:r w:rsidRPr="001628B1">
        <w:t>remises</w:t>
      </w:r>
    </w:p>
    <w:p w14:paraId="69DE7648" w14:textId="77777777" w:rsidR="0000567A" w:rsidRPr="001628B1" w:rsidRDefault="0000567A" w:rsidP="00700529">
      <w:pPr>
        <w:pStyle w:val="DHHSbullet1"/>
        <w:numPr>
          <w:ilvl w:val="0"/>
          <w:numId w:val="9"/>
        </w:numPr>
        <w:spacing w:line="240" w:lineRule="auto"/>
        <w:ind w:left="993" w:hanging="567"/>
      </w:pPr>
      <w:r>
        <w:t>s</w:t>
      </w:r>
      <w:r w:rsidRPr="001628B1">
        <w:t>taffing</w:t>
      </w:r>
    </w:p>
    <w:p w14:paraId="166C9B79" w14:textId="77777777" w:rsidR="0000567A" w:rsidRDefault="0000567A" w:rsidP="00700529">
      <w:pPr>
        <w:pStyle w:val="DHHSbullet1"/>
        <w:numPr>
          <w:ilvl w:val="0"/>
          <w:numId w:val="9"/>
        </w:numPr>
        <w:spacing w:line="240" w:lineRule="auto"/>
        <w:ind w:left="993" w:hanging="567"/>
      </w:pPr>
      <w:r>
        <w:t>registration with the department</w:t>
      </w:r>
    </w:p>
    <w:p w14:paraId="5F953956" w14:textId="77777777" w:rsidR="0000567A" w:rsidRPr="00A80A9C" w:rsidRDefault="0000567A" w:rsidP="00700529">
      <w:pPr>
        <w:pStyle w:val="DHHSbullet1"/>
        <w:numPr>
          <w:ilvl w:val="0"/>
          <w:numId w:val="9"/>
        </w:numPr>
        <w:spacing w:line="240" w:lineRule="auto"/>
        <w:ind w:left="993" w:hanging="567"/>
      </w:pPr>
      <w:r>
        <w:t>p</w:t>
      </w:r>
      <w:r w:rsidRPr="00A80A9C">
        <w:t>ractice</w:t>
      </w:r>
      <w:r>
        <w:t xml:space="preserve"> and compliance with relevant guidelines and protocols</w:t>
      </w:r>
    </w:p>
    <w:p w14:paraId="7AC583E9" w14:textId="6F02FC49" w:rsidR="0000567A" w:rsidRPr="00B4611F" w:rsidRDefault="0000567A" w:rsidP="00700529">
      <w:pPr>
        <w:pStyle w:val="DHHSbullet1"/>
        <w:numPr>
          <w:ilvl w:val="0"/>
          <w:numId w:val="9"/>
        </w:numPr>
        <w:spacing w:line="240" w:lineRule="auto"/>
        <w:ind w:left="993" w:hanging="567"/>
      </w:pPr>
      <w:r>
        <w:t>v</w:t>
      </w:r>
      <w:r w:rsidRPr="00B4611F">
        <w:t xml:space="preserve">accines </w:t>
      </w:r>
      <w:r>
        <w:t>that pharmacists are authorised to administer and the circumstances in which they are authorised to do so, including listing important exclusions.</w:t>
      </w:r>
    </w:p>
    <w:p w14:paraId="0C361258" w14:textId="51A038CF" w:rsidR="0000567A" w:rsidRPr="00B4611F" w:rsidRDefault="0000567A" w:rsidP="0000567A">
      <w:pPr>
        <w:pStyle w:val="DHHSbody"/>
        <w:spacing w:before="120"/>
      </w:pPr>
      <w:r w:rsidRPr="00B4611F">
        <w:t xml:space="preserve">The conditions of the </w:t>
      </w:r>
      <w:r>
        <w:t>Approval</w:t>
      </w:r>
      <w:r w:rsidRPr="00B4611F">
        <w:t xml:space="preserve"> and related requirements for pharmacists are described as part of these </w:t>
      </w:r>
      <w:r>
        <w:t>G</w:t>
      </w:r>
      <w:r w:rsidRPr="00B4611F">
        <w:t>uidelines. Under all circumstances, the Pharmacist Immuniser should provide vaccination services in accordance with the</w:t>
      </w:r>
      <w:r>
        <w:t xml:space="preserve"> Regulations and the</w:t>
      </w:r>
      <w:r w:rsidRPr="00B4611F">
        <w:t xml:space="preserve"> </w:t>
      </w:r>
      <w:r>
        <w:t>Approval</w:t>
      </w:r>
      <w:r w:rsidRPr="00B4611F">
        <w:t xml:space="preserve">. </w:t>
      </w:r>
    </w:p>
    <w:p w14:paraId="116A6E46" w14:textId="757AAFC8" w:rsidR="0000567A" w:rsidRPr="00B4611F" w:rsidRDefault="0000567A" w:rsidP="0000567A">
      <w:pPr>
        <w:pStyle w:val="DHHSbody"/>
      </w:pPr>
      <w:r w:rsidRPr="00B4611F">
        <w:t xml:space="preserve">The </w:t>
      </w:r>
      <w:r>
        <w:t xml:space="preserve">Secretary </w:t>
      </w:r>
      <w:r w:rsidRPr="00B4611F">
        <w:t>Approval</w:t>
      </w:r>
      <w:r w:rsidR="00FD657D">
        <w:t>:</w:t>
      </w:r>
      <w:r>
        <w:t xml:space="preserve"> Pharmacist Immuniser </w:t>
      </w:r>
      <w:r w:rsidRPr="00B4611F">
        <w:t>is available from</w:t>
      </w:r>
      <w:r>
        <w:t xml:space="preserve"> </w:t>
      </w:r>
      <w:r w:rsidRPr="00436808">
        <w:t>&lt;</w:t>
      </w:r>
      <w:hyperlink r:id="rId26" w:history="1">
        <w:r w:rsidRPr="00FD657D">
          <w:rPr>
            <w:rStyle w:val="Hyperlink"/>
          </w:rPr>
          <w:t>https://www.health.vic.gov.au/immunisation/pharmacist-immunisers</w:t>
        </w:r>
      </w:hyperlink>
      <w:r w:rsidRPr="00FD657D">
        <w:t>&gt;.</w:t>
      </w:r>
    </w:p>
    <w:p w14:paraId="3B151EAA" w14:textId="77777777" w:rsidR="0000567A" w:rsidRPr="00F30A6A" w:rsidRDefault="0000567A" w:rsidP="00700529">
      <w:pPr>
        <w:pStyle w:val="Heading1"/>
        <w:numPr>
          <w:ilvl w:val="0"/>
          <w:numId w:val="28"/>
        </w:numPr>
        <w:rPr>
          <w:sz w:val="40"/>
          <w:szCs w:val="40"/>
          <w:highlight w:val="yellow"/>
        </w:rPr>
      </w:pPr>
      <w:bookmarkStart w:id="8" w:name="_Pharmacist_Immunisers_and"/>
      <w:bookmarkStart w:id="9" w:name="_Toc115426470"/>
      <w:bookmarkEnd w:id="8"/>
      <w:r w:rsidRPr="00F30A6A">
        <w:rPr>
          <w:sz w:val="40"/>
          <w:szCs w:val="40"/>
          <w:highlight w:val="yellow"/>
        </w:rPr>
        <w:t>Pharmacist Immunisers and Service Providers</w:t>
      </w:r>
      <w:bookmarkEnd w:id="9"/>
    </w:p>
    <w:p w14:paraId="3446322E" w14:textId="77777777" w:rsidR="0000567A" w:rsidRDefault="0000567A" w:rsidP="0000567A">
      <w:pPr>
        <w:pStyle w:val="DHHSbody"/>
        <w:rPr>
          <w:rFonts w:cs="Arial"/>
        </w:rPr>
      </w:pPr>
      <w:r>
        <w:rPr>
          <w:rFonts w:cs="Arial"/>
        </w:rPr>
        <w:t>A registered</w:t>
      </w:r>
      <w:r w:rsidRPr="00B4611F">
        <w:rPr>
          <w:rFonts w:cs="Arial"/>
        </w:rPr>
        <w:t xml:space="preserve"> pharmacist </w:t>
      </w:r>
      <w:r>
        <w:rPr>
          <w:rFonts w:cs="Arial"/>
        </w:rPr>
        <w:t xml:space="preserve">who has completed a recognised ‘Immuniser program of study’ and </w:t>
      </w:r>
      <w:r w:rsidRPr="00B4611F">
        <w:rPr>
          <w:rFonts w:cs="Arial"/>
        </w:rPr>
        <w:t>who administer</w:t>
      </w:r>
      <w:r>
        <w:rPr>
          <w:rFonts w:cs="Arial"/>
        </w:rPr>
        <w:t>s</w:t>
      </w:r>
      <w:r w:rsidRPr="00B4611F">
        <w:rPr>
          <w:rFonts w:cs="Arial"/>
        </w:rPr>
        <w:t xml:space="preserve"> vaccines under the </w:t>
      </w:r>
      <w:r>
        <w:rPr>
          <w:rFonts w:cs="Arial"/>
        </w:rPr>
        <w:t>program</w:t>
      </w:r>
      <w:r>
        <w:rPr>
          <w:rFonts w:cs="Arial"/>
          <w:i/>
        </w:rPr>
        <w:t xml:space="preserve"> </w:t>
      </w:r>
      <w:r>
        <w:rPr>
          <w:rFonts w:cs="Arial"/>
        </w:rPr>
        <w:t>is referred to in these Guidelines as a ‘Pharmacist Immuniser’</w:t>
      </w:r>
      <w:r>
        <w:rPr>
          <w:rFonts w:cs="Arial"/>
          <w:i/>
        </w:rPr>
        <w:t>.</w:t>
      </w:r>
    </w:p>
    <w:p w14:paraId="03FFE110" w14:textId="77777777" w:rsidR="0000567A" w:rsidRPr="00B4611F" w:rsidRDefault="0000567A" w:rsidP="0000567A">
      <w:pPr>
        <w:pStyle w:val="DHHSbody"/>
        <w:rPr>
          <w:rFonts w:cs="Arial"/>
        </w:rPr>
      </w:pPr>
      <w:r>
        <w:rPr>
          <w:rFonts w:cs="Arial"/>
        </w:rPr>
        <w:t xml:space="preserve">The Approval defines that Pharmacist Immunisers </w:t>
      </w:r>
      <w:r w:rsidRPr="00B4611F">
        <w:rPr>
          <w:rFonts w:cs="Arial"/>
        </w:rPr>
        <w:t>are required to:</w:t>
      </w:r>
    </w:p>
    <w:p w14:paraId="0A69C7D5" w14:textId="0FA800FC" w:rsidR="0000567A" w:rsidRPr="00B4611F" w:rsidRDefault="0000567A" w:rsidP="00700529">
      <w:pPr>
        <w:pStyle w:val="DHHSbullet1"/>
        <w:numPr>
          <w:ilvl w:val="0"/>
          <w:numId w:val="9"/>
        </w:numPr>
        <w:spacing w:line="240" w:lineRule="auto"/>
        <w:ind w:left="993" w:hanging="567"/>
      </w:pPr>
      <w:r>
        <w:t>h</w:t>
      </w:r>
      <w:r w:rsidRPr="00B4611F">
        <w:t>old general registration with the Pharmacy Board of Australia</w:t>
      </w:r>
      <w:r w:rsidR="00172878">
        <w:rPr>
          <w:rStyle w:val="FootnoteReference"/>
        </w:rPr>
        <w:footnoteReference w:id="6"/>
      </w:r>
    </w:p>
    <w:p w14:paraId="1723DF84" w14:textId="77777777" w:rsidR="0000567A" w:rsidRPr="009B454E" w:rsidRDefault="0000567A" w:rsidP="00700529">
      <w:pPr>
        <w:pStyle w:val="DHHSbullet1"/>
        <w:numPr>
          <w:ilvl w:val="0"/>
          <w:numId w:val="9"/>
        </w:numPr>
        <w:spacing w:line="240" w:lineRule="auto"/>
        <w:ind w:left="993" w:hanging="567"/>
      </w:pPr>
      <w:r>
        <w:t xml:space="preserve">have </w:t>
      </w:r>
      <w:r w:rsidRPr="00B4611F">
        <w:t>satisfactorily complete</w:t>
      </w:r>
      <w:r>
        <w:t>d</w:t>
      </w:r>
      <w:r w:rsidRPr="00B4611F">
        <w:t xml:space="preserve"> the assessment of an ‘Immuniser program of study’ </w:t>
      </w:r>
      <w:r w:rsidRPr="006F3A4E">
        <w:t xml:space="preserve">recognised by the </w:t>
      </w:r>
      <w:r w:rsidRPr="009B454E">
        <w:t>Victorian Chief Health Officer</w:t>
      </w:r>
    </w:p>
    <w:p w14:paraId="56429A14" w14:textId="075032A8" w:rsidR="0000567A" w:rsidRPr="006C22C6" w:rsidRDefault="0000567A" w:rsidP="00700529">
      <w:pPr>
        <w:pStyle w:val="DHHSbullet1"/>
        <w:numPr>
          <w:ilvl w:val="0"/>
          <w:numId w:val="9"/>
        </w:numPr>
        <w:spacing w:line="240" w:lineRule="auto"/>
        <w:ind w:left="993" w:hanging="567"/>
      </w:pPr>
      <w:r w:rsidRPr="002E03A1">
        <w:t xml:space="preserve">have </w:t>
      </w:r>
      <w:r w:rsidR="002D3DBF" w:rsidRPr="002E03A1">
        <w:t>s</w:t>
      </w:r>
      <w:r w:rsidR="002D3DBF">
        <w:t>atisfactorily</w:t>
      </w:r>
      <w:r w:rsidR="002D3DBF" w:rsidRPr="002E03A1">
        <w:t xml:space="preserve"> </w:t>
      </w:r>
      <w:r w:rsidRPr="002E03A1">
        <w:t xml:space="preserve">completed the Japanese </w:t>
      </w:r>
      <w:r w:rsidR="002C2138">
        <w:t>e</w:t>
      </w:r>
      <w:r w:rsidRPr="006C22C6">
        <w:t>ncephalitis (JE) eLearning module if administering the JE vaccine to eligible individuals</w:t>
      </w:r>
    </w:p>
    <w:p w14:paraId="2969C09D" w14:textId="28BB12F1" w:rsidR="00BC125D" w:rsidRPr="002F059B" w:rsidRDefault="00BC125D" w:rsidP="00700529">
      <w:pPr>
        <w:pStyle w:val="DHHSbullet1"/>
        <w:numPr>
          <w:ilvl w:val="0"/>
          <w:numId w:val="9"/>
        </w:numPr>
        <w:spacing w:line="240" w:lineRule="auto"/>
        <w:ind w:left="993" w:hanging="567"/>
        <w:rPr>
          <w:highlight w:val="yellow"/>
        </w:rPr>
      </w:pPr>
      <w:r w:rsidRPr="002F059B">
        <w:rPr>
          <w:highlight w:val="yellow"/>
        </w:rPr>
        <w:t>have s</w:t>
      </w:r>
      <w:r w:rsidR="001858F5" w:rsidRPr="002F059B">
        <w:rPr>
          <w:highlight w:val="yellow"/>
        </w:rPr>
        <w:t>atisfactorily</w:t>
      </w:r>
      <w:r w:rsidRPr="002F059B">
        <w:rPr>
          <w:highlight w:val="yellow"/>
        </w:rPr>
        <w:t xml:space="preserve"> completed the Monkeypox (MPX) </w:t>
      </w:r>
      <w:r w:rsidR="002C2138" w:rsidRPr="002F059B">
        <w:rPr>
          <w:highlight w:val="yellow"/>
        </w:rPr>
        <w:t xml:space="preserve">vaccination </w:t>
      </w:r>
      <w:r w:rsidRPr="002F059B">
        <w:rPr>
          <w:highlight w:val="yellow"/>
        </w:rPr>
        <w:t xml:space="preserve">eLearning module if administering the </w:t>
      </w:r>
      <w:r w:rsidR="002C2138" w:rsidRPr="002F059B">
        <w:rPr>
          <w:highlight w:val="yellow"/>
        </w:rPr>
        <w:t>MPX</w:t>
      </w:r>
      <w:r w:rsidRPr="002F059B">
        <w:rPr>
          <w:highlight w:val="yellow"/>
        </w:rPr>
        <w:t xml:space="preserve"> vaccine to eligible individuals</w:t>
      </w:r>
      <w:r w:rsidR="0011601C">
        <w:rPr>
          <w:rStyle w:val="FootnoteReference"/>
          <w:highlight w:val="yellow"/>
        </w:rPr>
        <w:footnoteReference w:id="7"/>
      </w:r>
    </w:p>
    <w:p w14:paraId="745D1FE0" w14:textId="267720A0" w:rsidR="00E96EBB" w:rsidRPr="002F059B" w:rsidRDefault="00E96EBB" w:rsidP="00700529">
      <w:pPr>
        <w:pStyle w:val="DHHSbullet1"/>
        <w:numPr>
          <w:ilvl w:val="0"/>
          <w:numId w:val="9"/>
        </w:numPr>
        <w:spacing w:line="240" w:lineRule="auto"/>
        <w:ind w:left="993" w:hanging="567"/>
        <w:rPr>
          <w:highlight w:val="yellow"/>
        </w:rPr>
      </w:pPr>
      <w:r w:rsidRPr="002F059B">
        <w:rPr>
          <w:highlight w:val="yellow"/>
        </w:rPr>
        <w:t>have s</w:t>
      </w:r>
      <w:r w:rsidR="001858F5" w:rsidRPr="002F059B">
        <w:rPr>
          <w:highlight w:val="yellow"/>
        </w:rPr>
        <w:t>atisfactorily</w:t>
      </w:r>
      <w:r w:rsidRPr="002F059B">
        <w:rPr>
          <w:highlight w:val="yellow"/>
        </w:rPr>
        <w:t xml:space="preserve"> completed</w:t>
      </w:r>
      <w:r w:rsidR="001858F5" w:rsidRPr="002F059B">
        <w:rPr>
          <w:highlight w:val="yellow"/>
        </w:rPr>
        <w:t xml:space="preserve"> </w:t>
      </w:r>
      <w:r w:rsidR="001C1C5C" w:rsidRPr="002F059B">
        <w:rPr>
          <w:highlight w:val="yellow"/>
        </w:rPr>
        <w:t xml:space="preserve">the intradermal injection – skills and competency </w:t>
      </w:r>
      <w:r w:rsidR="00B31473" w:rsidRPr="002F059B">
        <w:rPr>
          <w:highlight w:val="yellow"/>
        </w:rPr>
        <w:t>assessment</w:t>
      </w:r>
      <w:r w:rsidR="001C1C5C" w:rsidRPr="002F059B">
        <w:rPr>
          <w:highlight w:val="yellow"/>
        </w:rPr>
        <w:t>, if administering intradermal MPX vaccinations</w:t>
      </w:r>
      <w:r w:rsidRPr="002F059B">
        <w:rPr>
          <w:highlight w:val="yellow"/>
        </w:rPr>
        <w:t xml:space="preserve"> </w:t>
      </w:r>
    </w:p>
    <w:p w14:paraId="541DC3E9" w14:textId="77777777" w:rsidR="0000567A" w:rsidRPr="00905015" w:rsidRDefault="0000567A" w:rsidP="00700529">
      <w:pPr>
        <w:pStyle w:val="DHHSbullet1"/>
        <w:numPr>
          <w:ilvl w:val="0"/>
          <w:numId w:val="9"/>
        </w:numPr>
        <w:spacing w:line="240" w:lineRule="auto"/>
        <w:ind w:left="993" w:hanging="567"/>
      </w:pPr>
      <w:r>
        <w:t>h</w:t>
      </w:r>
      <w:r w:rsidRPr="006F3A4E">
        <w:t>ave recency of practice and continuing professional development in immunisation (as defined from time to time by the Pharmacy Board of Australia)</w:t>
      </w:r>
    </w:p>
    <w:p w14:paraId="14F1A8E6" w14:textId="77777777" w:rsidR="0000567A" w:rsidRPr="00905015" w:rsidRDefault="0000567A" w:rsidP="00700529">
      <w:pPr>
        <w:pStyle w:val="DHHSbullet1"/>
        <w:numPr>
          <w:ilvl w:val="0"/>
          <w:numId w:val="9"/>
        </w:numPr>
        <w:spacing w:line="240" w:lineRule="auto"/>
        <w:ind w:left="993" w:hanging="567"/>
      </w:pPr>
      <w:r>
        <w:t>h</w:t>
      </w:r>
      <w:r w:rsidRPr="006F3A4E">
        <w:t>old a current first aid certificate (to be updated every three years)</w:t>
      </w:r>
    </w:p>
    <w:p w14:paraId="15E93E93" w14:textId="77777777" w:rsidR="0000567A" w:rsidRDefault="0000567A" w:rsidP="00700529">
      <w:pPr>
        <w:pStyle w:val="DHHSbullet1"/>
        <w:numPr>
          <w:ilvl w:val="0"/>
          <w:numId w:val="9"/>
        </w:numPr>
        <w:spacing w:line="240" w:lineRule="auto"/>
        <w:ind w:left="993" w:hanging="567"/>
      </w:pPr>
      <w:r>
        <w:t>h</w:t>
      </w:r>
      <w:r w:rsidRPr="006F3A4E">
        <w:t>old a current cardiopulmonary resuscitation certificate (to be updated annually)</w:t>
      </w:r>
    </w:p>
    <w:p w14:paraId="301237AA" w14:textId="6C7AC0CA" w:rsidR="0000567A" w:rsidRPr="001F72A7" w:rsidRDefault="0000567A" w:rsidP="00700529">
      <w:pPr>
        <w:pStyle w:val="DHHSbullet1"/>
        <w:numPr>
          <w:ilvl w:val="0"/>
          <w:numId w:val="9"/>
        </w:numPr>
        <w:spacing w:line="240" w:lineRule="auto"/>
        <w:ind w:left="993" w:hanging="567"/>
      </w:pPr>
      <w:r w:rsidRPr="001F72A7">
        <w:lastRenderedPageBreak/>
        <w:t>provide evidence of completed training if required.</w:t>
      </w:r>
    </w:p>
    <w:p w14:paraId="5F19B9FB" w14:textId="77777777" w:rsidR="0000567A" w:rsidRDefault="0000567A" w:rsidP="0000567A">
      <w:pPr>
        <w:pStyle w:val="DHHSbody"/>
        <w:rPr>
          <w:rFonts w:cs="Arial"/>
        </w:rPr>
      </w:pPr>
    </w:p>
    <w:p w14:paraId="7900BF0D" w14:textId="77777777" w:rsidR="0000567A" w:rsidRDefault="0000567A" w:rsidP="0000567A">
      <w:pPr>
        <w:pStyle w:val="DHHSbody"/>
      </w:pPr>
      <w:r>
        <w:rPr>
          <w:rFonts w:cs="Arial"/>
        </w:rPr>
        <w:t xml:space="preserve">These Guidelines also refer to Service Providers. </w:t>
      </w:r>
      <w:r>
        <w:t>Service Providers are defined as:</w:t>
      </w:r>
    </w:p>
    <w:p w14:paraId="2CAE5301" w14:textId="77777777" w:rsidR="0000567A" w:rsidRPr="007F6F85" w:rsidRDefault="0000567A" w:rsidP="00700529">
      <w:pPr>
        <w:pStyle w:val="DHHSbullet1"/>
        <w:numPr>
          <w:ilvl w:val="0"/>
          <w:numId w:val="9"/>
        </w:numPr>
        <w:spacing w:line="240" w:lineRule="auto"/>
        <w:ind w:left="993" w:hanging="567"/>
      </w:pPr>
      <w:r>
        <w:t>a hospital</w:t>
      </w:r>
    </w:p>
    <w:p w14:paraId="36B31BD0" w14:textId="77777777" w:rsidR="0000567A" w:rsidRPr="007F6F85" w:rsidRDefault="0000567A" w:rsidP="00700529">
      <w:pPr>
        <w:pStyle w:val="DHHSbullet1"/>
        <w:numPr>
          <w:ilvl w:val="0"/>
          <w:numId w:val="9"/>
        </w:numPr>
        <w:spacing w:line="240" w:lineRule="auto"/>
        <w:ind w:left="993" w:hanging="567"/>
      </w:pPr>
      <w:r>
        <w:t xml:space="preserve">a pharmacy as defined in the </w:t>
      </w:r>
      <w:r w:rsidRPr="008440C2">
        <w:t>Pharmacy Regulation Act 2010</w:t>
      </w:r>
    </w:p>
    <w:p w14:paraId="103EDB39" w14:textId="77777777" w:rsidR="0000567A" w:rsidRDefault="0000567A" w:rsidP="00700529">
      <w:pPr>
        <w:pStyle w:val="DHHSbullet1"/>
        <w:numPr>
          <w:ilvl w:val="0"/>
          <w:numId w:val="9"/>
        </w:numPr>
        <w:spacing w:line="240" w:lineRule="auto"/>
        <w:ind w:left="993" w:hanging="567"/>
      </w:pPr>
      <w:r>
        <w:t xml:space="preserve">a pharmacy depot, as defined in the </w:t>
      </w:r>
      <w:r w:rsidRPr="008440C2">
        <w:t>Pharmacy Regulation Act 2010</w:t>
      </w:r>
      <w:r>
        <w:t>, that is a stand-alone business on premises owned or leased by the licensee of the related pharmacy.</w:t>
      </w:r>
    </w:p>
    <w:p w14:paraId="566CD952" w14:textId="763BC7C8" w:rsidR="0000567A" w:rsidRDefault="0000567A" w:rsidP="0000567A">
      <w:pPr>
        <w:pStyle w:val="DHHSbullet1"/>
        <w:ind w:left="0" w:firstLine="0"/>
      </w:pPr>
      <w:r>
        <w:t>Pharmacists administering vaccines are to be connected to a pharmacy, pharmacy depot or hospital that has registered with the department to provide a vaccination service and hold a government-funded vaccine account.  This means that they must either own (for example, the pharmacist owner of a pharmacy), be employed or otherwise engaged by that Service Provider.</w:t>
      </w:r>
    </w:p>
    <w:p w14:paraId="28DA00CC" w14:textId="048CDE83" w:rsidR="0000567A" w:rsidRPr="00F30A6A" w:rsidRDefault="00DE0749" w:rsidP="00700529">
      <w:pPr>
        <w:pStyle w:val="Heading1"/>
        <w:numPr>
          <w:ilvl w:val="0"/>
          <w:numId w:val="28"/>
        </w:numPr>
        <w:rPr>
          <w:sz w:val="40"/>
          <w:szCs w:val="40"/>
          <w:highlight w:val="yellow"/>
        </w:rPr>
      </w:pPr>
      <w:bookmarkStart w:id="10" w:name="_Toc452486141"/>
      <w:bookmarkStart w:id="11" w:name="_Toc452486144"/>
      <w:bookmarkStart w:id="12" w:name="_Toc452486145"/>
      <w:bookmarkStart w:id="13" w:name="_Toc452486146"/>
      <w:bookmarkStart w:id="14" w:name="_Toc452486150"/>
      <w:bookmarkStart w:id="15" w:name="_Training"/>
      <w:bookmarkStart w:id="16" w:name="_Toc115426471"/>
      <w:bookmarkEnd w:id="10"/>
      <w:bookmarkEnd w:id="11"/>
      <w:bookmarkEnd w:id="12"/>
      <w:bookmarkEnd w:id="13"/>
      <w:bookmarkEnd w:id="14"/>
      <w:bookmarkEnd w:id="15"/>
      <w:r w:rsidRPr="00F30A6A">
        <w:rPr>
          <w:sz w:val="40"/>
          <w:szCs w:val="40"/>
          <w:highlight w:val="yellow"/>
        </w:rPr>
        <w:t>Training</w:t>
      </w:r>
      <w:bookmarkEnd w:id="16"/>
    </w:p>
    <w:p w14:paraId="4E5D5C10" w14:textId="77777777" w:rsidR="0000567A" w:rsidRDefault="0000567A" w:rsidP="0000567A">
      <w:pPr>
        <w:pStyle w:val="DHHSbody"/>
      </w:pPr>
      <w:r>
        <w:t xml:space="preserve">All pharmacists administering vaccines in Victoria must first complete an ‘Immuniser program of study’ that has been recognised by the Victorian Chief Health Officer. A list of recognised courses is available </w:t>
      </w:r>
      <w:r w:rsidRPr="009B454E">
        <w:t xml:space="preserve">from </w:t>
      </w:r>
      <w:r w:rsidRPr="00C47BD2">
        <w:t>&lt;</w:t>
      </w:r>
      <w:hyperlink r:id="rId27" w:history="1">
        <w:r w:rsidRPr="00C47BD2">
          <w:rPr>
            <w:rStyle w:val="Hyperlink"/>
          </w:rPr>
          <w:t>https://www.health.vic.gov.au/immunisation/programs-of-study</w:t>
        </w:r>
      </w:hyperlink>
      <w:r w:rsidRPr="00125D91">
        <w:t>&gt;.</w:t>
      </w:r>
    </w:p>
    <w:p w14:paraId="6EA1B65D" w14:textId="77777777" w:rsidR="0000567A" w:rsidRDefault="0000567A" w:rsidP="0000567A">
      <w:pPr>
        <w:pStyle w:val="DHHSbody"/>
      </w:pPr>
      <w:r>
        <w:t>This program of study provides participants with a comprehensive understanding of the role of a Pharmacist Immuniser in Victoria and assists with development of the knowledge and clinical skills required to safely deliver an immunisation service. Completion of this course is consistent with the educational requirements for Nurse Immunisers in Victoria.</w:t>
      </w:r>
    </w:p>
    <w:p w14:paraId="4CDE04D9" w14:textId="77777777" w:rsidR="0000567A" w:rsidRDefault="0000567A" w:rsidP="0000567A">
      <w:pPr>
        <w:pStyle w:val="DHHSbody"/>
      </w:pPr>
      <w:r w:rsidRPr="004813CC">
        <w:t xml:space="preserve">Pharmacists that have completed immunisation training that has </w:t>
      </w:r>
      <w:r w:rsidRPr="004813CC">
        <w:rPr>
          <w:b/>
        </w:rPr>
        <w:t>not</w:t>
      </w:r>
      <w:r w:rsidRPr="004813CC">
        <w:t xml:space="preserve"> been recognised as an ‘Immuniser program of study’ are not authorised to administer vaccinations in Victoria. This includes training programs available in other states and </w:t>
      </w:r>
      <w:proofErr w:type="gramStart"/>
      <w:r w:rsidRPr="004813CC">
        <w:t>territories, unless</w:t>
      </w:r>
      <w:proofErr w:type="gramEnd"/>
      <w:r w:rsidRPr="004813CC">
        <w:t xml:space="preserve"> they are expressly recognised by the Victorian Chief Health Officer.</w:t>
      </w:r>
    </w:p>
    <w:p w14:paraId="7968C12C" w14:textId="592EE784" w:rsidR="00B7625B" w:rsidRPr="004D58FB" w:rsidRDefault="00B7625B" w:rsidP="0000567A">
      <w:pPr>
        <w:pStyle w:val="DHHSbody"/>
        <w:rPr>
          <w:sz w:val="18"/>
          <w:szCs w:val="18"/>
        </w:rPr>
      </w:pPr>
      <w:r w:rsidRPr="004D58FB">
        <w:rPr>
          <w:rStyle w:val="normaltextrun"/>
          <w:rFonts w:cs="Arial"/>
          <w:color w:val="000000"/>
          <w:highlight w:val="yellow"/>
          <w:shd w:val="clear" w:color="auto" w:fill="FFFFFF"/>
        </w:rPr>
        <w:t xml:space="preserve">A requirement of the Approval is the need to undertake continuing professional development and refreshers on </w:t>
      </w:r>
      <w:r w:rsidR="00977EDB" w:rsidRPr="004D58FB">
        <w:rPr>
          <w:rStyle w:val="normaltextrun"/>
          <w:rFonts w:cs="Arial"/>
          <w:color w:val="000000"/>
          <w:highlight w:val="yellow"/>
          <w:shd w:val="clear" w:color="auto" w:fill="FFFFFF"/>
        </w:rPr>
        <w:t>NIP and other approved</w:t>
      </w:r>
      <w:r w:rsidRPr="004D58FB">
        <w:rPr>
          <w:rStyle w:val="normaltextrun"/>
          <w:rFonts w:cs="Arial"/>
          <w:color w:val="000000"/>
          <w:highlight w:val="yellow"/>
          <w:shd w:val="clear" w:color="auto" w:fill="FFFFFF"/>
        </w:rPr>
        <w:t xml:space="preserve"> vaccines to ensure currency and competency in delivering </w:t>
      </w:r>
      <w:r w:rsidR="00977EDB" w:rsidRPr="004D58FB">
        <w:rPr>
          <w:rStyle w:val="normaltextrun"/>
          <w:rFonts w:cs="Arial"/>
          <w:color w:val="000000"/>
          <w:highlight w:val="yellow"/>
          <w:shd w:val="clear" w:color="auto" w:fill="FFFFFF"/>
        </w:rPr>
        <w:t xml:space="preserve">safe </w:t>
      </w:r>
      <w:r w:rsidRPr="004D58FB">
        <w:rPr>
          <w:rStyle w:val="normaltextrun"/>
          <w:rFonts w:cs="Arial"/>
          <w:color w:val="000000"/>
          <w:highlight w:val="yellow"/>
          <w:shd w:val="clear" w:color="auto" w:fill="FFFFFF"/>
        </w:rPr>
        <w:t>vaccination services.</w:t>
      </w:r>
      <w:r w:rsidRPr="004D58FB">
        <w:rPr>
          <w:rStyle w:val="eop"/>
          <w:rFonts w:cs="Arial"/>
          <w:color w:val="000000"/>
          <w:shd w:val="clear" w:color="auto" w:fill="FFFFFF"/>
        </w:rPr>
        <w:t> </w:t>
      </w:r>
    </w:p>
    <w:p w14:paraId="7BD5F64B" w14:textId="176C4AAE" w:rsidR="007673E0" w:rsidRPr="00446E33" w:rsidRDefault="007673E0" w:rsidP="00700529">
      <w:pPr>
        <w:pStyle w:val="Heading2"/>
        <w:numPr>
          <w:ilvl w:val="1"/>
          <w:numId w:val="25"/>
        </w:numPr>
        <w:rPr>
          <w:sz w:val="28"/>
        </w:rPr>
      </w:pPr>
      <w:bookmarkStart w:id="17" w:name="_Toc115426472"/>
      <w:r w:rsidRPr="00446E33">
        <w:rPr>
          <w:sz w:val="28"/>
        </w:rPr>
        <w:t>Japa</w:t>
      </w:r>
      <w:r w:rsidR="006539E6" w:rsidRPr="00446E33">
        <w:rPr>
          <w:sz w:val="28"/>
        </w:rPr>
        <w:t>nese encephalitis (JE) vaccine</w:t>
      </w:r>
      <w:r w:rsidR="0080376F" w:rsidRPr="00446E33">
        <w:rPr>
          <w:sz w:val="28"/>
        </w:rPr>
        <w:t>-specific training</w:t>
      </w:r>
      <w:bookmarkEnd w:id="17"/>
    </w:p>
    <w:p w14:paraId="7C6CC46E" w14:textId="73834E21" w:rsidR="0000567A" w:rsidRDefault="0000567A" w:rsidP="00125D91">
      <w:pPr>
        <w:pStyle w:val="DHHSbody"/>
        <w:spacing w:after="160"/>
      </w:pPr>
      <w:r w:rsidRPr="00125D91">
        <w:rPr>
          <w:rFonts w:cs="Arial"/>
        </w:rPr>
        <w:t>Pharmacist Immunisers who are administering the JE vaccine to individuals</w:t>
      </w:r>
      <w:r w:rsidR="00A42A1B">
        <w:rPr>
          <w:rFonts w:cs="Arial"/>
        </w:rPr>
        <w:t xml:space="preserve"> recommended for vaccination</w:t>
      </w:r>
      <w:r w:rsidRPr="00125D91">
        <w:rPr>
          <w:rFonts w:cs="Arial"/>
        </w:rPr>
        <w:t xml:space="preserve"> in Victoria must first complete the Japanese </w:t>
      </w:r>
      <w:r w:rsidR="00AF536C">
        <w:rPr>
          <w:rFonts w:cs="Arial"/>
        </w:rPr>
        <w:t>e</w:t>
      </w:r>
      <w:r w:rsidRPr="00125D91">
        <w:rPr>
          <w:rFonts w:cs="Arial"/>
        </w:rPr>
        <w:t xml:space="preserve">ncephalitis eLearning module that has been approved by the Deputy Chief Health Officer – Communicable Disease. This training takes approximately 15 minutes to complete and can be accessed free from </w:t>
      </w:r>
      <w:r w:rsidRPr="00125D91">
        <w:t>&lt;</w:t>
      </w:r>
      <w:hyperlink r:id="rId28" w:history="1">
        <w:r w:rsidR="001F6C20" w:rsidRPr="004F2B21">
          <w:rPr>
            <w:rStyle w:val="Hyperlink"/>
          </w:rPr>
          <w:t>https://www.health.vic.gov.au/immunisation/programs-of-study</w:t>
        </w:r>
      </w:hyperlink>
      <w:r w:rsidRPr="00125D91">
        <w:t>&gt;.</w:t>
      </w:r>
    </w:p>
    <w:p w14:paraId="2C2B29F9" w14:textId="07EACD3C" w:rsidR="0056293E" w:rsidRPr="00446E33" w:rsidRDefault="0056293E" w:rsidP="00700529">
      <w:pPr>
        <w:pStyle w:val="Heading2"/>
        <w:numPr>
          <w:ilvl w:val="1"/>
          <w:numId w:val="25"/>
        </w:numPr>
        <w:rPr>
          <w:sz w:val="28"/>
          <w:highlight w:val="yellow"/>
        </w:rPr>
      </w:pPr>
      <w:bookmarkStart w:id="18" w:name="_Toc115426473"/>
      <w:r w:rsidRPr="00446E33">
        <w:rPr>
          <w:sz w:val="28"/>
          <w:highlight w:val="yellow"/>
        </w:rPr>
        <w:t>Monkeypox (MPX) vaccine-specific training</w:t>
      </w:r>
      <w:bookmarkEnd w:id="18"/>
      <w:r w:rsidRPr="00446E33">
        <w:rPr>
          <w:sz w:val="28"/>
          <w:highlight w:val="yellow"/>
        </w:rPr>
        <w:t xml:space="preserve"> </w:t>
      </w:r>
    </w:p>
    <w:p w14:paraId="458B5486" w14:textId="5B9729A4" w:rsidR="0063162A" w:rsidRDefault="0063162A" w:rsidP="0056293E">
      <w:pPr>
        <w:pStyle w:val="DHHSbody"/>
      </w:pPr>
      <w:r w:rsidRPr="00125D91">
        <w:rPr>
          <w:rFonts w:cs="Arial"/>
          <w:highlight w:val="yellow"/>
        </w:rPr>
        <w:t xml:space="preserve">Pharmacist Immunisers who are administering the </w:t>
      </w:r>
      <w:r w:rsidR="00A42A1B">
        <w:rPr>
          <w:rFonts w:cs="Arial"/>
          <w:highlight w:val="yellow"/>
        </w:rPr>
        <w:t>MPX</w:t>
      </w:r>
      <w:r w:rsidRPr="00125D91">
        <w:rPr>
          <w:rFonts w:cs="Arial"/>
          <w:highlight w:val="yellow"/>
        </w:rPr>
        <w:t xml:space="preserve"> vaccine to individuals </w:t>
      </w:r>
      <w:r w:rsidR="00A42A1B">
        <w:rPr>
          <w:rFonts w:cs="Arial"/>
          <w:highlight w:val="yellow"/>
        </w:rPr>
        <w:t xml:space="preserve">recommended for vaccination </w:t>
      </w:r>
      <w:r w:rsidRPr="00125D91">
        <w:rPr>
          <w:rFonts w:cs="Arial"/>
          <w:highlight w:val="yellow"/>
        </w:rPr>
        <w:t xml:space="preserve">in Victoria must first complete the Monkeypox </w:t>
      </w:r>
      <w:r w:rsidR="007F3868">
        <w:rPr>
          <w:rFonts w:cs="Arial"/>
          <w:highlight w:val="yellow"/>
        </w:rPr>
        <w:t xml:space="preserve">vaccination </w:t>
      </w:r>
      <w:r w:rsidRPr="00125D91">
        <w:rPr>
          <w:rFonts w:cs="Arial"/>
          <w:highlight w:val="yellow"/>
        </w:rPr>
        <w:t xml:space="preserve">eLearning module that has been approved by the Deputy Chief Health Officer – Communicable Disease. This training takes approximately </w:t>
      </w:r>
      <w:r w:rsidR="000C570C" w:rsidRPr="000C570C">
        <w:rPr>
          <w:rFonts w:cs="Arial"/>
          <w:highlight w:val="yellow"/>
        </w:rPr>
        <w:t>30</w:t>
      </w:r>
      <w:r w:rsidRPr="000C570C">
        <w:rPr>
          <w:rFonts w:cs="Arial"/>
          <w:highlight w:val="yellow"/>
        </w:rPr>
        <w:t xml:space="preserve"> </w:t>
      </w:r>
      <w:r w:rsidR="00EA0DB9">
        <w:rPr>
          <w:rFonts w:cs="Arial"/>
          <w:highlight w:val="yellow"/>
        </w:rPr>
        <w:t xml:space="preserve">minutes </w:t>
      </w:r>
      <w:r w:rsidRPr="00125D91">
        <w:rPr>
          <w:rFonts w:cs="Arial"/>
          <w:highlight w:val="yellow"/>
        </w:rPr>
        <w:t xml:space="preserve">to complete and can be accessed free from </w:t>
      </w:r>
      <w:r w:rsidRPr="001E32E1">
        <w:rPr>
          <w:highlight w:val="yellow"/>
        </w:rPr>
        <w:t>&lt;</w:t>
      </w:r>
      <w:hyperlink r:id="rId29" w:history="1">
        <w:r w:rsidR="00953D78" w:rsidRPr="008440C2">
          <w:rPr>
            <w:rStyle w:val="Hyperlink"/>
            <w:highlight w:val="yellow"/>
          </w:rPr>
          <w:t>https://www.health.vic.gov.au/immunisation/programs-of-study</w:t>
        </w:r>
      </w:hyperlink>
      <w:r w:rsidRPr="00125D91">
        <w:rPr>
          <w:highlight w:val="yellow"/>
        </w:rPr>
        <w:t>&gt;</w:t>
      </w:r>
      <w:r w:rsidR="008A23AC" w:rsidRPr="00125D91">
        <w:rPr>
          <w:highlight w:val="yellow"/>
        </w:rPr>
        <w:t>. Completion of this training is a condition of authorisation.</w:t>
      </w:r>
      <w:r w:rsidR="008A23AC">
        <w:t xml:space="preserve"> </w:t>
      </w:r>
    </w:p>
    <w:p w14:paraId="0180B3D6" w14:textId="5D97E35B" w:rsidR="00331BC1" w:rsidRDefault="00331BC1" w:rsidP="0056293E">
      <w:pPr>
        <w:pStyle w:val="paragraph"/>
        <w:spacing w:before="0" w:beforeAutospacing="0" w:after="120" w:afterAutospacing="0"/>
        <w:textAlignment w:val="baseline"/>
        <w:rPr>
          <w:rFonts w:ascii="Arial" w:eastAsia="Times" w:hAnsi="Arial" w:cs="Arial"/>
          <w:sz w:val="20"/>
          <w:szCs w:val="20"/>
          <w:lang w:eastAsia="en-US"/>
        </w:rPr>
      </w:pPr>
      <w:r w:rsidRPr="00125D91">
        <w:rPr>
          <w:rFonts w:ascii="Arial" w:eastAsia="Times" w:hAnsi="Arial" w:cs="Arial"/>
          <w:sz w:val="20"/>
          <w:szCs w:val="20"/>
          <w:highlight w:val="yellow"/>
          <w:lang w:eastAsia="en-US"/>
        </w:rPr>
        <w:t>The training includes information on the JYNNEOS</w:t>
      </w:r>
      <w:r w:rsidRPr="0047331C">
        <w:rPr>
          <w:rFonts w:ascii="Arial" w:eastAsia="Times" w:hAnsi="Arial" w:cs="Arial"/>
          <w:sz w:val="20"/>
          <w:szCs w:val="20"/>
          <w:highlight w:val="yellow"/>
          <w:vertAlign w:val="superscript"/>
          <w:lang w:eastAsia="en-US"/>
        </w:rPr>
        <w:t>®</w:t>
      </w:r>
      <w:r w:rsidRPr="00125D91">
        <w:rPr>
          <w:rFonts w:ascii="Arial" w:eastAsia="Times" w:hAnsi="Arial" w:cs="Arial"/>
          <w:sz w:val="20"/>
          <w:szCs w:val="20"/>
          <w:highlight w:val="yellow"/>
          <w:lang w:eastAsia="en-US"/>
        </w:rPr>
        <w:t xml:space="preserve"> vaccine, as the preferred monkeypox vaccine in Victoria</w:t>
      </w:r>
      <w:r w:rsidR="00F358B7">
        <w:rPr>
          <w:rFonts w:ascii="Arial" w:eastAsia="Times" w:hAnsi="Arial" w:cs="Arial"/>
          <w:sz w:val="20"/>
          <w:szCs w:val="20"/>
          <w:highlight w:val="yellow"/>
          <w:lang w:eastAsia="en-US"/>
        </w:rPr>
        <w:t xml:space="preserve">, and therefore </w:t>
      </w:r>
      <w:r w:rsidR="00FD2E09">
        <w:rPr>
          <w:rFonts w:ascii="Arial" w:eastAsia="Times" w:hAnsi="Arial" w:cs="Arial"/>
          <w:sz w:val="20"/>
          <w:szCs w:val="20"/>
          <w:highlight w:val="yellow"/>
          <w:lang w:eastAsia="en-US"/>
        </w:rPr>
        <w:t>P</w:t>
      </w:r>
      <w:r w:rsidRPr="00125D91">
        <w:rPr>
          <w:rFonts w:ascii="Arial" w:eastAsia="Times" w:hAnsi="Arial" w:cs="Arial"/>
          <w:sz w:val="20"/>
          <w:szCs w:val="20"/>
          <w:highlight w:val="yellow"/>
          <w:lang w:eastAsia="en-US"/>
        </w:rPr>
        <w:t xml:space="preserve">harmacist </w:t>
      </w:r>
      <w:r w:rsidR="00FD2E09">
        <w:rPr>
          <w:rFonts w:ascii="Arial" w:eastAsia="Times" w:hAnsi="Arial" w:cs="Arial"/>
          <w:sz w:val="20"/>
          <w:szCs w:val="20"/>
          <w:highlight w:val="yellow"/>
          <w:lang w:eastAsia="en-US"/>
        </w:rPr>
        <w:t>I</w:t>
      </w:r>
      <w:r w:rsidRPr="00125D91">
        <w:rPr>
          <w:rFonts w:ascii="Arial" w:eastAsia="Times" w:hAnsi="Arial" w:cs="Arial"/>
          <w:sz w:val="20"/>
          <w:szCs w:val="20"/>
          <w:highlight w:val="yellow"/>
          <w:lang w:eastAsia="en-US"/>
        </w:rPr>
        <w:t xml:space="preserve">mmunisers </w:t>
      </w:r>
      <w:r w:rsidR="00FD2E09">
        <w:rPr>
          <w:rFonts w:ascii="Arial" w:eastAsia="Times" w:hAnsi="Arial" w:cs="Arial"/>
          <w:sz w:val="20"/>
          <w:szCs w:val="20"/>
          <w:highlight w:val="yellow"/>
          <w:lang w:eastAsia="en-US"/>
        </w:rPr>
        <w:t xml:space="preserve">only have the required knowledge, </w:t>
      </w:r>
      <w:proofErr w:type="gramStart"/>
      <w:r w:rsidR="00FD2E09">
        <w:rPr>
          <w:rFonts w:ascii="Arial" w:eastAsia="Times" w:hAnsi="Arial" w:cs="Arial"/>
          <w:sz w:val="20"/>
          <w:szCs w:val="20"/>
          <w:highlight w:val="yellow"/>
          <w:lang w:eastAsia="en-US"/>
        </w:rPr>
        <w:t>skills</w:t>
      </w:r>
      <w:proofErr w:type="gramEnd"/>
      <w:r w:rsidR="00FD2E09">
        <w:rPr>
          <w:rFonts w:ascii="Arial" w:eastAsia="Times" w:hAnsi="Arial" w:cs="Arial"/>
          <w:sz w:val="20"/>
          <w:szCs w:val="20"/>
          <w:highlight w:val="yellow"/>
          <w:lang w:eastAsia="en-US"/>
        </w:rPr>
        <w:t xml:space="preserve"> and training</w:t>
      </w:r>
      <w:r w:rsidR="003D6192">
        <w:rPr>
          <w:rFonts w:ascii="Arial" w:eastAsia="Times" w:hAnsi="Arial" w:cs="Arial"/>
          <w:sz w:val="20"/>
          <w:szCs w:val="20"/>
          <w:highlight w:val="yellow"/>
          <w:lang w:eastAsia="en-US"/>
        </w:rPr>
        <w:t xml:space="preserve"> </w:t>
      </w:r>
      <w:r w:rsidR="003D6192">
        <w:rPr>
          <w:rFonts w:ascii="Arial" w:eastAsia="Times" w:hAnsi="Arial" w:cs="Arial"/>
          <w:sz w:val="20"/>
          <w:szCs w:val="20"/>
          <w:highlight w:val="yellow"/>
          <w:lang w:eastAsia="en-US"/>
        </w:rPr>
        <w:lastRenderedPageBreak/>
        <w:t>within their individual scope</w:t>
      </w:r>
      <w:r w:rsidR="000659EF">
        <w:rPr>
          <w:rFonts w:ascii="Arial" w:eastAsia="Times" w:hAnsi="Arial" w:cs="Arial"/>
          <w:sz w:val="20"/>
          <w:szCs w:val="20"/>
          <w:highlight w:val="yellow"/>
          <w:lang w:eastAsia="en-US"/>
        </w:rPr>
        <w:t xml:space="preserve"> to </w:t>
      </w:r>
      <w:r w:rsidRPr="00125D91">
        <w:rPr>
          <w:rFonts w:ascii="Arial" w:eastAsia="Times" w:hAnsi="Arial" w:cs="Arial"/>
          <w:sz w:val="20"/>
          <w:szCs w:val="20"/>
          <w:highlight w:val="yellow"/>
          <w:lang w:eastAsia="en-US"/>
        </w:rPr>
        <w:t>administer the JYNNEOS</w:t>
      </w:r>
      <w:r w:rsidRPr="000D69CA">
        <w:rPr>
          <w:rFonts w:ascii="Arial" w:eastAsia="Times" w:hAnsi="Arial" w:cs="Arial"/>
          <w:sz w:val="20"/>
          <w:szCs w:val="20"/>
          <w:highlight w:val="yellow"/>
          <w:vertAlign w:val="superscript"/>
          <w:lang w:eastAsia="en-US"/>
        </w:rPr>
        <w:t>®</w:t>
      </w:r>
      <w:r w:rsidRPr="00125D91">
        <w:rPr>
          <w:rFonts w:ascii="Arial" w:eastAsia="Times" w:hAnsi="Arial" w:cs="Arial"/>
          <w:sz w:val="20"/>
          <w:szCs w:val="20"/>
          <w:highlight w:val="yellow"/>
          <w:lang w:eastAsia="en-US"/>
        </w:rPr>
        <w:t xml:space="preserve"> vaccine. Patients requiring ACAM2000™ </w:t>
      </w:r>
      <w:r w:rsidR="00BE79B2">
        <w:rPr>
          <w:rFonts w:ascii="Arial" w:eastAsia="Times" w:hAnsi="Arial" w:cs="Arial"/>
          <w:sz w:val="20"/>
          <w:szCs w:val="20"/>
          <w:highlight w:val="yellow"/>
          <w:lang w:eastAsia="en-US"/>
        </w:rPr>
        <w:t xml:space="preserve">vaccine </w:t>
      </w:r>
      <w:r w:rsidRPr="00125D91">
        <w:rPr>
          <w:rFonts w:ascii="Arial" w:eastAsia="Times" w:hAnsi="Arial" w:cs="Arial"/>
          <w:sz w:val="20"/>
          <w:szCs w:val="20"/>
          <w:highlight w:val="yellow"/>
          <w:lang w:eastAsia="en-US"/>
        </w:rPr>
        <w:t>should be referred to a medical practitioner or nurse practitioner for vaccination.</w:t>
      </w:r>
      <w:r>
        <w:rPr>
          <w:rFonts w:ascii="Arial" w:eastAsia="Times" w:hAnsi="Arial" w:cs="Arial"/>
          <w:sz w:val="20"/>
          <w:szCs w:val="20"/>
          <w:lang w:eastAsia="en-US"/>
        </w:rPr>
        <w:t xml:space="preserve"> </w:t>
      </w:r>
    </w:p>
    <w:p w14:paraId="0A60DA2E" w14:textId="6D28EE1C" w:rsidR="00175B3F" w:rsidRPr="00EA0DB9" w:rsidRDefault="00175B3F" w:rsidP="00175B3F">
      <w:pPr>
        <w:pStyle w:val="DHHSbody"/>
        <w:rPr>
          <w:rStyle w:val="normaltextrun"/>
          <w:rFonts w:cs="Arial"/>
          <w:color w:val="000000"/>
          <w:highlight w:val="yellow"/>
          <w:shd w:val="clear" w:color="auto" w:fill="FFFFFF"/>
        </w:rPr>
      </w:pPr>
      <w:r w:rsidRPr="00EA0DB9">
        <w:rPr>
          <w:rStyle w:val="normaltextrun"/>
          <w:rFonts w:cs="Arial"/>
          <w:color w:val="202020"/>
          <w:highlight w:val="yellow"/>
          <w:shd w:val="clear" w:color="auto" w:fill="FFFFFF"/>
        </w:rPr>
        <w:t xml:space="preserve">Standard administration of </w:t>
      </w:r>
      <w:r w:rsidRPr="00EA0DB9">
        <w:rPr>
          <w:rStyle w:val="normaltextrun"/>
          <w:rFonts w:cs="Arial"/>
          <w:color w:val="000000"/>
          <w:highlight w:val="yellow"/>
          <w:shd w:val="clear" w:color="auto" w:fill="FFFFFF"/>
        </w:rPr>
        <w:t>JYNNEOS</w:t>
      </w:r>
      <w:r w:rsidRPr="00EA0DB9">
        <w:rPr>
          <w:rStyle w:val="normaltextrun"/>
          <w:rFonts w:cs="Arial"/>
          <w:color w:val="2A2736"/>
          <w:highlight w:val="yellow"/>
          <w:shd w:val="clear" w:color="auto" w:fill="FFFFFF"/>
          <w:vertAlign w:val="superscript"/>
        </w:rPr>
        <w:t>®</w:t>
      </w:r>
      <w:r w:rsidRPr="00EA0DB9">
        <w:rPr>
          <w:rStyle w:val="normaltextrun"/>
          <w:rFonts w:cs="Arial"/>
          <w:color w:val="000000"/>
          <w:highlight w:val="yellow"/>
          <w:shd w:val="clear" w:color="auto" w:fill="FFFFFF"/>
        </w:rPr>
        <w:t xml:space="preserve"> vaccine</w:t>
      </w:r>
      <w:r w:rsidRPr="00EA0DB9">
        <w:rPr>
          <w:rStyle w:val="normaltextrun"/>
          <w:rFonts w:cs="Arial"/>
          <w:color w:val="202020"/>
          <w:highlight w:val="yellow"/>
          <w:shd w:val="clear" w:color="auto" w:fill="FFFFFF"/>
        </w:rPr>
        <w:t xml:space="preserve"> is by subcutaneous injection however, </w:t>
      </w:r>
      <w:r w:rsidRPr="00EA0DB9">
        <w:rPr>
          <w:rStyle w:val="normaltextrun"/>
          <w:rFonts w:cs="Arial"/>
          <w:color w:val="000000"/>
          <w:highlight w:val="yellow"/>
          <w:shd w:val="clear" w:color="auto" w:fill="FFFFFF"/>
        </w:rPr>
        <w:t>JYNNEOS</w:t>
      </w:r>
      <w:r w:rsidRPr="00EA0DB9">
        <w:rPr>
          <w:rStyle w:val="normaltextrun"/>
          <w:rFonts w:cs="Arial"/>
          <w:color w:val="2A2736"/>
          <w:highlight w:val="yellow"/>
          <w:shd w:val="clear" w:color="auto" w:fill="FFFFFF"/>
          <w:vertAlign w:val="superscript"/>
        </w:rPr>
        <w:t>®</w:t>
      </w:r>
      <w:r w:rsidRPr="00EA0DB9">
        <w:rPr>
          <w:rStyle w:val="normaltextrun"/>
          <w:rFonts w:cs="Arial"/>
          <w:color w:val="000000"/>
          <w:highlight w:val="yellow"/>
          <w:shd w:val="clear" w:color="auto" w:fill="FFFFFF"/>
        </w:rPr>
        <w:t xml:space="preserve"> vaccine may also be administered via the intradermal route to people without immunocompromise. This technique must only be used by trained and competent immunisers to minimise inadvertent underdosing, leakage or subcutaneous injection. </w:t>
      </w:r>
    </w:p>
    <w:p w14:paraId="409EC145" w14:textId="1F815C2A" w:rsidR="00175B3F" w:rsidRPr="00094214" w:rsidRDefault="00175B3F" w:rsidP="00175B3F">
      <w:pPr>
        <w:pStyle w:val="DHHSbody"/>
        <w:rPr>
          <w:rStyle w:val="normaltextrun"/>
          <w:rFonts w:cs="Arial"/>
          <w:color w:val="000000"/>
          <w:shd w:val="clear" w:color="auto" w:fill="FFFFFF"/>
        </w:rPr>
      </w:pPr>
      <w:r w:rsidRPr="00EA0DB9">
        <w:rPr>
          <w:rStyle w:val="normaltextrun"/>
          <w:rFonts w:cs="Arial"/>
          <w:color w:val="000000"/>
          <w:highlight w:val="yellow"/>
          <w:shd w:val="clear" w:color="auto" w:fill="FFFFFF"/>
        </w:rPr>
        <w:t xml:space="preserve">An intradermal injection skills and competencies checklist has been developed as a guide to verify that immunisers are deemed clinically skilled and competent in the technique of intradermal injection. This checklist must be completed and issued by an appropriately experienced clinician (for example, a medical practitioner, nurse practitioner or other specialist clinician) proficient in </w:t>
      </w:r>
      <w:r w:rsidR="001F6C20">
        <w:rPr>
          <w:rStyle w:val="normaltextrun"/>
          <w:rFonts w:cs="Arial"/>
          <w:color w:val="000000"/>
          <w:highlight w:val="yellow"/>
          <w:shd w:val="clear" w:color="auto" w:fill="FFFFFF"/>
        </w:rPr>
        <w:t>intradermal</w:t>
      </w:r>
      <w:r w:rsidRPr="00EA0DB9">
        <w:rPr>
          <w:rStyle w:val="normaltextrun"/>
          <w:rFonts w:cs="Arial"/>
          <w:color w:val="000000"/>
          <w:highlight w:val="yellow"/>
          <w:shd w:val="clear" w:color="auto" w:fill="FFFFFF"/>
        </w:rPr>
        <w:t xml:space="preserve"> injection technique </w:t>
      </w:r>
      <w:r w:rsidR="00B873DF">
        <w:rPr>
          <w:rStyle w:val="normaltextrun"/>
          <w:rFonts w:cs="Arial"/>
          <w:color w:val="000000"/>
          <w:highlight w:val="yellow"/>
          <w:shd w:val="clear" w:color="auto" w:fill="FFFFFF"/>
        </w:rPr>
        <w:t>who</w:t>
      </w:r>
      <w:r w:rsidRPr="00EA0DB9">
        <w:rPr>
          <w:rStyle w:val="normaltextrun"/>
          <w:rFonts w:cs="Arial"/>
          <w:color w:val="000000"/>
          <w:highlight w:val="yellow"/>
          <w:shd w:val="clear" w:color="auto" w:fill="FFFFFF"/>
        </w:rPr>
        <w:t xml:space="preserve"> can oversee the </w:t>
      </w:r>
      <w:r w:rsidR="00B877B4" w:rsidRPr="00EA0DB9">
        <w:rPr>
          <w:rStyle w:val="normaltextrun"/>
          <w:rFonts w:cs="Arial"/>
          <w:color w:val="000000"/>
          <w:highlight w:val="yellow"/>
          <w:shd w:val="clear" w:color="auto" w:fill="FFFFFF"/>
        </w:rPr>
        <w:t xml:space="preserve">assessment of the </w:t>
      </w:r>
      <w:r w:rsidRPr="00EA0DB9">
        <w:rPr>
          <w:rStyle w:val="normaltextrun"/>
          <w:rFonts w:cs="Arial"/>
          <w:color w:val="000000"/>
          <w:highlight w:val="yellow"/>
          <w:shd w:val="clear" w:color="auto" w:fill="FFFFFF"/>
        </w:rPr>
        <w:t>clinical skills and competencies of an immuniser. </w:t>
      </w:r>
      <w:r w:rsidRPr="00EA0DB9">
        <w:rPr>
          <w:rStyle w:val="eop"/>
          <w:rFonts w:cs="Arial"/>
          <w:color w:val="000000"/>
          <w:highlight w:val="yellow"/>
          <w:shd w:val="clear" w:color="auto" w:fill="FFFFFF"/>
        </w:rPr>
        <w:t xml:space="preserve"> The checklist is available within the </w:t>
      </w:r>
      <w:r w:rsidRPr="00EA0DB9">
        <w:rPr>
          <w:rFonts w:cs="Arial"/>
          <w:i/>
          <w:iCs/>
          <w:highlight w:val="yellow"/>
        </w:rPr>
        <w:t>Victorian monkeypox vaccination program guidelines</w:t>
      </w:r>
      <w:r w:rsidR="001342B5">
        <w:rPr>
          <w:rStyle w:val="FootnoteReference"/>
          <w:rFonts w:cs="Arial"/>
          <w:i/>
          <w:iCs/>
          <w:highlight w:val="yellow"/>
        </w:rPr>
        <w:footnoteReference w:id="8"/>
      </w:r>
      <w:r w:rsidR="00B873DF">
        <w:rPr>
          <w:rFonts w:cs="Arial"/>
          <w:highlight w:val="yellow"/>
        </w:rPr>
        <w:t>.</w:t>
      </w:r>
      <w:r w:rsidR="0029551D">
        <w:rPr>
          <w:rFonts w:cs="Arial"/>
          <w:highlight w:val="yellow"/>
        </w:rPr>
        <w:t xml:space="preserve"> </w:t>
      </w:r>
      <w:r w:rsidRPr="00E069F5">
        <w:rPr>
          <w:rStyle w:val="normaltextrun"/>
          <w:rFonts w:cs="Arial"/>
          <w:highlight w:val="yellow"/>
          <w:shd w:val="clear" w:color="auto" w:fill="FFFFFF"/>
        </w:rPr>
        <w:t>Pharmacist</w:t>
      </w:r>
      <w:r w:rsidRPr="009345B1">
        <w:rPr>
          <w:rFonts w:cs="Arial"/>
          <w:highlight w:val="yellow"/>
        </w:rPr>
        <w:t xml:space="preserve"> </w:t>
      </w:r>
      <w:r w:rsidRPr="00EA0DB9">
        <w:rPr>
          <w:rFonts w:cs="Arial"/>
          <w:highlight w:val="yellow"/>
        </w:rPr>
        <w:t xml:space="preserve">Immunisers must additionally comply with the </w:t>
      </w:r>
      <w:r w:rsidRPr="00EA0DB9">
        <w:rPr>
          <w:rFonts w:cs="Arial"/>
          <w:i/>
          <w:iCs/>
          <w:highlight w:val="yellow"/>
        </w:rPr>
        <w:t>Victorian monkeypox vaccination program guidelines</w:t>
      </w:r>
      <w:r w:rsidRPr="00EA0DB9">
        <w:rPr>
          <w:rFonts w:cs="Arial"/>
          <w:highlight w:val="yellow"/>
        </w:rPr>
        <w:t xml:space="preserve"> when administering the MPX vaccine.</w:t>
      </w:r>
      <w:r w:rsidRPr="00094214">
        <w:rPr>
          <w:rStyle w:val="normaltextrun"/>
          <w:rFonts w:cs="Arial"/>
          <w:color w:val="333333"/>
          <w:shd w:val="clear" w:color="auto" w:fill="FFFFFF"/>
        </w:rPr>
        <w:t> </w:t>
      </w:r>
    </w:p>
    <w:p w14:paraId="6B567A5E" w14:textId="64636A75" w:rsidR="00C7425C" w:rsidRPr="00446E33" w:rsidRDefault="00050028" w:rsidP="00700529">
      <w:pPr>
        <w:pStyle w:val="Heading2"/>
        <w:numPr>
          <w:ilvl w:val="1"/>
          <w:numId w:val="25"/>
        </w:numPr>
        <w:rPr>
          <w:sz w:val="28"/>
        </w:rPr>
      </w:pPr>
      <w:bookmarkStart w:id="19" w:name="_Toc115426474"/>
      <w:r w:rsidRPr="00446E33">
        <w:rPr>
          <w:sz w:val="28"/>
        </w:rPr>
        <w:t>Vaccinating younger cohorts</w:t>
      </w:r>
      <w:bookmarkEnd w:id="19"/>
    </w:p>
    <w:p w14:paraId="73B8BABA" w14:textId="0581A12B" w:rsidR="0000567A" w:rsidRPr="00125D91" w:rsidRDefault="0000567A" w:rsidP="00125D91">
      <w:pPr>
        <w:pStyle w:val="DHHSbody"/>
        <w:spacing w:after="160"/>
      </w:pPr>
      <w:r w:rsidRPr="00125D91">
        <w:rPr>
          <w:rFonts w:cs="Arial"/>
          <w:color w:val="000000" w:themeColor="text1"/>
        </w:rPr>
        <w:t xml:space="preserve">It is a </w:t>
      </w:r>
      <w:r w:rsidR="00BE79B2">
        <w:rPr>
          <w:rFonts w:cs="Arial"/>
          <w:color w:val="000000" w:themeColor="text1"/>
        </w:rPr>
        <w:t>P</w:t>
      </w:r>
      <w:r w:rsidRPr="00125D91">
        <w:rPr>
          <w:rFonts w:cs="Arial"/>
          <w:color w:val="000000" w:themeColor="text1"/>
        </w:rPr>
        <w:t xml:space="preserve">harmacist </w:t>
      </w:r>
      <w:r w:rsidR="00BE79B2">
        <w:rPr>
          <w:rFonts w:cs="Arial"/>
          <w:color w:val="000000" w:themeColor="text1"/>
        </w:rPr>
        <w:t>I</w:t>
      </w:r>
      <w:r w:rsidRPr="00125D91">
        <w:rPr>
          <w:rFonts w:cs="Arial"/>
          <w:color w:val="000000" w:themeColor="text1"/>
        </w:rPr>
        <w:t>mmuniser</w:t>
      </w:r>
      <w:r w:rsidR="00294901">
        <w:rPr>
          <w:rFonts w:cs="Arial"/>
          <w:color w:val="000000" w:themeColor="text1"/>
        </w:rPr>
        <w:t>’</w:t>
      </w:r>
      <w:r w:rsidRPr="00125D91">
        <w:rPr>
          <w:rFonts w:cs="Arial"/>
          <w:color w:val="000000" w:themeColor="text1"/>
        </w:rPr>
        <w:t xml:space="preserve">s professional responsibility to ensure they are appropriately trained and competent and are meeting best practice for vaccinating children aged five years and </w:t>
      </w:r>
      <w:r w:rsidR="00294901">
        <w:rPr>
          <w:rFonts w:cs="Arial"/>
          <w:color w:val="000000" w:themeColor="text1"/>
        </w:rPr>
        <w:t>older</w:t>
      </w:r>
      <w:r w:rsidRPr="00125D91">
        <w:rPr>
          <w:rFonts w:cs="Arial"/>
          <w:color w:val="000000" w:themeColor="text1"/>
        </w:rPr>
        <w:t>, including identification and management of adverse events following immunisation for this age group</w:t>
      </w:r>
      <w:r w:rsidRPr="00125D91">
        <w:t>.</w:t>
      </w:r>
      <w:r w:rsidRPr="009B454E">
        <w:t xml:space="preserve"> </w:t>
      </w:r>
      <w:r w:rsidRPr="00125D91">
        <w:t xml:space="preserve">The </w:t>
      </w:r>
      <w:r w:rsidR="00294901">
        <w:t>‘</w:t>
      </w:r>
      <w:r w:rsidRPr="00125D91">
        <w:t>Immuniser program of study</w:t>
      </w:r>
      <w:r w:rsidR="00294901">
        <w:t>’</w:t>
      </w:r>
      <w:r w:rsidRPr="00125D91">
        <w:t xml:space="preserve"> includes administration of all vaccines listed on the National Immunisation Program to all age groups including childhood immunisation. </w:t>
      </w:r>
    </w:p>
    <w:p w14:paraId="10E05AB3" w14:textId="59109FD9" w:rsidR="0000567A" w:rsidRPr="009B454E" w:rsidRDefault="0000567A" w:rsidP="00125D91">
      <w:pPr>
        <w:pStyle w:val="DHHSbody"/>
        <w:spacing w:after="160"/>
      </w:pPr>
      <w:r w:rsidRPr="00125D91">
        <w:t xml:space="preserve">However, in recognition of the additional clinical and communication skills required to administer vaccines to younger children, it is </w:t>
      </w:r>
      <w:r w:rsidRPr="00125D91">
        <w:rPr>
          <w:b/>
          <w:bCs/>
        </w:rPr>
        <w:t>strongly recommended</w:t>
      </w:r>
      <w:r w:rsidRPr="00125D91">
        <w:t xml:space="preserve"> that pharmacist immunisers also view the Melbourne Vaccine Education Centre (MVEC) </w:t>
      </w:r>
      <w:r w:rsidRPr="00125D91">
        <w:rPr>
          <w:i/>
        </w:rPr>
        <w:t>Immunising Children and Infants webinar</w:t>
      </w:r>
      <w:r w:rsidRPr="00125D91">
        <w:t xml:space="preserve"> which was developed for workforces administering the COVID-19 vaccine to children aged five </w:t>
      </w:r>
      <w:r w:rsidR="00191531">
        <w:t xml:space="preserve">years </w:t>
      </w:r>
      <w:r w:rsidRPr="00125D91">
        <w:t xml:space="preserve">and </w:t>
      </w:r>
      <w:r w:rsidR="00191531">
        <w:t>older</w:t>
      </w:r>
      <w:r w:rsidRPr="00125D91">
        <w:t>. This is available free of charge from the MVEC website at:</w:t>
      </w:r>
      <w:r w:rsidRPr="00125D91">
        <w:rPr>
          <w:color w:val="3366FF"/>
          <w:u w:val="dotted"/>
        </w:rPr>
        <w:t xml:space="preserve"> https://education-mvec.mcri.edu.au/</w:t>
      </w:r>
    </w:p>
    <w:p w14:paraId="0A043283" w14:textId="77777777" w:rsidR="0000567A" w:rsidRDefault="0000567A" w:rsidP="0000567A">
      <w:pPr>
        <w:pStyle w:val="DHHSbody"/>
      </w:pPr>
      <w:r w:rsidRPr="00B066CE">
        <w:t xml:space="preserve">The Pharmacy Guild of Australia and the Pharmaceutical Society of Australia have also developed additional training modules for pharmacist immunisers who may wish to </w:t>
      </w:r>
      <w:r w:rsidRPr="00B066CE">
        <w:rPr>
          <w:rFonts w:cs="Arial"/>
          <w:color w:val="000000" w:themeColor="text1"/>
        </w:rPr>
        <w:t>support their competency and currency of practice administering vaccines to this younger age group.</w:t>
      </w:r>
      <w:r w:rsidRPr="009B454E">
        <w:t xml:space="preserve">    </w:t>
      </w:r>
    </w:p>
    <w:p w14:paraId="342EB614" w14:textId="2D5281DE" w:rsidR="006E3AA7" w:rsidRPr="00446E33" w:rsidRDefault="006E3AA7" w:rsidP="00700529">
      <w:pPr>
        <w:pStyle w:val="Heading2"/>
        <w:numPr>
          <w:ilvl w:val="1"/>
          <w:numId w:val="25"/>
        </w:numPr>
        <w:rPr>
          <w:sz w:val="28"/>
        </w:rPr>
      </w:pPr>
      <w:bookmarkStart w:id="20" w:name="_Toc115426475"/>
      <w:r w:rsidRPr="00446E33">
        <w:rPr>
          <w:sz w:val="28"/>
        </w:rPr>
        <w:t>General training requirements</w:t>
      </w:r>
      <w:bookmarkEnd w:id="20"/>
    </w:p>
    <w:p w14:paraId="5E1288E1" w14:textId="77777777" w:rsidR="0000567A" w:rsidRPr="00630A8E" w:rsidRDefault="0000567A" w:rsidP="0000567A">
      <w:pPr>
        <w:pStyle w:val="DHHSbody"/>
        <w:rPr>
          <w:rFonts w:cs="Arial"/>
        </w:rPr>
      </w:pPr>
      <w:r w:rsidRPr="00630A8E">
        <w:rPr>
          <w:rFonts w:cs="Arial"/>
        </w:rPr>
        <w:t xml:space="preserve">The Approval </w:t>
      </w:r>
      <w:r>
        <w:rPr>
          <w:rFonts w:cs="Arial"/>
        </w:rPr>
        <w:t>states</w:t>
      </w:r>
      <w:r w:rsidRPr="00630A8E">
        <w:rPr>
          <w:rFonts w:cs="Arial"/>
        </w:rPr>
        <w:t xml:space="preserve"> that pharmacists </w:t>
      </w:r>
      <w:r>
        <w:rPr>
          <w:rFonts w:cs="Arial"/>
        </w:rPr>
        <w:t>who</w:t>
      </w:r>
      <w:r w:rsidRPr="00630A8E">
        <w:rPr>
          <w:rFonts w:cs="Arial"/>
        </w:rPr>
        <w:t xml:space="preserve"> are </w:t>
      </w:r>
      <w:r w:rsidRPr="004813CC">
        <w:rPr>
          <w:rFonts w:cs="Arial"/>
        </w:rPr>
        <w:t>training to administer</w:t>
      </w:r>
      <w:r w:rsidRPr="00630A8E">
        <w:rPr>
          <w:rFonts w:cs="Arial"/>
        </w:rPr>
        <w:t xml:space="preserve"> vaccines are required to:</w:t>
      </w:r>
    </w:p>
    <w:p w14:paraId="081A0FE9" w14:textId="593A8CA6" w:rsidR="0000567A" w:rsidRPr="006F1240" w:rsidRDefault="0000567A" w:rsidP="00700529">
      <w:pPr>
        <w:pStyle w:val="DHHSbullet1"/>
        <w:numPr>
          <w:ilvl w:val="0"/>
          <w:numId w:val="9"/>
        </w:numPr>
        <w:spacing w:line="240" w:lineRule="auto"/>
        <w:ind w:left="993" w:hanging="567"/>
      </w:pPr>
      <w:r w:rsidRPr="008D07DE">
        <w:t>hold general registration with the Pharmacy Board of Australia</w:t>
      </w:r>
      <w:r w:rsidR="00B066CE" w:rsidRPr="008440C2">
        <w:rPr>
          <w:vertAlign w:val="superscript"/>
        </w:rPr>
        <w:footnoteReference w:id="9"/>
      </w:r>
    </w:p>
    <w:p w14:paraId="6AE10DE5" w14:textId="77777777" w:rsidR="0000567A" w:rsidRPr="00316104" w:rsidRDefault="0000567A" w:rsidP="00700529">
      <w:pPr>
        <w:pStyle w:val="DHHSbullet1"/>
        <w:numPr>
          <w:ilvl w:val="0"/>
          <w:numId w:val="9"/>
        </w:numPr>
        <w:spacing w:line="240" w:lineRule="auto"/>
        <w:ind w:left="993" w:hanging="567"/>
      </w:pPr>
      <w:r w:rsidRPr="00A36832">
        <w:t>hold a current first aid certificate (t</w:t>
      </w:r>
      <w:r w:rsidRPr="00316104">
        <w:t>o be updated every three years)</w:t>
      </w:r>
    </w:p>
    <w:p w14:paraId="56DF097E" w14:textId="77777777" w:rsidR="0000567A" w:rsidRPr="003A200E" w:rsidRDefault="0000567A" w:rsidP="00700529">
      <w:pPr>
        <w:pStyle w:val="DHHSbullet1"/>
        <w:numPr>
          <w:ilvl w:val="0"/>
          <w:numId w:val="9"/>
        </w:numPr>
        <w:spacing w:line="240" w:lineRule="auto"/>
        <w:ind w:left="993" w:hanging="567"/>
      </w:pPr>
      <w:r w:rsidRPr="00316104">
        <w:t>hold a current cardiopulmonary resuscitation certifica</w:t>
      </w:r>
      <w:r w:rsidRPr="003A200E">
        <w:t>te (to be updated annually)</w:t>
      </w:r>
    </w:p>
    <w:p w14:paraId="457C17FD" w14:textId="35BA1798" w:rsidR="0000567A" w:rsidRPr="00BA4B99" w:rsidRDefault="0000567A" w:rsidP="00700529">
      <w:pPr>
        <w:pStyle w:val="DHHSbullet1"/>
        <w:numPr>
          <w:ilvl w:val="0"/>
          <w:numId w:val="9"/>
        </w:numPr>
        <w:spacing w:line="240" w:lineRule="auto"/>
        <w:ind w:left="993" w:hanging="567"/>
      </w:pPr>
      <w:r w:rsidRPr="009F3D01">
        <w:t xml:space="preserve">administer vaccines only when completing clinical practice as part of a recognised ‘Immuniser program of study’ </w:t>
      </w:r>
      <w:r w:rsidRPr="00BA4B99">
        <w:t>under the direct supervision of</w:t>
      </w:r>
      <w:r w:rsidR="00DF6400">
        <w:t xml:space="preserve"> a</w:t>
      </w:r>
      <w:r w:rsidRPr="00BA4B99">
        <w:t>:</w:t>
      </w:r>
    </w:p>
    <w:p w14:paraId="44B1305B" w14:textId="3632AB59" w:rsidR="0000567A" w:rsidRPr="00630A8E" w:rsidRDefault="0000567A" w:rsidP="00700529">
      <w:pPr>
        <w:pStyle w:val="DHHSbody"/>
        <w:numPr>
          <w:ilvl w:val="1"/>
          <w:numId w:val="24"/>
        </w:numPr>
        <w:spacing w:after="40" w:line="240" w:lineRule="auto"/>
      </w:pPr>
      <w:r>
        <w:t xml:space="preserve">medical </w:t>
      </w:r>
      <w:proofErr w:type="gramStart"/>
      <w:r>
        <w:t>practitioner</w:t>
      </w:r>
      <w:r w:rsidR="00DF6400">
        <w:t>;</w:t>
      </w:r>
      <w:proofErr w:type="gramEnd"/>
    </w:p>
    <w:p w14:paraId="5C98FF07" w14:textId="50E45683" w:rsidR="0000567A" w:rsidRPr="00630A8E" w:rsidRDefault="0000567A" w:rsidP="00700529">
      <w:pPr>
        <w:pStyle w:val="DHHSbody"/>
        <w:numPr>
          <w:ilvl w:val="1"/>
          <w:numId w:val="24"/>
        </w:numPr>
        <w:tabs>
          <w:tab w:val="left" w:pos="1134"/>
        </w:tabs>
        <w:spacing w:after="40" w:line="240" w:lineRule="auto"/>
      </w:pPr>
      <w:r>
        <w:t xml:space="preserve">nurse </w:t>
      </w:r>
      <w:proofErr w:type="gramStart"/>
      <w:r>
        <w:t>practitioner</w:t>
      </w:r>
      <w:r w:rsidR="00DF6400">
        <w:t>;</w:t>
      </w:r>
      <w:proofErr w:type="gramEnd"/>
    </w:p>
    <w:p w14:paraId="747CA5ED" w14:textId="62D7CFFB" w:rsidR="0000567A" w:rsidRPr="00340471" w:rsidRDefault="0000567A" w:rsidP="00700529">
      <w:pPr>
        <w:pStyle w:val="DHHSbody"/>
        <w:numPr>
          <w:ilvl w:val="1"/>
          <w:numId w:val="24"/>
        </w:numPr>
        <w:spacing w:after="40" w:line="240" w:lineRule="auto"/>
      </w:pPr>
      <w:r w:rsidRPr="00340471">
        <w:t>‘Nurse Immuniser’</w:t>
      </w:r>
      <w:r w:rsidR="00376209">
        <w:rPr>
          <w:rStyle w:val="FootnoteReference"/>
        </w:rPr>
        <w:footnoteReference w:id="10"/>
      </w:r>
      <w:r w:rsidRPr="00340471">
        <w:t xml:space="preserve"> who is compliant with Regulation </w:t>
      </w:r>
      <w:r>
        <w:t>8(1)</w:t>
      </w:r>
      <w:r w:rsidRPr="00340471">
        <w:t xml:space="preserve"> of the </w:t>
      </w:r>
      <w:r w:rsidRPr="00B83C08">
        <w:rPr>
          <w:i/>
        </w:rPr>
        <w:t>Drugs, Poisons and Controlled Substances Regulations 2017</w:t>
      </w:r>
      <w:r w:rsidR="00550D7D">
        <w:rPr>
          <w:iCs/>
        </w:rPr>
        <w:t>; or</w:t>
      </w:r>
    </w:p>
    <w:p w14:paraId="6CF674FF" w14:textId="0C52BBB6" w:rsidR="0000567A" w:rsidRPr="00B066CE" w:rsidRDefault="0000567A" w:rsidP="00700529">
      <w:pPr>
        <w:pStyle w:val="DHHSbody"/>
        <w:numPr>
          <w:ilvl w:val="1"/>
          <w:numId w:val="24"/>
        </w:numPr>
        <w:spacing w:after="40" w:line="240" w:lineRule="auto"/>
      </w:pPr>
      <w:r>
        <w:t>p</w:t>
      </w:r>
      <w:r w:rsidRPr="00630A8E">
        <w:t xml:space="preserve">harmacist </w:t>
      </w:r>
      <w:r>
        <w:t>who</w:t>
      </w:r>
      <w:r w:rsidRPr="00630A8E">
        <w:t xml:space="preserve"> is compliant with Regulation </w:t>
      </w:r>
      <w:r>
        <w:t>99(c)</w:t>
      </w:r>
      <w:r w:rsidRPr="00630A8E">
        <w:t xml:space="preserve"> of the </w:t>
      </w:r>
      <w:r w:rsidRPr="00B066CE">
        <w:t>Drugs, Poisons and Controlled Substances Regulations 2017</w:t>
      </w:r>
      <w:r w:rsidRPr="00630A8E">
        <w:t>.</w:t>
      </w:r>
    </w:p>
    <w:p w14:paraId="45F35D3D" w14:textId="77777777" w:rsidR="0000567A" w:rsidRPr="00346FCD" w:rsidRDefault="0000567A" w:rsidP="006C3651">
      <w:pPr>
        <w:pStyle w:val="DHHSbody"/>
      </w:pPr>
      <w:r w:rsidRPr="00346FCD">
        <w:lastRenderedPageBreak/>
        <w:t>Pharmacists who act as Pharmacist Immuniser mentors or supervisors in the delivery and assessment of a recognised ‘Immuniser program of study’ require a minimum of two years’ recent experience in the administration of vaccines.</w:t>
      </w:r>
    </w:p>
    <w:p w14:paraId="244CB7B7" w14:textId="77777777" w:rsidR="0000567A" w:rsidRDefault="0000567A" w:rsidP="006C3651">
      <w:pPr>
        <w:pStyle w:val="DHHSbody"/>
        <w:rPr>
          <w:rFonts w:ascii="Helv" w:hAnsi="Helv" w:cs="Helv"/>
          <w:color w:val="000000"/>
          <w:lang w:eastAsia="en-AU"/>
        </w:rPr>
      </w:pPr>
      <w:r w:rsidRPr="00346FCD">
        <w:rPr>
          <w:rFonts w:ascii="Helv" w:hAnsi="Helv" w:cs="Helv"/>
          <w:color w:val="000000"/>
          <w:lang w:eastAsia="en-AU"/>
        </w:rPr>
        <w:t>Pharmacy students and interns are not precluded from enrolling and completing a theoretical component of immunisation training. However, they are unable to participate in a clinical practice component that includes training to administer vaccines, or administration of vaccines. Pharmacists are unable to successfully complete an ‘Immuniser program of study’ until they hold general registration with the Pharmacy Board of Australia.</w:t>
      </w:r>
    </w:p>
    <w:p w14:paraId="2E30B70E" w14:textId="77777777" w:rsidR="0000567A" w:rsidRDefault="0000567A" w:rsidP="006C3651">
      <w:pPr>
        <w:pStyle w:val="DHHSbody"/>
        <w:rPr>
          <w:rFonts w:ascii="Helv" w:hAnsi="Helv" w:cs="Helv"/>
          <w:color w:val="000000"/>
          <w:lang w:eastAsia="en-AU"/>
        </w:rPr>
      </w:pPr>
      <w:r>
        <w:rPr>
          <w:rFonts w:ascii="Helv" w:hAnsi="Helv" w:cs="Helv"/>
          <w:color w:val="000000"/>
          <w:lang w:eastAsia="en-AU"/>
        </w:rPr>
        <w:t xml:space="preserve">Pharmacists may undertake a program of study that meets the requirements of the </w:t>
      </w:r>
      <w:r>
        <w:rPr>
          <w:rFonts w:ascii="Helv" w:hAnsi="Helv" w:cs="Helv"/>
          <w:i/>
          <w:iCs/>
          <w:color w:val="000000"/>
          <w:lang w:eastAsia="en-AU"/>
        </w:rPr>
        <w:t>National Immunisation Education Framework for Health Professionals</w:t>
      </w:r>
      <w:r>
        <w:rPr>
          <w:rStyle w:val="FootnoteReference"/>
          <w:rFonts w:ascii="Helv" w:hAnsi="Helv" w:cs="Helv"/>
          <w:i/>
          <w:iCs/>
          <w:color w:val="000000"/>
          <w:lang w:eastAsia="en-AU"/>
        </w:rPr>
        <w:footnoteReference w:id="11"/>
      </w:r>
      <w:r>
        <w:rPr>
          <w:rFonts w:ascii="Helv" w:hAnsi="Helv" w:cs="Helv"/>
          <w:color w:val="000000"/>
          <w:lang w:eastAsia="en-AU"/>
        </w:rPr>
        <w:t xml:space="preserve">. In Victoria, where pharmacists, students or interns have completed a </w:t>
      </w:r>
      <w:r>
        <w:rPr>
          <w:rFonts w:ascii="Helv" w:hAnsi="Helv" w:cs="Helv"/>
          <w:i/>
          <w:iCs/>
          <w:color w:val="000000"/>
          <w:lang w:eastAsia="en-AU"/>
        </w:rPr>
        <w:t>Framework</w:t>
      </w:r>
      <w:r>
        <w:rPr>
          <w:rFonts w:ascii="Helv" w:hAnsi="Helv" w:cs="Helv"/>
          <w:color w:val="000000"/>
          <w:lang w:eastAsia="en-AU"/>
        </w:rPr>
        <w:t xml:space="preserve"> program (for example, in another state or territory), they are not permitted to administer vaccines until they meet all the requirements of the Approval. </w:t>
      </w:r>
    </w:p>
    <w:p w14:paraId="6B16DF2A" w14:textId="120CFF45" w:rsidR="0000567A" w:rsidRDefault="0000567A" w:rsidP="006C3651">
      <w:pPr>
        <w:pStyle w:val="DHHSbody"/>
        <w:rPr>
          <w:rFonts w:ascii="Helv" w:hAnsi="Helv" w:cs="Helv"/>
          <w:color w:val="000000"/>
          <w:lang w:eastAsia="en-AU"/>
        </w:rPr>
      </w:pPr>
      <w:r>
        <w:rPr>
          <w:rFonts w:ascii="Helv" w:hAnsi="Helv" w:cs="Helv"/>
          <w:color w:val="000000"/>
          <w:lang w:eastAsia="en-AU"/>
        </w:rPr>
        <w:t xml:space="preserve">Pharmacist </w:t>
      </w:r>
      <w:r w:rsidR="00424480">
        <w:rPr>
          <w:rFonts w:ascii="Helv" w:hAnsi="Helv" w:cs="Helv"/>
          <w:color w:val="000000"/>
          <w:lang w:eastAsia="en-AU"/>
        </w:rPr>
        <w:t>I</w:t>
      </w:r>
      <w:r>
        <w:rPr>
          <w:rFonts w:ascii="Helv" w:hAnsi="Helv" w:cs="Helv"/>
          <w:color w:val="000000"/>
          <w:lang w:eastAsia="en-AU"/>
        </w:rPr>
        <w:t xml:space="preserve">mmunisers should access </w:t>
      </w:r>
      <w:r w:rsidRPr="006D246B">
        <w:rPr>
          <w:rFonts w:cs="Arial"/>
          <w:color w:val="000000"/>
          <w:lang w:eastAsia="en-AU"/>
        </w:rPr>
        <w:t xml:space="preserve">immunisation education opportunities to support </w:t>
      </w:r>
      <w:r w:rsidRPr="006D246B">
        <w:rPr>
          <w:rFonts w:cs="Arial"/>
        </w:rPr>
        <w:t>best practice and continuing professional development. This may include accessing regular updates to practice, research and publications on immunisation and vaccinations such as the National Centre for Immunisation Research and Surveillance’s Australian Immunisation Professionals weekly update, available at &lt;</w:t>
      </w:r>
      <w:hyperlink r:id="rId30" w:history="1">
        <w:r w:rsidR="00472F18" w:rsidRPr="006D246B">
          <w:rPr>
            <w:rStyle w:val="Hyperlink"/>
            <w:rFonts w:cs="Arial"/>
          </w:rPr>
          <w:t>https://ncirs.org.au/health-professionals/ncirs-newsletters</w:t>
        </w:r>
      </w:hyperlink>
      <w:r w:rsidRPr="006D246B">
        <w:rPr>
          <w:rFonts w:cs="Arial"/>
          <w:color w:val="000000"/>
          <w:lang w:eastAsia="en-AU"/>
        </w:rPr>
        <w:t>&gt;.</w:t>
      </w:r>
      <w:r w:rsidRPr="006D246B">
        <w:rPr>
          <w:rFonts w:cs="Arial"/>
          <w:color w:val="000000"/>
          <w:lang w:eastAsia="en-AU"/>
        </w:rPr>
        <w:br w:type="page"/>
      </w:r>
    </w:p>
    <w:p w14:paraId="677C379B" w14:textId="77777777" w:rsidR="0000567A" w:rsidRPr="00446E33" w:rsidRDefault="0000567A" w:rsidP="00700529">
      <w:pPr>
        <w:pStyle w:val="Heading1"/>
        <w:numPr>
          <w:ilvl w:val="0"/>
          <w:numId w:val="28"/>
        </w:numPr>
        <w:rPr>
          <w:sz w:val="40"/>
          <w:szCs w:val="40"/>
        </w:rPr>
      </w:pPr>
      <w:bookmarkStart w:id="21" w:name="_Toc115426476"/>
      <w:r w:rsidRPr="00446E33">
        <w:rPr>
          <w:sz w:val="40"/>
          <w:szCs w:val="40"/>
        </w:rPr>
        <w:lastRenderedPageBreak/>
        <w:t>Code of conduct and professional practice standards</w:t>
      </w:r>
      <w:bookmarkEnd w:id="21"/>
    </w:p>
    <w:p w14:paraId="236E1E23" w14:textId="15DD309C" w:rsidR="0000567A" w:rsidRPr="00A32B4F" w:rsidRDefault="0000567A" w:rsidP="0000567A">
      <w:pPr>
        <w:shd w:val="clear" w:color="auto" w:fill="FFFFFF"/>
        <w:spacing w:after="120" w:line="270" w:lineRule="atLeast"/>
        <w:rPr>
          <w:rFonts w:ascii="Arial" w:hAnsi="Arial" w:cs="Arial"/>
        </w:rPr>
      </w:pPr>
      <w:r w:rsidRPr="00A32B4F">
        <w:rPr>
          <w:rFonts w:ascii="Arial" w:hAnsi="Arial" w:cs="Arial"/>
        </w:rPr>
        <w:t xml:space="preserve">Pharmacist Immunisers are expected to comply with </w:t>
      </w:r>
      <w:r>
        <w:rPr>
          <w:rFonts w:ascii="Arial" w:hAnsi="Arial" w:cs="Arial"/>
        </w:rPr>
        <w:t xml:space="preserve">all elements </w:t>
      </w:r>
      <w:r w:rsidRPr="00A32B4F">
        <w:rPr>
          <w:rFonts w:ascii="Arial" w:hAnsi="Arial" w:cs="Arial"/>
        </w:rPr>
        <w:t xml:space="preserve">of the Pharmacy Board of Australia’s </w:t>
      </w:r>
      <w:r w:rsidRPr="00A32B4F">
        <w:rPr>
          <w:rFonts w:ascii="Arial" w:hAnsi="Arial" w:cs="Arial"/>
          <w:i/>
        </w:rPr>
        <w:t>Code of conduct</w:t>
      </w:r>
      <w:r w:rsidR="00D96EFA">
        <w:rPr>
          <w:rStyle w:val="FootnoteReference"/>
          <w:rFonts w:ascii="Arial" w:hAnsi="Arial" w:cs="Arial"/>
          <w:i/>
        </w:rPr>
        <w:footnoteReference w:id="12"/>
      </w:r>
      <w:r w:rsidRPr="00A32B4F">
        <w:rPr>
          <w:rFonts w:ascii="Arial" w:hAnsi="Arial" w:cs="Arial"/>
          <w:i/>
        </w:rPr>
        <w:t>,</w:t>
      </w:r>
      <w:r w:rsidRPr="00A32B4F">
        <w:rPr>
          <w:rFonts w:ascii="Arial" w:hAnsi="Arial" w:cs="Arial"/>
        </w:rPr>
        <w:t xml:space="preserve"> including</w:t>
      </w:r>
      <w:r>
        <w:rPr>
          <w:rFonts w:ascii="Arial" w:hAnsi="Arial" w:cs="Arial"/>
        </w:rPr>
        <w:t xml:space="preserve"> (but not limited to)</w:t>
      </w:r>
      <w:r w:rsidRPr="00A32B4F">
        <w:rPr>
          <w:rFonts w:ascii="Arial" w:hAnsi="Arial" w:cs="Arial"/>
        </w:rPr>
        <w:t>:</w:t>
      </w:r>
    </w:p>
    <w:p w14:paraId="5286DC9C" w14:textId="77777777" w:rsidR="0000567A" w:rsidRPr="006C3DB5" w:rsidRDefault="0000567A" w:rsidP="00700529">
      <w:pPr>
        <w:pStyle w:val="DHHSbullet1"/>
        <w:numPr>
          <w:ilvl w:val="0"/>
          <w:numId w:val="9"/>
        </w:numPr>
        <w:spacing w:line="240" w:lineRule="auto"/>
        <w:ind w:left="993" w:hanging="567"/>
      </w:pPr>
      <w:r>
        <w:t xml:space="preserve">arranging investigations and liaising with other treating </w:t>
      </w:r>
      <w:proofErr w:type="gramStart"/>
      <w:r>
        <w:t>practitioners;</w:t>
      </w:r>
      <w:proofErr w:type="gramEnd"/>
    </w:p>
    <w:p w14:paraId="1ACA39D8" w14:textId="77777777" w:rsidR="0000567A" w:rsidRPr="002056E7" w:rsidRDefault="0000567A" w:rsidP="00700529">
      <w:pPr>
        <w:pStyle w:val="DHHSbullet1"/>
        <w:numPr>
          <w:ilvl w:val="0"/>
          <w:numId w:val="9"/>
        </w:numPr>
        <w:spacing w:line="240" w:lineRule="auto"/>
        <w:ind w:left="993" w:hanging="567"/>
      </w:pPr>
      <w:r>
        <w:t xml:space="preserve">facilitating coordination and continuity of </w:t>
      </w:r>
      <w:proofErr w:type="gramStart"/>
      <w:r>
        <w:t>care;</w:t>
      </w:r>
      <w:proofErr w:type="gramEnd"/>
    </w:p>
    <w:p w14:paraId="5B19DFE5" w14:textId="77777777" w:rsidR="0000567A" w:rsidRPr="00905015" w:rsidRDefault="0000567A" w:rsidP="00700529">
      <w:pPr>
        <w:pStyle w:val="DHHSbullet1"/>
        <w:numPr>
          <w:ilvl w:val="0"/>
          <w:numId w:val="9"/>
        </w:numPr>
        <w:spacing w:line="240" w:lineRule="auto"/>
        <w:ind w:left="993" w:hanging="567"/>
      </w:pPr>
      <w:r>
        <w:t xml:space="preserve">recognising and working within the limits of a practitioner’s competence and scope of </w:t>
      </w:r>
      <w:proofErr w:type="gramStart"/>
      <w:r>
        <w:t>practice;</w:t>
      </w:r>
      <w:proofErr w:type="gramEnd"/>
    </w:p>
    <w:p w14:paraId="0AAF3886" w14:textId="77777777" w:rsidR="0000567A" w:rsidRPr="00905015" w:rsidRDefault="0000567A" w:rsidP="00700529">
      <w:pPr>
        <w:pStyle w:val="DHHSbullet1"/>
        <w:numPr>
          <w:ilvl w:val="0"/>
          <w:numId w:val="9"/>
        </w:numPr>
        <w:spacing w:line="240" w:lineRule="auto"/>
        <w:ind w:left="993" w:hanging="567"/>
      </w:pPr>
      <w:r>
        <w:t xml:space="preserve">providing treatment options based on the best available information and not influenced by financial gain or </w:t>
      </w:r>
      <w:proofErr w:type="gramStart"/>
      <w:r>
        <w:t>incentives;</w:t>
      </w:r>
      <w:proofErr w:type="gramEnd"/>
    </w:p>
    <w:p w14:paraId="7F182878" w14:textId="77777777" w:rsidR="0000567A" w:rsidRPr="00905015" w:rsidRDefault="0000567A" w:rsidP="00700529">
      <w:pPr>
        <w:pStyle w:val="DHHSbullet1"/>
        <w:numPr>
          <w:ilvl w:val="0"/>
          <w:numId w:val="9"/>
        </w:numPr>
        <w:spacing w:line="240" w:lineRule="auto"/>
        <w:ind w:left="993" w:hanging="567"/>
      </w:pPr>
      <w:r>
        <w:t>participating in efforts to promote the health of the community, and being aware of obligations in disease prevention, including screening and reporting notifiable diseases where relevant; and</w:t>
      </w:r>
    </w:p>
    <w:p w14:paraId="5CD581D9" w14:textId="77777777" w:rsidR="0000567A" w:rsidRPr="00905015" w:rsidRDefault="0000567A" w:rsidP="00700529">
      <w:pPr>
        <w:pStyle w:val="DHHSbullet1"/>
        <w:numPr>
          <w:ilvl w:val="0"/>
          <w:numId w:val="9"/>
        </w:numPr>
        <w:spacing w:line="240" w:lineRule="auto"/>
        <w:ind w:left="993" w:hanging="567"/>
      </w:pPr>
      <w:r>
        <w:t>keeping knowledge and skills up to date to ensure that practitioners continue to work within their competence and scope of practice.</w:t>
      </w:r>
    </w:p>
    <w:p w14:paraId="05E33E39" w14:textId="77777777" w:rsidR="0000567A" w:rsidRPr="00A32B4F" w:rsidRDefault="0000567A" w:rsidP="0000567A">
      <w:pPr>
        <w:pStyle w:val="DHHSbody"/>
        <w:spacing w:before="120"/>
        <w:rPr>
          <w:rFonts w:cs="Arial"/>
        </w:rPr>
      </w:pPr>
      <w:r w:rsidRPr="00B4611F">
        <w:rPr>
          <w:rFonts w:cs="Arial"/>
        </w:rPr>
        <w:t>Pharmacist</w:t>
      </w:r>
      <w:r>
        <w:rPr>
          <w:rFonts w:cs="Arial"/>
        </w:rPr>
        <w:t xml:space="preserve"> Immunisers</w:t>
      </w:r>
      <w:r w:rsidRPr="00B4611F">
        <w:rPr>
          <w:rFonts w:cs="Arial"/>
        </w:rPr>
        <w:t xml:space="preserve"> </w:t>
      </w:r>
      <w:r>
        <w:rPr>
          <w:rFonts w:cs="Arial"/>
        </w:rPr>
        <w:t>are</w:t>
      </w:r>
      <w:r w:rsidRPr="00B4611F">
        <w:rPr>
          <w:rFonts w:cs="Arial"/>
        </w:rPr>
        <w:t xml:space="preserve"> expected to maintain current knowledge of vaccines and immunisation </w:t>
      </w:r>
      <w:r w:rsidRPr="00A32B4F">
        <w:rPr>
          <w:rFonts w:cs="Arial"/>
        </w:rPr>
        <w:t xml:space="preserve">policies and be able to provide information about vaccines and immunisation services to </w:t>
      </w:r>
      <w:r>
        <w:rPr>
          <w:rFonts w:cs="Arial"/>
        </w:rPr>
        <w:t>individual</w:t>
      </w:r>
      <w:r w:rsidRPr="00A32B4F">
        <w:rPr>
          <w:rFonts w:cs="Arial"/>
        </w:rPr>
        <w:t>s</w:t>
      </w:r>
      <w:r>
        <w:rPr>
          <w:rFonts w:cs="Arial"/>
        </w:rPr>
        <w:t>,</w:t>
      </w:r>
      <w:r w:rsidRPr="00A32B4F">
        <w:rPr>
          <w:rFonts w:cs="Arial"/>
        </w:rPr>
        <w:t xml:space="preserve"> within the limits of their professional knowledge and experience. </w:t>
      </w:r>
    </w:p>
    <w:p w14:paraId="79D6C2C2" w14:textId="77777777" w:rsidR="0000567A" w:rsidRDefault="0000567A" w:rsidP="0000567A">
      <w:pPr>
        <w:pStyle w:val="DHHSbody"/>
        <w:rPr>
          <w:rFonts w:cs="Arial"/>
        </w:rPr>
      </w:pPr>
      <w:r>
        <w:rPr>
          <w:rFonts w:cs="Arial"/>
        </w:rPr>
        <w:t>Where information gathered during the pre-vaccination assessment identifies health concerns or the need for management or intervention (</w:t>
      </w:r>
      <w:proofErr w:type="gramStart"/>
      <w:r>
        <w:rPr>
          <w:rFonts w:cs="Arial"/>
        </w:rPr>
        <w:t>whether or not</w:t>
      </w:r>
      <w:proofErr w:type="gramEnd"/>
      <w:r>
        <w:rPr>
          <w:rFonts w:cs="Arial"/>
        </w:rPr>
        <w:t xml:space="preserve"> they are relevant to the vaccination), pharmacists should refer the individual back to their medical practitioner for further treatment or advice. </w:t>
      </w:r>
    </w:p>
    <w:p w14:paraId="3EFA7334" w14:textId="77777777" w:rsidR="0000567A" w:rsidRDefault="0000567A" w:rsidP="0000567A">
      <w:pPr>
        <w:pStyle w:val="DHHSbody"/>
        <w:rPr>
          <w:rFonts w:cs="Arial"/>
        </w:rPr>
      </w:pPr>
      <w:r>
        <w:rPr>
          <w:rFonts w:cs="Arial"/>
        </w:rPr>
        <w:t>P</w:t>
      </w:r>
      <w:r w:rsidRPr="00B4611F">
        <w:rPr>
          <w:rFonts w:cs="Arial"/>
        </w:rPr>
        <w:t xml:space="preserve">harmacists </w:t>
      </w:r>
      <w:r>
        <w:rPr>
          <w:rFonts w:cs="Arial"/>
        </w:rPr>
        <w:t>who</w:t>
      </w:r>
      <w:r w:rsidRPr="00B4611F">
        <w:rPr>
          <w:rFonts w:cs="Arial"/>
        </w:rPr>
        <w:t xml:space="preserve"> are administering vaccines should participate in public health promotion by educating </w:t>
      </w:r>
      <w:r>
        <w:rPr>
          <w:rFonts w:cs="Arial"/>
        </w:rPr>
        <w:t>individuals</w:t>
      </w:r>
      <w:r w:rsidRPr="00B4611F">
        <w:rPr>
          <w:rFonts w:cs="Arial"/>
        </w:rPr>
        <w:t xml:space="preserve"> about immunisation recommendations</w:t>
      </w:r>
      <w:r>
        <w:rPr>
          <w:rFonts w:cs="Arial"/>
        </w:rPr>
        <w:t>,</w:t>
      </w:r>
      <w:r w:rsidRPr="00B4611F">
        <w:rPr>
          <w:rFonts w:cs="Arial"/>
        </w:rPr>
        <w:t xml:space="preserve"> and motivat</w:t>
      </w:r>
      <w:r>
        <w:rPr>
          <w:rFonts w:cs="Arial"/>
        </w:rPr>
        <w:t>ing</w:t>
      </w:r>
      <w:r w:rsidRPr="00B4611F">
        <w:rPr>
          <w:rFonts w:cs="Arial"/>
        </w:rPr>
        <w:t xml:space="preserve"> </w:t>
      </w:r>
      <w:r>
        <w:rPr>
          <w:rFonts w:cs="Arial"/>
        </w:rPr>
        <w:t>individual</w:t>
      </w:r>
      <w:r w:rsidRPr="00B4611F">
        <w:rPr>
          <w:rFonts w:cs="Arial"/>
        </w:rPr>
        <w:t xml:space="preserve">s, particularly those </w:t>
      </w:r>
      <w:r>
        <w:rPr>
          <w:rFonts w:cs="Arial"/>
        </w:rPr>
        <w:t xml:space="preserve">who are considered </w:t>
      </w:r>
      <w:r w:rsidRPr="00B4611F">
        <w:rPr>
          <w:rFonts w:cs="Arial"/>
        </w:rPr>
        <w:t>at</w:t>
      </w:r>
      <w:r>
        <w:rPr>
          <w:rFonts w:cs="Arial"/>
        </w:rPr>
        <w:t xml:space="preserve"> </w:t>
      </w:r>
      <w:r w:rsidRPr="00B4611F">
        <w:rPr>
          <w:rFonts w:cs="Arial"/>
        </w:rPr>
        <w:t xml:space="preserve">risk, to be </w:t>
      </w:r>
      <w:r>
        <w:rPr>
          <w:rFonts w:cs="Arial"/>
        </w:rPr>
        <w:t>vaccinated</w:t>
      </w:r>
      <w:r w:rsidRPr="00B4611F">
        <w:rPr>
          <w:rFonts w:cs="Arial"/>
        </w:rPr>
        <w:t>.</w:t>
      </w:r>
      <w:r w:rsidRPr="00564A8D">
        <w:rPr>
          <w:rFonts w:cs="Arial"/>
        </w:rPr>
        <w:t xml:space="preserve"> </w:t>
      </w:r>
      <w:r>
        <w:rPr>
          <w:rFonts w:cs="Arial"/>
        </w:rPr>
        <w:t xml:space="preserve">The pharmacist’s duty of care also extends to discussion of ongoing vaccinations and encouraging individuals to discuss their needs with a health practitioner of the individual’s choice, </w:t>
      </w:r>
      <w:proofErr w:type="gramStart"/>
      <w:r>
        <w:rPr>
          <w:rFonts w:cs="Arial"/>
        </w:rPr>
        <w:t>e.g.</w:t>
      </w:r>
      <w:proofErr w:type="gramEnd"/>
      <w:r>
        <w:rPr>
          <w:rFonts w:cs="Arial"/>
        </w:rPr>
        <w:t xml:space="preserve"> general practitioner.</w:t>
      </w:r>
    </w:p>
    <w:p w14:paraId="29226CEE" w14:textId="013FE34A" w:rsidR="0000567A" w:rsidRDefault="0000567A" w:rsidP="0000567A">
      <w:pPr>
        <w:pStyle w:val="DHHSbody"/>
        <w:rPr>
          <w:rFonts w:cs="Arial"/>
        </w:rPr>
      </w:pPr>
      <w:r>
        <w:rPr>
          <w:rFonts w:cs="Arial"/>
        </w:rPr>
        <w:t xml:space="preserve">Any concerns with a registered health professional should be reported to </w:t>
      </w:r>
      <w:proofErr w:type="spellStart"/>
      <w:r>
        <w:rPr>
          <w:rFonts w:cs="Arial"/>
        </w:rPr>
        <w:t>Ahpra</w:t>
      </w:r>
      <w:proofErr w:type="spellEnd"/>
      <w:r>
        <w:rPr>
          <w:rFonts w:cs="Arial"/>
        </w:rPr>
        <w:t xml:space="preserve"> by phoning 1300 419 495 or visiting their website at </w:t>
      </w:r>
      <w:r w:rsidR="0075193B">
        <w:rPr>
          <w:rFonts w:cs="Arial"/>
        </w:rPr>
        <w:t>&lt;</w:t>
      </w:r>
      <w:hyperlink r:id="rId31" w:history="1">
        <w:r w:rsidR="0075193B" w:rsidRPr="007D3199">
          <w:rPr>
            <w:rStyle w:val="Hyperlink"/>
            <w:rFonts w:cs="Arial"/>
          </w:rPr>
          <w:t>http://www.ahpra.gov.au/</w:t>
        </w:r>
      </w:hyperlink>
      <w:r w:rsidR="0075193B">
        <w:rPr>
          <w:rFonts w:cs="Arial"/>
        </w:rPr>
        <w:t>&gt;,</w:t>
      </w:r>
      <w:r>
        <w:rPr>
          <w:rFonts w:cs="Arial"/>
        </w:rPr>
        <w:t xml:space="preserve"> so concerns can be investigated. </w:t>
      </w:r>
      <w:r w:rsidRPr="007451A8">
        <w:rPr>
          <w:rFonts w:cs="Arial"/>
        </w:rPr>
        <w:t xml:space="preserve"> </w:t>
      </w:r>
      <w:r>
        <w:rPr>
          <w:rFonts w:cs="Arial"/>
        </w:rPr>
        <w:t xml:space="preserve">See section </w:t>
      </w:r>
      <w:hyperlink w:anchor="_Complaints" w:history="1">
        <w:r w:rsidR="008A4984" w:rsidRPr="006948D6">
          <w:rPr>
            <w:rStyle w:val="Hyperlink"/>
            <w:rFonts w:cs="Arial"/>
          </w:rPr>
          <w:t>12.10</w:t>
        </w:r>
      </w:hyperlink>
      <w:r>
        <w:rPr>
          <w:rFonts w:cs="Arial"/>
        </w:rPr>
        <w:t xml:space="preserve"> of these Guidelines for further information.</w:t>
      </w:r>
    </w:p>
    <w:p w14:paraId="28B9B48A" w14:textId="0AFF3022" w:rsidR="0000567A" w:rsidRDefault="0000567A" w:rsidP="0000567A">
      <w:pPr>
        <w:pStyle w:val="DHHSbody"/>
        <w:rPr>
          <w:rFonts w:cs="Arial"/>
        </w:rPr>
      </w:pPr>
      <w:r>
        <w:rPr>
          <w:rFonts w:cs="Arial"/>
        </w:rPr>
        <w:t xml:space="preserve">Service Providers (as defined in section </w:t>
      </w:r>
      <w:hyperlink w:anchor="_Pharmacist_Immunisers_and" w:history="1">
        <w:r w:rsidRPr="00FF3A78">
          <w:rPr>
            <w:rStyle w:val="Hyperlink"/>
          </w:rPr>
          <w:t>4</w:t>
        </w:r>
      </w:hyperlink>
      <w:r>
        <w:rPr>
          <w:rFonts w:cs="Arial"/>
        </w:rPr>
        <w:t xml:space="preserve"> of these Guidelines) and Pharmacist Immunisers are expected to comply with and achieve the Pharmaceutical Society of Australia </w:t>
      </w:r>
      <w:r w:rsidRPr="00E2481D">
        <w:rPr>
          <w:rFonts w:cs="Arial"/>
          <w:i/>
        </w:rPr>
        <w:t>Professional Practice Standards</w:t>
      </w:r>
      <w:r>
        <w:rPr>
          <w:rStyle w:val="FootnoteReference"/>
          <w:rFonts w:cs="Arial"/>
        </w:rPr>
        <w:footnoteReference w:id="13"/>
      </w:r>
      <w:proofErr w:type="gramStart"/>
      <w:r>
        <w:rPr>
          <w:rFonts w:cs="Arial"/>
        </w:rPr>
        <w:t>, in particular</w:t>
      </w:r>
      <w:r w:rsidR="003F7BAC">
        <w:rPr>
          <w:rFonts w:cs="Arial"/>
        </w:rPr>
        <w:t>,</w:t>
      </w:r>
      <w:r>
        <w:rPr>
          <w:rFonts w:cs="Arial"/>
        </w:rPr>
        <w:t xml:space="preserve"> Standard</w:t>
      </w:r>
      <w:proofErr w:type="gramEnd"/>
      <w:r>
        <w:rPr>
          <w:rFonts w:cs="Arial"/>
        </w:rPr>
        <w:t xml:space="preserve"> 11: Vaccination service. These standards describe the values of the pharmacy profession and the expected professional behaviour of pharmacists towards individuals, the community and society.</w:t>
      </w:r>
    </w:p>
    <w:p w14:paraId="774FCFF2" w14:textId="1C92334C" w:rsidR="0000567A" w:rsidRDefault="0000567A" w:rsidP="0000567A">
      <w:pPr>
        <w:pStyle w:val="DHHSbody"/>
        <w:rPr>
          <w:rFonts w:cs="Arial"/>
        </w:rPr>
      </w:pPr>
      <w:r>
        <w:rPr>
          <w:rFonts w:cs="Arial"/>
        </w:rPr>
        <w:t xml:space="preserve">A self-assessment tool accompanies the </w:t>
      </w:r>
      <w:r w:rsidRPr="00E2481D">
        <w:rPr>
          <w:rFonts w:cs="Arial"/>
          <w:i/>
        </w:rPr>
        <w:t>Professional Practice Standards</w:t>
      </w:r>
      <w:r>
        <w:rPr>
          <w:rFonts w:cs="Arial"/>
        </w:rPr>
        <w:t xml:space="preserve"> and is available from the Pharmaceutical Society of Australia’s website at </w:t>
      </w:r>
      <w:r w:rsidR="0075193B">
        <w:rPr>
          <w:rFonts w:cs="Arial"/>
        </w:rPr>
        <w:t>&lt;</w:t>
      </w:r>
      <w:hyperlink r:id="rId32" w:history="1">
        <w:r w:rsidR="00FF73A1" w:rsidRPr="0075193B">
          <w:rPr>
            <w:rStyle w:val="Hyperlink"/>
          </w:rPr>
          <w:t>https://my.psa.org.au/s/article/Professional-Practice-Standards</w:t>
        </w:r>
      </w:hyperlink>
      <w:r w:rsidR="0075193B">
        <w:t>&gt;</w:t>
      </w:r>
      <w:r w:rsidR="001342B5">
        <w:t>.</w:t>
      </w:r>
      <w:r>
        <w:rPr>
          <w:rFonts w:cs="Arial"/>
        </w:rPr>
        <w:t xml:space="preserve"> </w:t>
      </w:r>
    </w:p>
    <w:p w14:paraId="4BE9717F" w14:textId="77777777" w:rsidR="0000567A" w:rsidRDefault="0000567A" w:rsidP="0000567A">
      <w:pPr>
        <w:rPr>
          <w:rFonts w:ascii="Arial" w:eastAsia="Times" w:hAnsi="Arial" w:cs="Arial"/>
        </w:rPr>
      </w:pPr>
      <w:r>
        <w:rPr>
          <w:rFonts w:cs="Arial"/>
        </w:rPr>
        <w:br w:type="page"/>
      </w:r>
    </w:p>
    <w:p w14:paraId="55B3F545" w14:textId="77777777" w:rsidR="0000567A" w:rsidRPr="00F026F2" w:rsidRDefault="0000567A" w:rsidP="00700529">
      <w:pPr>
        <w:pStyle w:val="Heading1"/>
        <w:numPr>
          <w:ilvl w:val="0"/>
          <w:numId w:val="28"/>
        </w:numPr>
        <w:rPr>
          <w:sz w:val="40"/>
          <w:szCs w:val="40"/>
        </w:rPr>
      </w:pPr>
      <w:bookmarkStart w:id="22" w:name="_Toc115426477"/>
      <w:r w:rsidRPr="00F026F2">
        <w:rPr>
          <w:sz w:val="40"/>
          <w:szCs w:val="40"/>
        </w:rPr>
        <w:lastRenderedPageBreak/>
        <w:t>Vaccines</w:t>
      </w:r>
      <w:bookmarkEnd w:id="22"/>
      <w:r w:rsidRPr="00F026F2">
        <w:rPr>
          <w:sz w:val="40"/>
          <w:szCs w:val="40"/>
        </w:rPr>
        <w:t xml:space="preserve"> </w:t>
      </w:r>
    </w:p>
    <w:p w14:paraId="73D533A0" w14:textId="7A44DA3F" w:rsidR="0000567A" w:rsidRDefault="0000567A" w:rsidP="0000567A">
      <w:pPr>
        <w:pStyle w:val="DHHSbody"/>
      </w:pPr>
      <w:r>
        <w:t xml:space="preserve">The Approval authorises pharmacists to administer selected vaccines to persons of </w:t>
      </w:r>
      <w:proofErr w:type="gramStart"/>
      <w:r>
        <w:t>particular ages</w:t>
      </w:r>
      <w:proofErr w:type="gramEnd"/>
      <w:r>
        <w:t xml:space="preserve">, with some exclusions. See section </w:t>
      </w:r>
      <w:hyperlink w:anchor="_Target_groups_under" w:history="1">
        <w:r w:rsidRPr="00C26E9A">
          <w:rPr>
            <w:rStyle w:val="Hyperlink"/>
          </w:rPr>
          <w:t>8</w:t>
        </w:r>
      </w:hyperlink>
      <w:r w:rsidRPr="007B6236">
        <w:t>,</w:t>
      </w:r>
      <w:r>
        <w:t xml:space="preserve"> Target groups under the Approval, for the vaccine type and age eligibility.</w:t>
      </w:r>
    </w:p>
    <w:p w14:paraId="552A7FFA" w14:textId="77777777" w:rsidR="0000567A" w:rsidRPr="00630A8E" w:rsidRDefault="0000567A" w:rsidP="0000567A">
      <w:pPr>
        <w:pStyle w:val="DHHSbody"/>
        <w:rPr>
          <w:rFonts w:cs="Arial"/>
        </w:rPr>
      </w:pPr>
      <w:r>
        <w:rPr>
          <w:rFonts w:cs="Arial"/>
        </w:rPr>
        <w:t>In</w:t>
      </w:r>
      <w:r w:rsidRPr="00630A8E">
        <w:rPr>
          <w:rFonts w:cs="Arial"/>
        </w:rPr>
        <w:t xml:space="preserve"> all circumstances, vaccines should be administered in accordance with the conditions of the </w:t>
      </w:r>
      <w:r>
        <w:rPr>
          <w:rFonts w:cs="Arial"/>
        </w:rPr>
        <w:t>Approval, including in relation to exclusions</w:t>
      </w:r>
      <w:r w:rsidRPr="00630A8E">
        <w:rPr>
          <w:rFonts w:cs="Arial"/>
        </w:rPr>
        <w:t xml:space="preserve">. </w:t>
      </w:r>
    </w:p>
    <w:p w14:paraId="5A7C8797" w14:textId="77777777" w:rsidR="0000567A" w:rsidRPr="00630A8E" w:rsidRDefault="0000567A" w:rsidP="0000567A">
      <w:pPr>
        <w:pStyle w:val="DHHSbody"/>
        <w:rPr>
          <w:rFonts w:cs="Arial"/>
        </w:rPr>
      </w:pPr>
      <w:r w:rsidRPr="00630A8E">
        <w:rPr>
          <w:rFonts w:cs="Arial"/>
        </w:rPr>
        <w:t>Pharmacists are also authorised to administer Schedule 3 poisons (1:1000 adrenaline) if a therapeutic need exists following administration of a Schedule 4 poison (</w:t>
      </w:r>
      <w:r>
        <w:rPr>
          <w:rFonts w:cs="Arial"/>
        </w:rPr>
        <w:t>that is,</w:t>
      </w:r>
      <w:r w:rsidRPr="00630A8E">
        <w:rPr>
          <w:rFonts w:cs="Arial"/>
        </w:rPr>
        <w:t xml:space="preserve"> for the treatment of an anaphylactic reaction to a vaccine). </w:t>
      </w:r>
    </w:p>
    <w:p w14:paraId="766A89AA" w14:textId="1D3AE757" w:rsidR="0000567A" w:rsidRPr="00F30A6A" w:rsidRDefault="0000567A" w:rsidP="00700529">
      <w:pPr>
        <w:pStyle w:val="Heading1"/>
        <w:numPr>
          <w:ilvl w:val="0"/>
          <w:numId w:val="28"/>
        </w:numPr>
        <w:spacing w:before="360"/>
        <w:rPr>
          <w:sz w:val="40"/>
          <w:szCs w:val="40"/>
          <w:highlight w:val="yellow"/>
        </w:rPr>
      </w:pPr>
      <w:bookmarkStart w:id="23" w:name="_Target_groups_under"/>
      <w:bookmarkStart w:id="24" w:name="_Toc115426478"/>
      <w:bookmarkEnd w:id="23"/>
      <w:r w:rsidRPr="00F30A6A">
        <w:rPr>
          <w:sz w:val="40"/>
          <w:szCs w:val="40"/>
          <w:highlight w:val="yellow"/>
        </w:rPr>
        <w:t>Target groups under the Approval</w:t>
      </w:r>
      <w:bookmarkEnd w:id="24"/>
    </w:p>
    <w:p w14:paraId="7856BD74" w14:textId="6809D3C8" w:rsidR="00AD65F4" w:rsidRPr="00785EF3" w:rsidRDefault="00AD65F4" w:rsidP="004D4E6D">
      <w:pPr>
        <w:pStyle w:val="DHHSbody"/>
        <w:spacing w:before="120"/>
        <w:rPr>
          <w:rFonts w:cs="Arial"/>
        </w:rPr>
      </w:pPr>
      <w:r>
        <w:rPr>
          <w:rFonts w:cs="Arial"/>
        </w:rPr>
        <w:t>V</w:t>
      </w:r>
      <w:r w:rsidRPr="00785EF3">
        <w:rPr>
          <w:rFonts w:cs="Arial"/>
        </w:rPr>
        <w:t xml:space="preserve">accines should be administered in accordance with the conditions of the </w:t>
      </w:r>
      <w:r>
        <w:rPr>
          <w:rFonts w:cs="Arial"/>
        </w:rPr>
        <w:t>Approval. See the Approval</w:t>
      </w:r>
      <w:r>
        <w:rPr>
          <w:rFonts w:eastAsia="Times New Roman" w:cs="Arial"/>
          <w:color w:val="000000"/>
          <w:lang w:eastAsia="en-AU"/>
        </w:rPr>
        <w:t>, column 2 for further details.</w:t>
      </w:r>
      <w:r w:rsidRPr="009F4CBF">
        <w:rPr>
          <w:rFonts w:eastAsia="Times New Roman" w:cs="Arial"/>
          <w:color w:val="000000"/>
          <w:lang w:eastAsia="en-AU"/>
        </w:rPr>
        <w:t xml:space="preserve"> </w:t>
      </w:r>
      <w:r>
        <w:rPr>
          <w:rFonts w:eastAsia="Times New Roman" w:cs="Arial"/>
          <w:color w:val="000000"/>
          <w:lang w:eastAsia="en-AU"/>
        </w:rPr>
        <w:t>See the Approval, column 3 for the list of</w:t>
      </w:r>
      <w:r w:rsidRPr="009F4CBF">
        <w:rPr>
          <w:rFonts w:eastAsia="Times New Roman" w:cs="Arial"/>
          <w:color w:val="000000"/>
          <w:lang w:eastAsia="en-AU"/>
        </w:rPr>
        <w:t xml:space="preserve"> circumstances in which pharmacists are </w:t>
      </w:r>
      <w:r w:rsidRPr="00D03EBD">
        <w:rPr>
          <w:rFonts w:eastAsia="Times New Roman" w:cs="Arial"/>
          <w:b/>
          <w:color w:val="000000"/>
          <w:lang w:eastAsia="en-AU"/>
        </w:rPr>
        <w:t>not</w:t>
      </w:r>
      <w:r w:rsidRPr="009F4CBF">
        <w:rPr>
          <w:rFonts w:eastAsia="Times New Roman" w:cs="Arial"/>
          <w:color w:val="000000"/>
          <w:lang w:eastAsia="en-AU"/>
        </w:rPr>
        <w:t xml:space="preserve"> authorised to administer a vaccine</w:t>
      </w:r>
      <w:r>
        <w:rPr>
          <w:rFonts w:eastAsia="Times New Roman" w:cs="Arial"/>
          <w:color w:val="000000"/>
          <w:lang w:eastAsia="en-AU"/>
        </w:rPr>
        <w:t xml:space="preserve"> under the Approval</w:t>
      </w:r>
      <w:r w:rsidR="00700529">
        <w:rPr>
          <w:rStyle w:val="FootnoteReference"/>
          <w:rFonts w:eastAsia="Times New Roman" w:cs="Arial"/>
          <w:color w:val="000000"/>
          <w:lang w:eastAsia="en-AU"/>
        </w:rPr>
        <w:footnoteReference w:id="14"/>
      </w:r>
      <w:r w:rsidRPr="009F4CBF">
        <w:rPr>
          <w:rFonts w:eastAsia="Times New Roman" w:cs="Arial"/>
          <w:color w:val="000000"/>
          <w:lang w:eastAsia="en-AU"/>
        </w:rPr>
        <w:t xml:space="preserve">. </w:t>
      </w:r>
      <w:r w:rsidRPr="00785EF3">
        <w:rPr>
          <w:rFonts w:cs="Arial"/>
        </w:rPr>
        <w:t xml:space="preserve"> </w:t>
      </w:r>
    </w:p>
    <w:p w14:paraId="7030287B" w14:textId="283E63B7" w:rsidR="0000567A" w:rsidRPr="00F026F2" w:rsidRDefault="0000567A" w:rsidP="00700529">
      <w:pPr>
        <w:pStyle w:val="Heading2"/>
        <w:numPr>
          <w:ilvl w:val="1"/>
          <w:numId w:val="29"/>
        </w:numPr>
        <w:rPr>
          <w:sz w:val="28"/>
        </w:rPr>
      </w:pPr>
      <w:bookmarkStart w:id="25" w:name="_Toc448737147"/>
      <w:bookmarkStart w:id="26" w:name="_Toc115426479"/>
      <w:bookmarkStart w:id="27" w:name="_Hlk103868206"/>
      <w:r w:rsidRPr="00F026F2">
        <w:rPr>
          <w:sz w:val="28"/>
        </w:rPr>
        <w:t>Influenza vaccine</w:t>
      </w:r>
      <w:bookmarkEnd w:id="25"/>
      <w:bookmarkEnd w:id="26"/>
    </w:p>
    <w:p w14:paraId="028DDBEA" w14:textId="5CEB6716" w:rsidR="0000567A" w:rsidRPr="009E78EA" w:rsidRDefault="0000567A" w:rsidP="0000567A">
      <w:pPr>
        <w:pStyle w:val="DHHSbody"/>
        <w:rPr>
          <w:rFonts w:cs="Arial"/>
        </w:rPr>
      </w:pPr>
      <w:r w:rsidRPr="009E78EA">
        <w:rPr>
          <w:rFonts w:cs="Arial"/>
        </w:rPr>
        <w:t xml:space="preserve">Victorian </w:t>
      </w:r>
      <w:r w:rsidR="00F929E4">
        <w:rPr>
          <w:rFonts w:cs="Arial"/>
        </w:rPr>
        <w:t>P</w:t>
      </w:r>
      <w:r w:rsidRPr="009E78EA">
        <w:rPr>
          <w:rFonts w:cs="Arial"/>
        </w:rPr>
        <w:t>harmacist</w:t>
      </w:r>
      <w:r>
        <w:rPr>
          <w:rFonts w:cs="Arial"/>
        </w:rPr>
        <w:t xml:space="preserve"> </w:t>
      </w:r>
      <w:r w:rsidR="00F929E4">
        <w:rPr>
          <w:rFonts w:cs="Arial"/>
        </w:rPr>
        <w:t>I</w:t>
      </w:r>
      <w:r>
        <w:rPr>
          <w:rFonts w:cs="Arial"/>
        </w:rPr>
        <w:t>mmunisers are authorised</w:t>
      </w:r>
      <w:r w:rsidRPr="009E78EA">
        <w:rPr>
          <w:rFonts w:cs="Arial"/>
        </w:rPr>
        <w:t xml:space="preserve"> to administer influenza vaccine </w:t>
      </w:r>
      <w:r>
        <w:rPr>
          <w:rFonts w:cs="Arial"/>
        </w:rPr>
        <w:t xml:space="preserve">to certain target groups </w:t>
      </w:r>
      <w:r w:rsidRPr="009E78EA">
        <w:rPr>
          <w:rFonts w:cs="Arial"/>
        </w:rPr>
        <w:t xml:space="preserve">without a prescription or other instruction from </w:t>
      </w:r>
      <w:r w:rsidR="008D7F8B">
        <w:rPr>
          <w:rFonts w:cs="Arial"/>
        </w:rPr>
        <w:t>an authorised prescriber</w:t>
      </w:r>
      <w:r>
        <w:rPr>
          <w:rFonts w:cs="Arial"/>
        </w:rPr>
        <w:t>. These</w:t>
      </w:r>
      <w:r w:rsidRPr="009E78EA">
        <w:rPr>
          <w:rFonts w:cs="Arial"/>
        </w:rPr>
        <w:t xml:space="preserve"> </w:t>
      </w:r>
      <w:r>
        <w:rPr>
          <w:rFonts w:cs="Arial"/>
        </w:rPr>
        <w:t>include</w:t>
      </w:r>
      <w:r w:rsidRPr="009E78EA">
        <w:rPr>
          <w:rFonts w:cs="Arial"/>
        </w:rPr>
        <w:t>:</w:t>
      </w:r>
    </w:p>
    <w:p w14:paraId="1AFB5938" w14:textId="77777777" w:rsidR="005905E4" w:rsidRDefault="0000567A" w:rsidP="00700529">
      <w:pPr>
        <w:pStyle w:val="DHHSbullet1"/>
        <w:numPr>
          <w:ilvl w:val="0"/>
          <w:numId w:val="9"/>
        </w:numPr>
        <w:spacing w:line="240" w:lineRule="auto"/>
        <w:ind w:left="993" w:hanging="567"/>
      </w:pPr>
      <w:r w:rsidRPr="5B7D9D66">
        <w:t xml:space="preserve">Target group 1 </w:t>
      </w:r>
    </w:p>
    <w:p w14:paraId="2E9C8551" w14:textId="4DDEAF54" w:rsidR="00ED7BA4" w:rsidRDefault="001549CF" w:rsidP="00700529">
      <w:pPr>
        <w:pStyle w:val="DHHSbullet1"/>
        <w:numPr>
          <w:ilvl w:val="1"/>
          <w:numId w:val="9"/>
        </w:numPr>
        <w:spacing w:line="240" w:lineRule="auto"/>
      </w:pPr>
      <w:r w:rsidRPr="5B7D9D66">
        <w:t xml:space="preserve">people </w:t>
      </w:r>
      <w:r w:rsidR="0000567A" w:rsidRPr="5B7D9D66">
        <w:t>eligible for government-funded influenza vaccine through the National Immunisation Program (NIP)</w:t>
      </w:r>
      <w:r w:rsidR="00ED7BA4" w:rsidRPr="5B7D9D66">
        <w:t xml:space="preserve">, </w:t>
      </w:r>
      <w:r w:rsidR="00E763D7" w:rsidRPr="5B7D9D66">
        <w:t>including</w:t>
      </w:r>
      <w:r w:rsidR="00ED7BA4" w:rsidRPr="5B7D9D66">
        <w:t>:</w:t>
      </w:r>
    </w:p>
    <w:p w14:paraId="2441E6AD" w14:textId="72F8F86A" w:rsidR="00E763D7" w:rsidRDefault="001549CF" w:rsidP="00700529">
      <w:pPr>
        <w:pStyle w:val="DHHSbullet1"/>
        <w:numPr>
          <w:ilvl w:val="2"/>
          <w:numId w:val="9"/>
        </w:numPr>
        <w:spacing w:line="240" w:lineRule="auto"/>
      </w:pPr>
      <w:r w:rsidRPr="5B7D9D66">
        <w:t xml:space="preserve">people </w:t>
      </w:r>
      <w:r w:rsidR="0000567A" w:rsidRPr="5B7D9D66">
        <w:t xml:space="preserve">aged 65 years and older </w:t>
      </w:r>
    </w:p>
    <w:p w14:paraId="62F249D6" w14:textId="77777777" w:rsidR="00E763D7" w:rsidRDefault="0000567A" w:rsidP="00700529">
      <w:pPr>
        <w:pStyle w:val="DHHSbullet1"/>
        <w:numPr>
          <w:ilvl w:val="2"/>
          <w:numId w:val="9"/>
        </w:numPr>
        <w:spacing w:line="240" w:lineRule="auto"/>
      </w:pPr>
      <w:r w:rsidRPr="5B7D9D66">
        <w:t xml:space="preserve">Aboriginal and Torres Strait Islander people aged 5 years and older </w:t>
      </w:r>
    </w:p>
    <w:p w14:paraId="4DFF63A4" w14:textId="568EFA49" w:rsidR="000B6F11" w:rsidRDefault="001549CF" w:rsidP="00700529">
      <w:pPr>
        <w:pStyle w:val="DHHSbullet1"/>
        <w:numPr>
          <w:ilvl w:val="2"/>
          <w:numId w:val="9"/>
        </w:numPr>
        <w:spacing w:line="240" w:lineRule="auto"/>
      </w:pPr>
      <w:r w:rsidRPr="5B7D9D66">
        <w:t xml:space="preserve">people </w:t>
      </w:r>
      <w:r w:rsidR="0000567A" w:rsidRPr="5B7D9D66">
        <w:t xml:space="preserve">aged 5 to 64 years with medical conditions that can lead to complications from influenza, such as severe asthma, lung or heart disease, low </w:t>
      </w:r>
      <w:proofErr w:type="gramStart"/>
      <w:r w:rsidR="0000567A" w:rsidRPr="5B7D9D66">
        <w:t>immunity</w:t>
      </w:r>
      <w:proofErr w:type="gramEnd"/>
      <w:r w:rsidR="0000567A" w:rsidRPr="5B7D9D66">
        <w:t xml:space="preserve"> or diabetes</w:t>
      </w:r>
    </w:p>
    <w:p w14:paraId="173A62C6" w14:textId="4624A6C6" w:rsidR="0000567A" w:rsidRPr="00CB323C" w:rsidRDefault="0000567A" w:rsidP="00700529">
      <w:pPr>
        <w:pStyle w:val="DHHSbullet1"/>
        <w:numPr>
          <w:ilvl w:val="2"/>
          <w:numId w:val="9"/>
        </w:numPr>
        <w:spacing w:line="240" w:lineRule="auto"/>
      </w:pPr>
      <w:r w:rsidRPr="5B7D9D66">
        <w:t xml:space="preserve">pregnant </w:t>
      </w:r>
      <w:r w:rsidR="005479BD" w:rsidRPr="5B7D9D66">
        <w:t xml:space="preserve">people </w:t>
      </w:r>
      <w:r w:rsidRPr="5B7D9D66">
        <w:t xml:space="preserve">in any stage of pregnancy. </w:t>
      </w:r>
    </w:p>
    <w:p w14:paraId="431F9DF3" w14:textId="77777777" w:rsidR="005905E4" w:rsidRDefault="0000567A" w:rsidP="00700529">
      <w:pPr>
        <w:pStyle w:val="DHHSbullet1"/>
        <w:numPr>
          <w:ilvl w:val="0"/>
          <w:numId w:val="9"/>
        </w:numPr>
        <w:spacing w:line="240" w:lineRule="auto"/>
        <w:ind w:left="993" w:hanging="567"/>
      </w:pPr>
      <w:r w:rsidRPr="5B7D9D66">
        <w:t xml:space="preserve">Target group 2 </w:t>
      </w:r>
    </w:p>
    <w:p w14:paraId="35EBF357" w14:textId="620A3F2D" w:rsidR="0000567A" w:rsidRPr="005233E7" w:rsidRDefault="001549CF" w:rsidP="00700529">
      <w:pPr>
        <w:pStyle w:val="DHHSbullet1"/>
        <w:numPr>
          <w:ilvl w:val="1"/>
          <w:numId w:val="9"/>
        </w:numPr>
        <w:spacing w:line="240" w:lineRule="auto"/>
      </w:pPr>
      <w:r w:rsidRPr="5B7D9D66">
        <w:t xml:space="preserve">people </w:t>
      </w:r>
      <w:r w:rsidR="0000567A" w:rsidRPr="5B7D9D66">
        <w:t xml:space="preserve">aged between 5 and 64 years, and not eligible for the NIP. </w:t>
      </w:r>
    </w:p>
    <w:p w14:paraId="1F001EB0" w14:textId="01159310" w:rsidR="0000567A" w:rsidRPr="00D46CDA" w:rsidRDefault="003623CD" w:rsidP="00700529">
      <w:pPr>
        <w:pStyle w:val="Heading2"/>
        <w:numPr>
          <w:ilvl w:val="1"/>
          <w:numId w:val="29"/>
        </w:numPr>
        <w:rPr>
          <w:sz w:val="28"/>
          <w:highlight w:val="yellow"/>
        </w:rPr>
      </w:pPr>
      <w:bookmarkStart w:id="28" w:name="_Toc448737148"/>
      <w:bookmarkStart w:id="29" w:name="_Toc115426480"/>
      <w:r w:rsidRPr="00D46CDA">
        <w:rPr>
          <w:sz w:val="28"/>
          <w:highlight w:val="yellow"/>
        </w:rPr>
        <w:t>Diphtheria-tetanus-p</w:t>
      </w:r>
      <w:r w:rsidR="0000567A" w:rsidRPr="00D46CDA">
        <w:rPr>
          <w:sz w:val="28"/>
          <w:highlight w:val="yellow"/>
        </w:rPr>
        <w:t xml:space="preserve">ertussis </w:t>
      </w:r>
      <w:r w:rsidRPr="00D46CDA">
        <w:rPr>
          <w:sz w:val="28"/>
          <w:highlight w:val="yellow"/>
        </w:rPr>
        <w:t xml:space="preserve">(DTP) </w:t>
      </w:r>
      <w:r w:rsidR="0000567A" w:rsidRPr="00D46CDA">
        <w:rPr>
          <w:sz w:val="28"/>
          <w:highlight w:val="yellow"/>
        </w:rPr>
        <w:t>vaccine</w:t>
      </w:r>
      <w:bookmarkEnd w:id="28"/>
      <w:r w:rsidRPr="00D46CDA">
        <w:rPr>
          <w:sz w:val="28"/>
          <w:highlight w:val="yellow"/>
        </w:rPr>
        <w:t>s</w:t>
      </w:r>
      <w:bookmarkEnd w:id="29"/>
    </w:p>
    <w:p w14:paraId="62A5F6A4" w14:textId="51D8E0CF" w:rsidR="0000567A" w:rsidRPr="009E78EA" w:rsidRDefault="0000567A" w:rsidP="0000567A">
      <w:pPr>
        <w:pStyle w:val="DHHSbody"/>
        <w:rPr>
          <w:rFonts w:cs="Arial"/>
        </w:rPr>
      </w:pPr>
      <w:r w:rsidRPr="008440C2">
        <w:rPr>
          <w:rFonts w:cs="Arial"/>
          <w:highlight w:val="yellow"/>
        </w:rPr>
        <w:t xml:space="preserve">Victorian </w:t>
      </w:r>
      <w:r w:rsidR="00F929E4" w:rsidRPr="008440C2">
        <w:rPr>
          <w:rFonts w:cs="Arial"/>
          <w:highlight w:val="yellow"/>
        </w:rPr>
        <w:t>P</w:t>
      </w:r>
      <w:r w:rsidRPr="008440C2">
        <w:rPr>
          <w:rFonts w:cs="Arial"/>
          <w:highlight w:val="yellow"/>
        </w:rPr>
        <w:t xml:space="preserve">harmacist </w:t>
      </w:r>
      <w:r w:rsidR="00F929E4" w:rsidRPr="008440C2">
        <w:rPr>
          <w:rFonts w:cs="Arial"/>
          <w:highlight w:val="yellow"/>
        </w:rPr>
        <w:t>I</w:t>
      </w:r>
      <w:r w:rsidRPr="008440C2">
        <w:rPr>
          <w:rFonts w:cs="Arial"/>
          <w:highlight w:val="yellow"/>
        </w:rPr>
        <w:t xml:space="preserve">mmunisers are authorised to administer </w:t>
      </w:r>
      <w:r w:rsidR="00515C26" w:rsidRPr="008440C2">
        <w:rPr>
          <w:rFonts w:cs="Arial"/>
          <w:highlight w:val="yellow"/>
        </w:rPr>
        <w:t>dip</w:t>
      </w:r>
      <w:r w:rsidR="008227E1" w:rsidRPr="008440C2">
        <w:rPr>
          <w:rFonts w:cs="Arial"/>
          <w:highlight w:val="yellow"/>
        </w:rPr>
        <w:t>htheria-tetanus-pertussis</w:t>
      </w:r>
      <w:r w:rsidRPr="008440C2">
        <w:rPr>
          <w:rFonts w:cs="Arial"/>
          <w:highlight w:val="yellow"/>
        </w:rPr>
        <w:t xml:space="preserve"> vaccine</w:t>
      </w:r>
      <w:r w:rsidR="008227E1" w:rsidRPr="008440C2">
        <w:rPr>
          <w:rFonts w:cs="Arial"/>
          <w:highlight w:val="yellow"/>
        </w:rPr>
        <w:t>s</w:t>
      </w:r>
      <w:r w:rsidRPr="008440C2">
        <w:rPr>
          <w:rFonts w:cs="Arial"/>
          <w:highlight w:val="yellow"/>
        </w:rPr>
        <w:t xml:space="preserve"> </w:t>
      </w:r>
      <w:r w:rsidR="000853EF">
        <w:rPr>
          <w:rFonts w:cs="Arial"/>
          <w:highlight w:val="yellow"/>
        </w:rPr>
        <w:t>to</w:t>
      </w:r>
      <w:r w:rsidR="000853EF" w:rsidRPr="008440C2">
        <w:rPr>
          <w:rFonts w:cs="Arial"/>
          <w:highlight w:val="yellow"/>
        </w:rPr>
        <w:t xml:space="preserve"> </w:t>
      </w:r>
      <w:r w:rsidRPr="008440C2">
        <w:rPr>
          <w:rFonts w:cs="Arial"/>
          <w:highlight w:val="yellow"/>
        </w:rPr>
        <w:t>certain target groups</w:t>
      </w:r>
      <w:r w:rsidR="008D7F8B" w:rsidRPr="008440C2">
        <w:rPr>
          <w:rFonts w:cs="Arial"/>
          <w:highlight w:val="yellow"/>
        </w:rPr>
        <w:t xml:space="preserve"> without a prescription or other instruction from an authorised prescriber</w:t>
      </w:r>
      <w:r w:rsidR="00F855B9" w:rsidRPr="008440C2">
        <w:rPr>
          <w:rFonts w:cs="Arial"/>
          <w:highlight w:val="yellow"/>
        </w:rPr>
        <w:t>. These include</w:t>
      </w:r>
      <w:r w:rsidRPr="008440C2">
        <w:rPr>
          <w:rFonts w:cs="Arial"/>
          <w:highlight w:val="yellow"/>
        </w:rPr>
        <w:t>:</w:t>
      </w:r>
    </w:p>
    <w:p w14:paraId="07D7425A" w14:textId="08354663" w:rsidR="00FC15DC" w:rsidRPr="005233E7" w:rsidRDefault="0000567A" w:rsidP="00700529">
      <w:pPr>
        <w:pStyle w:val="DHHSbullet1"/>
        <w:numPr>
          <w:ilvl w:val="0"/>
          <w:numId w:val="9"/>
        </w:numPr>
        <w:spacing w:line="240" w:lineRule="auto"/>
        <w:ind w:left="993" w:hanging="567"/>
      </w:pPr>
      <w:r w:rsidRPr="5B7D9D66">
        <w:t>Target group 1</w:t>
      </w:r>
    </w:p>
    <w:p w14:paraId="13F3CDF8" w14:textId="0897F704" w:rsidR="0000567A" w:rsidRPr="005233E7" w:rsidRDefault="00B70540" w:rsidP="00700529">
      <w:pPr>
        <w:pStyle w:val="DHHSbullet1"/>
        <w:numPr>
          <w:ilvl w:val="1"/>
          <w:numId w:val="9"/>
        </w:numPr>
        <w:spacing w:line="240" w:lineRule="auto"/>
      </w:pPr>
      <w:r w:rsidRPr="5B7D9D66">
        <w:t xml:space="preserve">people </w:t>
      </w:r>
      <w:r w:rsidR="0000567A" w:rsidRPr="5B7D9D66">
        <w:t xml:space="preserve">eligible for government-funded </w:t>
      </w:r>
      <w:r w:rsidR="00381328">
        <w:t>DTP</w:t>
      </w:r>
      <w:r w:rsidR="0000567A" w:rsidRPr="5B7D9D66">
        <w:t xml:space="preserve"> vaccine through the NIP and</w:t>
      </w:r>
      <w:r w:rsidR="00D27C54">
        <w:t>/or</w:t>
      </w:r>
      <w:r w:rsidR="0000567A" w:rsidRPr="5B7D9D66">
        <w:t xml:space="preserve"> the Victorian Government’s Partner Whooping Cough Vaccine Program, including:</w:t>
      </w:r>
    </w:p>
    <w:p w14:paraId="5593049F" w14:textId="47D1A5DF" w:rsidR="00F6553A" w:rsidRPr="00727E7C" w:rsidRDefault="001828E7" w:rsidP="00700529">
      <w:pPr>
        <w:pStyle w:val="DHHSbullet1"/>
        <w:numPr>
          <w:ilvl w:val="2"/>
          <w:numId w:val="9"/>
        </w:numPr>
        <w:spacing w:line="240" w:lineRule="auto"/>
      </w:pPr>
      <w:r w:rsidRPr="00DD68DC">
        <w:rPr>
          <w:highlight w:val="yellow"/>
        </w:rPr>
        <w:t xml:space="preserve">people </w:t>
      </w:r>
      <w:r w:rsidRPr="001F72A7">
        <w:rPr>
          <w:highlight w:val="yellow"/>
        </w:rPr>
        <w:t>aged 12 years and older</w:t>
      </w:r>
      <w:r>
        <w:rPr>
          <w:highlight w:val="yellow"/>
        </w:rPr>
        <w:t xml:space="preserve"> (in Year 7 of Secondary School, or age equivalent)</w:t>
      </w:r>
    </w:p>
    <w:p w14:paraId="6C164F11" w14:textId="7D7FE055" w:rsidR="001828E7" w:rsidRDefault="00F6553A" w:rsidP="00700529">
      <w:pPr>
        <w:pStyle w:val="DHHSbullet1"/>
        <w:numPr>
          <w:ilvl w:val="2"/>
          <w:numId w:val="9"/>
        </w:numPr>
        <w:spacing w:line="240" w:lineRule="auto"/>
      </w:pPr>
      <w:r>
        <w:rPr>
          <w:highlight w:val="yellow"/>
        </w:rPr>
        <w:t xml:space="preserve">people </w:t>
      </w:r>
      <w:r w:rsidR="00DD063B">
        <w:rPr>
          <w:highlight w:val="yellow"/>
        </w:rPr>
        <w:t>aged 12 years and older</w:t>
      </w:r>
      <w:r w:rsidR="00327ADB">
        <w:rPr>
          <w:highlight w:val="yellow"/>
        </w:rPr>
        <w:t xml:space="preserve"> </w:t>
      </w:r>
      <w:r w:rsidR="00661ADC">
        <w:rPr>
          <w:highlight w:val="yellow"/>
        </w:rPr>
        <w:t>requiring catch-up</w:t>
      </w:r>
      <w:r w:rsidR="00F85739">
        <w:rPr>
          <w:highlight w:val="yellow"/>
        </w:rPr>
        <w:t xml:space="preserve"> vaccination</w:t>
      </w:r>
      <w:r w:rsidR="00773000">
        <w:rPr>
          <w:highlight w:val="yellow"/>
        </w:rPr>
        <w:t xml:space="preserve"> as per the schedule recommendations</w:t>
      </w:r>
      <w:r w:rsidR="00EE6991">
        <w:rPr>
          <w:highlight w:val="yellow"/>
        </w:rPr>
        <w:t xml:space="preserve"> current at the time of vaccine administration</w:t>
      </w:r>
      <w:r w:rsidR="001828E7" w:rsidRPr="00305606">
        <w:rPr>
          <w:highlight w:val="yellow"/>
        </w:rPr>
        <w:t xml:space="preserve"> </w:t>
      </w:r>
    </w:p>
    <w:p w14:paraId="0B315526" w14:textId="38FB095F" w:rsidR="0000567A" w:rsidRPr="002E7BB1" w:rsidRDefault="0000567A" w:rsidP="00700529">
      <w:pPr>
        <w:pStyle w:val="DHHSbullet1"/>
        <w:numPr>
          <w:ilvl w:val="2"/>
          <w:numId w:val="9"/>
        </w:numPr>
        <w:spacing w:line="240" w:lineRule="auto"/>
      </w:pPr>
      <w:r w:rsidRPr="00FC15DC">
        <w:lastRenderedPageBreak/>
        <w:t>p</w:t>
      </w:r>
      <w:r w:rsidRPr="009D29C6">
        <w:t xml:space="preserve">regnant </w:t>
      </w:r>
      <w:r w:rsidR="00844800">
        <w:t>people</w:t>
      </w:r>
      <w:r w:rsidR="00844800" w:rsidRPr="009D29C6">
        <w:t xml:space="preserve"> </w:t>
      </w:r>
      <w:r w:rsidRPr="009D29C6">
        <w:t xml:space="preserve">in their second or third </w:t>
      </w:r>
      <w:r w:rsidRPr="002E7BB1">
        <w:t>trimester of pregnancy, from 20 weeks gestation</w:t>
      </w:r>
    </w:p>
    <w:p w14:paraId="7E9C532A" w14:textId="11A347F3" w:rsidR="0000567A" w:rsidRPr="002E7BB1" w:rsidRDefault="0000567A" w:rsidP="00700529">
      <w:pPr>
        <w:pStyle w:val="DHHSbullet1"/>
        <w:numPr>
          <w:ilvl w:val="2"/>
          <w:numId w:val="9"/>
        </w:numPr>
        <w:spacing w:line="240" w:lineRule="auto"/>
      </w:pPr>
      <w:r w:rsidRPr="002E7BB1">
        <w:t xml:space="preserve">partners of </w:t>
      </w:r>
      <w:r w:rsidR="00844800">
        <w:t>people</w:t>
      </w:r>
      <w:r w:rsidR="00844800" w:rsidRPr="002E7BB1">
        <w:t xml:space="preserve"> </w:t>
      </w:r>
      <w:r w:rsidRPr="002E7BB1">
        <w:t>who are in their third trimester of pregnancy, or at least 28 weeks pregnant, if the partner has not received a pertussis booster in the last ten years</w:t>
      </w:r>
    </w:p>
    <w:p w14:paraId="4E2F7395" w14:textId="73750C86" w:rsidR="0000567A" w:rsidRPr="00FC15DC" w:rsidRDefault="0000567A" w:rsidP="00700529">
      <w:pPr>
        <w:pStyle w:val="DHHSbullet1"/>
        <w:numPr>
          <w:ilvl w:val="2"/>
          <w:numId w:val="9"/>
        </w:numPr>
        <w:spacing w:line="240" w:lineRule="auto"/>
      </w:pPr>
      <w:r>
        <w:t>parents and/or guardians of babies if the baby is under six months of age and they have not received a pertussis booster in the last ten year</w:t>
      </w:r>
      <w:r w:rsidR="00FA3193">
        <w:t>s</w:t>
      </w:r>
    </w:p>
    <w:p w14:paraId="6AC67D9F" w14:textId="7BCDAFF2" w:rsidR="0000567A" w:rsidRDefault="0000567A" w:rsidP="00700529">
      <w:pPr>
        <w:pStyle w:val="DHHSbullet1"/>
        <w:numPr>
          <w:ilvl w:val="2"/>
          <w:numId w:val="9"/>
        </w:numPr>
        <w:spacing w:line="240" w:lineRule="auto"/>
      </w:pPr>
      <w:r>
        <w:t>refugees and all humanitarian entrants aged 1</w:t>
      </w:r>
      <w:r w:rsidR="00661ADC">
        <w:t>2</w:t>
      </w:r>
      <w:r>
        <w:t xml:space="preserve"> years and older.</w:t>
      </w:r>
    </w:p>
    <w:p w14:paraId="27F2517A" w14:textId="360FF787" w:rsidR="00FC15DC" w:rsidRPr="005233E7" w:rsidRDefault="0000567A" w:rsidP="00700529">
      <w:pPr>
        <w:pStyle w:val="DHHSbullet1"/>
        <w:numPr>
          <w:ilvl w:val="0"/>
          <w:numId w:val="9"/>
        </w:numPr>
        <w:spacing w:line="240" w:lineRule="auto"/>
        <w:ind w:left="993" w:hanging="567"/>
      </w:pPr>
      <w:r w:rsidRPr="5B7D9D66">
        <w:t xml:space="preserve">Target group 2 </w:t>
      </w:r>
    </w:p>
    <w:p w14:paraId="0FE37A0D" w14:textId="79A627DB" w:rsidR="0000567A" w:rsidRDefault="00B70540" w:rsidP="00700529">
      <w:pPr>
        <w:pStyle w:val="DHHSbullet1"/>
        <w:numPr>
          <w:ilvl w:val="1"/>
          <w:numId w:val="9"/>
        </w:numPr>
        <w:spacing w:line="240" w:lineRule="auto"/>
      </w:pPr>
      <w:r w:rsidRPr="5B7D9D66">
        <w:t xml:space="preserve">people </w:t>
      </w:r>
      <w:r w:rsidR="0000567A" w:rsidRPr="5B7D9D66">
        <w:t xml:space="preserve">aged </w:t>
      </w:r>
      <w:r w:rsidR="00CD05E4">
        <w:t>12</w:t>
      </w:r>
      <w:r w:rsidR="0000567A" w:rsidRPr="5B7D9D66">
        <w:t xml:space="preserve"> years and older who are not eligible for the Victorian Government’s Partner Whooping Cough Vaccine Program, </w:t>
      </w:r>
      <w:bookmarkStart w:id="30" w:name="_Hlk29889877"/>
      <w:r w:rsidR="0000567A" w:rsidRPr="5B7D9D66">
        <w:t xml:space="preserve">who wish to reduce the likelihood of becoming ill with </w:t>
      </w:r>
      <w:bookmarkEnd w:id="30"/>
      <w:r w:rsidR="0000567A" w:rsidRPr="5B7D9D66">
        <w:t>pertussis</w:t>
      </w:r>
    </w:p>
    <w:p w14:paraId="7750D405" w14:textId="4B6F9923" w:rsidR="00236D99" w:rsidRDefault="00236D99" w:rsidP="00700529">
      <w:pPr>
        <w:pStyle w:val="DHHSbullet1"/>
        <w:numPr>
          <w:ilvl w:val="1"/>
          <w:numId w:val="9"/>
        </w:numPr>
        <w:spacing w:line="240" w:lineRule="auto"/>
        <w:rPr>
          <w:highlight w:val="yellow"/>
        </w:rPr>
      </w:pPr>
      <w:r>
        <w:rPr>
          <w:highlight w:val="yellow"/>
        </w:rPr>
        <w:t>people</w:t>
      </w:r>
      <w:r w:rsidRPr="00203CB2">
        <w:rPr>
          <w:highlight w:val="yellow"/>
        </w:rPr>
        <w:t xml:space="preserve"> aged 12 years and older</w:t>
      </w:r>
      <w:r w:rsidR="005C19E7">
        <w:rPr>
          <w:highlight w:val="yellow"/>
        </w:rPr>
        <w:t>, and not</w:t>
      </w:r>
      <w:r w:rsidRPr="00203CB2">
        <w:rPr>
          <w:highlight w:val="yellow"/>
        </w:rPr>
        <w:t xml:space="preserve"> eligible for </w:t>
      </w:r>
      <w:r w:rsidR="005C19E7">
        <w:rPr>
          <w:highlight w:val="yellow"/>
        </w:rPr>
        <w:t xml:space="preserve">the </w:t>
      </w:r>
      <w:r w:rsidRPr="00203CB2">
        <w:rPr>
          <w:highlight w:val="yellow"/>
        </w:rPr>
        <w:t>NIP</w:t>
      </w:r>
      <w:r>
        <w:rPr>
          <w:highlight w:val="yellow"/>
        </w:rPr>
        <w:t>.</w:t>
      </w:r>
    </w:p>
    <w:p w14:paraId="37536914" w14:textId="7E1F50FA" w:rsidR="00B40A38" w:rsidRPr="00446E33" w:rsidRDefault="00B40A38" w:rsidP="00700529">
      <w:pPr>
        <w:pStyle w:val="Heading2"/>
        <w:numPr>
          <w:ilvl w:val="1"/>
          <w:numId w:val="29"/>
        </w:numPr>
        <w:rPr>
          <w:rFonts w:eastAsia="Times"/>
          <w:sz w:val="28"/>
          <w:highlight w:val="yellow"/>
        </w:rPr>
      </w:pPr>
      <w:bookmarkStart w:id="31" w:name="_Toc115426481"/>
      <w:r w:rsidRPr="00446E33">
        <w:rPr>
          <w:rFonts w:eastAsia="Times"/>
          <w:sz w:val="28"/>
          <w:highlight w:val="yellow"/>
        </w:rPr>
        <w:t>Human papillomavirus (HPV) vaccine</w:t>
      </w:r>
      <w:bookmarkEnd w:id="31"/>
    </w:p>
    <w:p w14:paraId="15F2FFAF" w14:textId="148CFFEF" w:rsidR="00B40A38" w:rsidRPr="00DD68DC" w:rsidRDefault="00B40A38" w:rsidP="00B40A38">
      <w:pPr>
        <w:pStyle w:val="DHHSbullet1"/>
        <w:spacing w:after="120"/>
        <w:ind w:left="0" w:firstLine="0"/>
        <w:rPr>
          <w:highlight w:val="yellow"/>
        </w:rPr>
      </w:pPr>
      <w:r w:rsidRPr="00203CB2">
        <w:rPr>
          <w:highlight w:val="yellow"/>
        </w:rPr>
        <w:t xml:space="preserve">Victorian </w:t>
      </w:r>
      <w:r>
        <w:rPr>
          <w:highlight w:val="yellow"/>
        </w:rPr>
        <w:t>P</w:t>
      </w:r>
      <w:r w:rsidRPr="00DD68DC">
        <w:rPr>
          <w:highlight w:val="yellow"/>
        </w:rPr>
        <w:t xml:space="preserve">harmacist </w:t>
      </w:r>
      <w:r>
        <w:rPr>
          <w:highlight w:val="yellow"/>
        </w:rPr>
        <w:t>I</w:t>
      </w:r>
      <w:r w:rsidRPr="00DD68DC">
        <w:rPr>
          <w:highlight w:val="yellow"/>
        </w:rPr>
        <w:t xml:space="preserve">mmunisers are authorised to administer human papillomavirus (HPV) </w:t>
      </w:r>
      <w:r w:rsidR="00E26929">
        <w:rPr>
          <w:highlight w:val="yellow"/>
        </w:rPr>
        <w:t xml:space="preserve">vaccine </w:t>
      </w:r>
      <w:r w:rsidR="00F33E26">
        <w:rPr>
          <w:highlight w:val="yellow"/>
        </w:rPr>
        <w:t>to</w:t>
      </w:r>
      <w:r w:rsidRPr="00DD68DC">
        <w:rPr>
          <w:highlight w:val="yellow"/>
        </w:rPr>
        <w:t xml:space="preserve"> certain target groups</w:t>
      </w:r>
      <w:r>
        <w:rPr>
          <w:highlight w:val="yellow"/>
        </w:rPr>
        <w:t xml:space="preserve"> </w:t>
      </w:r>
      <w:r w:rsidRPr="008440C2">
        <w:rPr>
          <w:rFonts w:cs="Arial"/>
          <w:highlight w:val="yellow"/>
        </w:rPr>
        <w:t>without a prescription or other instruction from an authorised prescriber. These include</w:t>
      </w:r>
      <w:r w:rsidRPr="00DD68DC">
        <w:rPr>
          <w:highlight w:val="yellow"/>
        </w:rPr>
        <w:t>:</w:t>
      </w:r>
    </w:p>
    <w:p w14:paraId="26478E67" w14:textId="77777777" w:rsidR="00B40A38" w:rsidRPr="001F72A7" w:rsidRDefault="00B40A38" w:rsidP="00700529">
      <w:pPr>
        <w:pStyle w:val="DHHSbullet1"/>
        <w:numPr>
          <w:ilvl w:val="0"/>
          <w:numId w:val="9"/>
        </w:numPr>
        <w:spacing w:line="240" w:lineRule="auto"/>
        <w:ind w:left="993" w:hanging="567"/>
        <w:rPr>
          <w:highlight w:val="yellow"/>
        </w:rPr>
      </w:pPr>
      <w:r w:rsidRPr="001F72A7">
        <w:rPr>
          <w:highlight w:val="yellow"/>
        </w:rPr>
        <w:t>Target group 1</w:t>
      </w:r>
    </w:p>
    <w:p w14:paraId="60CE02FA" w14:textId="0C3F5CBC" w:rsidR="00261696" w:rsidRDefault="00B40A38" w:rsidP="00700529">
      <w:pPr>
        <w:pStyle w:val="DHHSbullet1"/>
        <w:numPr>
          <w:ilvl w:val="1"/>
          <w:numId w:val="9"/>
        </w:numPr>
        <w:spacing w:line="240" w:lineRule="auto"/>
        <w:rPr>
          <w:highlight w:val="yellow"/>
        </w:rPr>
      </w:pPr>
      <w:r>
        <w:rPr>
          <w:highlight w:val="yellow"/>
        </w:rPr>
        <w:t>people</w:t>
      </w:r>
      <w:r w:rsidRPr="00203CB2">
        <w:rPr>
          <w:highlight w:val="yellow"/>
        </w:rPr>
        <w:t xml:space="preserve"> </w:t>
      </w:r>
      <w:r w:rsidR="00892D60">
        <w:rPr>
          <w:highlight w:val="yellow"/>
        </w:rPr>
        <w:t xml:space="preserve">eligible for government-funded </w:t>
      </w:r>
      <w:r w:rsidR="00A0513F">
        <w:rPr>
          <w:highlight w:val="yellow"/>
        </w:rPr>
        <w:t>HPV vaccine through the NIP</w:t>
      </w:r>
      <w:r w:rsidR="00496906">
        <w:rPr>
          <w:highlight w:val="yellow"/>
        </w:rPr>
        <w:t>, including:</w:t>
      </w:r>
    </w:p>
    <w:p w14:paraId="222ED73E" w14:textId="7ED59291" w:rsidR="00B40A38" w:rsidRDefault="00DD02B7" w:rsidP="00700529">
      <w:pPr>
        <w:pStyle w:val="DHHSbullet1"/>
        <w:numPr>
          <w:ilvl w:val="2"/>
          <w:numId w:val="9"/>
        </w:numPr>
        <w:spacing w:line="240" w:lineRule="auto"/>
        <w:rPr>
          <w:highlight w:val="yellow"/>
        </w:rPr>
      </w:pPr>
      <w:r>
        <w:rPr>
          <w:highlight w:val="yellow"/>
        </w:rPr>
        <w:t xml:space="preserve">people </w:t>
      </w:r>
      <w:r w:rsidR="00B40A38" w:rsidRPr="00203CB2">
        <w:rPr>
          <w:highlight w:val="yellow"/>
        </w:rPr>
        <w:t xml:space="preserve">aged 12 years and </w:t>
      </w:r>
      <w:r w:rsidR="00B40A38">
        <w:rPr>
          <w:highlight w:val="yellow"/>
        </w:rPr>
        <w:t>older</w:t>
      </w:r>
      <w:r w:rsidR="00B40A38" w:rsidRPr="00203CB2">
        <w:rPr>
          <w:highlight w:val="yellow"/>
        </w:rPr>
        <w:t xml:space="preserve"> </w:t>
      </w:r>
    </w:p>
    <w:p w14:paraId="7A04267C" w14:textId="1171E629" w:rsidR="00B40A38" w:rsidRPr="001C0B09" w:rsidRDefault="001C0B09" w:rsidP="00700529">
      <w:pPr>
        <w:pStyle w:val="ListParagraph"/>
        <w:numPr>
          <w:ilvl w:val="2"/>
          <w:numId w:val="9"/>
        </w:numPr>
        <w:spacing w:after="40" w:line="240" w:lineRule="auto"/>
        <w:rPr>
          <w:rFonts w:ascii="Arial" w:eastAsia="Times" w:hAnsi="Arial"/>
          <w:highlight w:val="yellow"/>
        </w:rPr>
      </w:pPr>
      <w:r w:rsidRPr="008440C2">
        <w:rPr>
          <w:rFonts w:ascii="Arial" w:eastAsia="Times" w:hAnsi="Arial" w:cs="Times New Roman"/>
          <w:sz w:val="20"/>
          <w:szCs w:val="20"/>
          <w:highlight w:val="yellow"/>
        </w:rPr>
        <w:t>refugees and all humanitarian entrants aged 12 years and older.</w:t>
      </w:r>
      <w:r w:rsidRPr="001C0B09">
        <w:rPr>
          <w:highlight w:val="yellow"/>
        </w:rPr>
        <w:t xml:space="preserve"> </w:t>
      </w:r>
      <w:r w:rsidRPr="008440C2">
        <w:rPr>
          <w:rFonts w:ascii="Arial" w:eastAsia="Times" w:hAnsi="Arial"/>
          <w:sz w:val="20"/>
          <w:szCs w:val="20"/>
          <w:highlight w:val="yellow"/>
        </w:rPr>
        <w:t xml:space="preserve"> </w:t>
      </w:r>
    </w:p>
    <w:p w14:paraId="0C454F66" w14:textId="77777777" w:rsidR="00B40A38" w:rsidRPr="00203CB2" w:rsidRDefault="00B40A38" w:rsidP="00700529">
      <w:pPr>
        <w:pStyle w:val="DHHSbullet1"/>
        <w:numPr>
          <w:ilvl w:val="0"/>
          <w:numId w:val="9"/>
        </w:numPr>
        <w:spacing w:line="240" w:lineRule="auto"/>
        <w:ind w:left="993" w:hanging="567"/>
        <w:rPr>
          <w:highlight w:val="yellow"/>
        </w:rPr>
      </w:pPr>
      <w:r w:rsidRPr="00203CB2">
        <w:rPr>
          <w:highlight w:val="yellow"/>
        </w:rPr>
        <w:t xml:space="preserve">Target group 2 </w:t>
      </w:r>
    </w:p>
    <w:p w14:paraId="7DBA82C9" w14:textId="5658975F" w:rsidR="001F72A7" w:rsidRDefault="00B40A38" w:rsidP="00700529">
      <w:pPr>
        <w:pStyle w:val="DHHSbullet1"/>
        <w:numPr>
          <w:ilvl w:val="1"/>
          <w:numId w:val="9"/>
        </w:numPr>
        <w:spacing w:line="240" w:lineRule="auto"/>
        <w:rPr>
          <w:highlight w:val="yellow"/>
        </w:rPr>
      </w:pPr>
      <w:r>
        <w:rPr>
          <w:highlight w:val="yellow"/>
        </w:rPr>
        <w:t>people</w:t>
      </w:r>
      <w:r w:rsidRPr="00203CB2">
        <w:rPr>
          <w:highlight w:val="yellow"/>
        </w:rPr>
        <w:t xml:space="preserve"> aged 12 years and older</w:t>
      </w:r>
      <w:r w:rsidR="008B4CD8">
        <w:rPr>
          <w:highlight w:val="yellow"/>
        </w:rPr>
        <w:t>, and</w:t>
      </w:r>
      <w:r w:rsidRPr="00203CB2">
        <w:rPr>
          <w:highlight w:val="yellow"/>
        </w:rPr>
        <w:t xml:space="preserve"> not eligible for the NIP</w:t>
      </w:r>
      <w:r w:rsidR="00534950">
        <w:rPr>
          <w:highlight w:val="yellow"/>
        </w:rPr>
        <w:t>.</w:t>
      </w:r>
    </w:p>
    <w:p w14:paraId="6887ED71" w14:textId="4E98B755" w:rsidR="0000567A" w:rsidRPr="005C5883" w:rsidRDefault="0000567A" w:rsidP="00700529">
      <w:pPr>
        <w:pStyle w:val="Heading2"/>
        <w:numPr>
          <w:ilvl w:val="1"/>
          <w:numId w:val="29"/>
        </w:numPr>
        <w:rPr>
          <w:sz w:val="28"/>
        </w:rPr>
      </w:pPr>
      <w:bookmarkStart w:id="32" w:name="_Toc115426482"/>
      <w:r w:rsidRPr="005C5883">
        <w:rPr>
          <w:sz w:val="28"/>
        </w:rPr>
        <w:t>Measles-mumps-rubella vaccine</w:t>
      </w:r>
      <w:bookmarkEnd w:id="32"/>
    </w:p>
    <w:p w14:paraId="41ACF8D1" w14:textId="45435A07" w:rsidR="0000567A" w:rsidRPr="002E7BB1" w:rsidRDefault="0000567A" w:rsidP="0000567A">
      <w:pPr>
        <w:pStyle w:val="DHHSbullet1"/>
        <w:spacing w:after="120"/>
        <w:ind w:left="0" w:firstLine="0"/>
      </w:pPr>
      <w:bookmarkStart w:id="33" w:name="_Hlk29889550"/>
      <w:r>
        <w:t xml:space="preserve">Victorian </w:t>
      </w:r>
      <w:r w:rsidR="00AC6361">
        <w:t>P</w:t>
      </w:r>
      <w:r>
        <w:t xml:space="preserve">harmacist </w:t>
      </w:r>
      <w:r w:rsidR="00AC6361">
        <w:t>I</w:t>
      </w:r>
      <w:r>
        <w:t xml:space="preserve">mmunisers are authorised to administer measles-mumps-rubella </w:t>
      </w:r>
      <w:r w:rsidR="007D4052">
        <w:t xml:space="preserve">(MMR) </w:t>
      </w:r>
      <w:r>
        <w:t xml:space="preserve">vaccine </w:t>
      </w:r>
      <w:r w:rsidR="00194F06">
        <w:t>to</w:t>
      </w:r>
      <w:r>
        <w:t xml:space="preserve"> certain target groups</w:t>
      </w:r>
      <w:r w:rsidR="009A3C99">
        <w:t xml:space="preserve"> </w:t>
      </w:r>
      <w:r w:rsidR="009A3C99" w:rsidRPr="009E78EA">
        <w:rPr>
          <w:rFonts w:cs="Arial"/>
        </w:rPr>
        <w:t xml:space="preserve">without a prescription or other instruction from </w:t>
      </w:r>
      <w:r w:rsidR="009A3C99">
        <w:rPr>
          <w:rFonts w:cs="Arial"/>
        </w:rPr>
        <w:t>an authorised prescriber.</w:t>
      </w:r>
      <w:r>
        <w:t xml:space="preserve"> </w:t>
      </w:r>
      <w:r w:rsidR="009A3C99">
        <w:t>These include</w:t>
      </w:r>
      <w:r w:rsidRPr="009D29C6">
        <w:t>:</w:t>
      </w:r>
    </w:p>
    <w:p w14:paraId="2294BC76" w14:textId="43E1A199" w:rsidR="009D29C6" w:rsidRPr="00DE25C6" w:rsidRDefault="0000567A" w:rsidP="00700529">
      <w:pPr>
        <w:pStyle w:val="DHHSbullet1"/>
        <w:numPr>
          <w:ilvl w:val="0"/>
          <w:numId w:val="9"/>
        </w:numPr>
        <w:spacing w:line="240" w:lineRule="auto"/>
        <w:ind w:left="993" w:hanging="567"/>
      </w:pPr>
      <w:r w:rsidRPr="5B7D9D66">
        <w:t>Target group 1</w:t>
      </w:r>
    </w:p>
    <w:p w14:paraId="23D251EE" w14:textId="2F124E75" w:rsidR="0000567A" w:rsidRPr="00DE25C6" w:rsidRDefault="00F929E4" w:rsidP="00700529">
      <w:pPr>
        <w:pStyle w:val="DHHSbullet1"/>
        <w:numPr>
          <w:ilvl w:val="1"/>
          <w:numId w:val="9"/>
        </w:numPr>
        <w:spacing w:line="240" w:lineRule="auto"/>
      </w:pPr>
      <w:r w:rsidRPr="5B7D9D66">
        <w:t xml:space="preserve">people </w:t>
      </w:r>
      <w:r w:rsidR="0000567A" w:rsidRPr="5B7D9D66">
        <w:t xml:space="preserve">eligible for government-funded </w:t>
      </w:r>
      <w:r w:rsidR="00E9229D">
        <w:t>MMR</w:t>
      </w:r>
      <w:r w:rsidR="0000567A" w:rsidRPr="5B7D9D66">
        <w:t xml:space="preserve"> vaccine through the NIP, including:</w:t>
      </w:r>
    </w:p>
    <w:p w14:paraId="569DCF6E" w14:textId="6C589F17" w:rsidR="0000567A" w:rsidRPr="002E7BB1" w:rsidRDefault="00F929E4" w:rsidP="00700529">
      <w:pPr>
        <w:pStyle w:val="DHHSbullet1"/>
        <w:numPr>
          <w:ilvl w:val="2"/>
          <w:numId w:val="9"/>
        </w:numPr>
        <w:spacing w:line="240" w:lineRule="auto"/>
      </w:pPr>
      <w:r>
        <w:t>people</w:t>
      </w:r>
      <w:r w:rsidRPr="009D29C6">
        <w:t xml:space="preserve"> </w:t>
      </w:r>
      <w:r w:rsidR="0000567A" w:rsidRPr="009D29C6">
        <w:t>aged 15 to 19 years requiring catch-up</w:t>
      </w:r>
    </w:p>
    <w:p w14:paraId="7F2BA319" w14:textId="77777777" w:rsidR="0000567A" w:rsidRPr="002E7BB1" w:rsidRDefault="0000567A" w:rsidP="00700529">
      <w:pPr>
        <w:pStyle w:val="DHHSbullet1"/>
        <w:numPr>
          <w:ilvl w:val="2"/>
          <w:numId w:val="9"/>
        </w:numPr>
        <w:spacing w:line="240" w:lineRule="auto"/>
      </w:pPr>
      <w:r w:rsidRPr="002E7BB1">
        <w:t>refugees and all humanitarian entrants aged 15 years and older.</w:t>
      </w:r>
    </w:p>
    <w:p w14:paraId="2F89D2FA" w14:textId="3C4F4C1A" w:rsidR="009D29C6" w:rsidRPr="005634EE" w:rsidRDefault="0000567A" w:rsidP="00700529">
      <w:pPr>
        <w:pStyle w:val="DHHSbullet1"/>
        <w:numPr>
          <w:ilvl w:val="0"/>
          <w:numId w:val="9"/>
        </w:numPr>
        <w:spacing w:line="240" w:lineRule="auto"/>
        <w:ind w:left="993" w:hanging="567"/>
      </w:pPr>
      <w:r w:rsidRPr="005634EE">
        <w:t>Target group 2</w:t>
      </w:r>
    </w:p>
    <w:p w14:paraId="17807E88" w14:textId="77F16244" w:rsidR="0000567A" w:rsidRPr="005634EE" w:rsidRDefault="00F929E4" w:rsidP="00700529">
      <w:pPr>
        <w:pStyle w:val="DHHSbullet1"/>
        <w:numPr>
          <w:ilvl w:val="1"/>
          <w:numId w:val="9"/>
        </w:numPr>
        <w:spacing w:line="240" w:lineRule="auto"/>
      </w:pPr>
      <w:r w:rsidRPr="005634EE">
        <w:t xml:space="preserve">people </w:t>
      </w:r>
      <w:r w:rsidR="0000567A" w:rsidRPr="005634EE">
        <w:t xml:space="preserve">eligible for government-funded </w:t>
      </w:r>
      <w:r w:rsidR="00A47DF9" w:rsidRPr="005634EE">
        <w:t>MMR</w:t>
      </w:r>
      <w:r w:rsidR="0000567A" w:rsidRPr="005634EE">
        <w:t xml:space="preserve"> vaccine through the Victorian Government’s Measles-Mumps-Rubella Adult Vaccine Program, including</w:t>
      </w:r>
      <w:r w:rsidR="007064E2">
        <w:t>:</w:t>
      </w:r>
    </w:p>
    <w:p w14:paraId="3782E6A6" w14:textId="4A99F8B1" w:rsidR="0000567A" w:rsidRPr="005634EE" w:rsidRDefault="00F929E4" w:rsidP="00700529">
      <w:pPr>
        <w:pStyle w:val="DHHSbullet1"/>
        <w:numPr>
          <w:ilvl w:val="2"/>
          <w:numId w:val="9"/>
        </w:numPr>
        <w:spacing w:line="240" w:lineRule="auto"/>
      </w:pPr>
      <w:r w:rsidRPr="005634EE">
        <w:t xml:space="preserve">people </w:t>
      </w:r>
      <w:r w:rsidR="0000567A" w:rsidRPr="005634EE">
        <w:t xml:space="preserve">born during or since 1966 requiring one or two doses of </w:t>
      </w:r>
      <w:r w:rsidR="00FA02F1" w:rsidRPr="005634EE">
        <w:t>MMR</w:t>
      </w:r>
      <w:r w:rsidR="0000567A" w:rsidRPr="005634EE">
        <w:t xml:space="preserve"> vaccine (at least one month apart)</w:t>
      </w:r>
    </w:p>
    <w:p w14:paraId="2F925F7B" w14:textId="15C95F39" w:rsidR="00AB42F8" w:rsidRPr="005634EE" w:rsidRDefault="00AB42F8" w:rsidP="00700529">
      <w:pPr>
        <w:pStyle w:val="DHHSbullet1"/>
        <w:numPr>
          <w:ilvl w:val="2"/>
          <w:numId w:val="9"/>
        </w:numPr>
        <w:spacing w:line="240" w:lineRule="auto"/>
      </w:pPr>
      <w:r w:rsidRPr="005634EE">
        <w:t>people planning pregnancy or post-partum with</w:t>
      </w:r>
      <w:r w:rsidR="006C3ACD" w:rsidRPr="005634EE">
        <w:t xml:space="preserve"> low or negative rubella antibody levels.</w:t>
      </w:r>
    </w:p>
    <w:p w14:paraId="261E0424" w14:textId="77777777" w:rsidR="0000567A" w:rsidRPr="005C5883" w:rsidRDefault="0000567A" w:rsidP="00700529">
      <w:pPr>
        <w:pStyle w:val="Heading2"/>
        <w:numPr>
          <w:ilvl w:val="1"/>
          <w:numId w:val="29"/>
        </w:numPr>
        <w:rPr>
          <w:sz w:val="28"/>
        </w:rPr>
      </w:pPr>
      <w:bookmarkStart w:id="34" w:name="_Toc115426483"/>
      <w:bookmarkEnd w:id="33"/>
      <w:r w:rsidRPr="005C5883">
        <w:rPr>
          <w:sz w:val="28"/>
        </w:rPr>
        <w:t>Meningococcal ACWY vaccine</w:t>
      </w:r>
      <w:bookmarkEnd w:id="34"/>
    </w:p>
    <w:p w14:paraId="6891988A" w14:textId="6E50911B" w:rsidR="0000567A" w:rsidRPr="00A237AD" w:rsidRDefault="0000567A" w:rsidP="0000567A">
      <w:pPr>
        <w:pStyle w:val="DHHSbullet1"/>
        <w:spacing w:after="120"/>
        <w:ind w:left="0" w:firstLine="0"/>
      </w:pPr>
      <w:r w:rsidRPr="00A237AD">
        <w:t xml:space="preserve">Victorian </w:t>
      </w:r>
      <w:r w:rsidR="009A3C99">
        <w:t>P</w:t>
      </w:r>
      <w:r w:rsidRPr="00A237AD">
        <w:t>harmacist</w:t>
      </w:r>
      <w:r>
        <w:t xml:space="preserve"> </w:t>
      </w:r>
      <w:r w:rsidR="009A3C99">
        <w:t>I</w:t>
      </w:r>
      <w:r>
        <w:t>mmunisers</w:t>
      </w:r>
      <w:r w:rsidRPr="00A237AD">
        <w:t xml:space="preserve"> are authorised to administer m</w:t>
      </w:r>
      <w:r>
        <w:t>eningococcal ACWY</w:t>
      </w:r>
      <w:r w:rsidRPr="00A237AD">
        <w:t xml:space="preserve"> vaccine </w:t>
      </w:r>
      <w:r w:rsidR="00A37CC4">
        <w:t>to</w:t>
      </w:r>
      <w:r w:rsidRPr="00A237AD">
        <w:t xml:space="preserve"> certain target groups</w:t>
      </w:r>
      <w:r w:rsidR="009A3C99">
        <w:t xml:space="preserve"> </w:t>
      </w:r>
      <w:r w:rsidR="009A3C99" w:rsidRPr="009E78EA">
        <w:rPr>
          <w:rFonts w:cs="Arial"/>
        </w:rPr>
        <w:t xml:space="preserve">without a prescription or other instruction from </w:t>
      </w:r>
      <w:r w:rsidR="009A3C99">
        <w:rPr>
          <w:rFonts w:cs="Arial"/>
        </w:rPr>
        <w:t>an authorised prescriber. These include</w:t>
      </w:r>
      <w:r w:rsidRPr="00A237AD">
        <w:t>:</w:t>
      </w:r>
    </w:p>
    <w:p w14:paraId="60524267" w14:textId="23DBA801" w:rsidR="002E7BB1" w:rsidRPr="00A72A75" w:rsidRDefault="0000567A" w:rsidP="00700529">
      <w:pPr>
        <w:pStyle w:val="DHHSbullet1"/>
        <w:numPr>
          <w:ilvl w:val="0"/>
          <w:numId w:val="9"/>
        </w:numPr>
        <w:spacing w:line="240" w:lineRule="auto"/>
        <w:ind w:left="993" w:hanging="567"/>
      </w:pPr>
      <w:r w:rsidRPr="001F72A7">
        <w:t>Target group 1</w:t>
      </w:r>
    </w:p>
    <w:p w14:paraId="3495E091" w14:textId="2F081312" w:rsidR="0000567A" w:rsidRPr="00150AE6" w:rsidRDefault="009A3C99" w:rsidP="00700529">
      <w:pPr>
        <w:pStyle w:val="DHHSbullet1"/>
        <w:numPr>
          <w:ilvl w:val="1"/>
          <w:numId w:val="9"/>
        </w:numPr>
        <w:spacing w:line="240" w:lineRule="auto"/>
      </w:pPr>
      <w:r w:rsidRPr="00150AE6">
        <w:t xml:space="preserve">people </w:t>
      </w:r>
      <w:r w:rsidR="0000567A" w:rsidRPr="00150AE6">
        <w:t xml:space="preserve">eligible for </w:t>
      </w:r>
      <w:r w:rsidR="002E7BB1" w:rsidRPr="00150AE6">
        <w:t>government</w:t>
      </w:r>
      <w:r w:rsidR="00497CDC">
        <w:t>-</w:t>
      </w:r>
      <w:r w:rsidR="002E7BB1" w:rsidRPr="00150AE6">
        <w:t>funded</w:t>
      </w:r>
      <w:r w:rsidR="0000567A" w:rsidRPr="00150AE6">
        <w:t xml:space="preserve"> meningococcal ACWY vaccine through the NIP, including:</w:t>
      </w:r>
    </w:p>
    <w:p w14:paraId="74D4ECDF" w14:textId="63D0739A" w:rsidR="0000567A" w:rsidRPr="00150AE6" w:rsidRDefault="004412EB" w:rsidP="00700529">
      <w:pPr>
        <w:pStyle w:val="DHHSbullet1"/>
        <w:numPr>
          <w:ilvl w:val="2"/>
          <w:numId w:val="9"/>
        </w:numPr>
        <w:spacing w:line="240" w:lineRule="auto"/>
      </w:pPr>
      <w:r w:rsidRPr="00150AE6">
        <w:t xml:space="preserve">people </w:t>
      </w:r>
      <w:r w:rsidR="0000567A" w:rsidRPr="00150AE6">
        <w:t>aged 15 to 19 years.</w:t>
      </w:r>
    </w:p>
    <w:p w14:paraId="4240989A" w14:textId="4EEFC186" w:rsidR="002E7BB1" w:rsidRPr="00A72A75" w:rsidRDefault="0000567A" w:rsidP="00700529">
      <w:pPr>
        <w:pStyle w:val="DHHSbullet1"/>
        <w:numPr>
          <w:ilvl w:val="0"/>
          <w:numId w:val="9"/>
        </w:numPr>
        <w:spacing w:line="240" w:lineRule="auto"/>
        <w:ind w:left="993" w:hanging="567"/>
      </w:pPr>
      <w:r w:rsidRPr="001F72A7">
        <w:t xml:space="preserve">Target group 2 </w:t>
      </w:r>
    </w:p>
    <w:p w14:paraId="5BFBCBAA" w14:textId="37E2609D" w:rsidR="0000567A" w:rsidRPr="00150AE6" w:rsidRDefault="004412EB" w:rsidP="00700529">
      <w:pPr>
        <w:pStyle w:val="DHHSbullet1"/>
        <w:numPr>
          <w:ilvl w:val="1"/>
          <w:numId w:val="9"/>
        </w:numPr>
        <w:spacing w:line="240" w:lineRule="auto"/>
      </w:pPr>
      <w:r w:rsidRPr="00150AE6">
        <w:lastRenderedPageBreak/>
        <w:t xml:space="preserve">people </w:t>
      </w:r>
      <w:r w:rsidR="0000567A" w:rsidRPr="00150AE6">
        <w:t>aged 15 years and older</w:t>
      </w:r>
      <w:r w:rsidR="001B1781">
        <w:t>, and</w:t>
      </w:r>
      <w:r w:rsidR="0000567A" w:rsidRPr="00150AE6">
        <w:t xml:space="preserve"> not eligible for </w:t>
      </w:r>
      <w:r w:rsidR="001B1781">
        <w:t xml:space="preserve">the NIP, </w:t>
      </w:r>
      <w:r w:rsidR="0000567A" w:rsidRPr="00150AE6">
        <w:t>including:</w:t>
      </w:r>
    </w:p>
    <w:p w14:paraId="65C12D7E" w14:textId="77777777" w:rsidR="0000567A" w:rsidRPr="00150AE6" w:rsidRDefault="0000567A" w:rsidP="00700529">
      <w:pPr>
        <w:pStyle w:val="DHHSbullet1"/>
        <w:numPr>
          <w:ilvl w:val="2"/>
          <w:numId w:val="9"/>
        </w:numPr>
        <w:spacing w:line="240" w:lineRule="auto"/>
      </w:pPr>
      <w:r w:rsidRPr="00150AE6">
        <w:t>individuals who wish to reduce the likelihood of becoming ill with meningococcal A, C, W, or Y strains.</w:t>
      </w:r>
    </w:p>
    <w:p w14:paraId="0F9A4803" w14:textId="77777777" w:rsidR="002E7BB1" w:rsidRPr="00727E7C" w:rsidRDefault="002E7BB1" w:rsidP="00700529">
      <w:pPr>
        <w:pStyle w:val="Heading2"/>
        <w:numPr>
          <w:ilvl w:val="1"/>
          <w:numId w:val="29"/>
        </w:numPr>
        <w:rPr>
          <w:rFonts w:eastAsia="Times"/>
          <w:sz w:val="28"/>
          <w:highlight w:val="yellow"/>
        </w:rPr>
      </w:pPr>
      <w:bookmarkStart w:id="35" w:name="_Toc115426484"/>
      <w:r w:rsidRPr="00727E7C">
        <w:rPr>
          <w:rFonts w:eastAsia="Times"/>
          <w:sz w:val="28"/>
          <w:highlight w:val="yellow"/>
        </w:rPr>
        <w:t>Pneumococcal vaccine</w:t>
      </w:r>
      <w:bookmarkEnd w:id="35"/>
    </w:p>
    <w:p w14:paraId="05BEEE4F" w14:textId="2175DB58" w:rsidR="00B02201" w:rsidRPr="004E6B18" w:rsidRDefault="00B02201" w:rsidP="00B02201">
      <w:pPr>
        <w:pStyle w:val="DHHSbullet1"/>
        <w:spacing w:after="120"/>
        <w:ind w:left="0" w:firstLine="0"/>
        <w:rPr>
          <w:highlight w:val="yellow"/>
        </w:rPr>
      </w:pPr>
      <w:r w:rsidRPr="00EA0CCA">
        <w:rPr>
          <w:highlight w:val="yellow"/>
        </w:rPr>
        <w:t xml:space="preserve">Victorian </w:t>
      </w:r>
      <w:r w:rsidR="002A3A58">
        <w:rPr>
          <w:highlight w:val="yellow"/>
        </w:rPr>
        <w:t>P</w:t>
      </w:r>
      <w:r w:rsidRPr="00EA0CCA">
        <w:rPr>
          <w:highlight w:val="yellow"/>
        </w:rPr>
        <w:t xml:space="preserve">harmacist </w:t>
      </w:r>
      <w:r w:rsidR="002A3A58">
        <w:rPr>
          <w:highlight w:val="yellow"/>
        </w:rPr>
        <w:t>I</w:t>
      </w:r>
      <w:r w:rsidRPr="00EA0CCA">
        <w:rPr>
          <w:highlight w:val="yellow"/>
        </w:rPr>
        <w:t xml:space="preserve">mmunisers are authorised to administer </w:t>
      </w:r>
      <w:r w:rsidR="00086989" w:rsidRPr="00EA0CCA">
        <w:rPr>
          <w:highlight w:val="yellow"/>
        </w:rPr>
        <w:t>pneumococcal</w:t>
      </w:r>
      <w:r w:rsidRPr="00EA0CCA">
        <w:rPr>
          <w:highlight w:val="yellow"/>
        </w:rPr>
        <w:t xml:space="preserve"> vaccine </w:t>
      </w:r>
      <w:r w:rsidR="00E31C69">
        <w:rPr>
          <w:highlight w:val="yellow"/>
        </w:rPr>
        <w:t>to</w:t>
      </w:r>
      <w:r w:rsidR="00A022AA" w:rsidRPr="00EA0CCA">
        <w:rPr>
          <w:highlight w:val="yellow"/>
        </w:rPr>
        <w:t xml:space="preserve"> </w:t>
      </w:r>
      <w:r w:rsidRPr="00EA0CCA">
        <w:rPr>
          <w:highlight w:val="yellow"/>
        </w:rPr>
        <w:t>certain target groups</w:t>
      </w:r>
      <w:r w:rsidR="000731C3">
        <w:rPr>
          <w:highlight w:val="yellow"/>
        </w:rPr>
        <w:t xml:space="preserve"> </w:t>
      </w:r>
      <w:r w:rsidR="000731C3" w:rsidRPr="008440C2">
        <w:rPr>
          <w:rFonts w:cs="Arial"/>
          <w:highlight w:val="yellow"/>
        </w:rPr>
        <w:t>without a prescription or other instruction from an authorised prescriber</w:t>
      </w:r>
      <w:r w:rsidR="000731C3">
        <w:rPr>
          <w:rFonts w:cs="Arial"/>
          <w:highlight w:val="yellow"/>
        </w:rPr>
        <w:t>. These</w:t>
      </w:r>
      <w:r w:rsidRPr="00EA0CCA">
        <w:rPr>
          <w:highlight w:val="yellow"/>
        </w:rPr>
        <w:t xml:space="preserve"> </w:t>
      </w:r>
      <w:r w:rsidR="00E31C69">
        <w:rPr>
          <w:highlight w:val="yellow"/>
        </w:rPr>
        <w:t>includ</w:t>
      </w:r>
      <w:r w:rsidR="000731C3">
        <w:rPr>
          <w:highlight w:val="yellow"/>
        </w:rPr>
        <w:t>e</w:t>
      </w:r>
      <w:r w:rsidRPr="00EA0CCA">
        <w:rPr>
          <w:highlight w:val="yellow"/>
        </w:rPr>
        <w:t>:</w:t>
      </w:r>
    </w:p>
    <w:p w14:paraId="08C8F564" w14:textId="77777777" w:rsidR="00B02201" w:rsidRPr="00EA0CCA" w:rsidRDefault="00B02201" w:rsidP="00700529">
      <w:pPr>
        <w:pStyle w:val="DHHSbullet1"/>
        <w:numPr>
          <w:ilvl w:val="0"/>
          <w:numId w:val="9"/>
        </w:numPr>
        <w:spacing w:line="240" w:lineRule="auto"/>
        <w:ind w:left="993" w:hanging="567"/>
        <w:rPr>
          <w:highlight w:val="yellow"/>
        </w:rPr>
      </w:pPr>
      <w:r w:rsidRPr="00EA0CCA">
        <w:rPr>
          <w:highlight w:val="yellow"/>
        </w:rPr>
        <w:t>Target group 1</w:t>
      </w:r>
    </w:p>
    <w:p w14:paraId="07119331" w14:textId="7B3B10E1" w:rsidR="00B60CF2" w:rsidRDefault="002A3A58" w:rsidP="00700529">
      <w:pPr>
        <w:pStyle w:val="DHHSbullet1"/>
        <w:numPr>
          <w:ilvl w:val="1"/>
          <w:numId w:val="9"/>
        </w:numPr>
        <w:spacing w:line="240" w:lineRule="auto"/>
        <w:rPr>
          <w:highlight w:val="yellow"/>
        </w:rPr>
      </w:pPr>
      <w:r>
        <w:rPr>
          <w:highlight w:val="yellow"/>
        </w:rPr>
        <w:t xml:space="preserve">people </w:t>
      </w:r>
      <w:r w:rsidR="00B02201" w:rsidRPr="00EA0CCA">
        <w:rPr>
          <w:highlight w:val="yellow"/>
        </w:rPr>
        <w:t xml:space="preserve">aged </w:t>
      </w:r>
      <w:r w:rsidR="00A022AA" w:rsidRPr="00EA0CCA">
        <w:rPr>
          <w:highlight w:val="yellow"/>
        </w:rPr>
        <w:t>50</w:t>
      </w:r>
      <w:r w:rsidR="00B02201" w:rsidRPr="00EA0CCA">
        <w:rPr>
          <w:highlight w:val="yellow"/>
        </w:rPr>
        <w:t xml:space="preserve"> years and </w:t>
      </w:r>
      <w:r>
        <w:rPr>
          <w:highlight w:val="yellow"/>
        </w:rPr>
        <w:t>older</w:t>
      </w:r>
      <w:r w:rsidR="00B02201" w:rsidRPr="00EA0CCA">
        <w:rPr>
          <w:highlight w:val="yellow"/>
        </w:rPr>
        <w:t xml:space="preserve"> eligible for government-funded </w:t>
      </w:r>
      <w:r w:rsidR="00E04905" w:rsidRPr="00EA0CCA">
        <w:rPr>
          <w:highlight w:val="yellow"/>
        </w:rPr>
        <w:t>pneumococcal</w:t>
      </w:r>
      <w:r w:rsidR="00B02201" w:rsidRPr="00EA0CCA">
        <w:rPr>
          <w:highlight w:val="yellow"/>
        </w:rPr>
        <w:t xml:space="preserve"> vaccine through the NIP</w:t>
      </w:r>
      <w:r w:rsidR="00B60CF2">
        <w:rPr>
          <w:highlight w:val="yellow"/>
        </w:rPr>
        <w:t>, including:</w:t>
      </w:r>
    </w:p>
    <w:p w14:paraId="0D06E161" w14:textId="28C82695" w:rsidR="00B60CF2" w:rsidRDefault="00B60CF2" w:rsidP="00700529">
      <w:pPr>
        <w:pStyle w:val="DHHSbullet1"/>
        <w:numPr>
          <w:ilvl w:val="2"/>
          <w:numId w:val="9"/>
        </w:numPr>
        <w:spacing w:line="240" w:lineRule="auto"/>
        <w:rPr>
          <w:highlight w:val="yellow"/>
        </w:rPr>
      </w:pPr>
      <w:r>
        <w:rPr>
          <w:highlight w:val="yellow"/>
        </w:rPr>
        <w:t>adults diagnosed with a risk condition</w:t>
      </w:r>
    </w:p>
    <w:p w14:paraId="10B15CC5" w14:textId="217CDD8D" w:rsidR="00B60CF2" w:rsidRDefault="00B60CF2" w:rsidP="00700529">
      <w:pPr>
        <w:pStyle w:val="DHHSbullet1"/>
        <w:numPr>
          <w:ilvl w:val="2"/>
          <w:numId w:val="9"/>
        </w:numPr>
        <w:spacing w:line="240" w:lineRule="auto"/>
        <w:rPr>
          <w:highlight w:val="yellow"/>
        </w:rPr>
      </w:pPr>
      <w:r>
        <w:rPr>
          <w:highlight w:val="yellow"/>
        </w:rPr>
        <w:t>Aboriginal and Torres Strait Islander</w:t>
      </w:r>
      <w:r w:rsidR="008D3063">
        <w:rPr>
          <w:highlight w:val="yellow"/>
        </w:rPr>
        <w:t>s</w:t>
      </w:r>
    </w:p>
    <w:p w14:paraId="207AA2A5" w14:textId="6F9B02D2" w:rsidR="00B02201" w:rsidRPr="00EA0CCA" w:rsidRDefault="00273A47" w:rsidP="00700529">
      <w:pPr>
        <w:pStyle w:val="DHHSbullet1"/>
        <w:numPr>
          <w:ilvl w:val="2"/>
          <w:numId w:val="9"/>
        </w:numPr>
        <w:spacing w:line="240" w:lineRule="auto"/>
        <w:rPr>
          <w:highlight w:val="yellow"/>
        </w:rPr>
      </w:pPr>
      <w:r>
        <w:rPr>
          <w:highlight w:val="yellow"/>
        </w:rPr>
        <w:t>n</w:t>
      </w:r>
      <w:r w:rsidR="0034253D">
        <w:rPr>
          <w:highlight w:val="yellow"/>
        </w:rPr>
        <w:t>on-</w:t>
      </w:r>
      <w:r>
        <w:rPr>
          <w:highlight w:val="yellow"/>
        </w:rPr>
        <w:t xml:space="preserve">Indigenous </w:t>
      </w:r>
      <w:r w:rsidR="00AB4E87">
        <w:rPr>
          <w:highlight w:val="yellow"/>
        </w:rPr>
        <w:t>p</w:t>
      </w:r>
      <w:r w:rsidR="00B60CF2">
        <w:rPr>
          <w:highlight w:val="yellow"/>
        </w:rPr>
        <w:t>eople aged</w:t>
      </w:r>
      <w:r w:rsidR="00AB4E87">
        <w:rPr>
          <w:highlight w:val="yellow"/>
        </w:rPr>
        <w:t xml:space="preserve"> 70 years and older</w:t>
      </w:r>
      <w:r w:rsidR="007E122E">
        <w:rPr>
          <w:highlight w:val="yellow"/>
        </w:rPr>
        <w:t>.</w:t>
      </w:r>
    </w:p>
    <w:p w14:paraId="1BBE58F4" w14:textId="77777777" w:rsidR="00B02201" w:rsidRPr="00EA0CCA" w:rsidRDefault="00B02201" w:rsidP="00B02201">
      <w:pPr>
        <w:spacing w:after="40"/>
        <w:rPr>
          <w:rFonts w:ascii="Arial" w:eastAsia="Times" w:hAnsi="Arial"/>
          <w:highlight w:val="yellow"/>
        </w:rPr>
      </w:pPr>
    </w:p>
    <w:p w14:paraId="70674747" w14:textId="77777777" w:rsidR="00B02201" w:rsidRPr="00EA0CCA" w:rsidRDefault="00B02201" w:rsidP="00700529">
      <w:pPr>
        <w:pStyle w:val="DHHSbullet1"/>
        <w:numPr>
          <w:ilvl w:val="0"/>
          <w:numId w:val="9"/>
        </w:numPr>
        <w:spacing w:line="240" w:lineRule="auto"/>
        <w:ind w:left="993" w:hanging="567"/>
        <w:rPr>
          <w:highlight w:val="yellow"/>
        </w:rPr>
      </w:pPr>
      <w:r w:rsidRPr="00EA0CCA">
        <w:rPr>
          <w:highlight w:val="yellow"/>
        </w:rPr>
        <w:t xml:space="preserve">Target group 2 </w:t>
      </w:r>
    </w:p>
    <w:p w14:paraId="77C96F47" w14:textId="71D281BF" w:rsidR="00B02201" w:rsidRPr="00576DF6" w:rsidRDefault="00576DF6" w:rsidP="00700529">
      <w:pPr>
        <w:pStyle w:val="DHHSbullet1"/>
        <w:numPr>
          <w:ilvl w:val="1"/>
          <w:numId w:val="9"/>
        </w:numPr>
        <w:spacing w:line="240" w:lineRule="auto"/>
        <w:rPr>
          <w:highlight w:val="yellow"/>
        </w:rPr>
      </w:pPr>
      <w:r>
        <w:rPr>
          <w:highlight w:val="yellow"/>
        </w:rPr>
        <w:t>people</w:t>
      </w:r>
      <w:r w:rsidR="00B02201" w:rsidRPr="00EA0CCA">
        <w:rPr>
          <w:highlight w:val="yellow"/>
        </w:rPr>
        <w:t xml:space="preserve"> aged </w:t>
      </w:r>
      <w:r w:rsidR="00A022AA" w:rsidRPr="00EA0CCA">
        <w:rPr>
          <w:highlight w:val="yellow"/>
        </w:rPr>
        <w:t xml:space="preserve">50 </w:t>
      </w:r>
      <w:r w:rsidR="00B02201" w:rsidRPr="00EA0CCA">
        <w:rPr>
          <w:highlight w:val="yellow"/>
        </w:rPr>
        <w:t>years and older</w:t>
      </w:r>
      <w:r w:rsidR="005F6B35">
        <w:rPr>
          <w:highlight w:val="yellow"/>
        </w:rPr>
        <w:t>, and</w:t>
      </w:r>
      <w:r w:rsidR="00B02201" w:rsidRPr="00EA0CCA">
        <w:rPr>
          <w:highlight w:val="yellow"/>
        </w:rPr>
        <w:t xml:space="preserve"> not eligible for the NIP</w:t>
      </w:r>
      <w:r w:rsidR="005F6B35">
        <w:rPr>
          <w:highlight w:val="yellow"/>
        </w:rPr>
        <w:t>.</w:t>
      </w:r>
      <w:r w:rsidR="00B02201" w:rsidRPr="00EA0CCA">
        <w:rPr>
          <w:highlight w:val="yellow"/>
        </w:rPr>
        <w:t xml:space="preserve"> </w:t>
      </w:r>
    </w:p>
    <w:p w14:paraId="6458DA06" w14:textId="6E9154F2" w:rsidR="0027679B" w:rsidRPr="00120EEF" w:rsidRDefault="0027679B" w:rsidP="00576DF6">
      <w:pPr>
        <w:pStyle w:val="DHHSbody"/>
        <w:spacing w:before="120"/>
        <w:rPr>
          <w:rStyle w:val="normaltextrun"/>
          <w:rFonts w:cs="Arial"/>
          <w:color w:val="000000"/>
          <w:highlight w:val="yellow"/>
          <w:shd w:val="clear" w:color="auto" w:fill="FFFFFF"/>
        </w:rPr>
      </w:pPr>
      <w:r w:rsidRPr="003C35A9">
        <w:rPr>
          <w:rStyle w:val="normaltextrun"/>
          <w:rFonts w:cs="Arial"/>
          <w:color w:val="000000"/>
          <w:highlight w:val="yellow"/>
          <w:shd w:val="clear" w:color="auto" w:fill="FFFFFF"/>
        </w:rPr>
        <w:t>See the online edition of the Australian Immunisation Handbook</w:t>
      </w:r>
      <w:r w:rsidRPr="003C35A9">
        <w:rPr>
          <w:rStyle w:val="FootnoteReference"/>
          <w:rFonts w:cs="Arial"/>
          <w:color w:val="000000"/>
          <w:highlight w:val="yellow"/>
          <w:shd w:val="clear" w:color="auto" w:fill="FFFFFF"/>
        </w:rPr>
        <w:footnoteReference w:id="15"/>
      </w:r>
      <w:r w:rsidRPr="00120EEF">
        <w:rPr>
          <w:rStyle w:val="normaltextrun"/>
          <w:rFonts w:cs="Arial"/>
          <w:color w:val="000000"/>
          <w:highlight w:val="yellow"/>
          <w:shd w:val="clear" w:color="auto" w:fill="FFFFFF"/>
        </w:rPr>
        <w:t xml:space="preserve"> for identification of people at increased risk and dosing schedule.</w:t>
      </w:r>
    </w:p>
    <w:p w14:paraId="7AC6DCDC" w14:textId="04DD8812" w:rsidR="0066124C" w:rsidRPr="00120EEF" w:rsidRDefault="0066124C" w:rsidP="00576DF6">
      <w:pPr>
        <w:pStyle w:val="DHHSbody"/>
        <w:spacing w:before="120"/>
        <w:rPr>
          <w:rStyle w:val="normaltextrun"/>
          <w:rFonts w:cs="Arial"/>
          <w:color w:val="000000"/>
          <w:highlight w:val="yellow"/>
          <w:shd w:val="clear" w:color="auto" w:fill="FFFFFF"/>
        </w:rPr>
      </w:pPr>
      <w:r w:rsidRPr="00120EEF">
        <w:rPr>
          <w:rStyle w:val="normaltextrun"/>
          <w:rFonts w:cs="Arial"/>
          <w:color w:val="000000"/>
          <w:highlight w:val="yellow"/>
          <w:shd w:val="clear" w:color="auto" w:fill="FFFFFF"/>
        </w:rPr>
        <w:t xml:space="preserve">Pharmacist immunisers are required to check </w:t>
      </w:r>
      <w:r w:rsidR="006C6814" w:rsidRPr="00120EEF">
        <w:rPr>
          <w:rStyle w:val="normaltextrun"/>
          <w:rFonts w:cs="Arial"/>
          <w:color w:val="000000"/>
          <w:highlight w:val="yellow"/>
          <w:shd w:val="clear" w:color="auto" w:fill="FFFFFF"/>
        </w:rPr>
        <w:t>the Australian Immunisation Register (</w:t>
      </w:r>
      <w:r w:rsidRPr="00120EEF">
        <w:rPr>
          <w:rStyle w:val="normaltextrun"/>
          <w:rFonts w:cs="Arial"/>
          <w:color w:val="000000"/>
          <w:highlight w:val="yellow"/>
          <w:shd w:val="clear" w:color="auto" w:fill="FFFFFF"/>
        </w:rPr>
        <w:t>AIR</w:t>
      </w:r>
      <w:r w:rsidR="006C6814" w:rsidRPr="00120EEF">
        <w:rPr>
          <w:rStyle w:val="normaltextrun"/>
          <w:rFonts w:cs="Arial"/>
          <w:color w:val="000000"/>
          <w:highlight w:val="yellow"/>
          <w:shd w:val="clear" w:color="auto" w:fill="FFFFFF"/>
        </w:rPr>
        <w:t>)</w:t>
      </w:r>
      <w:r w:rsidRPr="00120EEF">
        <w:rPr>
          <w:rStyle w:val="normaltextrun"/>
          <w:rFonts w:cs="Arial"/>
          <w:color w:val="000000"/>
          <w:highlight w:val="yellow"/>
          <w:shd w:val="clear" w:color="auto" w:fill="FFFFFF"/>
        </w:rPr>
        <w:t xml:space="preserve"> records for previous doses, record any doses administered in AIR within the required timeframes, and ensure that patients </w:t>
      </w:r>
      <w:r w:rsidR="003E6B75" w:rsidRPr="00120EEF">
        <w:rPr>
          <w:rStyle w:val="normaltextrun"/>
          <w:rFonts w:cs="Arial"/>
          <w:color w:val="000000"/>
          <w:highlight w:val="yellow"/>
          <w:shd w:val="clear" w:color="auto" w:fill="FFFFFF"/>
        </w:rPr>
        <w:t xml:space="preserve">(and their carers) </w:t>
      </w:r>
      <w:r w:rsidRPr="00120EEF">
        <w:rPr>
          <w:rStyle w:val="normaltextrun"/>
          <w:rFonts w:cs="Arial"/>
          <w:color w:val="000000"/>
          <w:highlight w:val="yellow"/>
          <w:shd w:val="clear" w:color="auto" w:fill="FFFFFF"/>
        </w:rPr>
        <w:t xml:space="preserve">are provided with suitable information about completing the full schedule of vaccines. </w:t>
      </w:r>
    </w:p>
    <w:p w14:paraId="5B3B3C1D" w14:textId="77777777" w:rsidR="00E27DFE" w:rsidRPr="00120EEF" w:rsidRDefault="007F4470" w:rsidP="00E27DFE">
      <w:pPr>
        <w:pStyle w:val="DHHSbody"/>
        <w:spacing w:before="120"/>
        <w:rPr>
          <w:rStyle w:val="normaltextrun"/>
          <w:rFonts w:cs="Arial"/>
          <w:color w:val="000000"/>
          <w:highlight w:val="yellow"/>
          <w:shd w:val="clear" w:color="auto" w:fill="FFFFFF"/>
        </w:rPr>
      </w:pPr>
      <w:r w:rsidRPr="00120EEF">
        <w:rPr>
          <w:rStyle w:val="normaltextrun"/>
          <w:rFonts w:cs="Arial"/>
          <w:color w:val="000000"/>
          <w:highlight w:val="yellow"/>
          <w:shd w:val="clear" w:color="auto" w:fill="FFFFFF"/>
        </w:rPr>
        <w:t>Decision making tools to support pharmacist immunisers administering the pneumococcal vaccine</w:t>
      </w:r>
      <w:r w:rsidR="00E27DFE" w:rsidRPr="00120EEF">
        <w:rPr>
          <w:rStyle w:val="normaltextrun"/>
          <w:rFonts w:cs="Arial"/>
          <w:color w:val="000000"/>
          <w:highlight w:val="yellow"/>
          <w:shd w:val="clear" w:color="auto" w:fill="FFFFFF"/>
        </w:rPr>
        <w:t xml:space="preserve"> include:</w:t>
      </w:r>
    </w:p>
    <w:p w14:paraId="44296D7B" w14:textId="553B36AF" w:rsidR="00E27DFE" w:rsidRPr="004A4A21" w:rsidRDefault="007071D0" w:rsidP="00700529">
      <w:pPr>
        <w:pStyle w:val="DHHSbullet1"/>
        <w:numPr>
          <w:ilvl w:val="0"/>
          <w:numId w:val="9"/>
        </w:numPr>
        <w:spacing w:line="240" w:lineRule="auto"/>
        <w:ind w:left="993" w:hanging="567"/>
        <w:rPr>
          <w:rStyle w:val="normaltextrun"/>
          <w:highlight w:val="yellow"/>
        </w:rPr>
      </w:pPr>
      <w:hyperlink r:id="rId33" w:tgtFrame="_blank" w:history="1">
        <w:r w:rsidR="007F4470" w:rsidRPr="004A4A21">
          <w:rPr>
            <w:rStyle w:val="normaltextrun"/>
            <w:rFonts w:cs="Arial"/>
            <w:color w:val="004C97"/>
            <w:highlight w:val="yellow"/>
            <w:u w:val="single"/>
          </w:rPr>
          <w:t>The National Immunisation Program - Pneumococcal vaccination schedule from 1 July 2020 – Clinical decision tree for vaccination providers</w:t>
        </w:r>
      </w:hyperlink>
      <w:r w:rsidR="007F4470" w:rsidRPr="00633551">
        <w:rPr>
          <w:rStyle w:val="normaltextrun"/>
          <w:rFonts w:cs="Arial"/>
          <w:highlight w:val="yellow"/>
        </w:rPr>
        <w:t xml:space="preserve"> (issued by the Commonwealth Government) </w:t>
      </w:r>
    </w:p>
    <w:p w14:paraId="2D8BCB29" w14:textId="6C98284C" w:rsidR="007F4470" w:rsidRPr="007B64A5" w:rsidRDefault="007F4470" w:rsidP="00700529">
      <w:pPr>
        <w:pStyle w:val="DHHSbullet1"/>
        <w:numPr>
          <w:ilvl w:val="0"/>
          <w:numId w:val="9"/>
        </w:numPr>
        <w:spacing w:line="240" w:lineRule="auto"/>
        <w:ind w:left="993" w:hanging="567"/>
        <w:rPr>
          <w:rFonts w:cs="Arial"/>
          <w:highlight w:val="yellow"/>
        </w:rPr>
      </w:pPr>
      <w:r w:rsidRPr="004A4A21">
        <w:rPr>
          <w:rStyle w:val="normaltextrun"/>
          <w:rFonts w:cs="Arial"/>
          <w:color w:val="004C97"/>
          <w:highlight w:val="yellow"/>
          <w:u w:val="single"/>
        </w:rPr>
        <w:t xml:space="preserve">The </w:t>
      </w:r>
      <w:hyperlink r:id="rId34" w:tgtFrame="_blank" w:history="1">
        <w:proofErr w:type="spellStart"/>
        <w:r w:rsidRPr="004A4A21">
          <w:rPr>
            <w:rStyle w:val="normaltextrun"/>
            <w:rFonts w:cs="Arial"/>
            <w:color w:val="004C97"/>
            <w:highlight w:val="yellow"/>
            <w:u w:val="single"/>
          </w:rPr>
          <w:t>PneumoSmart</w:t>
        </w:r>
        <w:proofErr w:type="spellEnd"/>
        <w:r w:rsidRPr="004A4A21">
          <w:rPr>
            <w:rStyle w:val="normaltextrun"/>
            <w:rFonts w:cs="Arial"/>
            <w:color w:val="004C97"/>
            <w:highlight w:val="yellow"/>
            <w:u w:val="single"/>
          </w:rPr>
          <w:t xml:space="preserve"> Vaccination Tool</w:t>
        </w:r>
      </w:hyperlink>
      <w:r w:rsidRPr="00633551">
        <w:rPr>
          <w:rStyle w:val="normaltextrun"/>
          <w:rFonts w:cs="Arial"/>
          <w:color w:val="004C97"/>
          <w:highlight w:val="yellow"/>
          <w:u w:val="single"/>
        </w:rPr>
        <w:t xml:space="preserve"> and</w:t>
      </w:r>
      <w:r w:rsidRPr="004A4A21">
        <w:rPr>
          <w:rStyle w:val="normaltextrun"/>
          <w:rFonts w:cs="Arial"/>
          <w:color w:val="004C97"/>
          <w:highlight w:val="yellow"/>
          <w:u w:val="single"/>
        </w:rPr>
        <w:t xml:space="preserve"> </w:t>
      </w:r>
      <w:hyperlink r:id="rId35" w:tgtFrame="_blank" w:history="1">
        <w:r w:rsidRPr="004A4A21">
          <w:rPr>
            <w:rStyle w:val="normaltextrun"/>
            <w:rFonts w:cs="Arial"/>
            <w:color w:val="004C97"/>
            <w:highlight w:val="yellow"/>
            <w:u w:val="single"/>
          </w:rPr>
          <w:t>Pneumococcal disease guide</w:t>
        </w:r>
      </w:hyperlink>
      <w:r w:rsidRPr="00E37A3A">
        <w:rPr>
          <w:rStyle w:val="normaltextrun"/>
          <w:rFonts w:cs="Arial"/>
          <w:color w:val="004C97"/>
          <w:highlight w:val="yellow"/>
        </w:rPr>
        <w:t xml:space="preserve"> </w:t>
      </w:r>
      <w:r w:rsidRPr="00E37A3A">
        <w:rPr>
          <w:rStyle w:val="normaltextrun"/>
          <w:rFonts w:cs="Arial"/>
          <w:highlight w:val="yellow"/>
        </w:rPr>
        <w:t>(issued by the Immunisation Coalition)</w:t>
      </w:r>
      <w:r w:rsidR="009225C4" w:rsidRPr="00E37A3A">
        <w:rPr>
          <w:rStyle w:val="normaltextrun"/>
          <w:rFonts w:cs="Arial"/>
          <w:highlight w:val="yellow"/>
        </w:rPr>
        <w:t>.</w:t>
      </w:r>
      <w:r w:rsidR="00633551" w:rsidRPr="00E37A3A">
        <w:rPr>
          <w:rStyle w:val="normaltextrun"/>
          <w:rFonts w:cs="Arial"/>
          <w:highlight w:val="yellow"/>
        </w:rPr>
        <w:t xml:space="preserve"> </w:t>
      </w:r>
      <w:r w:rsidRPr="004A4A21">
        <w:rPr>
          <w:rStyle w:val="eop"/>
          <w:rFonts w:cs="Arial"/>
          <w:color w:val="004C97"/>
          <w:highlight w:val="yellow"/>
        </w:rPr>
        <w:t> </w:t>
      </w:r>
    </w:p>
    <w:p w14:paraId="219E769D" w14:textId="5633AA91" w:rsidR="007F4470" w:rsidRPr="007B64A5" w:rsidRDefault="006E6891" w:rsidP="00576DF6">
      <w:pPr>
        <w:pStyle w:val="DHHSbody"/>
        <w:spacing w:before="120"/>
        <w:rPr>
          <w:rStyle w:val="normaltextrun"/>
          <w:rFonts w:cs="Arial"/>
          <w:color w:val="000000"/>
          <w:shd w:val="clear" w:color="auto" w:fill="FFFFFF"/>
        </w:rPr>
      </w:pPr>
      <w:r w:rsidRPr="007B64A5">
        <w:rPr>
          <w:rStyle w:val="normaltextrun"/>
          <w:rFonts w:cs="Arial"/>
          <w:color w:val="000000"/>
          <w:highlight w:val="yellow"/>
          <w:shd w:val="clear" w:color="auto" w:fill="FFFFFF"/>
        </w:rPr>
        <w:t>If the pharmac</w:t>
      </w:r>
      <w:r w:rsidRPr="007B64A5">
        <w:rPr>
          <w:rStyle w:val="normaltextrun"/>
          <w:color w:val="000000"/>
          <w:highlight w:val="yellow"/>
          <w:shd w:val="clear" w:color="auto" w:fill="FFFFFF"/>
        </w:rPr>
        <w:t xml:space="preserve">ist </w:t>
      </w:r>
      <w:r w:rsidRPr="007B64A5">
        <w:rPr>
          <w:rStyle w:val="normaltextrun"/>
          <w:rFonts w:cs="Arial"/>
          <w:color w:val="000000"/>
          <w:highlight w:val="yellow"/>
          <w:shd w:val="clear" w:color="auto" w:fill="FFFFFF"/>
        </w:rPr>
        <w:t xml:space="preserve">immuniser is in any doubt of the completeness or veracity of any information provided, the </w:t>
      </w:r>
      <w:r w:rsidRPr="007B64A5">
        <w:rPr>
          <w:rStyle w:val="normaltextrun"/>
          <w:rFonts w:cs="Arial"/>
          <w:b/>
          <w:color w:val="000000"/>
          <w:highlight w:val="yellow"/>
          <w:shd w:val="clear" w:color="auto" w:fill="FFFFFF"/>
        </w:rPr>
        <w:t>vaccination should not take place</w:t>
      </w:r>
      <w:r w:rsidRPr="007B64A5">
        <w:rPr>
          <w:rStyle w:val="normaltextrun"/>
          <w:rFonts w:cs="Arial"/>
          <w:color w:val="000000"/>
          <w:highlight w:val="yellow"/>
          <w:shd w:val="clear" w:color="auto" w:fill="FFFFFF"/>
        </w:rPr>
        <w:t xml:space="preserve"> and the patient should be referred to their medical practitioner for further assessment and care.</w:t>
      </w:r>
    </w:p>
    <w:p w14:paraId="2CC95922" w14:textId="6EA2786C" w:rsidR="002E7BB1" w:rsidRPr="005C5883" w:rsidRDefault="002E7BB1" w:rsidP="00700529">
      <w:pPr>
        <w:pStyle w:val="Heading2"/>
        <w:numPr>
          <w:ilvl w:val="1"/>
          <w:numId w:val="29"/>
        </w:numPr>
        <w:rPr>
          <w:rFonts w:eastAsia="Times"/>
          <w:sz w:val="28"/>
          <w:highlight w:val="yellow"/>
        </w:rPr>
      </w:pPr>
      <w:bookmarkStart w:id="36" w:name="_Toc115426485"/>
      <w:r w:rsidRPr="005C5883">
        <w:rPr>
          <w:rFonts w:eastAsia="Times"/>
          <w:sz w:val="28"/>
          <w:highlight w:val="yellow"/>
        </w:rPr>
        <w:t>Herpes zoster vaccine</w:t>
      </w:r>
      <w:bookmarkEnd w:id="36"/>
    </w:p>
    <w:p w14:paraId="3E3F409E" w14:textId="4068FE70" w:rsidR="00B02201" w:rsidRPr="00A37AE9" w:rsidRDefault="00B02201" w:rsidP="00B02201">
      <w:pPr>
        <w:pStyle w:val="DHHSbullet1"/>
        <w:spacing w:after="120"/>
        <w:ind w:left="0" w:firstLine="0"/>
        <w:rPr>
          <w:highlight w:val="yellow"/>
        </w:rPr>
      </w:pPr>
      <w:r w:rsidRPr="00EA0CCA">
        <w:rPr>
          <w:highlight w:val="yellow"/>
        </w:rPr>
        <w:t xml:space="preserve">Victorian </w:t>
      </w:r>
      <w:r w:rsidR="009A1C04">
        <w:rPr>
          <w:highlight w:val="yellow"/>
        </w:rPr>
        <w:t>P</w:t>
      </w:r>
      <w:r w:rsidRPr="00EA0CCA">
        <w:rPr>
          <w:highlight w:val="yellow"/>
        </w:rPr>
        <w:t xml:space="preserve">harmacist </w:t>
      </w:r>
      <w:r w:rsidR="009A1C04">
        <w:rPr>
          <w:highlight w:val="yellow"/>
        </w:rPr>
        <w:t>I</w:t>
      </w:r>
      <w:r w:rsidRPr="00EA0CCA">
        <w:rPr>
          <w:highlight w:val="yellow"/>
        </w:rPr>
        <w:t xml:space="preserve">mmunisers are authorised to administer </w:t>
      </w:r>
      <w:r w:rsidR="00EF6CA3" w:rsidRPr="00EA0CCA">
        <w:rPr>
          <w:highlight w:val="yellow"/>
        </w:rPr>
        <w:t xml:space="preserve">herpes zoster </w:t>
      </w:r>
      <w:r w:rsidR="009A1C04">
        <w:rPr>
          <w:highlight w:val="yellow"/>
        </w:rPr>
        <w:t xml:space="preserve">(shingles) </w:t>
      </w:r>
      <w:r w:rsidRPr="00EA0CCA">
        <w:rPr>
          <w:highlight w:val="yellow"/>
        </w:rPr>
        <w:t xml:space="preserve">vaccine </w:t>
      </w:r>
      <w:r w:rsidR="00077002">
        <w:rPr>
          <w:highlight w:val="yellow"/>
        </w:rPr>
        <w:t>to</w:t>
      </w:r>
      <w:r w:rsidRPr="00EA0CCA">
        <w:rPr>
          <w:highlight w:val="yellow"/>
        </w:rPr>
        <w:t xml:space="preserve"> certain target groups</w:t>
      </w:r>
      <w:r w:rsidR="009A1C04">
        <w:rPr>
          <w:highlight w:val="yellow"/>
        </w:rPr>
        <w:t xml:space="preserve"> </w:t>
      </w:r>
      <w:r w:rsidR="009A1C04" w:rsidRPr="004E6B18">
        <w:rPr>
          <w:rFonts w:cs="Arial"/>
          <w:highlight w:val="yellow"/>
        </w:rPr>
        <w:t>without a prescription or other instruction from an authorised prescriber</w:t>
      </w:r>
      <w:r w:rsidR="001F28C0" w:rsidRPr="004E6B18">
        <w:rPr>
          <w:rFonts w:cs="Arial"/>
          <w:highlight w:val="yellow"/>
        </w:rPr>
        <w:t>. These include</w:t>
      </w:r>
      <w:r w:rsidRPr="00A37AE9">
        <w:rPr>
          <w:highlight w:val="yellow"/>
        </w:rPr>
        <w:t>:</w:t>
      </w:r>
    </w:p>
    <w:p w14:paraId="1B9EB8A1" w14:textId="77777777" w:rsidR="00B02201" w:rsidRPr="00EA0CCA" w:rsidRDefault="00B02201" w:rsidP="00700529">
      <w:pPr>
        <w:pStyle w:val="DHHSbullet1"/>
        <w:numPr>
          <w:ilvl w:val="0"/>
          <w:numId w:val="9"/>
        </w:numPr>
        <w:spacing w:line="240" w:lineRule="auto"/>
        <w:ind w:left="993" w:hanging="567"/>
        <w:rPr>
          <w:highlight w:val="yellow"/>
        </w:rPr>
      </w:pPr>
      <w:r w:rsidRPr="00EA0CCA">
        <w:rPr>
          <w:highlight w:val="yellow"/>
        </w:rPr>
        <w:t>Target group 1</w:t>
      </w:r>
    </w:p>
    <w:p w14:paraId="331DBA0D" w14:textId="35E4F8F8" w:rsidR="00B02201" w:rsidRPr="00EA0CCA" w:rsidRDefault="001F28C0" w:rsidP="00700529">
      <w:pPr>
        <w:pStyle w:val="DHHSbullet1"/>
        <w:numPr>
          <w:ilvl w:val="1"/>
          <w:numId w:val="9"/>
        </w:numPr>
        <w:spacing w:line="240" w:lineRule="auto"/>
        <w:rPr>
          <w:highlight w:val="yellow"/>
        </w:rPr>
      </w:pPr>
      <w:r>
        <w:rPr>
          <w:highlight w:val="yellow"/>
        </w:rPr>
        <w:t>people</w:t>
      </w:r>
      <w:r w:rsidR="00B02201" w:rsidRPr="00EA0CCA">
        <w:rPr>
          <w:highlight w:val="yellow"/>
        </w:rPr>
        <w:t xml:space="preserve"> aged </w:t>
      </w:r>
      <w:r w:rsidR="009C15B2">
        <w:rPr>
          <w:highlight w:val="yellow"/>
        </w:rPr>
        <w:t>70</w:t>
      </w:r>
      <w:r w:rsidR="00B02201" w:rsidRPr="00EA0CCA">
        <w:rPr>
          <w:highlight w:val="yellow"/>
        </w:rPr>
        <w:t xml:space="preserve"> years and </w:t>
      </w:r>
      <w:r>
        <w:rPr>
          <w:highlight w:val="yellow"/>
        </w:rPr>
        <w:t>older</w:t>
      </w:r>
      <w:r w:rsidR="00B02201" w:rsidRPr="00EA0CCA">
        <w:rPr>
          <w:highlight w:val="yellow"/>
        </w:rPr>
        <w:t xml:space="preserve"> eligible for</w:t>
      </w:r>
      <w:r w:rsidR="005A5D06">
        <w:rPr>
          <w:highlight w:val="yellow"/>
        </w:rPr>
        <w:t xml:space="preserve"> a</w:t>
      </w:r>
      <w:r w:rsidR="00B02201" w:rsidRPr="00EA0CCA">
        <w:rPr>
          <w:highlight w:val="yellow"/>
        </w:rPr>
        <w:t xml:space="preserve"> government-funded </w:t>
      </w:r>
      <w:r w:rsidR="00C40243" w:rsidRPr="00EA0CCA">
        <w:rPr>
          <w:highlight w:val="yellow"/>
        </w:rPr>
        <w:t>herpes zoster</w:t>
      </w:r>
      <w:r w:rsidR="008A3848" w:rsidRPr="00EA0CCA">
        <w:rPr>
          <w:highlight w:val="yellow"/>
        </w:rPr>
        <w:t xml:space="preserve"> </w:t>
      </w:r>
      <w:r w:rsidR="00B02201" w:rsidRPr="00EA0CCA">
        <w:rPr>
          <w:highlight w:val="yellow"/>
        </w:rPr>
        <w:t>vaccine through the NIP</w:t>
      </w:r>
      <w:r w:rsidR="00603DCC">
        <w:rPr>
          <w:highlight w:val="yellow"/>
        </w:rPr>
        <w:t>.</w:t>
      </w:r>
    </w:p>
    <w:p w14:paraId="16775C18" w14:textId="77777777" w:rsidR="00B02201" w:rsidRPr="00EA0CCA" w:rsidRDefault="00B02201" w:rsidP="00B02201">
      <w:pPr>
        <w:spacing w:after="40"/>
        <w:rPr>
          <w:rFonts w:ascii="Arial" w:eastAsia="Times" w:hAnsi="Arial"/>
          <w:highlight w:val="yellow"/>
        </w:rPr>
      </w:pPr>
    </w:p>
    <w:p w14:paraId="7C14B040" w14:textId="77777777" w:rsidR="00B02201" w:rsidRPr="00EA0CCA" w:rsidRDefault="00B02201" w:rsidP="00700529">
      <w:pPr>
        <w:pStyle w:val="DHHSbullet1"/>
        <w:numPr>
          <w:ilvl w:val="0"/>
          <w:numId w:val="9"/>
        </w:numPr>
        <w:spacing w:line="240" w:lineRule="auto"/>
        <w:ind w:left="993" w:hanging="567"/>
        <w:rPr>
          <w:highlight w:val="yellow"/>
        </w:rPr>
      </w:pPr>
      <w:r w:rsidRPr="00EA0CCA">
        <w:rPr>
          <w:highlight w:val="yellow"/>
        </w:rPr>
        <w:t xml:space="preserve">Target group 2 </w:t>
      </w:r>
    </w:p>
    <w:p w14:paraId="3BC6372B" w14:textId="269C4178" w:rsidR="00B02201" w:rsidRPr="00B37B58" w:rsidRDefault="005A5D06" w:rsidP="00700529">
      <w:pPr>
        <w:pStyle w:val="DHHSbullet1"/>
        <w:numPr>
          <w:ilvl w:val="1"/>
          <w:numId w:val="9"/>
        </w:numPr>
        <w:spacing w:line="240" w:lineRule="auto"/>
        <w:rPr>
          <w:highlight w:val="yellow"/>
        </w:rPr>
      </w:pPr>
      <w:r>
        <w:rPr>
          <w:highlight w:val="yellow"/>
        </w:rPr>
        <w:t>people</w:t>
      </w:r>
      <w:r w:rsidR="00B02201" w:rsidRPr="00EA0CCA">
        <w:rPr>
          <w:highlight w:val="yellow"/>
        </w:rPr>
        <w:t xml:space="preserve"> aged </w:t>
      </w:r>
      <w:r w:rsidR="00066F32" w:rsidRPr="00EA0CCA">
        <w:rPr>
          <w:highlight w:val="yellow"/>
        </w:rPr>
        <w:t xml:space="preserve">50 </w:t>
      </w:r>
      <w:r w:rsidR="00B02201" w:rsidRPr="00EA0CCA">
        <w:rPr>
          <w:highlight w:val="yellow"/>
        </w:rPr>
        <w:t>years and older</w:t>
      </w:r>
      <w:r w:rsidR="006224F8">
        <w:rPr>
          <w:highlight w:val="yellow"/>
        </w:rPr>
        <w:t>, and</w:t>
      </w:r>
      <w:r w:rsidR="00B02201" w:rsidRPr="00EA0CCA">
        <w:rPr>
          <w:highlight w:val="yellow"/>
        </w:rPr>
        <w:t xml:space="preserve"> not eligible for the NIP</w:t>
      </w:r>
      <w:r w:rsidR="00603DCC">
        <w:rPr>
          <w:highlight w:val="yellow"/>
        </w:rPr>
        <w:t>.</w:t>
      </w:r>
      <w:r w:rsidR="00B02201" w:rsidRPr="00EA0CCA">
        <w:rPr>
          <w:highlight w:val="yellow"/>
        </w:rPr>
        <w:t xml:space="preserve"> </w:t>
      </w:r>
    </w:p>
    <w:p w14:paraId="33DFBF96" w14:textId="751DB066" w:rsidR="008F72AC" w:rsidRPr="000E0850" w:rsidRDefault="008F72AC" w:rsidP="00B37B58">
      <w:pPr>
        <w:pStyle w:val="DHHSbody"/>
        <w:spacing w:before="120"/>
        <w:rPr>
          <w:rStyle w:val="eop"/>
          <w:rFonts w:cs="Arial"/>
          <w:color w:val="000000"/>
          <w:highlight w:val="yellow"/>
          <w:shd w:val="clear" w:color="auto" w:fill="FFFFFF"/>
        </w:rPr>
      </w:pPr>
      <w:r w:rsidRPr="00C44A0F">
        <w:rPr>
          <w:rStyle w:val="normaltextrun"/>
          <w:rFonts w:cs="Arial"/>
          <w:color w:val="000000"/>
          <w:highlight w:val="yellow"/>
          <w:shd w:val="clear" w:color="auto" w:fill="FFFFFF"/>
        </w:rPr>
        <w:t xml:space="preserve">People aged 70 to 79 years are expected to benefit most from herpes </w:t>
      </w:r>
      <w:r w:rsidRPr="00C44A0F">
        <w:rPr>
          <w:rStyle w:val="findhit"/>
          <w:rFonts w:cs="Arial"/>
          <w:color w:val="000000"/>
          <w:highlight w:val="yellow"/>
          <w:shd w:val="clear" w:color="auto" w:fill="FFFFFF"/>
        </w:rPr>
        <w:t>zoster</w:t>
      </w:r>
      <w:r w:rsidRPr="00C44A0F">
        <w:rPr>
          <w:rStyle w:val="normaltextrun"/>
          <w:rFonts w:cs="Arial"/>
          <w:color w:val="000000"/>
          <w:highlight w:val="yellow"/>
          <w:shd w:val="clear" w:color="auto" w:fill="FFFFFF"/>
        </w:rPr>
        <w:t xml:space="preserve"> vaccination. The Australian Technical Advisory Group on Immunisation (ATAGI) recommend that people aged 60 years of age and older who have not yet received a </w:t>
      </w:r>
      <w:r w:rsidR="002230AD" w:rsidRPr="00C44A0F">
        <w:rPr>
          <w:rStyle w:val="normaltextrun"/>
          <w:rFonts w:cs="Arial"/>
          <w:color w:val="000000"/>
          <w:highlight w:val="yellow"/>
          <w:shd w:val="clear" w:color="auto" w:fill="FFFFFF"/>
        </w:rPr>
        <w:t>herpes zoster</w:t>
      </w:r>
      <w:r w:rsidRPr="00C44A0F">
        <w:rPr>
          <w:rStyle w:val="normaltextrun"/>
          <w:rFonts w:cs="Arial"/>
          <w:color w:val="000000"/>
          <w:highlight w:val="yellow"/>
          <w:shd w:val="clear" w:color="auto" w:fill="FFFFFF"/>
        </w:rPr>
        <w:t xml:space="preserve"> vaccine should do so. People aged 50 years and older who are household contacts of a person who is immunocompromised are also recommended to receive </w:t>
      </w:r>
      <w:r w:rsidRPr="00C44A0F">
        <w:rPr>
          <w:rStyle w:val="normaltextrun"/>
          <w:rFonts w:cs="Arial"/>
          <w:color w:val="000000"/>
          <w:highlight w:val="yellow"/>
          <w:shd w:val="clear" w:color="auto" w:fill="FFFFFF"/>
        </w:rPr>
        <w:lastRenderedPageBreak/>
        <w:t xml:space="preserve">the vaccine. Otherwise, adults aged 50 years and older are not routinely recommended to receive the </w:t>
      </w:r>
      <w:proofErr w:type="gramStart"/>
      <w:r w:rsidRPr="00C44A0F">
        <w:rPr>
          <w:rStyle w:val="normaltextrun"/>
          <w:rFonts w:cs="Arial"/>
          <w:color w:val="000000"/>
          <w:highlight w:val="yellow"/>
          <w:shd w:val="clear" w:color="auto" w:fill="FFFFFF"/>
        </w:rPr>
        <w:t>vaccine, but</w:t>
      </w:r>
      <w:proofErr w:type="gramEnd"/>
      <w:r w:rsidRPr="00C44A0F">
        <w:rPr>
          <w:rStyle w:val="normaltextrun"/>
          <w:rFonts w:cs="Arial"/>
          <w:color w:val="000000"/>
          <w:highlight w:val="yellow"/>
          <w:shd w:val="clear" w:color="auto" w:fill="FFFFFF"/>
        </w:rPr>
        <w:t xml:space="preserve"> may choose to be vaccinated to reduce their risk of shingles</w:t>
      </w:r>
      <w:r w:rsidRPr="000E0850">
        <w:rPr>
          <w:rStyle w:val="normaltextrun"/>
          <w:rFonts w:cs="Arial"/>
          <w:color w:val="000000"/>
          <w:highlight w:val="yellow"/>
          <w:shd w:val="clear" w:color="auto" w:fill="FFFFFF"/>
        </w:rPr>
        <w:t>.</w:t>
      </w:r>
      <w:r w:rsidRPr="000E0850">
        <w:rPr>
          <w:rStyle w:val="eop"/>
          <w:rFonts w:cs="Arial"/>
          <w:color w:val="000000"/>
          <w:highlight w:val="yellow"/>
          <w:shd w:val="clear" w:color="auto" w:fill="FFFFFF"/>
        </w:rPr>
        <w:t> </w:t>
      </w:r>
    </w:p>
    <w:p w14:paraId="5E8932E7" w14:textId="5AA0E5B4" w:rsidR="00DC0662" w:rsidRPr="00DC0662" w:rsidRDefault="007122AC" w:rsidP="00DC0662">
      <w:pPr>
        <w:pStyle w:val="DHHSbody"/>
        <w:spacing w:before="120"/>
        <w:rPr>
          <w:rStyle w:val="normaltextrun"/>
          <w:rFonts w:cs="Arial"/>
          <w:color w:val="000000"/>
          <w:highlight w:val="yellow"/>
          <w:shd w:val="clear" w:color="auto" w:fill="FFFFFF"/>
        </w:rPr>
      </w:pPr>
      <w:r w:rsidRPr="000E0850">
        <w:rPr>
          <w:rStyle w:val="normaltextrun"/>
          <w:rFonts w:cs="Arial"/>
          <w:color w:val="000000"/>
          <w:highlight w:val="yellow"/>
          <w:shd w:val="clear" w:color="auto" w:fill="FFFFFF"/>
        </w:rPr>
        <w:t>The Zostavax</w:t>
      </w:r>
      <w:r w:rsidRPr="000E0850">
        <w:rPr>
          <w:rStyle w:val="normaltextrun"/>
          <w:rFonts w:cs="Arial"/>
          <w:color w:val="000000"/>
          <w:highlight w:val="yellow"/>
          <w:shd w:val="clear" w:color="auto" w:fill="FFFFFF"/>
          <w:vertAlign w:val="superscript"/>
        </w:rPr>
        <w:t>®</w:t>
      </w:r>
      <w:r w:rsidRPr="00C13A81">
        <w:rPr>
          <w:rStyle w:val="normaltextrun"/>
          <w:rFonts w:cs="Arial"/>
          <w:color w:val="000000"/>
          <w:highlight w:val="yellow"/>
          <w:shd w:val="clear" w:color="auto" w:fill="FFFFFF"/>
        </w:rPr>
        <w:t xml:space="preserve"> vaccine is a live herpes </w:t>
      </w:r>
      <w:r w:rsidRPr="00C13A81">
        <w:rPr>
          <w:rStyle w:val="findhit"/>
          <w:rFonts w:cs="Arial"/>
          <w:color w:val="000000"/>
          <w:highlight w:val="yellow"/>
          <w:shd w:val="clear" w:color="auto" w:fill="FFFFFF"/>
        </w:rPr>
        <w:t>zoster</w:t>
      </w:r>
      <w:r w:rsidRPr="00C13A81">
        <w:rPr>
          <w:rStyle w:val="normaltextrun"/>
          <w:rFonts w:cs="Arial"/>
          <w:color w:val="000000"/>
          <w:highlight w:val="yellow"/>
          <w:shd w:val="clear" w:color="auto" w:fill="FFFFFF"/>
        </w:rPr>
        <w:t xml:space="preserve"> vaccine. </w:t>
      </w:r>
      <w:r w:rsidR="00DC0662" w:rsidRPr="00DC0662">
        <w:rPr>
          <w:rStyle w:val="normaltextrun"/>
          <w:rFonts w:cs="Arial"/>
          <w:color w:val="000000"/>
          <w:highlight w:val="yellow"/>
          <w:shd w:val="clear" w:color="auto" w:fill="FFFFFF"/>
        </w:rPr>
        <w:t>It is contraindicated in people with current or recent severe immunocompromising conditions from either:</w:t>
      </w:r>
    </w:p>
    <w:p w14:paraId="5C7755D3" w14:textId="77777777" w:rsidR="00DC0662" w:rsidRPr="00DC0662" w:rsidRDefault="00DC0662" w:rsidP="00DC0662">
      <w:pPr>
        <w:pStyle w:val="DHHSbody"/>
        <w:numPr>
          <w:ilvl w:val="0"/>
          <w:numId w:val="37"/>
        </w:numPr>
        <w:spacing w:before="120"/>
        <w:rPr>
          <w:rStyle w:val="normaltextrun"/>
          <w:rFonts w:cs="Arial"/>
          <w:color w:val="000000"/>
          <w:highlight w:val="yellow"/>
          <w:shd w:val="clear" w:color="auto" w:fill="FFFFFF"/>
        </w:rPr>
      </w:pPr>
      <w:r w:rsidRPr="00DC0662">
        <w:rPr>
          <w:rStyle w:val="normaltextrun"/>
          <w:rFonts w:cs="Arial"/>
          <w:color w:val="000000"/>
          <w:highlight w:val="yellow"/>
          <w:shd w:val="clear" w:color="auto" w:fill="FFFFFF"/>
        </w:rPr>
        <w:t>a primary or acquired medical condition, or</w:t>
      </w:r>
    </w:p>
    <w:p w14:paraId="601A92ED" w14:textId="1E975C6A" w:rsidR="00DC0662" w:rsidRPr="00DC0662" w:rsidRDefault="00DC0662" w:rsidP="00DC0662">
      <w:pPr>
        <w:pStyle w:val="DHHSbody"/>
        <w:numPr>
          <w:ilvl w:val="0"/>
          <w:numId w:val="37"/>
        </w:numPr>
        <w:spacing w:before="120"/>
        <w:rPr>
          <w:rStyle w:val="normaltextrun"/>
          <w:rFonts w:cs="Arial"/>
          <w:color w:val="000000"/>
          <w:highlight w:val="yellow"/>
          <w:shd w:val="clear" w:color="auto" w:fill="FFFFFF"/>
        </w:rPr>
      </w:pPr>
      <w:r w:rsidRPr="00DC0662">
        <w:rPr>
          <w:rStyle w:val="normaltextrun"/>
          <w:rFonts w:cs="Arial"/>
          <w:color w:val="000000"/>
          <w:highlight w:val="yellow"/>
          <w:shd w:val="clear" w:color="auto" w:fill="FFFFFF"/>
        </w:rPr>
        <w:t>medical treatment</w:t>
      </w:r>
      <w:r w:rsidR="00A0634B" w:rsidRPr="0045387A">
        <w:rPr>
          <w:rStyle w:val="normaltextrun"/>
          <w:rFonts w:cs="Arial"/>
          <w:color w:val="000000"/>
          <w:highlight w:val="yellow"/>
          <w:shd w:val="clear" w:color="auto" w:fill="FFFFFF"/>
          <w:vertAlign w:val="superscript"/>
        </w:rPr>
        <w:t>14</w:t>
      </w:r>
      <w:r w:rsidR="00BD3C57" w:rsidRPr="00DC0662">
        <w:rPr>
          <w:rStyle w:val="normaltextrun"/>
          <w:rFonts w:cs="Arial"/>
          <w:color w:val="000000"/>
          <w:highlight w:val="yellow"/>
          <w:shd w:val="clear" w:color="auto" w:fill="FFFFFF"/>
        </w:rPr>
        <w:t xml:space="preserve">. </w:t>
      </w:r>
    </w:p>
    <w:p w14:paraId="1BCA8CCC" w14:textId="1F537775" w:rsidR="00F72E33" w:rsidRPr="00C13A81" w:rsidRDefault="007122AC" w:rsidP="00B37B58">
      <w:pPr>
        <w:pStyle w:val="DHHSbody"/>
        <w:spacing w:before="120"/>
        <w:rPr>
          <w:rStyle w:val="normaltextrun"/>
          <w:rFonts w:cs="Arial"/>
          <w:color w:val="000000"/>
          <w:highlight w:val="yellow"/>
          <w:shd w:val="clear" w:color="auto" w:fill="FFFFFF"/>
        </w:rPr>
      </w:pPr>
      <w:r w:rsidRPr="00C13A81">
        <w:rPr>
          <w:rStyle w:val="normaltextrun"/>
          <w:rFonts w:cs="Arial"/>
          <w:color w:val="000000"/>
          <w:highlight w:val="yellow"/>
          <w:shd w:val="clear" w:color="auto" w:fill="FFFFFF"/>
        </w:rPr>
        <w:t xml:space="preserve">People who are, or recently have been immunocompromised due to a medical condition or treatment should be counselled regarding their choice of herpes </w:t>
      </w:r>
      <w:r w:rsidRPr="00C13A81">
        <w:rPr>
          <w:rStyle w:val="findhit"/>
          <w:rFonts w:cs="Arial"/>
          <w:color w:val="000000"/>
          <w:highlight w:val="yellow"/>
          <w:shd w:val="clear" w:color="auto" w:fill="FFFFFF"/>
        </w:rPr>
        <w:t>zoster</w:t>
      </w:r>
      <w:r w:rsidRPr="00C13A81">
        <w:rPr>
          <w:rStyle w:val="normaltextrun"/>
          <w:rFonts w:cs="Arial"/>
          <w:color w:val="000000"/>
          <w:highlight w:val="yellow"/>
          <w:shd w:val="clear" w:color="auto" w:fill="FFFFFF"/>
        </w:rPr>
        <w:t xml:space="preserve"> vaccine. </w:t>
      </w:r>
    </w:p>
    <w:p w14:paraId="2E07FB98" w14:textId="660AB7A7" w:rsidR="00793B42" w:rsidRPr="00C13A81" w:rsidRDefault="00793B42" w:rsidP="00B37B58">
      <w:pPr>
        <w:pStyle w:val="DHHSbody"/>
        <w:spacing w:before="120"/>
        <w:rPr>
          <w:rStyle w:val="normaltextrun"/>
          <w:rFonts w:cs="Arial"/>
          <w:color w:val="000000"/>
          <w:highlight w:val="yellow"/>
          <w:shd w:val="clear" w:color="auto" w:fill="FFFFFF"/>
        </w:rPr>
      </w:pPr>
      <w:r w:rsidRPr="00C13A81">
        <w:rPr>
          <w:rStyle w:val="normaltextrun"/>
          <w:rFonts w:cs="Arial"/>
          <w:color w:val="000000"/>
          <w:highlight w:val="yellow"/>
          <w:shd w:val="clear" w:color="auto" w:fill="FFFFFF"/>
        </w:rPr>
        <w:t>All immunisers must adhere to safeguards such as performing a pre-vaccination checklist for the vaccine proposed for administration, including a medical history of the patient. </w:t>
      </w:r>
      <w:r w:rsidRPr="00C13A81">
        <w:rPr>
          <w:rStyle w:val="eop"/>
          <w:rFonts w:cs="Arial"/>
          <w:color w:val="000000"/>
          <w:highlight w:val="yellow"/>
          <w:shd w:val="clear" w:color="auto" w:fill="FFFFFF"/>
        </w:rPr>
        <w:t> </w:t>
      </w:r>
    </w:p>
    <w:p w14:paraId="32D7C5AE" w14:textId="7F73F302" w:rsidR="007122AC" w:rsidRPr="001E6914" w:rsidRDefault="007122AC" w:rsidP="00B37B58">
      <w:pPr>
        <w:pStyle w:val="DHHSbody"/>
        <w:spacing w:before="120"/>
        <w:rPr>
          <w:rStyle w:val="normaltextrun"/>
          <w:rFonts w:cs="Arial"/>
          <w:color w:val="000000"/>
          <w:highlight w:val="yellow"/>
          <w:shd w:val="clear" w:color="auto" w:fill="FFFFFF"/>
        </w:rPr>
      </w:pPr>
      <w:r w:rsidRPr="00C13A81">
        <w:rPr>
          <w:rStyle w:val="normaltextrun"/>
          <w:rFonts w:cs="Arial"/>
          <w:color w:val="000000"/>
          <w:highlight w:val="yellow"/>
          <w:shd w:val="clear" w:color="auto" w:fill="FFFFFF"/>
        </w:rPr>
        <w:t xml:space="preserve">If the immuniser is uncertain about the person’s level of immunocompromise and whether vaccination is safe, they </w:t>
      </w:r>
      <w:r w:rsidRPr="00C13A81">
        <w:rPr>
          <w:rStyle w:val="normaltextrun"/>
          <w:rFonts w:cs="Arial"/>
          <w:b/>
          <w:color w:val="000000"/>
          <w:highlight w:val="yellow"/>
          <w:shd w:val="clear" w:color="auto" w:fill="FFFFFF"/>
        </w:rPr>
        <w:t>should not vaccinate</w:t>
      </w:r>
      <w:r w:rsidRPr="00C13A81">
        <w:rPr>
          <w:rStyle w:val="normaltextrun"/>
          <w:rFonts w:cs="Arial"/>
          <w:color w:val="000000"/>
          <w:highlight w:val="yellow"/>
          <w:shd w:val="clear" w:color="auto" w:fill="FFFFFF"/>
        </w:rPr>
        <w:t xml:space="preserve"> with the Zostavax</w:t>
      </w:r>
      <w:r w:rsidRPr="00C13A81">
        <w:rPr>
          <w:rStyle w:val="normaltextrun"/>
          <w:rFonts w:cs="Arial"/>
          <w:color w:val="000000"/>
          <w:highlight w:val="yellow"/>
          <w:shd w:val="clear" w:color="auto" w:fill="FFFFFF"/>
          <w:vertAlign w:val="superscript"/>
        </w:rPr>
        <w:t>®</w:t>
      </w:r>
      <w:r w:rsidRPr="00C13A81">
        <w:rPr>
          <w:rStyle w:val="normaltextrun"/>
          <w:rFonts w:cs="Arial"/>
          <w:color w:val="000000"/>
          <w:highlight w:val="yellow"/>
          <w:shd w:val="clear" w:color="auto" w:fill="FFFFFF"/>
        </w:rPr>
        <w:t xml:space="preserve"> vaccine. The Shingrix</w:t>
      </w:r>
      <w:r w:rsidRPr="00C13A81">
        <w:rPr>
          <w:rStyle w:val="normaltextrun"/>
          <w:rFonts w:cs="Arial"/>
          <w:color w:val="000000"/>
          <w:highlight w:val="yellow"/>
          <w:shd w:val="clear" w:color="auto" w:fill="FFFFFF"/>
          <w:vertAlign w:val="superscript"/>
        </w:rPr>
        <w:t>®</w:t>
      </w:r>
      <w:r w:rsidRPr="00C13A81">
        <w:rPr>
          <w:rStyle w:val="normaltextrun"/>
          <w:rFonts w:cs="Arial"/>
          <w:color w:val="000000"/>
          <w:highlight w:val="yellow"/>
          <w:shd w:val="clear" w:color="auto" w:fill="FFFFFF"/>
        </w:rPr>
        <w:t xml:space="preserve"> vaccine is not a live vaccine</w:t>
      </w:r>
      <w:r w:rsidRPr="00C13A81">
        <w:rPr>
          <w:rStyle w:val="normaltextrun"/>
          <w:rFonts w:cs="Arial"/>
          <w:color w:val="000000"/>
          <w:shd w:val="clear" w:color="auto" w:fill="FFFFFF"/>
        </w:rPr>
        <w:t xml:space="preserve"> </w:t>
      </w:r>
      <w:r w:rsidRPr="00FA2553">
        <w:rPr>
          <w:rStyle w:val="normaltextrun"/>
          <w:rFonts w:cs="Arial"/>
          <w:color w:val="000000"/>
          <w:highlight w:val="yellow"/>
          <w:shd w:val="clear" w:color="auto" w:fill="FFFFFF"/>
        </w:rPr>
        <w:t>and is safe to use in immunocompromised, or shortly expected to be immunocompromised persons aged 50 years and older</w:t>
      </w:r>
      <w:r w:rsidR="001D1F6C" w:rsidRPr="00FA2553">
        <w:rPr>
          <w:rStyle w:val="FootnoteReference"/>
          <w:rFonts w:cs="Arial"/>
          <w:color w:val="000000"/>
          <w:highlight w:val="yellow"/>
          <w:shd w:val="clear" w:color="auto" w:fill="FFFFFF"/>
        </w:rPr>
        <w:footnoteReference w:id="16"/>
      </w:r>
      <w:r w:rsidRPr="001E6914">
        <w:rPr>
          <w:rStyle w:val="normaltextrun"/>
          <w:rFonts w:cs="Arial"/>
          <w:color w:val="000000"/>
          <w:highlight w:val="yellow"/>
          <w:shd w:val="clear" w:color="auto" w:fill="FFFFFF"/>
        </w:rPr>
        <w:t>.</w:t>
      </w:r>
      <w:r w:rsidR="00716063" w:rsidRPr="001E6914">
        <w:rPr>
          <w:rStyle w:val="normaltextrun"/>
          <w:rFonts w:cs="Arial"/>
          <w:color w:val="000000"/>
          <w:highlight w:val="yellow"/>
          <w:shd w:val="clear" w:color="auto" w:fill="FFFFFF"/>
        </w:rPr>
        <w:t xml:space="preserve"> </w:t>
      </w:r>
    </w:p>
    <w:p w14:paraId="5E773BA3" w14:textId="6496D4F9" w:rsidR="00BF3F6B" w:rsidRPr="00C523C2" w:rsidRDefault="00BF3F6B" w:rsidP="00B37B58">
      <w:pPr>
        <w:pStyle w:val="DHHSbody"/>
        <w:spacing w:before="120"/>
        <w:rPr>
          <w:rFonts w:cs="Arial"/>
          <w:highlight w:val="yellow"/>
        </w:rPr>
      </w:pPr>
      <w:r w:rsidRPr="001E6914">
        <w:rPr>
          <w:rStyle w:val="normaltextrun"/>
          <w:rFonts w:cs="Arial"/>
          <w:color w:val="000000"/>
          <w:highlight w:val="yellow"/>
          <w:bdr w:val="none" w:sz="0" w:space="0" w:color="auto" w:frame="1"/>
        </w:rPr>
        <w:t xml:space="preserve">Where this information is not complete or the veracity of information is uncertain, the </w:t>
      </w:r>
      <w:r w:rsidRPr="001E6914">
        <w:rPr>
          <w:rStyle w:val="normaltextrun"/>
          <w:rFonts w:cs="Arial"/>
          <w:b/>
          <w:color w:val="000000"/>
          <w:highlight w:val="yellow"/>
          <w:bdr w:val="none" w:sz="0" w:space="0" w:color="auto" w:frame="1"/>
        </w:rPr>
        <w:t>vaccination should not take place</w:t>
      </w:r>
      <w:r w:rsidRPr="001E6914">
        <w:rPr>
          <w:rStyle w:val="normaltextrun"/>
          <w:rFonts w:cs="Arial"/>
          <w:color w:val="000000"/>
          <w:highlight w:val="yellow"/>
          <w:bdr w:val="none" w:sz="0" w:space="0" w:color="auto" w:frame="1"/>
        </w:rPr>
        <w:t xml:space="preserve"> and the patient should be referred to their medical practitioner for further assessment and care. </w:t>
      </w:r>
    </w:p>
    <w:p w14:paraId="3EFB3AD4" w14:textId="7FEBA119" w:rsidR="0000567A" w:rsidRPr="0006524D" w:rsidRDefault="0000567A" w:rsidP="00700529">
      <w:pPr>
        <w:pStyle w:val="Heading2"/>
        <w:numPr>
          <w:ilvl w:val="1"/>
          <w:numId w:val="29"/>
        </w:numPr>
        <w:rPr>
          <w:sz w:val="28"/>
          <w:highlight w:val="yellow"/>
        </w:rPr>
      </w:pPr>
      <w:bookmarkStart w:id="37" w:name="_Toc115426486"/>
      <w:r w:rsidRPr="0006524D">
        <w:rPr>
          <w:sz w:val="28"/>
          <w:highlight w:val="yellow"/>
        </w:rPr>
        <w:t xml:space="preserve">COVID-19 </w:t>
      </w:r>
      <w:r w:rsidR="0052160E" w:rsidRPr="0006524D">
        <w:rPr>
          <w:sz w:val="28"/>
          <w:highlight w:val="yellow"/>
        </w:rPr>
        <w:t>v</w:t>
      </w:r>
      <w:r w:rsidRPr="0006524D">
        <w:rPr>
          <w:sz w:val="28"/>
          <w:highlight w:val="yellow"/>
        </w:rPr>
        <w:t>accine</w:t>
      </w:r>
      <w:bookmarkEnd w:id="37"/>
    </w:p>
    <w:p w14:paraId="49999962" w14:textId="10F28718" w:rsidR="0000567A" w:rsidRPr="002E7BB1" w:rsidRDefault="0000567A" w:rsidP="0052160E">
      <w:pPr>
        <w:pStyle w:val="DHHSbullet1"/>
        <w:spacing w:after="120"/>
        <w:ind w:left="0" w:firstLine="0"/>
      </w:pPr>
      <w:r w:rsidRPr="00727E7C">
        <w:rPr>
          <w:highlight w:val="yellow"/>
        </w:rPr>
        <w:t xml:space="preserve">Victorian </w:t>
      </w:r>
      <w:r w:rsidR="00B37B58" w:rsidRPr="00727E7C">
        <w:rPr>
          <w:highlight w:val="yellow"/>
        </w:rPr>
        <w:t>P</w:t>
      </w:r>
      <w:r w:rsidRPr="00727E7C">
        <w:rPr>
          <w:highlight w:val="yellow"/>
        </w:rPr>
        <w:t xml:space="preserve">harmacist </w:t>
      </w:r>
      <w:r w:rsidR="00B37B58" w:rsidRPr="00727E7C">
        <w:rPr>
          <w:highlight w:val="yellow"/>
        </w:rPr>
        <w:t>I</w:t>
      </w:r>
      <w:r w:rsidRPr="00727E7C">
        <w:rPr>
          <w:highlight w:val="yellow"/>
        </w:rPr>
        <w:t xml:space="preserve">mmunisers are authorised to administer </w:t>
      </w:r>
      <w:r w:rsidR="00655CD7" w:rsidRPr="00727E7C">
        <w:rPr>
          <w:highlight w:val="yellow"/>
        </w:rPr>
        <w:t xml:space="preserve">any </w:t>
      </w:r>
      <w:r w:rsidRPr="00727E7C">
        <w:rPr>
          <w:highlight w:val="yellow"/>
        </w:rPr>
        <w:t>COVID-19</w:t>
      </w:r>
      <w:r w:rsidRPr="00727E7C">
        <w:rPr>
          <w:rFonts w:cs="Arial"/>
          <w:color w:val="000000" w:themeColor="text1"/>
          <w:highlight w:val="yellow"/>
        </w:rPr>
        <w:t xml:space="preserve"> vaccine approved by the Therapeutic Goods Administration </w:t>
      </w:r>
      <w:r w:rsidR="00655CD7" w:rsidRPr="003E3228">
        <w:rPr>
          <w:highlight w:val="yellow"/>
        </w:rPr>
        <w:t xml:space="preserve">(TGA) to persons included in the patient group for which the COVID-19 vaccine is approved by the TGA </w:t>
      </w:r>
      <w:proofErr w:type="gramStart"/>
      <w:r w:rsidR="00655CD7" w:rsidRPr="003E3228">
        <w:rPr>
          <w:highlight w:val="yellow"/>
        </w:rPr>
        <w:t>for, or</w:t>
      </w:r>
      <w:proofErr w:type="gramEnd"/>
      <w:r w:rsidR="00655CD7" w:rsidRPr="003E3228">
        <w:rPr>
          <w:highlight w:val="yellow"/>
        </w:rPr>
        <w:t xml:space="preserve"> recommended by ATAGI for</w:t>
      </w:r>
      <w:r w:rsidRPr="00CD336C">
        <w:rPr>
          <w:highlight w:val="yellow"/>
        </w:rPr>
        <w:t xml:space="preserve">. More information regarding the target groups for COVID-19 can be found in the Victorian COVID-19 </w:t>
      </w:r>
      <w:r w:rsidR="00C81A93" w:rsidRPr="00CD336C">
        <w:rPr>
          <w:highlight w:val="yellow"/>
        </w:rPr>
        <w:t xml:space="preserve">Vaccination </w:t>
      </w:r>
      <w:r w:rsidRPr="00CD336C">
        <w:rPr>
          <w:highlight w:val="yellow"/>
        </w:rPr>
        <w:t>Guidelines</w:t>
      </w:r>
      <w:r w:rsidR="0041391C" w:rsidRPr="00CD336C">
        <w:rPr>
          <w:highlight w:val="yellow"/>
        </w:rPr>
        <w:t xml:space="preserve"> available from the department’s </w:t>
      </w:r>
      <w:r w:rsidR="0041391C" w:rsidRPr="00727E7C">
        <w:rPr>
          <w:i/>
          <w:iCs/>
          <w:highlight w:val="yellow"/>
        </w:rPr>
        <w:t>Information for COVID-19 vaccine providers</w:t>
      </w:r>
      <w:r w:rsidR="0041391C" w:rsidRPr="00727E7C">
        <w:rPr>
          <w:highlight w:val="yellow"/>
        </w:rPr>
        <w:t xml:space="preserve"> webpage at</w:t>
      </w:r>
      <w:r w:rsidRPr="00727E7C">
        <w:rPr>
          <w:highlight w:val="yellow"/>
        </w:rPr>
        <w:t xml:space="preserve">: </w:t>
      </w:r>
      <w:hyperlink r:id="rId36" w:history="1">
        <w:r w:rsidR="003C3955" w:rsidRPr="00727E7C">
          <w:rPr>
            <w:rStyle w:val="Hyperlink"/>
            <w:highlight w:val="yellow"/>
          </w:rPr>
          <w:t>https://www.coronavirus.vic.gov.au/information-covid-19-vaccine-providers</w:t>
        </w:r>
      </w:hyperlink>
      <w:r w:rsidR="003C3955">
        <w:rPr>
          <w:highlight w:val="yellow"/>
        </w:rPr>
        <w:t xml:space="preserve">. </w:t>
      </w:r>
      <w:r w:rsidRPr="00727E7C">
        <w:rPr>
          <w:highlight w:val="yellow"/>
        </w:rPr>
        <w:t xml:space="preserve"> </w:t>
      </w:r>
    </w:p>
    <w:p w14:paraId="249E1214" w14:textId="43DE3B82" w:rsidR="0000567A" w:rsidRPr="00727E7C" w:rsidRDefault="0000567A" w:rsidP="00700529">
      <w:pPr>
        <w:pStyle w:val="Heading2"/>
        <w:numPr>
          <w:ilvl w:val="1"/>
          <w:numId w:val="29"/>
        </w:numPr>
        <w:rPr>
          <w:sz w:val="28"/>
        </w:rPr>
      </w:pPr>
      <w:bookmarkStart w:id="38" w:name="_Toc115426487"/>
      <w:r w:rsidRPr="00727E7C">
        <w:rPr>
          <w:sz w:val="28"/>
        </w:rPr>
        <w:t xml:space="preserve">Japanese </w:t>
      </w:r>
      <w:r w:rsidR="00B37B58" w:rsidRPr="00727E7C">
        <w:rPr>
          <w:sz w:val="28"/>
        </w:rPr>
        <w:t>e</w:t>
      </w:r>
      <w:r w:rsidRPr="00727E7C">
        <w:rPr>
          <w:sz w:val="28"/>
        </w:rPr>
        <w:t xml:space="preserve">ncephalitis (JE) </w:t>
      </w:r>
      <w:r w:rsidR="00360375">
        <w:rPr>
          <w:sz w:val="28"/>
        </w:rPr>
        <w:t>v</w:t>
      </w:r>
      <w:r w:rsidRPr="00727E7C">
        <w:rPr>
          <w:sz w:val="28"/>
        </w:rPr>
        <w:t>accine</w:t>
      </w:r>
      <w:bookmarkEnd w:id="38"/>
      <w:r w:rsidRPr="00727E7C">
        <w:rPr>
          <w:sz w:val="28"/>
        </w:rPr>
        <w:t xml:space="preserve"> </w:t>
      </w:r>
    </w:p>
    <w:p w14:paraId="5F285C0F" w14:textId="17BDDE3B" w:rsidR="0000567A" w:rsidRPr="00B37B58" w:rsidRDefault="0000567A" w:rsidP="0000567A">
      <w:pPr>
        <w:pStyle w:val="DHHSbullet1"/>
        <w:spacing w:after="120"/>
        <w:ind w:left="0" w:firstLine="0"/>
      </w:pPr>
      <w:r w:rsidRPr="00B37B58">
        <w:t xml:space="preserve">Victorian pharmacist immunisers are authorised to administer the JE vaccine to people aged five years and </w:t>
      </w:r>
      <w:r w:rsidR="001959BB">
        <w:t>older</w:t>
      </w:r>
      <w:r w:rsidR="001959BB" w:rsidRPr="00B37B58">
        <w:t xml:space="preserve"> </w:t>
      </w:r>
      <w:r w:rsidRPr="00B37B58">
        <w:t xml:space="preserve">that are recommended for vaccination as listed on the Victorian Department of Health’s </w:t>
      </w:r>
      <w:r w:rsidRPr="00B37B58">
        <w:rPr>
          <w:i/>
        </w:rPr>
        <w:t>Japanese encephalitis in Victoria</w:t>
      </w:r>
      <w:r w:rsidRPr="00B37B58">
        <w:t xml:space="preserve"> web</w:t>
      </w:r>
      <w:r w:rsidR="00936FB9">
        <w:t>page</w:t>
      </w:r>
      <w:r w:rsidRPr="00B37B58">
        <w:t xml:space="preserve">. </w:t>
      </w:r>
    </w:p>
    <w:p w14:paraId="2A60A0A4" w14:textId="191EB94F" w:rsidR="0000567A" w:rsidRPr="001959BB" w:rsidRDefault="0000567A" w:rsidP="0000567A">
      <w:pPr>
        <w:pStyle w:val="DHHSbullet1"/>
        <w:spacing w:after="120"/>
        <w:ind w:left="0" w:firstLine="0"/>
      </w:pPr>
      <w:r w:rsidRPr="00B37B58">
        <w:t xml:space="preserve">This list may be updated from time to time in response to changing circumstances, so </w:t>
      </w:r>
      <w:r w:rsidR="001959BB">
        <w:t>P</w:t>
      </w:r>
      <w:r w:rsidRPr="00B37B58">
        <w:t xml:space="preserve">harmacist </w:t>
      </w:r>
      <w:r w:rsidR="001959BB">
        <w:t>I</w:t>
      </w:r>
      <w:r w:rsidRPr="00B37B58">
        <w:t>mmunisers are required to check this list to confirm an individual’s eligibility prior to administering the vaccine. The website is available at &lt;</w:t>
      </w:r>
      <w:hyperlink r:id="rId37" w:history="1">
        <w:r w:rsidRPr="00B37B58">
          <w:rPr>
            <w:rStyle w:val="Hyperlink"/>
            <w:rFonts w:cs="Arial"/>
          </w:rPr>
          <w:t>https://www.health.vic.gov.au/infectious-diseases/information-for-health-professionals-japanese-encephalitis-in-victoria</w:t>
        </w:r>
      </w:hyperlink>
      <w:r w:rsidRPr="001959BB">
        <w:t xml:space="preserve">&gt; </w:t>
      </w:r>
    </w:p>
    <w:p w14:paraId="1CC603FC" w14:textId="77777777" w:rsidR="00A12C28" w:rsidRDefault="0000567A" w:rsidP="00A12C28">
      <w:pPr>
        <w:pStyle w:val="DHHSbullet1"/>
        <w:spacing w:after="120"/>
        <w:ind w:left="0" w:firstLine="0"/>
      </w:pPr>
      <w:r w:rsidRPr="001959BB">
        <w:t>This page also includes information about vaccine ordering and supply.</w:t>
      </w:r>
      <w:bookmarkEnd w:id="27"/>
    </w:p>
    <w:p w14:paraId="16B5F73D" w14:textId="7708843D" w:rsidR="0000567A" w:rsidRPr="00A12C28" w:rsidRDefault="002E7BB1" w:rsidP="00A12C28">
      <w:pPr>
        <w:pStyle w:val="Heading2"/>
        <w:numPr>
          <w:ilvl w:val="1"/>
          <w:numId w:val="29"/>
        </w:numPr>
        <w:rPr>
          <w:sz w:val="28"/>
          <w:highlight w:val="yellow"/>
        </w:rPr>
      </w:pPr>
      <w:bookmarkStart w:id="39" w:name="_Toc115426488"/>
      <w:r w:rsidRPr="00A12C28">
        <w:rPr>
          <w:sz w:val="28"/>
          <w:highlight w:val="yellow"/>
        </w:rPr>
        <w:t>Monkeypox vaccine</w:t>
      </w:r>
      <w:bookmarkEnd w:id="39"/>
      <w:r w:rsidRPr="00A12C28">
        <w:rPr>
          <w:sz w:val="28"/>
          <w:highlight w:val="yellow"/>
        </w:rPr>
        <w:t xml:space="preserve"> </w:t>
      </w:r>
    </w:p>
    <w:p w14:paraId="43709B5B" w14:textId="12B7D508" w:rsidR="005F1F17" w:rsidRPr="001959BB" w:rsidRDefault="005F1F17" w:rsidP="00B01179">
      <w:pPr>
        <w:pStyle w:val="DHHSbody"/>
        <w:rPr>
          <w:highlight w:val="yellow"/>
        </w:rPr>
      </w:pPr>
      <w:r w:rsidRPr="001959BB">
        <w:rPr>
          <w:highlight w:val="yellow"/>
        </w:rPr>
        <w:t>Victorian pharmacist immunisers are authorised to administer the monkeypox vaccine to people aged five years and o</w:t>
      </w:r>
      <w:r w:rsidR="003A643B">
        <w:rPr>
          <w:highlight w:val="yellow"/>
        </w:rPr>
        <w:t>lder</w:t>
      </w:r>
      <w:r w:rsidRPr="001959BB">
        <w:rPr>
          <w:highlight w:val="yellow"/>
        </w:rPr>
        <w:t xml:space="preserve"> that are recommended for vaccination as listed on the Victorian Department of Health’s </w:t>
      </w:r>
      <w:r w:rsidR="0023183D" w:rsidRPr="00877B65">
        <w:rPr>
          <w:i/>
          <w:highlight w:val="yellow"/>
        </w:rPr>
        <w:t xml:space="preserve">Monkeypox </w:t>
      </w:r>
      <w:r w:rsidRPr="001959BB">
        <w:rPr>
          <w:highlight w:val="yellow"/>
        </w:rPr>
        <w:t>web</w:t>
      </w:r>
      <w:r w:rsidR="00936FB9">
        <w:rPr>
          <w:highlight w:val="yellow"/>
        </w:rPr>
        <w:t>page</w:t>
      </w:r>
      <w:r w:rsidRPr="001959BB">
        <w:rPr>
          <w:highlight w:val="yellow"/>
        </w:rPr>
        <w:t xml:space="preserve">. </w:t>
      </w:r>
    </w:p>
    <w:p w14:paraId="5B8C2FDF" w14:textId="1A3C3DA9" w:rsidR="00FA642F" w:rsidRDefault="005F1F17" w:rsidP="00B01179">
      <w:pPr>
        <w:pStyle w:val="DHHSbody"/>
        <w:rPr>
          <w:highlight w:val="yellow"/>
        </w:rPr>
      </w:pPr>
      <w:r w:rsidRPr="001959BB">
        <w:rPr>
          <w:highlight w:val="yellow"/>
        </w:rPr>
        <w:lastRenderedPageBreak/>
        <w:t xml:space="preserve">This list may be updated from time to time in response to changing circumstances, so </w:t>
      </w:r>
      <w:r w:rsidR="00FA78F8">
        <w:rPr>
          <w:highlight w:val="yellow"/>
        </w:rPr>
        <w:t>P</w:t>
      </w:r>
      <w:r w:rsidRPr="001959BB">
        <w:rPr>
          <w:highlight w:val="yellow"/>
        </w:rPr>
        <w:t xml:space="preserve">harmacist </w:t>
      </w:r>
      <w:r w:rsidR="00FA78F8">
        <w:rPr>
          <w:highlight w:val="yellow"/>
        </w:rPr>
        <w:t>I</w:t>
      </w:r>
      <w:r w:rsidRPr="001959BB">
        <w:rPr>
          <w:highlight w:val="yellow"/>
        </w:rPr>
        <w:t xml:space="preserve">mmunisers are required to </w:t>
      </w:r>
      <w:r w:rsidR="001E5A93">
        <w:rPr>
          <w:highlight w:val="yellow"/>
        </w:rPr>
        <w:t xml:space="preserve">be aware of </w:t>
      </w:r>
      <w:r w:rsidR="00CD7FFD">
        <w:rPr>
          <w:highlight w:val="yellow"/>
        </w:rPr>
        <w:t xml:space="preserve">the priority target </w:t>
      </w:r>
      <w:r w:rsidR="008B5F0B">
        <w:rPr>
          <w:highlight w:val="yellow"/>
        </w:rPr>
        <w:t>groups</w:t>
      </w:r>
      <w:r w:rsidR="00297BF3">
        <w:rPr>
          <w:highlight w:val="yellow"/>
        </w:rPr>
        <w:t xml:space="preserve"> recommended for vaccination</w:t>
      </w:r>
      <w:r w:rsidRPr="001959BB">
        <w:rPr>
          <w:highlight w:val="yellow"/>
        </w:rPr>
        <w:t xml:space="preserve">. </w:t>
      </w:r>
      <w:r w:rsidR="00297BF3" w:rsidRPr="00297BF3">
        <w:rPr>
          <w:highlight w:val="yellow"/>
        </w:rPr>
        <w:t xml:space="preserve"> </w:t>
      </w:r>
      <w:r w:rsidR="00297BF3">
        <w:rPr>
          <w:highlight w:val="yellow"/>
        </w:rPr>
        <w:t>Please note that individuals requesting the monkeypox vaccine can self-identify that they meet the current eligibility criteria. They do not need to identify which criteria they meet, nor provide any proof of eligibility.</w:t>
      </w:r>
      <w:r w:rsidR="00393A58">
        <w:rPr>
          <w:highlight w:val="yellow"/>
        </w:rPr>
        <w:t xml:space="preserve"> </w:t>
      </w:r>
      <w:r w:rsidRPr="00877B65">
        <w:rPr>
          <w:highlight w:val="yellow"/>
        </w:rPr>
        <w:t>The website is available at</w:t>
      </w:r>
      <w:r w:rsidR="00C64708">
        <w:rPr>
          <w:highlight w:val="yellow"/>
        </w:rPr>
        <w:t>:</w:t>
      </w:r>
      <w:r w:rsidRPr="00877B65">
        <w:rPr>
          <w:highlight w:val="yellow"/>
        </w:rPr>
        <w:t xml:space="preserve"> &lt;</w:t>
      </w:r>
      <w:hyperlink r:id="rId38" w:history="1">
        <w:r w:rsidR="00CB1C8F" w:rsidRPr="00CB1C8F">
          <w:rPr>
            <w:rStyle w:val="Hyperlink"/>
            <w:rFonts w:cs="Arial"/>
            <w:highlight w:val="yellow"/>
          </w:rPr>
          <w:t>https://www.health.vic.gov.au/infectious-diseases/monkeypox</w:t>
        </w:r>
      </w:hyperlink>
      <w:r w:rsidR="00D21E02" w:rsidRPr="00877B65">
        <w:rPr>
          <w:highlight w:val="yellow"/>
        </w:rPr>
        <w:t>&gt;</w:t>
      </w:r>
      <w:r w:rsidR="0086120C">
        <w:rPr>
          <w:highlight w:val="yellow"/>
        </w:rPr>
        <w:t xml:space="preserve">.  </w:t>
      </w:r>
    </w:p>
    <w:p w14:paraId="7ECD72A4" w14:textId="690666EC" w:rsidR="00013493" w:rsidRPr="008C1FB2" w:rsidRDefault="00321D35" w:rsidP="00B01179">
      <w:pPr>
        <w:pStyle w:val="DHHSbody"/>
      </w:pPr>
      <w:r w:rsidRPr="008C1FB2">
        <w:rPr>
          <w:highlight w:val="yellow"/>
        </w:rPr>
        <w:t xml:space="preserve">Vaccine supply is limited and controlled centrally through the department. </w:t>
      </w:r>
      <w:r w:rsidR="006E3FE2" w:rsidRPr="008C1FB2">
        <w:rPr>
          <w:highlight w:val="yellow"/>
        </w:rPr>
        <w:t xml:space="preserve">For information about vaccine ordering and supply, </w:t>
      </w:r>
      <w:r w:rsidR="00BE2F6C" w:rsidRPr="008C1FB2">
        <w:rPr>
          <w:highlight w:val="yellow"/>
        </w:rPr>
        <w:t xml:space="preserve">refer to the </w:t>
      </w:r>
      <w:r w:rsidR="00F53B03" w:rsidRPr="008C1FB2">
        <w:rPr>
          <w:highlight w:val="yellow"/>
        </w:rPr>
        <w:t xml:space="preserve">Victorian monkeypox vaccination guidelines, available through the above webpage. Compliance with the </w:t>
      </w:r>
      <w:r w:rsidR="00F53B03" w:rsidRPr="008C1FB2">
        <w:rPr>
          <w:i/>
          <w:highlight w:val="yellow"/>
        </w:rPr>
        <w:t xml:space="preserve">Victorian monkeypox vaccination guidelines </w:t>
      </w:r>
      <w:proofErr w:type="gramStart"/>
      <w:r w:rsidR="00F53B03" w:rsidRPr="008C1FB2">
        <w:rPr>
          <w:highlight w:val="yellow"/>
        </w:rPr>
        <w:t>is</w:t>
      </w:r>
      <w:proofErr w:type="gramEnd"/>
      <w:r w:rsidR="00F53B03" w:rsidRPr="008C1FB2">
        <w:rPr>
          <w:highlight w:val="yellow"/>
        </w:rPr>
        <w:t xml:space="preserve"> a condition of the Secretary Approval: Pharmacist Immuniser</w:t>
      </w:r>
      <w:r w:rsidR="00F53B03">
        <w:rPr>
          <w:highlight w:val="yellow"/>
        </w:rPr>
        <w:t xml:space="preserve"> when administering the monkeypox vaccine to </w:t>
      </w:r>
      <w:r w:rsidR="00727E7C">
        <w:rPr>
          <w:highlight w:val="yellow"/>
        </w:rPr>
        <w:t>people recommended for vaccination</w:t>
      </w:r>
      <w:r w:rsidR="00F53B03" w:rsidRPr="008C1FB2">
        <w:rPr>
          <w:highlight w:val="yellow"/>
        </w:rPr>
        <w:t>.</w:t>
      </w:r>
    </w:p>
    <w:p w14:paraId="1503838B" w14:textId="77777777" w:rsidR="0000567A" w:rsidRPr="00A12C28" w:rsidRDefault="0000567A" w:rsidP="00700529">
      <w:pPr>
        <w:pStyle w:val="Heading2"/>
        <w:numPr>
          <w:ilvl w:val="1"/>
          <w:numId w:val="29"/>
        </w:numPr>
        <w:rPr>
          <w:sz w:val="28"/>
          <w:highlight w:val="yellow"/>
        </w:rPr>
      </w:pPr>
      <w:bookmarkStart w:id="40" w:name="_Toc115426489"/>
      <w:r w:rsidRPr="00A12C28">
        <w:rPr>
          <w:sz w:val="28"/>
          <w:highlight w:val="yellow"/>
        </w:rPr>
        <w:t>Exclusions</w:t>
      </w:r>
      <w:bookmarkEnd w:id="40"/>
    </w:p>
    <w:p w14:paraId="42DA263D" w14:textId="77777777" w:rsidR="0000567A" w:rsidRPr="007F6F85" w:rsidRDefault="0000567A" w:rsidP="0000567A">
      <w:pPr>
        <w:pStyle w:val="DHHSbody"/>
        <w:rPr>
          <w:rFonts w:cs="Arial"/>
        </w:rPr>
      </w:pPr>
      <w:r w:rsidRPr="007F6F85">
        <w:rPr>
          <w:rFonts w:cs="Arial"/>
          <w:color w:val="000000"/>
          <w:lang w:eastAsia="en-AU"/>
        </w:rPr>
        <w:t>The Approval</w:t>
      </w:r>
      <w:r>
        <w:rPr>
          <w:rFonts w:cs="Arial"/>
          <w:color w:val="000000"/>
          <w:lang w:eastAsia="en-AU"/>
        </w:rPr>
        <w:t xml:space="preserve"> </w:t>
      </w:r>
      <w:r w:rsidRPr="00F60EC8">
        <w:rPr>
          <w:rFonts w:cs="Arial"/>
          <w:b/>
          <w:color w:val="000000"/>
          <w:u w:val="single"/>
          <w:lang w:eastAsia="en-AU"/>
        </w:rPr>
        <w:t>excludes</w:t>
      </w:r>
      <w:r w:rsidRPr="007F6F85">
        <w:rPr>
          <w:rFonts w:cs="Arial"/>
          <w:i/>
          <w:color w:val="000000"/>
          <w:lang w:eastAsia="en-AU"/>
        </w:rPr>
        <w:t>:</w:t>
      </w:r>
    </w:p>
    <w:p w14:paraId="45F9DB96" w14:textId="77777777" w:rsidR="0000567A" w:rsidRPr="007F6F85" w:rsidRDefault="0000567A" w:rsidP="00700529">
      <w:pPr>
        <w:pStyle w:val="DHHSbullet1"/>
        <w:numPr>
          <w:ilvl w:val="0"/>
          <w:numId w:val="9"/>
        </w:numPr>
        <w:spacing w:line="240" w:lineRule="auto"/>
        <w:ind w:left="993" w:hanging="567"/>
      </w:pPr>
      <w:r>
        <w:t>v</w:t>
      </w:r>
      <w:r w:rsidRPr="007F6F85">
        <w:t>accination for travel purposes</w:t>
      </w:r>
      <w:r w:rsidRPr="00F84655">
        <w:rPr>
          <w:vertAlign w:val="superscript"/>
        </w:rPr>
        <w:footnoteReference w:id="17"/>
      </w:r>
    </w:p>
    <w:p w14:paraId="1D69D2C6" w14:textId="14CDA3E3" w:rsidR="0000567A" w:rsidRPr="006A2CE0" w:rsidRDefault="0000567A" w:rsidP="00700529">
      <w:pPr>
        <w:pStyle w:val="DHHSbullet1"/>
        <w:numPr>
          <w:ilvl w:val="0"/>
          <w:numId w:val="10"/>
        </w:numPr>
        <w:spacing w:line="240" w:lineRule="auto"/>
        <w:ind w:left="993" w:hanging="567"/>
        <w:rPr>
          <w:highlight w:val="yellow"/>
        </w:rPr>
      </w:pPr>
      <w:r w:rsidRPr="002E7BB1">
        <w:t>vaccination of people aged 4 years and younger for influenza vaccine</w:t>
      </w:r>
      <w:r w:rsidR="00C72AC4">
        <w:t>,</w:t>
      </w:r>
      <w:r w:rsidRPr="002E7BB1">
        <w:t xml:space="preserve"> JE vaccine</w:t>
      </w:r>
      <w:r w:rsidR="002156FD">
        <w:t xml:space="preserve"> </w:t>
      </w:r>
      <w:r w:rsidR="002156FD" w:rsidRPr="006A2CE0">
        <w:rPr>
          <w:highlight w:val="yellow"/>
        </w:rPr>
        <w:t>and MPX vaccine</w:t>
      </w:r>
    </w:p>
    <w:p w14:paraId="5623F15F" w14:textId="11A95880" w:rsidR="00245F9E" w:rsidRPr="006A2CE0" w:rsidRDefault="00245F9E" w:rsidP="00700529">
      <w:pPr>
        <w:pStyle w:val="DHHSbullet1"/>
        <w:numPr>
          <w:ilvl w:val="0"/>
          <w:numId w:val="10"/>
        </w:numPr>
        <w:spacing w:line="240" w:lineRule="auto"/>
        <w:ind w:left="993" w:hanging="567"/>
        <w:rPr>
          <w:highlight w:val="yellow"/>
        </w:rPr>
      </w:pPr>
      <w:r w:rsidRPr="006A2CE0">
        <w:rPr>
          <w:highlight w:val="yellow"/>
        </w:rPr>
        <w:t xml:space="preserve">vaccination of people aged 11 years and younger for </w:t>
      </w:r>
      <w:r w:rsidR="00E90448" w:rsidRPr="006A2CE0">
        <w:rPr>
          <w:highlight w:val="yellow"/>
        </w:rPr>
        <w:t>diphtheria-tetanus-pertussis</w:t>
      </w:r>
      <w:r w:rsidR="00FC1739" w:rsidRPr="006A2CE0">
        <w:rPr>
          <w:highlight w:val="yellow"/>
        </w:rPr>
        <w:t xml:space="preserve"> </w:t>
      </w:r>
      <w:r w:rsidR="00E90448" w:rsidRPr="006A2CE0">
        <w:rPr>
          <w:highlight w:val="yellow"/>
        </w:rPr>
        <w:t xml:space="preserve">vaccine </w:t>
      </w:r>
      <w:r w:rsidR="00FC1739" w:rsidRPr="006A2CE0">
        <w:rPr>
          <w:highlight w:val="yellow"/>
        </w:rPr>
        <w:t>and HPV vaccine</w:t>
      </w:r>
    </w:p>
    <w:p w14:paraId="7FC7C221" w14:textId="301500C6" w:rsidR="0000567A" w:rsidRDefault="0000567A" w:rsidP="00700529">
      <w:pPr>
        <w:pStyle w:val="DHHSbullet1"/>
        <w:numPr>
          <w:ilvl w:val="0"/>
          <w:numId w:val="10"/>
        </w:numPr>
        <w:spacing w:line="240" w:lineRule="auto"/>
        <w:ind w:left="993" w:hanging="567"/>
      </w:pPr>
      <w:r>
        <w:t>vaccination of people aged 14 years and younger for measles-mumps-rubella vaccine and meningococcal ACWY vaccine</w:t>
      </w:r>
    </w:p>
    <w:p w14:paraId="2D6F61C7" w14:textId="77777777" w:rsidR="0000567A" w:rsidRDefault="0000567A" w:rsidP="00700529">
      <w:pPr>
        <w:pStyle w:val="DHHSbullet1"/>
        <w:numPr>
          <w:ilvl w:val="0"/>
          <w:numId w:val="10"/>
        </w:numPr>
        <w:spacing w:line="240" w:lineRule="auto"/>
        <w:ind w:left="993" w:hanging="567"/>
      </w:pPr>
      <w:r w:rsidRPr="002E7BB1">
        <w:t>administration of the JE vaccine to people that are not recommended for JE vaccination</w:t>
      </w:r>
    </w:p>
    <w:p w14:paraId="5FDD136E" w14:textId="4B2F23CE" w:rsidR="00A911B4" w:rsidRPr="00D47CD5" w:rsidRDefault="00A911B4" w:rsidP="00700529">
      <w:pPr>
        <w:pStyle w:val="DHHSbullet1"/>
        <w:numPr>
          <w:ilvl w:val="0"/>
          <w:numId w:val="10"/>
        </w:numPr>
        <w:spacing w:line="240" w:lineRule="auto"/>
        <w:ind w:left="993" w:hanging="567"/>
        <w:rPr>
          <w:highlight w:val="yellow"/>
        </w:rPr>
      </w:pPr>
      <w:r w:rsidRPr="00D47CD5">
        <w:rPr>
          <w:highlight w:val="yellow"/>
        </w:rPr>
        <w:t>administration of the MPX vaccine to people that are not recommended for MPX vaccination</w:t>
      </w:r>
    </w:p>
    <w:p w14:paraId="2506D773" w14:textId="77777777" w:rsidR="0000567A" w:rsidRPr="00295E04" w:rsidRDefault="0000567A" w:rsidP="00700529">
      <w:pPr>
        <w:pStyle w:val="DHHSbullet1"/>
        <w:numPr>
          <w:ilvl w:val="0"/>
          <w:numId w:val="10"/>
        </w:numPr>
        <w:spacing w:line="240" w:lineRule="auto"/>
        <w:ind w:left="993" w:hanging="567"/>
      </w:pPr>
      <w:r>
        <w:t>v</w:t>
      </w:r>
      <w:r w:rsidRPr="007F6F85">
        <w:t xml:space="preserve">accination of people with contraindications defined in the </w:t>
      </w:r>
      <w:r>
        <w:t>online version</w:t>
      </w:r>
      <w:r w:rsidRPr="007F6F85">
        <w:t xml:space="preserve"> of the </w:t>
      </w:r>
      <w:r w:rsidRPr="5D0E1D87">
        <w:rPr>
          <w:i/>
          <w:iCs/>
        </w:rPr>
        <w:t>Australian Immunisation Handbook</w:t>
      </w:r>
      <w:r w:rsidRPr="00F84655">
        <w:rPr>
          <w:vertAlign w:val="superscript"/>
        </w:rPr>
        <w:footnoteReference w:id="18"/>
      </w:r>
    </w:p>
    <w:p w14:paraId="391161A2" w14:textId="4A52ED47" w:rsidR="00904962" w:rsidRPr="00295E04" w:rsidRDefault="00904962" w:rsidP="00700529">
      <w:pPr>
        <w:pStyle w:val="DHHSbullet1"/>
        <w:numPr>
          <w:ilvl w:val="0"/>
          <w:numId w:val="10"/>
        </w:numPr>
        <w:spacing w:line="240" w:lineRule="auto"/>
        <w:ind w:left="993" w:hanging="567"/>
      </w:pPr>
      <w:r w:rsidRPr="00D47CD5">
        <w:rPr>
          <w:highlight w:val="yellow"/>
        </w:rPr>
        <w:t xml:space="preserve">MPX vaccination of people with contraindications listed in </w:t>
      </w:r>
      <w:r w:rsidR="00656436" w:rsidRPr="00D47CD5">
        <w:rPr>
          <w:highlight w:val="yellow"/>
        </w:rPr>
        <w:t xml:space="preserve">current </w:t>
      </w:r>
      <w:r w:rsidRPr="00D47CD5">
        <w:rPr>
          <w:highlight w:val="yellow"/>
        </w:rPr>
        <w:t>advice from ATAGI</w:t>
      </w:r>
    </w:p>
    <w:p w14:paraId="12842D8C" w14:textId="762794DD" w:rsidR="0000567A" w:rsidRPr="00EF10B7" w:rsidRDefault="0000567A" w:rsidP="00700529">
      <w:pPr>
        <w:pStyle w:val="DHHSbullet1"/>
        <w:numPr>
          <w:ilvl w:val="0"/>
          <w:numId w:val="10"/>
        </w:numPr>
        <w:spacing w:line="240" w:lineRule="auto"/>
        <w:ind w:left="993" w:hanging="567"/>
        <w:rPr>
          <w:highlight w:val="yellow"/>
        </w:rPr>
      </w:pPr>
      <w:r w:rsidRPr="00EF10B7">
        <w:rPr>
          <w:highlight w:val="yellow"/>
        </w:rPr>
        <w:t xml:space="preserve">vaccination for the express purpose of </w:t>
      </w:r>
      <w:r w:rsidR="0070024B">
        <w:rPr>
          <w:highlight w:val="yellow"/>
        </w:rPr>
        <w:t xml:space="preserve">post-exposure </w:t>
      </w:r>
      <w:r w:rsidR="00164A5E" w:rsidRPr="003D45AF">
        <w:rPr>
          <w:highlight w:val="yellow"/>
        </w:rPr>
        <w:t>prophylaxis</w:t>
      </w:r>
      <w:r w:rsidR="00530395" w:rsidRPr="003D45AF">
        <w:rPr>
          <w:highlight w:val="yellow"/>
        </w:rPr>
        <w:t xml:space="preserve"> </w:t>
      </w:r>
      <w:r w:rsidR="00EE60A4">
        <w:rPr>
          <w:highlight w:val="yellow"/>
        </w:rPr>
        <w:t>in people with</w:t>
      </w:r>
      <w:r w:rsidR="00530395" w:rsidRPr="00EF10B7">
        <w:rPr>
          <w:highlight w:val="yellow"/>
        </w:rPr>
        <w:t xml:space="preserve"> a</w:t>
      </w:r>
      <w:r w:rsidRPr="00EF10B7">
        <w:rPr>
          <w:highlight w:val="yellow"/>
        </w:rPr>
        <w:t xml:space="preserve"> tetanus</w:t>
      </w:r>
      <w:r w:rsidR="00530395" w:rsidRPr="00EF10B7">
        <w:rPr>
          <w:highlight w:val="yellow"/>
        </w:rPr>
        <w:t>-prone wound</w:t>
      </w:r>
      <w:r w:rsidRPr="00EF10B7">
        <w:rPr>
          <w:highlight w:val="yellow"/>
          <w:vertAlign w:val="superscript"/>
        </w:rPr>
        <w:footnoteReference w:id="19"/>
      </w:r>
    </w:p>
    <w:p w14:paraId="73D4145F" w14:textId="77777777" w:rsidR="0000567A" w:rsidRDefault="0000567A" w:rsidP="00700529">
      <w:pPr>
        <w:pStyle w:val="DHHSbullet1"/>
        <w:numPr>
          <w:ilvl w:val="0"/>
          <w:numId w:val="10"/>
        </w:numPr>
        <w:spacing w:line="240" w:lineRule="auto"/>
        <w:ind w:left="993" w:hanging="567"/>
      </w:pPr>
      <w:r>
        <w:t>v</w:t>
      </w:r>
      <w:r w:rsidRPr="007F6F85">
        <w:t xml:space="preserve">accination of people </w:t>
      </w:r>
      <w:r>
        <w:t>who</w:t>
      </w:r>
      <w:r w:rsidRPr="007F6F85">
        <w:t xml:space="preserve"> are contacts in the event of a case of pertussis, unless direct</w:t>
      </w:r>
      <w:r>
        <w:t>ed by the department</w:t>
      </w:r>
      <w:r w:rsidRPr="00F84655">
        <w:rPr>
          <w:vertAlign w:val="superscript"/>
        </w:rPr>
        <w:footnoteReference w:id="20"/>
      </w:r>
    </w:p>
    <w:p w14:paraId="20521535" w14:textId="6786DBBE" w:rsidR="00DF5F96" w:rsidRDefault="0000567A" w:rsidP="00700529">
      <w:pPr>
        <w:pStyle w:val="DHHSbullet1"/>
        <w:numPr>
          <w:ilvl w:val="0"/>
          <w:numId w:val="10"/>
        </w:numPr>
        <w:spacing w:line="240" w:lineRule="auto"/>
        <w:ind w:left="993" w:hanging="567"/>
      </w:pPr>
      <w:r>
        <w:t xml:space="preserve">vaccination of pregnant </w:t>
      </w:r>
      <w:r w:rsidR="00013493">
        <w:t xml:space="preserve">people </w:t>
      </w:r>
      <w:r>
        <w:t xml:space="preserve">against measles, </w:t>
      </w:r>
      <w:proofErr w:type="gramStart"/>
      <w:r>
        <w:t>mumps</w:t>
      </w:r>
      <w:proofErr w:type="gramEnd"/>
      <w:r>
        <w:t xml:space="preserve"> and rubella</w:t>
      </w:r>
    </w:p>
    <w:p w14:paraId="2A1E696A" w14:textId="38C2CC15" w:rsidR="0000567A" w:rsidRPr="00396B78" w:rsidRDefault="00DF5F96" w:rsidP="00700529">
      <w:pPr>
        <w:pStyle w:val="DHHSbullet1"/>
        <w:numPr>
          <w:ilvl w:val="0"/>
          <w:numId w:val="10"/>
        </w:numPr>
        <w:spacing w:line="240" w:lineRule="auto"/>
        <w:ind w:left="993" w:hanging="567"/>
      </w:pPr>
      <w:r w:rsidRPr="00D47CD5">
        <w:rPr>
          <w:highlight w:val="yellow"/>
        </w:rPr>
        <w:t xml:space="preserve">vaccination of </w:t>
      </w:r>
      <w:r w:rsidR="00685A3F" w:rsidRPr="00D47CD5">
        <w:rPr>
          <w:highlight w:val="yellow"/>
        </w:rPr>
        <w:t>people aged 49 years and younger for pneumococcal vaccine and herpes zoster vaccine</w:t>
      </w:r>
      <w:r w:rsidR="0000567A">
        <w:t>.</w:t>
      </w:r>
    </w:p>
    <w:p w14:paraId="6BBEC65F" w14:textId="77777777" w:rsidR="0000567A" w:rsidRDefault="0000567A" w:rsidP="0000567A">
      <w:pPr>
        <w:pStyle w:val="DHHSbody"/>
        <w:spacing w:before="120"/>
      </w:pPr>
      <w:r w:rsidRPr="007F6F85">
        <w:t xml:space="preserve">Pharmacist Immunisers should refer to the </w:t>
      </w:r>
      <w:r>
        <w:t>A</w:t>
      </w:r>
      <w:r w:rsidRPr="007F6F85">
        <w:t xml:space="preserve">pproval for specific information about </w:t>
      </w:r>
      <w:r>
        <w:t xml:space="preserve">the </w:t>
      </w:r>
      <w:r w:rsidRPr="007F6F85">
        <w:t xml:space="preserve">circumstances </w:t>
      </w:r>
      <w:r>
        <w:t xml:space="preserve">that are </w:t>
      </w:r>
      <w:r w:rsidRPr="007F6F85">
        <w:t>excluded for each vaccine.</w:t>
      </w:r>
      <w:r>
        <w:br w:type="page"/>
      </w:r>
    </w:p>
    <w:p w14:paraId="10CD1390" w14:textId="77777777" w:rsidR="0000567A" w:rsidRPr="005C5883" w:rsidRDefault="0000567A" w:rsidP="00700529">
      <w:pPr>
        <w:pStyle w:val="Heading1"/>
        <w:numPr>
          <w:ilvl w:val="0"/>
          <w:numId w:val="30"/>
        </w:numPr>
        <w:rPr>
          <w:sz w:val="40"/>
          <w:szCs w:val="40"/>
        </w:rPr>
      </w:pPr>
      <w:bookmarkStart w:id="41" w:name="_Toc115426490"/>
      <w:r w:rsidRPr="005C5883">
        <w:rPr>
          <w:sz w:val="40"/>
          <w:szCs w:val="40"/>
        </w:rPr>
        <w:lastRenderedPageBreak/>
        <w:t>Clinical governance and risk management</w:t>
      </w:r>
      <w:bookmarkEnd w:id="41"/>
    </w:p>
    <w:p w14:paraId="26744844" w14:textId="77777777" w:rsidR="0000567A" w:rsidRDefault="0000567A" w:rsidP="0000567A">
      <w:pPr>
        <w:pStyle w:val="DHHSbody"/>
      </w:pPr>
      <w:r>
        <w:t xml:space="preserve">Clinical governance is the integrated systems, processes, </w:t>
      </w:r>
      <w:proofErr w:type="gramStart"/>
      <w:r>
        <w:t>leadership</w:t>
      </w:r>
      <w:proofErr w:type="gramEnd"/>
      <w:r>
        <w:t xml:space="preserve"> and culture that are at that core of providing safe, effective, accountable and person-centred health care, underpinned by continuous improvement.</w:t>
      </w:r>
    </w:p>
    <w:p w14:paraId="56052115" w14:textId="77777777" w:rsidR="0000567A" w:rsidRDefault="0000567A" w:rsidP="0000567A">
      <w:pPr>
        <w:pStyle w:val="DHHSbody"/>
      </w:pPr>
      <w:r>
        <w:t>Service Providers (in this case, pharmacies, pharmacy depots and hospitals) are responsible for service provision and there is an expectation that a formal and effective clinical governance framework is in operation.</w:t>
      </w:r>
    </w:p>
    <w:p w14:paraId="1DD30E4E" w14:textId="77777777" w:rsidR="0000567A" w:rsidRPr="005C5883" w:rsidRDefault="0000567A" w:rsidP="00700529">
      <w:pPr>
        <w:pStyle w:val="Heading2"/>
        <w:numPr>
          <w:ilvl w:val="1"/>
          <w:numId w:val="30"/>
        </w:numPr>
        <w:rPr>
          <w:sz w:val="28"/>
        </w:rPr>
      </w:pPr>
      <w:bookmarkStart w:id="42" w:name="_Toc115426491"/>
      <w:r w:rsidRPr="005C5883">
        <w:rPr>
          <w:sz w:val="28"/>
        </w:rPr>
        <w:t>Victoria’s clinical governance framework</w:t>
      </w:r>
      <w:bookmarkEnd w:id="42"/>
    </w:p>
    <w:p w14:paraId="44D87A7C" w14:textId="77777777" w:rsidR="0000567A" w:rsidRDefault="0000567A" w:rsidP="0000567A">
      <w:pPr>
        <w:pStyle w:val="DHHSbody"/>
      </w:pPr>
      <w:r>
        <w:t>Organisations in which Pharmacist Immunisers are employed or otherwise engaged to provide immunisation services (Service Providers) are responsible for ensuring there are sufficient resources to enable safe and competent care for the consumers for whom healthcare services are provided.</w:t>
      </w:r>
    </w:p>
    <w:p w14:paraId="3FDFD112" w14:textId="73066C01" w:rsidR="0000567A" w:rsidRDefault="0000567A" w:rsidP="0000567A">
      <w:pPr>
        <w:pStyle w:val="DHHSbody"/>
      </w:pPr>
      <w:r>
        <w:t xml:space="preserve">In 2018, Safer Care Victoria published an updated version of the </w:t>
      </w:r>
      <w:r w:rsidRPr="5D0E1D87">
        <w:rPr>
          <w:i/>
          <w:iCs/>
        </w:rPr>
        <w:t>Victorian clinical governance framework</w:t>
      </w:r>
      <w:r>
        <w:t xml:space="preserve"> that outlines expectations regarding clinical governance and provides best practice guidance to inform good clinical governance</w:t>
      </w:r>
      <w:r>
        <w:rPr>
          <w:rStyle w:val="FootnoteReference"/>
        </w:rPr>
        <w:footnoteReference w:id="21"/>
      </w:r>
      <w:r>
        <w:t xml:space="preserve">. The five domains of the </w:t>
      </w:r>
      <w:r w:rsidRPr="00757FE3">
        <w:t>framework</w:t>
      </w:r>
      <w:r>
        <w:t>, underpinned by continuous monitoring and improvement are</w:t>
      </w:r>
      <w:r w:rsidR="007A7858">
        <w:t xml:space="preserve"> leadership and culture, consumer partnerships, workforce, risk management and clinical practice. </w:t>
      </w:r>
    </w:p>
    <w:p w14:paraId="2FB6F5DF" w14:textId="0D913552" w:rsidR="007A7858" w:rsidRDefault="00C66755" w:rsidP="005C5883">
      <w:pPr>
        <w:pStyle w:val="DHHSbody"/>
        <w:jc w:val="center"/>
      </w:pPr>
      <w:r w:rsidRPr="00C66755">
        <w:rPr>
          <w:noProof/>
        </w:rPr>
        <w:drawing>
          <wp:inline distT="0" distB="0" distL="0" distR="0" wp14:anchorId="16B74A42" wp14:editId="5BF5739C">
            <wp:extent cx="2927350" cy="2834650"/>
            <wp:effectExtent l="0" t="0" r="6350" b="3810"/>
            <wp:docPr id="1" name="Picture 1" descr="Image of a grey circle with the words monitoring, evaluating and improving around the edge, with arrows indicating a continuous cycle.&#10;Coloured circles overlapping in a flower shape include the titles leadership and culture, consumer partnerships, workforce, risk management, and clinical practice. &#10;At the centre of the diagram includes the words safe, effective, person-centred 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age of a grey circle with the words monitoring, evaluating and improving around the edge, with arrows indicating a continuous cycle.&#10;Coloured circles overlapping in a flower shape include the titles leadership and culture, consumer partnerships, workforce, risk management, and clinical practice. &#10;At the centre of the diagram includes the words safe, effective, person-centred care."/>
                    <pic:cNvPicPr/>
                  </pic:nvPicPr>
                  <pic:blipFill>
                    <a:blip r:embed="rId39"/>
                    <a:stretch>
                      <a:fillRect/>
                    </a:stretch>
                  </pic:blipFill>
                  <pic:spPr>
                    <a:xfrm>
                      <a:off x="0" y="0"/>
                      <a:ext cx="2966502" cy="2872562"/>
                    </a:xfrm>
                    <a:prstGeom prst="rect">
                      <a:avLst/>
                    </a:prstGeom>
                  </pic:spPr>
                </pic:pic>
              </a:graphicData>
            </a:graphic>
          </wp:inline>
        </w:drawing>
      </w:r>
    </w:p>
    <w:p w14:paraId="28D66FC7" w14:textId="77777777" w:rsidR="0000567A" w:rsidRDefault="0000567A" w:rsidP="0000567A">
      <w:pPr>
        <w:pStyle w:val="DHHSbody"/>
      </w:pPr>
      <w:r>
        <w:t xml:space="preserve">The framework reinforces the importance of providing a safe environment for both consumers and staff, and that staff have the required knowledge and skills, </w:t>
      </w:r>
      <w:proofErr w:type="gramStart"/>
      <w:r>
        <w:t>technology</w:t>
      </w:r>
      <w:proofErr w:type="gramEnd"/>
      <w:r>
        <w:t xml:space="preserve"> and equipment to provide the best care possible, and are accountable for the care they provide.</w:t>
      </w:r>
    </w:p>
    <w:p w14:paraId="458AF46B" w14:textId="77777777" w:rsidR="0000567A" w:rsidRDefault="0000567A" w:rsidP="0000567A">
      <w:pPr>
        <w:pStyle w:val="DHHSbody"/>
      </w:pPr>
      <w:r>
        <w:t>It sets out the systems, processes and protocols that should be in place to support:</w:t>
      </w:r>
    </w:p>
    <w:p w14:paraId="7ECF7F83" w14:textId="412609C2" w:rsidR="0000567A" w:rsidRPr="004A4A21" w:rsidRDefault="0000567A" w:rsidP="00700529">
      <w:pPr>
        <w:pStyle w:val="DHHSbullet1"/>
        <w:numPr>
          <w:ilvl w:val="0"/>
          <w:numId w:val="9"/>
        </w:numPr>
        <w:spacing w:line="240" w:lineRule="auto"/>
        <w:ind w:left="993" w:hanging="567"/>
      </w:pPr>
      <w:r w:rsidRPr="00771337">
        <w:t>contribution to a culture of safety, transparency, multidisciplinary teamwork and collaboration and ensuring high-qualit</w:t>
      </w:r>
      <w:r w:rsidRPr="004A4A21">
        <w:t xml:space="preserve">y care for every consumer in a way that is seamless and </w:t>
      </w:r>
      <w:proofErr w:type="gramStart"/>
      <w:r w:rsidRPr="004A4A21">
        <w:t>integrated;</w:t>
      </w:r>
      <w:proofErr w:type="gramEnd"/>
      <w:r w:rsidRPr="004A4A21">
        <w:t xml:space="preserve"> </w:t>
      </w:r>
    </w:p>
    <w:p w14:paraId="795BD233" w14:textId="77777777" w:rsidR="0000567A" w:rsidRPr="004A4A21" w:rsidRDefault="0000567A" w:rsidP="00700529">
      <w:pPr>
        <w:pStyle w:val="DHHSbullet1"/>
        <w:numPr>
          <w:ilvl w:val="0"/>
          <w:numId w:val="9"/>
        </w:numPr>
        <w:spacing w:line="240" w:lineRule="auto"/>
        <w:ind w:left="993" w:hanging="567"/>
      </w:pPr>
      <w:r w:rsidRPr="00771337">
        <w:t>effective monitoring and improved clinical performance, including clinical processes, equipment and technology that are designed to minimise error and suppo</w:t>
      </w:r>
      <w:r w:rsidRPr="004A4A21">
        <w:t xml:space="preserve">rt clear communication and accurate reporting of care </w:t>
      </w:r>
      <w:proofErr w:type="gramStart"/>
      <w:r w:rsidRPr="004A4A21">
        <w:t>provision;</w:t>
      </w:r>
      <w:proofErr w:type="gramEnd"/>
    </w:p>
    <w:p w14:paraId="529BFA6B" w14:textId="77777777" w:rsidR="0000567A" w:rsidRPr="004A4A21" w:rsidRDefault="0000567A" w:rsidP="00700529">
      <w:pPr>
        <w:pStyle w:val="DHHSbullet1"/>
        <w:numPr>
          <w:ilvl w:val="0"/>
          <w:numId w:val="9"/>
        </w:numPr>
        <w:spacing w:line="240" w:lineRule="auto"/>
        <w:ind w:left="993" w:hanging="567"/>
      </w:pPr>
      <w:r w:rsidRPr="00771337">
        <w:lastRenderedPageBreak/>
        <w:t>comprehensive strategies and plans for recruiting, allocating, developing, engaging and retaining high-performing staff and includes supporting staff to work within their scope, provide super</w:t>
      </w:r>
      <w:r w:rsidRPr="004A4A21">
        <w:t xml:space="preserve">vision where required and manage </w:t>
      </w:r>
      <w:proofErr w:type="gramStart"/>
      <w:r w:rsidRPr="004A4A21">
        <w:t>performance;</w:t>
      </w:r>
      <w:proofErr w:type="gramEnd"/>
    </w:p>
    <w:p w14:paraId="44E2B981" w14:textId="2B06139A" w:rsidR="0000567A" w:rsidRPr="00771337" w:rsidRDefault="0000567A" w:rsidP="00700529">
      <w:pPr>
        <w:pStyle w:val="DHHSbullet1"/>
        <w:numPr>
          <w:ilvl w:val="0"/>
          <w:numId w:val="9"/>
        </w:numPr>
        <w:spacing w:line="240" w:lineRule="auto"/>
        <w:ind w:left="993" w:hanging="567"/>
      </w:pPr>
      <w:r w:rsidRPr="00771337">
        <w:t>new procedures and therapies to be introduced in a way that ensures quality and safety issues have been identified; and</w:t>
      </w:r>
    </w:p>
    <w:p w14:paraId="48F37383" w14:textId="2D1DC239" w:rsidR="0000567A" w:rsidRPr="004A4A21" w:rsidRDefault="0000567A" w:rsidP="00700529">
      <w:pPr>
        <w:pStyle w:val="DHHSbullet1"/>
        <w:numPr>
          <w:ilvl w:val="0"/>
          <w:numId w:val="9"/>
        </w:numPr>
        <w:spacing w:line="240" w:lineRule="auto"/>
        <w:ind w:left="993" w:hanging="567"/>
      </w:pPr>
      <w:r w:rsidRPr="00771337">
        <w:t xml:space="preserve">Service Providers and staff involved in immunisation services to actively identify, </w:t>
      </w:r>
      <w:proofErr w:type="gramStart"/>
      <w:r w:rsidRPr="00771337">
        <w:t>monitor</w:t>
      </w:r>
      <w:proofErr w:type="gramEnd"/>
      <w:r w:rsidRPr="00771337">
        <w:t xml:space="preserve"> and manage areas of key risk </w:t>
      </w:r>
      <w:r w:rsidRPr="004A4A21">
        <w:t>and lead appropriate escalation, response and mitigation where safety may be compromised.</w:t>
      </w:r>
    </w:p>
    <w:p w14:paraId="77696545" w14:textId="77777777" w:rsidR="000B00BD" w:rsidRDefault="000B00BD" w:rsidP="00CF01F6">
      <w:pPr>
        <w:pStyle w:val="Bullet1"/>
        <w:numPr>
          <w:ilvl w:val="0"/>
          <w:numId w:val="0"/>
        </w:numPr>
      </w:pPr>
    </w:p>
    <w:p w14:paraId="3EA346C6" w14:textId="5E5343D5" w:rsidR="0000567A" w:rsidRDefault="0000567A" w:rsidP="0000567A">
      <w:pPr>
        <w:pStyle w:val="DHHSbody"/>
      </w:pPr>
      <w:r>
        <w:t>The framework has been designed so that Service Providers can adapt and implement its components to best meet the needs of their consumers and organisation.</w:t>
      </w:r>
    </w:p>
    <w:p w14:paraId="18DF0022" w14:textId="6C265F6D" w:rsidR="0000567A" w:rsidRPr="00DE060C" w:rsidRDefault="0000567A" w:rsidP="00700529">
      <w:pPr>
        <w:pStyle w:val="Heading2"/>
        <w:numPr>
          <w:ilvl w:val="1"/>
          <w:numId w:val="30"/>
        </w:numPr>
        <w:rPr>
          <w:sz w:val="28"/>
        </w:rPr>
      </w:pPr>
      <w:bookmarkStart w:id="43" w:name="_Toc115426492"/>
      <w:r w:rsidRPr="00DE060C">
        <w:rPr>
          <w:sz w:val="28"/>
        </w:rPr>
        <w:t>Supporting clinical governance</w:t>
      </w:r>
      <w:bookmarkEnd w:id="43"/>
    </w:p>
    <w:p w14:paraId="3E14E8E6" w14:textId="77777777" w:rsidR="0000567A" w:rsidRDefault="0000567A" w:rsidP="0000567A">
      <w:pPr>
        <w:pStyle w:val="DHHSbody"/>
      </w:pPr>
      <w:r>
        <w:t xml:space="preserve">The Pharmaceutical Society of Australia’s </w:t>
      </w:r>
      <w:r w:rsidRPr="5D0E1D87">
        <w:rPr>
          <w:i/>
          <w:iCs/>
        </w:rPr>
        <w:t>Competency Standards Framework for Pharmacists</w:t>
      </w:r>
      <w:r>
        <w:t xml:space="preserve"> detail an expectation that all pharmacists understand and contribute to organisational/corporate and clinical governance</w:t>
      </w:r>
      <w:r>
        <w:rPr>
          <w:rStyle w:val="FootnoteReference"/>
        </w:rPr>
        <w:footnoteReference w:id="22"/>
      </w:r>
      <w:r>
        <w:t>.</w:t>
      </w:r>
    </w:p>
    <w:p w14:paraId="4337A382" w14:textId="77777777" w:rsidR="0000567A" w:rsidRPr="00E7181C" w:rsidRDefault="0000567A" w:rsidP="0000567A">
      <w:pPr>
        <w:pStyle w:val="DHHSbody"/>
      </w:pPr>
      <w:r>
        <w:t xml:space="preserve">Their </w:t>
      </w:r>
      <w:r w:rsidRPr="5D0E1D87">
        <w:rPr>
          <w:i/>
          <w:iCs/>
        </w:rPr>
        <w:t>Clinical Governance Principles for Pharmacy Services</w:t>
      </w:r>
      <w:r w:rsidRPr="5D0E1D87">
        <w:rPr>
          <w:rStyle w:val="FootnoteReference"/>
          <w:i/>
          <w:iCs/>
        </w:rPr>
        <w:footnoteReference w:id="23"/>
      </w:r>
      <w:r w:rsidRPr="5D0E1D87">
        <w:rPr>
          <w:i/>
          <w:iCs/>
        </w:rPr>
        <w:t xml:space="preserve"> </w:t>
      </w:r>
      <w:r w:rsidRPr="006349D5">
        <w:t>document</w:t>
      </w:r>
      <w:r w:rsidRPr="5D0E1D87">
        <w:rPr>
          <w:i/>
          <w:iCs/>
        </w:rPr>
        <w:t xml:space="preserve"> </w:t>
      </w:r>
      <w:r>
        <w:t>includes information relating to clinical governance concepts, their application in services led by pharmacists and the ongoing evaluation of pharmacy services, including vaccination services.</w:t>
      </w:r>
    </w:p>
    <w:p w14:paraId="488897E7" w14:textId="534772F6" w:rsidR="0000567A" w:rsidRPr="00DE060C" w:rsidRDefault="0000567A" w:rsidP="00700529">
      <w:pPr>
        <w:pStyle w:val="Heading2"/>
        <w:numPr>
          <w:ilvl w:val="1"/>
          <w:numId w:val="30"/>
        </w:numPr>
        <w:rPr>
          <w:sz w:val="28"/>
        </w:rPr>
      </w:pPr>
      <w:bookmarkStart w:id="44" w:name="_Toc115426493"/>
      <w:r w:rsidRPr="00DE060C">
        <w:rPr>
          <w:sz w:val="28"/>
        </w:rPr>
        <w:t>Other safety requirements</w:t>
      </w:r>
      <w:bookmarkEnd w:id="44"/>
    </w:p>
    <w:p w14:paraId="3B38656A" w14:textId="77777777" w:rsidR="0000567A" w:rsidRPr="00B22F0D" w:rsidRDefault="0000567A" w:rsidP="0000567A">
      <w:pPr>
        <w:pStyle w:val="DHHSbody"/>
      </w:pPr>
      <w:r w:rsidRPr="0047013F">
        <w:t xml:space="preserve">When pharmacists are conducting </w:t>
      </w:r>
      <w:r>
        <w:t>a</w:t>
      </w:r>
      <w:r w:rsidRPr="0047013F">
        <w:t xml:space="preserve"> pre-vaccination assessment and administering vaccinations, they must not engage </w:t>
      </w:r>
      <w:r>
        <w:t xml:space="preserve">in </w:t>
      </w:r>
      <w:r w:rsidRPr="0047013F">
        <w:t>any other activity</w:t>
      </w:r>
      <w:r>
        <w:t>,</w:t>
      </w:r>
      <w:r w:rsidRPr="0047013F">
        <w:t xml:space="preserve"> </w:t>
      </w:r>
      <w:r>
        <w:t>including</w:t>
      </w:r>
      <w:r w:rsidRPr="0047013F">
        <w:t xml:space="preserve"> dispensing</w:t>
      </w:r>
      <w:r>
        <w:t>.</w:t>
      </w:r>
    </w:p>
    <w:p w14:paraId="7D976DF1" w14:textId="4CE7432F" w:rsidR="0000567A" w:rsidRPr="004B795B" w:rsidRDefault="0000567A" w:rsidP="0000567A">
      <w:pPr>
        <w:pStyle w:val="DHHSbody"/>
      </w:pPr>
      <w:r>
        <w:t>All immunisation service staff (including clinical and non-clinical staff) should be familiar with the immunisation service that is being provided, and be informed about their roles and responsibilities, particularly in relation to managing an adverse event following immunisation</w:t>
      </w:r>
      <w:r w:rsidR="009C7B92">
        <w:t xml:space="preserve"> (AEFI)</w:t>
      </w:r>
      <w:r>
        <w:t xml:space="preserve">. </w:t>
      </w:r>
    </w:p>
    <w:p w14:paraId="3561BFF8" w14:textId="53574F21" w:rsidR="0000567A" w:rsidRDefault="0000567A" w:rsidP="0000567A">
      <w:pPr>
        <w:pStyle w:val="DHHSbody"/>
      </w:pPr>
      <w:r>
        <w:t>Pharmacist Immunisers undertaking a mobile or outreach immunisation clinic as a solo practitioner need to comply with all protocols and procedures set by the Service Provider that employs or otherwise engages them.</w:t>
      </w:r>
    </w:p>
    <w:p w14:paraId="020E6C08" w14:textId="74EA4DD8" w:rsidR="0000567A" w:rsidRPr="002F0A56" w:rsidRDefault="009C7B92" w:rsidP="0000567A">
      <w:pPr>
        <w:pStyle w:val="DHHSbody"/>
      </w:pPr>
      <w:r w:rsidRPr="002F0A56">
        <w:rPr>
          <w:b/>
        </w:rPr>
        <w:t xml:space="preserve">Reporting all </w:t>
      </w:r>
      <w:r w:rsidR="00806F7F" w:rsidRPr="002F0A56">
        <w:rPr>
          <w:b/>
        </w:rPr>
        <w:t>vaccinations</w:t>
      </w:r>
      <w:r w:rsidRPr="002F0A56">
        <w:rPr>
          <w:b/>
        </w:rPr>
        <w:t xml:space="preserve"> administered to the Australian Immunisation Register </w:t>
      </w:r>
      <w:r w:rsidR="007266A2" w:rsidRPr="002F0A56">
        <w:rPr>
          <w:b/>
        </w:rPr>
        <w:t xml:space="preserve">(AIR) </w:t>
      </w:r>
      <w:r w:rsidRPr="002F0A56">
        <w:rPr>
          <w:b/>
        </w:rPr>
        <w:t>is mandatory</w:t>
      </w:r>
      <w:r w:rsidR="00806F7F" w:rsidRPr="002F0A56">
        <w:rPr>
          <w:b/>
        </w:rPr>
        <w:t xml:space="preserve">. </w:t>
      </w:r>
      <w:r w:rsidR="0000567A" w:rsidRPr="002F0A56">
        <w:rPr>
          <w:b/>
        </w:rPr>
        <w:t xml:space="preserve">It is important that timely reporting of all vaccinations to the </w:t>
      </w:r>
      <w:r w:rsidR="00806F7F" w:rsidRPr="002F0A56">
        <w:rPr>
          <w:b/>
        </w:rPr>
        <w:t xml:space="preserve">AIR </w:t>
      </w:r>
      <w:r w:rsidR="0000567A" w:rsidRPr="002F0A56">
        <w:rPr>
          <w:b/>
        </w:rPr>
        <w:t>occurs.</w:t>
      </w:r>
    </w:p>
    <w:p w14:paraId="7E5327B3" w14:textId="4CAE6932" w:rsidR="0000567A" w:rsidRPr="007C52EE" w:rsidRDefault="0000567A" w:rsidP="00700529">
      <w:pPr>
        <w:pStyle w:val="Heading1"/>
        <w:numPr>
          <w:ilvl w:val="0"/>
          <w:numId w:val="30"/>
        </w:numPr>
        <w:rPr>
          <w:sz w:val="40"/>
          <w:szCs w:val="40"/>
          <w:highlight w:val="yellow"/>
        </w:rPr>
      </w:pPr>
      <w:bookmarkStart w:id="45" w:name="_Toc115426494"/>
      <w:r w:rsidRPr="007C52EE">
        <w:rPr>
          <w:sz w:val="40"/>
          <w:szCs w:val="40"/>
          <w:highlight w:val="yellow"/>
        </w:rPr>
        <w:t xml:space="preserve">Premises, professional </w:t>
      </w:r>
      <w:proofErr w:type="gramStart"/>
      <w:r w:rsidRPr="007C52EE">
        <w:rPr>
          <w:sz w:val="40"/>
          <w:szCs w:val="40"/>
          <w:highlight w:val="yellow"/>
        </w:rPr>
        <w:t>governance</w:t>
      </w:r>
      <w:proofErr w:type="gramEnd"/>
      <w:r w:rsidRPr="007C52EE">
        <w:rPr>
          <w:sz w:val="40"/>
          <w:szCs w:val="40"/>
          <w:highlight w:val="yellow"/>
        </w:rPr>
        <w:t xml:space="preserve"> and staffing</w:t>
      </w:r>
      <w:bookmarkEnd w:id="45"/>
      <w:r w:rsidRPr="007C52EE">
        <w:rPr>
          <w:sz w:val="40"/>
          <w:szCs w:val="40"/>
          <w:highlight w:val="yellow"/>
        </w:rPr>
        <w:t xml:space="preserve"> </w:t>
      </w:r>
    </w:p>
    <w:p w14:paraId="5726F218" w14:textId="77777777" w:rsidR="0000567A" w:rsidRDefault="0000567A" w:rsidP="0000567A">
      <w:pPr>
        <w:pStyle w:val="DHHSbody"/>
      </w:pPr>
      <w:r>
        <w:t>Pharmacists administering vaccines are to be connected to a pharmacy, pharmacy depot or hospital (Service Provider) that has registered with the department to provide a vaccination service and hold a government-funded vaccine account.  This means that they must either own (for example, the pharmacist owner of a pharmacy), be employed or otherwise engaged by that Service Provider.</w:t>
      </w:r>
    </w:p>
    <w:p w14:paraId="0C225B10" w14:textId="77777777" w:rsidR="0000567A" w:rsidRDefault="0000567A" w:rsidP="0000567A">
      <w:pPr>
        <w:pStyle w:val="DHHSbody"/>
      </w:pPr>
      <w:r>
        <w:t>Service Providers are defined as:</w:t>
      </w:r>
    </w:p>
    <w:p w14:paraId="1D0C2E36" w14:textId="77777777" w:rsidR="0000567A" w:rsidRPr="007F6F85" w:rsidRDefault="0000567A" w:rsidP="00700529">
      <w:pPr>
        <w:pStyle w:val="DHHSbullet1"/>
        <w:numPr>
          <w:ilvl w:val="0"/>
          <w:numId w:val="9"/>
        </w:numPr>
        <w:spacing w:line="240" w:lineRule="auto"/>
        <w:ind w:left="993" w:hanging="567"/>
      </w:pPr>
      <w:r>
        <w:t>a hospital</w:t>
      </w:r>
    </w:p>
    <w:p w14:paraId="77558656" w14:textId="77777777" w:rsidR="0000567A" w:rsidRPr="00C74267" w:rsidRDefault="0000567A" w:rsidP="00700529">
      <w:pPr>
        <w:pStyle w:val="DHHSbullet1"/>
        <w:numPr>
          <w:ilvl w:val="0"/>
          <w:numId w:val="9"/>
        </w:numPr>
        <w:spacing w:line="240" w:lineRule="auto"/>
        <w:ind w:left="993" w:hanging="567"/>
        <w:rPr>
          <w:i/>
          <w:iCs/>
        </w:rPr>
      </w:pPr>
      <w:r>
        <w:lastRenderedPageBreak/>
        <w:t xml:space="preserve">a pharmacy as defined in the </w:t>
      </w:r>
      <w:r w:rsidRPr="00C74267">
        <w:rPr>
          <w:i/>
          <w:iCs/>
        </w:rPr>
        <w:t>Pharmacy Regulation Act 2010</w:t>
      </w:r>
    </w:p>
    <w:p w14:paraId="270F7E57" w14:textId="77777777" w:rsidR="0000567A" w:rsidRPr="00FA7412" w:rsidRDefault="0000567A" w:rsidP="00700529">
      <w:pPr>
        <w:pStyle w:val="DHHSbullet1"/>
        <w:numPr>
          <w:ilvl w:val="0"/>
          <w:numId w:val="9"/>
        </w:numPr>
        <w:spacing w:line="240" w:lineRule="auto"/>
        <w:ind w:left="993" w:hanging="567"/>
      </w:pPr>
      <w:r>
        <w:t xml:space="preserve">a pharmacy depot, as defined in the </w:t>
      </w:r>
      <w:r w:rsidRPr="5B7D9D66">
        <w:rPr>
          <w:i/>
          <w:iCs/>
        </w:rPr>
        <w:t>Pharmacy Regulation Act 2010</w:t>
      </w:r>
      <w:r>
        <w:t>, that is a stand-alone business on premises owned or leased by the licensee of the related pharmacy.</w:t>
      </w:r>
    </w:p>
    <w:p w14:paraId="65596F43" w14:textId="39EEF467" w:rsidR="0000567A" w:rsidRPr="00DE060C" w:rsidRDefault="0000567A" w:rsidP="00700529">
      <w:pPr>
        <w:pStyle w:val="Heading2"/>
        <w:numPr>
          <w:ilvl w:val="1"/>
          <w:numId w:val="30"/>
        </w:numPr>
        <w:rPr>
          <w:sz w:val="28"/>
        </w:rPr>
      </w:pPr>
      <w:bookmarkStart w:id="46" w:name="_Premises"/>
      <w:bookmarkStart w:id="47" w:name="_Toc115426495"/>
      <w:bookmarkEnd w:id="46"/>
      <w:r w:rsidRPr="00DE060C">
        <w:rPr>
          <w:sz w:val="28"/>
        </w:rPr>
        <w:t>Premises</w:t>
      </w:r>
      <w:bookmarkEnd w:id="47"/>
    </w:p>
    <w:p w14:paraId="330E3F1F" w14:textId="77777777" w:rsidR="0000567A" w:rsidRDefault="0000567A" w:rsidP="0000567A">
      <w:pPr>
        <w:pStyle w:val="DHHSbody"/>
      </w:pPr>
      <w:r>
        <w:t>Victorians can receive vaccinations in a range of settings including:</w:t>
      </w:r>
    </w:p>
    <w:p w14:paraId="449863AD" w14:textId="7632FF60" w:rsidR="0000567A" w:rsidRPr="00DE060C" w:rsidRDefault="0000567A" w:rsidP="009C48B6">
      <w:pPr>
        <w:pStyle w:val="Bullet1"/>
        <w:numPr>
          <w:ilvl w:val="0"/>
          <w:numId w:val="36"/>
        </w:numPr>
        <w:tabs>
          <w:tab w:val="left" w:pos="993"/>
          <w:tab w:val="left" w:pos="1134"/>
        </w:tabs>
        <w:rPr>
          <w:sz w:val="20"/>
        </w:rPr>
      </w:pPr>
      <w:r w:rsidRPr="00DE060C">
        <w:rPr>
          <w:sz w:val="20"/>
        </w:rPr>
        <w:t>pharmacies</w:t>
      </w:r>
      <w:r w:rsidR="0093106A">
        <w:rPr>
          <w:sz w:val="20"/>
        </w:rPr>
        <w:tab/>
      </w:r>
    </w:p>
    <w:p w14:paraId="2534AE67" w14:textId="77777777" w:rsidR="0000567A" w:rsidRDefault="0000567A" w:rsidP="009C48B6">
      <w:pPr>
        <w:pStyle w:val="DHHSbullet1"/>
        <w:numPr>
          <w:ilvl w:val="0"/>
          <w:numId w:val="36"/>
        </w:numPr>
        <w:spacing w:line="240" w:lineRule="auto"/>
      </w:pPr>
      <w:r w:rsidRPr="00DE060C">
        <w:t>general practices</w:t>
      </w:r>
    </w:p>
    <w:p w14:paraId="72A00B8E" w14:textId="55F68CD7" w:rsidR="00DF5560" w:rsidRDefault="00DF5560" w:rsidP="009C48B6">
      <w:pPr>
        <w:pStyle w:val="DHHSbullet1"/>
        <w:numPr>
          <w:ilvl w:val="0"/>
          <w:numId w:val="36"/>
        </w:numPr>
        <w:spacing w:line="240" w:lineRule="auto"/>
      </w:pPr>
      <w:r>
        <w:t>Aboriginal Community Controlled Health Services</w:t>
      </w:r>
    </w:p>
    <w:p w14:paraId="6D6AFCBE" w14:textId="21FB21BD" w:rsidR="00F07C5C" w:rsidRDefault="00F07C5C" w:rsidP="009C48B6">
      <w:pPr>
        <w:pStyle w:val="DHHSbullet1"/>
        <w:numPr>
          <w:ilvl w:val="0"/>
          <w:numId w:val="36"/>
        </w:numPr>
        <w:spacing w:line="240" w:lineRule="auto"/>
      </w:pPr>
      <w:r>
        <w:t>community health centres</w:t>
      </w:r>
    </w:p>
    <w:p w14:paraId="3843A5A2" w14:textId="3114FB04" w:rsidR="00F07C5C" w:rsidRPr="00DE060C" w:rsidRDefault="00F07C5C" w:rsidP="009C48B6">
      <w:pPr>
        <w:pStyle w:val="DHHSbullet1"/>
        <w:numPr>
          <w:ilvl w:val="0"/>
          <w:numId w:val="36"/>
        </w:numPr>
        <w:spacing w:line="240" w:lineRule="auto"/>
      </w:pPr>
      <w:r>
        <w:t>aged care facilities</w:t>
      </w:r>
    </w:p>
    <w:p w14:paraId="127C0A5F" w14:textId="54745A6F" w:rsidR="0000567A" w:rsidRDefault="001033D2" w:rsidP="009C48B6">
      <w:pPr>
        <w:pStyle w:val="Bullet1"/>
        <w:numPr>
          <w:ilvl w:val="0"/>
          <w:numId w:val="36"/>
        </w:numPr>
        <w:tabs>
          <w:tab w:val="left" w:pos="993"/>
        </w:tabs>
        <w:rPr>
          <w:sz w:val="20"/>
        </w:rPr>
      </w:pPr>
      <w:r w:rsidRPr="00DE060C">
        <w:rPr>
          <w:sz w:val="20"/>
        </w:rPr>
        <w:t>L</w:t>
      </w:r>
      <w:r w:rsidR="0000567A" w:rsidRPr="00DE060C">
        <w:rPr>
          <w:sz w:val="20"/>
        </w:rPr>
        <w:t>ocal Council clinics</w:t>
      </w:r>
    </w:p>
    <w:p w14:paraId="68EE2A8A" w14:textId="23832D36" w:rsidR="00F07C5C" w:rsidRDefault="002729E4" w:rsidP="009C48B6">
      <w:pPr>
        <w:pStyle w:val="Bullet1"/>
        <w:numPr>
          <w:ilvl w:val="0"/>
          <w:numId w:val="36"/>
        </w:numPr>
        <w:tabs>
          <w:tab w:val="left" w:pos="993"/>
        </w:tabs>
        <w:rPr>
          <w:sz w:val="20"/>
        </w:rPr>
      </w:pPr>
      <w:r>
        <w:rPr>
          <w:sz w:val="20"/>
        </w:rPr>
        <w:t>s</w:t>
      </w:r>
      <w:r w:rsidR="00F07C5C">
        <w:rPr>
          <w:sz w:val="20"/>
        </w:rPr>
        <w:t>taff occupational health clinics</w:t>
      </w:r>
    </w:p>
    <w:p w14:paraId="773384C3" w14:textId="77777777" w:rsidR="00DE5DA3" w:rsidRPr="0093106A" w:rsidRDefault="002729E4" w:rsidP="00DE5DA3">
      <w:pPr>
        <w:pStyle w:val="Bullet1"/>
        <w:numPr>
          <w:ilvl w:val="0"/>
          <w:numId w:val="36"/>
        </w:numPr>
        <w:tabs>
          <w:tab w:val="left" w:pos="993"/>
        </w:tabs>
      </w:pPr>
      <w:r>
        <w:rPr>
          <w:sz w:val="20"/>
        </w:rPr>
        <w:t>in the home.</w:t>
      </w:r>
    </w:p>
    <w:p w14:paraId="74760965" w14:textId="77777777" w:rsidR="0093106A" w:rsidRDefault="0093106A" w:rsidP="0093106A">
      <w:pPr>
        <w:pStyle w:val="Bullet1"/>
        <w:numPr>
          <w:ilvl w:val="0"/>
          <w:numId w:val="0"/>
        </w:numPr>
        <w:tabs>
          <w:tab w:val="left" w:pos="993"/>
        </w:tabs>
        <w:ind w:left="360"/>
      </w:pPr>
    </w:p>
    <w:p w14:paraId="63181E26" w14:textId="2DA03C3C" w:rsidR="0000567A" w:rsidRDefault="0000567A" w:rsidP="00DE5DA3">
      <w:pPr>
        <w:pStyle w:val="Bullet1"/>
        <w:numPr>
          <w:ilvl w:val="0"/>
          <w:numId w:val="0"/>
        </w:numPr>
        <w:tabs>
          <w:tab w:val="left" w:pos="993"/>
        </w:tabs>
      </w:pPr>
      <w:r>
        <w:t xml:space="preserve">All vaccines must be administered in accordance with the relevant legislation, best practice and the guidelines and recommendations in the </w:t>
      </w:r>
      <w:r w:rsidRPr="00DE5DA3">
        <w:rPr>
          <w:i/>
          <w:iCs/>
        </w:rPr>
        <w:t>Australian Immunisation Handbook</w:t>
      </w:r>
      <w:r>
        <w:rPr>
          <w:rStyle w:val="FootnoteReference"/>
        </w:rPr>
        <w:footnoteReference w:id="24"/>
      </w:r>
      <w:r>
        <w:t>.</w:t>
      </w:r>
    </w:p>
    <w:p w14:paraId="2F499310" w14:textId="77777777" w:rsidR="0000567A" w:rsidRDefault="0000567A" w:rsidP="0000567A">
      <w:pPr>
        <w:pStyle w:val="DHHSbody"/>
      </w:pPr>
      <w:r>
        <w:t xml:space="preserve">Service Providers and Pharmacist Immunisers must comply with requirements of the </w:t>
      </w:r>
      <w:r w:rsidRPr="5D0E1D87">
        <w:rPr>
          <w:i/>
          <w:iCs/>
        </w:rPr>
        <w:t>Australian Guidelines for the Prevention and Control of Infection in Healthcare</w:t>
      </w:r>
      <w:r>
        <w:rPr>
          <w:rStyle w:val="FootnoteReference"/>
        </w:rPr>
        <w:footnoteReference w:id="25"/>
      </w:r>
      <w:r>
        <w:t xml:space="preserve"> and the </w:t>
      </w:r>
      <w:r w:rsidRPr="5D0E1D87">
        <w:rPr>
          <w:i/>
          <w:iCs/>
        </w:rPr>
        <w:t>National vaccine storage guidelines - Strive for 5 (current version)</w:t>
      </w:r>
      <w:r>
        <w:rPr>
          <w:rStyle w:val="FootnoteReference"/>
        </w:rPr>
        <w:footnoteReference w:id="26"/>
      </w:r>
      <w:r>
        <w:t xml:space="preserve"> </w:t>
      </w:r>
      <w:r w:rsidRPr="00281D42">
        <w:t xml:space="preserve">which includes provisions for </w:t>
      </w:r>
      <w:r>
        <w:t>caring for vaccines in coolers, data loggers and cooler ice packs</w:t>
      </w:r>
      <w:r w:rsidRPr="00281D42">
        <w:t xml:space="preserve"> for</w:t>
      </w:r>
      <w:r>
        <w:t xml:space="preserve"> mobile or</w:t>
      </w:r>
      <w:r w:rsidRPr="00281D42">
        <w:t xml:space="preserve"> outreach</w:t>
      </w:r>
      <w:r>
        <w:t xml:space="preserve"> immunisation clinics</w:t>
      </w:r>
      <w:r w:rsidRPr="00281D42">
        <w:t>.</w:t>
      </w:r>
    </w:p>
    <w:p w14:paraId="349B9EEF" w14:textId="77777777" w:rsidR="0000567A" w:rsidRDefault="0000567A" w:rsidP="0000567A">
      <w:pPr>
        <w:pStyle w:val="DHHSbody"/>
      </w:pPr>
      <w:r>
        <w:t xml:space="preserve">Where vaccinations are administered in hospital pharmacies, community pharmacies or pharmacy depots, the Approval requires that these premises meet the guidelines for facilities providing immunisation services, as </w:t>
      </w:r>
      <w:r w:rsidRPr="007669D0">
        <w:t xml:space="preserve">described in the </w:t>
      </w:r>
      <w:r w:rsidRPr="5D0E1D87">
        <w:rPr>
          <w:i/>
          <w:iCs/>
        </w:rPr>
        <w:t>Victorian Pharmacy Authority Guidelines</w:t>
      </w:r>
      <w:r w:rsidRPr="007669D0">
        <w:rPr>
          <w:rStyle w:val="FootnoteReference"/>
        </w:rPr>
        <w:footnoteReference w:id="27"/>
      </w:r>
      <w:r w:rsidRPr="003E4AF6">
        <w:t xml:space="preserve"> that are current at the time.</w:t>
      </w:r>
    </w:p>
    <w:p w14:paraId="512D13A9" w14:textId="77777777" w:rsidR="0000567A" w:rsidRDefault="0000567A" w:rsidP="0000567A">
      <w:pPr>
        <w:pStyle w:val="DHHSbody"/>
      </w:pPr>
      <w:r>
        <w:t>P</w:t>
      </w:r>
      <w:r w:rsidRPr="00281D42">
        <w:t xml:space="preserve">harmacist </w:t>
      </w:r>
      <w:r>
        <w:t>I</w:t>
      </w:r>
      <w:r w:rsidRPr="00281D42">
        <w:t>mmunisers providing vaccination services in other settings</w:t>
      </w:r>
      <w:r>
        <w:t>,</w:t>
      </w:r>
      <w:r w:rsidRPr="00281D42">
        <w:t xml:space="preserve"> </w:t>
      </w:r>
      <w:r>
        <w:t>such as mobile or outreach</w:t>
      </w:r>
      <w:r w:rsidRPr="00281D42">
        <w:t xml:space="preserve"> </w:t>
      </w:r>
      <w:r>
        <w:t xml:space="preserve">clinics, </w:t>
      </w:r>
      <w:r w:rsidRPr="00281D42">
        <w:t>should comply with vaccination policies and procedures set by their employer (</w:t>
      </w:r>
      <w:r>
        <w:t>S</w:t>
      </w:r>
      <w:r w:rsidRPr="00281D42">
        <w:t xml:space="preserve">ervice </w:t>
      </w:r>
      <w:r>
        <w:t>P</w:t>
      </w:r>
      <w:r w:rsidRPr="00281D42">
        <w:t>rovider)</w:t>
      </w:r>
      <w:r>
        <w:t xml:space="preserve"> ensuring consideration has been given for the appropriateness of the setting to the clinical procedure undertaken and the person receiving care. </w:t>
      </w:r>
    </w:p>
    <w:p w14:paraId="49581642" w14:textId="7DD1CE79" w:rsidR="0000567A" w:rsidRPr="00281D42" w:rsidRDefault="0000567A" w:rsidP="0000567A">
      <w:pPr>
        <w:pStyle w:val="DHHSbody"/>
      </w:pPr>
      <w:r w:rsidRPr="00F70F83">
        <w:t xml:space="preserve">Pharmacist </w:t>
      </w:r>
      <w:r w:rsidR="006149A6">
        <w:t>I</w:t>
      </w:r>
      <w:r w:rsidRPr="007B0D04">
        <w:t>mmunisers should also ensure they have a safe and suitable vaccination environment for administration of vaccines to young children. Anxiety/pain related reactions to any vaccine is likely to be higher for children and adolescents than adults. While most cases of fainting and syncopal seizures are not serious, some children may sustain injury from high impact falls, so it is important to have a safe vaccination environment and an awareness of the clinical signs of a faint/syncope</w:t>
      </w:r>
      <w:r w:rsidRPr="00F70F83">
        <w:rPr>
          <w:rStyle w:val="FootnoteReference"/>
          <w:sz w:val="21"/>
          <w:szCs w:val="21"/>
        </w:rPr>
        <w:footnoteReference w:id="28"/>
      </w:r>
      <w:r w:rsidRPr="00F70F83">
        <w:rPr>
          <w:sz w:val="21"/>
          <w:szCs w:val="21"/>
        </w:rPr>
        <w:t>.</w:t>
      </w:r>
    </w:p>
    <w:p w14:paraId="535AAFFA" w14:textId="77777777" w:rsidR="0000567A" w:rsidRDefault="0000567A" w:rsidP="0000567A">
      <w:pPr>
        <w:pStyle w:val="DHHSbody"/>
      </w:pPr>
      <w:r>
        <w:t>A</w:t>
      </w:r>
      <w:r w:rsidRPr="00281D42">
        <w:t>ny vaccines ordered need to be delivered to the registered location of the pharmacy</w:t>
      </w:r>
      <w:r>
        <w:t>, pharmacy depot or hospital</w:t>
      </w:r>
      <w:r w:rsidRPr="00281D42">
        <w:t xml:space="preserve"> and any pharmacies wanting to provide an immunisation service in Victoria must also be registered with the department</w:t>
      </w:r>
      <w:r>
        <w:t>.</w:t>
      </w:r>
    </w:p>
    <w:p w14:paraId="591DE708" w14:textId="77777777" w:rsidR="0000567A" w:rsidRPr="00660D3A" w:rsidRDefault="0000567A" w:rsidP="0000567A">
      <w:pPr>
        <w:pStyle w:val="DHHSbody"/>
        <w:rPr>
          <w:rFonts w:cs="Arial"/>
          <w:b/>
        </w:rPr>
      </w:pPr>
      <w:proofErr w:type="gramStart"/>
      <w:r w:rsidRPr="001C5022">
        <w:rPr>
          <w:rFonts w:cs="Arial"/>
        </w:rPr>
        <w:t>With regard to</w:t>
      </w:r>
      <w:proofErr w:type="gramEnd"/>
      <w:r w:rsidRPr="001C5022">
        <w:rPr>
          <w:rFonts w:cs="Arial"/>
        </w:rPr>
        <w:t xml:space="preserve"> f</w:t>
      </w:r>
      <w:r w:rsidRPr="003E4AF6">
        <w:rPr>
          <w:rFonts w:cs="Arial"/>
        </w:rPr>
        <w:t>acilities for immunisation services,</w:t>
      </w:r>
      <w:r w:rsidRPr="001C5022">
        <w:rPr>
          <w:rFonts w:cs="Arial"/>
        </w:rPr>
        <w:t xml:space="preserve"> the </w:t>
      </w:r>
      <w:r w:rsidRPr="00EB56E8">
        <w:rPr>
          <w:rFonts w:cs="Arial"/>
          <w:i/>
        </w:rPr>
        <w:t>Victorian Pharmacy Authority Guidelines</w:t>
      </w:r>
      <w:r w:rsidRPr="00EB56E8">
        <w:rPr>
          <w:rFonts w:cs="Arial"/>
        </w:rPr>
        <w:t xml:space="preserve"> state that:</w:t>
      </w:r>
    </w:p>
    <w:p w14:paraId="6B34F63F" w14:textId="726D6465" w:rsidR="0000567A" w:rsidRPr="006F385B" w:rsidRDefault="0000567A" w:rsidP="00700529">
      <w:pPr>
        <w:pStyle w:val="DHHSbullet1"/>
        <w:numPr>
          <w:ilvl w:val="0"/>
          <w:numId w:val="9"/>
        </w:numPr>
        <w:spacing w:line="240" w:lineRule="auto"/>
        <w:ind w:left="993" w:hanging="567"/>
        <w:rPr>
          <w:rFonts w:cs="Arial"/>
        </w:rPr>
      </w:pPr>
      <w:r w:rsidRPr="006F385B">
        <w:lastRenderedPageBreak/>
        <w:t>The</w:t>
      </w:r>
      <w:r w:rsidRPr="006F385B">
        <w:rPr>
          <w:rFonts w:cs="Arial"/>
        </w:rPr>
        <w:t xml:space="preserve"> dispensary is </w:t>
      </w:r>
      <w:r w:rsidRPr="00CD0A6E">
        <w:rPr>
          <w:rFonts w:cs="Arial"/>
        </w:rPr>
        <w:t>not to be used for immunisation services</w:t>
      </w:r>
      <w:r w:rsidRPr="006F385B">
        <w:rPr>
          <w:rFonts w:cs="Arial"/>
        </w:rPr>
        <w:t>.</w:t>
      </w:r>
    </w:p>
    <w:p w14:paraId="69D7AEA5" w14:textId="70855D1F" w:rsidR="0000567A" w:rsidRPr="004A4A21" w:rsidRDefault="009C2D91" w:rsidP="00700529">
      <w:pPr>
        <w:pStyle w:val="DHHSbullet1"/>
        <w:numPr>
          <w:ilvl w:val="0"/>
          <w:numId w:val="9"/>
        </w:numPr>
        <w:spacing w:line="240" w:lineRule="auto"/>
        <w:ind w:left="993" w:hanging="567"/>
        <w:rPr>
          <w:rFonts w:cs="Arial"/>
        </w:rPr>
      </w:pPr>
      <w:r w:rsidRPr="006F385B">
        <w:t>T</w:t>
      </w:r>
      <w:r w:rsidR="0000567A" w:rsidRPr="001726EF">
        <w:rPr>
          <w:rFonts w:cs="Arial"/>
        </w:rPr>
        <w:t>he</w:t>
      </w:r>
      <w:r w:rsidR="0000567A" w:rsidRPr="006F385B">
        <w:rPr>
          <w:rFonts w:cs="Arial"/>
        </w:rPr>
        <w:t xml:space="preserve"> room or area may be dedicated to the purpose, or an existing consulting room may </w:t>
      </w:r>
      <w:r w:rsidR="0000567A" w:rsidRPr="00CD0A6E">
        <w:rPr>
          <w:rFonts w:cs="Arial"/>
        </w:rPr>
        <w:t>be used. Hand sanitisation facilities are to be in the room.</w:t>
      </w:r>
    </w:p>
    <w:p w14:paraId="1253CF2E" w14:textId="6E8C828B" w:rsidR="0000567A" w:rsidRPr="001726EF" w:rsidRDefault="0000567A" w:rsidP="00700529">
      <w:pPr>
        <w:pStyle w:val="DHHSbullet1"/>
        <w:numPr>
          <w:ilvl w:val="0"/>
          <w:numId w:val="9"/>
        </w:numPr>
        <w:spacing w:line="240" w:lineRule="auto"/>
        <w:ind w:left="993" w:hanging="567"/>
        <w:rPr>
          <w:rFonts w:cs="Arial"/>
        </w:rPr>
      </w:pPr>
      <w:r w:rsidRPr="006F385B">
        <w:t xml:space="preserve">The room or private </w:t>
      </w:r>
      <w:r w:rsidRPr="009243F7">
        <w:rPr>
          <w:rFonts w:cs="Arial"/>
        </w:rPr>
        <w:t>consultation area is to:</w:t>
      </w:r>
    </w:p>
    <w:p w14:paraId="343FC605" w14:textId="77777777" w:rsidR="0000567A" w:rsidRPr="00EB56E8" w:rsidRDefault="0000567A" w:rsidP="00700529">
      <w:pPr>
        <w:pStyle w:val="DHHSbullet1"/>
        <w:numPr>
          <w:ilvl w:val="1"/>
          <w:numId w:val="9"/>
        </w:numPr>
        <w:spacing w:line="240" w:lineRule="auto"/>
        <w:rPr>
          <w:rFonts w:cs="Arial"/>
        </w:rPr>
      </w:pPr>
      <w:r w:rsidRPr="001C5022">
        <w:rPr>
          <w:rFonts w:cs="Arial"/>
        </w:rPr>
        <w:t xml:space="preserve">be clean and </w:t>
      </w:r>
      <w:proofErr w:type="gramStart"/>
      <w:r w:rsidRPr="001C5022">
        <w:rPr>
          <w:rFonts w:cs="Arial"/>
        </w:rPr>
        <w:t>hygienic;</w:t>
      </w:r>
      <w:proofErr w:type="gramEnd"/>
    </w:p>
    <w:p w14:paraId="0D9C6B09" w14:textId="77777777" w:rsidR="0000567A" w:rsidRPr="00EB56E8" w:rsidRDefault="0000567A" w:rsidP="00700529">
      <w:pPr>
        <w:pStyle w:val="DHHSbullet1"/>
        <w:numPr>
          <w:ilvl w:val="1"/>
          <w:numId w:val="9"/>
        </w:numPr>
        <w:spacing w:line="240" w:lineRule="auto"/>
        <w:rPr>
          <w:rFonts w:cs="Arial"/>
        </w:rPr>
      </w:pPr>
      <w:r w:rsidRPr="00EB56E8">
        <w:rPr>
          <w:rFonts w:cs="Arial"/>
        </w:rPr>
        <w:t xml:space="preserve">be designed </w:t>
      </w:r>
      <w:r w:rsidRPr="006F385B">
        <w:t>such</w:t>
      </w:r>
      <w:r w:rsidRPr="00EB56E8">
        <w:rPr>
          <w:rFonts w:cs="Arial"/>
        </w:rPr>
        <w:t xml:space="preserve"> that the procedure is not visible or audible to other persons in the </w:t>
      </w:r>
      <w:proofErr w:type="gramStart"/>
      <w:r w:rsidRPr="00EB56E8">
        <w:rPr>
          <w:rFonts w:cs="Arial"/>
        </w:rPr>
        <w:t>pharmacy;</w:t>
      </w:r>
      <w:proofErr w:type="gramEnd"/>
    </w:p>
    <w:p w14:paraId="44C2FB1B" w14:textId="77777777" w:rsidR="0000567A" w:rsidRPr="00EB56E8" w:rsidRDefault="0000567A" w:rsidP="00700529">
      <w:pPr>
        <w:pStyle w:val="DHHSbullet1"/>
        <w:numPr>
          <w:ilvl w:val="1"/>
          <w:numId w:val="9"/>
        </w:numPr>
        <w:spacing w:line="240" w:lineRule="auto"/>
        <w:rPr>
          <w:rFonts w:cs="Arial"/>
        </w:rPr>
      </w:pPr>
      <w:r w:rsidRPr="00EB56E8">
        <w:rPr>
          <w:rFonts w:cs="Arial"/>
        </w:rPr>
        <w:t xml:space="preserve">have sufficient floor area, clear of equipment and furniture, to accommodate the client and an accompanying person, and to allow the practitioner room to </w:t>
      </w:r>
      <w:proofErr w:type="gramStart"/>
      <w:r w:rsidRPr="00EB56E8">
        <w:rPr>
          <w:rFonts w:cs="Arial"/>
        </w:rPr>
        <w:t>manoeuvre;</w:t>
      </w:r>
      <w:proofErr w:type="gramEnd"/>
    </w:p>
    <w:p w14:paraId="658D7634" w14:textId="4AED7CAE" w:rsidR="005835A8" w:rsidRPr="00EB56E8" w:rsidRDefault="0000567A" w:rsidP="00700529">
      <w:pPr>
        <w:pStyle w:val="DHHSbullet1"/>
        <w:numPr>
          <w:ilvl w:val="1"/>
          <w:numId w:val="9"/>
        </w:numPr>
        <w:spacing w:line="240" w:lineRule="auto"/>
        <w:rPr>
          <w:rFonts w:cs="Arial"/>
        </w:rPr>
      </w:pPr>
      <w:r w:rsidRPr="00EB56E8">
        <w:rPr>
          <w:rFonts w:cs="Arial"/>
        </w:rPr>
        <w:t>have a bench with an impervious surface of an adequate area, a chair, a first aid couch or similar; and</w:t>
      </w:r>
    </w:p>
    <w:p w14:paraId="26771D3B" w14:textId="4F44D8BB" w:rsidR="00784A55" w:rsidRPr="005835A8" w:rsidRDefault="0000567A" w:rsidP="00700529">
      <w:pPr>
        <w:pStyle w:val="DHHSbullet1"/>
        <w:numPr>
          <w:ilvl w:val="1"/>
          <w:numId w:val="9"/>
        </w:numPr>
        <w:spacing w:line="240" w:lineRule="auto"/>
        <w:rPr>
          <w:rStyle w:val="Hyperlink"/>
          <w:rFonts w:ascii="Cambria" w:hAnsi="Cambria" w:cs="Arial"/>
          <w:color w:val="auto"/>
        </w:rPr>
      </w:pPr>
      <w:r w:rsidRPr="005835A8">
        <w:rPr>
          <w:rFonts w:cs="Arial"/>
        </w:rPr>
        <w:t xml:space="preserve">have an emergency response protocol (preferably laminated) on display, an emergency response kit, and the most recent editions of the </w:t>
      </w:r>
      <w:r w:rsidRPr="005835A8">
        <w:rPr>
          <w:rFonts w:cs="Arial"/>
          <w:i/>
        </w:rPr>
        <w:t>Australian Immunisation Handbook</w:t>
      </w:r>
      <w:r w:rsidRPr="005835A8">
        <w:rPr>
          <w:rFonts w:cs="Arial"/>
        </w:rPr>
        <w:t xml:space="preserve"> and the </w:t>
      </w:r>
      <w:r w:rsidRPr="005835A8">
        <w:rPr>
          <w:rFonts w:cs="Arial"/>
          <w:i/>
        </w:rPr>
        <w:t>National Vaccine Storage Guidelines - Strive for 5</w:t>
      </w:r>
      <w:r w:rsidR="003C4B14">
        <w:rPr>
          <w:rFonts w:cs="Arial"/>
          <w:iCs/>
          <w:vertAlign w:val="superscript"/>
        </w:rPr>
        <w:t>25</w:t>
      </w:r>
      <w:r w:rsidR="00784A55" w:rsidRPr="005835A8">
        <w:rPr>
          <w:rFonts w:cs="Arial"/>
          <w:i/>
        </w:rPr>
        <w:t xml:space="preserve">. </w:t>
      </w:r>
    </w:p>
    <w:p w14:paraId="5CB247E5" w14:textId="77777777" w:rsidR="0000567A" w:rsidRPr="00EB56E8" w:rsidRDefault="0000567A" w:rsidP="00700529">
      <w:pPr>
        <w:pStyle w:val="DHHSbullet1"/>
        <w:numPr>
          <w:ilvl w:val="1"/>
          <w:numId w:val="9"/>
        </w:numPr>
        <w:spacing w:line="240" w:lineRule="auto"/>
        <w:rPr>
          <w:rFonts w:cs="Arial"/>
        </w:rPr>
      </w:pPr>
      <w:r w:rsidRPr="001C5022">
        <w:rPr>
          <w:rFonts w:cs="Arial"/>
        </w:rPr>
        <w:t>The room or private consultation area should be designed and set up to accommodate people with disability.</w:t>
      </w:r>
    </w:p>
    <w:p w14:paraId="3E7D1547" w14:textId="77777777" w:rsidR="0000567A" w:rsidRPr="00DE060C" w:rsidRDefault="0000567A" w:rsidP="00700529">
      <w:pPr>
        <w:pStyle w:val="DHHSbullet1"/>
        <w:numPr>
          <w:ilvl w:val="0"/>
          <w:numId w:val="9"/>
        </w:numPr>
        <w:spacing w:line="240" w:lineRule="auto"/>
        <w:ind w:left="993" w:hanging="567"/>
      </w:pPr>
      <w:r w:rsidRPr="00DE060C">
        <w:t>Seating is to be made available post-vaccination, so that the client may be observed in accordance with professional guidelines.</w:t>
      </w:r>
    </w:p>
    <w:p w14:paraId="5FA60CA6" w14:textId="77777777" w:rsidR="0000567A" w:rsidRDefault="0000567A" w:rsidP="0000567A">
      <w:pPr>
        <w:pStyle w:val="DHHSbody"/>
        <w:spacing w:before="120"/>
        <w:rPr>
          <w:rFonts w:cs="Arial"/>
        </w:rPr>
      </w:pPr>
      <w:r w:rsidRPr="007669D0">
        <w:rPr>
          <w:rFonts w:cs="Arial"/>
        </w:rPr>
        <w:t xml:space="preserve">The </w:t>
      </w:r>
      <w:r w:rsidRPr="00E2481D">
        <w:rPr>
          <w:rFonts w:cs="Arial"/>
          <w:i/>
        </w:rPr>
        <w:t>Victorian Pharmacy Authority Guidelines</w:t>
      </w:r>
      <w:r w:rsidRPr="007669D0">
        <w:rPr>
          <w:rFonts w:cs="Arial"/>
        </w:rPr>
        <w:t xml:space="preserve"> also state that </w:t>
      </w:r>
      <w:r>
        <w:rPr>
          <w:rFonts w:cs="Arial"/>
        </w:rPr>
        <w:t xml:space="preserve">only </w:t>
      </w:r>
      <w:r w:rsidRPr="007669D0">
        <w:rPr>
          <w:rFonts w:cs="Arial"/>
        </w:rPr>
        <w:t xml:space="preserve">a </w:t>
      </w:r>
      <w:r>
        <w:rPr>
          <w:rFonts w:cs="Arial"/>
        </w:rPr>
        <w:t>temperature-monitored</w:t>
      </w:r>
      <w:r w:rsidRPr="007669D0">
        <w:rPr>
          <w:rFonts w:cs="Arial"/>
        </w:rPr>
        <w:t xml:space="preserve"> refrigerator </w:t>
      </w:r>
      <w:r>
        <w:rPr>
          <w:rFonts w:cs="Arial"/>
        </w:rPr>
        <w:t xml:space="preserve">manufactured exclusively for the purpose of storage of vaccines </w:t>
      </w:r>
      <w:r w:rsidRPr="007669D0">
        <w:rPr>
          <w:rFonts w:cs="Arial"/>
        </w:rPr>
        <w:t xml:space="preserve">may be </w:t>
      </w:r>
      <w:proofErr w:type="gramStart"/>
      <w:r w:rsidRPr="007669D0">
        <w:rPr>
          <w:rFonts w:cs="Arial"/>
        </w:rPr>
        <w:t>used</w:t>
      </w:r>
      <w:r>
        <w:rPr>
          <w:rFonts w:cs="Arial"/>
        </w:rPr>
        <w:t>, but</w:t>
      </w:r>
      <w:proofErr w:type="gramEnd"/>
      <w:r>
        <w:rPr>
          <w:rFonts w:cs="Arial"/>
        </w:rPr>
        <w:t xml:space="preserve"> can also be used to store other medicines.</w:t>
      </w:r>
      <w:r w:rsidRPr="007669D0">
        <w:rPr>
          <w:rFonts w:cs="Arial"/>
        </w:rPr>
        <w:t xml:space="preserve"> </w:t>
      </w:r>
      <w:r>
        <w:rPr>
          <w:rFonts w:cs="Arial"/>
        </w:rPr>
        <w:t>T</w:t>
      </w:r>
      <w:r w:rsidRPr="007669D0">
        <w:rPr>
          <w:rFonts w:cs="Arial"/>
        </w:rPr>
        <w:t xml:space="preserve">he Approval also requires compliance with the </w:t>
      </w:r>
      <w:r w:rsidRPr="00E2481D">
        <w:rPr>
          <w:rFonts w:cs="Arial"/>
        </w:rPr>
        <w:t xml:space="preserve">National vaccine storage guidelines </w:t>
      </w:r>
      <w:bookmarkStart w:id="48" w:name="_Hlk29895347"/>
      <w:r w:rsidRPr="00E2481D">
        <w:rPr>
          <w:rFonts w:cs="Arial"/>
        </w:rPr>
        <w:t>–</w:t>
      </w:r>
      <w:bookmarkEnd w:id="48"/>
      <w:r w:rsidRPr="00E2481D">
        <w:rPr>
          <w:rFonts w:cs="Arial"/>
        </w:rPr>
        <w:t xml:space="preserve"> Strive for 5</w:t>
      </w:r>
      <w:r w:rsidRPr="00974712">
        <w:rPr>
          <w:rFonts w:cs="Arial"/>
        </w:rPr>
        <w:t xml:space="preserve"> (current edition), </w:t>
      </w:r>
      <w:r w:rsidRPr="007669D0">
        <w:rPr>
          <w:rFonts w:cs="Arial"/>
        </w:rPr>
        <w:t>which recommend</w:t>
      </w:r>
      <w:r>
        <w:rPr>
          <w:rFonts w:cs="Arial"/>
        </w:rPr>
        <w:t>s</w:t>
      </w:r>
      <w:r w:rsidRPr="007669D0">
        <w:rPr>
          <w:rFonts w:cs="Arial"/>
        </w:rPr>
        <w:t xml:space="preserve"> that the refrigerator </w:t>
      </w:r>
      <w:r>
        <w:rPr>
          <w:rFonts w:cs="Arial"/>
        </w:rPr>
        <w:t xml:space="preserve">used to store vaccines </w:t>
      </w:r>
      <w:r w:rsidRPr="007669D0">
        <w:rPr>
          <w:rFonts w:cs="Arial"/>
        </w:rPr>
        <w:t xml:space="preserve">should be a </w:t>
      </w:r>
      <w:r>
        <w:rPr>
          <w:rFonts w:cs="Arial"/>
        </w:rPr>
        <w:t xml:space="preserve">purpose-built vaccine </w:t>
      </w:r>
      <w:r w:rsidRPr="007669D0">
        <w:rPr>
          <w:rFonts w:cs="Arial"/>
        </w:rPr>
        <w:t xml:space="preserve">refrigerator, manufactured exclusively for the purpose of storage of vaccines. </w:t>
      </w:r>
    </w:p>
    <w:p w14:paraId="00401D91" w14:textId="77777777" w:rsidR="0000567A" w:rsidRDefault="0000567A" w:rsidP="0000567A">
      <w:pPr>
        <w:pStyle w:val="DHHSbody"/>
        <w:spacing w:before="120"/>
        <w:rPr>
          <w:rFonts w:cs="Arial"/>
        </w:rPr>
      </w:pPr>
      <w:r w:rsidRPr="007669D0">
        <w:rPr>
          <w:rFonts w:cs="Arial"/>
        </w:rPr>
        <w:t xml:space="preserve">The refrigerator must also possess a temperature data logger, </w:t>
      </w:r>
      <w:proofErr w:type="gramStart"/>
      <w:r w:rsidRPr="007669D0">
        <w:rPr>
          <w:rFonts w:cs="Arial"/>
        </w:rPr>
        <w:t>in order to</w:t>
      </w:r>
      <w:proofErr w:type="gramEnd"/>
      <w:r w:rsidRPr="007669D0">
        <w:rPr>
          <w:rFonts w:cs="Arial"/>
        </w:rPr>
        <w:t xml:space="preserve"> comply with the </w:t>
      </w:r>
      <w:r w:rsidRPr="00E2481D">
        <w:rPr>
          <w:rFonts w:cs="Arial"/>
          <w:i/>
        </w:rPr>
        <w:t>Victorian Pharmacy Authority Guidelines</w:t>
      </w:r>
      <w:r w:rsidRPr="007669D0">
        <w:rPr>
          <w:rFonts w:cs="Arial"/>
        </w:rPr>
        <w:t>.</w:t>
      </w:r>
      <w:r>
        <w:rPr>
          <w:rFonts w:cs="Arial"/>
        </w:rPr>
        <w:t xml:space="preserve"> </w:t>
      </w:r>
      <w:r w:rsidRPr="007119A0">
        <w:rPr>
          <w:rFonts w:cs="Arial"/>
        </w:rPr>
        <w:t xml:space="preserve">The </w:t>
      </w:r>
      <w:r w:rsidRPr="00E2481D">
        <w:rPr>
          <w:rFonts w:cs="Arial"/>
          <w:i/>
        </w:rPr>
        <w:t>Victorian Pharmacy Authority Guidelines</w:t>
      </w:r>
      <w:r w:rsidRPr="007119A0">
        <w:rPr>
          <w:rFonts w:cs="Arial"/>
        </w:rPr>
        <w:t xml:space="preserve"> also state that where the refrigerator is not located in the dispensary, it must be fitted with a lock.</w:t>
      </w:r>
    </w:p>
    <w:p w14:paraId="36BAEE50" w14:textId="77777777" w:rsidR="0000567A" w:rsidRDefault="0000567A" w:rsidP="0000567A">
      <w:pPr>
        <w:pStyle w:val="DHHSbody"/>
        <w:spacing w:before="120"/>
        <w:rPr>
          <w:rFonts w:cs="Arial"/>
        </w:rPr>
      </w:pPr>
      <w:r>
        <w:rPr>
          <w:rFonts w:cs="Arial"/>
        </w:rPr>
        <w:t>An additional refrigerator with a freezer section will be required for storing ice packs and gel packs – purpose-built vaccine refrigerators do not have freezer compartments.</w:t>
      </w:r>
    </w:p>
    <w:p w14:paraId="3C55341A" w14:textId="77777777" w:rsidR="0000567A" w:rsidRDefault="0000567A" w:rsidP="0000567A">
      <w:pPr>
        <w:pStyle w:val="DHHSbody"/>
        <w:spacing w:before="120"/>
        <w:rPr>
          <w:rFonts w:cs="Arial"/>
        </w:rPr>
      </w:pPr>
      <w:r>
        <w:rPr>
          <w:rFonts w:cs="Arial"/>
        </w:rPr>
        <w:t xml:space="preserve">The </w:t>
      </w:r>
      <w:r w:rsidRPr="00E2481D">
        <w:rPr>
          <w:rFonts w:cs="Arial"/>
          <w:i/>
        </w:rPr>
        <w:t>National vaccine storage guidelines – Strive for 5</w:t>
      </w:r>
      <w:r>
        <w:rPr>
          <w:rFonts w:cs="Arial"/>
        </w:rPr>
        <w:t xml:space="preserve"> (current edition) provides important information relating to the provision of mobile or outreach immunisation clinics, such as:</w:t>
      </w:r>
    </w:p>
    <w:p w14:paraId="2BBCA4C9" w14:textId="77777777" w:rsidR="0000567A" w:rsidRPr="00DE060C" w:rsidRDefault="0000567A" w:rsidP="00F722B2">
      <w:pPr>
        <w:pStyle w:val="Bullet2"/>
        <w:ind w:left="738"/>
        <w:rPr>
          <w:rFonts w:cs="Arial"/>
          <w:sz w:val="20"/>
        </w:rPr>
      </w:pPr>
      <w:r w:rsidRPr="00DE060C">
        <w:rPr>
          <w:rFonts w:cs="Arial"/>
          <w:sz w:val="20"/>
        </w:rPr>
        <w:t>portable purpose-built vaccine refrigerators and ‘coolers’</w:t>
      </w:r>
    </w:p>
    <w:p w14:paraId="7F0A769A" w14:textId="77777777" w:rsidR="0000567A" w:rsidRPr="00DE060C" w:rsidRDefault="0000567A" w:rsidP="00F722B2">
      <w:pPr>
        <w:pStyle w:val="Bullet2"/>
        <w:ind w:left="738"/>
        <w:rPr>
          <w:rFonts w:cs="Arial"/>
          <w:sz w:val="20"/>
        </w:rPr>
      </w:pPr>
      <w:r w:rsidRPr="00DE060C">
        <w:rPr>
          <w:rFonts w:cs="Arial"/>
          <w:sz w:val="20"/>
        </w:rPr>
        <w:t>packaging vaccines and diluents for transport</w:t>
      </w:r>
    </w:p>
    <w:p w14:paraId="4F74EC01" w14:textId="77777777" w:rsidR="0000567A" w:rsidRPr="00DE060C" w:rsidRDefault="0000567A" w:rsidP="00F722B2">
      <w:pPr>
        <w:pStyle w:val="Bullet2"/>
        <w:ind w:left="738"/>
        <w:rPr>
          <w:rFonts w:cs="Arial"/>
          <w:sz w:val="20"/>
        </w:rPr>
      </w:pPr>
      <w:r w:rsidRPr="00DE060C">
        <w:rPr>
          <w:rFonts w:cs="Arial"/>
          <w:sz w:val="20"/>
        </w:rPr>
        <w:t xml:space="preserve">monitoring equipment and recording refrigerator temperatures, </w:t>
      </w:r>
      <w:proofErr w:type="gramStart"/>
      <w:r w:rsidRPr="00DE060C">
        <w:rPr>
          <w:rFonts w:cs="Arial"/>
          <w:sz w:val="20"/>
        </w:rPr>
        <w:t>documentation</w:t>
      </w:r>
      <w:proofErr w:type="gramEnd"/>
      <w:r w:rsidRPr="00DE060C">
        <w:rPr>
          <w:rFonts w:cs="Arial"/>
          <w:sz w:val="20"/>
        </w:rPr>
        <w:t xml:space="preserve"> and reporting</w:t>
      </w:r>
    </w:p>
    <w:p w14:paraId="538EB828" w14:textId="77777777" w:rsidR="0000567A" w:rsidRPr="00DE060C" w:rsidRDefault="0000567A" w:rsidP="00F722B2">
      <w:pPr>
        <w:pStyle w:val="Bullet2"/>
        <w:ind w:left="738"/>
        <w:rPr>
          <w:rFonts w:cs="Arial"/>
          <w:sz w:val="20"/>
        </w:rPr>
      </w:pPr>
      <w:r w:rsidRPr="00DE060C">
        <w:rPr>
          <w:rFonts w:cs="Arial"/>
          <w:sz w:val="20"/>
        </w:rPr>
        <w:t>environmental considerations.</w:t>
      </w:r>
    </w:p>
    <w:p w14:paraId="253BAF8C" w14:textId="77777777" w:rsidR="0000567A" w:rsidRDefault="0000567A" w:rsidP="0000567A">
      <w:pPr>
        <w:pStyle w:val="DHHSbody"/>
        <w:spacing w:before="120"/>
        <w:rPr>
          <w:rFonts w:cs="Arial"/>
        </w:rPr>
      </w:pPr>
      <w:r>
        <w:rPr>
          <w:rFonts w:cs="Arial"/>
        </w:rPr>
        <w:t>A copy of certificate of training completion should be displayed in the vaccination area to assure individuals that the Pharmacist Immuniser has successfully completed an ‘Immuniser program of study’ that has been recognised by the Victorian Chief Health Officer.</w:t>
      </w:r>
    </w:p>
    <w:p w14:paraId="7DCA5F9A" w14:textId="77777777" w:rsidR="0000567A" w:rsidRPr="00CB1D92" w:rsidRDefault="0000567A" w:rsidP="0000567A">
      <w:pPr>
        <w:pStyle w:val="DHHSbody"/>
        <w:spacing w:before="120"/>
        <w:rPr>
          <w:rFonts w:cs="Arial"/>
        </w:rPr>
      </w:pPr>
      <w:r>
        <w:rPr>
          <w:rFonts w:cs="Arial"/>
        </w:rPr>
        <w:t>In mobile or outreach services where a variety of rooms or private consultation areas may be used for vaccination purposes, the Pharmacist Immuniser must keep evidence of completion of their training on hand to present to the individual on their request.</w:t>
      </w:r>
    </w:p>
    <w:p w14:paraId="57C29DAA" w14:textId="3A7782E2" w:rsidR="0000567A" w:rsidRPr="00D34C1F" w:rsidRDefault="0000567A" w:rsidP="00700529">
      <w:pPr>
        <w:pStyle w:val="Heading2"/>
        <w:numPr>
          <w:ilvl w:val="1"/>
          <w:numId w:val="30"/>
        </w:numPr>
        <w:rPr>
          <w:sz w:val="28"/>
          <w:highlight w:val="yellow"/>
        </w:rPr>
      </w:pPr>
      <w:bookmarkStart w:id="49" w:name="_Toc115426496"/>
      <w:r w:rsidRPr="00D34C1F">
        <w:rPr>
          <w:sz w:val="28"/>
          <w:highlight w:val="yellow"/>
        </w:rPr>
        <w:t>Registration of premises</w:t>
      </w:r>
      <w:bookmarkEnd w:id="49"/>
    </w:p>
    <w:p w14:paraId="60277360" w14:textId="77777777" w:rsidR="0000567A" w:rsidRPr="006C6EE9" w:rsidRDefault="0000567A" w:rsidP="00700529">
      <w:pPr>
        <w:pStyle w:val="Heading3"/>
        <w:numPr>
          <w:ilvl w:val="2"/>
          <w:numId w:val="30"/>
        </w:numPr>
        <w:rPr>
          <w:sz w:val="28"/>
          <w:szCs w:val="28"/>
          <w:highlight w:val="yellow"/>
        </w:rPr>
      </w:pPr>
      <w:bookmarkStart w:id="50" w:name="_Registration_with_the"/>
      <w:bookmarkEnd w:id="50"/>
      <w:r w:rsidRPr="006C6EE9">
        <w:rPr>
          <w:sz w:val="28"/>
          <w:szCs w:val="28"/>
          <w:highlight w:val="yellow"/>
        </w:rPr>
        <w:t>Registration with the department</w:t>
      </w:r>
    </w:p>
    <w:p w14:paraId="648203F0" w14:textId="77777777" w:rsidR="0000567A" w:rsidRDefault="0000567A" w:rsidP="0000567A">
      <w:pPr>
        <w:pStyle w:val="DHHSbody"/>
      </w:pPr>
      <w:r>
        <w:t xml:space="preserve">Pharmacies, pharmacy depots and hospitals are required to nominate a responsible pharmacist and register with the department before they begin administering vaccinations. </w:t>
      </w:r>
    </w:p>
    <w:p w14:paraId="5BDB2D65" w14:textId="77777777" w:rsidR="00227A58" w:rsidRDefault="0000567A" w:rsidP="0000567A">
      <w:pPr>
        <w:pStyle w:val="DHHSbody"/>
      </w:pPr>
      <w:r>
        <w:lastRenderedPageBreak/>
        <w:t>Registration with the department will enable pharmacists to</w:t>
      </w:r>
      <w:r w:rsidR="00227A58">
        <w:t>:</w:t>
      </w:r>
      <w:r>
        <w:t xml:space="preserve"> </w:t>
      </w:r>
    </w:p>
    <w:p w14:paraId="02513AD5" w14:textId="630EA52F" w:rsidR="00227A58" w:rsidRPr="00B27D11" w:rsidRDefault="0000567A" w:rsidP="00EB614C">
      <w:pPr>
        <w:pStyle w:val="Bullet2"/>
        <w:ind w:left="567"/>
        <w:rPr>
          <w:sz w:val="20"/>
          <w:highlight w:val="yellow"/>
        </w:rPr>
      </w:pPr>
      <w:r w:rsidRPr="00D66C7B">
        <w:rPr>
          <w:sz w:val="20"/>
          <w:highlight w:val="yellow"/>
        </w:rPr>
        <w:t xml:space="preserve">receive government-funded vaccines </w:t>
      </w:r>
      <w:r w:rsidR="008526F0" w:rsidRPr="00D66C7B">
        <w:rPr>
          <w:sz w:val="20"/>
          <w:highlight w:val="yellow"/>
        </w:rPr>
        <w:t xml:space="preserve">included within the Approval </w:t>
      </w:r>
      <w:r w:rsidRPr="00D66C7B">
        <w:rPr>
          <w:sz w:val="20"/>
          <w:highlight w:val="yellow"/>
        </w:rPr>
        <w:t xml:space="preserve">for administration to the target groups eligible for the NIP </w:t>
      </w:r>
      <w:r w:rsidR="00D3604C">
        <w:rPr>
          <w:i/>
          <w:iCs/>
          <w:sz w:val="20"/>
          <w:highlight w:val="yellow"/>
        </w:rPr>
        <w:t>and</w:t>
      </w:r>
      <w:r w:rsidR="008526F0" w:rsidRPr="00B27D11">
        <w:rPr>
          <w:sz w:val="20"/>
          <w:highlight w:val="yellow"/>
        </w:rPr>
        <w:t xml:space="preserve"> </w:t>
      </w:r>
      <w:r w:rsidRPr="00B27D11">
        <w:rPr>
          <w:sz w:val="20"/>
          <w:highlight w:val="yellow"/>
        </w:rPr>
        <w:t xml:space="preserve">Victorian Government </w:t>
      </w:r>
      <w:r w:rsidR="003C658B">
        <w:rPr>
          <w:sz w:val="20"/>
          <w:highlight w:val="yellow"/>
        </w:rPr>
        <w:t>funded vaccination</w:t>
      </w:r>
      <w:r w:rsidRPr="00B27D11">
        <w:rPr>
          <w:sz w:val="20"/>
          <w:highlight w:val="yellow"/>
        </w:rPr>
        <w:t xml:space="preserve"> </w:t>
      </w:r>
      <w:r w:rsidR="003C658B">
        <w:rPr>
          <w:sz w:val="20"/>
          <w:highlight w:val="yellow"/>
        </w:rPr>
        <w:t>p</w:t>
      </w:r>
      <w:r w:rsidRPr="00B27D11">
        <w:rPr>
          <w:sz w:val="20"/>
          <w:highlight w:val="yellow"/>
        </w:rPr>
        <w:t>rogram</w:t>
      </w:r>
      <w:r w:rsidR="003C658B">
        <w:rPr>
          <w:sz w:val="20"/>
          <w:highlight w:val="yellow"/>
        </w:rPr>
        <w:t>s</w:t>
      </w:r>
    </w:p>
    <w:p w14:paraId="6ADDF4C3" w14:textId="001F30C3" w:rsidR="0000567A" w:rsidRPr="003A2819" w:rsidRDefault="00227A58" w:rsidP="00EB614C">
      <w:pPr>
        <w:pStyle w:val="Bullet2"/>
        <w:ind w:left="567"/>
        <w:rPr>
          <w:sz w:val="20"/>
        </w:rPr>
      </w:pPr>
      <w:r w:rsidRPr="003A2819">
        <w:rPr>
          <w:sz w:val="20"/>
        </w:rPr>
        <w:t xml:space="preserve">be </w:t>
      </w:r>
      <w:r w:rsidR="0000567A" w:rsidRPr="003A2819">
        <w:rPr>
          <w:sz w:val="20"/>
        </w:rPr>
        <w:t>provide</w:t>
      </w:r>
      <w:r w:rsidRPr="003A2819">
        <w:rPr>
          <w:sz w:val="20"/>
        </w:rPr>
        <w:t>d with</w:t>
      </w:r>
      <w:r w:rsidR="0000567A" w:rsidRPr="003A2819">
        <w:rPr>
          <w:sz w:val="20"/>
        </w:rPr>
        <w:t xml:space="preserve"> important information about vaccine updates, such as schedule changes, new resources and current vaccine recommendations. </w:t>
      </w:r>
    </w:p>
    <w:p w14:paraId="6003D03A" w14:textId="5F756B45" w:rsidR="0000567A" w:rsidRDefault="0000567A" w:rsidP="0000567A">
      <w:pPr>
        <w:pStyle w:val="DHHSbody"/>
      </w:pPr>
      <w:r w:rsidRPr="00785EF3">
        <w:t xml:space="preserve">Registration </w:t>
      </w:r>
      <w:r>
        <w:t>requires</w:t>
      </w:r>
      <w:r w:rsidRPr="00785EF3">
        <w:t xml:space="preserve"> completion of an application form </w:t>
      </w:r>
      <w:r>
        <w:t xml:space="preserve">to provide vaccination services </w:t>
      </w:r>
      <w:r w:rsidRPr="00785EF3">
        <w:t xml:space="preserve">for </w:t>
      </w:r>
      <w:r>
        <w:t xml:space="preserve">a </w:t>
      </w:r>
      <w:r w:rsidRPr="00785EF3">
        <w:t>government</w:t>
      </w:r>
      <w:r>
        <w:t>-</w:t>
      </w:r>
      <w:r w:rsidRPr="00785EF3">
        <w:t>funded vaccine account</w:t>
      </w:r>
      <w:r w:rsidR="00D02809">
        <w:rPr>
          <w:rStyle w:val="CommentReference"/>
          <w:rFonts w:ascii="Cambria" w:eastAsia="Times New Roman" w:hAnsi="Cambria"/>
          <w:sz w:val="20"/>
          <w:szCs w:val="20"/>
        </w:rPr>
        <w:t>,</w:t>
      </w:r>
      <w:r>
        <w:rPr>
          <w:rStyle w:val="CommentReference"/>
          <w:rFonts w:ascii="Cambria" w:eastAsia="Times New Roman" w:hAnsi="Cambria"/>
          <w:sz w:val="20"/>
          <w:szCs w:val="20"/>
        </w:rPr>
        <w:t xml:space="preserve"> </w:t>
      </w:r>
      <w:r w:rsidRPr="00785EF3">
        <w:t>evidence of completion of approved training</w:t>
      </w:r>
      <w:r w:rsidR="00D02809">
        <w:t xml:space="preserve">, </w:t>
      </w:r>
      <w:r w:rsidR="00D02809" w:rsidRPr="006F358B">
        <w:rPr>
          <w:highlight w:val="yellow"/>
        </w:rPr>
        <w:t xml:space="preserve">and </w:t>
      </w:r>
      <w:r w:rsidR="005C2ACE" w:rsidRPr="006F358B">
        <w:rPr>
          <w:highlight w:val="yellow"/>
        </w:rPr>
        <w:t>evidence of suitable cold chain management</w:t>
      </w:r>
      <w:r w:rsidRPr="00785EF3">
        <w:t>.</w:t>
      </w:r>
      <w:r>
        <w:t xml:space="preserve"> </w:t>
      </w:r>
      <w:r w:rsidR="005C2ACE">
        <w:t>The</w:t>
      </w:r>
      <w:r w:rsidRPr="007119A0">
        <w:t xml:space="preserve"> application form must be accompanied with the </w:t>
      </w:r>
      <w:r w:rsidRPr="00E2481D">
        <w:rPr>
          <w:i/>
        </w:rPr>
        <w:t>Australian Immunisation Register – Application to register as a vaccination provider form (IM004)</w:t>
      </w:r>
      <w:r>
        <w:t>.</w:t>
      </w:r>
    </w:p>
    <w:p w14:paraId="0D5836C9" w14:textId="77777777" w:rsidR="0000567A" w:rsidRPr="003A2819" w:rsidRDefault="0000567A" w:rsidP="003A2819">
      <w:pPr>
        <w:rPr>
          <w:rFonts w:ascii="Arial" w:hAnsi="Arial" w:cs="Arial"/>
          <w:b/>
        </w:rPr>
      </w:pPr>
      <w:r w:rsidRPr="003A2819">
        <w:rPr>
          <w:rFonts w:ascii="Arial" w:hAnsi="Arial" w:cs="Arial"/>
          <w:b/>
        </w:rPr>
        <w:t>Service Providers that have already registered with the department do not need to re-register under the expanded program.</w:t>
      </w:r>
    </w:p>
    <w:p w14:paraId="130A3280" w14:textId="77777777" w:rsidR="00784A55" w:rsidRPr="003A2819" w:rsidRDefault="00784A55" w:rsidP="003A2819">
      <w:pPr>
        <w:rPr>
          <w:rFonts w:ascii="Arial" w:hAnsi="Arial" w:cs="Arial"/>
        </w:rPr>
      </w:pPr>
    </w:p>
    <w:p w14:paraId="64A196C2" w14:textId="2DA0CF61" w:rsidR="005C2ACE" w:rsidRDefault="0000567A" w:rsidP="0000567A">
      <w:pPr>
        <w:pStyle w:val="DHHSbody"/>
        <w:rPr>
          <w:rStyle w:val="Hyperlink"/>
        </w:rPr>
      </w:pPr>
      <w:r>
        <w:t>The</w:t>
      </w:r>
      <w:r w:rsidRPr="00785EF3">
        <w:t xml:space="preserve"> application for government</w:t>
      </w:r>
      <w:r>
        <w:t>-</w:t>
      </w:r>
      <w:r w:rsidRPr="00785EF3">
        <w:t>funded vaccines account form can be downloaded from</w:t>
      </w:r>
      <w:r>
        <w:t xml:space="preserve"> &lt;</w:t>
      </w:r>
      <w:hyperlink r:id="rId40" w:history="1">
        <w:r w:rsidR="00330EE5" w:rsidRPr="00E26D99">
          <w:rPr>
            <w:rStyle w:val="Hyperlink"/>
          </w:rPr>
          <w:t>https://www.health.vic.gov.au/immunisation/vaccine-order-forms-and-stock-informatio</w:t>
        </w:r>
        <w:r w:rsidR="00E26D99" w:rsidRPr="00E26D99">
          <w:rPr>
            <w:rStyle w:val="Hyperlink"/>
          </w:rPr>
          <w:t>n</w:t>
        </w:r>
      </w:hyperlink>
      <w:r>
        <w:rPr>
          <w:rStyle w:val="Hyperlink"/>
        </w:rPr>
        <w:t>&gt;.</w:t>
      </w:r>
    </w:p>
    <w:p w14:paraId="3B089224" w14:textId="17CB346F" w:rsidR="0000567A" w:rsidRDefault="0000567A" w:rsidP="0000567A">
      <w:pPr>
        <w:pStyle w:val="DHHSbody"/>
      </w:pPr>
      <w:r>
        <w:t>Nominated Pharmacist Immunisers leaving the practice and/or changes to the Service Provider’s account must</w:t>
      </w:r>
      <w:r w:rsidR="00EB0531">
        <w:t xml:space="preserve"> be</w:t>
      </w:r>
      <w:r>
        <w:t xml:space="preserve"> </w:t>
      </w:r>
      <w:r w:rsidR="00EB0531">
        <w:t xml:space="preserve">notified to </w:t>
      </w:r>
      <w:r>
        <w:t xml:space="preserve">the department’s Immunisation unit </w:t>
      </w:r>
      <w:r w:rsidRPr="00E2481D">
        <w:rPr>
          <w:b/>
        </w:rPr>
        <w:t>within 5 working days</w:t>
      </w:r>
      <w:r>
        <w:t xml:space="preserve"> </w:t>
      </w:r>
      <w:r w:rsidR="000D6441">
        <w:t xml:space="preserve">via </w:t>
      </w:r>
      <w:r>
        <w:rPr>
          <w:lang w:val="it-IT"/>
        </w:rPr>
        <w:t>email &lt;</w:t>
      </w:r>
      <w:r w:rsidR="007071D0">
        <w:fldChar w:fldCharType="begin"/>
      </w:r>
      <w:r w:rsidR="007071D0">
        <w:instrText xml:space="preserve"> HYPERLINK "mailto:immunisation@health.vic.gov.au" </w:instrText>
      </w:r>
      <w:r w:rsidR="007071D0">
        <w:fldChar w:fldCharType="separate"/>
      </w:r>
      <w:r w:rsidR="00475811" w:rsidRPr="00475811">
        <w:rPr>
          <w:rStyle w:val="Hyperlink"/>
          <w:lang w:val="it-IT"/>
        </w:rPr>
        <w:t>immunisation@health.vic.gov.au</w:t>
      </w:r>
      <w:r w:rsidR="007071D0">
        <w:rPr>
          <w:rStyle w:val="Hyperlink"/>
          <w:lang w:val="it-IT"/>
        </w:rPr>
        <w:fldChar w:fldCharType="end"/>
      </w:r>
      <w:r>
        <w:rPr>
          <w:lang w:val="it-IT"/>
        </w:rPr>
        <w:t>&gt;</w:t>
      </w:r>
      <w:r>
        <w:t>.</w:t>
      </w:r>
    </w:p>
    <w:p w14:paraId="7ABF90E9" w14:textId="087ABB59" w:rsidR="0000567A" w:rsidRPr="003A2819" w:rsidRDefault="0000567A" w:rsidP="00700529">
      <w:pPr>
        <w:pStyle w:val="Heading3"/>
        <w:numPr>
          <w:ilvl w:val="2"/>
          <w:numId w:val="30"/>
        </w:numPr>
        <w:rPr>
          <w:sz w:val="28"/>
          <w:szCs w:val="28"/>
        </w:rPr>
      </w:pPr>
      <w:r w:rsidRPr="003A2819">
        <w:rPr>
          <w:sz w:val="28"/>
          <w:szCs w:val="28"/>
        </w:rPr>
        <w:t>Registration as a business involving skin penetration</w:t>
      </w:r>
    </w:p>
    <w:p w14:paraId="222735C1" w14:textId="269F7C3B" w:rsidR="0000567A" w:rsidRPr="003162F7" w:rsidRDefault="0000567A" w:rsidP="0000567A">
      <w:pPr>
        <w:pStyle w:val="DHHSbody"/>
      </w:pPr>
      <w:r>
        <w:t xml:space="preserve">Normally, businesses involving skin penetration are required to be registered by local government and regulated under the Public Health and Wellbeing Act 2008 and the Public Health and Wellbeing Regulations 2019. However, the practice of a person registered under the Health Practitioner Regulation National Law to practise in the pharmacy profession (other than as a student) is exempt from the requirement to register with their local government as a business undertaking skin penetration (or other business to which the registration requirement applies under s 68 of the Act). </w:t>
      </w:r>
    </w:p>
    <w:p w14:paraId="5545F15F" w14:textId="77777777" w:rsidR="0000567A" w:rsidRPr="00B4611F" w:rsidRDefault="0000567A" w:rsidP="0000567A">
      <w:pPr>
        <w:pStyle w:val="DHHSbody"/>
      </w:pPr>
      <w:r>
        <w:t xml:space="preserve">The </w:t>
      </w:r>
      <w:r w:rsidRPr="00E2481D">
        <w:rPr>
          <w:rFonts w:eastAsia="MS PMincho" w:cs="Arial"/>
          <w:i/>
          <w:lang w:val="en-US"/>
        </w:rPr>
        <w:t>Public Health and Wellbeing Regulations 20</w:t>
      </w:r>
      <w:r>
        <w:rPr>
          <w:rFonts w:eastAsia="MS PMincho" w:cs="Arial"/>
          <w:i/>
          <w:lang w:val="en-US"/>
        </w:rPr>
        <w:t>1</w:t>
      </w:r>
      <w:r w:rsidRPr="00E2481D">
        <w:rPr>
          <w:rFonts w:eastAsia="MS PMincho" w:cs="Arial"/>
          <w:i/>
          <w:lang w:val="en-US"/>
        </w:rPr>
        <w:t>9</w:t>
      </w:r>
      <w:r>
        <w:rPr>
          <w:rFonts w:eastAsia="MS PMincho" w:cs="Arial"/>
          <w:lang w:val="en-US"/>
        </w:rPr>
        <w:t xml:space="preserve"> </w:t>
      </w:r>
      <w:r w:rsidRPr="00B4611F">
        <w:t>are available from</w:t>
      </w:r>
      <w:r>
        <w:t xml:space="preserve"> Victoria Law Today at &lt;</w:t>
      </w:r>
      <w:hyperlink r:id="rId41" w:history="1">
        <w:r w:rsidRPr="00865817">
          <w:rPr>
            <w:rStyle w:val="Hyperlink"/>
            <w:rFonts w:cs="Arial"/>
          </w:rPr>
          <w:t>http://www.legislation.vic.gov.au/</w:t>
        </w:r>
      </w:hyperlink>
      <w:r>
        <w:t>&gt;.</w:t>
      </w:r>
    </w:p>
    <w:p w14:paraId="7749B58E" w14:textId="63358BF4" w:rsidR="0000567A" w:rsidRPr="00052EAD" w:rsidRDefault="0000567A" w:rsidP="00700529">
      <w:pPr>
        <w:pStyle w:val="Heading2"/>
        <w:numPr>
          <w:ilvl w:val="1"/>
          <w:numId w:val="30"/>
        </w:numPr>
        <w:rPr>
          <w:sz w:val="28"/>
        </w:rPr>
      </w:pPr>
      <w:bookmarkStart w:id="51" w:name="_Toc115426497"/>
      <w:r w:rsidRPr="00052EAD">
        <w:rPr>
          <w:sz w:val="28"/>
        </w:rPr>
        <w:t>Insurance</w:t>
      </w:r>
      <w:bookmarkEnd w:id="51"/>
    </w:p>
    <w:p w14:paraId="61C705F0" w14:textId="77777777" w:rsidR="0000567A" w:rsidRDefault="0000567A" w:rsidP="0000567A">
      <w:pPr>
        <w:pStyle w:val="DHHSbody"/>
      </w:pPr>
      <w:r>
        <w:t>The</w:t>
      </w:r>
      <w:r w:rsidRPr="006E638A">
        <w:t xml:space="preserve"> </w:t>
      </w:r>
      <w:r>
        <w:t>Service Provider</w:t>
      </w:r>
      <w:r w:rsidRPr="006E638A">
        <w:t xml:space="preserve"> and the</w:t>
      </w:r>
      <w:r>
        <w:t xml:space="preserve"> Pharmacist Immuniser</w:t>
      </w:r>
      <w:r w:rsidRPr="006E638A">
        <w:t xml:space="preserve"> </w:t>
      </w:r>
      <w:r>
        <w:t>are required to</w:t>
      </w:r>
      <w:r w:rsidRPr="006E638A">
        <w:t xml:space="preserve"> hold appropriate insurance</w:t>
      </w:r>
      <w:r>
        <w:t xml:space="preserve"> for the administration of vaccines and provision of a vaccination service</w:t>
      </w:r>
      <w:r w:rsidRPr="006E638A">
        <w:t>.</w:t>
      </w:r>
    </w:p>
    <w:p w14:paraId="2B3BC40C" w14:textId="77777777" w:rsidR="0000567A" w:rsidRDefault="0000567A" w:rsidP="0000567A">
      <w:pPr>
        <w:pStyle w:val="DHHSbody"/>
      </w:pPr>
      <w:r>
        <w:t>Pharmacist Immunisers should consult with their insurance provider regarding insurance appropriate to their circumstances, including the provision of care outside of pharmacy premises.</w:t>
      </w:r>
    </w:p>
    <w:p w14:paraId="2EDCBD81" w14:textId="0C66A49E" w:rsidR="0000567A" w:rsidRDefault="0000567A" w:rsidP="0000567A">
      <w:pPr>
        <w:pStyle w:val="DHHSbody"/>
      </w:pPr>
      <w:r>
        <w:t xml:space="preserve">In the context of contract staffing models (refer </w:t>
      </w:r>
      <w:r w:rsidR="009D6639">
        <w:t>to</w:t>
      </w:r>
      <w:r w:rsidR="00775C27">
        <w:t xml:space="preserve"> section </w:t>
      </w:r>
      <w:hyperlink w:anchor="_Contract_staffing_models" w:history="1">
        <w:r w:rsidR="00775C27" w:rsidRPr="00775C27">
          <w:rPr>
            <w:rStyle w:val="Hyperlink"/>
          </w:rPr>
          <w:t>10.6.3</w:t>
        </w:r>
      </w:hyperlink>
      <w:r>
        <w:t>), the Service Provider may need to provide details of their insurance coverage to contracted Pharmacist Immunisers.  This is to enable contracted staff to meet the requirements of their professional registration for evidence of appropriate Professional Indemnity Insurance.</w:t>
      </w:r>
    </w:p>
    <w:p w14:paraId="655EB9BB" w14:textId="38C58331" w:rsidR="0000567A" w:rsidRPr="00052EAD" w:rsidRDefault="0000567A" w:rsidP="00700529">
      <w:pPr>
        <w:pStyle w:val="Heading2"/>
        <w:numPr>
          <w:ilvl w:val="1"/>
          <w:numId w:val="30"/>
        </w:numPr>
        <w:rPr>
          <w:sz w:val="28"/>
        </w:rPr>
      </w:pPr>
      <w:bookmarkStart w:id="52" w:name="_Toc115426498"/>
      <w:r w:rsidRPr="00052EAD">
        <w:rPr>
          <w:sz w:val="28"/>
        </w:rPr>
        <w:t>Accreditation</w:t>
      </w:r>
      <w:bookmarkEnd w:id="52"/>
    </w:p>
    <w:p w14:paraId="7E0819CA" w14:textId="77777777" w:rsidR="0000567A" w:rsidRDefault="0000567A" w:rsidP="0000567A">
      <w:pPr>
        <w:pStyle w:val="DHHSbody"/>
      </w:pPr>
      <w:r>
        <w:t>Pharmacies in which vaccines are administered must have a current accreditation status through an appropriate Pharmacy Accreditation Program, such as the Quality Care Pharmacy Program &lt;</w:t>
      </w:r>
      <w:hyperlink r:id="rId42" w:history="1">
        <w:r w:rsidRPr="00E9718D">
          <w:rPr>
            <w:rStyle w:val="Hyperlink"/>
          </w:rPr>
          <w:t>www.qcpp.com</w:t>
        </w:r>
      </w:hyperlink>
      <w:r>
        <w:t>&gt;.</w:t>
      </w:r>
    </w:p>
    <w:p w14:paraId="17D258F1" w14:textId="40D2CA0F" w:rsidR="0000567A" w:rsidRPr="006C6EE9" w:rsidRDefault="0000567A" w:rsidP="00700529">
      <w:pPr>
        <w:pStyle w:val="Heading2"/>
        <w:numPr>
          <w:ilvl w:val="1"/>
          <w:numId w:val="30"/>
        </w:numPr>
        <w:rPr>
          <w:rStyle w:val="Hyperlink"/>
          <w:color w:val="53565A"/>
          <w:sz w:val="28"/>
          <w:highlight w:val="yellow"/>
        </w:rPr>
      </w:pPr>
      <w:bookmarkStart w:id="53" w:name="_Toc115426499"/>
      <w:r w:rsidRPr="006C6EE9">
        <w:rPr>
          <w:sz w:val="28"/>
          <w:highlight w:val="yellow"/>
        </w:rPr>
        <w:lastRenderedPageBreak/>
        <w:t>Advertising</w:t>
      </w:r>
      <w:bookmarkEnd w:id="53"/>
    </w:p>
    <w:p w14:paraId="5152D37F" w14:textId="77777777" w:rsidR="00490C2C" w:rsidRDefault="00750A77" w:rsidP="00490C2C">
      <w:pPr>
        <w:pStyle w:val="DHHSbody"/>
        <w:rPr>
          <w:highlight w:val="yellow"/>
        </w:rPr>
      </w:pPr>
      <w:r w:rsidRPr="00785F47">
        <w:rPr>
          <w:highlight w:val="yellow"/>
        </w:rPr>
        <w:t xml:space="preserve">All vaccines for human use are classified as prescription-only medicines (Schedule 4) in the Poisons Standard. </w:t>
      </w:r>
      <w:r w:rsidR="0000567A" w:rsidRPr="00785F47">
        <w:rPr>
          <w:highlight w:val="yellow"/>
        </w:rPr>
        <w:t xml:space="preserve">Advertising of Schedule 4 poisons to the public is strictly prohibited under the </w:t>
      </w:r>
      <w:r w:rsidR="0000567A" w:rsidRPr="00785F47">
        <w:rPr>
          <w:i/>
          <w:highlight w:val="yellow"/>
        </w:rPr>
        <w:t xml:space="preserve">Therapeutic Goods Act 1989 </w:t>
      </w:r>
      <w:r w:rsidR="0000567A" w:rsidRPr="00785F47">
        <w:rPr>
          <w:highlight w:val="yellow"/>
        </w:rPr>
        <w:t xml:space="preserve">and the </w:t>
      </w:r>
      <w:r w:rsidR="0000567A" w:rsidRPr="00785F47">
        <w:rPr>
          <w:i/>
          <w:highlight w:val="yellow"/>
        </w:rPr>
        <w:t>Drugs, Poisons and Controlled Substances Act 1981</w:t>
      </w:r>
      <w:r w:rsidR="0000567A" w:rsidRPr="00785F47">
        <w:rPr>
          <w:highlight w:val="yellow"/>
        </w:rPr>
        <w:t xml:space="preserve">. </w:t>
      </w:r>
    </w:p>
    <w:p w14:paraId="6EE3D676" w14:textId="3CBEE03E" w:rsidR="00E43D80" w:rsidRDefault="001A565D" w:rsidP="00490C2C">
      <w:pPr>
        <w:pStyle w:val="DHHSbody"/>
      </w:pPr>
      <w:r w:rsidRPr="00785F47">
        <w:rPr>
          <w:rFonts w:eastAsia="MS PMincho" w:cs="Arial"/>
          <w:highlight w:val="yellow"/>
          <w:lang w:val="en-US"/>
        </w:rPr>
        <w:t>However</w:t>
      </w:r>
      <w:r w:rsidR="00B77889" w:rsidRPr="00785F47">
        <w:rPr>
          <w:rFonts w:eastAsia="MS PMincho" w:cs="Arial"/>
          <w:highlight w:val="yellow"/>
          <w:lang w:val="en-US"/>
        </w:rPr>
        <w:t>,</w:t>
      </w:r>
      <w:r w:rsidRPr="00785F47">
        <w:rPr>
          <w:rFonts w:eastAsia="MS PMincho" w:cs="Arial"/>
          <w:highlight w:val="yellow"/>
          <w:lang w:val="en-US"/>
        </w:rPr>
        <w:t xml:space="preserve"> a</w:t>
      </w:r>
      <w:r w:rsidR="00542D51" w:rsidRPr="00785F47">
        <w:rPr>
          <w:rFonts w:eastAsia="MS PMincho" w:cs="Arial"/>
          <w:highlight w:val="yellow"/>
          <w:lang w:val="en-US"/>
        </w:rPr>
        <w:t xml:space="preserve"> pharmacy may promote that they offer a vaccination service, </w:t>
      </w:r>
      <w:r w:rsidR="0089558F" w:rsidRPr="00785F47">
        <w:rPr>
          <w:rFonts w:eastAsia="MS PMincho" w:cs="Arial"/>
          <w:highlight w:val="yellow"/>
          <w:lang w:val="en-US"/>
        </w:rPr>
        <w:t>subject to meeting National Law</w:t>
      </w:r>
      <w:r w:rsidR="009E5997">
        <w:rPr>
          <w:rFonts w:eastAsia="MS PMincho" w:cs="Arial"/>
          <w:highlight w:val="yellow"/>
          <w:lang w:val="en-US"/>
        </w:rPr>
        <w:t xml:space="preserve"> requirements</w:t>
      </w:r>
      <w:r w:rsidR="0089558F" w:rsidRPr="005F530B">
        <w:rPr>
          <w:rFonts w:eastAsia="MS PMincho" w:cs="Arial"/>
          <w:highlight w:val="yellow"/>
          <w:lang w:val="en-US"/>
        </w:rPr>
        <w:t xml:space="preserve">. </w:t>
      </w:r>
      <w:r w:rsidR="001E4516" w:rsidRPr="005F530B">
        <w:rPr>
          <w:rFonts w:eastAsia="MS PMincho" w:cs="Arial"/>
          <w:highlight w:val="yellow"/>
          <w:lang w:val="en-US"/>
        </w:rPr>
        <w:t xml:space="preserve">The </w:t>
      </w:r>
      <w:r w:rsidR="001E4516" w:rsidRPr="005F530B">
        <w:rPr>
          <w:rFonts w:eastAsia="MS PMincho" w:cs="Arial"/>
          <w:i/>
          <w:iCs/>
          <w:highlight w:val="yellow"/>
          <w:lang w:val="en-US"/>
        </w:rPr>
        <w:t>Guidelines for advertising a regulated health service</w:t>
      </w:r>
      <w:r w:rsidR="001E4516" w:rsidRPr="005F530B">
        <w:rPr>
          <w:rFonts w:eastAsia="MS PMincho" w:cs="Arial"/>
          <w:highlight w:val="yellow"/>
          <w:lang w:val="en-US"/>
        </w:rPr>
        <w:t xml:space="preserve"> have been developed jointly by the National Boards under section 39 of the National Law. These are available at:</w:t>
      </w:r>
      <w:r w:rsidR="0068069D" w:rsidRPr="0068069D">
        <w:t xml:space="preserve"> </w:t>
      </w:r>
      <w:hyperlink r:id="rId43" w:history="1">
        <w:r w:rsidR="0068069D" w:rsidRPr="0068069D">
          <w:rPr>
            <w:rStyle w:val="Hyperlink"/>
            <w:rFonts w:eastAsia="MS PMincho" w:cs="Arial"/>
            <w:highlight w:val="yellow"/>
            <w:lang w:val="en-US"/>
          </w:rPr>
          <w:t>https://www.ahpra.gov.au/Resources/Advertising-hub/Advertising-guidelines-and-other-guidance/Advertising-guidelines.aspx</w:t>
        </w:r>
      </w:hyperlink>
      <w:r w:rsidR="0068069D">
        <w:rPr>
          <w:rFonts w:eastAsia="MS PMincho" w:cs="Arial"/>
          <w:lang w:val="en-US"/>
        </w:rPr>
        <w:t xml:space="preserve">  </w:t>
      </w:r>
      <w:r w:rsidR="00490C2C">
        <w:rPr>
          <w:rFonts w:eastAsia="MS PMincho" w:cs="Arial"/>
          <w:lang w:val="en-US"/>
        </w:rPr>
        <w:t xml:space="preserve"> </w:t>
      </w:r>
      <w:r w:rsidR="009B651C">
        <w:rPr>
          <w:sz w:val="28"/>
        </w:rPr>
        <w:t xml:space="preserve"> </w:t>
      </w:r>
    </w:p>
    <w:p w14:paraId="60BE30EC" w14:textId="2B797E02" w:rsidR="0000567A" w:rsidRPr="00C154F4" w:rsidRDefault="0000567A" w:rsidP="00700529">
      <w:pPr>
        <w:pStyle w:val="Heading2"/>
        <w:numPr>
          <w:ilvl w:val="1"/>
          <w:numId w:val="30"/>
        </w:numPr>
        <w:rPr>
          <w:sz w:val="28"/>
        </w:rPr>
      </w:pPr>
      <w:bookmarkStart w:id="54" w:name="_Toc115426500"/>
      <w:r w:rsidRPr="00C154F4">
        <w:rPr>
          <w:sz w:val="28"/>
        </w:rPr>
        <w:t>Professional governance and staffing arrangements</w:t>
      </w:r>
      <w:bookmarkEnd w:id="54"/>
    </w:p>
    <w:p w14:paraId="06C4F728" w14:textId="77777777" w:rsidR="00121B84" w:rsidRPr="00121B84" w:rsidRDefault="00121B84" w:rsidP="00700529">
      <w:pPr>
        <w:pStyle w:val="ListParagraph"/>
        <w:keepNext/>
        <w:keepLines/>
        <w:numPr>
          <w:ilvl w:val="0"/>
          <w:numId w:val="26"/>
        </w:numPr>
        <w:spacing w:before="360" w:after="120" w:line="320" w:lineRule="atLeast"/>
        <w:contextualSpacing w:val="0"/>
        <w:outlineLvl w:val="2"/>
        <w:rPr>
          <w:rFonts w:ascii="Arial" w:eastAsia="MS Gothic" w:hAnsi="Arial" w:cs="Times New Roman"/>
          <w:bCs/>
          <w:vanish/>
          <w:color w:val="53565A"/>
          <w:sz w:val="30"/>
          <w:szCs w:val="26"/>
        </w:rPr>
      </w:pPr>
    </w:p>
    <w:p w14:paraId="39FD0624" w14:textId="77777777" w:rsidR="00121B84" w:rsidRPr="00121B84" w:rsidRDefault="00121B84" w:rsidP="00700529">
      <w:pPr>
        <w:pStyle w:val="ListParagraph"/>
        <w:keepNext/>
        <w:keepLines/>
        <w:numPr>
          <w:ilvl w:val="0"/>
          <w:numId w:val="26"/>
        </w:numPr>
        <w:spacing w:before="360" w:after="120" w:line="320" w:lineRule="atLeast"/>
        <w:contextualSpacing w:val="0"/>
        <w:outlineLvl w:val="2"/>
        <w:rPr>
          <w:rFonts w:ascii="Arial" w:eastAsia="MS Gothic" w:hAnsi="Arial" w:cs="Times New Roman"/>
          <w:bCs/>
          <w:vanish/>
          <w:color w:val="53565A"/>
          <w:sz w:val="30"/>
          <w:szCs w:val="26"/>
        </w:rPr>
      </w:pPr>
    </w:p>
    <w:p w14:paraId="76753585" w14:textId="77777777" w:rsidR="00121B84" w:rsidRPr="00121B84" w:rsidRDefault="00121B84" w:rsidP="00700529">
      <w:pPr>
        <w:pStyle w:val="ListParagraph"/>
        <w:keepNext/>
        <w:keepLines/>
        <w:numPr>
          <w:ilvl w:val="0"/>
          <w:numId w:val="26"/>
        </w:numPr>
        <w:spacing w:before="360" w:after="120" w:line="320" w:lineRule="atLeast"/>
        <w:contextualSpacing w:val="0"/>
        <w:outlineLvl w:val="2"/>
        <w:rPr>
          <w:rFonts w:ascii="Arial" w:eastAsia="MS Gothic" w:hAnsi="Arial" w:cs="Times New Roman"/>
          <w:bCs/>
          <w:vanish/>
          <w:color w:val="53565A"/>
          <w:sz w:val="30"/>
          <w:szCs w:val="26"/>
        </w:rPr>
      </w:pPr>
    </w:p>
    <w:p w14:paraId="6F228C98" w14:textId="77777777" w:rsidR="00121B84" w:rsidRPr="00121B84" w:rsidRDefault="00121B84" w:rsidP="00700529">
      <w:pPr>
        <w:pStyle w:val="ListParagraph"/>
        <w:keepNext/>
        <w:keepLines/>
        <w:numPr>
          <w:ilvl w:val="0"/>
          <w:numId w:val="26"/>
        </w:numPr>
        <w:spacing w:before="360" w:after="120" w:line="320" w:lineRule="atLeast"/>
        <w:contextualSpacing w:val="0"/>
        <w:outlineLvl w:val="2"/>
        <w:rPr>
          <w:rFonts w:ascii="Arial" w:eastAsia="MS Gothic" w:hAnsi="Arial" w:cs="Times New Roman"/>
          <w:bCs/>
          <w:vanish/>
          <w:color w:val="53565A"/>
          <w:sz w:val="30"/>
          <w:szCs w:val="26"/>
        </w:rPr>
      </w:pPr>
    </w:p>
    <w:p w14:paraId="7CFA2539" w14:textId="77777777" w:rsidR="00121B84" w:rsidRPr="00121B84" w:rsidRDefault="00121B84" w:rsidP="00700529">
      <w:pPr>
        <w:pStyle w:val="ListParagraph"/>
        <w:keepNext/>
        <w:keepLines/>
        <w:numPr>
          <w:ilvl w:val="0"/>
          <w:numId w:val="26"/>
        </w:numPr>
        <w:spacing w:before="360" w:after="120" w:line="320" w:lineRule="atLeast"/>
        <w:contextualSpacing w:val="0"/>
        <w:outlineLvl w:val="2"/>
        <w:rPr>
          <w:rFonts w:ascii="Arial" w:eastAsia="MS Gothic" w:hAnsi="Arial" w:cs="Times New Roman"/>
          <w:bCs/>
          <w:vanish/>
          <w:color w:val="53565A"/>
          <w:sz w:val="30"/>
          <w:szCs w:val="26"/>
        </w:rPr>
      </w:pPr>
    </w:p>
    <w:p w14:paraId="0D8487FA" w14:textId="77777777" w:rsidR="00121B84" w:rsidRPr="00121B84" w:rsidRDefault="00121B84" w:rsidP="00700529">
      <w:pPr>
        <w:pStyle w:val="ListParagraph"/>
        <w:keepNext/>
        <w:keepLines/>
        <w:numPr>
          <w:ilvl w:val="0"/>
          <w:numId w:val="26"/>
        </w:numPr>
        <w:spacing w:before="360" w:after="120" w:line="320" w:lineRule="atLeast"/>
        <w:contextualSpacing w:val="0"/>
        <w:outlineLvl w:val="2"/>
        <w:rPr>
          <w:rFonts w:ascii="Arial" w:eastAsia="MS Gothic" w:hAnsi="Arial" w:cs="Times New Roman"/>
          <w:bCs/>
          <w:vanish/>
          <w:color w:val="53565A"/>
          <w:sz w:val="30"/>
          <w:szCs w:val="26"/>
        </w:rPr>
      </w:pPr>
    </w:p>
    <w:p w14:paraId="1EDE7869" w14:textId="77777777" w:rsidR="00121B84" w:rsidRPr="00121B84" w:rsidRDefault="00121B84" w:rsidP="00700529">
      <w:pPr>
        <w:pStyle w:val="ListParagraph"/>
        <w:keepNext/>
        <w:keepLines/>
        <w:numPr>
          <w:ilvl w:val="0"/>
          <w:numId w:val="26"/>
        </w:numPr>
        <w:spacing w:before="360" w:after="120" w:line="320" w:lineRule="atLeast"/>
        <w:contextualSpacing w:val="0"/>
        <w:outlineLvl w:val="2"/>
        <w:rPr>
          <w:rFonts w:ascii="Arial" w:eastAsia="MS Gothic" w:hAnsi="Arial" w:cs="Times New Roman"/>
          <w:bCs/>
          <w:vanish/>
          <w:color w:val="53565A"/>
          <w:sz w:val="30"/>
          <w:szCs w:val="26"/>
        </w:rPr>
      </w:pPr>
    </w:p>
    <w:p w14:paraId="313704ED" w14:textId="77777777" w:rsidR="00121B84" w:rsidRPr="00121B84" w:rsidRDefault="00121B84" w:rsidP="00700529">
      <w:pPr>
        <w:pStyle w:val="ListParagraph"/>
        <w:keepNext/>
        <w:keepLines/>
        <w:numPr>
          <w:ilvl w:val="0"/>
          <w:numId w:val="26"/>
        </w:numPr>
        <w:spacing w:before="360" w:after="120" w:line="320" w:lineRule="atLeast"/>
        <w:contextualSpacing w:val="0"/>
        <w:outlineLvl w:val="2"/>
        <w:rPr>
          <w:rFonts w:ascii="Arial" w:eastAsia="MS Gothic" w:hAnsi="Arial" w:cs="Times New Roman"/>
          <w:bCs/>
          <w:vanish/>
          <w:color w:val="53565A"/>
          <w:sz w:val="30"/>
          <w:szCs w:val="26"/>
        </w:rPr>
      </w:pPr>
    </w:p>
    <w:p w14:paraId="646C7BC0" w14:textId="77777777" w:rsidR="00121B84" w:rsidRPr="00121B84" w:rsidRDefault="00121B84" w:rsidP="00700529">
      <w:pPr>
        <w:pStyle w:val="ListParagraph"/>
        <w:keepNext/>
        <w:keepLines/>
        <w:numPr>
          <w:ilvl w:val="0"/>
          <w:numId w:val="26"/>
        </w:numPr>
        <w:spacing w:before="360" w:after="120" w:line="320" w:lineRule="atLeast"/>
        <w:contextualSpacing w:val="0"/>
        <w:outlineLvl w:val="2"/>
        <w:rPr>
          <w:rFonts w:ascii="Arial" w:eastAsia="MS Gothic" w:hAnsi="Arial" w:cs="Times New Roman"/>
          <w:bCs/>
          <w:vanish/>
          <w:color w:val="53565A"/>
          <w:sz w:val="30"/>
          <w:szCs w:val="26"/>
        </w:rPr>
      </w:pPr>
    </w:p>
    <w:p w14:paraId="5E8109E0" w14:textId="77777777" w:rsidR="00121B84" w:rsidRPr="00121B84" w:rsidRDefault="00121B84" w:rsidP="00700529">
      <w:pPr>
        <w:pStyle w:val="ListParagraph"/>
        <w:keepNext/>
        <w:keepLines/>
        <w:numPr>
          <w:ilvl w:val="0"/>
          <w:numId w:val="26"/>
        </w:numPr>
        <w:spacing w:before="360" w:after="120" w:line="320" w:lineRule="atLeast"/>
        <w:contextualSpacing w:val="0"/>
        <w:outlineLvl w:val="2"/>
        <w:rPr>
          <w:rFonts w:ascii="Arial" w:eastAsia="MS Gothic" w:hAnsi="Arial" w:cs="Times New Roman"/>
          <w:bCs/>
          <w:vanish/>
          <w:color w:val="53565A"/>
          <w:sz w:val="30"/>
          <w:szCs w:val="26"/>
        </w:rPr>
      </w:pPr>
    </w:p>
    <w:p w14:paraId="0FD3FC9C" w14:textId="77777777" w:rsidR="00121B84" w:rsidRPr="00121B84" w:rsidRDefault="00121B84" w:rsidP="00700529">
      <w:pPr>
        <w:pStyle w:val="ListParagraph"/>
        <w:keepNext/>
        <w:keepLines/>
        <w:numPr>
          <w:ilvl w:val="1"/>
          <w:numId w:val="26"/>
        </w:numPr>
        <w:spacing w:before="360" w:after="120" w:line="320" w:lineRule="atLeast"/>
        <w:contextualSpacing w:val="0"/>
        <w:outlineLvl w:val="2"/>
        <w:rPr>
          <w:rFonts w:ascii="Arial" w:eastAsia="MS Gothic" w:hAnsi="Arial" w:cs="Times New Roman"/>
          <w:bCs/>
          <w:vanish/>
          <w:color w:val="53565A"/>
          <w:sz w:val="30"/>
          <w:szCs w:val="26"/>
        </w:rPr>
      </w:pPr>
    </w:p>
    <w:p w14:paraId="43ED8BA0" w14:textId="77777777" w:rsidR="00121B84" w:rsidRPr="00121B84" w:rsidRDefault="00121B84" w:rsidP="00700529">
      <w:pPr>
        <w:pStyle w:val="ListParagraph"/>
        <w:keepNext/>
        <w:keepLines/>
        <w:numPr>
          <w:ilvl w:val="1"/>
          <w:numId w:val="26"/>
        </w:numPr>
        <w:spacing w:before="360" w:after="120" w:line="320" w:lineRule="atLeast"/>
        <w:contextualSpacing w:val="0"/>
        <w:outlineLvl w:val="2"/>
        <w:rPr>
          <w:rFonts w:ascii="Arial" w:eastAsia="MS Gothic" w:hAnsi="Arial" w:cs="Times New Roman"/>
          <w:bCs/>
          <w:vanish/>
          <w:color w:val="53565A"/>
          <w:sz w:val="30"/>
          <w:szCs w:val="26"/>
        </w:rPr>
      </w:pPr>
    </w:p>
    <w:p w14:paraId="579E4F91" w14:textId="77777777" w:rsidR="00121B84" w:rsidRPr="00121B84" w:rsidRDefault="00121B84" w:rsidP="00700529">
      <w:pPr>
        <w:pStyle w:val="ListParagraph"/>
        <w:keepNext/>
        <w:keepLines/>
        <w:numPr>
          <w:ilvl w:val="1"/>
          <w:numId w:val="26"/>
        </w:numPr>
        <w:spacing w:before="360" w:after="120" w:line="320" w:lineRule="atLeast"/>
        <w:contextualSpacing w:val="0"/>
        <w:outlineLvl w:val="2"/>
        <w:rPr>
          <w:rFonts w:ascii="Arial" w:eastAsia="MS Gothic" w:hAnsi="Arial" w:cs="Times New Roman"/>
          <w:bCs/>
          <w:vanish/>
          <w:color w:val="53565A"/>
          <w:sz w:val="30"/>
          <w:szCs w:val="26"/>
        </w:rPr>
      </w:pPr>
    </w:p>
    <w:p w14:paraId="7B67B5F5" w14:textId="0B12499A" w:rsidR="0000567A" w:rsidRPr="00C34172" w:rsidRDefault="0000567A" w:rsidP="00700529">
      <w:pPr>
        <w:pStyle w:val="Heading3"/>
        <w:numPr>
          <w:ilvl w:val="2"/>
          <w:numId w:val="26"/>
        </w:numPr>
      </w:pPr>
      <w:r w:rsidRPr="00C34172">
        <w:t>Professional governance</w:t>
      </w:r>
    </w:p>
    <w:p w14:paraId="54BC6B3E" w14:textId="77777777" w:rsidR="0000567A" w:rsidRDefault="0000567A" w:rsidP="0000567A">
      <w:pPr>
        <w:pStyle w:val="DHHSbody"/>
      </w:pPr>
      <w:r>
        <w:t>Service Providers have a duty of care to safeguard their consumers from foreseeable harm.</w:t>
      </w:r>
    </w:p>
    <w:p w14:paraId="5B6B1173" w14:textId="77777777" w:rsidR="0000567A" w:rsidRDefault="0000567A" w:rsidP="0000567A">
      <w:pPr>
        <w:pStyle w:val="DHHSbody"/>
      </w:pPr>
      <w:r>
        <w:t>In conjunction with the Approval, the Service Provider has a duty to have in place the following minimum elements to support the provision of safe, high quality immunisation services by pharmacists:</w:t>
      </w:r>
    </w:p>
    <w:p w14:paraId="35894025" w14:textId="5629519D" w:rsidR="0000567A" w:rsidRDefault="0000567A" w:rsidP="00700529">
      <w:pPr>
        <w:pStyle w:val="DHHSbullet1"/>
        <w:numPr>
          <w:ilvl w:val="0"/>
          <w:numId w:val="23"/>
        </w:numPr>
      </w:pPr>
      <w:r>
        <w:t>A clinical risk management strategy for immunisation services.</w:t>
      </w:r>
    </w:p>
    <w:p w14:paraId="6D6E9D56" w14:textId="0A2CCA0E" w:rsidR="0000567A" w:rsidRDefault="0000567A" w:rsidP="00700529">
      <w:pPr>
        <w:pStyle w:val="DHHSbullet1"/>
        <w:numPr>
          <w:ilvl w:val="0"/>
          <w:numId w:val="23"/>
        </w:numPr>
      </w:pPr>
      <w:r>
        <w:t>A policy and procedure(s) related to the provision of immunisations by pharmacists under the Approval.</w:t>
      </w:r>
    </w:p>
    <w:p w14:paraId="4796DA89" w14:textId="735042A4" w:rsidR="0000567A" w:rsidRDefault="0000567A" w:rsidP="00700529">
      <w:pPr>
        <w:pStyle w:val="DHHSbullet1"/>
        <w:numPr>
          <w:ilvl w:val="0"/>
          <w:numId w:val="23"/>
        </w:numPr>
        <w:spacing w:after="120"/>
      </w:pPr>
      <w:r>
        <w:t xml:space="preserve">A clinical credentialing process for initial and ongoing employment of pharmacists providing services under the Approval, including Pharmacist Immunisers providing immunisation services to third-party organisations under ‘visiting </w:t>
      </w:r>
      <w:proofErr w:type="gramStart"/>
      <w:r>
        <w:t>appointments’</w:t>
      </w:r>
      <w:proofErr w:type="gramEnd"/>
      <w:r>
        <w:t>.</w:t>
      </w:r>
    </w:p>
    <w:p w14:paraId="014AA200" w14:textId="77777777" w:rsidR="0000567A" w:rsidRDefault="0000567A" w:rsidP="0000567A">
      <w:pPr>
        <w:pStyle w:val="DHHSbody"/>
      </w:pPr>
      <w:r>
        <w:t>Service Providers must ensure that any Pharmacist Immuniser meets and maintains the requirements for professional registration for the full period of their employment (or engagement). To this end, it is strongly recommended that service providers develop and institute policies/procedures to:</w:t>
      </w:r>
    </w:p>
    <w:p w14:paraId="27358084" w14:textId="07B984AA" w:rsidR="0000567A" w:rsidRDefault="0000567A" w:rsidP="00700529">
      <w:pPr>
        <w:pStyle w:val="DHHSbullet1"/>
        <w:numPr>
          <w:ilvl w:val="0"/>
          <w:numId w:val="22"/>
        </w:numPr>
      </w:pPr>
      <w:r>
        <w:t>Confirm a Pharmacist Immuniser’s registration status on initial employment (or engagement).</w:t>
      </w:r>
    </w:p>
    <w:p w14:paraId="4A90095E" w14:textId="66ABDE1E" w:rsidR="0000567A" w:rsidRDefault="0000567A" w:rsidP="00700529">
      <w:pPr>
        <w:pStyle w:val="DHHSbullet1"/>
        <w:numPr>
          <w:ilvl w:val="0"/>
          <w:numId w:val="22"/>
        </w:numPr>
      </w:pPr>
      <w:r>
        <w:t>Confirm a Pharmacist Immuniser’s registration status at annual renewal.</w:t>
      </w:r>
    </w:p>
    <w:p w14:paraId="12C43015" w14:textId="102B2D7E" w:rsidR="0000567A" w:rsidRDefault="0000567A" w:rsidP="00700529">
      <w:pPr>
        <w:pStyle w:val="DHHSbullet1"/>
        <w:numPr>
          <w:ilvl w:val="0"/>
          <w:numId w:val="22"/>
        </w:numPr>
      </w:pPr>
      <w:r>
        <w:t>Outline a Pharmacist Immuniser’s individual-level responsibility to immediately advise their employer (or contractor) of any change and/or risk to the maintenance of their professional registration status.</w:t>
      </w:r>
    </w:p>
    <w:p w14:paraId="0B755805" w14:textId="0F4E6FE8" w:rsidR="0000567A" w:rsidRDefault="0000567A" w:rsidP="00700529">
      <w:pPr>
        <w:pStyle w:val="DHHSbullet1"/>
        <w:numPr>
          <w:ilvl w:val="0"/>
          <w:numId w:val="22"/>
        </w:numPr>
      </w:pPr>
      <w:r>
        <w:t>Manage concerns regarding a Pharmacist Immuniser’s clinical competency, professional behaviour and/or personal conduct which may potentially impact their registration status.</w:t>
      </w:r>
    </w:p>
    <w:p w14:paraId="2FBE68BF" w14:textId="5105F403" w:rsidR="0000567A" w:rsidRDefault="0000567A" w:rsidP="00700529">
      <w:pPr>
        <w:pStyle w:val="DHHSbullet1"/>
        <w:numPr>
          <w:ilvl w:val="0"/>
          <w:numId w:val="22"/>
        </w:numPr>
        <w:spacing w:after="120"/>
      </w:pPr>
      <w:r>
        <w:t xml:space="preserve">Outline employer (or contractor) mandatory notification responsibilities pertaining to the Pharmacist Immuniser behaviour(s) which may constitute notifiable contact, as per the requirements of the </w:t>
      </w:r>
      <w:r w:rsidRPr="000C203C">
        <w:rPr>
          <w:i/>
        </w:rPr>
        <w:t>Health Practitioner Regulation National Law (Victoria) Act 2009</w:t>
      </w:r>
      <w:r>
        <w:t>.</w:t>
      </w:r>
    </w:p>
    <w:p w14:paraId="33F647B8" w14:textId="71D494E6" w:rsidR="00241D17" w:rsidRPr="00F16D47" w:rsidRDefault="0000567A" w:rsidP="0000567A">
      <w:pPr>
        <w:pStyle w:val="DHHSbullet1"/>
        <w:ind w:left="0" w:firstLine="0"/>
      </w:pPr>
      <w:r>
        <w:t xml:space="preserve">It is recommended that Service Providers also refer to the </w:t>
      </w:r>
      <w:r w:rsidR="00D61876">
        <w:t>P</w:t>
      </w:r>
      <w:r>
        <w:t xml:space="preserve">harmaceutical Society of Australia’s </w:t>
      </w:r>
      <w:r w:rsidRPr="5D0E1D87">
        <w:rPr>
          <w:i/>
          <w:iCs/>
        </w:rPr>
        <w:t>Clinical Governance Principles for Pharmacy Services</w:t>
      </w:r>
      <w:r w:rsidR="007F7F4F">
        <w:rPr>
          <w:rStyle w:val="FootnoteReference"/>
          <w:i/>
          <w:iCs/>
        </w:rPr>
        <w:footnoteReference w:id="29"/>
      </w:r>
      <w:r w:rsidR="007F7F4F">
        <w:rPr>
          <w:i/>
          <w:iCs/>
        </w:rPr>
        <w:t xml:space="preserve"> </w:t>
      </w:r>
      <w:r w:rsidR="001844BF">
        <w:rPr>
          <w:rStyle w:val="FootnoteReference"/>
        </w:rPr>
        <w:t xml:space="preserve"> </w:t>
      </w:r>
      <w:r>
        <w:t>in relation to professional governance and clinical considerations.</w:t>
      </w:r>
    </w:p>
    <w:p w14:paraId="4628197A" w14:textId="1507179A" w:rsidR="0000567A" w:rsidRPr="00121B84" w:rsidRDefault="0000567A" w:rsidP="00700529">
      <w:pPr>
        <w:pStyle w:val="Heading3"/>
        <w:numPr>
          <w:ilvl w:val="2"/>
          <w:numId w:val="26"/>
        </w:numPr>
      </w:pPr>
      <w:r w:rsidRPr="00121B84">
        <w:t>Visiting appointments</w:t>
      </w:r>
    </w:p>
    <w:p w14:paraId="0B66452D" w14:textId="756FE3BB" w:rsidR="0000567A" w:rsidRDefault="0000567A" w:rsidP="0000567A">
      <w:pPr>
        <w:pStyle w:val="DHHSbody"/>
      </w:pPr>
      <w:r>
        <w:t xml:space="preserve">Pharmacist Immunisers may, as part of their employment or other arrangement with a Service Provider, as defined in section </w:t>
      </w:r>
      <w:hyperlink w:anchor="_Pharmacist_Immunisers_and" w:history="1">
        <w:r w:rsidRPr="00DC3B15">
          <w:rPr>
            <w:rStyle w:val="Hyperlink"/>
          </w:rPr>
          <w:t>4</w:t>
        </w:r>
      </w:hyperlink>
      <w:r>
        <w:t xml:space="preserve"> of these Guidelines, be invited and/or requested to access a third-party </w:t>
      </w:r>
      <w:r>
        <w:lastRenderedPageBreak/>
        <w:t>organisation (such as a community health service or aged care facility) under a ‘visiting appointment’ to provide immunisation services. A visiting appointment does not constitute a contract of employment/service between the Pharmacist Immuniser and the third-party organisation, and although the Pharmacist Immuniser is not paid by the third-party organisation for their input, they may charge a fee for their professional services from the patient/consumer or via another third-party funder.</w:t>
      </w:r>
    </w:p>
    <w:p w14:paraId="6D787961" w14:textId="77777777" w:rsidR="0000567A" w:rsidRDefault="0000567A" w:rsidP="0000567A">
      <w:pPr>
        <w:pStyle w:val="DHHSbody"/>
      </w:pPr>
      <w:r>
        <w:t>Under a visiting appointment, both the Pharmacist Immuniser and the third-party organisation have reciprocal rights and responsibilities that should be formalised via an approval process for visiting appointment status. The third-party organisation must establish base standards for visiting appointments, which may vary according to the context in which the service is being provided (</w:t>
      </w:r>
      <w:proofErr w:type="gramStart"/>
      <w:r>
        <w:t>e.g.</w:t>
      </w:r>
      <w:proofErr w:type="gramEnd"/>
      <w:r>
        <w:t xml:space="preserve"> acute, subacute, residential services, community or workplace setting). The expected standard may be the same or </w:t>
      </w:r>
      <w:proofErr w:type="gramStart"/>
      <w:r>
        <w:t>similar to</w:t>
      </w:r>
      <w:proofErr w:type="gramEnd"/>
      <w:r>
        <w:t xml:space="preserve"> the third-party organisation’s standard for employing other pharmacists or health professionals. This may include, but is not limited to:</w:t>
      </w:r>
    </w:p>
    <w:p w14:paraId="41D57A9F" w14:textId="2DD8CF9C" w:rsidR="0000567A" w:rsidRDefault="0000567A" w:rsidP="00700529">
      <w:pPr>
        <w:pStyle w:val="DHHSbullet1"/>
        <w:numPr>
          <w:ilvl w:val="0"/>
          <w:numId w:val="21"/>
        </w:numPr>
      </w:pPr>
      <w:r>
        <w:t xml:space="preserve">Verification of meeting all requirements of the Approval (see section </w:t>
      </w:r>
      <w:hyperlink w:anchor="_Pharmacist_Immunisers_and" w:history="1">
        <w:r w:rsidRPr="00DB50FE">
          <w:rPr>
            <w:rStyle w:val="Hyperlink"/>
          </w:rPr>
          <w:t>4</w:t>
        </w:r>
      </w:hyperlink>
      <w:r>
        <w:t>)</w:t>
      </w:r>
    </w:p>
    <w:p w14:paraId="35CDED52" w14:textId="25406EAD" w:rsidR="0000567A" w:rsidRDefault="0000567A" w:rsidP="00700529">
      <w:pPr>
        <w:pStyle w:val="DHHSbullet1"/>
        <w:numPr>
          <w:ilvl w:val="0"/>
          <w:numId w:val="21"/>
        </w:numPr>
      </w:pPr>
      <w:r>
        <w:t>Proof of identity</w:t>
      </w:r>
    </w:p>
    <w:p w14:paraId="3816282C" w14:textId="77777777" w:rsidR="0000567A" w:rsidRDefault="0000567A" w:rsidP="00700529">
      <w:pPr>
        <w:pStyle w:val="DHHSbullet1"/>
        <w:numPr>
          <w:ilvl w:val="0"/>
          <w:numId w:val="21"/>
        </w:numPr>
      </w:pPr>
      <w:r>
        <w:t>Confirmation of citizenship/permanent residency status/visa</w:t>
      </w:r>
    </w:p>
    <w:p w14:paraId="45100177" w14:textId="77777777" w:rsidR="0000567A" w:rsidRDefault="0000567A" w:rsidP="00700529">
      <w:pPr>
        <w:pStyle w:val="DHHSbullet1"/>
        <w:numPr>
          <w:ilvl w:val="0"/>
          <w:numId w:val="21"/>
        </w:numPr>
      </w:pPr>
      <w:r>
        <w:t>National police check clearance</w:t>
      </w:r>
    </w:p>
    <w:p w14:paraId="12151823" w14:textId="77777777" w:rsidR="0000567A" w:rsidRDefault="0000567A" w:rsidP="00700529">
      <w:pPr>
        <w:pStyle w:val="DHHSbullet1"/>
        <w:numPr>
          <w:ilvl w:val="0"/>
          <w:numId w:val="21"/>
        </w:numPr>
      </w:pPr>
      <w:r>
        <w:t>Working with Children certificate</w:t>
      </w:r>
    </w:p>
    <w:p w14:paraId="4E4BAB64" w14:textId="77777777" w:rsidR="0000567A" w:rsidRDefault="0000567A" w:rsidP="00700529">
      <w:pPr>
        <w:pStyle w:val="DHHSbullet1"/>
        <w:numPr>
          <w:ilvl w:val="0"/>
          <w:numId w:val="21"/>
        </w:numPr>
      </w:pPr>
      <w:r>
        <w:t>Insurance indemnity check</w:t>
      </w:r>
    </w:p>
    <w:p w14:paraId="47FAE967" w14:textId="77777777" w:rsidR="0000567A" w:rsidRDefault="0000567A" w:rsidP="00700529">
      <w:pPr>
        <w:pStyle w:val="DHHSbullet1"/>
        <w:numPr>
          <w:ilvl w:val="0"/>
          <w:numId w:val="21"/>
        </w:numPr>
      </w:pPr>
      <w:r>
        <w:t>Confirmation of immunisation status</w:t>
      </w:r>
    </w:p>
    <w:p w14:paraId="7FD8F898" w14:textId="77777777" w:rsidR="0000567A" w:rsidRDefault="0000567A" w:rsidP="00700529">
      <w:pPr>
        <w:pStyle w:val="DHHSbullet1"/>
        <w:numPr>
          <w:ilvl w:val="0"/>
          <w:numId w:val="21"/>
        </w:numPr>
        <w:spacing w:after="120"/>
      </w:pPr>
      <w:r>
        <w:t>Compliance with mandatory training requirement (</w:t>
      </w:r>
      <w:proofErr w:type="gramStart"/>
      <w:r>
        <w:t>i.e.</w:t>
      </w:r>
      <w:proofErr w:type="gramEnd"/>
      <w:r>
        <w:t xml:space="preserve"> via recognition of prior learning).</w:t>
      </w:r>
    </w:p>
    <w:p w14:paraId="41C5D9CD" w14:textId="77777777" w:rsidR="0000567A" w:rsidRDefault="0000567A" w:rsidP="0000567A">
      <w:pPr>
        <w:pStyle w:val="DHHSbullet1"/>
        <w:spacing w:after="120"/>
        <w:ind w:left="0" w:firstLine="0"/>
      </w:pPr>
      <w:r>
        <w:t>Third-party organisations may need to consider the duration and scope of the visiting appointment approval, as well as the provision of specific privileges, such as access to premises, treatment facilities and individual patients/consumers, and the requirement to document the intervention within the third-party organisation’s patient/consumer record.</w:t>
      </w:r>
    </w:p>
    <w:p w14:paraId="5E416D9B" w14:textId="77777777" w:rsidR="0000567A" w:rsidRDefault="0000567A" w:rsidP="0000567A">
      <w:pPr>
        <w:pStyle w:val="DHHSbullet1"/>
        <w:spacing w:after="120"/>
        <w:ind w:left="0" w:firstLine="0"/>
      </w:pPr>
      <w:r>
        <w:t xml:space="preserve">Visiting Pharmacist Immunisers also have </w:t>
      </w:r>
      <w:proofErr w:type="gramStart"/>
      <w:r>
        <w:t>a number of</w:t>
      </w:r>
      <w:proofErr w:type="gramEnd"/>
      <w:r>
        <w:t xml:space="preserve"> responsibilities in relation to their visiting status. As well as observing the terms of their visiting appointment approval (</w:t>
      </w:r>
      <w:proofErr w:type="gramStart"/>
      <w:r>
        <w:t>i.e.</w:t>
      </w:r>
      <w:proofErr w:type="gramEnd"/>
      <w:r>
        <w:t xml:space="preserve"> duration, scope of role and privileges), visiting Pharmacist Immunisers must observe organisational guidelines and policies pertaining to incident reporting, open disclosure, privacy and confidentiality, health information management, workplace health and safety and infection control. This may require the visiting Pharmacist Immuniser to undertake mandatory training or demonstrate recognised prior learning to satisfy third-party organisational requirements.</w:t>
      </w:r>
    </w:p>
    <w:p w14:paraId="0F16AEE0" w14:textId="76F8AA2C" w:rsidR="0000567A" w:rsidRPr="00121B84" w:rsidRDefault="0000567A" w:rsidP="00700529">
      <w:pPr>
        <w:pStyle w:val="Heading3"/>
        <w:numPr>
          <w:ilvl w:val="2"/>
          <w:numId w:val="26"/>
        </w:numPr>
      </w:pPr>
      <w:bookmarkStart w:id="55" w:name="_Contract_staffing_models"/>
      <w:bookmarkEnd w:id="55"/>
      <w:r w:rsidRPr="00121B84">
        <w:t>Contract staffing models</w:t>
      </w:r>
    </w:p>
    <w:p w14:paraId="743F7980" w14:textId="77777777" w:rsidR="0000567A" w:rsidRDefault="0000567A" w:rsidP="0000567A">
      <w:pPr>
        <w:pStyle w:val="DHHSbody"/>
      </w:pPr>
      <w:r>
        <w:t>Pharmacist Immunisers may be employed by Service Providers to respond to peaks in demand for services however, the use of contract staff needs to be proactively managed by Service Providers.</w:t>
      </w:r>
    </w:p>
    <w:p w14:paraId="42251132" w14:textId="77777777" w:rsidR="0000567A" w:rsidRDefault="0000567A" w:rsidP="0000567A">
      <w:pPr>
        <w:pStyle w:val="DHHSbody"/>
      </w:pPr>
      <w:r>
        <w:t>The Service Providers’ operational policies and procedures for employing appropriately qualified staff and ensuring consumer safety need to specifically identify how the use of contracted staff is managed. The contracts that employers have with either the Pharmacist Immuniser or any third party (</w:t>
      </w:r>
      <w:proofErr w:type="gramStart"/>
      <w:r>
        <w:t>e.g.</w:t>
      </w:r>
      <w:proofErr w:type="gramEnd"/>
      <w:r>
        <w:t xml:space="preserve"> workforce agency) need to specify the required qualifications, competencies and skills of the staff, and procedures for monitoring the quality of the contracted service.</w:t>
      </w:r>
    </w:p>
    <w:p w14:paraId="23118202" w14:textId="77777777" w:rsidR="0000567A" w:rsidRDefault="0000567A" w:rsidP="0000567A">
      <w:pPr>
        <w:pStyle w:val="DHHSbody"/>
      </w:pPr>
      <w:r>
        <w:t>Service Providers may need to provide additional information to their insurance providers about how employee (or contract services) working under the Approval are managed.</w:t>
      </w:r>
    </w:p>
    <w:p w14:paraId="71B54E35" w14:textId="77777777" w:rsidR="0000567A" w:rsidRDefault="0000567A" w:rsidP="0000567A">
      <w:pPr>
        <w:pStyle w:val="DHHSbody"/>
      </w:pPr>
      <w:r>
        <w:t xml:space="preserve">Further, evidence of appropriate Professional Indemnity Insurance is a mandatory requirement for registration of health professionals under </w:t>
      </w:r>
      <w:proofErr w:type="spellStart"/>
      <w:r>
        <w:t>Ahpra</w:t>
      </w:r>
      <w:proofErr w:type="spellEnd"/>
      <w:r>
        <w:t xml:space="preserve">. As such, Service Providers may need to provide details of the coverage they hold to their employees (so they in turn can provide this to meet the </w:t>
      </w:r>
      <w:proofErr w:type="spellStart"/>
      <w:r>
        <w:t>Ahpra</w:t>
      </w:r>
      <w:proofErr w:type="spellEnd"/>
      <w:r>
        <w:t xml:space="preserve"> requirement). </w:t>
      </w:r>
    </w:p>
    <w:p w14:paraId="53862C08" w14:textId="695372DA" w:rsidR="0000567A" w:rsidRPr="00121B84" w:rsidRDefault="0000567A" w:rsidP="00700529">
      <w:pPr>
        <w:pStyle w:val="Heading3"/>
        <w:numPr>
          <w:ilvl w:val="2"/>
          <w:numId w:val="26"/>
        </w:numPr>
      </w:pPr>
      <w:r w:rsidRPr="00121B84">
        <w:lastRenderedPageBreak/>
        <w:t>Staffing arrangements for clinical risk management</w:t>
      </w:r>
    </w:p>
    <w:p w14:paraId="5D541495" w14:textId="05872FC4" w:rsidR="0000567A" w:rsidRDefault="0000567A" w:rsidP="0000567A">
      <w:pPr>
        <w:pStyle w:val="DHHSbody"/>
      </w:pPr>
      <w:r w:rsidRPr="000764B2">
        <w:t>It is a condition of the</w:t>
      </w:r>
      <w:r>
        <w:t xml:space="preserve"> Approval</w:t>
      </w:r>
      <w:r w:rsidRPr="000764B2">
        <w:t xml:space="preserve"> that the Pharmacist Immuniser ensures at least one </w:t>
      </w:r>
      <w:r w:rsidRPr="00DD782F">
        <w:t>other</w:t>
      </w:r>
      <w:r w:rsidRPr="000764B2">
        <w:t xml:space="preserve"> </w:t>
      </w:r>
      <w:r>
        <w:t xml:space="preserve">(clinical or non-clinical) </w:t>
      </w:r>
      <w:r w:rsidRPr="000764B2">
        <w:t>staff member</w:t>
      </w:r>
      <w:r>
        <w:t>,</w:t>
      </w:r>
      <w:r w:rsidRPr="000764B2">
        <w:t xml:space="preserve"> </w:t>
      </w:r>
      <w:r>
        <w:t xml:space="preserve">who holds a </w:t>
      </w:r>
      <w:r w:rsidRPr="000764B2">
        <w:t xml:space="preserve">current </w:t>
      </w:r>
      <w:r>
        <w:t>f</w:t>
      </w:r>
      <w:r w:rsidRPr="000764B2">
        <w:t xml:space="preserve">irst </w:t>
      </w:r>
      <w:r>
        <w:t>a</w:t>
      </w:r>
      <w:r w:rsidRPr="000764B2">
        <w:t xml:space="preserve">id and </w:t>
      </w:r>
      <w:r>
        <w:t>cardiop</w:t>
      </w:r>
      <w:r w:rsidRPr="000764B2">
        <w:t xml:space="preserve">ulmonary </w:t>
      </w:r>
      <w:r>
        <w:t>r</w:t>
      </w:r>
      <w:r w:rsidRPr="000764B2">
        <w:t xml:space="preserve">esuscitation </w:t>
      </w:r>
      <w:r>
        <w:t>c</w:t>
      </w:r>
      <w:r w:rsidRPr="000764B2">
        <w:t>ertificate</w:t>
      </w:r>
      <w:r>
        <w:t>,</w:t>
      </w:r>
      <w:r w:rsidRPr="000764B2">
        <w:t xml:space="preserve"> is on duty in the pharmacy when the vaccines are administered</w:t>
      </w:r>
      <w:r>
        <w:t xml:space="preserve">, and within the line of sight of the person vaccinated for a minimum period of 15 minutes afterwards. See also section </w:t>
      </w:r>
      <w:hyperlink w:anchor="_Emergency_response_protocol" w:history="1">
        <w:r w:rsidRPr="006349D5">
          <w:rPr>
            <w:rStyle w:val="Hyperlink"/>
          </w:rPr>
          <w:t>12.1</w:t>
        </w:r>
      </w:hyperlink>
      <w:r>
        <w:t xml:space="preserve"> of these Guidelines.</w:t>
      </w:r>
    </w:p>
    <w:p w14:paraId="7DA6849F" w14:textId="77777777" w:rsidR="0000567A" w:rsidRPr="00C154F4" w:rsidRDefault="0000567A" w:rsidP="00700529">
      <w:pPr>
        <w:pStyle w:val="Heading1"/>
        <w:numPr>
          <w:ilvl w:val="0"/>
          <w:numId w:val="26"/>
        </w:numPr>
        <w:rPr>
          <w:sz w:val="40"/>
          <w:szCs w:val="40"/>
        </w:rPr>
      </w:pPr>
      <w:bookmarkStart w:id="56" w:name="_Toc452486166"/>
      <w:bookmarkStart w:id="57" w:name="_Toc115426501"/>
      <w:bookmarkEnd w:id="56"/>
      <w:r w:rsidRPr="00C154F4">
        <w:rPr>
          <w:sz w:val="40"/>
          <w:szCs w:val="40"/>
        </w:rPr>
        <w:t>Equipment and resources</w:t>
      </w:r>
      <w:bookmarkEnd w:id="57"/>
    </w:p>
    <w:p w14:paraId="783AC88F" w14:textId="0E45F635" w:rsidR="0000567A" w:rsidRPr="001F79A2" w:rsidRDefault="0000567A" w:rsidP="0000567A">
      <w:pPr>
        <w:rPr>
          <w:rFonts w:ascii="Arial" w:eastAsia="Times" w:hAnsi="Arial"/>
        </w:rPr>
      </w:pPr>
      <w:r w:rsidRPr="004267EB">
        <w:rPr>
          <w:rFonts w:ascii="Arial" w:eastAsia="Times" w:hAnsi="Arial"/>
        </w:rPr>
        <w:t xml:space="preserve">Compliance with the </w:t>
      </w:r>
      <w:r>
        <w:rPr>
          <w:rFonts w:ascii="Arial" w:eastAsia="Times" w:hAnsi="Arial"/>
        </w:rPr>
        <w:t>online version</w:t>
      </w:r>
      <w:r w:rsidRPr="004267EB">
        <w:rPr>
          <w:rFonts w:ascii="Arial" w:eastAsia="Times" w:hAnsi="Arial"/>
        </w:rPr>
        <w:t xml:space="preserve"> of the </w:t>
      </w:r>
      <w:r w:rsidRPr="5D0E1D87">
        <w:rPr>
          <w:rFonts w:ascii="Arial" w:eastAsia="Times" w:hAnsi="Arial"/>
          <w:i/>
          <w:iCs/>
        </w:rPr>
        <w:t>Australian Immunisation Handbook</w:t>
      </w:r>
      <w:r w:rsidR="00AF7B7B">
        <w:rPr>
          <w:rStyle w:val="FootnoteReference"/>
          <w:rFonts w:ascii="Arial" w:eastAsia="Times" w:hAnsi="Arial"/>
        </w:rPr>
        <w:footnoteReference w:customMarkFollows="1" w:id="30"/>
        <w:t>28</w:t>
      </w:r>
      <w:r w:rsidRPr="001F79A2">
        <w:rPr>
          <w:rFonts w:ascii="Arial" w:eastAsia="Times" w:hAnsi="Arial"/>
        </w:rPr>
        <w:t xml:space="preserve"> and </w:t>
      </w:r>
      <w:r w:rsidRPr="5D0E1D87">
        <w:rPr>
          <w:rFonts w:ascii="Arial" w:eastAsia="Times" w:hAnsi="Arial"/>
          <w:i/>
          <w:iCs/>
        </w:rPr>
        <w:t>National vaccine storage guidelines – Strive for 5 (current edition)</w:t>
      </w:r>
      <w:r w:rsidR="00417F6C">
        <w:rPr>
          <w:rStyle w:val="FootnoteReference"/>
          <w:rFonts w:ascii="Arial" w:eastAsia="Times" w:hAnsi="Arial"/>
        </w:rPr>
        <w:footnoteReference w:customMarkFollows="1" w:id="31"/>
        <w:t>29</w:t>
      </w:r>
      <w:r w:rsidRPr="001F79A2">
        <w:rPr>
          <w:rFonts w:ascii="Arial" w:eastAsia="Times" w:hAnsi="Arial"/>
        </w:rPr>
        <w:t xml:space="preserve"> are conditions of the Approval. </w:t>
      </w:r>
    </w:p>
    <w:p w14:paraId="022D1F72" w14:textId="77777777" w:rsidR="0000567A" w:rsidRDefault="0000567A" w:rsidP="0000567A">
      <w:pPr>
        <w:pStyle w:val="DHHSbody"/>
        <w:spacing w:before="120"/>
      </w:pPr>
      <w:r w:rsidRPr="001F79A2">
        <w:t>All equipment should comply with t</w:t>
      </w:r>
      <w:r>
        <w:t>he recommendations contained in these documents, and should include:</w:t>
      </w:r>
    </w:p>
    <w:p w14:paraId="181C17E2" w14:textId="2DEF813D" w:rsidR="0000567A" w:rsidRDefault="00F5586A" w:rsidP="00700529">
      <w:pPr>
        <w:pStyle w:val="DHHSbullet1"/>
        <w:numPr>
          <w:ilvl w:val="0"/>
          <w:numId w:val="14"/>
        </w:numPr>
        <w:spacing w:line="240" w:lineRule="auto"/>
      </w:pPr>
      <w:r>
        <w:t>a</w:t>
      </w:r>
      <w:r w:rsidR="0000567A">
        <w:t xml:space="preserve"> purpose-built vaccine refrigerator with a temperature data logger</w:t>
      </w:r>
    </w:p>
    <w:p w14:paraId="08CCE6D0" w14:textId="583DC5F1" w:rsidR="0000567A" w:rsidRDefault="00F5586A" w:rsidP="00700529">
      <w:pPr>
        <w:pStyle w:val="DHHSbullet1"/>
        <w:numPr>
          <w:ilvl w:val="0"/>
          <w:numId w:val="14"/>
        </w:numPr>
        <w:spacing w:line="240" w:lineRule="auto"/>
      </w:pPr>
      <w:r>
        <w:t>c</w:t>
      </w:r>
      <w:r w:rsidR="0000567A">
        <w:t>oolers, data loggers, cooler ice packs and insulation materials for mobile or outreach immunisation clinics</w:t>
      </w:r>
    </w:p>
    <w:p w14:paraId="37BF7C66" w14:textId="77777777" w:rsidR="0000567A" w:rsidRDefault="0000567A" w:rsidP="00700529">
      <w:pPr>
        <w:pStyle w:val="DHHSbullet1"/>
        <w:numPr>
          <w:ilvl w:val="0"/>
          <w:numId w:val="14"/>
        </w:numPr>
        <w:spacing w:line="240" w:lineRule="auto"/>
      </w:pPr>
      <w:r>
        <w:t>all necessary consumables required for vaccine administration</w:t>
      </w:r>
    </w:p>
    <w:p w14:paraId="48142FCB" w14:textId="77777777" w:rsidR="0000567A" w:rsidRDefault="0000567A" w:rsidP="00700529">
      <w:pPr>
        <w:pStyle w:val="DHHSbullet1"/>
        <w:numPr>
          <w:ilvl w:val="0"/>
          <w:numId w:val="14"/>
        </w:numPr>
        <w:spacing w:line="240" w:lineRule="auto"/>
      </w:pPr>
      <w:r>
        <w:t>an appropriately sized sharps container to dispose of clinical waste, including used syringes and needles.</w:t>
      </w:r>
    </w:p>
    <w:p w14:paraId="497A5750" w14:textId="43910F0C" w:rsidR="0000567A" w:rsidRDefault="0000567A" w:rsidP="0000567A">
      <w:pPr>
        <w:pStyle w:val="DHHSbullet1"/>
        <w:spacing w:before="120" w:line="240" w:lineRule="auto"/>
        <w:ind w:left="0" w:firstLine="0"/>
      </w:pPr>
      <w:r>
        <w:t>Pharmacist Immunisers must have access to the Australian Immunisation Register</w:t>
      </w:r>
      <w:r w:rsidR="00D97C4C">
        <w:rPr>
          <w:rStyle w:val="FootnoteReference"/>
        </w:rPr>
        <w:footnoteReference w:id="32"/>
      </w:r>
      <w:r>
        <w:t xml:space="preserve"> and the below resources when providing mobile or outreach immunisation clinics.</w:t>
      </w:r>
    </w:p>
    <w:p w14:paraId="7574665C" w14:textId="77777777" w:rsidR="0000567A" w:rsidRDefault="0000567A" w:rsidP="0000567A">
      <w:pPr>
        <w:pStyle w:val="DHHSbullet1"/>
        <w:spacing w:before="120" w:line="240" w:lineRule="auto"/>
        <w:ind w:left="0" w:firstLine="0"/>
      </w:pPr>
      <w:r>
        <w:t>Resources that are required to be readily accessible include:</w:t>
      </w:r>
    </w:p>
    <w:p w14:paraId="0D87D082" w14:textId="70DB013B" w:rsidR="0000567A" w:rsidRDefault="0000567A" w:rsidP="00700529">
      <w:pPr>
        <w:pStyle w:val="DHHSbullet1"/>
        <w:numPr>
          <w:ilvl w:val="0"/>
          <w:numId w:val="13"/>
        </w:numPr>
        <w:spacing w:line="240" w:lineRule="auto"/>
        <w:rPr>
          <w:i/>
          <w:vertAlign w:val="superscript"/>
        </w:rPr>
      </w:pPr>
      <w:r>
        <w:t xml:space="preserve">the online </w:t>
      </w:r>
      <w:r w:rsidRPr="00822E09">
        <w:rPr>
          <w:i/>
        </w:rPr>
        <w:t>Australian Immunisation Handbook</w:t>
      </w:r>
      <w:r w:rsidR="00D97C4C">
        <w:rPr>
          <w:rStyle w:val="FootnoteReference"/>
          <w:i/>
        </w:rPr>
        <w:footnoteReference w:id="33"/>
      </w:r>
    </w:p>
    <w:p w14:paraId="2E56D316" w14:textId="1FB61DEF" w:rsidR="0000567A" w:rsidRDefault="0000567A" w:rsidP="00700529">
      <w:pPr>
        <w:pStyle w:val="DHHSbullet1"/>
        <w:numPr>
          <w:ilvl w:val="0"/>
          <w:numId w:val="13"/>
        </w:numPr>
        <w:spacing w:line="240" w:lineRule="auto"/>
        <w:rPr>
          <w:vertAlign w:val="superscript"/>
        </w:rPr>
      </w:pPr>
      <w:r>
        <w:t xml:space="preserve">a current edition of the </w:t>
      </w:r>
      <w:r w:rsidRPr="000C203C">
        <w:rPr>
          <w:i/>
        </w:rPr>
        <w:t>National vaccine storage guidelines – Strive for 5</w:t>
      </w:r>
      <w:r w:rsidR="006F0ADD">
        <w:rPr>
          <w:vertAlign w:val="superscript"/>
        </w:rPr>
        <w:t>29</w:t>
      </w:r>
    </w:p>
    <w:p w14:paraId="53ECADE3" w14:textId="77777777" w:rsidR="0000567A" w:rsidRPr="003635E8" w:rsidRDefault="0000567A" w:rsidP="00700529">
      <w:pPr>
        <w:pStyle w:val="DHHSbullet1"/>
        <w:numPr>
          <w:ilvl w:val="0"/>
          <w:numId w:val="13"/>
        </w:numPr>
        <w:spacing w:line="240" w:lineRule="auto"/>
        <w:rPr>
          <w:rStyle w:val="Hyperlink"/>
        </w:rPr>
      </w:pPr>
      <w:r>
        <w:t>materials to support communication about vaccination, including Questions about vaccination available at &lt;</w:t>
      </w:r>
      <w:hyperlink r:id="rId44">
        <w:r w:rsidRPr="005C5883">
          <w:rPr>
            <w:rStyle w:val="Hyperlink"/>
          </w:rPr>
          <w:t>https://www.health.gov.au/resources/publications/questions-about-vaccination</w:t>
        </w:r>
      </w:hyperlink>
      <w:r w:rsidRPr="005C5883">
        <w:t>&gt;.</w:t>
      </w:r>
    </w:p>
    <w:p w14:paraId="39D7AE77" w14:textId="40C6C694" w:rsidR="0000567A" w:rsidRDefault="0000567A" w:rsidP="0000567A">
      <w:pPr>
        <w:pStyle w:val="DHHSbody"/>
        <w:spacing w:before="120"/>
      </w:pPr>
      <w:r>
        <w:t xml:space="preserve">Pharmacist Immunisers should also subscribe to the department’s </w:t>
      </w:r>
      <w:r w:rsidRPr="00E2481D">
        <w:rPr>
          <w:i/>
        </w:rPr>
        <w:t>Immunisation Newsletter</w:t>
      </w:r>
      <w:r>
        <w:t xml:space="preserve">, which is available </w:t>
      </w:r>
      <w:r w:rsidR="00C14FA2">
        <w:t xml:space="preserve">to subscribe at </w:t>
      </w:r>
      <w:r>
        <w:t>&lt;</w:t>
      </w:r>
      <w:hyperlink r:id="rId45" w:history="1">
        <w:r w:rsidR="00C14FA2" w:rsidRPr="00965A7D">
          <w:rPr>
            <w:rStyle w:val="Hyperlink"/>
          </w:rPr>
          <w:t>https://www.health.vic.gov.au/subscribe</w:t>
        </w:r>
      </w:hyperlink>
      <w:r w:rsidRPr="00965A7D">
        <w:t>&gt;.</w:t>
      </w:r>
    </w:p>
    <w:p w14:paraId="224CCC45" w14:textId="77777777" w:rsidR="0000567A" w:rsidRDefault="0000567A" w:rsidP="0000567A">
      <w:pPr>
        <w:pStyle w:val="DHHSbody"/>
      </w:pPr>
      <w:r>
        <w:t xml:space="preserve">A range of resources exist to support the delivery of safe vaccination services, including the </w:t>
      </w:r>
      <w:r w:rsidRPr="5D0E1D87">
        <w:rPr>
          <w:i/>
          <w:iCs/>
        </w:rPr>
        <w:t>Practice guidelines for the provision of immunisation services within pharmacy</w:t>
      </w:r>
      <w:r>
        <w:t xml:space="preserve"> (current edition) – Pharmaceutical Society of Australia</w:t>
      </w:r>
      <w:r w:rsidRPr="00974712">
        <w:rPr>
          <w:vertAlign w:val="superscript"/>
        </w:rPr>
        <w:footnoteReference w:id="34"/>
      </w:r>
      <w:r>
        <w:t>.</w:t>
      </w:r>
    </w:p>
    <w:p w14:paraId="77454004" w14:textId="77777777" w:rsidR="0000567A" w:rsidRPr="00C154F4" w:rsidRDefault="0000567A" w:rsidP="00700529">
      <w:pPr>
        <w:pStyle w:val="Heading2"/>
        <w:numPr>
          <w:ilvl w:val="1"/>
          <w:numId w:val="31"/>
        </w:numPr>
        <w:rPr>
          <w:sz w:val="28"/>
        </w:rPr>
      </w:pPr>
      <w:bookmarkStart w:id="58" w:name="_Toc115426502"/>
      <w:r w:rsidRPr="00C154F4">
        <w:rPr>
          <w:sz w:val="28"/>
        </w:rPr>
        <w:t>Anaphylaxis response kit</w:t>
      </w:r>
      <w:bookmarkEnd w:id="58"/>
    </w:p>
    <w:p w14:paraId="36B5C833" w14:textId="3DFE48F3" w:rsidR="0000567A" w:rsidRPr="001F79A2" w:rsidRDefault="0000567A" w:rsidP="0000567A">
      <w:pPr>
        <w:pStyle w:val="DHHSbody"/>
      </w:pPr>
      <w:r>
        <w:t xml:space="preserve">Pharmacist Immunisers must have an anaphylaxis response kit accessible when administering vaccines. </w:t>
      </w:r>
      <w:r w:rsidRPr="00692176">
        <w:t xml:space="preserve">All equipment should comply with the </w:t>
      </w:r>
      <w:r>
        <w:t>recommendations</w:t>
      </w:r>
      <w:r w:rsidRPr="00692176">
        <w:t xml:space="preserve"> </w:t>
      </w:r>
      <w:r>
        <w:t>in</w:t>
      </w:r>
      <w:r w:rsidRPr="00692176">
        <w:t xml:space="preserve"> the </w:t>
      </w:r>
      <w:r>
        <w:t>online version</w:t>
      </w:r>
      <w:r w:rsidRPr="00692176">
        <w:t xml:space="preserve"> of the </w:t>
      </w:r>
      <w:r w:rsidRPr="5D0E1D87">
        <w:rPr>
          <w:i/>
          <w:iCs/>
        </w:rPr>
        <w:t>Australian Immunisation Handbook</w:t>
      </w:r>
      <w:r w:rsidR="007F1E17">
        <w:rPr>
          <w:vertAlign w:val="superscript"/>
        </w:rPr>
        <w:t>30</w:t>
      </w:r>
      <w:r w:rsidRPr="00282B80">
        <w:t>,</w:t>
      </w:r>
      <w:r w:rsidRPr="001F79A2">
        <w:t xml:space="preserve"> and include:</w:t>
      </w:r>
    </w:p>
    <w:p w14:paraId="76CE11FC" w14:textId="1059C62F" w:rsidR="0000567A" w:rsidRDefault="0000567A" w:rsidP="00700529">
      <w:pPr>
        <w:pStyle w:val="DHHSbullet1"/>
        <w:numPr>
          <w:ilvl w:val="0"/>
          <w:numId w:val="20"/>
        </w:numPr>
      </w:pPr>
      <w:r>
        <w:t>adrenaline 1:1000 (minimum of three ampoules). Always regularly check expiry dates</w:t>
      </w:r>
      <w:r w:rsidR="004455C9">
        <w:t xml:space="preserve">, </w:t>
      </w:r>
      <w:proofErr w:type="gramStart"/>
      <w:r w:rsidR="004455C9">
        <w:t>discard</w:t>
      </w:r>
      <w:proofErr w:type="gramEnd"/>
      <w:r w:rsidR="004455C9">
        <w:t xml:space="preserve"> </w:t>
      </w:r>
      <w:r w:rsidR="009B0439">
        <w:t xml:space="preserve">and replace </w:t>
      </w:r>
      <w:r w:rsidR="004455C9">
        <w:t>expired stock</w:t>
      </w:r>
      <w:r>
        <w:t xml:space="preserve"> and replenish stock after use</w:t>
      </w:r>
    </w:p>
    <w:p w14:paraId="5A94D8FF" w14:textId="77777777" w:rsidR="0000567A" w:rsidRDefault="0000567A" w:rsidP="00700529">
      <w:pPr>
        <w:pStyle w:val="DHHSbullet1"/>
        <w:numPr>
          <w:ilvl w:val="0"/>
          <w:numId w:val="20"/>
        </w:numPr>
      </w:pPr>
      <w:r>
        <w:lastRenderedPageBreak/>
        <w:t>a minimum of three 1 mL syringes and 25 mm length needles for intramuscular injection</w:t>
      </w:r>
    </w:p>
    <w:p w14:paraId="1B559092" w14:textId="77777777" w:rsidR="0000567A" w:rsidRDefault="0000567A" w:rsidP="00700529">
      <w:pPr>
        <w:pStyle w:val="DHHSbullet1"/>
        <w:numPr>
          <w:ilvl w:val="0"/>
          <w:numId w:val="20"/>
        </w:numPr>
      </w:pPr>
      <w:r>
        <w:t>cotton wool swabs</w:t>
      </w:r>
    </w:p>
    <w:p w14:paraId="3C97F407" w14:textId="77777777" w:rsidR="0000567A" w:rsidRDefault="0000567A" w:rsidP="00700529">
      <w:pPr>
        <w:pStyle w:val="DHHSbullet1"/>
        <w:numPr>
          <w:ilvl w:val="0"/>
          <w:numId w:val="20"/>
        </w:numPr>
      </w:pPr>
      <w:r>
        <w:t xml:space="preserve">a pen, </w:t>
      </w:r>
      <w:proofErr w:type="gramStart"/>
      <w:r>
        <w:t>paper</w:t>
      </w:r>
      <w:proofErr w:type="gramEnd"/>
      <w:r>
        <w:t xml:space="preserve"> and stopwatch to record time of administration of adrenaline</w:t>
      </w:r>
    </w:p>
    <w:p w14:paraId="2C7972DB" w14:textId="77777777" w:rsidR="0000567A" w:rsidRDefault="0000567A" w:rsidP="00700529">
      <w:pPr>
        <w:pStyle w:val="DHHSbullet1"/>
        <w:numPr>
          <w:ilvl w:val="0"/>
          <w:numId w:val="20"/>
        </w:numPr>
      </w:pPr>
      <w:r>
        <w:t>a laminated copy of adrenaline doses as per the most current edition of the h</w:t>
      </w:r>
      <w:r w:rsidRPr="00E91B9F">
        <w:t>andbook</w:t>
      </w:r>
    </w:p>
    <w:p w14:paraId="4A380BE2" w14:textId="77777777" w:rsidR="0000567A" w:rsidRPr="00D157C3" w:rsidRDefault="0000567A" w:rsidP="00700529">
      <w:pPr>
        <w:pStyle w:val="DHHSbullet1"/>
        <w:numPr>
          <w:ilvl w:val="0"/>
          <w:numId w:val="20"/>
        </w:numPr>
      </w:pPr>
      <w:r>
        <w:t xml:space="preserve">a laminated copy of ‘Recognition and treatment of anaphylaxis’ as per the most current edition of the </w:t>
      </w:r>
      <w:r w:rsidRPr="00E91B9F">
        <w:t>handbook</w:t>
      </w:r>
    </w:p>
    <w:p w14:paraId="632CAC26" w14:textId="78157486" w:rsidR="0000567A" w:rsidRDefault="0000567A" w:rsidP="00700529">
      <w:pPr>
        <w:pStyle w:val="DHHSbullet1"/>
        <w:numPr>
          <w:ilvl w:val="0"/>
          <w:numId w:val="20"/>
        </w:numPr>
      </w:pPr>
      <w:r>
        <w:t xml:space="preserve">an emergency response protocol (preferably laminated and on display) (see section </w:t>
      </w:r>
      <w:hyperlink w:anchor="_Emergency_response_protocol">
        <w:r w:rsidR="00C63404">
          <w:rPr>
            <w:rStyle w:val="Hyperlink"/>
          </w:rPr>
          <w:t>12.1</w:t>
        </w:r>
      </w:hyperlink>
      <w:r>
        <w:rPr>
          <w:rStyle w:val="Hyperlink"/>
        </w:rPr>
        <w:t xml:space="preserve"> </w:t>
      </w:r>
      <w:r>
        <w:t>of these Guidelines) identifying assigned roles and responsibilities. All clinical and non-clinical pharmacy staff should be aware of the emergency response protocol, and their roles and responsibilities in the event of an emergency.</w:t>
      </w:r>
    </w:p>
    <w:p w14:paraId="43D51FD8" w14:textId="77777777" w:rsidR="0000567A" w:rsidRDefault="0000567A" w:rsidP="0000567A">
      <w:pPr>
        <w:pStyle w:val="DHHSbullet1"/>
      </w:pPr>
    </w:p>
    <w:p w14:paraId="62338CD7" w14:textId="77777777" w:rsidR="0000567A" w:rsidRPr="00362D57" w:rsidRDefault="0000567A" w:rsidP="0000567A">
      <w:pPr>
        <w:pStyle w:val="DHHSbody"/>
        <w:rPr>
          <w:rFonts w:cs="Arial"/>
        </w:rPr>
      </w:pPr>
      <w:r w:rsidRPr="003466BF">
        <w:rPr>
          <w:rFonts w:cs="Arial"/>
        </w:rPr>
        <w:t xml:space="preserve">Where adrenaline ampoules are unavailable, an adrenaline autoinjector may be kept in an anaphylaxis response kit. Pharmacists should refer to the guidance in the </w:t>
      </w:r>
      <w:r w:rsidRPr="003466BF">
        <w:rPr>
          <w:rFonts w:cs="Arial"/>
          <w:i/>
          <w:iCs/>
        </w:rPr>
        <w:t>Australian Immunisation Handbook</w:t>
      </w:r>
      <w:r w:rsidRPr="003466BF">
        <w:rPr>
          <w:rFonts w:cs="Arial"/>
        </w:rPr>
        <w:t xml:space="preserve"> regarding the use of autoinjectors in vaccination services.</w:t>
      </w:r>
    </w:p>
    <w:p w14:paraId="6EAEF91B" w14:textId="77777777" w:rsidR="0000567A" w:rsidRPr="00362D57" w:rsidRDefault="0000567A" w:rsidP="0000567A">
      <w:pPr>
        <w:pStyle w:val="DHHSbody"/>
        <w:rPr>
          <w:rFonts w:cs="Arial"/>
        </w:rPr>
      </w:pPr>
      <w:r w:rsidRPr="00362D57">
        <w:rPr>
          <w:rFonts w:cs="Arial"/>
        </w:rPr>
        <w:t>Pharmacist Immunisers undertaking solo mobile or outreach immunisation clinics require a specific protocol detailing their role and responsibilities in the event of an emergency.</w:t>
      </w:r>
    </w:p>
    <w:p w14:paraId="49977B51" w14:textId="77777777" w:rsidR="0000567A" w:rsidRPr="00B4071F" w:rsidRDefault="0000567A" w:rsidP="00700529">
      <w:pPr>
        <w:pStyle w:val="Heading1"/>
        <w:numPr>
          <w:ilvl w:val="0"/>
          <w:numId w:val="31"/>
        </w:numPr>
        <w:rPr>
          <w:sz w:val="40"/>
          <w:szCs w:val="40"/>
        </w:rPr>
      </w:pPr>
      <w:bookmarkStart w:id="59" w:name="_Toc115426503"/>
      <w:r w:rsidRPr="00B4071F">
        <w:rPr>
          <w:sz w:val="40"/>
          <w:szCs w:val="40"/>
        </w:rPr>
        <w:t>Protocols</w:t>
      </w:r>
      <w:bookmarkEnd w:id="59"/>
    </w:p>
    <w:p w14:paraId="5362ABAA" w14:textId="5D53CEF7" w:rsidR="0000567A" w:rsidRPr="007B1350" w:rsidRDefault="0000567A" w:rsidP="0000567A">
      <w:pPr>
        <w:pStyle w:val="DHHSbody"/>
      </w:pPr>
      <w:r w:rsidRPr="000E50DA">
        <w:t xml:space="preserve">Pharmacist Immunisers should implement a process to regularly monitor online updates to the </w:t>
      </w:r>
      <w:r w:rsidRPr="5D0E1D87">
        <w:rPr>
          <w:i/>
          <w:iCs/>
        </w:rPr>
        <w:t>Australian Immunisation Handbook</w:t>
      </w:r>
      <w:r w:rsidR="00D621B5">
        <w:rPr>
          <w:i/>
          <w:iCs/>
          <w:vertAlign w:val="superscript"/>
        </w:rPr>
        <w:t>30</w:t>
      </w:r>
      <w:r w:rsidRPr="000E50DA">
        <w:t xml:space="preserve">, the </w:t>
      </w:r>
      <w:r w:rsidRPr="5D0E1D87">
        <w:rPr>
          <w:i/>
          <w:iCs/>
        </w:rPr>
        <w:t>National vaccine storage guidelines – Strive for 5</w:t>
      </w:r>
      <w:r>
        <w:rPr>
          <w:rStyle w:val="FootnoteReference"/>
        </w:rPr>
        <w:footnoteReference w:id="35"/>
      </w:r>
      <w:r w:rsidRPr="000E50DA">
        <w:t xml:space="preserve">, the </w:t>
      </w:r>
      <w:r w:rsidRPr="5D0E1D87">
        <w:rPr>
          <w:i/>
          <w:iCs/>
        </w:rPr>
        <w:t>Victorian Pharmacy Authority Guidelines</w:t>
      </w:r>
      <w:r>
        <w:rPr>
          <w:rStyle w:val="FootnoteReference"/>
        </w:rPr>
        <w:footnoteReference w:id="36"/>
      </w:r>
      <w:r w:rsidRPr="000E50DA">
        <w:t>, the</w:t>
      </w:r>
      <w:r>
        <w:t>se</w:t>
      </w:r>
      <w:r w:rsidRPr="000E50DA">
        <w:t xml:space="preserve"> </w:t>
      </w:r>
      <w:r>
        <w:t>G</w:t>
      </w:r>
      <w:r w:rsidRPr="000E50DA">
        <w:t>uidelines, and any</w:t>
      </w:r>
      <w:r w:rsidRPr="007B1350">
        <w:t xml:space="preserve"> other key resources to inform their immunisation practice.</w:t>
      </w:r>
    </w:p>
    <w:p w14:paraId="0B607F6A" w14:textId="365CFDBE" w:rsidR="0000567A" w:rsidRPr="00B4071F" w:rsidRDefault="0000567A" w:rsidP="00700529">
      <w:pPr>
        <w:pStyle w:val="Heading2"/>
        <w:numPr>
          <w:ilvl w:val="1"/>
          <w:numId w:val="31"/>
        </w:numPr>
        <w:rPr>
          <w:sz w:val="28"/>
        </w:rPr>
      </w:pPr>
      <w:bookmarkStart w:id="60" w:name="_Emergency_response_protocol"/>
      <w:bookmarkStart w:id="61" w:name="_Toc115426504"/>
      <w:bookmarkEnd w:id="60"/>
      <w:r w:rsidRPr="00B4071F">
        <w:rPr>
          <w:sz w:val="28"/>
        </w:rPr>
        <w:t>Emergency response protocol</w:t>
      </w:r>
      <w:bookmarkEnd w:id="61"/>
    </w:p>
    <w:p w14:paraId="1004B324" w14:textId="1AF686C6" w:rsidR="0000567A" w:rsidRPr="003836E6" w:rsidRDefault="0000567A" w:rsidP="0000567A">
      <w:pPr>
        <w:pStyle w:val="DHHSbody"/>
        <w:rPr>
          <w:rFonts w:cs="Arial"/>
        </w:rPr>
      </w:pPr>
      <w:r w:rsidRPr="003836E6">
        <w:rPr>
          <w:rFonts w:cs="Arial"/>
        </w:rPr>
        <w:t>An emergency response protocol must be kept as part of the anaphylaxis tool kit (preferably laminated and on display</w:t>
      </w:r>
      <w:r>
        <w:rPr>
          <w:rFonts w:cs="Arial"/>
        </w:rPr>
        <w:t xml:space="preserve"> or easily accessible in the case of mobile or outreach immunisation clinics</w:t>
      </w:r>
      <w:r w:rsidRPr="003836E6">
        <w:rPr>
          <w:rFonts w:cs="Arial"/>
        </w:rPr>
        <w:t xml:space="preserve">). The protocol </w:t>
      </w:r>
      <w:r>
        <w:rPr>
          <w:rFonts w:cs="Arial"/>
        </w:rPr>
        <w:t>should</w:t>
      </w:r>
      <w:r w:rsidRPr="003836E6">
        <w:rPr>
          <w:rFonts w:cs="Arial"/>
        </w:rPr>
        <w:t xml:space="preserve"> identify assigned roles and responsibilities of staff members. All staff should know and understand the protocol.</w:t>
      </w:r>
      <w:r>
        <w:rPr>
          <w:rFonts w:cs="Arial"/>
        </w:rPr>
        <w:t xml:space="preserve"> </w:t>
      </w:r>
      <w:r>
        <w:t xml:space="preserve">Pharmacist Immunisers undertaking mobile or outreach immunisation clinics as a solo practitioner (employed or otherwise engaged by a Service Provider, as defined in section </w:t>
      </w:r>
      <w:hyperlink w:anchor="_Pharmacist_Immunisers_and" w:history="1">
        <w:r w:rsidRPr="004E7BDD">
          <w:rPr>
            <w:rStyle w:val="Hyperlink"/>
          </w:rPr>
          <w:t>4</w:t>
        </w:r>
      </w:hyperlink>
      <w:r>
        <w:t xml:space="preserve"> of these Guidelines) require a specific protocol.</w:t>
      </w:r>
      <w:r>
        <w:rPr>
          <w:rFonts w:cs="Arial"/>
        </w:rPr>
        <w:t xml:space="preserve"> </w:t>
      </w:r>
    </w:p>
    <w:p w14:paraId="1F59374F" w14:textId="77777777" w:rsidR="0000567A" w:rsidRPr="003836E6" w:rsidRDefault="0000567A" w:rsidP="0000567A">
      <w:pPr>
        <w:pStyle w:val="DHHSbody"/>
        <w:rPr>
          <w:rFonts w:cs="Arial"/>
        </w:rPr>
      </w:pPr>
      <w:r w:rsidRPr="003836E6">
        <w:rPr>
          <w:rFonts w:cs="Arial"/>
        </w:rPr>
        <w:t xml:space="preserve">This protocol </w:t>
      </w:r>
      <w:r>
        <w:rPr>
          <w:rFonts w:cs="Arial"/>
        </w:rPr>
        <w:t xml:space="preserve">should </w:t>
      </w:r>
      <w:r w:rsidRPr="003836E6">
        <w:rPr>
          <w:rFonts w:cs="Arial"/>
        </w:rPr>
        <w:t>be checked and available prior to each vaccination session and pharmacists should ensure that:</w:t>
      </w:r>
    </w:p>
    <w:p w14:paraId="3CAB9343" w14:textId="77777777" w:rsidR="0000567A" w:rsidRPr="003836E6" w:rsidRDefault="0000567A" w:rsidP="00700529">
      <w:pPr>
        <w:pStyle w:val="DHHSbullet1"/>
        <w:numPr>
          <w:ilvl w:val="0"/>
          <w:numId w:val="19"/>
        </w:numPr>
      </w:pPr>
      <w:r w:rsidRPr="003836E6">
        <w:t xml:space="preserve">systems are in place to regularly review the anaphylaxis response kit and emergency response </w:t>
      </w:r>
      <w:proofErr w:type="gramStart"/>
      <w:r w:rsidRPr="003836E6">
        <w:t>protocol</w:t>
      </w:r>
      <w:r>
        <w:t>;</w:t>
      </w:r>
      <w:proofErr w:type="gramEnd"/>
    </w:p>
    <w:p w14:paraId="1D3D48B5" w14:textId="77777777" w:rsidR="0000567A" w:rsidRDefault="0000567A" w:rsidP="00700529">
      <w:pPr>
        <w:pStyle w:val="DHHSbullet1"/>
        <w:numPr>
          <w:ilvl w:val="0"/>
          <w:numId w:val="19"/>
        </w:numPr>
      </w:pPr>
      <w:r w:rsidRPr="003836E6">
        <w:t>all Pharmacist Immunisers have current cardiopulmonary resuscitation (updated annually) and first aid certification (updated every three years</w:t>
      </w:r>
      <w:proofErr w:type="gramStart"/>
      <w:r w:rsidRPr="003836E6">
        <w:t>)</w:t>
      </w:r>
      <w:r>
        <w:t>;</w:t>
      </w:r>
      <w:proofErr w:type="gramEnd"/>
    </w:p>
    <w:p w14:paraId="531B19A6" w14:textId="77777777" w:rsidR="0000567A" w:rsidRPr="003836E6" w:rsidRDefault="0000567A" w:rsidP="00700529">
      <w:pPr>
        <w:pStyle w:val="DHHSbullet1"/>
        <w:numPr>
          <w:ilvl w:val="0"/>
          <w:numId w:val="19"/>
        </w:numPr>
      </w:pPr>
      <w:r>
        <w:t xml:space="preserve">a suitably qualified staff member with a </w:t>
      </w:r>
      <w:r w:rsidRPr="003836E6">
        <w:t>current cardiopulmonary resuscitation (updated annually) and first aid certification (updated every three years)</w:t>
      </w:r>
      <w:r>
        <w:t xml:space="preserve"> is on duty within the line of sight of the person vaccinated when vaccines are administered and for at least 15 minutes </w:t>
      </w:r>
      <w:proofErr w:type="gramStart"/>
      <w:r>
        <w:t>afterwards;</w:t>
      </w:r>
      <w:proofErr w:type="gramEnd"/>
    </w:p>
    <w:p w14:paraId="51B3E399" w14:textId="48A02567" w:rsidR="0000567A" w:rsidRPr="003836E6" w:rsidRDefault="0000567A" w:rsidP="00700529">
      <w:pPr>
        <w:pStyle w:val="DHHSbullet1"/>
        <w:numPr>
          <w:ilvl w:val="0"/>
          <w:numId w:val="19"/>
        </w:numPr>
      </w:pPr>
      <w:r w:rsidRPr="003836E6">
        <w:t xml:space="preserve">all </w:t>
      </w:r>
      <w:r>
        <w:t>Pharmacist I</w:t>
      </w:r>
      <w:r w:rsidRPr="003836E6">
        <w:t>mmunisers maintain recency of practice</w:t>
      </w:r>
      <w:r>
        <w:t xml:space="preserve"> and continuing professional development</w:t>
      </w:r>
      <w:r w:rsidRPr="003836E6">
        <w:t xml:space="preserve"> in the management of adverse events following immunisation</w:t>
      </w:r>
      <w:r w:rsidR="00755FC4">
        <w:t xml:space="preserve"> (AEFI)</w:t>
      </w:r>
      <w:r w:rsidRPr="003836E6">
        <w:t>.</w:t>
      </w:r>
    </w:p>
    <w:p w14:paraId="7D2F4CCE" w14:textId="08BD8275" w:rsidR="0000567A" w:rsidRPr="00B4071F" w:rsidRDefault="0000567A" w:rsidP="00700529">
      <w:pPr>
        <w:pStyle w:val="Heading2"/>
        <w:numPr>
          <w:ilvl w:val="1"/>
          <w:numId w:val="31"/>
        </w:numPr>
        <w:rPr>
          <w:sz w:val="28"/>
        </w:rPr>
      </w:pPr>
      <w:bookmarkStart w:id="62" w:name="_Toc115426505"/>
      <w:r w:rsidRPr="00B4071F">
        <w:rPr>
          <w:sz w:val="28"/>
        </w:rPr>
        <w:lastRenderedPageBreak/>
        <w:t>Cold-chain maintenance</w:t>
      </w:r>
      <w:bookmarkEnd w:id="62"/>
    </w:p>
    <w:p w14:paraId="1AA26E14" w14:textId="77777777" w:rsidR="0000567A" w:rsidRDefault="0000567A" w:rsidP="0000567A">
      <w:pPr>
        <w:pStyle w:val="DHHSbody"/>
      </w:pPr>
      <w:r>
        <w:t xml:space="preserve">All Pharmacist Immunisers should follow the principles of safe vaccine storage and cold-chain maintenance to ensure that clients receive effective and potent vaccines. These principles are contained </w:t>
      </w:r>
      <w:r w:rsidRPr="000E50DA">
        <w:t xml:space="preserve">in the </w:t>
      </w:r>
      <w:bookmarkStart w:id="63" w:name="_Hlk29899358"/>
      <w:r w:rsidRPr="00E2481D">
        <w:rPr>
          <w:i/>
        </w:rPr>
        <w:t>National vaccine storage guidelines - Strive for 5</w:t>
      </w:r>
      <w:bookmarkEnd w:id="63"/>
      <w:r>
        <w:rPr>
          <w:i/>
        </w:rPr>
        <w:t xml:space="preserve"> (current edition)</w:t>
      </w:r>
      <w:r w:rsidRPr="000E50DA">
        <w:t>, compliance with which is a condition of the</w:t>
      </w:r>
      <w:r>
        <w:t xml:space="preserve"> Approval.</w:t>
      </w:r>
    </w:p>
    <w:p w14:paraId="6465B6D3" w14:textId="77777777" w:rsidR="0000567A" w:rsidRDefault="0000567A" w:rsidP="0000567A">
      <w:pPr>
        <w:pStyle w:val="DHHSbody"/>
      </w:pPr>
      <w:r>
        <w:t xml:space="preserve">Pharmacist Immunisers undertaking </w:t>
      </w:r>
      <w:proofErr w:type="gramStart"/>
      <w:r>
        <w:t>mobile</w:t>
      </w:r>
      <w:proofErr w:type="gramEnd"/>
      <w:r>
        <w:t xml:space="preserve"> or outreach immunisation clinics must comply with the </w:t>
      </w:r>
      <w:r w:rsidRPr="00E2481D">
        <w:rPr>
          <w:i/>
        </w:rPr>
        <w:t>National vaccine storage guidelines - Strive for 5</w:t>
      </w:r>
      <w:r>
        <w:t>.</w:t>
      </w:r>
    </w:p>
    <w:p w14:paraId="2D23BA62" w14:textId="77777777" w:rsidR="0000567A" w:rsidRDefault="0000567A" w:rsidP="0000567A">
      <w:pPr>
        <w:pStyle w:val="DHHSbody"/>
      </w:pPr>
      <w:r>
        <w:t>Cold chain breaches are defined as:</w:t>
      </w:r>
    </w:p>
    <w:p w14:paraId="4EB2137F" w14:textId="77777777" w:rsidR="0000567A" w:rsidRPr="0063019D" w:rsidRDefault="0000567A" w:rsidP="00700529">
      <w:pPr>
        <w:pStyle w:val="DHHSbullet1"/>
        <w:numPr>
          <w:ilvl w:val="0"/>
          <w:numId w:val="27"/>
        </w:numPr>
        <w:rPr>
          <w:b/>
        </w:rPr>
      </w:pPr>
      <w:r w:rsidRPr="5B7D9D66">
        <w:rPr>
          <w:b/>
          <w:bCs/>
        </w:rPr>
        <w:t xml:space="preserve">when vaccine storage temperatures deviate outside the recommended range of +2°C to +8°C. </w:t>
      </w:r>
    </w:p>
    <w:p w14:paraId="20A2DD6F" w14:textId="77777777" w:rsidR="0000567A" w:rsidRPr="0063019D" w:rsidRDefault="0000567A" w:rsidP="00700529">
      <w:pPr>
        <w:pStyle w:val="DHHSbullet1"/>
        <w:numPr>
          <w:ilvl w:val="0"/>
          <w:numId w:val="27"/>
        </w:numPr>
        <w:rPr>
          <w:b/>
        </w:rPr>
      </w:pPr>
      <w:r w:rsidRPr="5B7D9D66">
        <w:rPr>
          <w:b/>
          <w:bCs/>
        </w:rPr>
        <w:t>exposure to light as vaccine has been removed from the packet and the glass fridge door allows light to penetrate.</w:t>
      </w:r>
    </w:p>
    <w:p w14:paraId="2315AD30" w14:textId="77777777" w:rsidR="0000567A" w:rsidRPr="00B022E9" w:rsidRDefault="0000567A" w:rsidP="0000567A">
      <w:pPr>
        <w:pStyle w:val="DHHSbullet1"/>
        <w:spacing w:after="120" w:line="240" w:lineRule="auto"/>
      </w:pPr>
      <w:r w:rsidRPr="00B022E9">
        <w:rPr>
          <w:rFonts w:cs="Arial"/>
        </w:rPr>
        <w:t>The op</w:t>
      </w:r>
      <w:r w:rsidRPr="00B022E9">
        <w:t>timal storage temperature for vaccines is +5</w:t>
      </w:r>
      <w:r w:rsidRPr="00B022E9">
        <w:rPr>
          <w:rFonts w:cs="Arial"/>
        </w:rPr>
        <w:t>°</w:t>
      </w:r>
      <w:r w:rsidRPr="00B022E9">
        <w:t>C.</w:t>
      </w:r>
    </w:p>
    <w:p w14:paraId="11A1D751" w14:textId="77777777" w:rsidR="0000567A" w:rsidRPr="00B022E9" w:rsidRDefault="0000567A" w:rsidP="0000567A">
      <w:pPr>
        <w:pStyle w:val="DHHSbullet1"/>
        <w:spacing w:after="120"/>
        <w:ind w:left="0" w:firstLine="0"/>
      </w:pPr>
      <w:r w:rsidRPr="0063019D">
        <w:rPr>
          <w:b/>
        </w:rPr>
        <w:t>All vaccine temperatures recorded below +2</w:t>
      </w:r>
      <w:r w:rsidRPr="0063019D">
        <w:rPr>
          <w:rFonts w:cs="Arial"/>
          <w:b/>
        </w:rPr>
        <w:t>°</w:t>
      </w:r>
      <w:r w:rsidRPr="0063019D">
        <w:rPr>
          <w:b/>
        </w:rPr>
        <w:t>C or above +8</w:t>
      </w:r>
      <w:r w:rsidRPr="0063019D">
        <w:rPr>
          <w:rFonts w:cs="Arial"/>
          <w:b/>
        </w:rPr>
        <w:t>°</w:t>
      </w:r>
      <w:r w:rsidRPr="0063019D">
        <w:rPr>
          <w:b/>
        </w:rPr>
        <w:t>C must be reported to the department</w:t>
      </w:r>
      <w:r>
        <w:t>. This does not include temperature deviations or excursions in which the temperature reaches a maximum of up to +12</w:t>
      </w:r>
      <w:r w:rsidRPr="0063019D">
        <w:rPr>
          <w:rFonts w:cs="Arial"/>
        </w:rPr>
        <w:t>°</w:t>
      </w:r>
      <w:r w:rsidRPr="0063019D">
        <w:t>C</w:t>
      </w:r>
      <w:r>
        <w:t xml:space="preserve"> for 15 minutes or less. </w:t>
      </w:r>
      <w:r w:rsidRPr="0063019D">
        <w:rPr>
          <w:b/>
        </w:rPr>
        <w:t>Any deviations below +2</w:t>
      </w:r>
      <w:r w:rsidRPr="0063019D">
        <w:rPr>
          <w:rFonts w:cs="Arial"/>
          <w:b/>
        </w:rPr>
        <w:t>°</w:t>
      </w:r>
      <w:r w:rsidRPr="0063019D">
        <w:rPr>
          <w:b/>
        </w:rPr>
        <w:t>C must be reported</w:t>
      </w:r>
      <w:r>
        <w:t>.</w:t>
      </w:r>
    </w:p>
    <w:p w14:paraId="08CDFFD8" w14:textId="77777777" w:rsidR="0000567A" w:rsidRDefault="0000567A" w:rsidP="0000567A">
      <w:pPr>
        <w:pStyle w:val="DHHSbody"/>
        <w:spacing w:before="120"/>
      </w:pPr>
      <w:r>
        <w:t>In the event of a cold-chain breach related to private vaccine stock, the Pharmacist Immuniser should contact the manufacturer for advice.</w:t>
      </w:r>
    </w:p>
    <w:p w14:paraId="61DCA489" w14:textId="7613610E" w:rsidR="0000567A" w:rsidRPr="004B795B" w:rsidRDefault="0000567A" w:rsidP="0000567A">
      <w:pPr>
        <w:pStyle w:val="DHHSbody"/>
      </w:pPr>
      <w:r>
        <w:t xml:space="preserve">Information can be found on the department’s immunisation website on how to manage a cold-chain breach related to government-funded stock provided through the NIP, Victorian Government’s Partner Whooping Cough Vaccine Program or </w:t>
      </w:r>
      <w:r w:rsidRPr="00006B84">
        <w:t>Measles-Mumps-Rubella Adult Vaccine Program</w:t>
      </w:r>
      <w:r>
        <w:t>. Information is available from &lt;</w:t>
      </w:r>
      <w:hyperlink r:id="rId46" w:history="1">
        <w:r w:rsidR="001C5022" w:rsidRPr="001C5022">
          <w:rPr>
            <w:rStyle w:val="Hyperlink"/>
          </w:rPr>
          <w:t>https://www.health.vic.gov.au/immunisation/cold-chain-breach-reporting</w:t>
        </w:r>
      </w:hyperlink>
      <w:r>
        <w:t xml:space="preserve">&gt;. </w:t>
      </w:r>
    </w:p>
    <w:p w14:paraId="68A0F5E8" w14:textId="7525118D" w:rsidR="0000567A" w:rsidRPr="00B4071F" w:rsidRDefault="0000567A" w:rsidP="00700529">
      <w:pPr>
        <w:pStyle w:val="Heading2"/>
        <w:numPr>
          <w:ilvl w:val="1"/>
          <w:numId w:val="31"/>
        </w:numPr>
        <w:rPr>
          <w:sz w:val="28"/>
        </w:rPr>
      </w:pPr>
      <w:bookmarkStart w:id="64" w:name="_Toc115426506"/>
      <w:r w:rsidRPr="00B4071F">
        <w:rPr>
          <w:sz w:val="28"/>
        </w:rPr>
        <w:t>Assessment and consent</w:t>
      </w:r>
      <w:bookmarkEnd w:id="64"/>
    </w:p>
    <w:p w14:paraId="0206B2D5" w14:textId="77777777" w:rsidR="0000567A" w:rsidRDefault="0000567A" w:rsidP="0000567A">
      <w:pPr>
        <w:pStyle w:val="DHHSbody"/>
      </w:pPr>
      <w:r>
        <w:t>The Pharmacist Immuniser must obtain valid consent from the individual being vaccinated and/or their parent/</w:t>
      </w:r>
      <w:proofErr w:type="gramStart"/>
      <w:r>
        <w:t>guardian, and</w:t>
      </w:r>
      <w:proofErr w:type="gramEnd"/>
      <w:r>
        <w:t xml:space="preserve"> undertake pre-vaccination screening prior to vaccination to identify contraindications or precautions. </w:t>
      </w:r>
    </w:p>
    <w:p w14:paraId="560737EB" w14:textId="77777777" w:rsidR="0000567A" w:rsidRDefault="0000567A" w:rsidP="0000567A">
      <w:pPr>
        <w:pStyle w:val="DHHSbody"/>
      </w:pPr>
      <w:r>
        <w:t xml:space="preserve">The pre-vaccination screening checklist included in the online </w:t>
      </w:r>
      <w:r w:rsidRPr="5D0E1D87">
        <w:rPr>
          <w:i/>
          <w:iCs/>
        </w:rPr>
        <w:t>Australian Immunisation Handbook</w:t>
      </w:r>
      <w:r>
        <w:rPr>
          <w:rStyle w:val="FootnoteReference"/>
        </w:rPr>
        <w:footnoteReference w:id="37"/>
      </w:r>
      <w:r w:rsidRPr="5D0E1D87">
        <w:rPr>
          <w:i/>
          <w:iCs/>
        </w:rPr>
        <w:t xml:space="preserve"> </w:t>
      </w:r>
      <w:r>
        <w:t>must be completed.</w:t>
      </w:r>
    </w:p>
    <w:p w14:paraId="6DF92875" w14:textId="77777777" w:rsidR="0000567A" w:rsidRDefault="0000567A" w:rsidP="0000567A">
      <w:pPr>
        <w:pStyle w:val="DHHSbody"/>
      </w:pPr>
      <w:r>
        <w:t>Prior to obtaining consent, the individual or the parent/guardian of the individual being vaccinated, should be:</w:t>
      </w:r>
    </w:p>
    <w:p w14:paraId="0A920B8A" w14:textId="6681EF54" w:rsidR="0000567A" w:rsidRDefault="0000567A" w:rsidP="00700529">
      <w:pPr>
        <w:pStyle w:val="DHHSbullet1"/>
        <w:numPr>
          <w:ilvl w:val="0"/>
          <w:numId w:val="18"/>
        </w:numPr>
        <w:spacing w:line="240" w:lineRule="auto"/>
      </w:pPr>
      <w:r>
        <w:t>provided with information (preferably written), including the risks and benefits, relating to the vaccine and the immunisation procedure and what to do in the event of side effects following vaccination. This should include the name and contact details of the Pharmacist Immuniser and the Service Provider (if different</w:t>
      </w:r>
      <w:proofErr w:type="gramStart"/>
      <w:r>
        <w:t>)</w:t>
      </w:r>
      <w:r w:rsidR="00286436">
        <w:t>;</w:t>
      </w:r>
      <w:proofErr w:type="gramEnd"/>
    </w:p>
    <w:p w14:paraId="1FD16A80" w14:textId="53DDD611" w:rsidR="0000567A" w:rsidRDefault="0000567A" w:rsidP="00700529">
      <w:pPr>
        <w:pStyle w:val="DHHSbullet1"/>
        <w:numPr>
          <w:ilvl w:val="0"/>
          <w:numId w:val="18"/>
        </w:numPr>
        <w:spacing w:line="240" w:lineRule="auto"/>
      </w:pPr>
      <w:r>
        <w:t xml:space="preserve">provided with information of any fees that will be charged to the individual or the individual’s parent/ guardian for the vaccine and the </w:t>
      </w:r>
      <w:proofErr w:type="gramStart"/>
      <w:r>
        <w:t>service</w:t>
      </w:r>
      <w:r w:rsidR="00286436">
        <w:t>;</w:t>
      </w:r>
      <w:proofErr w:type="gramEnd"/>
    </w:p>
    <w:p w14:paraId="3FEF8146" w14:textId="7CAE602C" w:rsidR="0000567A" w:rsidRDefault="0000567A" w:rsidP="00700529">
      <w:pPr>
        <w:pStyle w:val="DHHSbullet1"/>
        <w:numPr>
          <w:ilvl w:val="0"/>
          <w:numId w:val="18"/>
        </w:numPr>
        <w:spacing w:line="240" w:lineRule="auto"/>
      </w:pPr>
      <w:r>
        <w:t xml:space="preserve">asked if a copy of the individual’s vaccination record should be provided to the individual’s nominated general practitioner and any other relevant health professional suggested by the individual (such as an obstetrician), in the interest of ensuring continuity of </w:t>
      </w:r>
      <w:proofErr w:type="gramStart"/>
      <w:r>
        <w:t>care</w:t>
      </w:r>
      <w:r w:rsidR="00286436">
        <w:t>;</w:t>
      </w:r>
      <w:proofErr w:type="gramEnd"/>
    </w:p>
    <w:p w14:paraId="623F2CED" w14:textId="77777777" w:rsidR="0000567A" w:rsidRDefault="0000567A" w:rsidP="00700529">
      <w:pPr>
        <w:pStyle w:val="DHHSbullet1"/>
        <w:numPr>
          <w:ilvl w:val="0"/>
          <w:numId w:val="18"/>
        </w:numPr>
        <w:spacing w:line="240" w:lineRule="auto"/>
      </w:pPr>
      <w:r>
        <w:t>notified that the individual’s vaccination record will be reported to the Australian Immunisation Register.</w:t>
      </w:r>
    </w:p>
    <w:p w14:paraId="274454E9" w14:textId="0ADD8756" w:rsidR="00411A87" w:rsidRDefault="0000567A" w:rsidP="0000567A">
      <w:pPr>
        <w:pStyle w:val="DHHSbody"/>
        <w:spacing w:before="120"/>
      </w:pPr>
      <w:r>
        <w:t xml:space="preserve">Pharmacist Immunisers should have a process to obtain and document individual consent, and to ensure that individual privacy and confidentiality are </w:t>
      </w:r>
      <w:r w:rsidR="00673009">
        <w:t>always upheld</w:t>
      </w:r>
      <w:r>
        <w:t xml:space="preserve">. </w:t>
      </w:r>
    </w:p>
    <w:p w14:paraId="4491FEC4" w14:textId="423DEA60" w:rsidR="0000567A" w:rsidRPr="00B4071F" w:rsidRDefault="0000567A" w:rsidP="00700529">
      <w:pPr>
        <w:pStyle w:val="Heading2"/>
        <w:numPr>
          <w:ilvl w:val="1"/>
          <w:numId w:val="31"/>
        </w:numPr>
        <w:rPr>
          <w:sz w:val="28"/>
        </w:rPr>
      </w:pPr>
      <w:bookmarkStart w:id="65" w:name="_Toc115426507"/>
      <w:r w:rsidRPr="00B4071F">
        <w:rPr>
          <w:sz w:val="28"/>
        </w:rPr>
        <w:lastRenderedPageBreak/>
        <w:t>Consent on behalf of a child or adolescent</w:t>
      </w:r>
      <w:bookmarkEnd w:id="65"/>
    </w:p>
    <w:p w14:paraId="2FE77514" w14:textId="77777777" w:rsidR="0000567A" w:rsidRPr="00DD6915" w:rsidRDefault="0000567A" w:rsidP="0000567A">
      <w:pPr>
        <w:pStyle w:val="DHHSbody"/>
      </w:pPr>
      <w:r w:rsidRPr="00286436">
        <w:t>In general, a parent or legal guardian of a child or adolescent has the authority to consent to that individual being vaccinated</w:t>
      </w:r>
      <w:r w:rsidRPr="00286436">
        <w:rPr>
          <w:rStyle w:val="FootnoteReference"/>
        </w:rPr>
        <w:footnoteReference w:id="38"/>
      </w:r>
      <w:r w:rsidRPr="00286436">
        <w:t>.</w:t>
      </w:r>
    </w:p>
    <w:p w14:paraId="5D834BDE" w14:textId="3F13612F" w:rsidR="0000567A" w:rsidRDefault="0000567A" w:rsidP="0000567A">
      <w:pPr>
        <w:pStyle w:val="DHHSbody"/>
        <w:rPr>
          <w:rFonts w:cs="Arial"/>
        </w:rPr>
      </w:pPr>
      <w:r>
        <w:rPr>
          <w:rFonts w:cs="Arial"/>
        </w:rPr>
        <w:t>As outlined in the Australian Immunisation Handbook, in the case the parent and/or guardian of the individual being vaccinated is not present, pharmacists should be satisfied that the individual has the capacity and sufficient maturity to understand what is proposed. Pharmacists must assess whether</w:t>
      </w:r>
      <w:r w:rsidR="302F2DAA" w:rsidRPr="43BEFF1F">
        <w:rPr>
          <w:rFonts w:cs="Arial"/>
        </w:rPr>
        <w:t xml:space="preserve"> the</w:t>
      </w:r>
      <w:r>
        <w:rPr>
          <w:rFonts w:cs="Arial"/>
        </w:rPr>
        <w:t>:</w:t>
      </w:r>
    </w:p>
    <w:p w14:paraId="1102680E" w14:textId="1AFD367E" w:rsidR="0000567A" w:rsidRPr="001A1D36" w:rsidRDefault="0000567A" w:rsidP="00700529">
      <w:pPr>
        <w:pStyle w:val="DHHSbullet1"/>
        <w:numPr>
          <w:ilvl w:val="0"/>
          <w:numId w:val="17"/>
        </w:numPr>
      </w:pPr>
      <w:r w:rsidRPr="00611D67">
        <w:t>individual</w:t>
      </w:r>
      <w:r w:rsidRPr="008A1785">
        <w:t xml:space="preserve"> is mature enough to understand the advice and implications of the vaccine and the immunisation procedure.</w:t>
      </w:r>
    </w:p>
    <w:p w14:paraId="245EA3D9" w14:textId="124A309A" w:rsidR="0000567A" w:rsidRPr="004E0B61" w:rsidRDefault="0000567A" w:rsidP="00700529">
      <w:pPr>
        <w:pStyle w:val="DHHSbullet1"/>
        <w:numPr>
          <w:ilvl w:val="0"/>
          <w:numId w:val="17"/>
        </w:numPr>
      </w:pPr>
      <w:r w:rsidRPr="00362D57">
        <w:t>pharmacist has tried to persuade the individual to inform their parent and/or guardian or allow</w:t>
      </w:r>
      <w:r w:rsidRPr="004E0B61">
        <w:t xml:space="preserve"> the pharmacist to inform them.</w:t>
      </w:r>
    </w:p>
    <w:p w14:paraId="5DC08F9A" w14:textId="4E4AED56" w:rsidR="0000567A" w:rsidRPr="004E0B61" w:rsidRDefault="0000567A" w:rsidP="00700529">
      <w:pPr>
        <w:pStyle w:val="DHHSbullet1"/>
        <w:numPr>
          <w:ilvl w:val="0"/>
          <w:numId w:val="17"/>
        </w:numPr>
      </w:pPr>
      <w:r w:rsidRPr="004E0B61">
        <w:t>individual’s health may suffer without the vaccine and assess the individual’s needs including whether the individual has any contraindications.</w:t>
      </w:r>
    </w:p>
    <w:p w14:paraId="3F51E3A2" w14:textId="24FA0C3A" w:rsidR="0000567A" w:rsidRPr="004E0B61" w:rsidRDefault="0000567A" w:rsidP="00700529">
      <w:pPr>
        <w:pStyle w:val="DHHSbullet1"/>
        <w:numPr>
          <w:ilvl w:val="0"/>
          <w:numId w:val="17"/>
        </w:numPr>
      </w:pPr>
      <w:r w:rsidRPr="004E0B61">
        <w:t>individual understands their vaccination history and the pharmacist must verify against the individual’s records on the Australian Immunisation Register.</w:t>
      </w:r>
    </w:p>
    <w:p w14:paraId="43968BC7" w14:textId="3551F3A7" w:rsidR="0000567A" w:rsidRDefault="0000567A" w:rsidP="00700529">
      <w:pPr>
        <w:pStyle w:val="DHHSbullet1"/>
        <w:numPr>
          <w:ilvl w:val="0"/>
          <w:numId w:val="17"/>
        </w:numPr>
      </w:pPr>
      <w:r w:rsidRPr="004E0B61">
        <w:t>individual’s best</w:t>
      </w:r>
      <w:r>
        <w:t xml:space="preserve"> interests require the pharmacist to administer the vaccine.</w:t>
      </w:r>
    </w:p>
    <w:p w14:paraId="017D278A" w14:textId="77777777" w:rsidR="0000567A" w:rsidRDefault="0000567A" w:rsidP="0000567A">
      <w:pPr>
        <w:pStyle w:val="DHHSbody"/>
        <w:rPr>
          <w:rFonts w:cs="Arial"/>
        </w:rPr>
      </w:pPr>
      <w:r>
        <w:rPr>
          <w:rFonts w:cs="Arial"/>
        </w:rPr>
        <w:t>Pharmacists who decide not to administer the vaccine based on their assessment of the individual’s maturity and understanding should refer the individual back to their medical practitioner.</w:t>
      </w:r>
    </w:p>
    <w:p w14:paraId="39628F3B" w14:textId="77777777" w:rsidR="0000567A" w:rsidRDefault="0000567A" w:rsidP="0000567A">
      <w:pPr>
        <w:pStyle w:val="DHHSbody"/>
        <w:rPr>
          <w:rFonts w:cs="Arial"/>
        </w:rPr>
      </w:pPr>
      <w:r>
        <w:rPr>
          <w:rFonts w:cs="Arial"/>
        </w:rPr>
        <w:t>If a child or adolescent refuses a vaccination that a parent and/or guardian has given consent for, respect the child’s or adolescent’s wishes, and inform the parent or guardian</w:t>
      </w:r>
      <w:r>
        <w:rPr>
          <w:rStyle w:val="FootnoteReference"/>
          <w:rFonts w:cs="Arial"/>
        </w:rPr>
        <w:footnoteReference w:id="39"/>
      </w:r>
      <w:r>
        <w:rPr>
          <w:rFonts w:cs="Arial"/>
        </w:rPr>
        <w:t>.</w:t>
      </w:r>
    </w:p>
    <w:p w14:paraId="151DA9D2" w14:textId="605ECAB4" w:rsidR="0000567A" w:rsidRPr="00B4071F" w:rsidRDefault="0000567A" w:rsidP="00700529">
      <w:pPr>
        <w:pStyle w:val="Heading2"/>
        <w:numPr>
          <w:ilvl w:val="1"/>
          <w:numId w:val="31"/>
        </w:numPr>
        <w:rPr>
          <w:sz w:val="28"/>
        </w:rPr>
      </w:pPr>
      <w:bookmarkStart w:id="66" w:name="_Toc115426508"/>
      <w:r w:rsidRPr="00B4071F">
        <w:rPr>
          <w:sz w:val="28"/>
        </w:rPr>
        <w:t>Monitoring</w:t>
      </w:r>
      <w:bookmarkEnd w:id="66"/>
    </w:p>
    <w:p w14:paraId="2E08A4FF" w14:textId="77777777" w:rsidR="0000567A" w:rsidRDefault="0000567A" w:rsidP="0000567A">
      <w:pPr>
        <w:pStyle w:val="DHHSbody"/>
      </w:pPr>
      <w:r>
        <w:t xml:space="preserve">The Pharmacist Immuniser must advise the individual or the individual and their parent and/or guardian to remain on the immunisation premises for a minimum of 15 minutes post-vaccination, to allow for immediate attention in the event of an adverse event following administration of the vaccine. Seating </w:t>
      </w:r>
      <w:r w:rsidRPr="003836E6">
        <w:t>must</w:t>
      </w:r>
      <w:r>
        <w:t xml:space="preserve"> be offered near the immunisation area and within the line of sight of the pharmacist or a person qualified in first aid and cardiopulmonary resuscitation.</w:t>
      </w:r>
    </w:p>
    <w:p w14:paraId="1CAE9DF6" w14:textId="77777777" w:rsidR="0000567A" w:rsidRDefault="0000567A" w:rsidP="0000567A">
      <w:pPr>
        <w:pStyle w:val="DHHSbody"/>
      </w:pPr>
      <w:r>
        <w:t xml:space="preserve">A solo Pharmacist Immuniser undertaking </w:t>
      </w:r>
      <w:proofErr w:type="gramStart"/>
      <w:r>
        <w:t>mobile</w:t>
      </w:r>
      <w:proofErr w:type="gramEnd"/>
      <w:r>
        <w:t xml:space="preserve"> or outreach immunisation clinics must ensure the clinical setting is appropriate for managing an adverse event following immunisation.</w:t>
      </w:r>
    </w:p>
    <w:p w14:paraId="71EE993E" w14:textId="77777777" w:rsidR="0000567A" w:rsidRDefault="0000567A" w:rsidP="0000567A">
      <w:pPr>
        <w:pStyle w:val="DHHSbody"/>
      </w:pPr>
      <w:r>
        <w:t xml:space="preserve">Individuals who have been vaccinated should be provided with discrete identifiers (such as a sticker marked with the time of vaccine administration) to enable quick identification of an individual who has received a vaccination, should they require further assistance. Documenting a time of vaccine administration on the discrete identifier will also help individuals know when the minimum 15-minute wait time is complete. </w:t>
      </w:r>
    </w:p>
    <w:p w14:paraId="6979C62C" w14:textId="77777777" w:rsidR="0000567A" w:rsidRDefault="0000567A" w:rsidP="0000567A">
      <w:pPr>
        <w:pStyle w:val="DHHSbody"/>
      </w:pPr>
      <w:r>
        <w:t xml:space="preserve">The Pharmacist Immuniser must advise the individual or the parent/guardian of the person being vaccinated of the potential risks associated with leaving during the 15-minute period following the </w:t>
      </w:r>
      <w:proofErr w:type="gramStart"/>
      <w:r>
        <w:t>vaccination, and</w:t>
      </w:r>
      <w:proofErr w:type="gramEnd"/>
      <w:r>
        <w:t xml:space="preserve"> note in the record of vaccination if the individual chooses to do so. </w:t>
      </w:r>
    </w:p>
    <w:p w14:paraId="7FB4807D" w14:textId="45FC5AB4" w:rsidR="0000567A" w:rsidRPr="00B4071F" w:rsidRDefault="0000567A" w:rsidP="00700529">
      <w:pPr>
        <w:pStyle w:val="Heading2"/>
        <w:numPr>
          <w:ilvl w:val="1"/>
          <w:numId w:val="31"/>
        </w:numPr>
        <w:rPr>
          <w:sz w:val="28"/>
        </w:rPr>
      </w:pPr>
      <w:bookmarkStart w:id="67" w:name="_Toc115426509"/>
      <w:r w:rsidRPr="00B4071F">
        <w:rPr>
          <w:sz w:val="28"/>
        </w:rPr>
        <w:lastRenderedPageBreak/>
        <w:t>Adverse events</w:t>
      </w:r>
      <w:bookmarkEnd w:id="67"/>
    </w:p>
    <w:p w14:paraId="4AB23AF0" w14:textId="77777777" w:rsidR="0000567A" w:rsidRDefault="0000567A" w:rsidP="0000567A">
      <w:pPr>
        <w:pStyle w:val="DHHSbody"/>
      </w:pPr>
      <w:r>
        <w:t xml:space="preserve">Equipment and poisons necessary for the management of anaphylaxis and protocols, including the emergency response protocol, should be checked and available before each vaccination session, regardless of the setting (in the case of mobile or outreach services). Each person’s roles and responsibilities should be understood before the Pharmacist Immuniser commences the vaccination session. </w:t>
      </w:r>
    </w:p>
    <w:p w14:paraId="328BE906" w14:textId="77777777" w:rsidR="0000567A" w:rsidRDefault="0000567A" w:rsidP="0000567A">
      <w:pPr>
        <w:pStyle w:val="DHHSbody"/>
      </w:pPr>
      <w:r>
        <w:t>Individuals (or their parent and/or guardian) should be informed about the potential side effects of vaccination, how to manage them, and who to notify of delayed adverse events that may occur once they have left the immunisation premises.</w:t>
      </w:r>
    </w:p>
    <w:p w14:paraId="3C774ADF" w14:textId="6E177CEA" w:rsidR="0000567A" w:rsidRPr="00B4071F" w:rsidRDefault="0000567A" w:rsidP="00700529">
      <w:pPr>
        <w:pStyle w:val="Heading2"/>
        <w:numPr>
          <w:ilvl w:val="1"/>
          <w:numId w:val="31"/>
        </w:numPr>
        <w:rPr>
          <w:sz w:val="28"/>
        </w:rPr>
      </w:pPr>
      <w:bookmarkStart w:id="68" w:name="_Toc115426510"/>
      <w:r w:rsidRPr="00B4071F">
        <w:rPr>
          <w:sz w:val="28"/>
        </w:rPr>
        <w:t>Record keeping and reporting</w:t>
      </w:r>
      <w:bookmarkEnd w:id="68"/>
    </w:p>
    <w:p w14:paraId="47800F9F" w14:textId="77777777" w:rsidR="0000567A" w:rsidRDefault="0000567A" w:rsidP="0000567A">
      <w:pPr>
        <w:pStyle w:val="DHHSbody"/>
      </w:pPr>
      <w:r>
        <w:t xml:space="preserve">The Pharmacist Immuniser is required to comply with the record-keeping requirements of the </w:t>
      </w:r>
      <w:r w:rsidRPr="5D0E1D87">
        <w:rPr>
          <w:i/>
          <w:iCs/>
        </w:rPr>
        <w:t>Drugs, Poisons and Controlled Substances Regulations 2017</w:t>
      </w:r>
      <w:r>
        <w:t xml:space="preserve"> and all other relevant legislation, and the recommendations of the </w:t>
      </w:r>
      <w:r w:rsidRPr="5D0E1D87">
        <w:rPr>
          <w:i/>
          <w:iCs/>
        </w:rPr>
        <w:t>Australian Immunisation Handbook</w:t>
      </w:r>
      <w:r w:rsidRPr="006E6294">
        <w:t xml:space="preserve"> </w:t>
      </w:r>
      <w:r>
        <w:t>(online)</w:t>
      </w:r>
      <w:r>
        <w:rPr>
          <w:rStyle w:val="FootnoteReference"/>
        </w:rPr>
        <w:footnoteReference w:id="40"/>
      </w:r>
      <w:r>
        <w:t xml:space="preserve"> and reporting to the Australian Immunisation Register. They must record the following details for each vaccine administered:</w:t>
      </w:r>
    </w:p>
    <w:p w14:paraId="16E432F6" w14:textId="77777777" w:rsidR="0000567A" w:rsidRDefault="0000567A" w:rsidP="00700529">
      <w:pPr>
        <w:pStyle w:val="DHHSbullet1"/>
        <w:numPr>
          <w:ilvl w:val="0"/>
          <w:numId w:val="16"/>
        </w:numPr>
        <w:spacing w:line="240" w:lineRule="auto"/>
      </w:pPr>
      <w:r>
        <w:t>date and time of the vaccination</w:t>
      </w:r>
    </w:p>
    <w:p w14:paraId="4B83C5EF" w14:textId="77777777" w:rsidR="0000567A" w:rsidRDefault="0000567A" w:rsidP="00700529">
      <w:pPr>
        <w:pStyle w:val="DHHSbullet1"/>
        <w:numPr>
          <w:ilvl w:val="0"/>
          <w:numId w:val="16"/>
        </w:numPr>
        <w:spacing w:line="240" w:lineRule="auto"/>
      </w:pPr>
      <w:r>
        <w:t>name, form, and strength of the vaccine, including brand name, batch number and dose number</w:t>
      </w:r>
    </w:p>
    <w:p w14:paraId="194D2F01" w14:textId="77777777" w:rsidR="0000567A" w:rsidRDefault="0000567A" w:rsidP="00700529">
      <w:pPr>
        <w:pStyle w:val="DHHSbullet1"/>
        <w:numPr>
          <w:ilvl w:val="0"/>
          <w:numId w:val="16"/>
        </w:numPr>
        <w:spacing w:line="240" w:lineRule="auto"/>
      </w:pPr>
      <w:r>
        <w:t>name and address of persons to whom the vaccine is administered</w:t>
      </w:r>
    </w:p>
    <w:p w14:paraId="4110F049" w14:textId="77777777" w:rsidR="0000567A" w:rsidRDefault="0000567A" w:rsidP="00700529">
      <w:pPr>
        <w:pStyle w:val="DHHSbullet1"/>
        <w:numPr>
          <w:ilvl w:val="0"/>
          <w:numId w:val="16"/>
        </w:numPr>
        <w:spacing w:line="240" w:lineRule="auto"/>
      </w:pPr>
      <w:r>
        <w:t>name and contact details of the Pharmacist Immuniser carrying out the administration</w:t>
      </w:r>
    </w:p>
    <w:p w14:paraId="41DEFFD4" w14:textId="77777777" w:rsidR="0000567A" w:rsidRDefault="0000567A" w:rsidP="00700529">
      <w:pPr>
        <w:pStyle w:val="DHHSbullet1"/>
        <w:numPr>
          <w:ilvl w:val="0"/>
          <w:numId w:val="16"/>
        </w:numPr>
        <w:spacing w:line="240" w:lineRule="auto"/>
      </w:pPr>
      <w:r>
        <w:t>name and contact details of the Service Provider</w:t>
      </w:r>
    </w:p>
    <w:p w14:paraId="230943A8" w14:textId="77777777" w:rsidR="0000567A" w:rsidRDefault="0000567A" w:rsidP="00700529">
      <w:pPr>
        <w:pStyle w:val="DHHSbullet1"/>
        <w:numPr>
          <w:ilvl w:val="0"/>
          <w:numId w:val="16"/>
        </w:numPr>
        <w:spacing w:line="240" w:lineRule="auto"/>
      </w:pPr>
      <w:r>
        <w:t>injection site</w:t>
      </w:r>
    </w:p>
    <w:p w14:paraId="35753D21" w14:textId="77777777" w:rsidR="0000567A" w:rsidRDefault="0000567A" w:rsidP="00700529">
      <w:pPr>
        <w:pStyle w:val="DHHSbullet1"/>
        <w:numPr>
          <w:ilvl w:val="0"/>
          <w:numId w:val="16"/>
        </w:numPr>
        <w:spacing w:line="240" w:lineRule="auto"/>
      </w:pPr>
      <w:r>
        <w:t>date the next vaccination is due (if applicable)</w:t>
      </w:r>
    </w:p>
    <w:p w14:paraId="6DB6DE32" w14:textId="77777777" w:rsidR="0000567A" w:rsidRDefault="0000567A" w:rsidP="00700529">
      <w:pPr>
        <w:pStyle w:val="DHHSbullet1"/>
        <w:numPr>
          <w:ilvl w:val="0"/>
          <w:numId w:val="16"/>
        </w:numPr>
        <w:spacing w:line="240" w:lineRule="auto"/>
      </w:pPr>
      <w:r>
        <w:t>any adverse events observed or reported.</w:t>
      </w:r>
    </w:p>
    <w:p w14:paraId="1B7721BF" w14:textId="77777777" w:rsidR="0000567A" w:rsidRDefault="0000567A" w:rsidP="0000567A">
      <w:pPr>
        <w:pStyle w:val="DHHSbody"/>
        <w:spacing w:before="120"/>
      </w:pPr>
      <w:r>
        <w:t xml:space="preserve">A suggested record </w:t>
      </w:r>
      <w:proofErr w:type="gramStart"/>
      <w:r>
        <w:t>keeping</w:t>
      </w:r>
      <w:proofErr w:type="gramEnd"/>
      <w:r>
        <w:t xml:space="preserve"> and reporting template is available at Attachment 1. </w:t>
      </w:r>
    </w:p>
    <w:p w14:paraId="44566059" w14:textId="77777777" w:rsidR="0000567A" w:rsidRPr="00E2481D" w:rsidRDefault="0000567A" w:rsidP="0000567A">
      <w:pPr>
        <w:pStyle w:val="DHHSbody"/>
        <w:spacing w:before="120"/>
        <w:rPr>
          <w:b/>
        </w:rPr>
      </w:pPr>
      <w:r>
        <w:t xml:space="preserve">A copy of the individual’s vaccination record, and any other relevant individual consent and screening documents should be stored in a format and location that allows timely access, easy retrieval and protects individual confidentiality. </w:t>
      </w:r>
      <w:r w:rsidRPr="00785EF3">
        <w:t xml:space="preserve">Records must be retained </w:t>
      </w:r>
      <w:r>
        <w:t xml:space="preserve">and provided </w:t>
      </w:r>
      <w:r w:rsidRPr="00785EF3">
        <w:t>in accordance with the relevant legislation and regulations</w:t>
      </w:r>
      <w:r>
        <w:t xml:space="preserve">. </w:t>
      </w:r>
      <w:r>
        <w:rPr>
          <w:b/>
        </w:rPr>
        <w:t>It is important that timely reporting of all vaccinations to the Australian Immunisation Register occurs.</w:t>
      </w:r>
    </w:p>
    <w:p w14:paraId="40BB0681" w14:textId="77777777" w:rsidR="0000567A" w:rsidRPr="002638D7" w:rsidRDefault="0000567A" w:rsidP="0000567A">
      <w:pPr>
        <w:pStyle w:val="DHHSbody"/>
        <w:rPr>
          <w:b/>
        </w:rPr>
      </w:pPr>
      <w:r>
        <w:t xml:space="preserve">If consent was granted by the individual, or the parent/guardian of the individual being vaccinated, to provide a copy of their vaccination record to their nominated general practitioner and any other relevant health professional, the copy must be provided, preferably by fax or secure messaging, </w:t>
      </w:r>
      <w:r w:rsidRPr="002638D7">
        <w:rPr>
          <w:b/>
        </w:rPr>
        <w:t>within one week of administering the vaccine.</w:t>
      </w:r>
    </w:p>
    <w:p w14:paraId="61F56A56" w14:textId="77777777" w:rsidR="0000567A" w:rsidRDefault="0000567A" w:rsidP="0000567A">
      <w:pPr>
        <w:pStyle w:val="DHHSbody"/>
      </w:pPr>
      <w:r>
        <w:t>The copy must contain the:</w:t>
      </w:r>
    </w:p>
    <w:p w14:paraId="1EFD5F87" w14:textId="2288795C" w:rsidR="0000567A" w:rsidRDefault="0000567A" w:rsidP="00700529">
      <w:pPr>
        <w:pStyle w:val="DHHSbullet1"/>
        <w:numPr>
          <w:ilvl w:val="0"/>
          <w:numId w:val="15"/>
        </w:numPr>
        <w:spacing w:line="240" w:lineRule="auto"/>
      </w:pPr>
      <w:r>
        <w:t>Pharmacist Immuniser</w:t>
      </w:r>
      <w:r w:rsidR="7D700300">
        <w:t>’s</w:t>
      </w:r>
      <w:r>
        <w:t xml:space="preserve"> name and contact information</w:t>
      </w:r>
    </w:p>
    <w:p w14:paraId="7946824D" w14:textId="24A6D13E" w:rsidR="0000567A" w:rsidRDefault="0000567A" w:rsidP="00700529">
      <w:pPr>
        <w:pStyle w:val="DHHSbullet1"/>
        <w:numPr>
          <w:ilvl w:val="0"/>
          <w:numId w:val="15"/>
        </w:numPr>
        <w:spacing w:line="240" w:lineRule="auto"/>
      </w:pPr>
      <w:r>
        <w:t>Service Provider</w:t>
      </w:r>
      <w:r w:rsidR="13890B59">
        <w:t>’s</w:t>
      </w:r>
      <w:r>
        <w:t xml:space="preserve"> name and contact information</w:t>
      </w:r>
    </w:p>
    <w:p w14:paraId="2101B005" w14:textId="77777777" w:rsidR="0000567A" w:rsidRDefault="0000567A" w:rsidP="00700529">
      <w:pPr>
        <w:pStyle w:val="DHHSbullet1"/>
        <w:numPr>
          <w:ilvl w:val="0"/>
          <w:numId w:val="15"/>
        </w:numPr>
        <w:spacing w:line="240" w:lineRule="auto"/>
      </w:pPr>
      <w:r>
        <w:t>individual’s name and address</w:t>
      </w:r>
    </w:p>
    <w:p w14:paraId="58CA86F5" w14:textId="77777777" w:rsidR="0000567A" w:rsidRDefault="0000567A" w:rsidP="00700529">
      <w:pPr>
        <w:pStyle w:val="DHHSbullet1"/>
        <w:numPr>
          <w:ilvl w:val="0"/>
          <w:numId w:val="15"/>
        </w:numPr>
        <w:spacing w:line="240" w:lineRule="auto"/>
      </w:pPr>
      <w:r>
        <w:t>date and time of the vaccine administration</w:t>
      </w:r>
    </w:p>
    <w:p w14:paraId="6CA8485B" w14:textId="77777777" w:rsidR="0000567A" w:rsidRDefault="0000567A" w:rsidP="00700529">
      <w:pPr>
        <w:pStyle w:val="DHHSbullet1"/>
        <w:numPr>
          <w:ilvl w:val="0"/>
          <w:numId w:val="15"/>
        </w:numPr>
        <w:spacing w:line="240" w:lineRule="auto"/>
      </w:pPr>
      <w:r>
        <w:t>name (including brand name) of the vaccine</w:t>
      </w:r>
    </w:p>
    <w:p w14:paraId="0EECC5B8" w14:textId="77777777" w:rsidR="0000567A" w:rsidRDefault="0000567A" w:rsidP="00700529">
      <w:pPr>
        <w:pStyle w:val="DHHSbullet1"/>
        <w:numPr>
          <w:ilvl w:val="0"/>
          <w:numId w:val="15"/>
        </w:numPr>
        <w:spacing w:line="240" w:lineRule="auto"/>
      </w:pPr>
      <w:r>
        <w:t>any adverse events observed.</w:t>
      </w:r>
    </w:p>
    <w:p w14:paraId="2C69E4A9" w14:textId="77777777" w:rsidR="0000567A" w:rsidRPr="00B4071F" w:rsidRDefault="0000567A" w:rsidP="00700529">
      <w:pPr>
        <w:pStyle w:val="Heading2"/>
        <w:numPr>
          <w:ilvl w:val="1"/>
          <w:numId w:val="31"/>
        </w:numPr>
        <w:rPr>
          <w:sz w:val="28"/>
        </w:rPr>
      </w:pPr>
      <w:bookmarkStart w:id="69" w:name="_Toc115426511"/>
      <w:r w:rsidRPr="00B4071F">
        <w:rPr>
          <w:sz w:val="28"/>
        </w:rPr>
        <w:lastRenderedPageBreak/>
        <w:t>Reporting adverse events</w:t>
      </w:r>
      <w:bookmarkEnd w:id="69"/>
    </w:p>
    <w:p w14:paraId="7575DF70" w14:textId="6422547C" w:rsidR="0000567A" w:rsidRPr="008904EE" w:rsidRDefault="0000567A" w:rsidP="0000567A">
      <w:pPr>
        <w:pStyle w:val="DHHSbody"/>
      </w:pPr>
      <w:r w:rsidRPr="00602A32">
        <w:t>Pharmacist Immuniser</w:t>
      </w:r>
      <w:r>
        <w:t>s</w:t>
      </w:r>
      <w:r w:rsidRPr="00602A32">
        <w:t xml:space="preserve"> must report any Adverse Event Following Immunisation (AEFI) to the Surveillance of Adverse Events </w:t>
      </w:r>
      <w:r>
        <w:t>F</w:t>
      </w:r>
      <w:r w:rsidRPr="00602A32">
        <w:t>ollowing Vaccination in the Community (SAEFVIC)</w:t>
      </w:r>
      <w:r>
        <w:t>. The SAEFVIC requirements for reporting are available from &lt;</w:t>
      </w:r>
      <w:hyperlink r:id="rId47" w:history="1">
        <w:r w:rsidR="00362EBF" w:rsidRPr="00E63486">
          <w:rPr>
            <w:rStyle w:val="Hyperlink"/>
          </w:rPr>
          <w:t>https://www.health.vic.gov.au/immunisation/adverse-events-following-immunisation-reporting</w:t>
        </w:r>
      </w:hyperlink>
      <w:r>
        <w:rPr>
          <w:rStyle w:val="Hyperlink"/>
        </w:rPr>
        <w:t>&gt;.</w:t>
      </w:r>
    </w:p>
    <w:p w14:paraId="4609C6CB" w14:textId="77777777" w:rsidR="0000567A" w:rsidRDefault="0000567A" w:rsidP="0000567A">
      <w:pPr>
        <w:pStyle w:val="DHHSbody"/>
      </w:pPr>
      <w:r>
        <w:t xml:space="preserve">SAEFVIC is a public health partnership initiative of the Victorian Immunisation Program. The service helps providers report and look after children and adults who have experienced an AEFI. Providing information about an AEFI to SAEFVIC (the AEFI-Clinical Assessment Network (AEFI-CAN)) will help detect any problems with vaccines or systems as early as </w:t>
      </w:r>
      <w:proofErr w:type="gramStart"/>
      <w:r>
        <w:t>possible, and</w:t>
      </w:r>
      <w:proofErr w:type="gramEnd"/>
      <w:r>
        <w:t xml:space="preserve"> will help ensure a safe immunisation program in Victoria.  </w:t>
      </w:r>
    </w:p>
    <w:p w14:paraId="001C4460" w14:textId="77777777" w:rsidR="0000567A" w:rsidRPr="00B4071F" w:rsidRDefault="0000567A" w:rsidP="00700529">
      <w:pPr>
        <w:pStyle w:val="Heading2"/>
        <w:numPr>
          <w:ilvl w:val="1"/>
          <w:numId w:val="31"/>
        </w:numPr>
        <w:rPr>
          <w:sz w:val="28"/>
        </w:rPr>
      </w:pPr>
      <w:bookmarkStart w:id="70" w:name="_Toc115426512"/>
      <w:r w:rsidRPr="00B4071F">
        <w:rPr>
          <w:sz w:val="28"/>
        </w:rPr>
        <w:t>Immunisation registers</w:t>
      </w:r>
      <w:bookmarkEnd w:id="70"/>
    </w:p>
    <w:p w14:paraId="5777B632" w14:textId="0874FDF3" w:rsidR="0000567A" w:rsidRPr="007119A0" w:rsidRDefault="00746EC1" w:rsidP="0000567A">
      <w:pPr>
        <w:pStyle w:val="DHHSbody"/>
      </w:pPr>
      <w:r>
        <w:t>T</w:t>
      </w:r>
      <w:r w:rsidR="0000567A" w:rsidRPr="007119A0">
        <w:t>he Australian Immunisation Register (AIR)</w:t>
      </w:r>
      <w:r>
        <w:t xml:space="preserve"> is</w:t>
      </w:r>
      <w:r w:rsidR="0000567A" w:rsidRPr="007119A0">
        <w:t xml:space="preserve"> a national register that records vaccinations given to people of all ages in Australia.</w:t>
      </w:r>
    </w:p>
    <w:p w14:paraId="26957329" w14:textId="77777777" w:rsidR="0000567A" w:rsidRPr="007119A0" w:rsidRDefault="0000567A" w:rsidP="0000567A">
      <w:pPr>
        <w:pStyle w:val="DHHSbody"/>
      </w:pPr>
      <w:r w:rsidRPr="007119A0">
        <w:t xml:space="preserve">Pharmacists </w:t>
      </w:r>
      <w:r>
        <w:t>must</w:t>
      </w:r>
      <w:r w:rsidRPr="007119A0">
        <w:t xml:space="preserve"> register with the AIR as part of the </w:t>
      </w:r>
      <w:r>
        <w:t xml:space="preserve">requirements to provide a vaccination service in Victoria and the </w:t>
      </w:r>
      <w:r w:rsidRPr="007119A0">
        <w:t>department’s government</w:t>
      </w:r>
      <w:r>
        <w:t>-</w:t>
      </w:r>
      <w:r w:rsidRPr="007119A0">
        <w:t xml:space="preserve">funded vaccine account application requirements. Pharmacists can apply as a business to register with the AIR to obtain </w:t>
      </w:r>
      <w:r>
        <w:t>login details</w:t>
      </w:r>
      <w:r w:rsidRPr="007119A0">
        <w:t xml:space="preserve"> which </w:t>
      </w:r>
      <w:r>
        <w:t>enables pharmacists</w:t>
      </w:r>
      <w:r w:rsidRPr="007119A0">
        <w:t xml:space="preserve"> to report </w:t>
      </w:r>
      <w:r>
        <w:t xml:space="preserve">all </w:t>
      </w:r>
      <w:r w:rsidRPr="007119A0">
        <w:t>vaccinations</w:t>
      </w:r>
      <w:r>
        <w:t xml:space="preserve"> administered to the AIR</w:t>
      </w:r>
      <w:r w:rsidRPr="007119A0">
        <w:t xml:space="preserve">. </w:t>
      </w:r>
    </w:p>
    <w:p w14:paraId="4E6FA956" w14:textId="77777777" w:rsidR="0000567A" w:rsidRPr="007119A0" w:rsidRDefault="0000567A" w:rsidP="0000567A">
      <w:pPr>
        <w:pStyle w:val="DHHSbody"/>
      </w:pPr>
      <w:r w:rsidRPr="007119A0">
        <w:t>Registration forms are available from &lt;</w:t>
      </w:r>
      <w:hyperlink r:id="rId48" w:history="1">
        <w:r w:rsidRPr="00903EA8">
          <w:rPr>
            <w:rStyle w:val="Hyperlink"/>
          </w:rPr>
          <w:t>https://www.humanservices.gov.au/organisations/health-professionals/forms/im004</w:t>
        </w:r>
      </w:hyperlink>
      <w:r w:rsidRPr="007119A0">
        <w:t xml:space="preserve">&gt;  </w:t>
      </w:r>
    </w:p>
    <w:p w14:paraId="04E019C1" w14:textId="77777777" w:rsidR="005F1585" w:rsidRDefault="0000567A" w:rsidP="0000567A">
      <w:pPr>
        <w:pStyle w:val="DHHSbody"/>
      </w:pPr>
      <w:r w:rsidRPr="00E2481D">
        <w:rPr>
          <w:b/>
        </w:rPr>
        <w:t>Pharmacist Immunisers</w:t>
      </w:r>
      <w:r>
        <w:rPr>
          <w:b/>
        </w:rPr>
        <w:t xml:space="preserve"> or the Service Provider</w:t>
      </w:r>
      <w:r w:rsidRPr="00E2481D">
        <w:rPr>
          <w:b/>
        </w:rPr>
        <w:t xml:space="preserve"> are required to </w:t>
      </w:r>
      <w:r w:rsidR="00862AAD">
        <w:rPr>
          <w:b/>
        </w:rPr>
        <w:t>re</w:t>
      </w:r>
      <w:r w:rsidR="009B73D5">
        <w:rPr>
          <w:b/>
        </w:rPr>
        <w:t xml:space="preserve">cord </w:t>
      </w:r>
      <w:r w:rsidR="009B73D5" w:rsidRPr="00D00D73">
        <w:rPr>
          <w:b/>
          <w:u w:val="single"/>
        </w:rPr>
        <w:t>all</w:t>
      </w:r>
      <w:r w:rsidR="009B73D5">
        <w:rPr>
          <w:b/>
        </w:rPr>
        <w:t xml:space="preserve"> </w:t>
      </w:r>
      <w:r w:rsidR="00330BAA">
        <w:rPr>
          <w:b/>
        </w:rPr>
        <w:t xml:space="preserve">NIP </w:t>
      </w:r>
      <w:r w:rsidR="009B73D5">
        <w:rPr>
          <w:b/>
        </w:rPr>
        <w:t>vaccines administered</w:t>
      </w:r>
      <w:r w:rsidRPr="00E2481D">
        <w:rPr>
          <w:b/>
        </w:rPr>
        <w:t xml:space="preserve"> </w:t>
      </w:r>
      <w:r w:rsidR="00C14EA8">
        <w:rPr>
          <w:b/>
        </w:rPr>
        <w:t xml:space="preserve">to </w:t>
      </w:r>
      <w:r w:rsidRPr="00E2481D">
        <w:rPr>
          <w:b/>
        </w:rPr>
        <w:t>AIR in a timely manner</w:t>
      </w:r>
      <w:r w:rsidRPr="007119A0">
        <w:t>.</w:t>
      </w:r>
      <w:r w:rsidRPr="00714DCF">
        <w:t xml:space="preserve"> </w:t>
      </w:r>
    </w:p>
    <w:p w14:paraId="027FF96D" w14:textId="393EA40A" w:rsidR="003D1EFC" w:rsidRPr="00714DCF" w:rsidRDefault="009679A1" w:rsidP="0000567A">
      <w:pPr>
        <w:pStyle w:val="DHHSbody"/>
      </w:pPr>
      <w:r>
        <w:t>It is</w:t>
      </w:r>
      <w:r w:rsidR="00C376AF">
        <w:t xml:space="preserve"> </w:t>
      </w:r>
      <w:r w:rsidR="00C376AF">
        <w:rPr>
          <w:b/>
          <w:bCs/>
        </w:rPr>
        <w:t>strongly re</w:t>
      </w:r>
      <w:r>
        <w:rPr>
          <w:b/>
          <w:bCs/>
        </w:rPr>
        <w:t>commended</w:t>
      </w:r>
      <w:r w:rsidR="005F1585">
        <w:rPr>
          <w:b/>
          <w:bCs/>
        </w:rPr>
        <w:t xml:space="preserve"> </w:t>
      </w:r>
      <w:r w:rsidR="005F1585">
        <w:t xml:space="preserve">that </w:t>
      </w:r>
      <w:r w:rsidR="000F2F20">
        <w:t xml:space="preserve">all non-NIP vaccines are recorded to AIR. </w:t>
      </w:r>
      <w:r w:rsidR="006761D0" w:rsidRPr="00F02FA0">
        <w:rPr>
          <w:highlight w:val="yellow"/>
        </w:rPr>
        <w:t xml:space="preserve">Patients may elect not to have </w:t>
      </w:r>
      <w:r w:rsidR="00635173" w:rsidRPr="00F02FA0">
        <w:rPr>
          <w:highlight w:val="yellow"/>
        </w:rPr>
        <w:t xml:space="preserve">the MPX vaccine recorded </w:t>
      </w:r>
      <w:r w:rsidR="000F2F20" w:rsidRPr="00F02FA0">
        <w:rPr>
          <w:highlight w:val="yellow"/>
        </w:rPr>
        <w:t>to</w:t>
      </w:r>
      <w:r w:rsidR="00635173" w:rsidRPr="00F02FA0">
        <w:rPr>
          <w:highlight w:val="yellow"/>
        </w:rPr>
        <w:t xml:space="preserve"> AIR.</w:t>
      </w:r>
      <w:r w:rsidR="00635173">
        <w:t xml:space="preserve"> </w:t>
      </w:r>
    </w:p>
    <w:p w14:paraId="6197D4EC" w14:textId="66173ECE" w:rsidR="0000567A" w:rsidRPr="00D00D73" w:rsidRDefault="0000567A" w:rsidP="00700529">
      <w:pPr>
        <w:pStyle w:val="Heading2"/>
        <w:numPr>
          <w:ilvl w:val="1"/>
          <w:numId w:val="31"/>
        </w:numPr>
        <w:rPr>
          <w:rFonts w:eastAsia="MS Gothic"/>
          <w:sz w:val="28"/>
        </w:rPr>
      </w:pPr>
      <w:bookmarkStart w:id="71" w:name="_Complaints"/>
      <w:bookmarkStart w:id="72" w:name="_Toc115426513"/>
      <w:bookmarkEnd w:id="71"/>
      <w:r w:rsidRPr="00D00D73">
        <w:rPr>
          <w:rFonts w:eastAsia="MS Gothic"/>
          <w:sz w:val="28"/>
        </w:rPr>
        <w:t>Complaints</w:t>
      </w:r>
      <w:bookmarkEnd w:id="72"/>
    </w:p>
    <w:p w14:paraId="18D03B6D" w14:textId="77777777" w:rsidR="0000567A" w:rsidRDefault="0000567A" w:rsidP="0000567A">
      <w:pPr>
        <w:pStyle w:val="DHHSbody"/>
      </w:pPr>
      <w:r>
        <w:t xml:space="preserve">Pharmacist Immunisers and Service Providers should develop a process for complaints regarding vaccination services. At a minimum, all individuals who receive vaccination services should be advised that: </w:t>
      </w:r>
    </w:p>
    <w:p w14:paraId="07848856" w14:textId="77777777" w:rsidR="0000567A" w:rsidRDefault="0000567A" w:rsidP="00700529">
      <w:pPr>
        <w:pStyle w:val="DHHSbullet1"/>
        <w:numPr>
          <w:ilvl w:val="0"/>
          <w:numId w:val="27"/>
        </w:numPr>
      </w:pPr>
      <w:r>
        <w:t xml:space="preserve">Complaints relating to the pharmacist’s professional practice should be directed to the Australian Health Practitioner Regulation Agency by phoning 1300 419 495 or visiting the </w:t>
      </w:r>
      <w:proofErr w:type="spellStart"/>
      <w:r>
        <w:t>Ahpra</w:t>
      </w:r>
      <w:proofErr w:type="spellEnd"/>
      <w:r>
        <w:t xml:space="preserve"> website at &lt;</w:t>
      </w:r>
      <w:hyperlink r:id="rId49">
        <w:r w:rsidRPr="5B7D9D66">
          <w:rPr>
            <w:rStyle w:val="Hyperlink"/>
          </w:rPr>
          <w:t>www.ahpra.gov.au</w:t>
        </w:r>
      </w:hyperlink>
      <w:r>
        <w:t>&gt;.</w:t>
      </w:r>
    </w:p>
    <w:p w14:paraId="026F0684" w14:textId="77777777" w:rsidR="0000567A" w:rsidRDefault="0000567A" w:rsidP="00700529">
      <w:pPr>
        <w:pStyle w:val="DHHSbullet1"/>
        <w:numPr>
          <w:ilvl w:val="0"/>
          <w:numId w:val="27"/>
        </w:numPr>
      </w:pPr>
      <w:r>
        <w:t>Complaints relating to the pharmacy premises should be directed to the Victorian Pharmacy Authority at &lt;</w:t>
      </w:r>
      <w:hyperlink r:id="rId50">
        <w:r w:rsidRPr="5B7D9D66">
          <w:rPr>
            <w:rStyle w:val="Hyperlink"/>
          </w:rPr>
          <w:t>www.pharmacy.vic.gov.au</w:t>
        </w:r>
      </w:hyperlink>
      <w:r>
        <w:t xml:space="preserve">&gt;. </w:t>
      </w:r>
    </w:p>
    <w:p w14:paraId="78599D10" w14:textId="25BE93AF" w:rsidR="0000567A" w:rsidRDefault="0000567A" w:rsidP="00700529">
      <w:pPr>
        <w:pStyle w:val="DHHSbullet1"/>
        <w:numPr>
          <w:ilvl w:val="0"/>
          <w:numId w:val="27"/>
        </w:numPr>
      </w:pPr>
      <w:r>
        <w:t>Complaints relating to the vaccination setting (non-pharmacy setting) should be directed to the Immunisation Unit, Department of Health by email at &lt;</w:t>
      </w:r>
      <w:hyperlink r:id="rId51" w:history="1">
        <w:r w:rsidR="00881E99" w:rsidRPr="5B7D9D66">
          <w:rPr>
            <w:rStyle w:val="Hyperlink"/>
          </w:rPr>
          <w:t>immunisation@health.vic.gov.au</w:t>
        </w:r>
      </w:hyperlink>
      <w:r>
        <w:t xml:space="preserve">&gt;. </w:t>
      </w:r>
    </w:p>
    <w:p w14:paraId="20EB67FA" w14:textId="77777777" w:rsidR="0000567A" w:rsidRPr="006D0547" w:rsidRDefault="0000567A" w:rsidP="00700529">
      <w:pPr>
        <w:pStyle w:val="DHHSbullet1"/>
        <w:numPr>
          <w:ilvl w:val="0"/>
          <w:numId w:val="27"/>
        </w:numPr>
        <w:rPr>
          <w:rStyle w:val="Hyperlink"/>
        </w:rPr>
      </w:pPr>
      <w:r>
        <w:t>Individuals may also bring a complaint against a health service provider to the Health Complaints Commissioner at &lt;</w:t>
      </w:r>
      <w:hyperlink r:id="rId52">
        <w:r w:rsidRPr="5B7D9D66">
          <w:rPr>
            <w:rStyle w:val="Hyperlink"/>
          </w:rPr>
          <w:t>https://hcc.vic.gov.au/</w:t>
        </w:r>
      </w:hyperlink>
      <w:r>
        <w:t>&gt;.</w:t>
      </w:r>
    </w:p>
    <w:p w14:paraId="0200A14A" w14:textId="541D3BEB" w:rsidR="0000567A" w:rsidRPr="0086277B" w:rsidRDefault="0000567A" w:rsidP="00700529">
      <w:pPr>
        <w:pStyle w:val="Heading1"/>
        <w:numPr>
          <w:ilvl w:val="0"/>
          <w:numId w:val="31"/>
        </w:numPr>
        <w:rPr>
          <w:sz w:val="40"/>
          <w:szCs w:val="40"/>
          <w:highlight w:val="yellow"/>
        </w:rPr>
      </w:pPr>
      <w:bookmarkStart w:id="73" w:name="_Toc452486180"/>
      <w:bookmarkStart w:id="74" w:name="_Toc115426514"/>
      <w:bookmarkEnd w:id="73"/>
      <w:r w:rsidRPr="0086277B">
        <w:rPr>
          <w:sz w:val="40"/>
          <w:szCs w:val="40"/>
          <w:highlight w:val="yellow"/>
        </w:rPr>
        <w:t>Fees</w:t>
      </w:r>
      <w:bookmarkEnd w:id="74"/>
    </w:p>
    <w:p w14:paraId="2239100E" w14:textId="13C98A10" w:rsidR="0000567A" w:rsidRDefault="0000567A" w:rsidP="0000567A">
      <w:pPr>
        <w:pStyle w:val="DHHSbody"/>
      </w:pPr>
      <w:r>
        <w:t>Pharmacist Immunisers may wish to charge a service fee for administration of the vaccination to people who are eligible for government-funded vaccines</w:t>
      </w:r>
      <w:r w:rsidR="00E64AA8">
        <w:t xml:space="preserve"> or state-funded vaccination programs</w:t>
      </w:r>
      <w:r>
        <w:t xml:space="preserve">. </w:t>
      </w:r>
      <w:r w:rsidRPr="006036ED">
        <w:rPr>
          <w:b/>
        </w:rPr>
        <w:t>If they wish to do so,</w:t>
      </w:r>
      <w:r>
        <w:t xml:space="preserve"> </w:t>
      </w:r>
      <w:r>
        <w:rPr>
          <w:b/>
        </w:rPr>
        <w:t>P</w:t>
      </w:r>
      <w:r w:rsidRPr="006036ED">
        <w:rPr>
          <w:b/>
        </w:rPr>
        <w:t>harmacist</w:t>
      </w:r>
      <w:r>
        <w:rPr>
          <w:b/>
        </w:rPr>
        <w:t xml:space="preserve"> Immunisers</w:t>
      </w:r>
      <w:r w:rsidRPr="006036ED">
        <w:rPr>
          <w:b/>
        </w:rPr>
        <w:t xml:space="preserve"> are required to advise these </w:t>
      </w:r>
      <w:r>
        <w:rPr>
          <w:b/>
        </w:rPr>
        <w:t>persons</w:t>
      </w:r>
      <w:r w:rsidRPr="006036ED">
        <w:rPr>
          <w:b/>
        </w:rPr>
        <w:t xml:space="preserve"> about the availability of </w:t>
      </w:r>
      <w:r w:rsidRPr="006036ED">
        <w:rPr>
          <w:b/>
        </w:rPr>
        <w:lastRenderedPageBreak/>
        <w:t>government-funded vaccines and free vaccination services through bulk-billing general practitioners, prior to administering the vaccine</w:t>
      </w:r>
      <w:r>
        <w:t>.</w:t>
      </w:r>
    </w:p>
    <w:p w14:paraId="0229BD89" w14:textId="21BD9FC9" w:rsidR="0000567A" w:rsidRDefault="0000567A" w:rsidP="0000567A">
      <w:pPr>
        <w:pStyle w:val="DHHSbody"/>
      </w:pPr>
      <w:r w:rsidRPr="001C6908">
        <w:t>For those persons who are not eligible for government-funded vaccines</w:t>
      </w:r>
      <w:r w:rsidR="000D1498">
        <w:t>,</w:t>
      </w:r>
      <w:r w:rsidRPr="001C6908">
        <w:rPr>
          <w:rFonts w:cs="Arial"/>
        </w:rPr>
        <w:t xml:space="preserve"> the </w:t>
      </w:r>
      <w:r w:rsidRPr="001C6908">
        <w:t xml:space="preserve">pharmacist may charge </w:t>
      </w:r>
      <w:r w:rsidR="000D1498">
        <w:t>for the cost of the vaccine</w:t>
      </w:r>
      <w:r w:rsidR="003E5C5E">
        <w:t xml:space="preserve"> </w:t>
      </w:r>
      <w:r w:rsidR="0080027B">
        <w:t>plus</w:t>
      </w:r>
      <w:r w:rsidR="003E5C5E">
        <w:t xml:space="preserve"> an administration fee</w:t>
      </w:r>
      <w:r w:rsidRPr="001C6908">
        <w:t xml:space="preserve"> </w:t>
      </w:r>
    </w:p>
    <w:p w14:paraId="1658D915" w14:textId="3CECBBEB" w:rsidR="0000567A" w:rsidRDefault="0000567A" w:rsidP="0000567A">
      <w:pPr>
        <w:pStyle w:val="DHHSbody"/>
        <w:rPr>
          <w:b/>
        </w:rPr>
      </w:pPr>
      <w:r w:rsidRPr="00546DED">
        <w:t xml:space="preserve">Table 1 summarises the circumstances in which a Pharmacist Immuniser may charge people for the cost of the vaccine and for administering the </w:t>
      </w:r>
      <w:r w:rsidRPr="00546DED">
        <w:rPr>
          <w:rFonts w:cs="Arial"/>
        </w:rPr>
        <w:t>vaccine.</w:t>
      </w:r>
      <w:r>
        <w:rPr>
          <w:rFonts w:cs="Arial"/>
        </w:rPr>
        <w:t xml:space="preserve"> Please read in conjunction with section </w:t>
      </w:r>
      <w:hyperlink w:anchor="_Target_groups_under" w:history="1">
        <w:r w:rsidRPr="004E7BDD">
          <w:rPr>
            <w:rStyle w:val="Hyperlink"/>
          </w:rPr>
          <w:t>8</w:t>
        </w:r>
      </w:hyperlink>
      <w:r>
        <w:rPr>
          <w:rFonts w:cs="Arial"/>
        </w:rPr>
        <w:t>, Target groups under the Approval.</w:t>
      </w:r>
    </w:p>
    <w:p w14:paraId="698CC9D4" w14:textId="1F20500E" w:rsidR="0000567A" w:rsidRDefault="0000567A" w:rsidP="0000567A">
      <w:pPr>
        <w:pStyle w:val="DHHSbody"/>
      </w:pPr>
      <w:r w:rsidRPr="0086277B">
        <w:rPr>
          <w:b/>
          <w:highlight w:val="yellow"/>
        </w:rPr>
        <w:t xml:space="preserve">Table </w:t>
      </w:r>
      <w:r w:rsidR="009A1C7C" w:rsidRPr="0086277B">
        <w:rPr>
          <w:b/>
          <w:highlight w:val="yellow"/>
        </w:rPr>
        <w:t xml:space="preserve">2. </w:t>
      </w:r>
      <w:r w:rsidRPr="0086277B">
        <w:rPr>
          <w:b/>
          <w:highlight w:val="yellow"/>
        </w:rPr>
        <w:t>Pharmacist Immuniser fees</w:t>
      </w:r>
    </w:p>
    <w:tbl>
      <w:tblPr>
        <w:tblW w:w="94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3145"/>
        <w:gridCol w:w="3145"/>
      </w:tblGrid>
      <w:tr w:rsidR="0000567A" w14:paraId="4816C485" w14:textId="77777777" w:rsidTr="5B7D9D66">
        <w:trPr>
          <w:trHeight w:val="360"/>
          <w:tblHeader/>
        </w:trPr>
        <w:tc>
          <w:tcPr>
            <w:tcW w:w="3145" w:type="dxa"/>
            <w:shd w:val="clear" w:color="auto" w:fill="auto"/>
          </w:tcPr>
          <w:p w14:paraId="5927BAA2" w14:textId="77777777" w:rsidR="0000567A" w:rsidRPr="00DF661A" w:rsidRDefault="0000567A" w:rsidP="00FD4917">
            <w:pPr>
              <w:pStyle w:val="DHHStablecolhead"/>
              <w:rPr>
                <w:sz w:val="18"/>
              </w:rPr>
            </w:pPr>
            <w:r>
              <w:rPr>
                <w:sz w:val="18"/>
              </w:rPr>
              <w:t>Target group</w:t>
            </w:r>
          </w:p>
        </w:tc>
        <w:tc>
          <w:tcPr>
            <w:tcW w:w="3145" w:type="dxa"/>
          </w:tcPr>
          <w:p w14:paraId="642FB2EA" w14:textId="77777777" w:rsidR="0000567A" w:rsidRPr="00DF661A" w:rsidRDefault="0000567A" w:rsidP="00FD4917">
            <w:pPr>
              <w:pStyle w:val="DHHStablecolhead"/>
              <w:rPr>
                <w:sz w:val="18"/>
              </w:rPr>
            </w:pPr>
            <w:r w:rsidRPr="00D26B44">
              <w:rPr>
                <w:sz w:val="18"/>
                <w:szCs w:val="18"/>
              </w:rPr>
              <w:t xml:space="preserve">Can the Pharmacist Immuniser charge for </w:t>
            </w:r>
            <w:r>
              <w:rPr>
                <w:sz w:val="18"/>
                <w:szCs w:val="18"/>
              </w:rPr>
              <w:t xml:space="preserve">the </w:t>
            </w:r>
            <w:r w:rsidRPr="00D26B44">
              <w:rPr>
                <w:sz w:val="18"/>
                <w:szCs w:val="18"/>
              </w:rPr>
              <w:t>cost of the vaccine?</w:t>
            </w:r>
          </w:p>
        </w:tc>
        <w:tc>
          <w:tcPr>
            <w:tcW w:w="3145" w:type="dxa"/>
            <w:shd w:val="clear" w:color="auto" w:fill="auto"/>
          </w:tcPr>
          <w:p w14:paraId="14EFA196" w14:textId="77777777" w:rsidR="0000567A" w:rsidRPr="00DF661A" w:rsidRDefault="0000567A" w:rsidP="00FD4917">
            <w:pPr>
              <w:pStyle w:val="DHHStablecolhead"/>
              <w:rPr>
                <w:sz w:val="18"/>
              </w:rPr>
            </w:pPr>
            <w:r w:rsidRPr="00D26B44">
              <w:rPr>
                <w:sz w:val="18"/>
                <w:szCs w:val="18"/>
              </w:rPr>
              <w:t>Can the Pharmacist Immuniser charge for administering the vaccine (a service charge)?</w:t>
            </w:r>
          </w:p>
        </w:tc>
      </w:tr>
      <w:tr w:rsidR="0000567A" w14:paraId="75BC62BA" w14:textId="77777777" w:rsidTr="5B7D9D66">
        <w:trPr>
          <w:trHeight w:val="634"/>
        </w:trPr>
        <w:tc>
          <w:tcPr>
            <w:tcW w:w="3145" w:type="dxa"/>
            <w:shd w:val="clear" w:color="auto" w:fill="auto"/>
          </w:tcPr>
          <w:p w14:paraId="2C7DF1AB" w14:textId="60ED1BFA" w:rsidR="0000567A" w:rsidRPr="00DF661A" w:rsidRDefault="0000567A" w:rsidP="00FD4917">
            <w:pPr>
              <w:pStyle w:val="DHHStabletext"/>
              <w:rPr>
                <w:sz w:val="18"/>
              </w:rPr>
            </w:pPr>
            <w:r>
              <w:rPr>
                <w:sz w:val="18"/>
                <w:szCs w:val="18"/>
              </w:rPr>
              <w:t xml:space="preserve">Persons </w:t>
            </w:r>
            <w:r w:rsidRPr="00D26B44">
              <w:rPr>
                <w:b/>
                <w:sz w:val="18"/>
                <w:szCs w:val="18"/>
              </w:rPr>
              <w:t>eligible</w:t>
            </w:r>
            <w:r w:rsidRPr="00D26B44">
              <w:rPr>
                <w:sz w:val="18"/>
                <w:szCs w:val="18"/>
              </w:rPr>
              <w:t xml:space="preserve"> for </w:t>
            </w:r>
            <w:r>
              <w:rPr>
                <w:sz w:val="18"/>
                <w:szCs w:val="18"/>
              </w:rPr>
              <w:t xml:space="preserve">government-funded </w:t>
            </w:r>
            <w:r w:rsidRPr="00D26B44">
              <w:rPr>
                <w:sz w:val="18"/>
                <w:szCs w:val="18"/>
              </w:rPr>
              <w:t>vaccine</w:t>
            </w:r>
            <w:r>
              <w:rPr>
                <w:sz w:val="18"/>
                <w:szCs w:val="18"/>
              </w:rPr>
              <w:t>s</w:t>
            </w:r>
            <w:r w:rsidRPr="00D26B44">
              <w:rPr>
                <w:sz w:val="18"/>
                <w:szCs w:val="18"/>
              </w:rPr>
              <w:t xml:space="preserve"> under the </w:t>
            </w:r>
            <w:r w:rsidRPr="00EA2F17">
              <w:rPr>
                <w:sz w:val="18"/>
                <w:szCs w:val="18"/>
              </w:rPr>
              <w:t>NIP</w:t>
            </w:r>
            <w:r>
              <w:rPr>
                <w:sz w:val="18"/>
                <w:szCs w:val="18"/>
              </w:rPr>
              <w:t xml:space="preserve"> (influenza, </w:t>
            </w:r>
            <w:r w:rsidR="00575A48" w:rsidRPr="009355FD">
              <w:rPr>
                <w:sz w:val="18"/>
                <w:szCs w:val="18"/>
                <w:highlight w:val="yellow"/>
              </w:rPr>
              <w:t>HPV, DTP</w:t>
            </w:r>
            <w:r w:rsidR="00575A48">
              <w:rPr>
                <w:sz w:val="18"/>
                <w:szCs w:val="18"/>
              </w:rPr>
              <w:t>, MMR</w:t>
            </w:r>
            <w:r>
              <w:rPr>
                <w:sz w:val="18"/>
                <w:szCs w:val="18"/>
              </w:rPr>
              <w:t>, meningococcal ACWY</w:t>
            </w:r>
            <w:r w:rsidR="00575A48">
              <w:rPr>
                <w:sz w:val="18"/>
                <w:szCs w:val="18"/>
              </w:rPr>
              <w:t xml:space="preserve">, </w:t>
            </w:r>
            <w:r w:rsidR="00575A48" w:rsidRPr="009355FD">
              <w:rPr>
                <w:sz w:val="18"/>
                <w:szCs w:val="18"/>
                <w:highlight w:val="yellow"/>
              </w:rPr>
              <w:t>pneumococcal and herpes zoster</w:t>
            </w:r>
            <w:r w:rsidR="009355FD">
              <w:rPr>
                <w:sz w:val="18"/>
                <w:szCs w:val="18"/>
              </w:rPr>
              <w:t xml:space="preserve"> vac</w:t>
            </w:r>
            <w:r>
              <w:rPr>
                <w:sz w:val="18"/>
                <w:szCs w:val="18"/>
              </w:rPr>
              <w:t>cines),</w:t>
            </w:r>
            <w:r w:rsidRPr="005261B8">
              <w:rPr>
                <w:sz w:val="18"/>
                <w:szCs w:val="18"/>
              </w:rPr>
              <w:t xml:space="preserve"> </w:t>
            </w:r>
            <w:r w:rsidRPr="00F84655">
              <w:rPr>
                <w:sz w:val="18"/>
                <w:szCs w:val="18"/>
              </w:rPr>
              <w:t xml:space="preserve">Victorian Government’s </w:t>
            </w:r>
            <w:r>
              <w:rPr>
                <w:sz w:val="18"/>
                <w:szCs w:val="18"/>
              </w:rPr>
              <w:t>Partner</w:t>
            </w:r>
            <w:r w:rsidRPr="00F84655">
              <w:rPr>
                <w:sz w:val="18"/>
                <w:szCs w:val="18"/>
              </w:rPr>
              <w:t xml:space="preserve"> Whooping Cough Vaccine Program</w:t>
            </w:r>
            <w:r>
              <w:rPr>
                <w:sz w:val="18"/>
                <w:szCs w:val="18"/>
              </w:rPr>
              <w:t xml:space="preserve"> or </w:t>
            </w:r>
            <w:r w:rsidRPr="00E441A9">
              <w:rPr>
                <w:sz w:val="18"/>
                <w:szCs w:val="18"/>
              </w:rPr>
              <w:t>Measles-Mumps-Rubella Adult Vaccine Program</w:t>
            </w:r>
          </w:p>
        </w:tc>
        <w:tc>
          <w:tcPr>
            <w:tcW w:w="3145" w:type="dxa"/>
          </w:tcPr>
          <w:p w14:paraId="76ACEE4E" w14:textId="77777777" w:rsidR="0000567A" w:rsidRDefault="0000567A" w:rsidP="00FD4917">
            <w:pPr>
              <w:pStyle w:val="DHHSbody"/>
              <w:jc w:val="center"/>
              <w:rPr>
                <w:b/>
                <w:sz w:val="18"/>
                <w:szCs w:val="18"/>
              </w:rPr>
            </w:pPr>
            <w:r w:rsidRPr="00D26B44">
              <w:rPr>
                <w:b/>
                <w:sz w:val="18"/>
                <w:szCs w:val="18"/>
              </w:rPr>
              <w:t>No</w:t>
            </w:r>
          </w:p>
          <w:p w14:paraId="633F2796" w14:textId="5FC8CE38" w:rsidR="0000567A" w:rsidRPr="00C86428" w:rsidRDefault="0000567A" w:rsidP="00FD4917">
            <w:pPr>
              <w:pStyle w:val="DHHSbody"/>
              <w:rPr>
                <w:sz w:val="18"/>
                <w:szCs w:val="18"/>
              </w:rPr>
            </w:pPr>
            <w:r w:rsidRPr="00D27494">
              <w:rPr>
                <w:sz w:val="18"/>
                <w:szCs w:val="18"/>
              </w:rPr>
              <w:t>Government</w:t>
            </w:r>
            <w:r>
              <w:rPr>
                <w:sz w:val="18"/>
                <w:szCs w:val="18"/>
              </w:rPr>
              <w:t>-</w:t>
            </w:r>
            <w:r w:rsidRPr="00D27494">
              <w:rPr>
                <w:sz w:val="18"/>
                <w:szCs w:val="18"/>
              </w:rPr>
              <w:t xml:space="preserve">funded vaccines should be accessed from the </w:t>
            </w:r>
            <w:r>
              <w:rPr>
                <w:sz w:val="18"/>
                <w:szCs w:val="18"/>
              </w:rPr>
              <w:t>d</w:t>
            </w:r>
            <w:r w:rsidRPr="00D27494">
              <w:rPr>
                <w:sz w:val="18"/>
                <w:szCs w:val="18"/>
              </w:rPr>
              <w:t>epartment</w:t>
            </w:r>
            <w:r>
              <w:rPr>
                <w:sz w:val="18"/>
                <w:szCs w:val="18"/>
              </w:rPr>
              <w:t>’s government vaccine order form</w:t>
            </w:r>
            <w:r w:rsidRPr="00D27494">
              <w:rPr>
                <w:sz w:val="18"/>
                <w:szCs w:val="18"/>
              </w:rPr>
              <w:t>. See</w:t>
            </w:r>
            <w:r>
              <w:rPr>
                <w:sz w:val="18"/>
                <w:szCs w:val="18"/>
              </w:rPr>
              <w:t xml:space="preserve"> </w:t>
            </w:r>
            <w:r w:rsidRPr="00C86428">
              <w:rPr>
                <w:sz w:val="18"/>
                <w:szCs w:val="18"/>
              </w:rPr>
              <w:t xml:space="preserve">section </w:t>
            </w:r>
            <w:hyperlink w:anchor="_Registration_with_the" w:history="1">
              <w:r w:rsidRPr="009D6639">
                <w:rPr>
                  <w:rStyle w:val="Hyperlink"/>
                  <w:sz w:val="18"/>
                  <w:szCs w:val="18"/>
                </w:rPr>
                <w:t>10.2.1</w:t>
              </w:r>
            </w:hyperlink>
            <w:r w:rsidRPr="00C86428">
              <w:rPr>
                <w:sz w:val="18"/>
                <w:szCs w:val="18"/>
              </w:rPr>
              <w:t>.</w:t>
            </w:r>
          </w:p>
          <w:p w14:paraId="08DE8C13" w14:textId="77777777" w:rsidR="0000567A" w:rsidRPr="00DF661A" w:rsidRDefault="0000567A" w:rsidP="00FD4917">
            <w:pPr>
              <w:pStyle w:val="DHHStabletext"/>
              <w:rPr>
                <w:sz w:val="18"/>
              </w:rPr>
            </w:pPr>
          </w:p>
        </w:tc>
        <w:tc>
          <w:tcPr>
            <w:tcW w:w="3145" w:type="dxa"/>
            <w:shd w:val="clear" w:color="auto" w:fill="auto"/>
          </w:tcPr>
          <w:p w14:paraId="5CB05B90" w14:textId="77777777" w:rsidR="0000567A" w:rsidRDefault="0000567A" w:rsidP="00FD4917">
            <w:pPr>
              <w:pStyle w:val="DHHSbody"/>
              <w:jc w:val="center"/>
              <w:rPr>
                <w:sz w:val="18"/>
                <w:szCs w:val="18"/>
              </w:rPr>
            </w:pPr>
            <w:r w:rsidRPr="00D26B44">
              <w:rPr>
                <w:b/>
                <w:sz w:val="18"/>
                <w:szCs w:val="18"/>
              </w:rPr>
              <w:t>Yes</w:t>
            </w:r>
            <w:r w:rsidRPr="00D26B44">
              <w:rPr>
                <w:sz w:val="18"/>
                <w:szCs w:val="18"/>
              </w:rPr>
              <w:t xml:space="preserve"> </w:t>
            </w:r>
          </w:p>
          <w:p w14:paraId="74B59906" w14:textId="77777777" w:rsidR="0000567A" w:rsidRPr="00DF661A" w:rsidRDefault="0000567A" w:rsidP="00700529">
            <w:pPr>
              <w:pStyle w:val="DHHStablebullet"/>
              <w:numPr>
                <w:ilvl w:val="6"/>
                <w:numId w:val="27"/>
              </w:numPr>
              <w:rPr>
                <w:sz w:val="18"/>
              </w:rPr>
            </w:pPr>
            <w:r w:rsidRPr="5B7D9D66">
              <w:rPr>
                <w:sz w:val="18"/>
                <w:szCs w:val="18"/>
              </w:rPr>
              <w:t>However, Pharmacist Immunisers must advise people about the availability of free vaccination services through bulk-billing general practitioners.</w:t>
            </w:r>
          </w:p>
        </w:tc>
      </w:tr>
      <w:tr w:rsidR="0000567A" w14:paraId="0B342975" w14:textId="77777777" w:rsidTr="5B7D9D66">
        <w:trPr>
          <w:trHeight w:val="360"/>
        </w:trPr>
        <w:tc>
          <w:tcPr>
            <w:tcW w:w="3145" w:type="dxa"/>
            <w:shd w:val="clear" w:color="auto" w:fill="auto"/>
          </w:tcPr>
          <w:p w14:paraId="57247AF8" w14:textId="17B6C93D" w:rsidR="0000567A" w:rsidRPr="001C6908" w:rsidRDefault="0000567A" w:rsidP="00FD4917">
            <w:pPr>
              <w:pStyle w:val="DHHStabletext"/>
              <w:rPr>
                <w:sz w:val="18"/>
                <w:szCs w:val="18"/>
              </w:rPr>
            </w:pPr>
            <w:r w:rsidRPr="00F05270">
              <w:rPr>
                <w:sz w:val="18"/>
                <w:szCs w:val="18"/>
              </w:rPr>
              <w:t xml:space="preserve">Persons listed on the Victorian </w:t>
            </w:r>
            <w:r w:rsidRPr="00E56DC7">
              <w:rPr>
                <w:sz w:val="18"/>
                <w:szCs w:val="18"/>
              </w:rPr>
              <w:t xml:space="preserve">Department of Health’s Japanese </w:t>
            </w:r>
            <w:r w:rsidR="00C85DB0" w:rsidRPr="00E56DC7">
              <w:rPr>
                <w:sz w:val="18"/>
                <w:szCs w:val="18"/>
              </w:rPr>
              <w:t>e</w:t>
            </w:r>
            <w:r w:rsidRPr="00E56DC7">
              <w:rPr>
                <w:sz w:val="18"/>
                <w:szCs w:val="18"/>
              </w:rPr>
              <w:t>ncephalitis</w:t>
            </w:r>
            <w:r w:rsidR="00C85DB0" w:rsidRPr="00E56DC7">
              <w:rPr>
                <w:sz w:val="18"/>
                <w:szCs w:val="18"/>
              </w:rPr>
              <w:t xml:space="preserve"> in Victoria</w:t>
            </w:r>
            <w:r w:rsidRPr="00E56DC7">
              <w:rPr>
                <w:sz w:val="18"/>
                <w:szCs w:val="18"/>
              </w:rPr>
              <w:t xml:space="preserve"> </w:t>
            </w:r>
            <w:r w:rsidR="00C85DB0" w:rsidRPr="00E56DC7">
              <w:rPr>
                <w:sz w:val="18"/>
                <w:szCs w:val="18"/>
              </w:rPr>
              <w:t>w</w:t>
            </w:r>
            <w:r w:rsidRPr="00E56DC7">
              <w:rPr>
                <w:sz w:val="18"/>
                <w:szCs w:val="18"/>
              </w:rPr>
              <w:t xml:space="preserve">ebpage as </w:t>
            </w:r>
            <w:r w:rsidR="00C85DB0" w:rsidRPr="00E56DC7">
              <w:rPr>
                <w:sz w:val="18"/>
                <w:szCs w:val="18"/>
              </w:rPr>
              <w:t xml:space="preserve">recommended </w:t>
            </w:r>
            <w:r w:rsidRPr="00E56DC7">
              <w:rPr>
                <w:sz w:val="18"/>
                <w:szCs w:val="18"/>
              </w:rPr>
              <w:t>to receive the JE vaccine</w:t>
            </w:r>
          </w:p>
        </w:tc>
        <w:tc>
          <w:tcPr>
            <w:tcW w:w="3145" w:type="dxa"/>
          </w:tcPr>
          <w:p w14:paraId="2D8E709C" w14:textId="77777777" w:rsidR="0000567A" w:rsidRPr="00F05270" w:rsidRDefault="0000567A" w:rsidP="00FD4917">
            <w:pPr>
              <w:pStyle w:val="DHHSbody"/>
              <w:jc w:val="center"/>
              <w:rPr>
                <w:b/>
                <w:sz w:val="18"/>
                <w:szCs w:val="18"/>
              </w:rPr>
            </w:pPr>
            <w:r w:rsidRPr="00F05270">
              <w:rPr>
                <w:b/>
                <w:sz w:val="18"/>
                <w:szCs w:val="18"/>
              </w:rPr>
              <w:t>No</w:t>
            </w:r>
          </w:p>
        </w:tc>
        <w:tc>
          <w:tcPr>
            <w:tcW w:w="3145" w:type="dxa"/>
            <w:shd w:val="clear" w:color="auto" w:fill="auto"/>
          </w:tcPr>
          <w:p w14:paraId="4C82D575" w14:textId="77777777" w:rsidR="0000567A" w:rsidRPr="00F05270" w:rsidRDefault="0000567A" w:rsidP="00FD4917">
            <w:pPr>
              <w:pStyle w:val="DHHSbody"/>
              <w:jc w:val="center"/>
              <w:rPr>
                <w:sz w:val="18"/>
                <w:szCs w:val="18"/>
              </w:rPr>
            </w:pPr>
            <w:r w:rsidRPr="00F05270">
              <w:rPr>
                <w:b/>
                <w:sz w:val="18"/>
                <w:szCs w:val="18"/>
              </w:rPr>
              <w:t>Yes</w:t>
            </w:r>
            <w:r w:rsidRPr="00F05270">
              <w:rPr>
                <w:sz w:val="18"/>
                <w:szCs w:val="18"/>
              </w:rPr>
              <w:t xml:space="preserve"> </w:t>
            </w:r>
          </w:p>
          <w:p w14:paraId="5243B99A" w14:textId="77777777" w:rsidR="0000567A" w:rsidRPr="00F05270" w:rsidRDefault="0000567A" w:rsidP="00700529">
            <w:pPr>
              <w:pStyle w:val="DHHStablebullet"/>
              <w:numPr>
                <w:ilvl w:val="6"/>
                <w:numId w:val="27"/>
              </w:numPr>
              <w:rPr>
                <w:b/>
                <w:sz w:val="18"/>
                <w:szCs w:val="18"/>
              </w:rPr>
            </w:pPr>
            <w:r w:rsidRPr="00F05270">
              <w:rPr>
                <w:sz w:val="18"/>
                <w:szCs w:val="18"/>
              </w:rPr>
              <w:t>However, Pharmacist Immunisers must advise people about the availability of free vaccination services through bulk-billing general practitioners.</w:t>
            </w:r>
          </w:p>
        </w:tc>
      </w:tr>
      <w:tr w:rsidR="00AF7017" w14:paraId="448AEAD2" w14:textId="77777777" w:rsidTr="5B7D9D66">
        <w:trPr>
          <w:trHeight w:val="360"/>
        </w:trPr>
        <w:tc>
          <w:tcPr>
            <w:tcW w:w="3145" w:type="dxa"/>
            <w:shd w:val="clear" w:color="auto" w:fill="auto"/>
          </w:tcPr>
          <w:p w14:paraId="33EC6872" w14:textId="197A8646" w:rsidR="00AF7017" w:rsidRPr="001C6908" w:rsidRDefault="00AF7017" w:rsidP="00FD4917">
            <w:pPr>
              <w:pStyle w:val="DHHStabletext"/>
              <w:rPr>
                <w:sz w:val="18"/>
                <w:szCs w:val="18"/>
              </w:rPr>
            </w:pPr>
            <w:r w:rsidRPr="00E7665A">
              <w:rPr>
                <w:sz w:val="18"/>
                <w:szCs w:val="18"/>
                <w:highlight w:val="yellow"/>
              </w:rPr>
              <w:t xml:space="preserve">Persons listed on the Victorian Department of Health’s Monkeypox webpage as </w:t>
            </w:r>
            <w:r w:rsidR="00C85DB0" w:rsidRPr="00E7665A">
              <w:rPr>
                <w:sz w:val="18"/>
                <w:szCs w:val="18"/>
                <w:highlight w:val="yellow"/>
              </w:rPr>
              <w:t>recommended to receive the MPX vaccine</w:t>
            </w:r>
          </w:p>
        </w:tc>
        <w:tc>
          <w:tcPr>
            <w:tcW w:w="3145" w:type="dxa"/>
          </w:tcPr>
          <w:p w14:paraId="0F6FA0B4" w14:textId="1CC930C5" w:rsidR="00AF7017" w:rsidRPr="001C6908" w:rsidRDefault="00E56DC7" w:rsidP="00FD4917">
            <w:pPr>
              <w:pStyle w:val="DHHSbody"/>
              <w:jc w:val="center"/>
              <w:rPr>
                <w:b/>
                <w:sz w:val="18"/>
                <w:szCs w:val="18"/>
              </w:rPr>
            </w:pPr>
            <w:r w:rsidRPr="00E7665A">
              <w:rPr>
                <w:b/>
                <w:sz w:val="18"/>
                <w:szCs w:val="18"/>
                <w:highlight w:val="yellow"/>
              </w:rPr>
              <w:t>No</w:t>
            </w:r>
          </w:p>
        </w:tc>
        <w:tc>
          <w:tcPr>
            <w:tcW w:w="3145" w:type="dxa"/>
            <w:shd w:val="clear" w:color="auto" w:fill="auto"/>
          </w:tcPr>
          <w:p w14:paraId="4874D136" w14:textId="5DCF14F8" w:rsidR="00AF7017" w:rsidRPr="001C6908" w:rsidRDefault="00C20329" w:rsidP="00FD4917">
            <w:pPr>
              <w:pStyle w:val="DHHSbody"/>
              <w:jc w:val="center"/>
              <w:rPr>
                <w:b/>
                <w:sz w:val="18"/>
                <w:szCs w:val="18"/>
              </w:rPr>
            </w:pPr>
            <w:r w:rsidRPr="00C20329">
              <w:rPr>
                <w:b/>
                <w:sz w:val="18"/>
                <w:szCs w:val="18"/>
                <w:highlight w:val="yellow"/>
              </w:rPr>
              <w:t>Yes</w:t>
            </w:r>
          </w:p>
        </w:tc>
      </w:tr>
      <w:tr w:rsidR="0000567A" w14:paraId="3BE3DB8B" w14:textId="77777777" w:rsidTr="5B7D9D66">
        <w:trPr>
          <w:trHeight w:val="360"/>
        </w:trPr>
        <w:tc>
          <w:tcPr>
            <w:tcW w:w="3145" w:type="dxa"/>
            <w:shd w:val="clear" w:color="auto" w:fill="auto"/>
          </w:tcPr>
          <w:p w14:paraId="6B271F2E" w14:textId="0FF8A24E" w:rsidR="0000567A" w:rsidRPr="001C6908" w:rsidRDefault="0000567A" w:rsidP="00FD4917">
            <w:pPr>
              <w:pStyle w:val="DHHStabletext"/>
              <w:rPr>
                <w:sz w:val="18"/>
              </w:rPr>
            </w:pPr>
            <w:r w:rsidRPr="001C6908">
              <w:rPr>
                <w:sz w:val="18"/>
                <w:szCs w:val="18"/>
              </w:rPr>
              <w:t>Pers</w:t>
            </w:r>
            <w:r w:rsidRPr="00CB2F50">
              <w:rPr>
                <w:sz w:val="18"/>
                <w:szCs w:val="18"/>
              </w:rPr>
              <w:t>ons</w:t>
            </w:r>
            <w:r w:rsidRPr="001C6908">
              <w:rPr>
                <w:sz w:val="18"/>
                <w:szCs w:val="18"/>
              </w:rPr>
              <w:t xml:space="preserve"> </w:t>
            </w:r>
            <w:r w:rsidRPr="001C6908">
              <w:rPr>
                <w:b/>
                <w:sz w:val="18"/>
                <w:szCs w:val="18"/>
              </w:rPr>
              <w:t xml:space="preserve">not eligible </w:t>
            </w:r>
            <w:r w:rsidRPr="001C6908">
              <w:rPr>
                <w:sz w:val="18"/>
                <w:szCs w:val="18"/>
              </w:rPr>
              <w:t xml:space="preserve">for government-funded vaccine under the NIP (influenza, </w:t>
            </w:r>
            <w:r w:rsidR="006A4BC5" w:rsidRPr="008D521D">
              <w:rPr>
                <w:sz w:val="18"/>
                <w:szCs w:val="18"/>
                <w:highlight w:val="yellow"/>
              </w:rPr>
              <w:t>HPV, DTP,</w:t>
            </w:r>
            <w:r w:rsidR="006A4BC5">
              <w:rPr>
                <w:sz w:val="18"/>
                <w:szCs w:val="18"/>
              </w:rPr>
              <w:t xml:space="preserve"> MMR</w:t>
            </w:r>
            <w:r w:rsidRPr="001C6908">
              <w:rPr>
                <w:sz w:val="18"/>
                <w:szCs w:val="18"/>
              </w:rPr>
              <w:t xml:space="preserve"> meningococcal ACWY, </w:t>
            </w:r>
            <w:r w:rsidR="00A81B1C" w:rsidRPr="008D521D">
              <w:rPr>
                <w:sz w:val="18"/>
                <w:szCs w:val="18"/>
                <w:highlight w:val="yellow"/>
              </w:rPr>
              <w:t>pneumococcal and herpes zoster</w:t>
            </w:r>
            <w:r w:rsidR="00A81B1C">
              <w:rPr>
                <w:sz w:val="18"/>
                <w:szCs w:val="18"/>
              </w:rPr>
              <w:t xml:space="preserve"> vaccines</w:t>
            </w:r>
            <w:r w:rsidRPr="001C6908">
              <w:rPr>
                <w:sz w:val="18"/>
                <w:szCs w:val="18"/>
              </w:rPr>
              <w:t>), Victorian Government’s Partner Whooping Cough Vaccine Program or Measles-Mumps-Rubella Adult Vaccine Program</w:t>
            </w:r>
          </w:p>
        </w:tc>
        <w:tc>
          <w:tcPr>
            <w:tcW w:w="3145" w:type="dxa"/>
          </w:tcPr>
          <w:p w14:paraId="56E411F5" w14:textId="77777777" w:rsidR="0000567A" w:rsidRPr="001C6908" w:rsidRDefault="0000567A" w:rsidP="00FD4917">
            <w:pPr>
              <w:pStyle w:val="DHHSbody"/>
              <w:jc w:val="center"/>
              <w:rPr>
                <w:b/>
                <w:sz w:val="18"/>
                <w:szCs w:val="18"/>
              </w:rPr>
            </w:pPr>
            <w:r w:rsidRPr="001C6908">
              <w:rPr>
                <w:b/>
                <w:sz w:val="18"/>
                <w:szCs w:val="18"/>
              </w:rPr>
              <w:t>Yes</w:t>
            </w:r>
          </w:p>
          <w:p w14:paraId="0691D3BA" w14:textId="77777777" w:rsidR="0000567A" w:rsidRPr="001C6908" w:rsidRDefault="0000567A" w:rsidP="00FD4917">
            <w:pPr>
              <w:pStyle w:val="DHHStabletext"/>
              <w:rPr>
                <w:sz w:val="18"/>
              </w:rPr>
            </w:pPr>
            <w:r w:rsidRPr="001C6908">
              <w:rPr>
                <w:sz w:val="18"/>
                <w:szCs w:val="18"/>
              </w:rPr>
              <w:t>These vaccines should be accessed from private suppliers.</w:t>
            </w:r>
          </w:p>
        </w:tc>
        <w:tc>
          <w:tcPr>
            <w:tcW w:w="3145" w:type="dxa"/>
            <w:shd w:val="clear" w:color="auto" w:fill="auto"/>
          </w:tcPr>
          <w:p w14:paraId="23743361" w14:textId="77777777" w:rsidR="0000567A" w:rsidRPr="001C6908" w:rsidRDefault="0000567A" w:rsidP="00FD4917">
            <w:pPr>
              <w:pStyle w:val="DHHSbody"/>
              <w:jc w:val="center"/>
              <w:rPr>
                <w:sz w:val="18"/>
              </w:rPr>
            </w:pPr>
            <w:r w:rsidRPr="001C6908">
              <w:rPr>
                <w:b/>
                <w:sz w:val="18"/>
                <w:szCs w:val="18"/>
              </w:rPr>
              <w:t>Yes</w:t>
            </w:r>
          </w:p>
        </w:tc>
      </w:tr>
      <w:tr w:rsidR="0000567A" w14:paraId="5F313F70" w14:textId="77777777" w:rsidTr="5B7D9D66">
        <w:trPr>
          <w:trHeight w:val="360"/>
        </w:trPr>
        <w:tc>
          <w:tcPr>
            <w:tcW w:w="3145" w:type="dxa"/>
            <w:shd w:val="clear" w:color="auto" w:fill="auto"/>
          </w:tcPr>
          <w:p w14:paraId="75E1878C" w14:textId="16BC8997" w:rsidR="0000567A" w:rsidRDefault="0000567A" w:rsidP="00FD4917">
            <w:pPr>
              <w:pStyle w:val="DHHStabletext"/>
              <w:rPr>
                <w:sz w:val="18"/>
                <w:szCs w:val="18"/>
              </w:rPr>
            </w:pPr>
            <w:r w:rsidRPr="00F05270">
              <w:rPr>
                <w:sz w:val="18"/>
                <w:szCs w:val="18"/>
              </w:rPr>
              <w:t xml:space="preserve">Persons </w:t>
            </w:r>
            <w:r w:rsidRPr="007071D0">
              <w:rPr>
                <w:b/>
                <w:bCs/>
                <w:sz w:val="18"/>
                <w:szCs w:val="18"/>
              </w:rPr>
              <w:t>not</w:t>
            </w:r>
            <w:r w:rsidRPr="00F05270">
              <w:rPr>
                <w:sz w:val="18"/>
                <w:szCs w:val="18"/>
              </w:rPr>
              <w:t xml:space="preserve"> listed on the Victorian Department of Health’s Japanese </w:t>
            </w:r>
            <w:r w:rsidR="00661129">
              <w:rPr>
                <w:sz w:val="18"/>
                <w:szCs w:val="18"/>
              </w:rPr>
              <w:t>e</w:t>
            </w:r>
            <w:r w:rsidRPr="00F05270">
              <w:rPr>
                <w:sz w:val="18"/>
                <w:szCs w:val="18"/>
              </w:rPr>
              <w:t xml:space="preserve">ncephalitis </w:t>
            </w:r>
            <w:r w:rsidR="00661129">
              <w:rPr>
                <w:sz w:val="18"/>
                <w:szCs w:val="18"/>
              </w:rPr>
              <w:t>in Victoria w</w:t>
            </w:r>
            <w:r w:rsidRPr="00F05270">
              <w:rPr>
                <w:sz w:val="18"/>
                <w:szCs w:val="18"/>
              </w:rPr>
              <w:t xml:space="preserve">ebpage as </w:t>
            </w:r>
            <w:r w:rsidR="00661129">
              <w:rPr>
                <w:sz w:val="18"/>
                <w:szCs w:val="18"/>
              </w:rPr>
              <w:t>recommended</w:t>
            </w:r>
            <w:r w:rsidR="00661129" w:rsidRPr="00F05270">
              <w:rPr>
                <w:sz w:val="18"/>
                <w:szCs w:val="18"/>
              </w:rPr>
              <w:t xml:space="preserve"> </w:t>
            </w:r>
            <w:r w:rsidRPr="00F05270">
              <w:rPr>
                <w:sz w:val="18"/>
                <w:szCs w:val="18"/>
              </w:rPr>
              <w:t xml:space="preserve">to receive the JE vaccine </w:t>
            </w:r>
          </w:p>
          <w:p w14:paraId="2C89501F" w14:textId="77777777" w:rsidR="00661129" w:rsidRDefault="00661129" w:rsidP="00FD4917">
            <w:pPr>
              <w:pStyle w:val="DHHStabletext"/>
              <w:rPr>
                <w:sz w:val="18"/>
                <w:szCs w:val="18"/>
              </w:rPr>
            </w:pPr>
          </w:p>
          <w:p w14:paraId="2F6A2C07" w14:textId="0BE4508C" w:rsidR="00661129" w:rsidRPr="00F05270" w:rsidRDefault="00661129" w:rsidP="00FD4917">
            <w:pPr>
              <w:pStyle w:val="DHHStabletext"/>
              <w:rPr>
                <w:sz w:val="18"/>
                <w:szCs w:val="18"/>
              </w:rPr>
            </w:pPr>
            <w:r w:rsidRPr="00661129">
              <w:rPr>
                <w:sz w:val="18"/>
                <w:szCs w:val="18"/>
                <w:highlight w:val="yellow"/>
              </w:rPr>
              <w:t xml:space="preserve">Persons </w:t>
            </w:r>
            <w:r w:rsidRPr="007071D0">
              <w:rPr>
                <w:b/>
                <w:bCs/>
                <w:sz w:val="18"/>
                <w:szCs w:val="18"/>
                <w:highlight w:val="yellow"/>
              </w:rPr>
              <w:t>not</w:t>
            </w:r>
            <w:r w:rsidRPr="00661129">
              <w:rPr>
                <w:sz w:val="18"/>
                <w:szCs w:val="18"/>
                <w:highlight w:val="yellow"/>
              </w:rPr>
              <w:t xml:space="preserve"> listed on the Victorian Department of Health’s Monkeypox webpage as recommended to receive the MPX vaccine</w:t>
            </w:r>
          </w:p>
        </w:tc>
        <w:tc>
          <w:tcPr>
            <w:tcW w:w="6290" w:type="dxa"/>
            <w:gridSpan w:val="2"/>
          </w:tcPr>
          <w:p w14:paraId="1727DBCB" w14:textId="77777777" w:rsidR="0000567A" w:rsidRPr="00F05270" w:rsidRDefault="0000567A" w:rsidP="00FD4917">
            <w:pPr>
              <w:pStyle w:val="DHHSbody"/>
              <w:rPr>
                <w:b/>
                <w:sz w:val="18"/>
                <w:szCs w:val="18"/>
              </w:rPr>
            </w:pPr>
          </w:p>
          <w:p w14:paraId="6F27A6A7" w14:textId="0E52A64C" w:rsidR="0000567A" w:rsidRPr="001C6908" w:rsidRDefault="0000567A" w:rsidP="00FD4917">
            <w:pPr>
              <w:pStyle w:val="DHHSbody"/>
              <w:jc w:val="center"/>
              <w:rPr>
                <w:bCs/>
                <w:sz w:val="18"/>
                <w:szCs w:val="18"/>
              </w:rPr>
            </w:pPr>
            <w:r w:rsidRPr="00F05270">
              <w:rPr>
                <w:b/>
                <w:sz w:val="18"/>
                <w:szCs w:val="18"/>
              </w:rPr>
              <w:t>No</w:t>
            </w:r>
            <w:r w:rsidRPr="00F05270">
              <w:rPr>
                <w:bCs/>
                <w:sz w:val="18"/>
                <w:szCs w:val="18"/>
              </w:rPr>
              <w:t xml:space="preserve"> – pharmacist immunisers are not authorised to administer vaccines to people that are not </w:t>
            </w:r>
            <w:r w:rsidR="00661129">
              <w:rPr>
                <w:bCs/>
                <w:sz w:val="18"/>
                <w:szCs w:val="18"/>
              </w:rPr>
              <w:t>recommended</w:t>
            </w:r>
            <w:r w:rsidR="00661129" w:rsidRPr="00F05270">
              <w:rPr>
                <w:bCs/>
                <w:sz w:val="18"/>
                <w:szCs w:val="18"/>
              </w:rPr>
              <w:t xml:space="preserve"> </w:t>
            </w:r>
            <w:r w:rsidRPr="00F05270">
              <w:rPr>
                <w:bCs/>
                <w:sz w:val="18"/>
                <w:szCs w:val="18"/>
              </w:rPr>
              <w:t>to receive the vaccine</w:t>
            </w:r>
          </w:p>
        </w:tc>
      </w:tr>
    </w:tbl>
    <w:p w14:paraId="7F5BA5BE" w14:textId="77777777" w:rsidR="0000567A" w:rsidRDefault="0000567A" w:rsidP="0000567A"/>
    <w:p w14:paraId="79F2661A" w14:textId="73F5B3C7" w:rsidR="0000567A" w:rsidRPr="00F05270" w:rsidRDefault="0000567A" w:rsidP="00700529">
      <w:pPr>
        <w:pStyle w:val="Heading1"/>
        <w:numPr>
          <w:ilvl w:val="0"/>
          <w:numId w:val="31"/>
        </w:numPr>
        <w:rPr>
          <w:sz w:val="40"/>
          <w:szCs w:val="40"/>
        </w:rPr>
      </w:pPr>
      <w:bookmarkStart w:id="75" w:name="_Toc115426515"/>
      <w:r w:rsidRPr="00F05270">
        <w:rPr>
          <w:sz w:val="40"/>
          <w:szCs w:val="40"/>
        </w:rPr>
        <w:lastRenderedPageBreak/>
        <w:t>Questions</w:t>
      </w:r>
      <w:bookmarkEnd w:id="75"/>
    </w:p>
    <w:p w14:paraId="5A6C4512" w14:textId="2EAC8248" w:rsidR="0008204A" w:rsidRPr="0008204A" w:rsidRDefault="0000567A" w:rsidP="0010243C">
      <w:pPr>
        <w:pStyle w:val="DHHSbody"/>
      </w:pPr>
      <w:r w:rsidRPr="001C6908">
        <w:t>If you have any questions regarding the Victorian Pharmacist-Administered Vaccination Program or</w:t>
      </w:r>
      <w:r w:rsidRPr="00CB2F50">
        <w:t xml:space="preserve"> these Guidelines, please contact the Immunisation unit, Department of Health </w:t>
      </w:r>
      <w:r w:rsidRPr="002B1755">
        <w:t>via</w:t>
      </w:r>
      <w:r w:rsidRPr="002B1755">
        <w:rPr>
          <w:lang w:val="it-IT"/>
        </w:rPr>
        <w:t xml:space="preserve"> email:</w:t>
      </w:r>
      <w:r w:rsidRPr="002B1755">
        <w:t xml:space="preserve"> </w:t>
      </w:r>
      <w:r w:rsidR="00100A50">
        <w:t>&lt;</w:t>
      </w:r>
      <w:hyperlink r:id="rId53" w:history="1">
        <w:r w:rsidRPr="00A65FF1">
          <w:rPr>
            <w:rStyle w:val="Hyperlink"/>
            <w:lang w:val="it-IT"/>
          </w:rPr>
          <w:t>immunisation@health.vic.gov.au</w:t>
        </w:r>
      </w:hyperlink>
      <w:r w:rsidR="00100A50">
        <w:rPr>
          <w:lang w:val="it-IT"/>
        </w:rPr>
        <w:t>&gt;</w:t>
      </w:r>
      <w:r w:rsidR="009A1C7C">
        <w:rPr>
          <w:lang w:val="it-IT"/>
        </w:rPr>
        <w:t>.</w:t>
      </w:r>
      <w:bookmarkEnd w:id="1"/>
      <w:bookmarkEnd w:id="3"/>
      <w:bookmarkEnd w:id="5"/>
    </w:p>
    <w:sectPr w:rsidR="0008204A" w:rsidRPr="0008204A" w:rsidSect="00454A7D">
      <w:headerReference w:type="even" r:id="rId54"/>
      <w:headerReference w:type="default" r:id="rId55"/>
      <w:footerReference w:type="even" r:id="rId56"/>
      <w:footerReference w:type="default" r:id="rId57"/>
      <w:pgSz w:w="11906" w:h="16838" w:code="9"/>
      <w:pgMar w:top="1418" w:right="1304" w:bottom="1134" w:left="1304" w:header="680"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0F570" w14:textId="77777777" w:rsidR="00232571" w:rsidRDefault="00232571">
      <w:r>
        <w:separator/>
      </w:r>
    </w:p>
    <w:p w14:paraId="124476F3" w14:textId="77777777" w:rsidR="00232571" w:rsidRDefault="00232571"/>
  </w:endnote>
  <w:endnote w:type="continuationSeparator" w:id="0">
    <w:p w14:paraId="31847FED" w14:textId="77777777" w:rsidR="00232571" w:rsidRDefault="00232571">
      <w:r>
        <w:continuationSeparator/>
      </w:r>
    </w:p>
    <w:p w14:paraId="432C7C97" w14:textId="77777777" w:rsidR="00232571" w:rsidRDefault="00232571"/>
  </w:endnote>
  <w:endnote w:type="continuationNotice" w:id="1">
    <w:p w14:paraId="5612FBA7" w14:textId="77777777" w:rsidR="00232571" w:rsidRDefault="002325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
    <w:altName w:val="Arial"/>
    <w:panose1 w:val="020B0604020202030204"/>
    <w:charset w:val="00"/>
    <w:family w:val="swiss"/>
    <w:pitch w:val="variable"/>
    <w:sig w:usb0="00000003" w:usb1="00000000" w:usb2="00000000" w:usb3="00000000" w:csb0="00000001" w:csb1="00000000"/>
  </w:font>
  <w:font w:name="MS PMincho">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701B4" w14:textId="77777777" w:rsidR="00EB4BC7" w:rsidRDefault="00EB4BC7">
    <w:pPr>
      <w:pStyle w:val="Footer"/>
    </w:pPr>
    <w:r>
      <w:rPr>
        <w:noProof/>
      </w:rPr>
      <mc:AlternateContent>
        <mc:Choice Requires="wps">
          <w:drawing>
            <wp:anchor distT="0" distB="0" distL="114300" distR="114300" simplePos="0" relativeHeight="251671552" behindDoc="0" locked="0" layoutInCell="0" allowOverlap="1" wp14:anchorId="24CBEF46" wp14:editId="3EA71524">
              <wp:simplePos x="0" y="0"/>
              <wp:positionH relativeFrom="page">
                <wp:posOffset>0</wp:posOffset>
              </wp:positionH>
              <wp:positionV relativeFrom="page">
                <wp:posOffset>10189845</wp:posOffset>
              </wp:positionV>
              <wp:extent cx="7560310" cy="311785"/>
              <wp:effectExtent l="0" t="0" r="0" b="12065"/>
              <wp:wrapNone/>
              <wp:docPr id="7" name="MSIPCM9dd54572b391b968e538fedc"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171852" w14:textId="77777777" w:rsidR="00EB4BC7" w:rsidRPr="00EB4BC7" w:rsidRDefault="00EB4BC7" w:rsidP="00EB4BC7">
                          <w:pPr>
                            <w:jc w:val="center"/>
                            <w:rPr>
                              <w:rFonts w:ascii="Arial Black" w:hAnsi="Arial Black"/>
                              <w:color w:val="000000"/>
                            </w:rPr>
                          </w:pPr>
                          <w:r w:rsidRPr="00EB4BC7">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4CBEF46" id="_x0000_t202" coordsize="21600,21600" o:spt="202" path="m,l,21600r21600,l21600,xe">
              <v:stroke joinstyle="miter"/>
              <v:path gradientshapeok="t" o:connecttype="rect"/>
            </v:shapetype>
            <v:shape id="MSIPCM9dd54572b391b968e538fedc" o:spid="_x0000_s1027" type="#_x0000_t202" alt="{&quot;HashCode&quot;:904758361,&quot;Height&quot;:841.0,&quot;Width&quot;:595.0,&quot;Placement&quot;:&quot;Footer&quot;,&quot;Index&quot;:&quot;OddAndEven&quot;,&quot;Section&quot;:1,&quot;Top&quot;:0.0,&quot;Left&quot;:0.0}" style="position:absolute;left:0;text-align:left;margin-left:0;margin-top:802.35pt;width:595.3pt;height:24.55pt;z-index:2516715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2F171852" w14:textId="77777777" w:rsidR="00EB4BC7" w:rsidRPr="00EB4BC7" w:rsidRDefault="00EB4BC7" w:rsidP="00EB4BC7">
                    <w:pPr>
                      <w:jc w:val="center"/>
                      <w:rPr>
                        <w:rFonts w:ascii="Arial Black" w:hAnsi="Arial Black"/>
                        <w:color w:val="000000"/>
                      </w:rPr>
                    </w:pPr>
                    <w:r w:rsidRPr="00EB4BC7">
                      <w:rPr>
                        <w:rFonts w:ascii="Arial Black" w:hAnsi="Arial Black"/>
                        <w:color w:val="00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67012" w14:textId="77777777" w:rsidR="00431A70" w:rsidRDefault="00EB4BC7">
    <w:pPr>
      <w:pStyle w:val="Footer"/>
    </w:pPr>
    <w:r>
      <w:rPr>
        <w:noProof/>
        <w:lang w:eastAsia="en-AU"/>
      </w:rPr>
      <mc:AlternateContent>
        <mc:Choice Requires="wps">
          <w:drawing>
            <wp:anchor distT="0" distB="0" distL="114300" distR="114300" simplePos="0" relativeHeight="251651072" behindDoc="0" locked="0" layoutInCell="0" allowOverlap="1" wp14:anchorId="2AE2CF36" wp14:editId="5A3408E2">
              <wp:simplePos x="0" y="0"/>
              <wp:positionH relativeFrom="page">
                <wp:posOffset>0</wp:posOffset>
              </wp:positionH>
              <wp:positionV relativeFrom="page">
                <wp:posOffset>10189687</wp:posOffset>
              </wp:positionV>
              <wp:extent cx="7560310" cy="311785"/>
              <wp:effectExtent l="0" t="0" r="0" b="12065"/>
              <wp:wrapNone/>
              <wp:docPr id="5" name="MSIPCM36724fdbb2a52fcfc05f86a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A52D82F" w14:textId="77777777" w:rsidR="00EB4BC7" w:rsidRPr="00EB4BC7" w:rsidRDefault="00EB4BC7" w:rsidP="002C5B7C">
                          <w:pPr>
                            <w:jc w:val="center"/>
                            <w:rPr>
                              <w:rFonts w:ascii="Arial Black" w:hAnsi="Arial Black"/>
                              <w:color w:val="000000"/>
                            </w:rPr>
                          </w:pPr>
                          <w:r w:rsidRPr="00EB4BC7">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AE2CF36" id="_x0000_t202" coordsize="21600,21600" o:spt="202" path="m,l,21600r21600,l21600,xe">
              <v:stroke joinstyle="miter"/>
              <v:path gradientshapeok="t" o:connecttype="rect"/>
            </v:shapetype>
            <v:shape id="MSIPCM36724fdbb2a52fcfc05f86a5" o:spid="_x0000_s1028" type="#_x0000_t202" alt="{&quot;HashCode&quot;:904758361,&quot;Height&quot;:841.0,&quot;Width&quot;:595.0,&quot;Placement&quot;:&quot;Footer&quot;,&quot;Index&quot;:&quot;Primary&quot;,&quot;Section&quot;:1,&quot;Top&quot;:0.0,&quot;Left&quot;:0.0}" style="position:absolute;left:0;text-align:left;margin-left:0;margin-top:802.35pt;width:595.3pt;height:24.55pt;z-index:25165107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1A52D82F" w14:textId="77777777" w:rsidR="00EB4BC7" w:rsidRPr="00EB4BC7" w:rsidRDefault="00EB4BC7" w:rsidP="002C5B7C">
                    <w:pPr>
                      <w:jc w:val="center"/>
                      <w:rPr>
                        <w:rFonts w:ascii="Arial Black" w:hAnsi="Arial Black"/>
                        <w:color w:val="000000"/>
                      </w:rPr>
                    </w:pPr>
                    <w:r w:rsidRPr="00EB4BC7">
                      <w:rPr>
                        <w:rFonts w:ascii="Arial Black" w:hAnsi="Arial Black"/>
                        <w:color w:val="00000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20AA4" w14:textId="77777777" w:rsidR="00EB4BC7" w:rsidRDefault="00EB4BC7">
    <w:pPr>
      <w:pStyle w:val="Footer"/>
    </w:pPr>
    <w:r>
      <w:rPr>
        <w:noProof/>
      </w:rPr>
      <mc:AlternateContent>
        <mc:Choice Requires="wps">
          <w:drawing>
            <wp:anchor distT="0" distB="0" distL="114300" distR="114300" simplePos="0" relativeHeight="251661312" behindDoc="0" locked="0" layoutInCell="0" allowOverlap="1" wp14:anchorId="19459DC5" wp14:editId="1EC255FA">
              <wp:simplePos x="0" y="0"/>
              <wp:positionH relativeFrom="page">
                <wp:posOffset>0</wp:posOffset>
              </wp:positionH>
              <wp:positionV relativeFrom="page">
                <wp:posOffset>10189845</wp:posOffset>
              </wp:positionV>
              <wp:extent cx="7560310" cy="311785"/>
              <wp:effectExtent l="0" t="0" r="0" b="12065"/>
              <wp:wrapNone/>
              <wp:docPr id="6" name="MSIPCMf6504bf684e4519137a7274a"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CA689A7" w14:textId="77777777" w:rsidR="00EB4BC7" w:rsidRPr="00EB4BC7" w:rsidRDefault="00EB4BC7" w:rsidP="00EB4BC7">
                          <w:pPr>
                            <w:jc w:val="center"/>
                            <w:rPr>
                              <w:rFonts w:ascii="Arial Black" w:hAnsi="Arial Black"/>
                              <w:color w:val="000000"/>
                            </w:rPr>
                          </w:pPr>
                          <w:r w:rsidRPr="00EB4BC7">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9459DC5" id="_x0000_t202" coordsize="21600,21600" o:spt="202" path="m,l,21600r21600,l21600,xe">
              <v:stroke joinstyle="miter"/>
              <v:path gradientshapeok="t" o:connecttype="rect"/>
            </v:shapetype>
            <v:shape id="MSIPCMf6504bf684e4519137a7274a" o:spid="_x0000_s1029"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40ZvxgCAAArBAAADgAAAAAAAAAAAAAAAAAuAgAAZHJzL2Uyb0RvYy54bWxQSwECLQAU&#10;AAYACAAAACEAL5BIl+AAAAALAQAADwAAAAAAAAAAAAAAAAByBAAAZHJzL2Rvd25yZXYueG1sUEsF&#10;BgAAAAAEAAQA8wAAAH8FAAAAAA==&#10;" o:allowincell="f" filled="f" stroked="f" strokeweight=".5pt">
              <v:textbox inset=",0,,0">
                <w:txbxContent>
                  <w:p w14:paraId="5CA689A7" w14:textId="77777777" w:rsidR="00EB4BC7" w:rsidRPr="00EB4BC7" w:rsidRDefault="00EB4BC7" w:rsidP="00EB4BC7">
                    <w:pPr>
                      <w:jc w:val="center"/>
                      <w:rPr>
                        <w:rFonts w:ascii="Arial Black" w:hAnsi="Arial Black"/>
                        <w:color w:val="000000"/>
                      </w:rPr>
                    </w:pPr>
                    <w:r w:rsidRPr="00EB4BC7">
                      <w:rPr>
                        <w:rFonts w:ascii="Arial Black" w:hAnsi="Arial Black"/>
                        <w:color w:val="00000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322BD" w14:textId="77777777" w:rsidR="0000567A" w:rsidRDefault="0000567A">
    <w:pPr>
      <w:pStyle w:val="Footer"/>
    </w:pPr>
    <w:r>
      <w:rPr>
        <w:noProof/>
      </w:rPr>
      <mc:AlternateContent>
        <mc:Choice Requires="wps">
          <w:drawing>
            <wp:anchor distT="0" distB="0" distL="114300" distR="114300" simplePos="1" relativeHeight="251658246" behindDoc="0" locked="0" layoutInCell="0" allowOverlap="1" wp14:anchorId="731E9BD0" wp14:editId="784C767E">
              <wp:simplePos x="0" y="10189687"/>
              <wp:positionH relativeFrom="page">
                <wp:posOffset>0</wp:posOffset>
              </wp:positionH>
              <wp:positionV relativeFrom="page">
                <wp:posOffset>10189210</wp:posOffset>
              </wp:positionV>
              <wp:extent cx="7560310" cy="311785"/>
              <wp:effectExtent l="0" t="0" r="0" b="12065"/>
              <wp:wrapNone/>
              <wp:docPr id="9" name="MSIPCM5e3045c68594b0e890226e2e"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F72868" w14:textId="77777777" w:rsidR="0000567A" w:rsidRPr="004A4173" w:rsidRDefault="0000567A" w:rsidP="00FD4917">
                          <w:pPr>
                            <w:jc w:val="center"/>
                            <w:rPr>
                              <w:rFonts w:ascii="Arial Black" w:hAnsi="Arial Black"/>
                              <w:color w:val="000000"/>
                            </w:rPr>
                          </w:pPr>
                          <w:r w:rsidRPr="004A4173">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31E9BD0" id="_x0000_t202" coordsize="21600,21600" o:spt="202" path="m,l,21600r21600,l21600,xe">
              <v:stroke joinstyle="miter"/>
              <v:path gradientshapeok="t" o:connecttype="rect"/>
            </v:shapetype>
            <v:shape id="MSIPCM5e3045c68594b0e890226e2e" o:spid="_x0000_s1030" type="#_x0000_t202" alt="{&quot;HashCode&quot;:904758361,&quot;Height&quot;:841.0,&quot;Width&quot;:595.0,&quot;Placement&quot;:&quot;Footer&quot;,&quot;Index&quot;:&quot;OddAndEven&quot;,&quot;Section&quot;:1,&quot;Top&quot;:0.0,&quot;Left&quot;:0.0}" style="position:absolute;left:0;text-align:left;margin-left:0;margin-top:802.3pt;width:595.3pt;height:24.55pt;z-index:25165824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69F72868" w14:textId="77777777" w:rsidR="0000567A" w:rsidRPr="004A4173" w:rsidRDefault="0000567A" w:rsidP="00FD4917">
                    <w:pPr>
                      <w:jc w:val="center"/>
                      <w:rPr>
                        <w:rFonts w:ascii="Arial Black" w:hAnsi="Arial Black"/>
                        <w:color w:val="000000"/>
                      </w:rPr>
                    </w:pPr>
                    <w:r w:rsidRPr="004A4173">
                      <w:rPr>
                        <w:rFonts w:ascii="Arial Black" w:hAnsi="Arial Black"/>
                        <w:color w:val="00000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E3A03" w14:textId="57B08516" w:rsidR="0000567A" w:rsidRDefault="0000567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BE03A" w14:textId="188D9AFA" w:rsidR="0000567A" w:rsidRDefault="00931E07">
    <w:pPr>
      <w:pStyle w:val="Footer"/>
    </w:pPr>
    <w:r>
      <w:rPr>
        <w:noProof/>
      </w:rPr>
      <mc:AlternateContent>
        <mc:Choice Requires="wps">
          <w:drawing>
            <wp:anchor distT="0" distB="0" distL="114300" distR="114300" simplePos="0" relativeHeight="251658247" behindDoc="0" locked="0" layoutInCell="0" allowOverlap="1" wp14:anchorId="0B7F357A" wp14:editId="0BC152E0">
              <wp:simplePos x="0" y="0"/>
              <wp:positionH relativeFrom="page">
                <wp:posOffset>0</wp:posOffset>
              </wp:positionH>
              <wp:positionV relativeFrom="page">
                <wp:posOffset>10189687</wp:posOffset>
              </wp:positionV>
              <wp:extent cx="7560310" cy="311785"/>
              <wp:effectExtent l="0" t="0" r="0" b="12065"/>
              <wp:wrapNone/>
              <wp:docPr id="13" name="MSIPCM987d4e058b96a5994a33ba1d" descr="{&quot;HashCode&quot;:904758361,&quot;Height&quot;:841.0,&quot;Width&quot;:595.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9A4DBD0" w14:textId="2B10B85A" w:rsidR="00931E07" w:rsidRPr="00931E07" w:rsidRDefault="00931E07" w:rsidP="00931E07">
                          <w:pPr>
                            <w:jc w:val="center"/>
                            <w:rPr>
                              <w:rFonts w:ascii="Arial Black" w:hAnsi="Arial Black"/>
                              <w:color w:val="000000"/>
                            </w:rPr>
                          </w:pPr>
                          <w:r w:rsidRPr="00931E07">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B7F357A" id="_x0000_t202" coordsize="21600,21600" o:spt="202" path="m,l,21600r21600,l21600,xe">
              <v:stroke joinstyle="miter"/>
              <v:path gradientshapeok="t" o:connecttype="rect"/>
            </v:shapetype>
            <v:shape id="MSIPCM987d4e058b96a5994a33ba1d" o:spid="_x0000_s1031" type="#_x0000_t202" alt="{&quot;HashCode&quot;:904758361,&quot;Height&quot;:841.0,&quot;Width&quot;:595.0,&quot;Placement&quot;:&quot;Footer&quot;,&quot;Index&quot;:&quot;FirstPage&quot;,&quot;Section&quot;:2,&quot;Top&quot;:0.0,&quot;Left&quot;:0.0}" style="position:absolute;left:0;text-align:left;margin-left:0;margin-top:802.35pt;width:595.3pt;height:24.55pt;z-index:25165824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GaH+OhgCAAArBAAADgAAAAAAAAAAAAAAAAAuAgAAZHJzL2Uyb0RvYy54bWxQSwECLQAU&#10;AAYACAAAACEAL5BIl+AAAAALAQAADwAAAAAAAAAAAAAAAAByBAAAZHJzL2Rvd25yZXYueG1sUEsF&#10;BgAAAAAEAAQA8wAAAH8FAAAAAA==&#10;" o:allowincell="f" filled="f" stroked="f" strokeweight=".5pt">
              <v:textbox inset=",0,,0">
                <w:txbxContent>
                  <w:p w14:paraId="09A4DBD0" w14:textId="2B10B85A" w:rsidR="00931E07" w:rsidRPr="00931E07" w:rsidRDefault="00931E07" w:rsidP="00931E07">
                    <w:pPr>
                      <w:jc w:val="center"/>
                      <w:rPr>
                        <w:rFonts w:ascii="Arial Black" w:hAnsi="Arial Black"/>
                        <w:color w:val="000000"/>
                      </w:rPr>
                    </w:pPr>
                    <w:r w:rsidRPr="00931E07">
                      <w:rPr>
                        <w:rFonts w:ascii="Arial Black" w:hAnsi="Arial Black"/>
                        <w:color w:val="000000"/>
                      </w:rPr>
                      <w:t>OFFICIAL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57310" w14:textId="77777777" w:rsidR="00D63636" w:rsidRDefault="002C5B7C">
    <w:pPr>
      <w:pStyle w:val="Footer"/>
    </w:pPr>
    <w:r>
      <w:rPr>
        <w:noProof/>
        <w:lang w:eastAsia="en-AU"/>
      </w:rPr>
      <mc:AlternateContent>
        <mc:Choice Requires="wps">
          <w:drawing>
            <wp:anchor distT="0" distB="0" distL="114300" distR="114300" simplePos="0" relativeHeight="251658244" behindDoc="0" locked="0" layoutInCell="0" allowOverlap="1" wp14:anchorId="20690F45" wp14:editId="797B8D6C">
              <wp:simplePos x="0" y="0"/>
              <wp:positionH relativeFrom="page">
                <wp:posOffset>0</wp:posOffset>
              </wp:positionH>
              <wp:positionV relativeFrom="page">
                <wp:posOffset>10189210</wp:posOffset>
              </wp:positionV>
              <wp:extent cx="7560310" cy="311785"/>
              <wp:effectExtent l="0" t="0" r="0" b="12065"/>
              <wp:wrapNone/>
              <wp:docPr id="4" name="MSIPCMd3f54469bd0204c6fb2f3fa8"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E6BF72" w14:textId="77777777" w:rsidR="002C5B7C" w:rsidRPr="002C5B7C" w:rsidRDefault="002C5B7C" w:rsidP="002C5B7C">
                          <w:pPr>
                            <w:jc w:val="center"/>
                            <w:rPr>
                              <w:rFonts w:ascii="Arial Black" w:hAnsi="Arial Black"/>
                              <w:color w:val="000000"/>
                            </w:rPr>
                          </w:pPr>
                          <w:r w:rsidRPr="002C5B7C">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0690F45" id="_x0000_t202" coordsize="21600,21600" o:spt="202" path="m,l,21600r21600,l21600,xe">
              <v:stroke joinstyle="miter"/>
              <v:path gradientshapeok="t" o:connecttype="rect"/>
            </v:shapetype>
            <v:shape id="MSIPCMd3f54469bd0204c6fb2f3fa8" o:spid="_x0000_s1032" type="#_x0000_t202" alt="{&quot;HashCode&quot;:904758361,&quot;Height&quot;:841.0,&quot;Width&quot;:595.0,&quot;Placement&quot;:&quot;Footer&quot;,&quot;Index&quot;:&quot;OddAndEven&quot;,&quot;Section&quot;:3,&quot;Top&quot;:0.0,&quot;Left&quot;:0.0}" style="position:absolute;left:0;text-align:left;margin-left:0;margin-top:802.3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w14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Uj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INw14GAIAACsEAAAOAAAAAAAAAAAAAAAAAC4CAABkcnMvZTJvRG9jLnhtbFBLAQItABQA&#10;BgAIAAAAIQBIDV6a3wAAAAsBAAAPAAAAAAAAAAAAAAAAAHIEAABkcnMvZG93bnJldi54bWxQSwUG&#10;AAAAAAQABADzAAAAfgUAAAAA&#10;" o:allowincell="f" filled="f" stroked="f" strokeweight=".5pt">
              <v:textbox inset=",0,,0">
                <w:txbxContent>
                  <w:p w14:paraId="7FE6BF72" w14:textId="77777777" w:rsidR="002C5B7C" w:rsidRPr="002C5B7C" w:rsidRDefault="002C5B7C" w:rsidP="002C5B7C">
                    <w:pPr>
                      <w:jc w:val="center"/>
                      <w:rPr>
                        <w:rFonts w:ascii="Arial Black" w:hAnsi="Arial Black"/>
                        <w:color w:val="000000"/>
                      </w:rPr>
                    </w:pPr>
                    <w:r w:rsidRPr="002C5B7C">
                      <w:rPr>
                        <w:rFonts w:ascii="Arial Black" w:hAnsi="Arial Black"/>
                        <w:color w:val="000000"/>
                      </w:rPr>
                      <w:t>OFFICIAL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17D9B" w14:textId="22C70A74" w:rsidR="00431A70" w:rsidRDefault="00931E07">
    <w:pPr>
      <w:pStyle w:val="Footer"/>
    </w:pPr>
    <w:r>
      <w:rPr>
        <w:noProof/>
        <w:lang w:eastAsia="en-AU"/>
      </w:rPr>
      <mc:AlternateContent>
        <mc:Choice Requires="wps">
          <w:drawing>
            <wp:anchor distT="0" distB="0" distL="114300" distR="114300" simplePos="0" relativeHeight="251658248" behindDoc="0" locked="0" layoutInCell="0" allowOverlap="1" wp14:anchorId="48E8CC72" wp14:editId="720A5D01">
              <wp:simplePos x="0" y="0"/>
              <wp:positionH relativeFrom="page">
                <wp:posOffset>0</wp:posOffset>
              </wp:positionH>
              <wp:positionV relativeFrom="page">
                <wp:posOffset>10189210</wp:posOffset>
              </wp:positionV>
              <wp:extent cx="7560310" cy="311785"/>
              <wp:effectExtent l="0" t="0" r="0" b="12065"/>
              <wp:wrapNone/>
              <wp:docPr id="15" name="MSIPCMb34a411bb3a655252a9f3998" descr="{&quot;HashCode&quot;:904758361,&quot;Height&quot;:841.0,&quot;Width&quot;:595.0,&quot;Placement&quot;:&quot;Footer&quot;,&quot;Index&quot;:&quot;Primary&quot;,&quot;Section&quot;:5,&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6455A0E" w14:textId="33F43C5A" w:rsidR="00931E07" w:rsidRPr="00931E07" w:rsidRDefault="00931E07" w:rsidP="00931E07">
                          <w:pPr>
                            <w:jc w:val="center"/>
                            <w:rPr>
                              <w:rFonts w:ascii="Arial Black" w:hAnsi="Arial Black"/>
                              <w:color w:val="000000"/>
                            </w:rPr>
                          </w:pPr>
                          <w:r w:rsidRPr="00931E07">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8E8CC72" id="_x0000_t202" coordsize="21600,21600" o:spt="202" path="m,l,21600r21600,l21600,xe">
              <v:stroke joinstyle="miter"/>
              <v:path gradientshapeok="t" o:connecttype="rect"/>
            </v:shapetype>
            <v:shape id="MSIPCMb34a411bb3a655252a9f3998" o:spid="_x0000_s1033" type="#_x0000_t202" alt="{&quot;HashCode&quot;:904758361,&quot;Height&quot;:841.0,&quot;Width&quot;:595.0,&quot;Placement&quot;:&quot;Footer&quot;,&quot;Index&quot;:&quot;Primary&quot;,&quot;Section&quot;:5,&quot;Top&quot;:0.0,&quot;Left&quot;:0.0}" style="position:absolute;left:0;text-align:left;margin-left:0;margin-top:802.3pt;width:595.3pt;height:24.55pt;z-index:2516582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c/kHqGAIAACsEAAAOAAAAAAAAAAAAAAAAAC4CAABkcnMvZTJvRG9jLnhtbFBLAQItABQA&#10;BgAIAAAAIQBIDV6a3wAAAAsBAAAPAAAAAAAAAAAAAAAAAHIEAABkcnMvZG93bnJldi54bWxQSwUG&#10;AAAAAAQABADzAAAAfgUAAAAA&#10;" o:allowincell="f" filled="f" stroked="f" strokeweight=".5pt">
              <v:textbox inset=",0,,0">
                <w:txbxContent>
                  <w:p w14:paraId="66455A0E" w14:textId="33F43C5A" w:rsidR="00931E07" w:rsidRPr="00931E07" w:rsidRDefault="00931E07" w:rsidP="00931E07">
                    <w:pPr>
                      <w:jc w:val="center"/>
                      <w:rPr>
                        <w:rFonts w:ascii="Arial Black" w:hAnsi="Arial Black"/>
                        <w:color w:val="000000"/>
                      </w:rPr>
                    </w:pPr>
                    <w:r w:rsidRPr="00931E07">
                      <w:rPr>
                        <w:rFonts w:ascii="Arial Black" w:hAnsi="Arial Black"/>
                        <w:color w:val="000000"/>
                      </w:rPr>
                      <w:t>OFFICIAL</w:t>
                    </w:r>
                  </w:p>
                </w:txbxContent>
              </v:textbox>
              <w10:wrap anchorx="page" anchory="page"/>
            </v:shape>
          </w:pict>
        </mc:Fallback>
      </mc:AlternateContent>
    </w:r>
    <w:r w:rsidR="008977D1">
      <w:rPr>
        <w:noProof/>
        <w:lang w:eastAsia="en-AU"/>
      </w:rPr>
      <mc:AlternateContent>
        <mc:Choice Requires="wps">
          <w:drawing>
            <wp:anchor distT="0" distB="0" distL="114300" distR="114300" simplePos="0" relativeHeight="251658245" behindDoc="0" locked="0" layoutInCell="0" allowOverlap="1" wp14:anchorId="13ED73C1" wp14:editId="177E6EFC">
              <wp:simplePos x="0" y="0"/>
              <wp:positionH relativeFrom="page">
                <wp:posOffset>0</wp:posOffset>
              </wp:positionH>
              <wp:positionV relativeFrom="page">
                <wp:posOffset>10189210</wp:posOffset>
              </wp:positionV>
              <wp:extent cx="7560310" cy="311785"/>
              <wp:effectExtent l="0" t="0" r="0" b="12065"/>
              <wp:wrapNone/>
              <wp:docPr id="2" name="MSIPCM74884611b90139cc3ff5acf2"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FD0486" w14:textId="77777777" w:rsidR="008977D1" w:rsidRPr="008977D1" w:rsidRDefault="008977D1" w:rsidP="008977D1">
                          <w:pPr>
                            <w:jc w:val="center"/>
                            <w:rPr>
                              <w:rFonts w:ascii="Arial Black" w:hAnsi="Arial Black"/>
                              <w:color w:val="000000"/>
                            </w:rPr>
                          </w:pPr>
                          <w:r w:rsidRPr="008977D1">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3ED73C1" id="MSIPCM74884611b90139cc3ff5acf2" o:spid="_x0000_s1034"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5824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cBi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FfRu3KOE6ojrWRiYd4avG5xh&#10;w5x/YRapxrFRvv4ZD6kAe8HJoqQG++tv/pCPDGCUkg6lU1D3c8+soER918jNXXZ9HbQWL2jY995y&#10;9Op9+wCoygwfiOHRDLlejaa00L6hulehG4aY5tizoOVoPvhByPg6uFitYhKqyjC/0VvDQ+mAZkD2&#10;tX9j1pzg90jcE4ziYvkHFobcgYfV3oNsIkUB3wHNE+yoyEjy6fUEyb+/x6zLG1/+B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DsccBiGAIAACsEAAAOAAAAAAAAAAAAAAAAAC4CAABkcnMvZTJvRG9jLnhtbFBLAQItABQA&#10;BgAIAAAAIQBIDV6a3wAAAAsBAAAPAAAAAAAAAAAAAAAAAHIEAABkcnMvZG93bnJldi54bWxQSwUG&#10;AAAAAAQABADzAAAAfgUAAAAA&#10;" o:allowincell="f" filled="f" stroked="f" strokeweight=".5pt">
              <v:textbox inset=",0,,0">
                <w:txbxContent>
                  <w:p w14:paraId="35FD0486" w14:textId="77777777" w:rsidR="008977D1" w:rsidRPr="008977D1" w:rsidRDefault="008977D1" w:rsidP="008977D1">
                    <w:pPr>
                      <w:jc w:val="center"/>
                      <w:rPr>
                        <w:rFonts w:ascii="Arial Black" w:hAnsi="Arial Black"/>
                        <w:color w:val="000000"/>
                      </w:rPr>
                    </w:pPr>
                    <w:r w:rsidRPr="008977D1">
                      <w:rPr>
                        <w:rFonts w:ascii="Arial Black" w:hAnsi="Arial Black"/>
                        <w:color w:val="000000"/>
                      </w:rPr>
                      <w:t>OFFICIAL</w:t>
                    </w:r>
                  </w:p>
                </w:txbxContent>
              </v:textbox>
              <w10:wrap anchorx="page" anchory="page"/>
            </v:shape>
          </w:pict>
        </mc:Fallback>
      </mc:AlternateContent>
    </w:r>
    <w:r w:rsidR="00EB4BC7">
      <w:rPr>
        <w:noProof/>
        <w:lang w:eastAsia="en-AU"/>
      </w:rPr>
      <mc:AlternateContent>
        <mc:Choice Requires="wps">
          <w:drawing>
            <wp:anchor distT="0" distB="0" distL="114300" distR="114300" simplePos="0" relativeHeight="251658243" behindDoc="0" locked="0" layoutInCell="0" allowOverlap="1" wp14:anchorId="6874720A" wp14:editId="5647E830">
              <wp:simplePos x="0" y="0"/>
              <wp:positionH relativeFrom="page">
                <wp:posOffset>0</wp:posOffset>
              </wp:positionH>
              <wp:positionV relativeFrom="page">
                <wp:posOffset>10189845</wp:posOffset>
              </wp:positionV>
              <wp:extent cx="7560310" cy="311785"/>
              <wp:effectExtent l="0" t="0" r="0" b="12065"/>
              <wp:wrapNone/>
              <wp:docPr id="11" name="MSIPCM82764d688816a9dc96a1b608"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34F8DC7" w14:textId="77777777" w:rsidR="00EB4BC7" w:rsidRPr="00EB4BC7" w:rsidRDefault="00EB4BC7" w:rsidP="00EB4BC7">
                          <w:pPr>
                            <w:jc w:val="center"/>
                            <w:rPr>
                              <w:rFonts w:ascii="Arial Black" w:hAnsi="Arial Black"/>
                              <w:color w:val="000000"/>
                            </w:rPr>
                          </w:pPr>
                          <w:r w:rsidRPr="00EB4BC7">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6874720A" id="MSIPCM82764d688816a9dc96a1b608" o:spid="_x0000_s1035" type="#_x0000_t202" alt="{&quot;HashCode&quot;:904758361,&quot;Height&quot;:841.0,&quot;Width&quot;:595.0,&quot;Placement&quot;:&quot;Footer&quot;,&quot;Index&quot;:&quot;Primary&quot;,&quot;Section&quot;:3,&quot;Top&quot;:0.0,&quot;Left&quot;:0.0}" style="position:absolute;left:0;text-align:left;margin-left:0;margin-top:802.35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mrFFwIAACw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" o:allowincell="f" filled="f" stroked="f" strokeweight=".5pt">
              <v:textbox inset=",0,,0">
                <w:txbxContent>
                  <w:p w14:paraId="034F8DC7" w14:textId="77777777" w:rsidR="00EB4BC7" w:rsidRPr="00EB4BC7" w:rsidRDefault="00EB4BC7" w:rsidP="00EB4BC7">
                    <w:pPr>
                      <w:jc w:val="center"/>
                      <w:rPr>
                        <w:rFonts w:ascii="Arial Black" w:hAnsi="Arial Black"/>
                        <w:color w:val="000000"/>
                      </w:rPr>
                    </w:pPr>
                    <w:r w:rsidRPr="00EB4BC7">
                      <w:rPr>
                        <w:rFonts w:ascii="Arial Black" w:hAnsi="Arial Black"/>
                        <w:color w:val="00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D5F7B" w14:textId="77777777" w:rsidR="00232571" w:rsidRDefault="00232571" w:rsidP="00207717">
      <w:pPr>
        <w:spacing w:before="120"/>
      </w:pPr>
      <w:r>
        <w:separator/>
      </w:r>
    </w:p>
  </w:footnote>
  <w:footnote w:type="continuationSeparator" w:id="0">
    <w:p w14:paraId="3687FF97" w14:textId="77777777" w:rsidR="00232571" w:rsidRDefault="00232571">
      <w:r>
        <w:continuationSeparator/>
      </w:r>
    </w:p>
    <w:p w14:paraId="1A650F29" w14:textId="77777777" w:rsidR="00232571" w:rsidRDefault="00232571"/>
  </w:footnote>
  <w:footnote w:type="continuationNotice" w:id="1">
    <w:p w14:paraId="469708D8" w14:textId="77777777" w:rsidR="00232571" w:rsidRDefault="00232571"/>
  </w:footnote>
  <w:footnote w:id="2">
    <w:p w14:paraId="4CB36E25" w14:textId="77777777" w:rsidR="0000567A" w:rsidRPr="0000567A" w:rsidRDefault="0000567A" w:rsidP="0000567A">
      <w:pPr>
        <w:pStyle w:val="FootnoteText"/>
        <w:rPr>
          <w:rFonts w:ascii="Arial" w:hAnsi="Arial"/>
        </w:rPr>
      </w:pPr>
      <w:r w:rsidRPr="0000567A">
        <w:rPr>
          <w:rStyle w:val="FootnoteReference"/>
          <w:rFonts w:ascii="Arial" w:hAnsi="Arial"/>
        </w:rPr>
        <w:footnoteRef/>
      </w:r>
      <w:r w:rsidRPr="0000567A">
        <w:rPr>
          <w:rFonts w:ascii="Arial" w:hAnsi="Arial"/>
        </w:rPr>
        <w:t xml:space="preserve"> Available from: </w:t>
      </w:r>
      <w:hyperlink r:id="rId1" w:history="1">
        <w:r w:rsidRPr="0000567A">
          <w:rPr>
            <w:rStyle w:val="Hyperlink"/>
            <w:rFonts w:ascii="Arial" w:hAnsi="Arial"/>
          </w:rPr>
          <w:t>https://www2.health.vic.gov.au/public-health/immunisation/immunisers-in-victoria/pharmacist-immunisers</w:t>
        </w:r>
      </w:hyperlink>
    </w:p>
  </w:footnote>
  <w:footnote w:id="3">
    <w:p w14:paraId="1A9566AC" w14:textId="77777777" w:rsidR="0000567A" w:rsidRPr="0000567A" w:rsidRDefault="0000567A" w:rsidP="0000567A">
      <w:pPr>
        <w:pStyle w:val="FootnoteText"/>
        <w:rPr>
          <w:rFonts w:ascii="Arial" w:hAnsi="Arial"/>
        </w:rPr>
      </w:pPr>
      <w:r w:rsidRPr="0000567A">
        <w:rPr>
          <w:rStyle w:val="FootnoteReference"/>
          <w:rFonts w:ascii="Arial" w:hAnsi="Arial"/>
        </w:rPr>
        <w:footnoteRef/>
      </w:r>
      <w:r w:rsidRPr="0000567A">
        <w:rPr>
          <w:rFonts w:ascii="Arial" w:hAnsi="Arial"/>
        </w:rPr>
        <w:t xml:space="preserve"> Victorian Department of Health, Japanese encephalitis in Victoria – Information for Health Professionals available at: </w:t>
      </w:r>
      <w:hyperlink r:id="rId2" w:history="1">
        <w:r w:rsidRPr="0000567A">
          <w:rPr>
            <w:rStyle w:val="Hyperlink"/>
            <w:rFonts w:ascii="Arial" w:hAnsi="Arial"/>
          </w:rPr>
          <w:t>https://www.health.vic.gov.au/infectious-diseases/information-for-health-professionals-japanese-encephalitis-in-victoria</w:t>
        </w:r>
      </w:hyperlink>
    </w:p>
  </w:footnote>
  <w:footnote w:id="4">
    <w:p w14:paraId="7F1098C6" w14:textId="647CBF0C" w:rsidR="00F27F3B" w:rsidRDefault="009A04BF">
      <w:pPr>
        <w:pStyle w:val="FootnoteText"/>
        <w:rPr>
          <w:rFonts w:ascii="Arial" w:hAnsi="Arial"/>
        </w:rPr>
      </w:pPr>
      <w:r w:rsidRPr="009A04BF">
        <w:rPr>
          <w:rStyle w:val="FootnoteReference"/>
          <w:rFonts w:ascii="Arial" w:hAnsi="Arial"/>
          <w:highlight w:val="yellow"/>
        </w:rPr>
        <w:footnoteRef/>
      </w:r>
      <w:r w:rsidRPr="009A04BF">
        <w:rPr>
          <w:rFonts w:ascii="Arial" w:hAnsi="Arial"/>
          <w:highlight w:val="yellow"/>
        </w:rPr>
        <w:t xml:space="preserve"> Monkeypox</w:t>
      </w:r>
      <w:r w:rsidR="00D33BCA">
        <w:rPr>
          <w:rFonts w:ascii="Arial" w:hAnsi="Arial"/>
          <w:highlight w:val="yellow"/>
        </w:rPr>
        <w:t xml:space="preserve"> webpage</w:t>
      </w:r>
      <w:r w:rsidRPr="009A04BF">
        <w:rPr>
          <w:rFonts w:ascii="Arial" w:hAnsi="Arial"/>
          <w:highlight w:val="yellow"/>
        </w:rPr>
        <w:t xml:space="preserve">: </w:t>
      </w:r>
      <w:hyperlink r:id="rId3" w:history="1">
        <w:r w:rsidRPr="009A04BF">
          <w:rPr>
            <w:rStyle w:val="Hyperlink"/>
            <w:rFonts w:ascii="Arial" w:hAnsi="Arial"/>
            <w:highlight w:val="yellow"/>
          </w:rPr>
          <w:t>https://www.health.vic.gov.au/infectious-diseases/monkeypox</w:t>
        </w:r>
      </w:hyperlink>
      <w:r>
        <w:rPr>
          <w:rFonts w:ascii="Arial" w:hAnsi="Arial"/>
        </w:rPr>
        <w:t xml:space="preserve"> </w:t>
      </w:r>
    </w:p>
    <w:p w14:paraId="1F5E1467" w14:textId="203D7454" w:rsidR="009A04BF" w:rsidRDefault="000A7AF1">
      <w:pPr>
        <w:pStyle w:val="FootnoteText"/>
        <w:rPr>
          <w:rFonts w:ascii="Arial" w:hAnsi="Arial"/>
        </w:rPr>
      </w:pPr>
      <w:r>
        <w:rPr>
          <w:rFonts w:ascii="Arial" w:hAnsi="Arial"/>
          <w:vertAlign w:val="superscript"/>
        </w:rPr>
        <w:t>4</w:t>
      </w:r>
      <w:hyperlink r:id="rId4" w:history="1">
        <w:r w:rsidRPr="00172878">
          <w:rPr>
            <w:rStyle w:val="Hyperlink"/>
            <w:rFonts w:ascii="Arial" w:hAnsi="Arial"/>
            <w:highlight w:val="yellow"/>
          </w:rPr>
          <w:t>https://www.coronavirus.vic.gov.au/information-covid-19-vaccine-providers</w:t>
        </w:r>
      </w:hyperlink>
      <w:r>
        <w:rPr>
          <w:rFonts w:ascii="Arial" w:hAnsi="Arial"/>
        </w:rPr>
        <w:t xml:space="preserve"> </w:t>
      </w:r>
    </w:p>
  </w:footnote>
  <w:footnote w:id="5">
    <w:p w14:paraId="722B430A" w14:textId="1F660A8A" w:rsidR="002B6C27" w:rsidRPr="007B68AA" w:rsidRDefault="002B6C27">
      <w:pPr>
        <w:pStyle w:val="FootnoteText"/>
        <w:rPr>
          <w:rFonts w:ascii="Arial" w:hAnsi="Arial"/>
        </w:rPr>
      </w:pPr>
    </w:p>
  </w:footnote>
  <w:footnote w:id="6">
    <w:p w14:paraId="3B3A7560" w14:textId="10C226A9" w:rsidR="00172878" w:rsidRDefault="00172878">
      <w:pPr>
        <w:pStyle w:val="FootnoteText"/>
      </w:pPr>
      <w:r>
        <w:rPr>
          <w:rStyle w:val="FootnoteReference"/>
        </w:rPr>
        <w:footnoteRef/>
      </w:r>
      <w:r>
        <w:t xml:space="preserve"> </w:t>
      </w:r>
      <w:r w:rsidR="00CF0330" w:rsidRPr="0000567A">
        <w:rPr>
          <w:rFonts w:ascii="Arial" w:hAnsi="Arial"/>
        </w:rPr>
        <w:t>This does not include limited registration, provisional registration, non-practising registration or student registration.</w:t>
      </w:r>
    </w:p>
  </w:footnote>
  <w:footnote w:id="7">
    <w:p w14:paraId="2BD25D47" w14:textId="0BB135AF" w:rsidR="0011601C" w:rsidRDefault="0011601C">
      <w:pPr>
        <w:pStyle w:val="FootnoteText"/>
      </w:pPr>
      <w:r>
        <w:rPr>
          <w:rStyle w:val="FootnoteReference"/>
        </w:rPr>
        <w:footnoteRef/>
      </w:r>
      <w:r>
        <w:t xml:space="preserve"> </w:t>
      </w:r>
      <w:r w:rsidRPr="0011601C">
        <w:rPr>
          <w:rFonts w:ascii="Arial" w:hAnsi="Arial"/>
          <w:highlight w:val="yellow"/>
        </w:rPr>
        <w:t xml:space="preserve">Available from: </w:t>
      </w:r>
      <w:hyperlink r:id="rId5" w:history="1">
        <w:r w:rsidRPr="0011601C">
          <w:rPr>
            <w:rStyle w:val="Hyperlink"/>
            <w:rFonts w:ascii="Arial" w:hAnsi="Arial"/>
            <w:highlight w:val="yellow"/>
          </w:rPr>
          <w:t>https://www.health.vic.gov.au/infectious-diseases/monkeypox</w:t>
        </w:r>
      </w:hyperlink>
    </w:p>
  </w:footnote>
  <w:footnote w:id="8">
    <w:p w14:paraId="5A7BFCBA" w14:textId="0B1A1236" w:rsidR="001342B5" w:rsidRPr="00B4201A" w:rsidRDefault="001342B5">
      <w:pPr>
        <w:pStyle w:val="FootnoteText"/>
        <w:rPr>
          <w:rFonts w:ascii="Arial" w:hAnsi="Arial"/>
        </w:rPr>
      </w:pPr>
      <w:r>
        <w:rPr>
          <w:rStyle w:val="FootnoteReference"/>
        </w:rPr>
        <w:footnoteRef/>
      </w:r>
      <w:r>
        <w:t xml:space="preserve"> </w:t>
      </w:r>
      <w:r w:rsidRPr="0011601C">
        <w:rPr>
          <w:rFonts w:ascii="Arial" w:hAnsi="Arial"/>
          <w:highlight w:val="yellow"/>
        </w:rPr>
        <w:t xml:space="preserve">Available from: </w:t>
      </w:r>
      <w:hyperlink r:id="rId6" w:history="1">
        <w:r w:rsidRPr="0011601C">
          <w:rPr>
            <w:rStyle w:val="Hyperlink"/>
            <w:rFonts w:ascii="Arial" w:hAnsi="Arial"/>
            <w:highlight w:val="yellow"/>
          </w:rPr>
          <w:t>https://www.health.vic.gov.au/infectious-diseases/monkeypox</w:t>
        </w:r>
      </w:hyperlink>
      <w:r>
        <w:rPr>
          <w:rFonts w:ascii="Arial" w:hAnsi="Arial"/>
        </w:rPr>
        <w:t xml:space="preserve"> </w:t>
      </w:r>
    </w:p>
  </w:footnote>
  <w:footnote w:id="9">
    <w:p w14:paraId="3E4DE3E4" w14:textId="4478BB19" w:rsidR="00B066CE" w:rsidRDefault="00B066CE">
      <w:pPr>
        <w:pStyle w:val="FootnoteText"/>
      </w:pPr>
      <w:r>
        <w:rPr>
          <w:rStyle w:val="FootnoteReference"/>
        </w:rPr>
        <w:footnoteRef/>
      </w:r>
      <w:r>
        <w:t xml:space="preserve"> </w:t>
      </w:r>
      <w:r w:rsidRPr="0000567A">
        <w:rPr>
          <w:rFonts w:ascii="Arial" w:hAnsi="Arial"/>
        </w:rPr>
        <w:t>This does not include limited registration, provisional registration, non-practising registration or student registration.</w:t>
      </w:r>
    </w:p>
  </w:footnote>
  <w:footnote w:id="10">
    <w:p w14:paraId="47C26E3A" w14:textId="753A5534" w:rsidR="00376209" w:rsidRPr="00424480" w:rsidRDefault="00376209">
      <w:pPr>
        <w:pStyle w:val="FootnoteText"/>
        <w:rPr>
          <w:rFonts w:ascii="Arial" w:hAnsi="Arial"/>
        </w:rPr>
      </w:pPr>
      <w:r>
        <w:rPr>
          <w:rStyle w:val="FootnoteReference"/>
        </w:rPr>
        <w:footnoteRef/>
      </w:r>
      <w:r>
        <w:t xml:space="preserve"> </w:t>
      </w:r>
      <w:r w:rsidR="00E15E84" w:rsidRPr="00424480">
        <w:rPr>
          <w:rStyle w:val="normaltextrun"/>
          <w:rFonts w:ascii="Arial" w:hAnsi="Arial"/>
          <w:color w:val="000000"/>
          <w:szCs w:val="18"/>
          <w:shd w:val="clear" w:color="auto" w:fill="FFFFFF"/>
        </w:rPr>
        <w:t>‘Nurse Immuniser’ is a nurse acting in accordance with a Secretary Approval to administer certain vaccines. </w:t>
      </w:r>
      <w:r w:rsidR="00E15E84" w:rsidRPr="00424480">
        <w:rPr>
          <w:rStyle w:val="eop"/>
          <w:rFonts w:ascii="Arial" w:hAnsi="Arial"/>
          <w:color w:val="000000"/>
          <w:szCs w:val="18"/>
          <w:shd w:val="clear" w:color="auto" w:fill="FFFFFF"/>
        </w:rPr>
        <w:t> </w:t>
      </w:r>
    </w:p>
  </w:footnote>
  <w:footnote w:id="11">
    <w:p w14:paraId="669B5A33" w14:textId="77777777" w:rsidR="0000567A" w:rsidRPr="0000567A" w:rsidRDefault="0000567A" w:rsidP="0000567A">
      <w:pPr>
        <w:pStyle w:val="FootnoteText"/>
        <w:rPr>
          <w:rFonts w:ascii="Arial" w:hAnsi="Arial"/>
        </w:rPr>
      </w:pPr>
      <w:r w:rsidRPr="0000567A">
        <w:rPr>
          <w:rStyle w:val="FootnoteReference"/>
          <w:rFonts w:ascii="Arial" w:hAnsi="Arial"/>
        </w:rPr>
        <w:footnoteRef/>
      </w:r>
      <w:r w:rsidRPr="0000567A">
        <w:rPr>
          <w:rFonts w:ascii="Arial" w:hAnsi="Arial"/>
        </w:rPr>
        <w:t xml:space="preserve"> Available from: </w:t>
      </w:r>
      <w:hyperlink r:id="rId7" w:history="1">
        <w:r w:rsidRPr="0000567A">
          <w:rPr>
            <w:rStyle w:val="Hyperlink"/>
            <w:rFonts w:ascii="Arial" w:hAnsi="Arial"/>
          </w:rPr>
          <w:t>https://www.health.gov.au/resources/publications/national-immunisation-education-framework-for-health-professionals</w:t>
        </w:r>
      </w:hyperlink>
    </w:p>
  </w:footnote>
  <w:footnote w:id="12">
    <w:p w14:paraId="619E9B73" w14:textId="4A8AEF67" w:rsidR="00D96EFA" w:rsidRDefault="00D96EFA">
      <w:pPr>
        <w:pStyle w:val="FootnoteText"/>
      </w:pPr>
      <w:r>
        <w:rPr>
          <w:rStyle w:val="FootnoteReference"/>
        </w:rPr>
        <w:footnoteRef/>
      </w:r>
      <w:r>
        <w:t xml:space="preserve"> </w:t>
      </w:r>
      <w:r>
        <w:rPr>
          <w:rFonts w:ascii="Arial" w:hAnsi="Arial"/>
        </w:rPr>
        <w:t>Pharmacy Board Code of Conduct a</w:t>
      </w:r>
      <w:r w:rsidRPr="0000567A">
        <w:rPr>
          <w:rFonts w:ascii="Arial" w:hAnsi="Arial"/>
        </w:rPr>
        <w:t xml:space="preserve">vailable from: </w:t>
      </w:r>
      <w:hyperlink r:id="rId8" w:history="1">
        <w:r w:rsidRPr="0000567A">
          <w:rPr>
            <w:rStyle w:val="Hyperlink"/>
            <w:rFonts w:ascii="Arial" w:hAnsi="Arial"/>
          </w:rPr>
          <w:t>http://www.pharmacyboard.gov.au/Codes-Guidelines/Code-of-conduct.aspx</w:t>
        </w:r>
      </w:hyperlink>
    </w:p>
  </w:footnote>
  <w:footnote w:id="13">
    <w:p w14:paraId="6697B632" w14:textId="1C67E62F" w:rsidR="0000567A" w:rsidRPr="0000567A" w:rsidRDefault="0000567A" w:rsidP="0000567A">
      <w:pPr>
        <w:pStyle w:val="FootnoteText"/>
        <w:rPr>
          <w:rFonts w:ascii="Arial" w:hAnsi="Arial"/>
        </w:rPr>
      </w:pPr>
      <w:r w:rsidRPr="0000567A">
        <w:rPr>
          <w:rStyle w:val="FootnoteReference"/>
          <w:rFonts w:ascii="Arial" w:hAnsi="Arial"/>
        </w:rPr>
        <w:footnoteRef/>
      </w:r>
      <w:r w:rsidRPr="0000567A">
        <w:rPr>
          <w:rFonts w:ascii="Arial" w:hAnsi="Arial"/>
        </w:rPr>
        <w:t xml:space="preserve"> Pharmaceutical Society of Australia, 2017. Professional Practice Standards (version 5). Available at </w:t>
      </w:r>
      <w:hyperlink r:id="rId9" w:history="1">
        <w:r w:rsidR="007D3199" w:rsidRPr="00716CC8">
          <w:rPr>
            <w:rStyle w:val="Hyperlink"/>
            <w:rFonts w:ascii="Arial" w:hAnsi="Arial"/>
          </w:rPr>
          <w:t>https://my.psa.org.au/s/article/Professional-Practice-Standards</w:t>
        </w:r>
      </w:hyperlink>
      <w:r w:rsidR="007D3199">
        <w:rPr>
          <w:rFonts w:ascii="Arial" w:hAnsi="Arial"/>
        </w:rPr>
        <w:t xml:space="preserve"> </w:t>
      </w:r>
    </w:p>
  </w:footnote>
  <w:footnote w:id="14">
    <w:p w14:paraId="5C0E949E" w14:textId="33846F0C" w:rsidR="00700529" w:rsidRDefault="00700529">
      <w:pPr>
        <w:pStyle w:val="FootnoteText"/>
      </w:pPr>
      <w:r>
        <w:rPr>
          <w:rStyle w:val="FootnoteReference"/>
        </w:rPr>
        <w:footnoteRef/>
      </w:r>
      <w:r>
        <w:t xml:space="preserve"> </w:t>
      </w:r>
      <w:r w:rsidRPr="0000567A">
        <w:rPr>
          <w:rFonts w:ascii="Arial" w:hAnsi="Arial"/>
        </w:rPr>
        <w:t xml:space="preserve">Available from: </w:t>
      </w:r>
      <w:hyperlink r:id="rId10" w:history="1">
        <w:r w:rsidRPr="0000567A">
          <w:rPr>
            <w:rStyle w:val="Hyperlink"/>
            <w:rFonts w:ascii="Arial" w:hAnsi="Arial"/>
          </w:rPr>
          <w:t>https://www2.health.vic.gov.au/public-health/immunisation/immunisers-in-victoria/pharmacist-immunisers</w:t>
        </w:r>
      </w:hyperlink>
    </w:p>
  </w:footnote>
  <w:footnote w:id="15">
    <w:p w14:paraId="491BEAF3" w14:textId="267F334B" w:rsidR="0027679B" w:rsidRDefault="0027679B">
      <w:pPr>
        <w:pStyle w:val="FootnoteText"/>
      </w:pPr>
      <w:r>
        <w:rPr>
          <w:rStyle w:val="FootnoteReference"/>
        </w:rPr>
        <w:footnoteRef/>
      </w:r>
      <w:r>
        <w:t xml:space="preserve"> </w:t>
      </w:r>
      <w:r w:rsidR="00CA5963">
        <w:rPr>
          <w:rFonts w:ascii="Arial" w:hAnsi="Arial"/>
        </w:rPr>
        <w:t>Australian Immunisation Handbook,</w:t>
      </w:r>
      <w:r w:rsidR="00CA5963" w:rsidRPr="0000567A">
        <w:rPr>
          <w:rFonts w:ascii="Arial" w:hAnsi="Arial"/>
        </w:rPr>
        <w:t xml:space="preserve"> </w:t>
      </w:r>
      <w:r w:rsidR="00CA5963">
        <w:rPr>
          <w:rFonts w:ascii="Arial" w:hAnsi="Arial"/>
        </w:rPr>
        <w:t>a</w:t>
      </w:r>
      <w:r w:rsidRPr="0000567A">
        <w:rPr>
          <w:rFonts w:ascii="Arial" w:hAnsi="Arial"/>
        </w:rPr>
        <w:t xml:space="preserve">vailable at </w:t>
      </w:r>
      <w:hyperlink r:id="rId11" w:history="1">
        <w:r w:rsidRPr="0000567A">
          <w:rPr>
            <w:rStyle w:val="Hyperlink"/>
            <w:rFonts w:ascii="Arial" w:hAnsi="Arial"/>
          </w:rPr>
          <w:t>https://immunisationhandbook.health.gov.au/</w:t>
        </w:r>
      </w:hyperlink>
      <w:r w:rsidRPr="0000567A">
        <w:rPr>
          <w:rFonts w:ascii="Arial" w:hAnsi="Arial"/>
        </w:rPr>
        <w:t>.</w:t>
      </w:r>
    </w:p>
  </w:footnote>
  <w:footnote w:id="16">
    <w:p w14:paraId="2376110A" w14:textId="2A91ACC0" w:rsidR="001D1F6C" w:rsidRDefault="001D1F6C">
      <w:pPr>
        <w:pStyle w:val="FootnoteText"/>
      </w:pPr>
      <w:r>
        <w:rPr>
          <w:rStyle w:val="FootnoteReference"/>
        </w:rPr>
        <w:footnoteRef/>
      </w:r>
      <w:r>
        <w:t xml:space="preserve"> </w:t>
      </w:r>
      <w:r w:rsidR="00B04C70" w:rsidRPr="00B04C70">
        <w:rPr>
          <w:rStyle w:val="normaltextrun"/>
          <w:rFonts w:ascii="Arial" w:hAnsi="Arial"/>
          <w:color w:val="000000"/>
          <w:szCs w:val="18"/>
          <w:highlight w:val="yellow"/>
          <w:shd w:val="clear" w:color="auto" w:fill="FFFFFF"/>
        </w:rPr>
        <w:t>Australian Government, Australian Technical Advisory Group on Immunisation, 2022, available at: </w:t>
      </w:r>
      <w:hyperlink r:id="rId12" w:tgtFrame="_blank" w:history="1">
        <w:r w:rsidR="00B04C70" w:rsidRPr="00B04C70">
          <w:rPr>
            <w:rStyle w:val="normaltextrun"/>
            <w:rFonts w:ascii="Arial" w:hAnsi="Arial"/>
            <w:color w:val="004C97"/>
            <w:szCs w:val="18"/>
            <w:highlight w:val="yellow"/>
            <w:u w:val="single"/>
            <w:shd w:val="clear" w:color="auto" w:fill="FFFFFF"/>
          </w:rPr>
          <w:t>https://www.health.gov.au/sites/default/files/documents/2022/05/statement-on-the-clinical-use-of-</w:t>
        </w:r>
        <w:r w:rsidR="00B04C70" w:rsidRPr="00B04C70">
          <w:rPr>
            <w:rStyle w:val="findhit"/>
            <w:rFonts w:ascii="Arial" w:hAnsi="Arial"/>
            <w:color w:val="004C97"/>
            <w:szCs w:val="18"/>
            <w:highlight w:val="yellow"/>
            <w:u w:val="single"/>
            <w:shd w:val="clear" w:color="auto" w:fill="FFFFFF"/>
          </w:rPr>
          <w:t>zoster</w:t>
        </w:r>
        <w:r w:rsidR="00B04C70" w:rsidRPr="00B04C70">
          <w:rPr>
            <w:rStyle w:val="normaltextrun"/>
            <w:rFonts w:ascii="Arial" w:hAnsi="Arial"/>
            <w:color w:val="004C97"/>
            <w:szCs w:val="18"/>
            <w:highlight w:val="yellow"/>
            <w:u w:val="single"/>
            <w:shd w:val="clear" w:color="auto" w:fill="FFFFFF"/>
          </w:rPr>
          <w:t>-vaccine-in-older-adults-in-australia-statement-on-the-clinical-use-of-</w:t>
        </w:r>
        <w:r w:rsidR="00B04C70" w:rsidRPr="00B04C70">
          <w:rPr>
            <w:rStyle w:val="findhit"/>
            <w:rFonts w:ascii="Arial" w:hAnsi="Arial"/>
            <w:color w:val="004C97"/>
            <w:szCs w:val="18"/>
            <w:highlight w:val="yellow"/>
            <w:u w:val="single"/>
            <w:shd w:val="clear" w:color="auto" w:fill="FFFFFF"/>
          </w:rPr>
          <w:t>zoster</w:t>
        </w:r>
        <w:r w:rsidR="00B04C70" w:rsidRPr="00B04C70">
          <w:rPr>
            <w:rStyle w:val="normaltextrun"/>
            <w:rFonts w:ascii="Arial" w:hAnsi="Arial"/>
            <w:color w:val="004C97"/>
            <w:szCs w:val="18"/>
            <w:highlight w:val="yellow"/>
            <w:u w:val="single"/>
            <w:shd w:val="clear" w:color="auto" w:fill="FFFFFF"/>
          </w:rPr>
          <w:t>-vaccine-in-older-adults-in-australia.pdf</w:t>
        </w:r>
      </w:hyperlink>
      <w:r w:rsidR="00B04C70">
        <w:rPr>
          <w:rStyle w:val="normaltextrun"/>
          <w:color w:val="000000"/>
          <w:szCs w:val="18"/>
          <w:shd w:val="clear" w:color="auto" w:fill="FFFFFF"/>
        </w:rPr>
        <w:t> </w:t>
      </w:r>
    </w:p>
  </w:footnote>
  <w:footnote w:id="17">
    <w:p w14:paraId="65357866" w14:textId="77777777" w:rsidR="0000567A" w:rsidRPr="0000567A" w:rsidRDefault="0000567A" w:rsidP="0000567A">
      <w:pPr>
        <w:pStyle w:val="FootnoteText"/>
        <w:rPr>
          <w:rFonts w:ascii="Arial" w:hAnsi="Arial"/>
        </w:rPr>
      </w:pPr>
      <w:r w:rsidRPr="0000567A">
        <w:rPr>
          <w:rStyle w:val="FootnoteReference"/>
          <w:rFonts w:ascii="Arial" w:hAnsi="Arial"/>
        </w:rPr>
        <w:footnoteRef/>
      </w:r>
      <w:r w:rsidRPr="0000567A">
        <w:rPr>
          <w:rFonts w:ascii="Arial" w:hAnsi="Arial"/>
        </w:rPr>
        <w:t xml:space="preserve"> Travel medicine is a specialist area that is outside the scope of the Approval.</w:t>
      </w:r>
    </w:p>
  </w:footnote>
  <w:footnote w:id="18">
    <w:p w14:paraId="4F58D1E5" w14:textId="1D2C4E6C" w:rsidR="0000567A" w:rsidRPr="0000567A" w:rsidRDefault="0000567A" w:rsidP="0000567A">
      <w:pPr>
        <w:pStyle w:val="FootnoteText"/>
        <w:rPr>
          <w:rFonts w:ascii="Arial" w:hAnsi="Arial"/>
        </w:rPr>
      </w:pPr>
      <w:r w:rsidRPr="0000567A">
        <w:rPr>
          <w:rStyle w:val="FootnoteReference"/>
          <w:rFonts w:ascii="Arial" w:hAnsi="Arial"/>
        </w:rPr>
        <w:footnoteRef/>
      </w:r>
      <w:r w:rsidRPr="0000567A">
        <w:rPr>
          <w:rFonts w:ascii="Arial" w:hAnsi="Arial"/>
        </w:rPr>
        <w:t xml:space="preserve"> </w:t>
      </w:r>
      <w:r w:rsidR="00A5507F">
        <w:rPr>
          <w:rFonts w:ascii="Arial" w:hAnsi="Arial"/>
        </w:rPr>
        <w:t>Australian Immunisation Handbook, a</w:t>
      </w:r>
      <w:r w:rsidRPr="0000567A">
        <w:rPr>
          <w:rFonts w:ascii="Arial" w:hAnsi="Arial"/>
        </w:rPr>
        <w:t xml:space="preserve">vailable at </w:t>
      </w:r>
      <w:hyperlink r:id="rId13" w:history="1">
        <w:r w:rsidRPr="0000567A">
          <w:rPr>
            <w:rStyle w:val="Hyperlink"/>
            <w:rFonts w:ascii="Arial" w:hAnsi="Arial"/>
          </w:rPr>
          <w:t>https://immunisationhandbook.health.gov.au/</w:t>
        </w:r>
      </w:hyperlink>
      <w:r w:rsidRPr="0000567A">
        <w:rPr>
          <w:rFonts w:ascii="Arial" w:hAnsi="Arial"/>
        </w:rPr>
        <w:t>.</w:t>
      </w:r>
    </w:p>
  </w:footnote>
  <w:footnote w:id="19">
    <w:p w14:paraId="1D792D2A" w14:textId="4D7F25B1" w:rsidR="0000567A" w:rsidRPr="0000567A" w:rsidRDefault="0000567A" w:rsidP="0000567A">
      <w:pPr>
        <w:pStyle w:val="FootnoteText"/>
        <w:rPr>
          <w:rFonts w:ascii="Arial" w:hAnsi="Arial"/>
        </w:rPr>
      </w:pPr>
      <w:r w:rsidRPr="0000567A">
        <w:rPr>
          <w:rStyle w:val="FootnoteReference"/>
          <w:rFonts w:ascii="Arial" w:hAnsi="Arial"/>
        </w:rPr>
        <w:footnoteRef/>
      </w:r>
      <w:r w:rsidRPr="0000567A">
        <w:rPr>
          <w:rFonts w:ascii="Arial" w:hAnsi="Arial"/>
        </w:rPr>
        <w:t xml:space="preserve"> Pertussis-containing vaccine is only available in Australia in combination with diphtheria and tetanus, or diphtheria, </w:t>
      </w:r>
      <w:proofErr w:type="gramStart"/>
      <w:r w:rsidRPr="0000567A">
        <w:rPr>
          <w:rFonts w:ascii="Arial" w:hAnsi="Arial"/>
        </w:rPr>
        <w:t>tetanus</w:t>
      </w:r>
      <w:proofErr w:type="gramEnd"/>
      <w:r w:rsidRPr="0000567A">
        <w:rPr>
          <w:rFonts w:ascii="Arial" w:hAnsi="Arial"/>
        </w:rPr>
        <w:t xml:space="preserve"> and poliomyelitis. </w:t>
      </w:r>
      <w:r w:rsidR="008440C2" w:rsidRPr="001927E0">
        <w:rPr>
          <w:rStyle w:val="normaltextrun"/>
          <w:rFonts w:ascii="Arial" w:hAnsi="Arial"/>
          <w:color w:val="000000"/>
          <w:szCs w:val="18"/>
          <w:highlight w:val="yellow"/>
          <w:shd w:val="clear" w:color="auto" w:fill="FFFFFF"/>
        </w:rPr>
        <w:t>Patients needing DTP vaccine for tetanus prophylaxis should be referred to a medical practitioner or nurse practitioner for full assessment.</w:t>
      </w:r>
    </w:p>
  </w:footnote>
  <w:footnote w:id="20">
    <w:p w14:paraId="4CC6581C" w14:textId="280E427A" w:rsidR="0000567A" w:rsidRPr="0000567A" w:rsidRDefault="0000567A" w:rsidP="0000567A">
      <w:pPr>
        <w:pStyle w:val="FootnoteText"/>
        <w:rPr>
          <w:rFonts w:ascii="Arial" w:hAnsi="Arial"/>
        </w:rPr>
      </w:pPr>
      <w:r w:rsidRPr="0000567A">
        <w:rPr>
          <w:rStyle w:val="FootnoteReference"/>
          <w:rFonts w:ascii="Arial" w:hAnsi="Arial"/>
        </w:rPr>
        <w:footnoteRef/>
      </w:r>
      <w:r w:rsidRPr="0000567A">
        <w:rPr>
          <w:rFonts w:ascii="Arial" w:hAnsi="Arial"/>
        </w:rPr>
        <w:t xml:space="preserve"> A case of this vaccine-preventable disease is notifiable to the Department of Health under the </w:t>
      </w:r>
      <w:r w:rsidRPr="0000567A">
        <w:rPr>
          <w:rFonts w:ascii="Arial" w:hAnsi="Arial"/>
          <w:i/>
        </w:rPr>
        <w:t>Public Health and Wellbeing Regulations 2019</w:t>
      </w:r>
      <w:r w:rsidRPr="0000567A">
        <w:rPr>
          <w:rFonts w:ascii="Arial" w:hAnsi="Arial"/>
        </w:rPr>
        <w:t>. The department will advise on management of the case and contacts.</w:t>
      </w:r>
    </w:p>
  </w:footnote>
  <w:footnote w:id="21">
    <w:p w14:paraId="702EF852" w14:textId="6FB3BC62" w:rsidR="0000567A" w:rsidRPr="0000567A" w:rsidRDefault="0000567A" w:rsidP="0000567A">
      <w:pPr>
        <w:pStyle w:val="FootnoteText"/>
        <w:rPr>
          <w:rFonts w:ascii="Arial" w:hAnsi="Arial"/>
        </w:rPr>
      </w:pPr>
      <w:r w:rsidRPr="0000567A">
        <w:rPr>
          <w:rStyle w:val="FootnoteReference"/>
          <w:rFonts w:ascii="Arial" w:hAnsi="Arial"/>
        </w:rPr>
        <w:footnoteRef/>
      </w:r>
      <w:r w:rsidRPr="0000567A">
        <w:rPr>
          <w:rFonts w:ascii="Arial" w:hAnsi="Arial"/>
        </w:rPr>
        <w:t xml:space="preserve"> Department of Health. Safer Care Victoria. Delivering high-quality healthcare: Victorian clinical governance framework June 2017. Available at </w:t>
      </w:r>
      <w:hyperlink r:id="rId14" w:history="1">
        <w:r w:rsidRPr="0000567A">
          <w:rPr>
            <w:rStyle w:val="Hyperlink"/>
            <w:rFonts w:ascii="Arial" w:hAnsi="Arial"/>
          </w:rPr>
          <w:t>https://www.bettersafercare.vic.gov.au/reports-and-publications/clinical-governance-framework</w:t>
        </w:r>
      </w:hyperlink>
    </w:p>
  </w:footnote>
  <w:footnote w:id="22">
    <w:p w14:paraId="54F94CF0" w14:textId="77777777" w:rsidR="0000567A" w:rsidRPr="0000567A" w:rsidRDefault="0000567A" w:rsidP="0000567A">
      <w:pPr>
        <w:pStyle w:val="FootnoteText"/>
        <w:rPr>
          <w:rFonts w:ascii="Arial" w:hAnsi="Arial"/>
        </w:rPr>
      </w:pPr>
      <w:r w:rsidRPr="0000567A">
        <w:rPr>
          <w:rStyle w:val="FootnoteReference"/>
          <w:rFonts w:ascii="Arial" w:hAnsi="Arial"/>
        </w:rPr>
        <w:footnoteRef/>
      </w:r>
      <w:r w:rsidRPr="0000567A">
        <w:rPr>
          <w:rFonts w:ascii="Arial" w:hAnsi="Arial"/>
        </w:rPr>
        <w:t xml:space="preserve"> Pharmaceutical Society of Australia. National Competency Standards Framework for Pharmacists in Australia 2016, published 2017. Available at: </w:t>
      </w:r>
      <w:hyperlink r:id="rId15" w:history="1">
        <w:r w:rsidRPr="0000567A">
          <w:rPr>
            <w:rStyle w:val="Hyperlink"/>
            <w:rFonts w:ascii="Arial" w:hAnsi="Arial"/>
          </w:rPr>
          <w:t>https://www.psa.org.au/practice-support-industry/national-competency-standards/</w:t>
        </w:r>
      </w:hyperlink>
    </w:p>
  </w:footnote>
  <w:footnote w:id="23">
    <w:p w14:paraId="7B09636F" w14:textId="77777777" w:rsidR="0000567A" w:rsidRPr="0000567A" w:rsidRDefault="0000567A" w:rsidP="0000567A">
      <w:pPr>
        <w:pStyle w:val="FootnoteText"/>
        <w:rPr>
          <w:rFonts w:ascii="Arial" w:hAnsi="Arial"/>
        </w:rPr>
      </w:pPr>
      <w:r w:rsidRPr="0000567A">
        <w:rPr>
          <w:rStyle w:val="FootnoteReference"/>
          <w:rFonts w:ascii="Arial" w:hAnsi="Arial"/>
        </w:rPr>
        <w:footnoteRef/>
      </w:r>
      <w:r w:rsidRPr="0000567A">
        <w:rPr>
          <w:rFonts w:ascii="Arial" w:hAnsi="Arial"/>
        </w:rPr>
        <w:t xml:space="preserve"> Pharmaceutical Society of Australia. Clinical Governance Principles for Pharmacy Services, 2018. Available at: </w:t>
      </w:r>
      <w:hyperlink r:id="rId16" w:history="1">
        <w:r w:rsidRPr="0000567A">
          <w:rPr>
            <w:rStyle w:val="Hyperlink"/>
            <w:rFonts w:ascii="Arial" w:hAnsi="Arial"/>
          </w:rPr>
          <w:t>https://www.psa.org.au/wp-content/uploads/2019/05/PSAClinicalGovernancePrinciples2018_FINAL.pdf</w:t>
        </w:r>
      </w:hyperlink>
      <w:r w:rsidRPr="0000567A">
        <w:rPr>
          <w:rFonts w:ascii="Arial" w:hAnsi="Arial"/>
        </w:rPr>
        <w:t xml:space="preserve"> </w:t>
      </w:r>
    </w:p>
  </w:footnote>
  <w:footnote w:id="24">
    <w:p w14:paraId="323887C5" w14:textId="77777777" w:rsidR="0000567A" w:rsidRPr="0000567A" w:rsidRDefault="0000567A" w:rsidP="0000567A">
      <w:pPr>
        <w:pStyle w:val="FootnoteText"/>
        <w:rPr>
          <w:rFonts w:ascii="Arial" w:hAnsi="Arial"/>
        </w:rPr>
      </w:pPr>
      <w:r w:rsidRPr="0000567A">
        <w:rPr>
          <w:rStyle w:val="FootnoteReference"/>
          <w:rFonts w:ascii="Arial" w:hAnsi="Arial"/>
        </w:rPr>
        <w:footnoteRef/>
      </w:r>
      <w:r w:rsidRPr="0000567A">
        <w:rPr>
          <w:rFonts w:ascii="Arial" w:hAnsi="Arial"/>
        </w:rPr>
        <w:t xml:space="preserve"> Available at </w:t>
      </w:r>
      <w:hyperlink r:id="rId17" w:history="1">
        <w:r w:rsidRPr="0000567A">
          <w:rPr>
            <w:rStyle w:val="Hyperlink"/>
            <w:rFonts w:ascii="Arial" w:hAnsi="Arial"/>
          </w:rPr>
          <w:t>https://immunisationhandbook.health.gov.au/vaccination-procedures/preparing-for-vaccination</w:t>
        </w:r>
      </w:hyperlink>
    </w:p>
  </w:footnote>
  <w:footnote w:id="25">
    <w:p w14:paraId="3DBD6084" w14:textId="77777777" w:rsidR="0000567A" w:rsidRPr="0000567A" w:rsidRDefault="0000567A" w:rsidP="0000567A">
      <w:pPr>
        <w:pStyle w:val="FootnoteText"/>
        <w:rPr>
          <w:rFonts w:ascii="Arial" w:hAnsi="Arial"/>
        </w:rPr>
      </w:pPr>
      <w:r w:rsidRPr="0000567A">
        <w:rPr>
          <w:rStyle w:val="FootnoteReference"/>
          <w:rFonts w:ascii="Arial" w:hAnsi="Arial"/>
        </w:rPr>
        <w:footnoteRef/>
      </w:r>
      <w:r w:rsidRPr="0000567A">
        <w:rPr>
          <w:rFonts w:ascii="Arial" w:hAnsi="Arial"/>
        </w:rPr>
        <w:t xml:space="preserve"> Available at </w:t>
      </w:r>
      <w:hyperlink r:id="rId18" w:history="1">
        <w:r w:rsidRPr="0000567A">
          <w:rPr>
            <w:rStyle w:val="Hyperlink"/>
            <w:rFonts w:ascii="Arial" w:hAnsi="Arial"/>
          </w:rPr>
          <w:t>https://nhmrc.govcms.gov.au/about-us/publications/australian-guidelines-prevention-and-control-infection-healthcare-2019</w:t>
        </w:r>
      </w:hyperlink>
    </w:p>
  </w:footnote>
  <w:footnote w:id="26">
    <w:p w14:paraId="252C7A87" w14:textId="77777777" w:rsidR="0000567A" w:rsidRPr="0000567A" w:rsidRDefault="0000567A" w:rsidP="0000567A">
      <w:pPr>
        <w:pStyle w:val="FootnoteText"/>
        <w:rPr>
          <w:rFonts w:ascii="Arial" w:hAnsi="Arial"/>
        </w:rPr>
      </w:pPr>
      <w:r w:rsidRPr="0000567A">
        <w:rPr>
          <w:rStyle w:val="FootnoteReference"/>
          <w:rFonts w:ascii="Arial" w:hAnsi="Arial"/>
        </w:rPr>
        <w:footnoteRef/>
      </w:r>
      <w:r w:rsidRPr="0000567A">
        <w:rPr>
          <w:rFonts w:ascii="Arial" w:hAnsi="Arial"/>
        </w:rPr>
        <w:t xml:space="preserve"> Available at </w:t>
      </w:r>
      <w:hyperlink r:id="rId19" w:history="1">
        <w:r w:rsidRPr="0000567A">
          <w:rPr>
            <w:rStyle w:val="Hyperlink"/>
            <w:rFonts w:ascii="Arial" w:hAnsi="Arial"/>
          </w:rPr>
          <w:t>https://www.health.gov.au/resources/publications/national-vaccine-storage-guidelines-strive-for-5</w:t>
        </w:r>
      </w:hyperlink>
    </w:p>
  </w:footnote>
  <w:footnote w:id="27">
    <w:p w14:paraId="366546F7" w14:textId="77777777" w:rsidR="0000567A" w:rsidRPr="0000567A" w:rsidRDefault="0000567A" w:rsidP="0000567A">
      <w:pPr>
        <w:pStyle w:val="FootnoteText"/>
        <w:rPr>
          <w:rFonts w:ascii="Arial" w:hAnsi="Arial"/>
        </w:rPr>
      </w:pPr>
      <w:r w:rsidRPr="0000567A">
        <w:rPr>
          <w:rStyle w:val="FootnoteReference"/>
          <w:rFonts w:ascii="Arial" w:hAnsi="Arial"/>
        </w:rPr>
        <w:footnoteRef/>
      </w:r>
      <w:r w:rsidRPr="0000567A">
        <w:rPr>
          <w:rFonts w:ascii="Arial" w:hAnsi="Arial"/>
        </w:rPr>
        <w:t xml:space="preserve"> The Victorian Pharmacy Authority Guidelines are available at: </w:t>
      </w:r>
      <w:hyperlink r:id="rId20" w:history="1">
        <w:r w:rsidRPr="0000567A">
          <w:rPr>
            <w:rStyle w:val="Hyperlink"/>
            <w:rFonts w:ascii="Arial" w:hAnsi="Arial"/>
          </w:rPr>
          <w:t>http://www.pharmacy.vic.gov.au</w:t>
        </w:r>
      </w:hyperlink>
    </w:p>
  </w:footnote>
  <w:footnote w:id="28">
    <w:p w14:paraId="666034DD" w14:textId="4F6FFCA8" w:rsidR="0000567A" w:rsidRPr="0000567A" w:rsidRDefault="0000567A" w:rsidP="0000567A">
      <w:pPr>
        <w:pStyle w:val="FootnoteText"/>
        <w:rPr>
          <w:rFonts w:ascii="Arial" w:hAnsi="Arial"/>
        </w:rPr>
      </w:pPr>
      <w:r w:rsidRPr="0000567A">
        <w:rPr>
          <w:rStyle w:val="FootnoteReference"/>
          <w:rFonts w:ascii="Arial" w:hAnsi="Arial"/>
        </w:rPr>
        <w:footnoteRef/>
      </w:r>
      <w:r w:rsidRPr="0000567A">
        <w:rPr>
          <w:rFonts w:ascii="Arial" w:hAnsi="Arial"/>
        </w:rPr>
        <w:t xml:space="preserve"> Victorian COVID-19 Vaccination Guidelines – </w:t>
      </w:r>
      <w:r w:rsidRPr="00B30CD8">
        <w:rPr>
          <w:rFonts w:ascii="Arial" w:hAnsi="Arial"/>
        </w:rPr>
        <w:t>Appendix 20</w:t>
      </w:r>
      <w:r w:rsidRPr="0000567A">
        <w:rPr>
          <w:rFonts w:ascii="Arial" w:hAnsi="Arial"/>
        </w:rPr>
        <w:t xml:space="preserve">: COVID-19 vaccinations for children aged 5-11 years available at: </w:t>
      </w:r>
      <w:r w:rsidR="00276472" w:rsidRPr="00B30CD8">
        <w:rPr>
          <w:rFonts w:ascii="Arial" w:hAnsi="Arial"/>
        </w:rPr>
        <w:t>https://www.coronavirus.vic.gov.au/information-covid-19-vaccine-providers</w:t>
      </w:r>
      <w:r w:rsidRPr="0000567A">
        <w:rPr>
          <w:rFonts w:ascii="Arial" w:hAnsi="Arial"/>
        </w:rPr>
        <w:t xml:space="preserve"> </w:t>
      </w:r>
    </w:p>
  </w:footnote>
  <w:footnote w:id="29">
    <w:p w14:paraId="03612BA7" w14:textId="622C0490" w:rsidR="007F7F4F" w:rsidRDefault="007F7F4F">
      <w:pPr>
        <w:pStyle w:val="FootnoteText"/>
      </w:pPr>
      <w:r>
        <w:rPr>
          <w:rStyle w:val="FootnoteReference"/>
        </w:rPr>
        <w:footnoteRef/>
      </w:r>
      <w:r>
        <w:t xml:space="preserve"> </w:t>
      </w:r>
      <w:r w:rsidR="006C32FA" w:rsidRPr="006C32FA">
        <w:rPr>
          <w:rFonts w:ascii="Arial" w:hAnsi="Arial"/>
        </w:rPr>
        <w:t xml:space="preserve">Available at: </w:t>
      </w:r>
      <w:r w:rsidRPr="006C32FA">
        <w:rPr>
          <w:rFonts w:ascii="Arial" w:hAnsi="Arial"/>
        </w:rPr>
        <w:t xml:space="preserve"> </w:t>
      </w:r>
      <w:hyperlink r:id="rId21" w:history="1">
        <w:r w:rsidR="006C32FA" w:rsidRPr="006C32FA">
          <w:rPr>
            <w:rStyle w:val="Hyperlink"/>
            <w:rFonts w:ascii="Arial" w:hAnsi="Arial"/>
          </w:rPr>
          <w:t>https://my.psa.org.au/s/article/Clinical-Governance-Principles-for-Pharmacy-Services</w:t>
        </w:r>
      </w:hyperlink>
      <w:r w:rsidR="006C32FA">
        <w:t xml:space="preserve">  </w:t>
      </w:r>
    </w:p>
  </w:footnote>
  <w:footnote w:id="30">
    <w:p w14:paraId="425811F8" w14:textId="5BBD768A" w:rsidR="00AF7B7B" w:rsidRPr="0000567A" w:rsidRDefault="00AF7B7B" w:rsidP="0000567A">
      <w:pPr>
        <w:pStyle w:val="FootnoteText"/>
        <w:rPr>
          <w:rFonts w:ascii="Arial" w:hAnsi="Arial"/>
        </w:rPr>
      </w:pPr>
      <w:r>
        <w:rPr>
          <w:rStyle w:val="FootnoteReference"/>
        </w:rPr>
        <w:t>28</w:t>
      </w:r>
      <w:r w:rsidRPr="0000567A">
        <w:rPr>
          <w:rFonts w:ascii="Arial" w:hAnsi="Arial"/>
        </w:rPr>
        <w:t xml:space="preserve"> Available at </w:t>
      </w:r>
      <w:hyperlink r:id="rId22" w:history="1">
        <w:r w:rsidRPr="0000567A">
          <w:rPr>
            <w:rStyle w:val="Hyperlink"/>
            <w:rFonts w:ascii="Arial" w:hAnsi="Arial"/>
          </w:rPr>
          <w:t>https://immunisationhandbook.health.gov.au/</w:t>
        </w:r>
      </w:hyperlink>
      <w:r w:rsidRPr="0000567A">
        <w:rPr>
          <w:rFonts w:ascii="Arial" w:hAnsi="Arial"/>
        </w:rPr>
        <w:t xml:space="preserve"> </w:t>
      </w:r>
    </w:p>
  </w:footnote>
  <w:footnote w:id="31">
    <w:p w14:paraId="5F0A6FEC" w14:textId="602F8ECD" w:rsidR="00417F6C" w:rsidRPr="0000567A" w:rsidRDefault="00417F6C" w:rsidP="0000567A">
      <w:pPr>
        <w:pStyle w:val="FootnoteText"/>
        <w:rPr>
          <w:rFonts w:ascii="Arial" w:hAnsi="Arial"/>
        </w:rPr>
      </w:pPr>
      <w:r>
        <w:rPr>
          <w:rStyle w:val="FootnoteReference"/>
        </w:rPr>
        <w:t>29</w:t>
      </w:r>
      <w:r w:rsidRPr="0000567A">
        <w:rPr>
          <w:rFonts w:ascii="Arial" w:hAnsi="Arial"/>
        </w:rPr>
        <w:t xml:space="preserve"> Current version is available online at</w:t>
      </w:r>
      <w:r w:rsidRPr="00965A7D">
        <w:rPr>
          <w:rFonts w:ascii="Arial" w:hAnsi="Arial"/>
        </w:rPr>
        <w:t xml:space="preserve">: </w:t>
      </w:r>
      <w:hyperlink r:id="rId23" w:history="1">
        <w:r w:rsidRPr="00965A7D">
          <w:rPr>
            <w:rStyle w:val="Hyperlink"/>
            <w:rFonts w:ascii="Arial" w:hAnsi="Arial"/>
          </w:rPr>
          <w:t>https://www.health.gov.au/resources/publications/national-vaccine-storage-guidelines-strive-for-5</w:t>
        </w:r>
      </w:hyperlink>
    </w:p>
  </w:footnote>
  <w:footnote w:id="32">
    <w:p w14:paraId="2EFB1767" w14:textId="46A60CCE" w:rsidR="00D97C4C" w:rsidRDefault="00D97C4C">
      <w:pPr>
        <w:pStyle w:val="FootnoteText"/>
      </w:pPr>
      <w:r>
        <w:rPr>
          <w:rStyle w:val="FootnoteReference"/>
        </w:rPr>
        <w:footnoteRef/>
      </w:r>
      <w:r>
        <w:t xml:space="preserve"> </w:t>
      </w:r>
      <w:r w:rsidRPr="0000567A">
        <w:rPr>
          <w:rFonts w:ascii="Arial" w:hAnsi="Arial"/>
        </w:rPr>
        <w:t xml:space="preserve">Access the Australian Immunisation Register at </w:t>
      </w:r>
      <w:hyperlink r:id="rId24" w:history="1">
        <w:r w:rsidRPr="002C0A17">
          <w:rPr>
            <w:rStyle w:val="Hyperlink"/>
            <w:rFonts w:ascii="Arial" w:hAnsi="Arial"/>
          </w:rPr>
          <w:t>https://www.humanservices.gov.au/organisations/health-professionals/services/medicare/australian-immunisation-register-health-professionals</w:t>
        </w:r>
      </w:hyperlink>
    </w:p>
  </w:footnote>
  <w:footnote w:id="33">
    <w:p w14:paraId="1CCB3371" w14:textId="671F016E" w:rsidR="00D97C4C" w:rsidRDefault="00D97C4C">
      <w:pPr>
        <w:pStyle w:val="FootnoteText"/>
      </w:pPr>
      <w:r>
        <w:rPr>
          <w:rStyle w:val="FootnoteReference"/>
        </w:rPr>
        <w:footnoteRef/>
      </w:r>
      <w:r>
        <w:t xml:space="preserve"> </w:t>
      </w:r>
      <w:r w:rsidRPr="0000567A">
        <w:rPr>
          <w:rFonts w:ascii="Arial" w:hAnsi="Arial"/>
        </w:rPr>
        <w:t xml:space="preserve">Available at </w:t>
      </w:r>
      <w:hyperlink r:id="rId25" w:history="1">
        <w:r w:rsidRPr="0000567A">
          <w:rPr>
            <w:rStyle w:val="Hyperlink"/>
            <w:rFonts w:ascii="Arial" w:hAnsi="Arial"/>
          </w:rPr>
          <w:t>https://immunisationhandbook.health.gov.au/</w:t>
        </w:r>
      </w:hyperlink>
    </w:p>
  </w:footnote>
  <w:footnote w:id="34">
    <w:p w14:paraId="4A9AC2AF" w14:textId="77777777" w:rsidR="0000567A" w:rsidRPr="0000567A" w:rsidRDefault="0000567A" w:rsidP="0000567A">
      <w:pPr>
        <w:pStyle w:val="FootnoteText"/>
        <w:rPr>
          <w:rFonts w:ascii="Arial" w:hAnsi="Arial"/>
        </w:rPr>
      </w:pPr>
      <w:r w:rsidRPr="0000567A">
        <w:rPr>
          <w:rStyle w:val="FootnoteReference"/>
          <w:rFonts w:ascii="Arial" w:hAnsi="Arial"/>
        </w:rPr>
        <w:footnoteRef/>
      </w:r>
      <w:r w:rsidRPr="0000567A">
        <w:rPr>
          <w:rFonts w:ascii="Arial" w:hAnsi="Arial"/>
        </w:rPr>
        <w:t xml:space="preserve"> Pharmaceutical Society of Australia Ltd, 2017, Practice guidelines for the provision of immunisation services within pharmacy, available at: </w:t>
      </w:r>
      <w:hyperlink r:id="rId26" w:history="1">
        <w:r w:rsidRPr="0000567A">
          <w:rPr>
            <w:rStyle w:val="Hyperlink"/>
            <w:rFonts w:ascii="Arial" w:hAnsi="Arial"/>
          </w:rPr>
          <w:t>https://my.psa.org.au/s/article/immunisation-guidelines</w:t>
        </w:r>
      </w:hyperlink>
    </w:p>
  </w:footnote>
  <w:footnote w:id="35">
    <w:p w14:paraId="55A0E6EA" w14:textId="77777777" w:rsidR="0000567A" w:rsidRPr="0000567A" w:rsidRDefault="0000567A" w:rsidP="0000567A">
      <w:pPr>
        <w:pStyle w:val="FootnoteText"/>
        <w:rPr>
          <w:rFonts w:ascii="Arial" w:hAnsi="Arial"/>
        </w:rPr>
      </w:pPr>
      <w:r w:rsidRPr="0000567A">
        <w:rPr>
          <w:rStyle w:val="FootnoteReference"/>
          <w:rFonts w:ascii="Arial" w:hAnsi="Arial"/>
        </w:rPr>
        <w:footnoteRef/>
      </w:r>
      <w:r w:rsidRPr="0000567A">
        <w:rPr>
          <w:rFonts w:ascii="Arial" w:hAnsi="Arial"/>
        </w:rPr>
        <w:t xml:space="preserve"> Available at </w:t>
      </w:r>
      <w:hyperlink r:id="rId27" w:history="1">
        <w:r w:rsidRPr="0000567A">
          <w:rPr>
            <w:rStyle w:val="Hyperlink"/>
            <w:rFonts w:ascii="Arial" w:hAnsi="Arial"/>
          </w:rPr>
          <w:t>https://www.health.gov.au/sites/default/files/national-vaccine-storage-guidelines-strive-for-5_0.pdf</w:t>
        </w:r>
      </w:hyperlink>
    </w:p>
  </w:footnote>
  <w:footnote w:id="36">
    <w:p w14:paraId="18C786DC" w14:textId="77777777" w:rsidR="0000567A" w:rsidRPr="0000567A" w:rsidRDefault="0000567A" w:rsidP="0000567A">
      <w:pPr>
        <w:pStyle w:val="FootnoteText"/>
        <w:rPr>
          <w:rFonts w:ascii="Arial" w:hAnsi="Arial"/>
        </w:rPr>
      </w:pPr>
      <w:r w:rsidRPr="0000567A">
        <w:rPr>
          <w:rStyle w:val="FootnoteReference"/>
          <w:rFonts w:ascii="Arial" w:hAnsi="Arial"/>
        </w:rPr>
        <w:footnoteRef/>
      </w:r>
      <w:r w:rsidRPr="0000567A">
        <w:rPr>
          <w:rFonts w:ascii="Arial" w:hAnsi="Arial"/>
        </w:rPr>
        <w:t xml:space="preserve"> The Victorian Pharmacy Authority Guidelines are available at: </w:t>
      </w:r>
      <w:hyperlink r:id="rId28" w:history="1">
        <w:r w:rsidRPr="0000567A">
          <w:rPr>
            <w:rStyle w:val="Hyperlink"/>
            <w:rFonts w:ascii="Arial" w:hAnsi="Arial"/>
          </w:rPr>
          <w:t>http://www.pharmacy.vic.gov.au</w:t>
        </w:r>
      </w:hyperlink>
    </w:p>
  </w:footnote>
  <w:footnote w:id="37">
    <w:p w14:paraId="398D7652" w14:textId="77777777" w:rsidR="0000567A" w:rsidRPr="0000567A" w:rsidRDefault="0000567A" w:rsidP="0000567A">
      <w:pPr>
        <w:pStyle w:val="FootnoteText"/>
        <w:rPr>
          <w:rFonts w:ascii="Arial" w:hAnsi="Arial"/>
        </w:rPr>
      </w:pPr>
      <w:r w:rsidRPr="0000567A">
        <w:rPr>
          <w:rStyle w:val="FootnoteReference"/>
          <w:rFonts w:ascii="Arial" w:hAnsi="Arial"/>
        </w:rPr>
        <w:footnoteRef/>
      </w:r>
      <w:r w:rsidRPr="0000567A">
        <w:rPr>
          <w:rFonts w:ascii="Arial" w:hAnsi="Arial"/>
        </w:rPr>
        <w:t xml:space="preserve"> Available at </w:t>
      </w:r>
      <w:hyperlink r:id="rId29" w:history="1">
        <w:r w:rsidRPr="0000567A">
          <w:rPr>
            <w:rStyle w:val="Hyperlink"/>
            <w:rFonts w:ascii="Arial" w:hAnsi="Arial"/>
          </w:rPr>
          <w:t>https://immunisationhandbook.health.gov.au/</w:t>
        </w:r>
      </w:hyperlink>
      <w:r w:rsidRPr="0000567A">
        <w:rPr>
          <w:rFonts w:ascii="Arial" w:hAnsi="Arial"/>
        </w:rPr>
        <w:t xml:space="preserve"> </w:t>
      </w:r>
    </w:p>
  </w:footnote>
  <w:footnote w:id="38">
    <w:p w14:paraId="0300FDD0" w14:textId="77777777" w:rsidR="0000567A" w:rsidRPr="0000567A" w:rsidRDefault="0000567A" w:rsidP="0000567A">
      <w:pPr>
        <w:pStyle w:val="FootnoteText"/>
        <w:rPr>
          <w:rFonts w:ascii="Arial" w:hAnsi="Arial"/>
        </w:rPr>
      </w:pPr>
      <w:r w:rsidRPr="0000567A">
        <w:rPr>
          <w:rStyle w:val="FootnoteReference"/>
          <w:rFonts w:ascii="Arial" w:hAnsi="Arial"/>
        </w:rPr>
        <w:footnoteRef/>
      </w:r>
      <w:r w:rsidRPr="0000567A">
        <w:rPr>
          <w:rFonts w:ascii="Arial" w:hAnsi="Arial"/>
        </w:rPr>
        <w:t xml:space="preserve"> Australian Government Department of Health. Australian Immunisation Handbook. Available at </w:t>
      </w:r>
      <w:hyperlink r:id="rId30" w:history="1">
        <w:r w:rsidRPr="0000567A">
          <w:rPr>
            <w:rStyle w:val="Hyperlink"/>
            <w:rFonts w:ascii="Arial" w:hAnsi="Arial"/>
          </w:rPr>
          <w:t>https://immunisationhandbook.health.gov.au/vaccination-procedures/preparing-for-vaccination</w:t>
        </w:r>
      </w:hyperlink>
      <w:r w:rsidRPr="0000567A">
        <w:rPr>
          <w:rFonts w:ascii="Arial" w:hAnsi="Arial"/>
        </w:rPr>
        <w:t xml:space="preserve"> </w:t>
      </w:r>
    </w:p>
  </w:footnote>
  <w:footnote w:id="39">
    <w:p w14:paraId="5815B5C1" w14:textId="77777777" w:rsidR="0000567A" w:rsidRPr="0000567A" w:rsidRDefault="0000567A" w:rsidP="0000567A">
      <w:pPr>
        <w:pStyle w:val="FootnoteText"/>
        <w:rPr>
          <w:rFonts w:ascii="Arial" w:hAnsi="Arial"/>
        </w:rPr>
      </w:pPr>
      <w:r w:rsidRPr="0000567A">
        <w:rPr>
          <w:rStyle w:val="FootnoteReference"/>
          <w:rFonts w:ascii="Arial" w:hAnsi="Arial"/>
        </w:rPr>
        <w:footnoteRef/>
      </w:r>
      <w:r w:rsidRPr="0000567A">
        <w:rPr>
          <w:rFonts w:ascii="Arial" w:hAnsi="Arial"/>
        </w:rPr>
        <w:t xml:space="preserve"> </w:t>
      </w:r>
      <w:r w:rsidRPr="0000567A">
        <w:rPr>
          <w:rFonts w:ascii="Arial" w:hAnsi="Arial"/>
          <w:lang w:val="en"/>
        </w:rPr>
        <w:t xml:space="preserve">The Medical </w:t>
      </w:r>
      <w:proofErr w:type="spellStart"/>
      <w:r w:rsidRPr="0000567A">
        <w:rPr>
          <w:rFonts w:ascii="Arial" w:hAnsi="Arial"/>
          <w:lang w:val="en"/>
        </w:rPr>
        <w:t>Defence</w:t>
      </w:r>
      <w:proofErr w:type="spellEnd"/>
      <w:r w:rsidRPr="0000567A">
        <w:rPr>
          <w:rFonts w:ascii="Arial" w:hAnsi="Arial"/>
          <w:lang w:val="en"/>
        </w:rPr>
        <w:t xml:space="preserve"> Association of Victoria Ltd (MDAV). Medicine and the law: a practical guide for doctors. Carlton, Victoria: MDAV; 2005 as cited in: </w:t>
      </w:r>
      <w:r w:rsidRPr="0000567A">
        <w:rPr>
          <w:rFonts w:ascii="Arial" w:hAnsi="Arial"/>
        </w:rPr>
        <w:t xml:space="preserve">Australian Government Department of Health. Australian Immunisation Handbook. Available at </w:t>
      </w:r>
      <w:hyperlink r:id="rId31" w:history="1">
        <w:r w:rsidRPr="0000567A">
          <w:rPr>
            <w:rStyle w:val="Hyperlink"/>
            <w:rFonts w:ascii="Arial" w:hAnsi="Arial"/>
          </w:rPr>
          <w:t>https://immunisationhandbook.health.gov.au/vaccination-procedures/preparing-for-vaccination</w:t>
        </w:r>
      </w:hyperlink>
    </w:p>
  </w:footnote>
  <w:footnote w:id="40">
    <w:p w14:paraId="53EA98DD" w14:textId="77777777" w:rsidR="0000567A" w:rsidRPr="0000567A" w:rsidRDefault="0000567A" w:rsidP="0000567A">
      <w:pPr>
        <w:pStyle w:val="FootnoteText"/>
        <w:rPr>
          <w:rFonts w:ascii="Arial" w:hAnsi="Arial"/>
        </w:rPr>
      </w:pPr>
      <w:r w:rsidRPr="0000567A">
        <w:rPr>
          <w:rStyle w:val="FootnoteReference"/>
          <w:rFonts w:ascii="Arial" w:hAnsi="Arial"/>
        </w:rPr>
        <w:footnoteRef/>
      </w:r>
      <w:r w:rsidRPr="0000567A">
        <w:rPr>
          <w:rFonts w:ascii="Arial" w:hAnsi="Arial"/>
        </w:rPr>
        <w:t xml:space="preserve"> Available at </w:t>
      </w:r>
      <w:hyperlink r:id="rId32" w:history="1">
        <w:r w:rsidRPr="0000567A">
          <w:rPr>
            <w:rStyle w:val="Hyperlink"/>
            <w:rFonts w:ascii="Arial" w:hAnsi="Arial"/>
          </w:rPr>
          <w:t>https://immunisationhandbook.health.gov.au/</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5E329" w14:textId="77777777" w:rsidR="003F7BAC" w:rsidRDefault="003F7B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A8407" w14:textId="77777777" w:rsidR="003F7BAC" w:rsidRDefault="003F7B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71BFE" w14:textId="77777777" w:rsidR="003F7BAC" w:rsidRDefault="003F7BA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3CF8E" w14:textId="77777777" w:rsidR="0000567A" w:rsidRDefault="0000567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0E47A" w14:textId="77777777" w:rsidR="0000567A" w:rsidRDefault="0000567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DA75D" w14:textId="77777777" w:rsidR="0000567A" w:rsidRDefault="0000567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F7F34" w14:textId="77777777" w:rsidR="00431A70" w:rsidRPr="00454A7D" w:rsidRDefault="00431A70" w:rsidP="00454A7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CD2D3" w14:textId="576E5DB5" w:rsidR="00562811" w:rsidRPr="0051568D" w:rsidRDefault="0010243C" w:rsidP="0017674D">
    <w:pPr>
      <w:pStyle w:val="Header"/>
    </w:pPr>
    <w:r>
      <w:t>Victorian Pharmacist-Administered Vaccination Program Guidelines</w:t>
    </w:r>
    <w:r w:rsidR="00562811">
      <w:ptab w:relativeTo="margin" w:alignment="right" w:leader="none"/>
    </w:r>
    <w:r w:rsidR="00562811" w:rsidRPr="00DE6C85">
      <w:rPr>
        <w:b w:val="0"/>
        <w:bCs/>
      </w:rPr>
      <w:fldChar w:fldCharType="begin"/>
    </w:r>
    <w:r w:rsidR="00562811" w:rsidRPr="00DE6C85">
      <w:rPr>
        <w:bCs/>
      </w:rPr>
      <w:instrText xml:space="preserve"> PAGE </w:instrText>
    </w:r>
    <w:r w:rsidR="00562811" w:rsidRPr="00DE6C85">
      <w:rPr>
        <w:b w:val="0"/>
        <w:bCs/>
      </w:rPr>
      <w:fldChar w:fldCharType="separate"/>
    </w:r>
    <w:r w:rsidR="00562811" w:rsidRPr="00DE6C85">
      <w:rPr>
        <w:bCs/>
      </w:rPr>
      <w:t>2</w:t>
    </w:r>
    <w:r w:rsidR="00562811"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646F547"/>
    <w:multiLevelType w:val="hybridMultilevel"/>
    <w:tmpl w:val="679AD7A6"/>
    <w:lvl w:ilvl="0" w:tplc="AFA4D6A4">
      <w:start w:val="1"/>
      <w:numFmt w:val="bullet"/>
      <w:lvlText w:val=""/>
      <w:lvlJc w:val="left"/>
      <w:pPr>
        <w:ind w:left="720" w:hanging="360"/>
      </w:pPr>
      <w:rPr>
        <w:rFonts w:ascii="Symbol" w:hAnsi="Symbol" w:hint="default"/>
      </w:rPr>
    </w:lvl>
    <w:lvl w:ilvl="1" w:tplc="DCFAF386">
      <w:start w:val="1"/>
      <w:numFmt w:val="bullet"/>
      <w:lvlText w:val="o"/>
      <w:lvlJc w:val="left"/>
      <w:pPr>
        <w:ind w:left="1440" w:hanging="360"/>
      </w:pPr>
      <w:rPr>
        <w:rFonts w:ascii="Courier New" w:hAnsi="Courier New" w:hint="default"/>
      </w:rPr>
    </w:lvl>
    <w:lvl w:ilvl="2" w:tplc="1A98A28C">
      <w:start w:val="1"/>
      <w:numFmt w:val="bullet"/>
      <w:lvlText w:val=""/>
      <w:lvlJc w:val="left"/>
      <w:pPr>
        <w:ind w:left="2160" w:hanging="360"/>
      </w:pPr>
      <w:rPr>
        <w:rFonts w:ascii="Wingdings" w:hAnsi="Wingdings" w:hint="default"/>
      </w:rPr>
    </w:lvl>
    <w:lvl w:ilvl="3" w:tplc="4AB2DDE8">
      <w:start w:val="1"/>
      <w:numFmt w:val="bullet"/>
      <w:lvlText w:val=""/>
      <w:lvlJc w:val="left"/>
      <w:pPr>
        <w:ind w:left="2880" w:hanging="360"/>
      </w:pPr>
      <w:rPr>
        <w:rFonts w:ascii="Symbol" w:hAnsi="Symbol" w:hint="default"/>
      </w:rPr>
    </w:lvl>
    <w:lvl w:ilvl="4" w:tplc="B6A435B4">
      <w:start w:val="1"/>
      <w:numFmt w:val="bullet"/>
      <w:lvlText w:val="o"/>
      <w:lvlJc w:val="left"/>
      <w:pPr>
        <w:ind w:left="3600" w:hanging="360"/>
      </w:pPr>
      <w:rPr>
        <w:rFonts w:ascii="Courier New" w:hAnsi="Courier New" w:hint="default"/>
      </w:rPr>
    </w:lvl>
    <w:lvl w:ilvl="5" w:tplc="C6B229A2">
      <w:start w:val="1"/>
      <w:numFmt w:val="bullet"/>
      <w:lvlText w:val=""/>
      <w:lvlJc w:val="left"/>
      <w:pPr>
        <w:ind w:left="4320" w:hanging="360"/>
      </w:pPr>
      <w:rPr>
        <w:rFonts w:ascii="Wingdings" w:hAnsi="Wingdings" w:hint="default"/>
      </w:rPr>
    </w:lvl>
    <w:lvl w:ilvl="6" w:tplc="9078D796">
      <w:start w:val="1"/>
      <w:numFmt w:val="bullet"/>
      <w:lvlText w:val=""/>
      <w:lvlJc w:val="left"/>
      <w:pPr>
        <w:ind w:left="5040" w:hanging="360"/>
      </w:pPr>
      <w:rPr>
        <w:rFonts w:ascii="Symbol" w:hAnsi="Symbol" w:hint="default"/>
      </w:rPr>
    </w:lvl>
    <w:lvl w:ilvl="7" w:tplc="3D184202">
      <w:start w:val="1"/>
      <w:numFmt w:val="bullet"/>
      <w:lvlText w:val="o"/>
      <w:lvlJc w:val="left"/>
      <w:pPr>
        <w:ind w:left="5760" w:hanging="360"/>
      </w:pPr>
      <w:rPr>
        <w:rFonts w:ascii="Courier New" w:hAnsi="Courier New" w:hint="default"/>
      </w:rPr>
    </w:lvl>
    <w:lvl w:ilvl="8" w:tplc="BAEECBE0">
      <w:start w:val="1"/>
      <w:numFmt w:val="bullet"/>
      <w:lvlText w:val=""/>
      <w:lvlJc w:val="left"/>
      <w:pPr>
        <w:ind w:left="6480" w:hanging="360"/>
      </w:pPr>
      <w:rPr>
        <w:rFonts w:ascii="Wingdings" w:hAnsi="Wingdings" w:hint="default"/>
      </w:rPr>
    </w:lvl>
  </w:abstractNum>
  <w:abstractNum w:abstractNumId="2" w15:restartNumberingAfterBreak="0">
    <w:nsid w:val="07987845"/>
    <w:multiLevelType w:val="multilevel"/>
    <w:tmpl w:val="05A27AF2"/>
    <w:lvl w:ilvl="0">
      <w:start w:val="1"/>
      <w:numFmt w:val="decimal"/>
      <w:lvlText w:val="%1."/>
      <w:lvlJc w:val="left"/>
      <w:pPr>
        <w:ind w:left="800" w:hanging="800"/>
      </w:pPr>
      <w:rPr>
        <w:rFonts w:hint="default"/>
      </w:rPr>
    </w:lvl>
    <w:lvl w:ilvl="1">
      <w:start w:val="4"/>
      <w:numFmt w:val="decimal"/>
      <w:lvlText w:val="%1.%2"/>
      <w:lvlJc w:val="left"/>
      <w:pPr>
        <w:ind w:left="800" w:hanging="800"/>
      </w:pPr>
      <w:rPr>
        <w:rFonts w:hint="default"/>
      </w:rPr>
    </w:lvl>
    <w:lvl w:ilvl="2">
      <w:start w:val="1"/>
      <w:numFmt w:val="decimal"/>
      <w:lvlText w:val="%1.%2.%3"/>
      <w:lvlJc w:val="left"/>
      <w:pPr>
        <w:ind w:left="800" w:hanging="80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0D4516C7"/>
    <w:multiLevelType w:val="hybridMultilevel"/>
    <w:tmpl w:val="E914660A"/>
    <w:lvl w:ilvl="0" w:tplc="1D3CF6DA">
      <w:start w:val="1"/>
      <w:numFmt w:val="bullet"/>
      <w:lvlText w:val=""/>
      <w:lvlJc w:val="left"/>
      <w:pPr>
        <w:ind w:left="720" w:hanging="360"/>
      </w:pPr>
      <w:rPr>
        <w:rFonts w:ascii="Symbol" w:hAnsi="Symbol" w:hint="default"/>
      </w:rPr>
    </w:lvl>
    <w:lvl w:ilvl="1" w:tplc="A38A921A">
      <w:start w:val="1"/>
      <w:numFmt w:val="bullet"/>
      <w:lvlText w:val="o"/>
      <w:lvlJc w:val="left"/>
      <w:pPr>
        <w:ind w:left="1440" w:hanging="360"/>
      </w:pPr>
      <w:rPr>
        <w:rFonts w:ascii="Courier New" w:hAnsi="Courier New" w:hint="default"/>
      </w:rPr>
    </w:lvl>
    <w:lvl w:ilvl="2" w:tplc="944245EA">
      <w:start w:val="1"/>
      <w:numFmt w:val="bullet"/>
      <w:lvlText w:val=""/>
      <w:lvlJc w:val="left"/>
      <w:pPr>
        <w:ind w:left="2160" w:hanging="360"/>
      </w:pPr>
      <w:rPr>
        <w:rFonts w:ascii="Wingdings" w:hAnsi="Wingdings" w:hint="default"/>
      </w:rPr>
    </w:lvl>
    <w:lvl w:ilvl="3" w:tplc="AA5E85D2">
      <w:start w:val="1"/>
      <w:numFmt w:val="bullet"/>
      <w:lvlText w:val=""/>
      <w:lvlJc w:val="left"/>
      <w:pPr>
        <w:ind w:left="2880" w:hanging="360"/>
      </w:pPr>
      <w:rPr>
        <w:rFonts w:ascii="Symbol" w:hAnsi="Symbol" w:hint="default"/>
      </w:rPr>
    </w:lvl>
    <w:lvl w:ilvl="4" w:tplc="29121F7C">
      <w:start w:val="1"/>
      <w:numFmt w:val="bullet"/>
      <w:lvlText w:val="o"/>
      <w:lvlJc w:val="left"/>
      <w:pPr>
        <w:ind w:left="3600" w:hanging="360"/>
      </w:pPr>
      <w:rPr>
        <w:rFonts w:ascii="Courier New" w:hAnsi="Courier New" w:hint="default"/>
      </w:rPr>
    </w:lvl>
    <w:lvl w:ilvl="5" w:tplc="57EC75E6">
      <w:start w:val="1"/>
      <w:numFmt w:val="bullet"/>
      <w:lvlText w:val=""/>
      <w:lvlJc w:val="left"/>
      <w:pPr>
        <w:ind w:left="4320" w:hanging="360"/>
      </w:pPr>
      <w:rPr>
        <w:rFonts w:ascii="Wingdings" w:hAnsi="Wingdings" w:hint="default"/>
      </w:rPr>
    </w:lvl>
    <w:lvl w:ilvl="6" w:tplc="5A0879A6">
      <w:start w:val="1"/>
      <w:numFmt w:val="bullet"/>
      <w:lvlText w:val=""/>
      <w:lvlJc w:val="left"/>
      <w:pPr>
        <w:ind w:left="5040" w:hanging="360"/>
      </w:pPr>
      <w:rPr>
        <w:rFonts w:ascii="Symbol" w:hAnsi="Symbol" w:hint="default"/>
      </w:rPr>
    </w:lvl>
    <w:lvl w:ilvl="7" w:tplc="3BF47426">
      <w:start w:val="1"/>
      <w:numFmt w:val="bullet"/>
      <w:lvlText w:val="o"/>
      <w:lvlJc w:val="left"/>
      <w:pPr>
        <w:ind w:left="5760" w:hanging="360"/>
      </w:pPr>
      <w:rPr>
        <w:rFonts w:ascii="Courier New" w:hAnsi="Courier New" w:hint="default"/>
      </w:rPr>
    </w:lvl>
    <w:lvl w:ilvl="8" w:tplc="3232F182">
      <w:start w:val="1"/>
      <w:numFmt w:val="bullet"/>
      <w:lvlText w:val=""/>
      <w:lvlJc w:val="left"/>
      <w:pPr>
        <w:ind w:left="6480" w:hanging="360"/>
      </w:pPr>
      <w:rPr>
        <w:rFonts w:ascii="Wingdings" w:hAnsi="Wingdings" w:hint="default"/>
      </w:rPr>
    </w:lvl>
  </w:abstractNum>
  <w:abstractNum w:abstractNumId="5" w15:restartNumberingAfterBreak="0">
    <w:nsid w:val="11791424"/>
    <w:multiLevelType w:val="multilevel"/>
    <w:tmpl w:val="35B85A42"/>
    <w:lvl w:ilvl="0">
      <w:start w:val="9"/>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 w15:restartNumberingAfterBreak="0">
    <w:nsid w:val="15687994"/>
    <w:multiLevelType w:val="hybridMultilevel"/>
    <w:tmpl w:val="EDAA457A"/>
    <w:lvl w:ilvl="0" w:tplc="0C090001">
      <w:start w:val="1"/>
      <w:numFmt w:val="bullet"/>
      <w:lvlText w:val=""/>
      <w:lvlJc w:val="left"/>
      <w:pPr>
        <w:ind w:left="1080" w:hanging="72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6315321"/>
    <w:multiLevelType w:val="hybridMultilevel"/>
    <w:tmpl w:val="E9948028"/>
    <w:lvl w:ilvl="0" w:tplc="057A54F2">
      <w:start w:val="1"/>
      <w:numFmt w:val="bullet"/>
      <w:lvlText w:val=""/>
      <w:lvlJc w:val="left"/>
      <w:pPr>
        <w:ind w:left="720" w:hanging="360"/>
      </w:pPr>
      <w:rPr>
        <w:rFonts w:ascii="Symbol" w:hAnsi="Symbol" w:hint="default"/>
      </w:rPr>
    </w:lvl>
    <w:lvl w:ilvl="1" w:tplc="4238B50A">
      <w:start w:val="1"/>
      <w:numFmt w:val="bullet"/>
      <w:lvlText w:val="o"/>
      <w:lvlJc w:val="left"/>
      <w:pPr>
        <w:ind w:left="1440" w:hanging="360"/>
      </w:pPr>
      <w:rPr>
        <w:rFonts w:ascii="Courier New" w:hAnsi="Courier New" w:hint="default"/>
      </w:rPr>
    </w:lvl>
    <w:lvl w:ilvl="2" w:tplc="B29813C8">
      <w:start w:val="1"/>
      <w:numFmt w:val="bullet"/>
      <w:lvlText w:val=""/>
      <w:lvlJc w:val="left"/>
      <w:pPr>
        <w:ind w:left="2160" w:hanging="360"/>
      </w:pPr>
      <w:rPr>
        <w:rFonts w:ascii="Wingdings" w:hAnsi="Wingdings" w:hint="default"/>
      </w:rPr>
    </w:lvl>
    <w:lvl w:ilvl="3" w:tplc="26C6FBC0">
      <w:start w:val="1"/>
      <w:numFmt w:val="bullet"/>
      <w:lvlText w:val=""/>
      <w:lvlJc w:val="left"/>
      <w:pPr>
        <w:ind w:left="2880" w:hanging="360"/>
      </w:pPr>
      <w:rPr>
        <w:rFonts w:ascii="Symbol" w:hAnsi="Symbol" w:hint="default"/>
      </w:rPr>
    </w:lvl>
    <w:lvl w:ilvl="4" w:tplc="7CAE9C4E">
      <w:start w:val="1"/>
      <w:numFmt w:val="bullet"/>
      <w:lvlText w:val="o"/>
      <w:lvlJc w:val="left"/>
      <w:pPr>
        <w:ind w:left="3600" w:hanging="360"/>
      </w:pPr>
      <w:rPr>
        <w:rFonts w:ascii="Courier New" w:hAnsi="Courier New" w:hint="default"/>
      </w:rPr>
    </w:lvl>
    <w:lvl w:ilvl="5" w:tplc="E43ED370">
      <w:start w:val="1"/>
      <w:numFmt w:val="bullet"/>
      <w:lvlText w:val=""/>
      <w:lvlJc w:val="left"/>
      <w:pPr>
        <w:ind w:left="4320" w:hanging="360"/>
      </w:pPr>
      <w:rPr>
        <w:rFonts w:ascii="Wingdings" w:hAnsi="Wingdings" w:hint="default"/>
      </w:rPr>
    </w:lvl>
    <w:lvl w:ilvl="6" w:tplc="17F4436A">
      <w:start w:val="1"/>
      <w:numFmt w:val="bullet"/>
      <w:lvlText w:val=""/>
      <w:lvlJc w:val="left"/>
      <w:pPr>
        <w:ind w:left="5040" w:hanging="360"/>
      </w:pPr>
      <w:rPr>
        <w:rFonts w:ascii="Symbol" w:hAnsi="Symbol" w:hint="default"/>
      </w:rPr>
    </w:lvl>
    <w:lvl w:ilvl="7" w:tplc="C6BCC28C">
      <w:start w:val="1"/>
      <w:numFmt w:val="bullet"/>
      <w:lvlText w:val="o"/>
      <w:lvlJc w:val="left"/>
      <w:pPr>
        <w:ind w:left="5760" w:hanging="360"/>
      </w:pPr>
      <w:rPr>
        <w:rFonts w:ascii="Courier New" w:hAnsi="Courier New" w:hint="default"/>
      </w:rPr>
    </w:lvl>
    <w:lvl w:ilvl="8" w:tplc="30D83AEC">
      <w:start w:val="1"/>
      <w:numFmt w:val="bullet"/>
      <w:lvlText w:val=""/>
      <w:lvlJc w:val="left"/>
      <w:pPr>
        <w:ind w:left="6480" w:hanging="360"/>
      </w:pPr>
      <w:rPr>
        <w:rFonts w:ascii="Wingdings" w:hAnsi="Wingdings" w:hint="default"/>
      </w:rPr>
    </w:lvl>
  </w:abstractNum>
  <w:abstractNum w:abstractNumId="8" w15:restartNumberingAfterBreak="0">
    <w:nsid w:val="189D8927"/>
    <w:multiLevelType w:val="hybridMultilevel"/>
    <w:tmpl w:val="E00476DE"/>
    <w:lvl w:ilvl="0" w:tplc="A71C66EC">
      <w:start w:val="1"/>
      <w:numFmt w:val="bullet"/>
      <w:lvlText w:val=""/>
      <w:lvlJc w:val="left"/>
      <w:pPr>
        <w:ind w:left="720" w:hanging="360"/>
      </w:pPr>
      <w:rPr>
        <w:rFonts w:ascii="Symbol" w:hAnsi="Symbol" w:hint="default"/>
      </w:rPr>
    </w:lvl>
    <w:lvl w:ilvl="1" w:tplc="EE6657A2">
      <w:start w:val="1"/>
      <w:numFmt w:val="bullet"/>
      <w:lvlText w:val="o"/>
      <w:lvlJc w:val="left"/>
      <w:pPr>
        <w:ind w:left="1440" w:hanging="360"/>
      </w:pPr>
      <w:rPr>
        <w:rFonts w:ascii="Courier New" w:hAnsi="Courier New" w:hint="default"/>
      </w:rPr>
    </w:lvl>
    <w:lvl w:ilvl="2" w:tplc="362243C0">
      <w:start w:val="1"/>
      <w:numFmt w:val="bullet"/>
      <w:lvlText w:val=""/>
      <w:lvlJc w:val="left"/>
      <w:pPr>
        <w:ind w:left="2160" w:hanging="360"/>
      </w:pPr>
      <w:rPr>
        <w:rFonts w:ascii="Wingdings" w:hAnsi="Wingdings" w:hint="default"/>
      </w:rPr>
    </w:lvl>
    <w:lvl w:ilvl="3" w:tplc="831C692E">
      <w:start w:val="1"/>
      <w:numFmt w:val="bullet"/>
      <w:lvlText w:val=""/>
      <w:lvlJc w:val="left"/>
      <w:pPr>
        <w:ind w:left="2880" w:hanging="360"/>
      </w:pPr>
      <w:rPr>
        <w:rFonts w:ascii="Symbol" w:hAnsi="Symbol" w:hint="default"/>
      </w:rPr>
    </w:lvl>
    <w:lvl w:ilvl="4" w:tplc="8D1613DA">
      <w:start w:val="1"/>
      <w:numFmt w:val="bullet"/>
      <w:lvlText w:val="o"/>
      <w:lvlJc w:val="left"/>
      <w:pPr>
        <w:ind w:left="3600" w:hanging="360"/>
      </w:pPr>
      <w:rPr>
        <w:rFonts w:ascii="Courier New" w:hAnsi="Courier New" w:hint="default"/>
      </w:rPr>
    </w:lvl>
    <w:lvl w:ilvl="5" w:tplc="05668FDE">
      <w:start w:val="1"/>
      <w:numFmt w:val="bullet"/>
      <w:lvlText w:val=""/>
      <w:lvlJc w:val="left"/>
      <w:pPr>
        <w:ind w:left="4320" w:hanging="360"/>
      </w:pPr>
      <w:rPr>
        <w:rFonts w:ascii="Wingdings" w:hAnsi="Wingdings" w:hint="default"/>
      </w:rPr>
    </w:lvl>
    <w:lvl w:ilvl="6" w:tplc="B4580FBA">
      <w:start w:val="1"/>
      <w:numFmt w:val="bullet"/>
      <w:lvlText w:val=""/>
      <w:lvlJc w:val="left"/>
      <w:pPr>
        <w:ind w:left="5040" w:hanging="360"/>
      </w:pPr>
      <w:rPr>
        <w:rFonts w:ascii="Symbol" w:hAnsi="Symbol" w:hint="default"/>
      </w:rPr>
    </w:lvl>
    <w:lvl w:ilvl="7" w:tplc="B240E6D4">
      <w:start w:val="1"/>
      <w:numFmt w:val="bullet"/>
      <w:lvlText w:val="o"/>
      <w:lvlJc w:val="left"/>
      <w:pPr>
        <w:ind w:left="5760" w:hanging="360"/>
      </w:pPr>
      <w:rPr>
        <w:rFonts w:ascii="Courier New" w:hAnsi="Courier New" w:hint="default"/>
      </w:rPr>
    </w:lvl>
    <w:lvl w:ilvl="8" w:tplc="0E10F690">
      <w:start w:val="1"/>
      <w:numFmt w:val="bullet"/>
      <w:lvlText w:val=""/>
      <w:lvlJc w:val="left"/>
      <w:pPr>
        <w:ind w:left="6480" w:hanging="360"/>
      </w:pPr>
      <w:rPr>
        <w:rFonts w:ascii="Wingdings" w:hAnsi="Wingdings" w:hint="default"/>
      </w:rPr>
    </w:lvl>
  </w:abstractNum>
  <w:abstractNum w:abstractNumId="9" w15:restartNumberingAfterBreak="0">
    <w:nsid w:val="1D6B5A0D"/>
    <w:multiLevelType w:val="hybridMultilevel"/>
    <w:tmpl w:val="D828150E"/>
    <w:lvl w:ilvl="0" w:tplc="275EB7F8">
      <w:start w:val="1"/>
      <w:numFmt w:val="bullet"/>
      <w:lvlText w:val=""/>
      <w:lvlJc w:val="left"/>
      <w:pPr>
        <w:ind w:left="720" w:hanging="360"/>
      </w:pPr>
      <w:rPr>
        <w:rFonts w:ascii="Symbol" w:hAnsi="Symbol" w:hint="default"/>
      </w:rPr>
    </w:lvl>
    <w:lvl w:ilvl="1" w:tplc="4A96BF9C">
      <w:start w:val="1"/>
      <w:numFmt w:val="bullet"/>
      <w:lvlText w:val="o"/>
      <w:lvlJc w:val="left"/>
      <w:pPr>
        <w:ind w:left="1440" w:hanging="360"/>
      </w:pPr>
      <w:rPr>
        <w:rFonts w:ascii="Courier New" w:hAnsi="Courier New" w:hint="default"/>
      </w:rPr>
    </w:lvl>
    <w:lvl w:ilvl="2" w:tplc="4ED82EC8">
      <w:start w:val="1"/>
      <w:numFmt w:val="bullet"/>
      <w:lvlText w:val=""/>
      <w:lvlJc w:val="left"/>
      <w:pPr>
        <w:ind w:left="2160" w:hanging="360"/>
      </w:pPr>
      <w:rPr>
        <w:rFonts w:ascii="Wingdings" w:hAnsi="Wingdings" w:hint="default"/>
      </w:rPr>
    </w:lvl>
    <w:lvl w:ilvl="3" w:tplc="F5463708">
      <w:start w:val="1"/>
      <w:numFmt w:val="bullet"/>
      <w:lvlText w:val=""/>
      <w:lvlJc w:val="left"/>
      <w:pPr>
        <w:ind w:left="2880" w:hanging="360"/>
      </w:pPr>
      <w:rPr>
        <w:rFonts w:ascii="Symbol" w:hAnsi="Symbol" w:hint="default"/>
      </w:rPr>
    </w:lvl>
    <w:lvl w:ilvl="4" w:tplc="BDFE5DAC">
      <w:start w:val="1"/>
      <w:numFmt w:val="bullet"/>
      <w:lvlText w:val="o"/>
      <w:lvlJc w:val="left"/>
      <w:pPr>
        <w:ind w:left="3600" w:hanging="360"/>
      </w:pPr>
      <w:rPr>
        <w:rFonts w:ascii="Courier New" w:hAnsi="Courier New" w:hint="default"/>
      </w:rPr>
    </w:lvl>
    <w:lvl w:ilvl="5" w:tplc="1B528526">
      <w:start w:val="1"/>
      <w:numFmt w:val="bullet"/>
      <w:lvlText w:val=""/>
      <w:lvlJc w:val="left"/>
      <w:pPr>
        <w:ind w:left="4320" w:hanging="360"/>
      </w:pPr>
      <w:rPr>
        <w:rFonts w:ascii="Wingdings" w:hAnsi="Wingdings" w:hint="default"/>
      </w:rPr>
    </w:lvl>
    <w:lvl w:ilvl="6" w:tplc="8AF68A32">
      <w:start w:val="1"/>
      <w:numFmt w:val="bullet"/>
      <w:lvlText w:val=""/>
      <w:lvlJc w:val="left"/>
      <w:pPr>
        <w:ind w:left="5040" w:hanging="360"/>
      </w:pPr>
      <w:rPr>
        <w:rFonts w:ascii="Symbol" w:hAnsi="Symbol" w:hint="default"/>
      </w:rPr>
    </w:lvl>
    <w:lvl w:ilvl="7" w:tplc="28F80B58">
      <w:start w:val="1"/>
      <w:numFmt w:val="bullet"/>
      <w:lvlText w:val="o"/>
      <w:lvlJc w:val="left"/>
      <w:pPr>
        <w:ind w:left="5760" w:hanging="360"/>
      </w:pPr>
      <w:rPr>
        <w:rFonts w:ascii="Courier New" w:hAnsi="Courier New" w:hint="default"/>
      </w:rPr>
    </w:lvl>
    <w:lvl w:ilvl="8" w:tplc="99ACE240">
      <w:start w:val="1"/>
      <w:numFmt w:val="bullet"/>
      <w:lvlText w:val=""/>
      <w:lvlJc w:val="left"/>
      <w:pPr>
        <w:ind w:left="6480" w:hanging="360"/>
      </w:pPr>
      <w:rPr>
        <w:rFonts w:ascii="Wingdings" w:hAnsi="Wingdings" w:hint="default"/>
      </w:rPr>
    </w:lvl>
  </w:abstractNum>
  <w:abstractNum w:abstractNumId="10" w15:restartNumberingAfterBreak="0">
    <w:nsid w:val="1E7A87C9"/>
    <w:multiLevelType w:val="hybridMultilevel"/>
    <w:tmpl w:val="0C50C6E0"/>
    <w:lvl w:ilvl="0" w:tplc="2318D83C">
      <w:start w:val="1"/>
      <w:numFmt w:val="bullet"/>
      <w:lvlText w:val=""/>
      <w:lvlJc w:val="left"/>
      <w:pPr>
        <w:ind w:left="720" w:hanging="360"/>
      </w:pPr>
      <w:rPr>
        <w:rFonts w:ascii="Symbol" w:hAnsi="Symbol" w:hint="default"/>
      </w:rPr>
    </w:lvl>
    <w:lvl w:ilvl="1" w:tplc="F4480114">
      <w:start w:val="1"/>
      <w:numFmt w:val="bullet"/>
      <w:lvlText w:val="o"/>
      <w:lvlJc w:val="left"/>
      <w:pPr>
        <w:ind w:left="1440" w:hanging="360"/>
      </w:pPr>
      <w:rPr>
        <w:rFonts w:ascii="Courier New" w:hAnsi="Courier New" w:hint="default"/>
      </w:rPr>
    </w:lvl>
    <w:lvl w:ilvl="2" w:tplc="BCCC8F96">
      <w:start w:val="1"/>
      <w:numFmt w:val="bullet"/>
      <w:lvlText w:val=""/>
      <w:lvlJc w:val="left"/>
      <w:pPr>
        <w:ind w:left="2160" w:hanging="360"/>
      </w:pPr>
      <w:rPr>
        <w:rFonts w:ascii="Wingdings" w:hAnsi="Wingdings" w:hint="default"/>
      </w:rPr>
    </w:lvl>
    <w:lvl w:ilvl="3" w:tplc="ECFE85D2">
      <w:start w:val="1"/>
      <w:numFmt w:val="bullet"/>
      <w:lvlText w:val=""/>
      <w:lvlJc w:val="left"/>
      <w:pPr>
        <w:ind w:left="2880" w:hanging="360"/>
      </w:pPr>
      <w:rPr>
        <w:rFonts w:ascii="Symbol" w:hAnsi="Symbol" w:hint="default"/>
      </w:rPr>
    </w:lvl>
    <w:lvl w:ilvl="4" w:tplc="29F62174">
      <w:start w:val="1"/>
      <w:numFmt w:val="bullet"/>
      <w:lvlText w:val="o"/>
      <w:lvlJc w:val="left"/>
      <w:pPr>
        <w:ind w:left="3600" w:hanging="360"/>
      </w:pPr>
      <w:rPr>
        <w:rFonts w:ascii="Courier New" w:hAnsi="Courier New" w:hint="default"/>
      </w:rPr>
    </w:lvl>
    <w:lvl w:ilvl="5" w:tplc="E15E659C">
      <w:start w:val="1"/>
      <w:numFmt w:val="bullet"/>
      <w:lvlText w:val=""/>
      <w:lvlJc w:val="left"/>
      <w:pPr>
        <w:ind w:left="4320" w:hanging="360"/>
      </w:pPr>
      <w:rPr>
        <w:rFonts w:ascii="Wingdings" w:hAnsi="Wingdings" w:hint="default"/>
      </w:rPr>
    </w:lvl>
    <w:lvl w:ilvl="6" w:tplc="6948602C">
      <w:start w:val="1"/>
      <w:numFmt w:val="bullet"/>
      <w:lvlText w:val=""/>
      <w:lvlJc w:val="left"/>
      <w:pPr>
        <w:ind w:left="5040" w:hanging="360"/>
      </w:pPr>
      <w:rPr>
        <w:rFonts w:ascii="Symbol" w:hAnsi="Symbol" w:hint="default"/>
      </w:rPr>
    </w:lvl>
    <w:lvl w:ilvl="7" w:tplc="FA4E1B98">
      <w:start w:val="1"/>
      <w:numFmt w:val="bullet"/>
      <w:lvlText w:val="o"/>
      <w:lvlJc w:val="left"/>
      <w:pPr>
        <w:ind w:left="5760" w:hanging="360"/>
      </w:pPr>
      <w:rPr>
        <w:rFonts w:ascii="Courier New" w:hAnsi="Courier New" w:hint="default"/>
      </w:rPr>
    </w:lvl>
    <w:lvl w:ilvl="8" w:tplc="0B60D080">
      <w:start w:val="1"/>
      <w:numFmt w:val="bullet"/>
      <w:lvlText w:val=""/>
      <w:lvlJc w:val="left"/>
      <w:pPr>
        <w:ind w:left="6480" w:hanging="360"/>
      </w:pPr>
      <w:rPr>
        <w:rFonts w:ascii="Wingdings" w:hAnsi="Wingdings" w:hint="default"/>
      </w:rPr>
    </w:lvl>
  </w:abstractNum>
  <w:abstractNum w:abstractNumId="11" w15:restartNumberingAfterBreak="0">
    <w:nsid w:val="22263873"/>
    <w:multiLevelType w:val="hybridMultilevel"/>
    <w:tmpl w:val="DD909334"/>
    <w:lvl w:ilvl="0" w:tplc="081EAB76">
      <w:numFmt w:val="bullet"/>
      <w:lvlText w:val="•"/>
      <w:lvlJc w:val="left"/>
      <w:pPr>
        <w:ind w:left="720" w:hanging="360"/>
      </w:pPr>
      <w:rPr>
        <w:rFonts w:ascii="Arial" w:eastAsia="Times" w:hAnsi="Arial" w:cs="Aria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4F9B323"/>
    <w:multiLevelType w:val="hybridMultilevel"/>
    <w:tmpl w:val="89C01342"/>
    <w:lvl w:ilvl="0" w:tplc="0FD0E684">
      <w:start w:val="1"/>
      <w:numFmt w:val="bullet"/>
      <w:lvlText w:val=""/>
      <w:lvlJc w:val="left"/>
      <w:pPr>
        <w:ind w:left="720" w:hanging="360"/>
      </w:pPr>
      <w:rPr>
        <w:rFonts w:ascii="Symbol" w:hAnsi="Symbol" w:hint="default"/>
      </w:rPr>
    </w:lvl>
    <w:lvl w:ilvl="1" w:tplc="F44E19C4">
      <w:start w:val="1"/>
      <w:numFmt w:val="bullet"/>
      <w:lvlText w:val="o"/>
      <w:lvlJc w:val="left"/>
      <w:pPr>
        <w:ind w:left="1440" w:hanging="360"/>
      </w:pPr>
      <w:rPr>
        <w:rFonts w:ascii="Courier New" w:hAnsi="Courier New" w:hint="default"/>
      </w:rPr>
    </w:lvl>
    <w:lvl w:ilvl="2" w:tplc="EA2E6E9A">
      <w:start w:val="1"/>
      <w:numFmt w:val="bullet"/>
      <w:lvlText w:val=""/>
      <w:lvlJc w:val="left"/>
      <w:pPr>
        <w:ind w:left="2160" w:hanging="360"/>
      </w:pPr>
      <w:rPr>
        <w:rFonts w:ascii="Wingdings" w:hAnsi="Wingdings" w:hint="default"/>
      </w:rPr>
    </w:lvl>
    <w:lvl w:ilvl="3" w:tplc="691AA9A2">
      <w:start w:val="1"/>
      <w:numFmt w:val="bullet"/>
      <w:lvlText w:val=""/>
      <w:lvlJc w:val="left"/>
      <w:pPr>
        <w:ind w:left="2880" w:hanging="360"/>
      </w:pPr>
      <w:rPr>
        <w:rFonts w:ascii="Symbol" w:hAnsi="Symbol" w:hint="default"/>
      </w:rPr>
    </w:lvl>
    <w:lvl w:ilvl="4" w:tplc="39ACF6BE">
      <w:start w:val="1"/>
      <w:numFmt w:val="bullet"/>
      <w:lvlText w:val="o"/>
      <w:lvlJc w:val="left"/>
      <w:pPr>
        <w:ind w:left="3600" w:hanging="360"/>
      </w:pPr>
      <w:rPr>
        <w:rFonts w:ascii="Courier New" w:hAnsi="Courier New" w:hint="default"/>
      </w:rPr>
    </w:lvl>
    <w:lvl w:ilvl="5" w:tplc="734821B8">
      <w:start w:val="1"/>
      <w:numFmt w:val="bullet"/>
      <w:lvlText w:val=""/>
      <w:lvlJc w:val="left"/>
      <w:pPr>
        <w:ind w:left="4320" w:hanging="360"/>
      </w:pPr>
      <w:rPr>
        <w:rFonts w:ascii="Wingdings" w:hAnsi="Wingdings" w:hint="default"/>
      </w:rPr>
    </w:lvl>
    <w:lvl w:ilvl="6" w:tplc="0FDA8632">
      <w:start w:val="1"/>
      <w:numFmt w:val="bullet"/>
      <w:lvlText w:val=""/>
      <w:lvlJc w:val="left"/>
      <w:pPr>
        <w:ind w:left="5040" w:hanging="360"/>
      </w:pPr>
      <w:rPr>
        <w:rFonts w:ascii="Symbol" w:hAnsi="Symbol" w:hint="default"/>
      </w:rPr>
    </w:lvl>
    <w:lvl w:ilvl="7" w:tplc="BE4ABB5C">
      <w:start w:val="1"/>
      <w:numFmt w:val="bullet"/>
      <w:lvlText w:val="o"/>
      <w:lvlJc w:val="left"/>
      <w:pPr>
        <w:ind w:left="5760" w:hanging="360"/>
      </w:pPr>
      <w:rPr>
        <w:rFonts w:ascii="Courier New" w:hAnsi="Courier New" w:hint="default"/>
      </w:rPr>
    </w:lvl>
    <w:lvl w:ilvl="8" w:tplc="460EFE1C">
      <w:start w:val="1"/>
      <w:numFmt w:val="bullet"/>
      <w:lvlText w:val=""/>
      <w:lvlJc w:val="left"/>
      <w:pPr>
        <w:ind w:left="6480" w:hanging="360"/>
      </w:pPr>
      <w:rPr>
        <w:rFonts w:ascii="Wingdings" w:hAnsi="Wingdings" w:hint="default"/>
      </w:rPr>
    </w:lvl>
  </w:abstractNum>
  <w:abstractNum w:abstractNumId="13" w15:restartNumberingAfterBreak="0">
    <w:nsid w:val="307945FB"/>
    <w:multiLevelType w:val="multilevel"/>
    <w:tmpl w:val="C18C88B4"/>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4" w15:restartNumberingAfterBreak="0">
    <w:nsid w:val="32D70CCF"/>
    <w:multiLevelType w:val="hybridMultilevel"/>
    <w:tmpl w:val="937A25B4"/>
    <w:lvl w:ilvl="0" w:tplc="FDFEA42E">
      <w:numFmt w:val="none"/>
      <w:pStyle w:val="DHHSNumberText"/>
      <w:lvlText w:val=""/>
      <w:lvlJc w:val="left"/>
      <w:pPr>
        <w:tabs>
          <w:tab w:val="num" w:pos="360"/>
        </w:tabs>
      </w:pPr>
    </w:lvl>
    <w:lvl w:ilvl="1" w:tplc="F09C2288">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rPr>
        <w:rFonts w:ascii="Symbol" w:eastAsia="Times" w:hAnsi="Symbol" w:cs="Courier New" w:hint="default"/>
        <w:color w:val="auto"/>
        <w14:glow w14:rad="0">
          <w14:srgbClr w14:val="000000"/>
        </w14:glow>
        <w14:scene3d>
          <w14:camera w14:prst="orthographicFront"/>
          <w14:lightRig w14:rig="threePt" w14:dir="t">
            <w14:rot w14:lat="0" w14:lon="0" w14:rev="0"/>
          </w14:lightRig>
        </w14:scene3d>
      </w:rPr>
    </w:lvl>
    <w:lvl w:ilvl="8" w:tplc="0409001B">
      <w:numFmt w:val="decimal"/>
      <w:lvlText w:val=""/>
      <w:lvlJc w:val="left"/>
    </w:lvl>
  </w:abstractNum>
  <w:abstractNum w:abstractNumId="15" w15:restartNumberingAfterBreak="0">
    <w:nsid w:val="35A65160"/>
    <w:multiLevelType w:val="hybridMultilevel"/>
    <w:tmpl w:val="57BC6348"/>
    <w:lvl w:ilvl="0" w:tplc="3B7A1C06">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753362B"/>
    <w:multiLevelType w:val="hybridMultilevel"/>
    <w:tmpl w:val="25E658BA"/>
    <w:lvl w:ilvl="0" w:tplc="499C39F6">
      <w:start w:val="1"/>
      <w:numFmt w:val="bullet"/>
      <w:lvlText w:val=""/>
      <w:lvlJc w:val="left"/>
      <w:pPr>
        <w:ind w:left="1004" w:hanging="360"/>
      </w:pPr>
      <w:rPr>
        <w:rFonts w:ascii="Symbol" w:hAnsi="Symbol" w:hint="default"/>
        <w:vertAlign w:val="baseline"/>
      </w:rPr>
    </w:lvl>
    <w:lvl w:ilvl="1" w:tplc="0C090003">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7" w15:restartNumberingAfterBreak="0">
    <w:nsid w:val="3951D846"/>
    <w:multiLevelType w:val="hybridMultilevel"/>
    <w:tmpl w:val="AC083E66"/>
    <w:lvl w:ilvl="0" w:tplc="26A01CA6">
      <w:start w:val="1"/>
      <w:numFmt w:val="bullet"/>
      <w:lvlText w:val=""/>
      <w:lvlJc w:val="left"/>
      <w:pPr>
        <w:ind w:left="720" w:hanging="360"/>
      </w:pPr>
      <w:rPr>
        <w:rFonts w:ascii="Symbol" w:hAnsi="Symbol" w:hint="default"/>
      </w:rPr>
    </w:lvl>
    <w:lvl w:ilvl="1" w:tplc="56B28116">
      <w:start w:val="1"/>
      <w:numFmt w:val="bullet"/>
      <w:lvlText w:val="o"/>
      <w:lvlJc w:val="left"/>
      <w:pPr>
        <w:ind w:left="1440" w:hanging="360"/>
      </w:pPr>
      <w:rPr>
        <w:rFonts w:ascii="Courier New" w:hAnsi="Courier New" w:hint="default"/>
      </w:rPr>
    </w:lvl>
    <w:lvl w:ilvl="2" w:tplc="C1C2D680">
      <w:start w:val="1"/>
      <w:numFmt w:val="bullet"/>
      <w:lvlText w:val=""/>
      <w:lvlJc w:val="left"/>
      <w:pPr>
        <w:ind w:left="2160" w:hanging="360"/>
      </w:pPr>
      <w:rPr>
        <w:rFonts w:ascii="Wingdings" w:hAnsi="Wingdings" w:hint="default"/>
      </w:rPr>
    </w:lvl>
    <w:lvl w:ilvl="3" w:tplc="93F6D2CC">
      <w:start w:val="1"/>
      <w:numFmt w:val="bullet"/>
      <w:lvlText w:val=""/>
      <w:lvlJc w:val="left"/>
      <w:pPr>
        <w:ind w:left="2880" w:hanging="360"/>
      </w:pPr>
      <w:rPr>
        <w:rFonts w:ascii="Symbol" w:hAnsi="Symbol" w:hint="default"/>
      </w:rPr>
    </w:lvl>
    <w:lvl w:ilvl="4" w:tplc="6D0CD26A">
      <w:start w:val="1"/>
      <w:numFmt w:val="bullet"/>
      <w:lvlText w:val="o"/>
      <w:lvlJc w:val="left"/>
      <w:pPr>
        <w:ind w:left="3600" w:hanging="360"/>
      </w:pPr>
      <w:rPr>
        <w:rFonts w:ascii="Courier New" w:hAnsi="Courier New" w:hint="default"/>
      </w:rPr>
    </w:lvl>
    <w:lvl w:ilvl="5" w:tplc="B74EB27C">
      <w:start w:val="1"/>
      <w:numFmt w:val="bullet"/>
      <w:lvlText w:val=""/>
      <w:lvlJc w:val="left"/>
      <w:pPr>
        <w:ind w:left="4320" w:hanging="360"/>
      </w:pPr>
      <w:rPr>
        <w:rFonts w:ascii="Wingdings" w:hAnsi="Wingdings" w:hint="default"/>
      </w:rPr>
    </w:lvl>
    <w:lvl w:ilvl="6" w:tplc="BA24939E">
      <w:start w:val="1"/>
      <w:numFmt w:val="bullet"/>
      <w:lvlText w:val=""/>
      <w:lvlJc w:val="left"/>
      <w:pPr>
        <w:ind w:left="5040" w:hanging="360"/>
      </w:pPr>
      <w:rPr>
        <w:rFonts w:ascii="Symbol" w:hAnsi="Symbol" w:hint="default"/>
      </w:rPr>
    </w:lvl>
    <w:lvl w:ilvl="7" w:tplc="B75600D0">
      <w:start w:val="1"/>
      <w:numFmt w:val="bullet"/>
      <w:lvlText w:val="o"/>
      <w:lvlJc w:val="left"/>
      <w:pPr>
        <w:ind w:left="5760" w:hanging="360"/>
      </w:pPr>
      <w:rPr>
        <w:rFonts w:ascii="Courier New" w:hAnsi="Courier New" w:hint="default"/>
      </w:rPr>
    </w:lvl>
    <w:lvl w:ilvl="8" w:tplc="84B824EA">
      <w:start w:val="1"/>
      <w:numFmt w:val="bullet"/>
      <w:lvlText w:val=""/>
      <w:lvlJc w:val="left"/>
      <w:pPr>
        <w:ind w:left="6480" w:hanging="360"/>
      </w:pPr>
      <w:rPr>
        <w:rFonts w:ascii="Wingdings" w:hAnsi="Wingdings" w:hint="default"/>
      </w:rPr>
    </w:lvl>
  </w:abstractNum>
  <w:abstractNum w:abstractNumId="18" w15:restartNumberingAfterBreak="0">
    <w:nsid w:val="39C90621"/>
    <w:multiLevelType w:val="hybridMultilevel"/>
    <w:tmpl w:val="8390AE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C4303A5"/>
    <w:multiLevelType w:val="multilevel"/>
    <w:tmpl w:val="4B4E7622"/>
    <w:lvl w:ilvl="0">
      <w:numFmt w:val="decimal"/>
      <w:pStyle w:val="DHHSnumberdigit"/>
      <w:lvlText w:val=""/>
      <w:lvlJc w:val="left"/>
    </w:lvl>
    <w:lvl w:ilvl="1">
      <w:numFmt w:val="decimal"/>
      <w:pStyle w:val="DHHSnumberdigitindent"/>
      <w:lvlText w:val=""/>
      <w:lvlJc w:val="left"/>
    </w:lvl>
    <w:lvl w:ilvl="2">
      <w:numFmt w:val="decimal"/>
      <w:pStyle w:val="DHHSnumberloweralpha"/>
      <w:lvlText w:val=""/>
      <w:lvlJc w:val="left"/>
    </w:lvl>
    <w:lvl w:ilvl="3">
      <w:numFmt w:val="decimal"/>
      <w:pStyle w:val="DHHSnumberloweralphaindent"/>
      <w:lvlText w:val=""/>
      <w:lvlJc w:val="left"/>
    </w:lvl>
    <w:lvl w:ilvl="4">
      <w:numFmt w:val="decimal"/>
      <w:pStyle w:val="DHHSnumberlowerroman"/>
      <w:lvlText w:val=""/>
      <w:lvlJc w:val="left"/>
    </w:lvl>
    <w:lvl w:ilvl="5">
      <w:numFmt w:val="decimal"/>
      <w:pStyle w:val="DHHSnumberlowerromanindent"/>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E6C68D4"/>
    <w:multiLevelType w:val="multilevel"/>
    <w:tmpl w:val="B33A2DBC"/>
    <w:styleLink w:val="ZZNumbersdigit"/>
    <w:lvl w:ilvl="0">
      <w:numFmt w:val="decimal"/>
      <w:pStyle w:val="Numberdigit"/>
      <w:lvlText w:val=""/>
      <w:lvlJc w:val="left"/>
    </w:lvl>
    <w:lvl w:ilvl="1">
      <w:numFmt w:val="decimal"/>
      <w:pStyle w:val="Numberdigitindent"/>
      <w:lvlText w:val=""/>
      <w:lvlJc w:val="left"/>
    </w:lvl>
    <w:lvl w:ilvl="2">
      <w:numFmt w:val="decimal"/>
      <w:pStyle w:val="Bulletafternumbers1"/>
      <w:lvlText w:val=""/>
      <w:lvlJc w:val="left"/>
    </w:lvl>
    <w:lvl w:ilvl="3">
      <w:numFmt w:val="decimal"/>
      <w:pStyle w:val="Bulletafternumbers2"/>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EC54A41"/>
    <w:multiLevelType w:val="multilevel"/>
    <w:tmpl w:val="986E24B0"/>
    <w:styleLink w:val="ZZNumberslowerroman"/>
    <w:lvl w:ilvl="0">
      <w:numFmt w:val="decimal"/>
      <w:pStyle w:val="Numberlowerroman"/>
      <w:lvlText w:val=""/>
      <w:lvlJc w:val="left"/>
    </w:lvl>
    <w:lvl w:ilvl="1">
      <w:numFmt w:val="decimal"/>
      <w:pStyle w:val="Numberlowerromanindent"/>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7CC1546"/>
    <w:multiLevelType w:val="hybridMultilevel"/>
    <w:tmpl w:val="04046806"/>
    <w:lvl w:ilvl="0" w:tplc="FFFFFFFF">
      <w:numFmt w:val="decimal"/>
      <w:lvlText w:val=""/>
      <w:lvlJc w:val="left"/>
    </w:lvl>
    <w:lvl w:ilvl="1" w:tplc="0C0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4E7017B4"/>
    <w:multiLevelType w:val="hybridMultilevel"/>
    <w:tmpl w:val="BC9C2C4A"/>
    <w:lvl w:ilvl="0" w:tplc="56C094EC">
      <w:start w:val="1"/>
      <w:numFmt w:val="bullet"/>
      <w:lvlText w:val=""/>
      <w:lvlJc w:val="left"/>
      <w:pPr>
        <w:ind w:left="720" w:hanging="360"/>
      </w:pPr>
      <w:rPr>
        <w:rFonts w:ascii="Symbol" w:hAnsi="Symbol" w:hint="default"/>
      </w:rPr>
    </w:lvl>
    <w:lvl w:ilvl="1" w:tplc="C9C89D04">
      <w:start w:val="1"/>
      <w:numFmt w:val="bullet"/>
      <w:lvlText w:val="o"/>
      <w:lvlJc w:val="left"/>
      <w:pPr>
        <w:ind w:left="1440" w:hanging="360"/>
      </w:pPr>
      <w:rPr>
        <w:rFonts w:ascii="Courier New" w:hAnsi="Courier New" w:hint="default"/>
      </w:rPr>
    </w:lvl>
    <w:lvl w:ilvl="2" w:tplc="49F6D038">
      <w:start w:val="1"/>
      <w:numFmt w:val="bullet"/>
      <w:lvlText w:val=""/>
      <w:lvlJc w:val="left"/>
      <w:pPr>
        <w:ind w:left="2160" w:hanging="360"/>
      </w:pPr>
      <w:rPr>
        <w:rFonts w:ascii="Wingdings" w:hAnsi="Wingdings" w:hint="default"/>
      </w:rPr>
    </w:lvl>
    <w:lvl w:ilvl="3" w:tplc="9894F698">
      <w:start w:val="1"/>
      <w:numFmt w:val="bullet"/>
      <w:lvlText w:val=""/>
      <w:lvlJc w:val="left"/>
      <w:pPr>
        <w:ind w:left="2880" w:hanging="360"/>
      </w:pPr>
      <w:rPr>
        <w:rFonts w:ascii="Symbol" w:hAnsi="Symbol" w:hint="default"/>
      </w:rPr>
    </w:lvl>
    <w:lvl w:ilvl="4" w:tplc="D55CCAAE">
      <w:start w:val="1"/>
      <w:numFmt w:val="bullet"/>
      <w:lvlText w:val="o"/>
      <w:lvlJc w:val="left"/>
      <w:pPr>
        <w:ind w:left="3600" w:hanging="360"/>
      </w:pPr>
      <w:rPr>
        <w:rFonts w:ascii="Courier New" w:hAnsi="Courier New" w:hint="default"/>
      </w:rPr>
    </w:lvl>
    <w:lvl w:ilvl="5" w:tplc="24543268">
      <w:start w:val="1"/>
      <w:numFmt w:val="bullet"/>
      <w:lvlText w:val=""/>
      <w:lvlJc w:val="left"/>
      <w:pPr>
        <w:ind w:left="4320" w:hanging="360"/>
      </w:pPr>
      <w:rPr>
        <w:rFonts w:ascii="Wingdings" w:hAnsi="Wingdings" w:hint="default"/>
      </w:rPr>
    </w:lvl>
    <w:lvl w:ilvl="6" w:tplc="2DEC1F42">
      <w:start w:val="1"/>
      <w:numFmt w:val="bullet"/>
      <w:lvlText w:val=""/>
      <w:lvlJc w:val="left"/>
      <w:pPr>
        <w:ind w:left="5040" w:hanging="360"/>
      </w:pPr>
      <w:rPr>
        <w:rFonts w:ascii="Symbol" w:hAnsi="Symbol" w:hint="default"/>
      </w:rPr>
    </w:lvl>
    <w:lvl w:ilvl="7" w:tplc="734230DE">
      <w:start w:val="1"/>
      <w:numFmt w:val="bullet"/>
      <w:lvlText w:val="o"/>
      <w:lvlJc w:val="left"/>
      <w:pPr>
        <w:ind w:left="5760" w:hanging="360"/>
      </w:pPr>
      <w:rPr>
        <w:rFonts w:ascii="Courier New" w:hAnsi="Courier New" w:hint="default"/>
      </w:rPr>
    </w:lvl>
    <w:lvl w:ilvl="8" w:tplc="2B5CDD5E">
      <w:start w:val="1"/>
      <w:numFmt w:val="bullet"/>
      <w:lvlText w:val=""/>
      <w:lvlJc w:val="left"/>
      <w:pPr>
        <w:ind w:left="6480" w:hanging="360"/>
      </w:pPr>
      <w:rPr>
        <w:rFonts w:ascii="Wingdings" w:hAnsi="Wingdings" w:hint="default"/>
      </w:rPr>
    </w:lvl>
  </w:abstractNum>
  <w:abstractNum w:abstractNumId="24" w15:restartNumberingAfterBreak="0">
    <w:nsid w:val="505F0D03"/>
    <w:multiLevelType w:val="multilevel"/>
    <w:tmpl w:val="FC4CA2D0"/>
    <w:lvl w:ilvl="0">
      <w:start w:val="11"/>
      <w:numFmt w:val="decimal"/>
      <w:lvlText w:val="%1."/>
      <w:lvlJc w:val="left"/>
      <w:pPr>
        <w:ind w:left="800" w:hanging="800"/>
      </w:pPr>
      <w:rPr>
        <w:rFonts w:hint="default"/>
      </w:rPr>
    </w:lvl>
    <w:lvl w:ilvl="1">
      <w:start w:val="1"/>
      <w:numFmt w:val="decimal"/>
      <w:lvlText w:val="%1.%2"/>
      <w:lvlJc w:val="left"/>
      <w:pPr>
        <w:ind w:left="800" w:hanging="800"/>
      </w:pPr>
      <w:rPr>
        <w:rFonts w:hint="default"/>
      </w:rPr>
    </w:lvl>
    <w:lvl w:ilvl="2">
      <w:start w:val="1"/>
      <w:numFmt w:val="decimal"/>
      <w:lvlText w:val="%1.%2.%3"/>
      <w:lvlJc w:val="left"/>
      <w:pPr>
        <w:ind w:left="800" w:hanging="80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541611C2"/>
    <w:multiLevelType w:val="multilevel"/>
    <w:tmpl w:val="350ED9F2"/>
    <w:styleLink w:val="ZZTablebullets"/>
    <w:lvl w:ilvl="0">
      <w:numFmt w:val="decimal"/>
      <w:pStyle w:val="Tablebullet1"/>
      <w:lvlText w:val=""/>
      <w:lvlJc w:val="left"/>
    </w:lvl>
    <w:lvl w:ilvl="1">
      <w:numFmt w:val="decimal"/>
      <w:pStyle w:val="Tablebullet2"/>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4BA1E5A"/>
    <w:multiLevelType w:val="multilevel"/>
    <w:tmpl w:val="542EFA42"/>
    <w:styleLink w:val="ZZNumbers"/>
    <w:lvl w:ilvl="0">
      <w:numFmt w:val="decimal"/>
      <w:pStyle w:val="Bullet1"/>
      <w:lvlText w:val=""/>
      <w:lvlJc w:val="left"/>
    </w:lvl>
    <w:lvl w:ilvl="1">
      <w:numFmt w:val="decimal"/>
      <w:pStyle w:val="Bullet2"/>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2B5BFF8"/>
    <w:multiLevelType w:val="hybridMultilevel"/>
    <w:tmpl w:val="3484F33A"/>
    <w:lvl w:ilvl="0" w:tplc="A99686A8">
      <w:start w:val="1"/>
      <w:numFmt w:val="bullet"/>
      <w:lvlText w:val=""/>
      <w:lvlJc w:val="left"/>
      <w:pPr>
        <w:ind w:left="720" w:hanging="360"/>
      </w:pPr>
      <w:rPr>
        <w:rFonts w:ascii="Symbol" w:hAnsi="Symbol" w:hint="default"/>
      </w:rPr>
    </w:lvl>
    <w:lvl w:ilvl="1" w:tplc="5F8293E0">
      <w:start w:val="1"/>
      <w:numFmt w:val="bullet"/>
      <w:lvlText w:val="o"/>
      <w:lvlJc w:val="left"/>
      <w:pPr>
        <w:ind w:left="1440" w:hanging="360"/>
      </w:pPr>
      <w:rPr>
        <w:rFonts w:ascii="Courier New" w:hAnsi="Courier New" w:hint="default"/>
      </w:rPr>
    </w:lvl>
    <w:lvl w:ilvl="2" w:tplc="73C83958">
      <w:start w:val="1"/>
      <w:numFmt w:val="bullet"/>
      <w:lvlText w:val=""/>
      <w:lvlJc w:val="left"/>
      <w:pPr>
        <w:ind w:left="2160" w:hanging="360"/>
      </w:pPr>
      <w:rPr>
        <w:rFonts w:ascii="Wingdings" w:hAnsi="Wingdings" w:hint="default"/>
      </w:rPr>
    </w:lvl>
    <w:lvl w:ilvl="3" w:tplc="744A98E6">
      <w:start w:val="1"/>
      <w:numFmt w:val="bullet"/>
      <w:lvlText w:val=""/>
      <w:lvlJc w:val="left"/>
      <w:pPr>
        <w:ind w:left="2880" w:hanging="360"/>
      </w:pPr>
      <w:rPr>
        <w:rFonts w:ascii="Symbol" w:hAnsi="Symbol" w:hint="default"/>
      </w:rPr>
    </w:lvl>
    <w:lvl w:ilvl="4" w:tplc="30548EEE">
      <w:start w:val="1"/>
      <w:numFmt w:val="bullet"/>
      <w:lvlText w:val="o"/>
      <w:lvlJc w:val="left"/>
      <w:pPr>
        <w:ind w:left="3600" w:hanging="360"/>
      </w:pPr>
      <w:rPr>
        <w:rFonts w:ascii="Courier New" w:hAnsi="Courier New" w:hint="default"/>
      </w:rPr>
    </w:lvl>
    <w:lvl w:ilvl="5" w:tplc="A2820148">
      <w:start w:val="1"/>
      <w:numFmt w:val="bullet"/>
      <w:lvlText w:val=""/>
      <w:lvlJc w:val="left"/>
      <w:pPr>
        <w:ind w:left="4320" w:hanging="360"/>
      </w:pPr>
      <w:rPr>
        <w:rFonts w:ascii="Wingdings" w:hAnsi="Wingdings" w:hint="default"/>
      </w:rPr>
    </w:lvl>
    <w:lvl w:ilvl="6" w:tplc="9F4A4D5E">
      <w:start w:val="1"/>
      <w:numFmt w:val="bullet"/>
      <w:lvlText w:val=""/>
      <w:lvlJc w:val="left"/>
      <w:pPr>
        <w:ind w:left="5040" w:hanging="360"/>
      </w:pPr>
      <w:rPr>
        <w:rFonts w:ascii="Symbol" w:hAnsi="Symbol" w:hint="default"/>
      </w:rPr>
    </w:lvl>
    <w:lvl w:ilvl="7" w:tplc="6B309F72">
      <w:start w:val="1"/>
      <w:numFmt w:val="bullet"/>
      <w:lvlText w:val="o"/>
      <w:lvlJc w:val="left"/>
      <w:pPr>
        <w:ind w:left="5760" w:hanging="360"/>
      </w:pPr>
      <w:rPr>
        <w:rFonts w:ascii="Courier New" w:hAnsi="Courier New" w:hint="default"/>
      </w:rPr>
    </w:lvl>
    <w:lvl w:ilvl="8" w:tplc="6900C4A0">
      <w:start w:val="1"/>
      <w:numFmt w:val="bullet"/>
      <w:lvlText w:val=""/>
      <w:lvlJc w:val="left"/>
      <w:pPr>
        <w:ind w:left="6480" w:hanging="360"/>
      </w:pPr>
      <w:rPr>
        <w:rFonts w:ascii="Wingdings" w:hAnsi="Wingdings" w:hint="default"/>
      </w:rPr>
    </w:lvl>
  </w:abstractNum>
  <w:abstractNum w:abstractNumId="28" w15:restartNumberingAfterBreak="0">
    <w:nsid w:val="6309259F"/>
    <w:multiLevelType w:val="multilevel"/>
    <w:tmpl w:val="8B3CE87A"/>
    <w:styleLink w:val="ZZQuotebullets"/>
    <w:lvl w:ilvl="0">
      <w:numFmt w:val="decimal"/>
      <w:pStyle w:val="Quotebullet1"/>
      <w:lvlText w:val=""/>
      <w:lvlJc w:val="left"/>
    </w:lvl>
    <w:lvl w:ilvl="1">
      <w:numFmt w:val="decimal"/>
      <w:pStyle w:val="Quotebullet2"/>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A6DBC72"/>
    <w:multiLevelType w:val="hybridMultilevel"/>
    <w:tmpl w:val="2548A232"/>
    <w:lvl w:ilvl="0" w:tplc="D22A4DD4">
      <w:start w:val="1"/>
      <w:numFmt w:val="bullet"/>
      <w:lvlText w:val=""/>
      <w:lvlJc w:val="left"/>
      <w:pPr>
        <w:ind w:left="720" w:hanging="360"/>
      </w:pPr>
      <w:rPr>
        <w:rFonts w:ascii="Symbol" w:hAnsi="Symbol" w:hint="default"/>
        <w:color w:val="auto"/>
        <w:vertAlign w:val="baseline"/>
      </w:rPr>
    </w:lvl>
    <w:lvl w:ilvl="1" w:tplc="99CA8038">
      <w:start w:val="1"/>
      <w:numFmt w:val="bullet"/>
      <w:lvlText w:val="o"/>
      <w:lvlJc w:val="left"/>
      <w:pPr>
        <w:ind w:left="1440" w:hanging="360"/>
      </w:pPr>
      <w:rPr>
        <w:rFonts w:ascii="Courier New" w:hAnsi="Courier New" w:hint="default"/>
      </w:rPr>
    </w:lvl>
    <w:lvl w:ilvl="2" w:tplc="5C06D15A">
      <w:start w:val="1"/>
      <w:numFmt w:val="bullet"/>
      <w:lvlText w:val=""/>
      <w:lvlJc w:val="left"/>
      <w:pPr>
        <w:ind w:left="2160" w:hanging="360"/>
      </w:pPr>
      <w:rPr>
        <w:rFonts w:ascii="Wingdings" w:hAnsi="Wingdings" w:hint="default"/>
      </w:rPr>
    </w:lvl>
    <w:lvl w:ilvl="3" w:tplc="19BA4844">
      <w:start w:val="1"/>
      <w:numFmt w:val="bullet"/>
      <w:lvlText w:val=""/>
      <w:lvlJc w:val="left"/>
      <w:pPr>
        <w:ind w:left="2880" w:hanging="360"/>
      </w:pPr>
      <w:rPr>
        <w:rFonts w:ascii="Symbol" w:hAnsi="Symbol" w:hint="default"/>
      </w:rPr>
    </w:lvl>
    <w:lvl w:ilvl="4" w:tplc="C584CD54">
      <w:start w:val="1"/>
      <w:numFmt w:val="bullet"/>
      <w:lvlText w:val="o"/>
      <w:lvlJc w:val="left"/>
      <w:pPr>
        <w:ind w:left="3600" w:hanging="360"/>
      </w:pPr>
      <w:rPr>
        <w:rFonts w:ascii="Courier New" w:hAnsi="Courier New" w:hint="default"/>
      </w:rPr>
    </w:lvl>
    <w:lvl w:ilvl="5" w:tplc="A10A7796">
      <w:start w:val="1"/>
      <w:numFmt w:val="bullet"/>
      <w:lvlText w:val=""/>
      <w:lvlJc w:val="left"/>
      <w:pPr>
        <w:ind w:left="4320" w:hanging="360"/>
      </w:pPr>
      <w:rPr>
        <w:rFonts w:ascii="Wingdings" w:hAnsi="Wingdings" w:hint="default"/>
      </w:rPr>
    </w:lvl>
    <w:lvl w:ilvl="6" w:tplc="52866936">
      <w:start w:val="1"/>
      <w:numFmt w:val="bullet"/>
      <w:lvlText w:val=""/>
      <w:lvlJc w:val="left"/>
      <w:pPr>
        <w:ind w:left="5040" w:hanging="360"/>
      </w:pPr>
      <w:rPr>
        <w:rFonts w:ascii="Symbol" w:hAnsi="Symbol" w:hint="default"/>
      </w:rPr>
    </w:lvl>
    <w:lvl w:ilvl="7" w:tplc="DA4C27E0">
      <w:start w:val="1"/>
      <w:numFmt w:val="bullet"/>
      <w:lvlText w:val="o"/>
      <w:lvlJc w:val="left"/>
      <w:pPr>
        <w:ind w:left="5760" w:hanging="360"/>
      </w:pPr>
      <w:rPr>
        <w:rFonts w:ascii="Courier New" w:hAnsi="Courier New" w:hint="default"/>
      </w:rPr>
    </w:lvl>
    <w:lvl w:ilvl="8" w:tplc="25C67122">
      <w:start w:val="1"/>
      <w:numFmt w:val="bullet"/>
      <w:lvlText w:val=""/>
      <w:lvlJc w:val="left"/>
      <w:pPr>
        <w:ind w:left="6480" w:hanging="360"/>
      </w:pPr>
      <w:rPr>
        <w:rFonts w:ascii="Wingdings" w:hAnsi="Wingdings" w:hint="default"/>
      </w:rPr>
    </w:lvl>
  </w:abstractNum>
  <w:abstractNum w:abstractNumId="30" w15:restartNumberingAfterBreak="0">
    <w:nsid w:val="6CC1751D"/>
    <w:multiLevelType w:val="multilevel"/>
    <w:tmpl w:val="1A105554"/>
    <w:lvl w:ilvl="0">
      <w:start w:val="8"/>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1" w15:restartNumberingAfterBreak="0">
    <w:nsid w:val="731411F3"/>
    <w:multiLevelType w:val="hybridMultilevel"/>
    <w:tmpl w:val="9F10D4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4ED0C06"/>
    <w:multiLevelType w:val="multilevel"/>
    <w:tmpl w:val="FEC09380"/>
    <w:lvl w:ilvl="0">
      <w:start w:val="1"/>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3" w15:restartNumberingAfterBreak="0">
    <w:nsid w:val="76822D50"/>
    <w:multiLevelType w:val="hybridMultilevel"/>
    <w:tmpl w:val="0D6E92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0"/>
  </w:num>
  <w:num w:numId="2">
    <w:abstractNumId w:val="26"/>
  </w:num>
  <w:num w:numId="3">
    <w:abstractNumId w:val="25"/>
  </w:num>
  <w:num w:numId="4">
    <w:abstractNumId w:val="28"/>
  </w:num>
  <w:num w:numId="5">
    <w:abstractNumId w:val="21"/>
  </w:num>
  <w:num w:numId="6">
    <w:abstractNumId w:val="3"/>
  </w:num>
  <w:num w:numId="7">
    <w:abstractNumId w:val="19"/>
  </w:num>
  <w:num w:numId="8">
    <w:abstractNumId w:val="14"/>
  </w:num>
  <w:num w:numId="9">
    <w:abstractNumId w:val="6"/>
  </w:num>
  <w:num w:numId="10">
    <w:abstractNumId w:val="11"/>
  </w:num>
  <w:num w:numId="11">
    <w:abstractNumId w:val="0"/>
    <w:lvlOverride w:ilvl="0"/>
    <w:lvlOverride w:ilvl="1"/>
    <w:lvlOverride w:ilvl="2"/>
    <w:lvlOverride w:ilvl="3"/>
    <w:lvlOverride w:ilvl="4"/>
    <w:lvlOverride w:ilvl="5"/>
    <w:lvlOverride w:ilvl="6"/>
    <w:lvlOverride w:ilvl="7">
      <w:startOverride w:val="1"/>
    </w:lvlOverride>
    <w:lvlOverride w:ilvl="8">
      <w:startOverride w:val="1"/>
    </w:lvlOverride>
  </w:num>
  <w:num w:numId="12">
    <w:abstractNumId w:val="22"/>
  </w:num>
  <w:num w:numId="13">
    <w:abstractNumId w:val="29"/>
  </w:num>
  <w:num w:numId="14">
    <w:abstractNumId w:val="17"/>
  </w:num>
  <w:num w:numId="15">
    <w:abstractNumId w:val="12"/>
  </w:num>
  <w:num w:numId="16">
    <w:abstractNumId w:val="10"/>
  </w:num>
  <w:num w:numId="17">
    <w:abstractNumId w:val="27"/>
  </w:num>
  <w:num w:numId="18">
    <w:abstractNumId w:val="9"/>
  </w:num>
  <w:num w:numId="19">
    <w:abstractNumId w:val="1"/>
  </w:num>
  <w:num w:numId="20">
    <w:abstractNumId w:val="7"/>
  </w:num>
  <w:num w:numId="21">
    <w:abstractNumId w:val="8"/>
  </w:num>
  <w:num w:numId="22">
    <w:abstractNumId w:val="23"/>
  </w:num>
  <w:num w:numId="23">
    <w:abstractNumId w:val="4"/>
  </w:num>
  <w:num w:numId="24">
    <w:abstractNumId w:val="16"/>
  </w:num>
  <w:num w:numId="25">
    <w:abstractNumId w:val="13"/>
  </w:num>
  <w:num w:numId="26">
    <w:abstractNumId w:val="2"/>
  </w:num>
  <w:num w:numId="27">
    <w:abstractNumId w:val="26"/>
    <w:lvlOverride w:ilvl="0">
      <w:lvl w:ilvl="0">
        <w:start w:val="1"/>
        <w:numFmt w:val="bullet"/>
        <w:pStyle w:val="Bullet1"/>
        <w:lvlText w:val="•"/>
        <w:lvlJc w:val="left"/>
        <w:pPr>
          <w:ind w:left="284" w:hanging="284"/>
        </w:pPr>
        <w:rPr>
          <w:rFonts w:ascii="Arial" w:hAnsi="Arial" w:cs="Arial" w:hint="default"/>
        </w:rPr>
      </w:lvl>
    </w:lvlOverride>
    <w:lvlOverride w:ilvl="1">
      <w:lvl w:ilvl="1">
        <w:start w:val="1"/>
        <w:numFmt w:val="bullet"/>
        <w:lvlRestart w:val="0"/>
        <w:pStyle w:val="Bullet2"/>
        <w:lvlText w:val="•"/>
        <w:lvlJc w:val="left"/>
        <w:pPr>
          <w:ind w:left="284" w:hanging="284"/>
        </w:pPr>
        <w:rPr>
          <w:rFonts w:ascii="Arial" w:hAnsi="Arial" w:cs="Arial" w:hint="default"/>
        </w:rPr>
      </w:lvl>
    </w:lvlOverride>
    <w:lvlOverride w:ilvl="2">
      <w:lvl w:ilvl="2">
        <w:start w:val="1"/>
        <w:numFmt w:val="bullet"/>
        <w:lvlRestart w:val="0"/>
        <w:lvlText w:val="–"/>
        <w:lvlJc w:val="left"/>
        <w:pPr>
          <w:ind w:left="567" w:hanging="283"/>
        </w:pPr>
        <w:rPr>
          <w:rFonts w:ascii="Arial" w:hAnsi="Arial" w:hint="default"/>
        </w:rPr>
      </w:lvl>
    </w:lvlOverride>
    <w:lvlOverride w:ilvl="3">
      <w:lvl w:ilvl="3">
        <w:start w:val="1"/>
        <w:numFmt w:val="bullet"/>
        <w:lvlRestart w:val="0"/>
        <w:lvlText w:val="–"/>
        <w:lvlJc w:val="left"/>
        <w:pPr>
          <w:ind w:left="567" w:hanging="283"/>
        </w:pPr>
        <w:rPr>
          <w:rFonts w:ascii="Arial" w:hAnsi="Arial" w:hint="default"/>
        </w:rPr>
      </w:lvl>
    </w:lvlOverride>
    <w:lvlOverride w:ilvl="4">
      <w:lvl w:ilvl="4">
        <w:start w:val="1"/>
        <w:numFmt w:val="bullet"/>
        <w:lvlRestart w:val="0"/>
        <w:lvlText w:val="•"/>
        <w:lvlJc w:val="left"/>
        <w:pPr>
          <w:ind w:left="680" w:hanging="283"/>
        </w:pPr>
        <w:rPr>
          <w:rFonts w:ascii="Calibri" w:hAnsi="Calibri" w:hint="default"/>
        </w:rPr>
      </w:lvl>
    </w:lvlOverride>
    <w:lvlOverride w:ilvl="5">
      <w:lvl w:ilvl="5">
        <w:start w:val="1"/>
        <w:numFmt w:val="bullet"/>
        <w:lvlRestart w:val="0"/>
        <w:lvlText w:val="•"/>
        <w:lvlJc w:val="left"/>
        <w:pPr>
          <w:ind w:left="680" w:hanging="283"/>
        </w:pPr>
        <w:rPr>
          <w:rFonts w:ascii="Calibri" w:hAnsi="Calibri" w:hint="default"/>
        </w:rPr>
      </w:lvl>
    </w:lvlOverride>
    <w:lvlOverride w:ilvl="6">
      <w:lvl w:ilvl="6">
        <w:start w:val="1"/>
        <w:numFmt w:val="bullet"/>
        <w:lvlRestart w:val="0"/>
        <w:lvlText w:val="•"/>
        <w:lvlJc w:val="left"/>
        <w:pPr>
          <w:ind w:left="227" w:hanging="227"/>
        </w:pPr>
        <w:rPr>
          <w:rFonts w:ascii="Calibri" w:hAnsi="Calibri" w:hint="default"/>
        </w:rPr>
      </w:lvl>
    </w:lvlOverride>
    <w:lvlOverride w:ilvl="7">
      <w:lvl w:ilvl="7">
        <w:start w:val="1"/>
        <w:numFmt w:val="none"/>
        <w:lvlRestart w:val="0"/>
        <w:lvlText w:val=""/>
        <w:lvlJc w:val="left"/>
        <w:pPr>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28">
    <w:abstractNumId w:val="32"/>
  </w:num>
  <w:num w:numId="29">
    <w:abstractNumId w:val="30"/>
  </w:num>
  <w:num w:numId="30">
    <w:abstractNumId w:val="5"/>
  </w:num>
  <w:num w:numId="31">
    <w:abstractNumId w:val="24"/>
  </w:num>
  <w:num w:numId="32">
    <w:abstractNumId w:val="18"/>
  </w:num>
  <w:num w:numId="33">
    <w:abstractNumId w:val="15"/>
  </w:num>
  <w:num w:numId="34">
    <w:abstractNumId w:val="26"/>
    <w:lvlOverride w:ilvl="0">
      <w:lvl w:ilvl="0">
        <w:start w:val="1"/>
        <w:numFmt w:val="bullet"/>
        <w:pStyle w:val="Bullet1"/>
        <w:lvlText w:val="•"/>
        <w:lvlJc w:val="left"/>
        <w:pPr>
          <w:ind w:left="284" w:hanging="284"/>
        </w:pPr>
        <w:rPr>
          <w:rFonts w:ascii="Arial" w:hAnsi="Arial" w:cs="Arial" w:hint="default"/>
        </w:rPr>
      </w:lvl>
    </w:lvlOverride>
    <w:lvlOverride w:ilvl="1">
      <w:lvl w:ilvl="1">
        <w:start w:val="1"/>
        <w:numFmt w:val="bullet"/>
        <w:lvlRestart w:val="0"/>
        <w:pStyle w:val="Bullet2"/>
        <w:lvlText w:val="•"/>
        <w:lvlJc w:val="left"/>
        <w:pPr>
          <w:ind w:left="284" w:hanging="284"/>
        </w:pPr>
        <w:rPr>
          <w:rFonts w:ascii="Calibri" w:hAnsi="Calibri" w:hint="default"/>
        </w:rPr>
      </w:lvl>
    </w:lvlOverride>
    <w:lvlOverride w:ilvl="2">
      <w:lvl w:ilvl="2">
        <w:start w:val="1"/>
        <w:numFmt w:val="bullet"/>
        <w:lvlRestart w:val="0"/>
        <w:lvlText w:val="–"/>
        <w:lvlJc w:val="left"/>
        <w:pPr>
          <w:ind w:left="567" w:hanging="283"/>
        </w:pPr>
        <w:rPr>
          <w:rFonts w:ascii="Arial" w:hAnsi="Arial" w:hint="default"/>
        </w:rPr>
      </w:lvl>
    </w:lvlOverride>
    <w:lvlOverride w:ilvl="3">
      <w:lvl w:ilvl="3">
        <w:start w:val="1"/>
        <w:numFmt w:val="bullet"/>
        <w:lvlRestart w:val="0"/>
        <w:lvlText w:val="–"/>
        <w:lvlJc w:val="left"/>
        <w:pPr>
          <w:ind w:left="567" w:hanging="283"/>
        </w:pPr>
        <w:rPr>
          <w:rFonts w:ascii="Arial" w:hAnsi="Arial" w:hint="default"/>
        </w:rPr>
      </w:lvl>
    </w:lvlOverride>
    <w:lvlOverride w:ilvl="4">
      <w:lvl w:ilvl="4">
        <w:start w:val="1"/>
        <w:numFmt w:val="bullet"/>
        <w:lvlRestart w:val="0"/>
        <w:lvlText w:val="•"/>
        <w:lvlJc w:val="left"/>
        <w:pPr>
          <w:ind w:left="680" w:hanging="283"/>
        </w:pPr>
        <w:rPr>
          <w:rFonts w:ascii="Calibri" w:hAnsi="Calibri" w:hint="default"/>
        </w:rPr>
      </w:lvl>
    </w:lvlOverride>
    <w:lvlOverride w:ilvl="5">
      <w:lvl w:ilvl="5">
        <w:start w:val="1"/>
        <w:numFmt w:val="bullet"/>
        <w:lvlRestart w:val="0"/>
        <w:lvlText w:val="•"/>
        <w:lvlJc w:val="left"/>
        <w:pPr>
          <w:ind w:left="680" w:hanging="283"/>
        </w:pPr>
        <w:rPr>
          <w:rFonts w:ascii="Calibri" w:hAnsi="Calibri" w:hint="default"/>
        </w:rPr>
      </w:lvl>
    </w:lvlOverride>
    <w:lvlOverride w:ilvl="6">
      <w:lvl w:ilvl="6">
        <w:start w:val="1"/>
        <w:numFmt w:val="bullet"/>
        <w:lvlRestart w:val="0"/>
        <w:lvlText w:val="•"/>
        <w:lvlJc w:val="left"/>
        <w:pPr>
          <w:ind w:left="227" w:hanging="227"/>
        </w:pPr>
        <w:rPr>
          <w:rFonts w:ascii="Calibri" w:hAnsi="Calibri" w:hint="default"/>
        </w:rPr>
      </w:lvl>
    </w:lvlOverride>
    <w:lvlOverride w:ilvl="7">
      <w:lvl w:ilvl="7">
        <w:start w:val="1"/>
        <w:numFmt w:val="none"/>
        <w:lvlRestart w:val="0"/>
        <w:lvlText w:val=""/>
        <w:lvlJc w:val="left"/>
        <w:pPr>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5">
    <w:abstractNumId w:val="26"/>
    <w:lvlOverride w:ilvl="0">
      <w:lvl w:ilvl="0">
        <w:start w:val="1"/>
        <w:numFmt w:val="bullet"/>
        <w:pStyle w:val="Bullet1"/>
        <w:lvlText w:val="•"/>
        <w:lvlJc w:val="left"/>
        <w:pPr>
          <w:ind w:left="284" w:hanging="284"/>
        </w:pPr>
        <w:rPr>
          <w:rFonts w:ascii="Calibri" w:hAnsi="Calibri" w:hint="default"/>
        </w:rPr>
      </w:lvl>
    </w:lvlOverride>
    <w:lvlOverride w:ilvl="1">
      <w:lvl w:ilvl="1">
        <w:start w:val="1"/>
        <w:numFmt w:val="bullet"/>
        <w:lvlRestart w:val="0"/>
        <w:pStyle w:val="Bullet2"/>
        <w:lvlText w:val="•"/>
        <w:lvlJc w:val="left"/>
        <w:pPr>
          <w:ind w:left="284" w:hanging="284"/>
        </w:pPr>
        <w:rPr>
          <w:rFonts w:ascii="Calibri" w:hAnsi="Calibri" w:hint="default"/>
        </w:rPr>
      </w:lvl>
    </w:lvlOverride>
    <w:lvlOverride w:ilvl="2">
      <w:lvl w:ilvl="2">
        <w:start w:val="1"/>
        <w:numFmt w:val="bullet"/>
        <w:lvlRestart w:val="0"/>
        <w:lvlText w:val="–"/>
        <w:lvlJc w:val="left"/>
        <w:pPr>
          <w:ind w:left="567" w:hanging="283"/>
        </w:pPr>
        <w:rPr>
          <w:rFonts w:ascii="Arial" w:hAnsi="Arial" w:hint="default"/>
        </w:rPr>
      </w:lvl>
    </w:lvlOverride>
    <w:lvlOverride w:ilvl="3">
      <w:lvl w:ilvl="3">
        <w:start w:val="1"/>
        <w:numFmt w:val="bullet"/>
        <w:lvlRestart w:val="0"/>
        <w:lvlText w:val="–"/>
        <w:lvlJc w:val="left"/>
        <w:pPr>
          <w:ind w:left="567" w:hanging="283"/>
        </w:pPr>
        <w:rPr>
          <w:rFonts w:ascii="Arial" w:hAnsi="Arial" w:hint="default"/>
        </w:rPr>
      </w:lvl>
    </w:lvlOverride>
    <w:lvlOverride w:ilvl="4">
      <w:lvl w:ilvl="4">
        <w:start w:val="1"/>
        <w:numFmt w:val="bullet"/>
        <w:lvlRestart w:val="0"/>
        <w:lvlText w:val="•"/>
        <w:lvlJc w:val="left"/>
        <w:pPr>
          <w:ind w:left="680" w:hanging="283"/>
        </w:pPr>
        <w:rPr>
          <w:rFonts w:ascii="Calibri" w:hAnsi="Calibri" w:hint="default"/>
        </w:rPr>
      </w:lvl>
    </w:lvlOverride>
    <w:lvlOverride w:ilvl="5">
      <w:lvl w:ilvl="5">
        <w:start w:val="1"/>
        <w:numFmt w:val="bullet"/>
        <w:lvlRestart w:val="0"/>
        <w:lvlText w:val="•"/>
        <w:lvlJc w:val="left"/>
        <w:pPr>
          <w:ind w:left="680" w:hanging="283"/>
        </w:pPr>
        <w:rPr>
          <w:rFonts w:ascii="Calibri" w:hAnsi="Calibri" w:hint="default"/>
        </w:rPr>
      </w:lvl>
    </w:lvlOverride>
    <w:lvlOverride w:ilvl="6">
      <w:lvl w:ilvl="6">
        <w:start w:val="1"/>
        <w:numFmt w:val="bullet"/>
        <w:lvlRestart w:val="0"/>
        <w:lvlText w:val="•"/>
        <w:lvlJc w:val="left"/>
        <w:pPr>
          <w:ind w:left="227" w:hanging="227"/>
        </w:pPr>
        <w:rPr>
          <w:rFonts w:ascii="Calibri" w:hAnsi="Calibri" w:hint="default"/>
        </w:rPr>
      </w:lvl>
    </w:lvlOverride>
    <w:lvlOverride w:ilvl="7">
      <w:lvl w:ilvl="7">
        <w:start w:val="1"/>
        <w:numFmt w:val="none"/>
        <w:lvlRestart w:val="0"/>
        <w:lvlText w:val=""/>
        <w:lvlJc w:val="left"/>
        <w:pPr>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6">
    <w:abstractNumId w:val="31"/>
  </w:num>
  <w:num w:numId="37">
    <w:abstractNumId w:val="3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67A"/>
    <w:rsid w:val="00000719"/>
    <w:rsid w:val="00001758"/>
    <w:rsid w:val="00002D68"/>
    <w:rsid w:val="000033F7"/>
    <w:rsid w:val="00003403"/>
    <w:rsid w:val="00004009"/>
    <w:rsid w:val="000047A5"/>
    <w:rsid w:val="0000492F"/>
    <w:rsid w:val="00004BE5"/>
    <w:rsid w:val="00005347"/>
    <w:rsid w:val="0000567A"/>
    <w:rsid w:val="000057D8"/>
    <w:rsid w:val="000072B6"/>
    <w:rsid w:val="00007F86"/>
    <w:rsid w:val="0001021B"/>
    <w:rsid w:val="00011396"/>
    <w:rsid w:val="00011D89"/>
    <w:rsid w:val="00012870"/>
    <w:rsid w:val="00013263"/>
    <w:rsid w:val="00013493"/>
    <w:rsid w:val="000154FD"/>
    <w:rsid w:val="00015EC9"/>
    <w:rsid w:val="000176C2"/>
    <w:rsid w:val="00022271"/>
    <w:rsid w:val="00022D23"/>
    <w:rsid w:val="000230E6"/>
    <w:rsid w:val="000235E8"/>
    <w:rsid w:val="00023BEA"/>
    <w:rsid w:val="00023D7E"/>
    <w:rsid w:val="00024485"/>
    <w:rsid w:val="00024D89"/>
    <w:rsid w:val="000250B6"/>
    <w:rsid w:val="00025542"/>
    <w:rsid w:val="00026540"/>
    <w:rsid w:val="00030100"/>
    <w:rsid w:val="00030CDD"/>
    <w:rsid w:val="00030EEA"/>
    <w:rsid w:val="00031219"/>
    <w:rsid w:val="00033D81"/>
    <w:rsid w:val="00033DC9"/>
    <w:rsid w:val="000343EB"/>
    <w:rsid w:val="00036264"/>
    <w:rsid w:val="00037366"/>
    <w:rsid w:val="00041BF0"/>
    <w:rsid w:val="00042C8A"/>
    <w:rsid w:val="00043CD8"/>
    <w:rsid w:val="0004536B"/>
    <w:rsid w:val="00045770"/>
    <w:rsid w:val="000457B5"/>
    <w:rsid w:val="00045BCD"/>
    <w:rsid w:val="00046B68"/>
    <w:rsid w:val="00047464"/>
    <w:rsid w:val="00050028"/>
    <w:rsid w:val="00051A8A"/>
    <w:rsid w:val="000527DD"/>
    <w:rsid w:val="00052EAD"/>
    <w:rsid w:val="000533F8"/>
    <w:rsid w:val="000549A4"/>
    <w:rsid w:val="0005557F"/>
    <w:rsid w:val="00055846"/>
    <w:rsid w:val="00055E72"/>
    <w:rsid w:val="00056EC4"/>
    <w:rsid w:val="00056FB3"/>
    <w:rsid w:val="000578B2"/>
    <w:rsid w:val="00060959"/>
    <w:rsid w:val="00060C8F"/>
    <w:rsid w:val="00061CEE"/>
    <w:rsid w:val="00062259"/>
    <w:rsid w:val="0006298A"/>
    <w:rsid w:val="00062CE1"/>
    <w:rsid w:val="0006420E"/>
    <w:rsid w:val="000650DB"/>
    <w:rsid w:val="0006524D"/>
    <w:rsid w:val="000659EF"/>
    <w:rsid w:val="00065CD7"/>
    <w:rsid w:val="000663CD"/>
    <w:rsid w:val="00066F32"/>
    <w:rsid w:val="000731C3"/>
    <w:rsid w:val="000733FE"/>
    <w:rsid w:val="00074219"/>
    <w:rsid w:val="00074743"/>
    <w:rsid w:val="00074ED5"/>
    <w:rsid w:val="00075875"/>
    <w:rsid w:val="00076496"/>
    <w:rsid w:val="00076A7D"/>
    <w:rsid w:val="00077002"/>
    <w:rsid w:val="00077823"/>
    <w:rsid w:val="000813C2"/>
    <w:rsid w:val="000813FB"/>
    <w:rsid w:val="0008204A"/>
    <w:rsid w:val="0008247F"/>
    <w:rsid w:val="0008508E"/>
    <w:rsid w:val="000853EF"/>
    <w:rsid w:val="00085D60"/>
    <w:rsid w:val="00086989"/>
    <w:rsid w:val="000874FD"/>
    <w:rsid w:val="00087951"/>
    <w:rsid w:val="0009113B"/>
    <w:rsid w:val="000921A7"/>
    <w:rsid w:val="00092D09"/>
    <w:rsid w:val="00093402"/>
    <w:rsid w:val="000937A4"/>
    <w:rsid w:val="000940B3"/>
    <w:rsid w:val="00094214"/>
    <w:rsid w:val="00094DA3"/>
    <w:rsid w:val="00096CD1"/>
    <w:rsid w:val="00097077"/>
    <w:rsid w:val="000A012C"/>
    <w:rsid w:val="000A0EB9"/>
    <w:rsid w:val="000A186C"/>
    <w:rsid w:val="000A1EA4"/>
    <w:rsid w:val="000A2476"/>
    <w:rsid w:val="000A2EE7"/>
    <w:rsid w:val="000A333D"/>
    <w:rsid w:val="000A376C"/>
    <w:rsid w:val="000A4CD4"/>
    <w:rsid w:val="000A5F09"/>
    <w:rsid w:val="000A641A"/>
    <w:rsid w:val="000A7AF1"/>
    <w:rsid w:val="000B00BD"/>
    <w:rsid w:val="000B3EDB"/>
    <w:rsid w:val="000B52EE"/>
    <w:rsid w:val="000B543D"/>
    <w:rsid w:val="000B55F9"/>
    <w:rsid w:val="000B5BF7"/>
    <w:rsid w:val="000B6BC8"/>
    <w:rsid w:val="000B6F11"/>
    <w:rsid w:val="000C0303"/>
    <w:rsid w:val="000C0775"/>
    <w:rsid w:val="000C0BB1"/>
    <w:rsid w:val="000C2714"/>
    <w:rsid w:val="000C27C8"/>
    <w:rsid w:val="000C33CC"/>
    <w:rsid w:val="000C37B1"/>
    <w:rsid w:val="000C3B01"/>
    <w:rsid w:val="000C42EA"/>
    <w:rsid w:val="000C4546"/>
    <w:rsid w:val="000C4814"/>
    <w:rsid w:val="000C4D6B"/>
    <w:rsid w:val="000C4FF3"/>
    <w:rsid w:val="000C570C"/>
    <w:rsid w:val="000C751A"/>
    <w:rsid w:val="000C754C"/>
    <w:rsid w:val="000C7774"/>
    <w:rsid w:val="000D105E"/>
    <w:rsid w:val="000D1242"/>
    <w:rsid w:val="000D1498"/>
    <w:rsid w:val="000D1E32"/>
    <w:rsid w:val="000D2ABA"/>
    <w:rsid w:val="000D2E07"/>
    <w:rsid w:val="000D3702"/>
    <w:rsid w:val="000D412B"/>
    <w:rsid w:val="000D6124"/>
    <w:rsid w:val="000D6441"/>
    <w:rsid w:val="000D69CA"/>
    <w:rsid w:val="000D6F8D"/>
    <w:rsid w:val="000E0850"/>
    <w:rsid w:val="000E0970"/>
    <w:rsid w:val="000E0ED9"/>
    <w:rsid w:val="000E2C8D"/>
    <w:rsid w:val="000E39C2"/>
    <w:rsid w:val="000E3CC7"/>
    <w:rsid w:val="000E4D1B"/>
    <w:rsid w:val="000E68A9"/>
    <w:rsid w:val="000E6BD4"/>
    <w:rsid w:val="000E6D6D"/>
    <w:rsid w:val="000F04FB"/>
    <w:rsid w:val="000F0A72"/>
    <w:rsid w:val="000F0B7D"/>
    <w:rsid w:val="000F1959"/>
    <w:rsid w:val="000F1F1E"/>
    <w:rsid w:val="000F2259"/>
    <w:rsid w:val="000F2DDA"/>
    <w:rsid w:val="000F2EA0"/>
    <w:rsid w:val="000F2F20"/>
    <w:rsid w:val="000F5213"/>
    <w:rsid w:val="000F77A8"/>
    <w:rsid w:val="00100A50"/>
    <w:rsid w:val="00101001"/>
    <w:rsid w:val="001010C5"/>
    <w:rsid w:val="0010243C"/>
    <w:rsid w:val="00102BAB"/>
    <w:rsid w:val="00103276"/>
    <w:rsid w:val="001033D2"/>
    <w:rsid w:val="0010392D"/>
    <w:rsid w:val="0010447F"/>
    <w:rsid w:val="00104FE3"/>
    <w:rsid w:val="001069BC"/>
    <w:rsid w:val="0010714F"/>
    <w:rsid w:val="00111097"/>
    <w:rsid w:val="001120C5"/>
    <w:rsid w:val="00112DEF"/>
    <w:rsid w:val="001131B5"/>
    <w:rsid w:val="0011555A"/>
    <w:rsid w:val="0011601C"/>
    <w:rsid w:val="001169D4"/>
    <w:rsid w:val="00120BD3"/>
    <w:rsid w:val="00120EEF"/>
    <w:rsid w:val="00121B84"/>
    <w:rsid w:val="001220DC"/>
    <w:rsid w:val="00122CA1"/>
    <w:rsid w:val="00122FEA"/>
    <w:rsid w:val="001232BD"/>
    <w:rsid w:val="001236DC"/>
    <w:rsid w:val="0012425A"/>
    <w:rsid w:val="00124ED5"/>
    <w:rsid w:val="00125479"/>
    <w:rsid w:val="00125D91"/>
    <w:rsid w:val="0012600A"/>
    <w:rsid w:val="001276FA"/>
    <w:rsid w:val="00127A4D"/>
    <w:rsid w:val="0013010B"/>
    <w:rsid w:val="00132356"/>
    <w:rsid w:val="0013358D"/>
    <w:rsid w:val="001339E0"/>
    <w:rsid w:val="00133C50"/>
    <w:rsid w:val="001342B5"/>
    <w:rsid w:val="00134AE3"/>
    <w:rsid w:val="0014024A"/>
    <w:rsid w:val="001407BB"/>
    <w:rsid w:val="00141247"/>
    <w:rsid w:val="00142635"/>
    <w:rsid w:val="0014303D"/>
    <w:rsid w:val="001446A7"/>
    <w:rsid w:val="001447B3"/>
    <w:rsid w:val="0014496E"/>
    <w:rsid w:val="00150AE6"/>
    <w:rsid w:val="00152073"/>
    <w:rsid w:val="00152329"/>
    <w:rsid w:val="00153CE8"/>
    <w:rsid w:val="001549CF"/>
    <w:rsid w:val="00155546"/>
    <w:rsid w:val="00155FD0"/>
    <w:rsid w:val="00156598"/>
    <w:rsid w:val="0015668D"/>
    <w:rsid w:val="00157B91"/>
    <w:rsid w:val="00157F03"/>
    <w:rsid w:val="0016004A"/>
    <w:rsid w:val="001604B4"/>
    <w:rsid w:val="00161237"/>
    <w:rsid w:val="00161939"/>
    <w:rsid w:val="00161AA0"/>
    <w:rsid w:val="00161D2E"/>
    <w:rsid w:val="00161F3E"/>
    <w:rsid w:val="00162093"/>
    <w:rsid w:val="001620ED"/>
    <w:rsid w:val="00162CA9"/>
    <w:rsid w:val="00163221"/>
    <w:rsid w:val="00164A5E"/>
    <w:rsid w:val="00165125"/>
    <w:rsid w:val="00165459"/>
    <w:rsid w:val="00165A57"/>
    <w:rsid w:val="001661ED"/>
    <w:rsid w:val="00166B14"/>
    <w:rsid w:val="0017022B"/>
    <w:rsid w:val="00170EAF"/>
    <w:rsid w:val="001712C2"/>
    <w:rsid w:val="001726EF"/>
    <w:rsid w:val="00172878"/>
    <w:rsid w:val="00172BAF"/>
    <w:rsid w:val="001752F7"/>
    <w:rsid w:val="00175B3F"/>
    <w:rsid w:val="0017674D"/>
    <w:rsid w:val="001771DD"/>
    <w:rsid w:val="00177264"/>
    <w:rsid w:val="001778BF"/>
    <w:rsid w:val="00177995"/>
    <w:rsid w:val="00177A8C"/>
    <w:rsid w:val="00180061"/>
    <w:rsid w:val="0018244E"/>
    <w:rsid w:val="001828E7"/>
    <w:rsid w:val="00182C59"/>
    <w:rsid w:val="001844BF"/>
    <w:rsid w:val="001858F5"/>
    <w:rsid w:val="00186B33"/>
    <w:rsid w:val="00186FA2"/>
    <w:rsid w:val="001908DE"/>
    <w:rsid w:val="001908F3"/>
    <w:rsid w:val="00191179"/>
    <w:rsid w:val="00191531"/>
    <w:rsid w:val="001927E0"/>
    <w:rsid w:val="0019286B"/>
    <w:rsid w:val="00192F9D"/>
    <w:rsid w:val="00193A06"/>
    <w:rsid w:val="00194F06"/>
    <w:rsid w:val="001959BB"/>
    <w:rsid w:val="0019694C"/>
    <w:rsid w:val="00196EB8"/>
    <w:rsid w:val="00196EFB"/>
    <w:rsid w:val="001979FF"/>
    <w:rsid w:val="00197B17"/>
    <w:rsid w:val="001A059A"/>
    <w:rsid w:val="001A0C29"/>
    <w:rsid w:val="001A1950"/>
    <w:rsid w:val="001A1C54"/>
    <w:rsid w:val="001A1EE5"/>
    <w:rsid w:val="001A2FD3"/>
    <w:rsid w:val="001A3ACE"/>
    <w:rsid w:val="001A4A92"/>
    <w:rsid w:val="001A565D"/>
    <w:rsid w:val="001A6272"/>
    <w:rsid w:val="001A712F"/>
    <w:rsid w:val="001A7B13"/>
    <w:rsid w:val="001B058F"/>
    <w:rsid w:val="001B05D6"/>
    <w:rsid w:val="001B1090"/>
    <w:rsid w:val="001B1781"/>
    <w:rsid w:val="001B29AC"/>
    <w:rsid w:val="001B36B8"/>
    <w:rsid w:val="001B5A8F"/>
    <w:rsid w:val="001B6B96"/>
    <w:rsid w:val="001B7010"/>
    <w:rsid w:val="001B738B"/>
    <w:rsid w:val="001C0242"/>
    <w:rsid w:val="001C09DB"/>
    <w:rsid w:val="001C0B09"/>
    <w:rsid w:val="001C11E2"/>
    <w:rsid w:val="001C166F"/>
    <w:rsid w:val="001C1854"/>
    <w:rsid w:val="001C1C5C"/>
    <w:rsid w:val="001C222E"/>
    <w:rsid w:val="001C277E"/>
    <w:rsid w:val="001C2A72"/>
    <w:rsid w:val="001C31B7"/>
    <w:rsid w:val="001C5022"/>
    <w:rsid w:val="001C51E0"/>
    <w:rsid w:val="001C5556"/>
    <w:rsid w:val="001C5C58"/>
    <w:rsid w:val="001C5C98"/>
    <w:rsid w:val="001C650C"/>
    <w:rsid w:val="001C6908"/>
    <w:rsid w:val="001D0732"/>
    <w:rsid w:val="001D0B75"/>
    <w:rsid w:val="001D1F6C"/>
    <w:rsid w:val="001D281E"/>
    <w:rsid w:val="001D2BB8"/>
    <w:rsid w:val="001D368C"/>
    <w:rsid w:val="001D39A5"/>
    <w:rsid w:val="001D3C09"/>
    <w:rsid w:val="001D44E8"/>
    <w:rsid w:val="001D4520"/>
    <w:rsid w:val="001D4576"/>
    <w:rsid w:val="001D4F8D"/>
    <w:rsid w:val="001D60EC"/>
    <w:rsid w:val="001D687D"/>
    <w:rsid w:val="001D6F59"/>
    <w:rsid w:val="001D7892"/>
    <w:rsid w:val="001E00BF"/>
    <w:rsid w:val="001E06BF"/>
    <w:rsid w:val="001E14DD"/>
    <w:rsid w:val="001E32E1"/>
    <w:rsid w:val="001E44DF"/>
    <w:rsid w:val="001E4516"/>
    <w:rsid w:val="001E5A93"/>
    <w:rsid w:val="001E68A5"/>
    <w:rsid w:val="001E6914"/>
    <w:rsid w:val="001E6BB0"/>
    <w:rsid w:val="001E7282"/>
    <w:rsid w:val="001E7AC7"/>
    <w:rsid w:val="001F0C3F"/>
    <w:rsid w:val="001F10FB"/>
    <w:rsid w:val="001F28C0"/>
    <w:rsid w:val="001F3826"/>
    <w:rsid w:val="001F3C76"/>
    <w:rsid w:val="001F4DBF"/>
    <w:rsid w:val="001F6C20"/>
    <w:rsid w:val="001F6E46"/>
    <w:rsid w:val="001F72A7"/>
    <w:rsid w:val="001F7C91"/>
    <w:rsid w:val="00200C3F"/>
    <w:rsid w:val="00200E7E"/>
    <w:rsid w:val="002010E8"/>
    <w:rsid w:val="002015A9"/>
    <w:rsid w:val="0020256D"/>
    <w:rsid w:val="002033B7"/>
    <w:rsid w:val="002036B1"/>
    <w:rsid w:val="00203CB2"/>
    <w:rsid w:val="00203D0B"/>
    <w:rsid w:val="002040BF"/>
    <w:rsid w:val="00205070"/>
    <w:rsid w:val="00206463"/>
    <w:rsid w:val="002064CC"/>
    <w:rsid w:val="00206F2F"/>
    <w:rsid w:val="00207717"/>
    <w:rsid w:val="00207E34"/>
    <w:rsid w:val="0021053D"/>
    <w:rsid w:val="00210A92"/>
    <w:rsid w:val="00211046"/>
    <w:rsid w:val="00211C81"/>
    <w:rsid w:val="0021220D"/>
    <w:rsid w:val="00212B95"/>
    <w:rsid w:val="002156FD"/>
    <w:rsid w:val="00215CC8"/>
    <w:rsid w:val="0021636A"/>
    <w:rsid w:val="00216C03"/>
    <w:rsid w:val="00220A1A"/>
    <w:rsid w:val="00220C04"/>
    <w:rsid w:val="00221110"/>
    <w:rsid w:val="00221E9D"/>
    <w:rsid w:val="0022278D"/>
    <w:rsid w:val="002230AD"/>
    <w:rsid w:val="0022701F"/>
    <w:rsid w:val="00227A58"/>
    <w:rsid w:val="00227C68"/>
    <w:rsid w:val="0023183D"/>
    <w:rsid w:val="00232571"/>
    <w:rsid w:val="002333F5"/>
    <w:rsid w:val="00233724"/>
    <w:rsid w:val="00233760"/>
    <w:rsid w:val="00234081"/>
    <w:rsid w:val="00234299"/>
    <w:rsid w:val="002342CB"/>
    <w:rsid w:val="002343BE"/>
    <w:rsid w:val="002363A0"/>
    <w:rsid w:val="002365B4"/>
    <w:rsid w:val="00236833"/>
    <w:rsid w:val="00236D99"/>
    <w:rsid w:val="00236F9C"/>
    <w:rsid w:val="002401E5"/>
    <w:rsid w:val="002405CE"/>
    <w:rsid w:val="002409E5"/>
    <w:rsid w:val="00241D17"/>
    <w:rsid w:val="002432E1"/>
    <w:rsid w:val="00243B83"/>
    <w:rsid w:val="0024518E"/>
    <w:rsid w:val="00245C2E"/>
    <w:rsid w:val="00245F9E"/>
    <w:rsid w:val="00246207"/>
    <w:rsid w:val="00246C5E"/>
    <w:rsid w:val="00250960"/>
    <w:rsid w:val="00250BE5"/>
    <w:rsid w:val="00251343"/>
    <w:rsid w:val="00251A9F"/>
    <w:rsid w:val="002536A4"/>
    <w:rsid w:val="00254F58"/>
    <w:rsid w:val="00255E69"/>
    <w:rsid w:val="002572BA"/>
    <w:rsid w:val="00261017"/>
    <w:rsid w:val="00261696"/>
    <w:rsid w:val="00261D2C"/>
    <w:rsid w:val="002620BC"/>
    <w:rsid w:val="00262802"/>
    <w:rsid w:val="002638D7"/>
    <w:rsid w:val="00263A90"/>
    <w:rsid w:val="0026408B"/>
    <w:rsid w:val="002658DE"/>
    <w:rsid w:val="002677D9"/>
    <w:rsid w:val="00267C3E"/>
    <w:rsid w:val="002709BB"/>
    <w:rsid w:val="00270C2B"/>
    <w:rsid w:val="0027131C"/>
    <w:rsid w:val="002729E4"/>
    <w:rsid w:val="002735E6"/>
    <w:rsid w:val="00273A47"/>
    <w:rsid w:val="00273BAC"/>
    <w:rsid w:val="00275F50"/>
    <w:rsid w:val="002763B3"/>
    <w:rsid w:val="00276472"/>
    <w:rsid w:val="0027659A"/>
    <w:rsid w:val="0027679B"/>
    <w:rsid w:val="002802E3"/>
    <w:rsid w:val="0028213D"/>
    <w:rsid w:val="00284441"/>
    <w:rsid w:val="00284EB9"/>
    <w:rsid w:val="00286205"/>
    <w:rsid w:val="002862F1"/>
    <w:rsid w:val="00286436"/>
    <w:rsid w:val="00286ED0"/>
    <w:rsid w:val="00287B1D"/>
    <w:rsid w:val="00290795"/>
    <w:rsid w:val="00290AEC"/>
    <w:rsid w:val="00291373"/>
    <w:rsid w:val="002917B1"/>
    <w:rsid w:val="0029182E"/>
    <w:rsid w:val="00292722"/>
    <w:rsid w:val="00294901"/>
    <w:rsid w:val="00295284"/>
    <w:rsid w:val="0029551D"/>
    <w:rsid w:val="0029597D"/>
    <w:rsid w:val="00295E04"/>
    <w:rsid w:val="00296034"/>
    <w:rsid w:val="0029621A"/>
    <w:rsid w:val="002962C3"/>
    <w:rsid w:val="002965B0"/>
    <w:rsid w:val="0029752B"/>
    <w:rsid w:val="00297BF3"/>
    <w:rsid w:val="00297C09"/>
    <w:rsid w:val="002A0A9C"/>
    <w:rsid w:val="002A0AB7"/>
    <w:rsid w:val="002A243A"/>
    <w:rsid w:val="002A2B44"/>
    <w:rsid w:val="002A3A58"/>
    <w:rsid w:val="002A483C"/>
    <w:rsid w:val="002A60BB"/>
    <w:rsid w:val="002A76BD"/>
    <w:rsid w:val="002B08F3"/>
    <w:rsid w:val="002B0C7C"/>
    <w:rsid w:val="002B1729"/>
    <w:rsid w:val="002B1755"/>
    <w:rsid w:val="002B1A67"/>
    <w:rsid w:val="002B2A07"/>
    <w:rsid w:val="002B2B09"/>
    <w:rsid w:val="002B2E77"/>
    <w:rsid w:val="002B36C7"/>
    <w:rsid w:val="002B3A96"/>
    <w:rsid w:val="002B4DD4"/>
    <w:rsid w:val="002B5277"/>
    <w:rsid w:val="002B5375"/>
    <w:rsid w:val="002B547B"/>
    <w:rsid w:val="002B6B0C"/>
    <w:rsid w:val="002B6C27"/>
    <w:rsid w:val="002B6F35"/>
    <w:rsid w:val="002B77C1"/>
    <w:rsid w:val="002C011A"/>
    <w:rsid w:val="002C0ED7"/>
    <w:rsid w:val="002C0F8B"/>
    <w:rsid w:val="002C2138"/>
    <w:rsid w:val="002C2728"/>
    <w:rsid w:val="002C3A05"/>
    <w:rsid w:val="002C59B9"/>
    <w:rsid w:val="002C5B7C"/>
    <w:rsid w:val="002C6574"/>
    <w:rsid w:val="002C774E"/>
    <w:rsid w:val="002D06EF"/>
    <w:rsid w:val="002D1E0D"/>
    <w:rsid w:val="002D1E8C"/>
    <w:rsid w:val="002D3DBF"/>
    <w:rsid w:val="002D4C17"/>
    <w:rsid w:val="002D4FE6"/>
    <w:rsid w:val="002D5006"/>
    <w:rsid w:val="002D7C61"/>
    <w:rsid w:val="002E01D0"/>
    <w:rsid w:val="002E03A1"/>
    <w:rsid w:val="002E112F"/>
    <w:rsid w:val="002E161D"/>
    <w:rsid w:val="002E2736"/>
    <w:rsid w:val="002E28A2"/>
    <w:rsid w:val="002E3100"/>
    <w:rsid w:val="002E5AC0"/>
    <w:rsid w:val="002E5FE5"/>
    <w:rsid w:val="002E6484"/>
    <w:rsid w:val="002E6C95"/>
    <w:rsid w:val="002E75DC"/>
    <w:rsid w:val="002E7BB1"/>
    <w:rsid w:val="002E7C36"/>
    <w:rsid w:val="002F059B"/>
    <w:rsid w:val="002F0A56"/>
    <w:rsid w:val="002F3D32"/>
    <w:rsid w:val="002F416C"/>
    <w:rsid w:val="002F59D6"/>
    <w:rsid w:val="002F5F31"/>
    <w:rsid w:val="002F5F46"/>
    <w:rsid w:val="002F669D"/>
    <w:rsid w:val="002F768D"/>
    <w:rsid w:val="00302216"/>
    <w:rsid w:val="00302241"/>
    <w:rsid w:val="00303E53"/>
    <w:rsid w:val="003042D6"/>
    <w:rsid w:val="00305606"/>
    <w:rsid w:val="00305CC1"/>
    <w:rsid w:val="0030685C"/>
    <w:rsid w:val="00306E5F"/>
    <w:rsid w:val="0030799D"/>
    <w:rsid w:val="00307D16"/>
    <w:rsid w:val="00307E14"/>
    <w:rsid w:val="00307F71"/>
    <w:rsid w:val="0031034F"/>
    <w:rsid w:val="003127E2"/>
    <w:rsid w:val="00312E23"/>
    <w:rsid w:val="00313941"/>
    <w:rsid w:val="00313F7D"/>
    <w:rsid w:val="00314054"/>
    <w:rsid w:val="00314ECB"/>
    <w:rsid w:val="003156D8"/>
    <w:rsid w:val="003169E3"/>
    <w:rsid w:val="00316F27"/>
    <w:rsid w:val="0031722A"/>
    <w:rsid w:val="003214F1"/>
    <w:rsid w:val="00321C7D"/>
    <w:rsid w:val="00321D35"/>
    <w:rsid w:val="00322E4B"/>
    <w:rsid w:val="003232AD"/>
    <w:rsid w:val="00323C04"/>
    <w:rsid w:val="0032403B"/>
    <w:rsid w:val="00324313"/>
    <w:rsid w:val="00325711"/>
    <w:rsid w:val="00327870"/>
    <w:rsid w:val="00327ADB"/>
    <w:rsid w:val="0033024B"/>
    <w:rsid w:val="0033080E"/>
    <w:rsid w:val="00330AD0"/>
    <w:rsid w:val="00330BAA"/>
    <w:rsid w:val="00330EE5"/>
    <w:rsid w:val="00331306"/>
    <w:rsid w:val="00331BC1"/>
    <w:rsid w:val="00332151"/>
    <w:rsid w:val="003322C8"/>
    <w:rsid w:val="0033259D"/>
    <w:rsid w:val="00332C07"/>
    <w:rsid w:val="003333D2"/>
    <w:rsid w:val="00333684"/>
    <w:rsid w:val="00334686"/>
    <w:rsid w:val="003361D9"/>
    <w:rsid w:val="00337339"/>
    <w:rsid w:val="00340345"/>
    <w:rsid w:val="003406C6"/>
    <w:rsid w:val="003408FB"/>
    <w:rsid w:val="00340E70"/>
    <w:rsid w:val="003418CC"/>
    <w:rsid w:val="0034253D"/>
    <w:rsid w:val="003433F6"/>
    <w:rsid w:val="003434EE"/>
    <w:rsid w:val="00344B28"/>
    <w:rsid w:val="0034588D"/>
    <w:rsid w:val="003459BD"/>
    <w:rsid w:val="003466BF"/>
    <w:rsid w:val="00350D38"/>
    <w:rsid w:val="003516CB"/>
    <w:rsid w:val="00351B36"/>
    <w:rsid w:val="003526A8"/>
    <w:rsid w:val="003528B8"/>
    <w:rsid w:val="0035519A"/>
    <w:rsid w:val="003566F4"/>
    <w:rsid w:val="00357B4E"/>
    <w:rsid w:val="00357BFC"/>
    <w:rsid w:val="0036028F"/>
    <w:rsid w:val="00360375"/>
    <w:rsid w:val="00360668"/>
    <w:rsid w:val="003623CD"/>
    <w:rsid w:val="003627D6"/>
    <w:rsid w:val="00362EBF"/>
    <w:rsid w:val="00363A90"/>
    <w:rsid w:val="0036533E"/>
    <w:rsid w:val="003665EC"/>
    <w:rsid w:val="00370B13"/>
    <w:rsid w:val="003716FD"/>
    <w:rsid w:val="0037204B"/>
    <w:rsid w:val="00373F60"/>
    <w:rsid w:val="003744CF"/>
    <w:rsid w:val="00374717"/>
    <w:rsid w:val="00376209"/>
    <w:rsid w:val="0037676C"/>
    <w:rsid w:val="003771FB"/>
    <w:rsid w:val="00377D9B"/>
    <w:rsid w:val="0038013C"/>
    <w:rsid w:val="00381043"/>
    <w:rsid w:val="00381328"/>
    <w:rsid w:val="0038250A"/>
    <w:rsid w:val="00382844"/>
    <w:rsid w:val="003829E5"/>
    <w:rsid w:val="003830FB"/>
    <w:rsid w:val="00383B3C"/>
    <w:rsid w:val="00385AFE"/>
    <w:rsid w:val="00386109"/>
    <w:rsid w:val="00386944"/>
    <w:rsid w:val="00386CFC"/>
    <w:rsid w:val="0039067B"/>
    <w:rsid w:val="00390E62"/>
    <w:rsid w:val="00391B69"/>
    <w:rsid w:val="00393597"/>
    <w:rsid w:val="00393A58"/>
    <w:rsid w:val="00393B8F"/>
    <w:rsid w:val="00394B7A"/>
    <w:rsid w:val="003956CC"/>
    <w:rsid w:val="00395C9A"/>
    <w:rsid w:val="003976F1"/>
    <w:rsid w:val="00397E45"/>
    <w:rsid w:val="003A0234"/>
    <w:rsid w:val="003A0853"/>
    <w:rsid w:val="003A129A"/>
    <w:rsid w:val="003A1975"/>
    <w:rsid w:val="003A267F"/>
    <w:rsid w:val="003A2819"/>
    <w:rsid w:val="003A643B"/>
    <w:rsid w:val="003A66F6"/>
    <w:rsid w:val="003A6B67"/>
    <w:rsid w:val="003A7922"/>
    <w:rsid w:val="003B13B6"/>
    <w:rsid w:val="003B14C3"/>
    <w:rsid w:val="003B15E6"/>
    <w:rsid w:val="003B2195"/>
    <w:rsid w:val="003B22EF"/>
    <w:rsid w:val="003B2587"/>
    <w:rsid w:val="003B336C"/>
    <w:rsid w:val="003B408A"/>
    <w:rsid w:val="003B6339"/>
    <w:rsid w:val="003C08A2"/>
    <w:rsid w:val="003C1EEA"/>
    <w:rsid w:val="003C2045"/>
    <w:rsid w:val="003C248A"/>
    <w:rsid w:val="003C35A9"/>
    <w:rsid w:val="003C3955"/>
    <w:rsid w:val="003C43A1"/>
    <w:rsid w:val="003C4ADA"/>
    <w:rsid w:val="003C4B14"/>
    <w:rsid w:val="003C4FC0"/>
    <w:rsid w:val="003C55F4"/>
    <w:rsid w:val="003C5AFF"/>
    <w:rsid w:val="003C658B"/>
    <w:rsid w:val="003C7897"/>
    <w:rsid w:val="003C7A3F"/>
    <w:rsid w:val="003D1EFC"/>
    <w:rsid w:val="003D2766"/>
    <w:rsid w:val="003D2A74"/>
    <w:rsid w:val="003D36B8"/>
    <w:rsid w:val="003D391C"/>
    <w:rsid w:val="003D3D88"/>
    <w:rsid w:val="003D3E8F"/>
    <w:rsid w:val="003D45AF"/>
    <w:rsid w:val="003D6192"/>
    <w:rsid w:val="003D6475"/>
    <w:rsid w:val="003D6EE6"/>
    <w:rsid w:val="003D79F9"/>
    <w:rsid w:val="003D7D68"/>
    <w:rsid w:val="003E3228"/>
    <w:rsid w:val="003E375C"/>
    <w:rsid w:val="003E4086"/>
    <w:rsid w:val="003E5575"/>
    <w:rsid w:val="003E5C5E"/>
    <w:rsid w:val="003E639E"/>
    <w:rsid w:val="003E63EB"/>
    <w:rsid w:val="003E6B75"/>
    <w:rsid w:val="003E71E5"/>
    <w:rsid w:val="003E7983"/>
    <w:rsid w:val="003F0445"/>
    <w:rsid w:val="003F0CF0"/>
    <w:rsid w:val="003F14B1"/>
    <w:rsid w:val="003F2B20"/>
    <w:rsid w:val="003F3169"/>
    <w:rsid w:val="003F3289"/>
    <w:rsid w:val="003F3C62"/>
    <w:rsid w:val="003F3D2B"/>
    <w:rsid w:val="003F4B59"/>
    <w:rsid w:val="003F5233"/>
    <w:rsid w:val="003F55FE"/>
    <w:rsid w:val="003F5CB9"/>
    <w:rsid w:val="003F5CCA"/>
    <w:rsid w:val="003F7BAC"/>
    <w:rsid w:val="004013C7"/>
    <w:rsid w:val="00401FCF"/>
    <w:rsid w:val="00406285"/>
    <w:rsid w:val="00406447"/>
    <w:rsid w:val="00407747"/>
    <w:rsid w:val="004115A2"/>
    <w:rsid w:val="00411A87"/>
    <w:rsid w:val="00412099"/>
    <w:rsid w:val="0041275D"/>
    <w:rsid w:val="0041370C"/>
    <w:rsid w:val="0041391C"/>
    <w:rsid w:val="004148F9"/>
    <w:rsid w:val="00414A79"/>
    <w:rsid w:val="00414F1C"/>
    <w:rsid w:val="00415009"/>
    <w:rsid w:val="004151BF"/>
    <w:rsid w:val="00416BCD"/>
    <w:rsid w:val="004172C5"/>
    <w:rsid w:val="00417F6C"/>
    <w:rsid w:val="00420514"/>
    <w:rsid w:val="0042084E"/>
    <w:rsid w:val="00421EEF"/>
    <w:rsid w:val="0042303D"/>
    <w:rsid w:val="00424480"/>
    <w:rsid w:val="00424750"/>
    <w:rsid w:val="00424BC3"/>
    <w:rsid w:val="00424CC3"/>
    <w:rsid w:val="00424D65"/>
    <w:rsid w:val="00426E4B"/>
    <w:rsid w:val="00430393"/>
    <w:rsid w:val="0043172B"/>
    <w:rsid w:val="00431806"/>
    <w:rsid w:val="00431A70"/>
    <w:rsid w:val="00431F42"/>
    <w:rsid w:val="00436808"/>
    <w:rsid w:val="0044005A"/>
    <w:rsid w:val="004412EB"/>
    <w:rsid w:val="004415F2"/>
    <w:rsid w:val="004425B7"/>
    <w:rsid w:val="00442785"/>
    <w:rsid w:val="00442C6C"/>
    <w:rsid w:val="0044377B"/>
    <w:rsid w:val="004437FA"/>
    <w:rsid w:val="004439C7"/>
    <w:rsid w:val="00443CBE"/>
    <w:rsid w:val="00443E8A"/>
    <w:rsid w:val="004441BC"/>
    <w:rsid w:val="004455C9"/>
    <w:rsid w:val="00445AC2"/>
    <w:rsid w:val="00446506"/>
    <w:rsid w:val="004468B4"/>
    <w:rsid w:val="00446D86"/>
    <w:rsid w:val="00446E33"/>
    <w:rsid w:val="00447E02"/>
    <w:rsid w:val="00450EFC"/>
    <w:rsid w:val="0045230A"/>
    <w:rsid w:val="00452C2C"/>
    <w:rsid w:val="004535A5"/>
    <w:rsid w:val="0045387A"/>
    <w:rsid w:val="00454A7D"/>
    <w:rsid w:val="00454AD0"/>
    <w:rsid w:val="00457337"/>
    <w:rsid w:val="0046207D"/>
    <w:rsid w:val="004625DE"/>
    <w:rsid w:val="00462E3D"/>
    <w:rsid w:val="00465682"/>
    <w:rsid w:val="00465786"/>
    <w:rsid w:val="00466E79"/>
    <w:rsid w:val="00466EA6"/>
    <w:rsid w:val="004678C3"/>
    <w:rsid w:val="00470D7D"/>
    <w:rsid w:val="0047173C"/>
    <w:rsid w:val="00471C9D"/>
    <w:rsid w:val="004723D3"/>
    <w:rsid w:val="00472F18"/>
    <w:rsid w:val="0047331C"/>
    <w:rsid w:val="0047372D"/>
    <w:rsid w:val="00473BA3"/>
    <w:rsid w:val="004743DD"/>
    <w:rsid w:val="00474CEA"/>
    <w:rsid w:val="00475811"/>
    <w:rsid w:val="004779CD"/>
    <w:rsid w:val="00480EBD"/>
    <w:rsid w:val="004831A2"/>
    <w:rsid w:val="00483968"/>
    <w:rsid w:val="004841BE"/>
    <w:rsid w:val="00484F86"/>
    <w:rsid w:val="00487FA6"/>
    <w:rsid w:val="00490633"/>
    <w:rsid w:val="00490746"/>
    <w:rsid w:val="00490852"/>
    <w:rsid w:val="00490C2C"/>
    <w:rsid w:val="00491C9C"/>
    <w:rsid w:val="00492F30"/>
    <w:rsid w:val="004933FB"/>
    <w:rsid w:val="0049400C"/>
    <w:rsid w:val="004946F4"/>
    <w:rsid w:val="00494763"/>
    <w:rsid w:val="0049487E"/>
    <w:rsid w:val="004958CF"/>
    <w:rsid w:val="00495F43"/>
    <w:rsid w:val="00496906"/>
    <w:rsid w:val="00497CDC"/>
    <w:rsid w:val="004A157B"/>
    <w:rsid w:val="004A160D"/>
    <w:rsid w:val="004A1E3A"/>
    <w:rsid w:val="004A353D"/>
    <w:rsid w:val="004A3E81"/>
    <w:rsid w:val="004A4195"/>
    <w:rsid w:val="004A4A21"/>
    <w:rsid w:val="004A5C62"/>
    <w:rsid w:val="004A5CE5"/>
    <w:rsid w:val="004A707D"/>
    <w:rsid w:val="004A71B9"/>
    <w:rsid w:val="004A7882"/>
    <w:rsid w:val="004B0436"/>
    <w:rsid w:val="004B0667"/>
    <w:rsid w:val="004B0755"/>
    <w:rsid w:val="004B0974"/>
    <w:rsid w:val="004B1CE7"/>
    <w:rsid w:val="004B2472"/>
    <w:rsid w:val="004B3ED7"/>
    <w:rsid w:val="004B4185"/>
    <w:rsid w:val="004B72FE"/>
    <w:rsid w:val="004C044C"/>
    <w:rsid w:val="004C194A"/>
    <w:rsid w:val="004C3102"/>
    <w:rsid w:val="004C4BD8"/>
    <w:rsid w:val="004C5541"/>
    <w:rsid w:val="004C6EEE"/>
    <w:rsid w:val="004C702B"/>
    <w:rsid w:val="004C709A"/>
    <w:rsid w:val="004C7702"/>
    <w:rsid w:val="004D0033"/>
    <w:rsid w:val="004D003C"/>
    <w:rsid w:val="004D016B"/>
    <w:rsid w:val="004D1073"/>
    <w:rsid w:val="004D1B22"/>
    <w:rsid w:val="004D1BD2"/>
    <w:rsid w:val="004D1E82"/>
    <w:rsid w:val="004D23AE"/>
    <w:rsid w:val="004D23CC"/>
    <w:rsid w:val="004D36F2"/>
    <w:rsid w:val="004D4E6D"/>
    <w:rsid w:val="004D50A8"/>
    <w:rsid w:val="004D58FB"/>
    <w:rsid w:val="004E1106"/>
    <w:rsid w:val="004E138F"/>
    <w:rsid w:val="004E2717"/>
    <w:rsid w:val="004E448E"/>
    <w:rsid w:val="004E4649"/>
    <w:rsid w:val="004E48B8"/>
    <w:rsid w:val="004E5C2B"/>
    <w:rsid w:val="004E6B18"/>
    <w:rsid w:val="004E6BC7"/>
    <w:rsid w:val="004E7BDD"/>
    <w:rsid w:val="004F00DD"/>
    <w:rsid w:val="004F2133"/>
    <w:rsid w:val="004F5398"/>
    <w:rsid w:val="004F55F1"/>
    <w:rsid w:val="004F5732"/>
    <w:rsid w:val="004F5A13"/>
    <w:rsid w:val="004F6936"/>
    <w:rsid w:val="00501090"/>
    <w:rsid w:val="00503DC6"/>
    <w:rsid w:val="0050446B"/>
    <w:rsid w:val="005060F4"/>
    <w:rsid w:val="00506167"/>
    <w:rsid w:val="00506F5D"/>
    <w:rsid w:val="00510C37"/>
    <w:rsid w:val="0051125A"/>
    <w:rsid w:val="00511388"/>
    <w:rsid w:val="005126D0"/>
    <w:rsid w:val="00514317"/>
    <w:rsid w:val="00514667"/>
    <w:rsid w:val="0051568D"/>
    <w:rsid w:val="00515C26"/>
    <w:rsid w:val="00517404"/>
    <w:rsid w:val="00517D79"/>
    <w:rsid w:val="0052160E"/>
    <w:rsid w:val="00521F86"/>
    <w:rsid w:val="005233E7"/>
    <w:rsid w:val="00524CE7"/>
    <w:rsid w:val="00526AC7"/>
    <w:rsid w:val="00526B66"/>
    <w:rsid w:val="00526C15"/>
    <w:rsid w:val="00530395"/>
    <w:rsid w:val="005305B7"/>
    <w:rsid w:val="005307FA"/>
    <w:rsid w:val="00530924"/>
    <w:rsid w:val="00533B1D"/>
    <w:rsid w:val="0053431A"/>
    <w:rsid w:val="00534950"/>
    <w:rsid w:val="005349FB"/>
    <w:rsid w:val="005353F6"/>
    <w:rsid w:val="00535E47"/>
    <w:rsid w:val="00536499"/>
    <w:rsid w:val="005365F4"/>
    <w:rsid w:val="00536C6B"/>
    <w:rsid w:val="00540C22"/>
    <w:rsid w:val="00541A13"/>
    <w:rsid w:val="00542305"/>
    <w:rsid w:val="00542A03"/>
    <w:rsid w:val="00542D51"/>
    <w:rsid w:val="00542E5D"/>
    <w:rsid w:val="00542F12"/>
    <w:rsid w:val="00543422"/>
    <w:rsid w:val="00543614"/>
    <w:rsid w:val="00543903"/>
    <w:rsid w:val="00543BCC"/>
    <w:rsid w:val="00543F11"/>
    <w:rsid w:val="00544135"/>
    <w:rsid w:val="005456CD"/>
    <w:rsid w:val="005461F6"/>
    <w:rsid w:val="00546305"/>
    <w:rsid w:val="00546902"/>
    <w:rsid w:val="005479AB"/>
    <w:rsid w:val="005479BD"/>
    <w:rsid w:val="00547A95"/>
    <w:rsid w:val="00550531"/>
    <w:rsid w:val="00550D7D"/>
    <w:rsid w:val="0055119B"/>
    <w:rsid w:val="00551E43"/>
    <w:rsid w:val="005527B3"/>
    <w:rsid w:val="00554E2D"/>
    <w:rsid w:val="00554E33"/>
    <w:rsid w:val="0055548A"/>
    <w:rsid w:val="00561202"/>
    <w:rsid w:val="00561A12"/>
    <w:rsid w:val="00562507"/>
    <w:rsid w:val="00562811"/>
    <w:rsid w:val="0056293E"/>
    <w:rsid w:val="005634EE"/>
    <w:rsid w:val="005649DB"/>
    <w:rsid w:val="00565A61"/>
    <w:rsid w:val="005700B4"/>
    <w:rsid w:val="00570D1A"/>
    <w:rsid w:val="00571A56"/>
    <w:rsid w:val="00572031"/>
    <w:rsid w:val="00572282"/>
    <w:rsid w:val="005730C1"/>
    <w:rsid w:val="00573AF9"/>
    <w:rsid w:val="00573CE3"/>
    <w:rsid w:val="00574614"/>
    <w:rsid w:val="00575A48"/>
    <w:rsid w:val="00576DF6"/>
    <w:rsid w:val="00576E84"/>
    <w:rsid w:val="00580394"/>
    <w:rsid w:val="005809CD"/>
    <w:rsid w:val="00580F1A"/>
    <w:rsid w:val="00582582"/>
    <w:rsid w:val="00582B8C"/>
    <w:rsid w:val="00583099"/>
    <w:rsid w:val="005835A8"/>
    <w:rsid w:val="005852D2"/>
    <w:rsid w:val="00585507"/>
    <w:rsid w:val="0058757E"/>
    <w:rsid w:val="005905E4"/>
    <w:rsid w:val="00590C95"/>
    <w:rsid w:val="00590D6A"/>
    <w:rsid w:val="005918B8"/>
    <w:rsid w:val="00596A4B"/>
    <w:rsid w:val="00597507"/>
    <w:rsid w:val="005A004D"/>
    <w:rsid w:val="005A1113"/>
    <w:rsid w:val="005A1ABC"/>
    <w:rsid w:val="005A2A55"/>
    <w:rsid w:val="005A33A9"/>
    <w:rsid w:val="005A350C"/>
    <w:rsid w:val="005A3830"/>
    <w:rsid w:val="005A3EDA"/>
    <w:rsid w:val="005A479D"/>
    <w:rsid w:val="005A5D06"/>
    <w:rsid w:val="005B1C6D"/>
    <w:rsid w:val="005B1F0D"/>
    <w:rsid w:val="005B21B6"/>
    <w:rsid w:val="005B2834"/>
    <w:rsid w:val="005B3A08"/>
    <w:rsid w:val="005B54AD"/>
    <w:rsid w:val="005B5B70"/>
    <w:rsid w:val="005B7A63"/>
    <w:rsid w:val="005C0955"/>
    <w:rsid w:val="005C0EA1"/>
    <w:rsid w:val="005C19BC"/>
    <w:rsid w:val="005C19E7"/>
    <w:rsid w:val="005C1A5A"/>
    <w:rsid w:val="005C2ACE"/>
    <w:rsid w:val="005C34B9"/>
    <w:rsid w:val="005C3753"/>
    <w:rsid w:val="005C49DA"/>
    <w:rsid w:val="005C50F3"/>
    <w:rsid w:val="005C54B5"/>
    <w:rsid w:val="005C5883"/>
    <w:rsid w:val="005C5D80"/>
    <w:rsid w:val="005C5D91"/>
    <w:rsid w:val="005C7682"/>
    <w:rsid w:val="005D07B8"/>
    <w:rsid w:val="005D0CCC"/>
    <w:rsid w:val="005D3799"/>
    <w:rsid w:val="005D3F65"/>
    <w:rsid w:val="005D5732"/>
    <w:rsid w:val="005D6597"/>
    <w:rsid w:val="005D69FC"/>
    <w:rsid w:val="005D7198"/>
    <w:rsid w:val="005E0387"/>
    <w:rsid w:val="005E04A3"/>
    <w:rsid w:val="005E14E7"/>
    <w:rsid w:val="005E26A3"/>
    <w:rsid w:val="005E2ECB"/>
    <w:rsid w:val="005E33C2"/>
    <w:rsid w:val="005E447E"/>
    <w:rsid w:val="005E4645"/>
    <w:rsid w:val="005E4FD1"/>
    <w:rsid w:val="005E58BC"/>
    <w:rsid w:val="005F0775"/>
    <w:rsid w:val="005F0CF5"/>
    <w:rsid w:val="005F10FA"/>
    <w:rsid w:val="005F1585"/>
    <w:rsid w:val="005F16D7"/>
    <w:rsid w:val="005F1F17"/>
    <w:rsid w:val="005F21EB"/>
    <w:rsid w:val="005F2371"/>
    <w:rsid w:val="005F424B"/>
    <w:rsid w:val="005F46EA"/>
    <w:rsid w:val="005F530B"/>
    <w:rsid w:val="005F64CF"/>
    <w:rsid w:val="005F6B35"/>
    <w:rsid w:val="00603DCC"/>
    <w:rsid w:val="00603E90"/>
    <w:rsid w:val="006041AD"/>
    <w:rsid w:val="00605908"/>
    <w:rsid w:val="00607850"/>
    <w:rsid w:val="00607EF7"/>
    <w:rsid w:val="00610D7C"/>
    <w:rsid w:val="006116FC"/>
    <w:rsid w:val="006118F7"/>
    <w:rsid w:val="0061267A"/>
    <w:rsid w:val="00613414"/>
    <w:rsid w:val="006149A6"/>
    <w:rsid w:val="00615DD9"/>
    <w:rsid w:val="00620154"/>
    <w:rsid w:val="00620AFB"/>
    <w:rsid w:val="00621A84"/>
    <w:rsid w:val="006224F8"/>
    <w:rsid w:val="0062408D"/>
    <w:rsid w:val="006240CC"/>
    <w:rsid w:val="00624940"/>
    <w:rsid w:val="006254F8"/>
    <w:rsid w:val="00626FB8"/>
    <w:rsid w:val="00627DA7"/>
    <w:rsid w:val="006301AE"/>
    <w:rsid w:val="00630DA4"/>
    <w:rsid w:val="0063162A"/>
    <w:rsid w:val="00631AB2"/>
    <w:rsid w:val="00631CD4"/>
    <w:rsid w:val="006321D7"/>
    <w:rsid w:val="00632597"/>
    <w:rsid w:val="00632B7F"/>
    <w:rsid w:val="00633551"/>
    <w:rsid w:val="0063380C"/>
    <w:rsid w:val="00634D13"/>
    <w:rsid w:val="00635173"/>
    <w:rsid w:val="006357E9"/>
    <w:rsid w:val="006358B4"/>
    <w:rsid w:val="00637E98"/>
    <w:rsid w:val="00640F45"/>
    <w:rsid w:val="00641724"/>
    <w:rsid w:val="006419AA"/>
    <w:rsid w:val="00642769"/>
    <w:rsid w:val="00643033"/>
    <w:rsid w:val="00643052"/>
    <w:rsid w:val="0064486D"/>
    <w:rsid w:val="00644B1F"/>
    <w:rsid w:val="00644B7E"/>
    <w:rsid w:val="006454E6"/>
    <w:rsid w:val="00645A77"/>
    <w:rsid w:val="00646235"/>
    <w:rsid w:val="00646A68"/>
    <w:rsid w:val="0064732E"/>
    <w:rsid w:val="00647393"/>
    <w:rsid w:val="00647CCA"/>
    <w:rsid w:val="006505BD"/>
    <w:rsid w:val="006508EA"/>
    <w:rsid w:val="0065092E"/>
    <w:rsid w:val="00651721"/>
    <w:rsid w:val="0065178F"/>
    <w:rsid w:val="00651E83"/>
    <w:rsid w:val="006539E6"/>
    <w:rsid w:val="006557A7"/>
    <w:rsid w:val="00655CB9"/>
    <w:rsid w:val="00655CD7"/>
    <w:rsid w:val="00655E67"/>
    <w:rsid w:val="00656290"/>
    <w:rsid w:val="00656436"/>
    <w:rsid w:val="00657EB5"/>
    <w:rsid w:val="0066013A"/>
    <w:rsid w:val="006601C9"/>
    <w:rsid w:val="006608D8"/>
    <w:rsid w:val="00661049"/>
    <w:rsid w:val="00661129"/>
    <w:rsid w:val="0066124C"/>
    <w:rsid w:val="00661ADC"/>
    <w:rsid w:val="00661E8D"/>
    <w:rsid w:val="006621D7"/>
    <w:rsid w:val="0066302A"/>
    <w:rsid w:val="00663CF9"/>
    <w:rsid w:val="00663F02"/>
    <w:rsid w:val="00664836"/>
    <w:rsid w:val="00666049"/>
    <w:rsid w:val="00666B06"/>
    <w:rsid w:val="006672DD"/>
    <w:rsid w:val="00667770"/>
    <w:rsid w:val="00670597"/>
    <w:rsid w:val="006706D0"/>
    <w:rsid w:val="00670BD8"/>
    <w:rsid w:val="0067179F"/>
    <w:rsid w:val="00673009"/>
    <w:rsid w:val="00674CD2"/>
    <w:rsid w:val="00675E80"/>
    <w:rsid w:val="006761D0"/>
    <w:rsid w:val="006763A0"/>
    <w:rsid w:val="006764C0"/>
    <w:rsid w:val="00676F3A"/>
    <w:rsid w:val="00677069"/>
    <w:rsid w:val="00677574"/>
    <w:rsid w:val="0068069D"/>
    <w:rsid w:val="006812ED"/>
    <w:rsid w:val="00681929"/>
    <w:rsid w:val="00683878"/>
    <w:rsid w:val="00683AEC"/>
    <w:rsid w:val="00684380"/>
    <w:rsid w:val="0068454C"/>
    <w:rsid w:val="00684FED"/>
    <w:rsid w:val="0068506F"/>
    <w:rsid w:val="006853B9"/>
    <w:rsid w:val="00685A3F"/>
    <w:rsid w:val="00686339"/>
    <w:rsid w:val="00686D58"/>
    <w:rsid w:val="00687EAD"/>
    <w:rsid w:val="00690584"/>
    <w:rsid w:val="006907F0"/>
    <w:rsid w:val="00691B62"/>
    <w:rsid w:val="006933B5"/>
    <w:rsid w:val="00693D14"/>
    <w:rsid w:val="00693DEC"/>
    <w:rsid w:val="006940C2"/>
    <w:rsid w:val="006948D6"/>
    <w:rsid w:val="00694A5D"/>
    <w:rsid w:val="00695204"/>
    <w:rsid w:val="00696F27"/>
    <w:rsid w:val="006A04EA"/>
    <w:rsid w:val="006A0909"/>
    <w:rsid w:val="006A116C"/>
    <w:rsid w:val="006A18C2"/>
    <w:rsid w:val="006A1AE3"/>
    <w:rsid w:val="006A283B"/>
    <w:rsid w:val="006A2CE0"/>
    <w:rsid w:val="006A3383"/>
    <w:rsid w:val="006A4BC5"/>
    <w:rsid w:val="006B077C"/>
    <w:rsid w:val="006B236C"/>
    <w:rsid w:val="006B2B9F"/>
    <w:rsid w:val="006B6803"/>
    <w:rsid w:val="006C22C6"/>
    <w:rsid w:val="006C2F85"/>
    <w:rsid w:val="006C2F98"/>
    <w:rsid w:val="006C32FA"/>
    <w:rsid w:val="006C3651"/>
    <w:rsid w:val="006C3ACD"/>
    <w:rsid w:val="006C6814"/>
    <w:rsid w:val="006C6EE9"/>
    <w:rsid w:val="006D0115"/>
    <w:rsid w:val="006D0F16"/>
    <w:rsid w:val="006D12B8"/>
    <w:rsid w:val="006D246B"/>
    <w:rsid w:val="006D26C1"/>
    <w:rsid w:val="006D2A3F"/>
    <w:rsid w:val="006D2FBC"/>
    <w:rsid w:val="006D4BCF"/>
    <w:rsid w:val="006D6C60"/>
    <w:rsid w:val="006D6E34"/>
    <w:rsid w:val="006D72B9"/>
    <w:rsid w:val="006E0960"/>
    <w:rsid w:val="006E138B"/>
    <w:rsid w:val="006E1867"/>
    <w:rsid w:val="006E3AA7"/>
    <w:rsid w:val="006E3FE2"/>
    <w:rsid w:val="006E6891"/>
    <w:rsid w:val="006E7D25"/>
    <w:rsid w:val="006E7EFF"/>
    <w:rsid w:val="006F0330"/>
    <w:rsid w:val="006F0ADD"/>
    <w:rsid w:val="006F0F63"/>
    <w:rsid w:val="006F0FE8"/>
    <w:rsid w:val="006F1240"/>
    <w:rsid w:val="006F193B"/>
    <w:rsid w:val="006F1EA2"/>
    <w:rsid w:val="006F1FDC"/>
    <w:rsid w:val="006F358B"/>
    <w:rsid w:val="006F385B"/>
    <w:rsid w:val="006F472B"/>
    <w:rsid w:val="006F4D85"/>
    <w:rsid w:val="006F5BD9"/>
    <w:rsid w:val="006F6B8C"/>
    <w:rsid w:val="0070024B"/>
    <w:rsid w:val="00700529"/>
    <w:rsid w:val="007013EF"/>
    <w:rsid w:val="00701F66"/>
    <w:rsid w:val="007055BD"/>
    <w:rsid w:val="007064E2"/>
    <w:rsid w:val="007071D0"/>
    <w:rsid w:val="007108BA"/>
    <w:rsid w:val="00711148"/>
    <w:rsid w:val="007117F5"/>
    <w:rsid w:val="00711F49"/>
    <w:rsid w:val="007122AC"/>
    <w:rsid w:val="00716063"/>
    <w:rsid w:val="00716CC8"/>
    <w:rsid w:val="007173CA"/>
    <w:rsid w:val="007216AA"/>
    <w:rsid w:val="00721AB5"/>
    <w:rsid w:val="00721CFB"/>
    <w:rsid w:val="00721DEF"/>
    <w:rsid w:val="00722D4E"/>
    <w:rsid w:val="007231A7"/>
    <w:rsid w:val="007244DB"/>
    <w:rsid w:val="00724A43"/>
    <w:rsid w:val="007257BB"/>
    <w:rsid w:val="00725A7D"/>
    <w:rsid w:val="007260A0"/>
    <w:rsid w:val="007262AD"/>
    <w:rsid w:val="007266A2"/>
    <w:rsid w:val="00726B7D"/>
    <w:rsid w:val="007273AC"/>
    <w:rsid w:val="00727E7C"/>
    <w:rsid w:val="00731AD4"/>
    <w:rsid w:val="00732DB8"/>
    <w:rsid w:val="007346E4"/>
    <w:rsid w:val="00735564"/>
    <w:rsid w:val="00740A7F"/>
    <w:rsid w:val="00740F22"/>
    <w:rsid w:val="00741350"/>
    <w:rsid w:val="00741CF0"/>
    <w:rsid w:val="00741F1A"/>
    <w:rsid w:val="00742365"/>
    <w:rsid w:val="00743F14"/>
    <w:rsid w:val="007447DA"/>
    <w:rsid w:val="007450F8"/>
    <w:rsid w:val="0074575E"/>
    <w:rsid w:val="007458F4"/>
    <w:rsid w:val="00746906"/>
    <w:rsid w:val="0074696E"/>
    <w:rsid w:val="00746EC1"/>
    <w:rsid w:val="00750135"/>
    <w:rsid w:val="00750A77"/>
    <w:rsid w:val="00750EC2"/>
    <w:rsid w:val="0075193B"/>
    <w:rsid w:val="00751D6C"/>
    <w:rsid w:val="00751E76"/>
    <w:rsid w:val="00752B28"/>
    <w:rsid w:val="007536BC"/>
    <w:rsid w:val="007541A9"/>
    <w:rsid w:val="00754B4D"/>
    <w:rsid w:val="00754E36"/>
    <w:rsid w:val="00755FC4"/>
    <w:rsid w:val="00757713"/>
    <w:rsid w:val="00760C75"/>
    <w:rsid w:val="00763139"/>
    <w:rsid w:val="007636A3"/>
    <w:rsid w:val="00764732"/>
    <w:rsid w:val="00766C00"/>
    <w:rsid w:val="007673E0"/>
    <w:rsid w:val="00767578"/>
    <w:rsid w:val="0076770F"/>
    <w:rsid w:val="007708EB"/>
    <w:rsid w:val="00770F37"/>
    <w:rsid w:val="007711A0"/>
    <w:rsid w:val="00771337"/>
    <w:rsid w:val="00771349"/>
    <w:rsid w:val="00771397"/>
    <w:rsid w:val="00772D5E"/>
    <w:rsid w:val="00773000"/>
    <w:rsid w:val="007741EE"/>
    <w:rsid w:val="0077463E"/>
    <w:rsid w:val="007748C1"/>
    <w:rsid w:val="00775C27"/>
    <w:rsid w:val="00776722"/>
    <w:rsid w:val="00776928"/>
    <w:rsid w:val="00776D56"/>
    <w:rsid w:val="00776E0F"/>
    <w:rsid w:val="007774B1"/>
    <w:rsid w:val="00777BE1"/>
    <w:rsid w:val="00780BD3"/>
    <w:rsid w:val="00782025"/>
    <w:rsid w:val="007820E4"/>
    <w:rsid w:val="00782222"/>
    <w:rsid w:val="007833D8"/>
    <w:rsid w:val="00784A55"/>
    <w:rsid w:val="00785677"/>
    <w:rsid w:val="00785F47"/>
    <w:rsid w:val="007866E0"/>
    <w:rsid w:val="00786F16"/>
    <w:rsid w:val="007877C5"/>
    <w:rsid w:val="0079198A"/>
    <w:rsid w:val="00791BD7"/>
    <w:rsid w:val="007927A7"/>
    <w:rsid w:val="007933F7"/>
    <w:rsid w:val="00793694"/>
    <w:rsid w:val="00793A7F"/>
    <w:rsid w:val="00793B42"/>
    <w:rsid w:val="007942D3"/>
    <w:rsid w:val="00794DC2"/>
    <w:rsid w:val="00796A1A"/>
    <w:rsid w:val="00796E20"/>
    <w:rsid w:val="00797C32"/>
    <w:rsid w:val="007A11E8"/>
    <w:rsid w:val="007A5502"/>
    <w:rsid w:val="007A6D94"/>
    <w:rsid w:val="007A77AE"/>
    <w:rsid w:val="007A7858"/>
    <w:rsid w:val="007B0914"/>
    <w:rsid w:val="007B0D04"/>
    <w:rsid w:val="007B1374"/>
    <w:rsid w:val="007B32E5"/>
    <w:rsid w:val="007B3DB9"/>
    <w:rsid w:val="007B4C14"/>
    <w:rsid w:val="007B589F"/>
    <w:rsid w:val="007B6186"/>
    <w:rsid w:val="007B6236"/>
    <w:rsid w:val="007B64A5"/>
    <w:rsid w:val="007B68AA"/>
    <w:rsid w:val="007B73BC"/>
    <w:rsid w:val="007B7696"/>
    <w:rsid w:val="007C03E0"/>
    <w:rsid w:val="007C17A8"/>
    <w:rsid w:val="007C1838"/>
    <w:rsid w:val="007C20B9"/>
    <w:rsid w:val="007C335B"/>
    <w:rsid w:val="007C393F"/>
    <w:rsid w:val="007C4463"/>
    <w:rsid w:val="007C52EE"/>
    <w:rsid w:val="007C6EB2"/>
    <w:rsid w:val="007C7301"/>
    <w:rsid w:val="007C7859"/>
    <w:rsid w:val="007C7F28"/>
    <w:rsid w:val="007D0659"/>
    <w:rsid w:val="007D0F30"/>
    <w:rsid w:val="007D1466"/>
    <w:rsid w:val="007D2BDE"/>
    <w:rsid w:val="007D2C23"/>
    <w:rsid w:val="007D2FB6"/>
    <w:rsid w:val="007D3199"/>
    <w:rsid w:val="007D4052"/>
    <w:rsid w:val="007D49EB"/>
    <w:rsid w:val="007D5E1C"/>
    <w:rsid w:val="007E0C08"/>
    <w:rsid w:val="007E0DE2"/>
    <w:rsid w:val="007E10D2"/>
    <w:rsid w:val="007E122E"/>
    <w:rsid w:val="007E3667"/>
    <w:rsid w:val="007E3B98"/>
    <w:rsid w:val="007E3DCF"/>
    <w:rsid w:val="007E417A"/>
    <w:rsid w:val="007E548D"/>
    <w:rsid w:val="007E5F96"/>
    <w:rsid w:val="007E78F4"/>
    <w:rsid w:val="007F1E17"/>
    <w:rsid w:val="007F262B"/>
    <w:rsid w:val="007F31B6"/>
    <w:rsid w:val="007F3868"/>
    <w:rsid w:val="007F4470"/>
    <w:rsid w:val="007F546C"/>
    <w:rsid w:val="007F5E37"/>
    <w:rsid w:val="007F625F"/>
    <w:rsid w:val="007F665E"/>
    <w:rsid w:val="007F6E3E"/>
    <w:rsid w:val="007F6FFB"/>
    <w:rsid w:val="007F71C6"/>
    <w:rsid w:val="007F7F4F"/>
    <w:rsid w:val="0080027B"/>
    <w:rsid w:val="00800412"/>
    <w:rsid w:val="0080125F"/>
    <w:rsid w:val="0080376F"/>
    <w:rsid w:val="008045F9"/>
    <w:rsid w:val="008052A5"/>
    <w:rsid w:val="0080587B"/>
    <w:rsid w:val="00806468"/>
    <w:rsid w:val="00806F7F"/>
    <w:rsid w:val="0080789B"/>
    <w:rsid w:val="0081057A"/>
    <w:rsid w:val="008119CA"/>
    <w:rsid w:val="00811E49"/>
    <w:rsid w:val="008130C4"/>
    <w:rsid w:val="0081450D"/>
    <w:rsid w:val="008155F0"/>
    <w:rsid w:val="00815C76"/>
    <w:rsid w:val="00816498"/>
    <w:rsid w:val="00816735"/>
    <w:rsid w:val="008171A5"/>
    <w:rsid w:val="00817DEE"/>
    <w:rsid w:val="00820141"/>
    <w:rsid w:val="008201EB"/>
    <w:rsid w:val="008205A1"/>
    <w:rsid w:val="00820E0C"/>
    <w:rsid w:val="00821686"/>
    <w:rsid w:val="0082171D"/>
    <w:rsid w:val="008227E1"/>
    <w:rsid w:val="00823275"/>
    <w:rsid w:val="0082366F"/>
    <w:rsid w:val="008243DF"/>
    <w:rsid w:val="008249FC"/>
    <w:rsid w:val="00824A95"/>
    <w:rsid w:val="00825839"/>
    <w:rsid w:val="00826988"/>
    <w:rsid w:val="0083288E"/>
    <w:rsid w:val="008338A2"/>
    <w:rsid w:val="00833E37"/>
    <w:rsid w:val="008414B8"/>
    <w:rsid w:val="00841AA9"/>
    <w:rsid w:val="008423D2"/>
    <w:rsid w:val="00842D09"/>
    <w:rsid w:val="00842E43"/>
    <w:rsid w:val="008440AA"/>
    <w:rsid w:val="008440C2"/>
    <w:rsid w:val="00844800"/>
    <w:rsid w:val="00844ECC"/>
    <w:rsid w:val="00847050"/>
    <w:rsid w:val="008474FE"/>
    <w:rsid w:val="0085069C"/>
    <w:rsid w:val="008507EF"/>
    <w:rsid w:val="00851007"/>
    <w:rsid w:val="008526F0"/>
    <w:rsid w:val="00853B07"/>
    <w:rsid w:val="00853E7D"/>
    <w:rsid w:val="00853E84"/>
    <w:rsid w:val="00853EE4"/>
    <w:rsid w:val="00853F78"/>
    <w:rsid w:val="00855056"/>
    <w:rsid w:val="00855535"/>
    <w:rsid w:val="00855CBD"/>
    <w:rsid w:val="00856AB7"/>
    <w:rsid w:val="00857C5A"/>
    <w:rsid w:val="008605FD"/>
    <w:rsid w:val="0086120C"/>
    <w:rsid w:val="00862116"/>
    <w:rsid w:val="0086255E"/>
    <w:rsid w:val="00862688"/>
    <w:rsid w:val="0086277B"/>
    <w:rsid w:val="00862AAD"/>
    <w:rsid w:val="008633F0"/>
    <w:rsid w:val="0086486E"/>
    <w:rsid w:val="00866392"/>
    <w:rsid w:val="00867D9D"/>
    <w:rsid w:val="008729E6"/>
    <w:rsid w:val="00872D49"/>
    <w:rsid w:val="00872E0A"/>
    <w:rsid w:val="00873594"/>
    <w:rsid w:val="00875285"/>
    <w:rsid w:val="00877B65"/>
    <w:rsid w:val="00881E99"/>
    <w:rsid w:val="00882CB5"/>
    <w:rsid w:val="008839EC"/>
    <w:rsid w:val="00884B62"/>
    <w:rsid w:val="0088505C"/>
    <w:rsid w:val="0088529C"/>
    <w:rsid w:val="008872FA"/>
    <w:rsid w:val="00887903"/>
    <w:rsid w:val="008924FF"/>
    <w:rsid w:val="0089270A"/>
    <w:rsid w:val="00892D60"/>
    <w:rsid w:val="00893AF6"/>
    <w:rsid w:val="00894866"/>
    <w:rsid w:val="00894BC4"/>
    <w:rsid w:val="0089558F"/>
    <w:rsid w:val="00896890"/>
    <w:rsid w:val="008977D1"/>
    <w:rsid w:val="008A06BA"/>
    <w:rsid w:val="008A1703"/>
    <w:rsid w:val="008A23AC"/>
    <w:rsid w:val="008A28A8"/>
    <w:rsid w:val="008A3484"/>
    <w:rsid w:val="008A361E"/>
    <w:rsid w:val="008A3848"/>
    <w:rsid w:val="008A38DC"/>
    <w:rsid w:val="008A4984"/>
    <w:rsid w:val="008A54AC"/>
    <w:rsid w:val="008A5B32"/>
    <w:rsid w:val="008B2029"/>
    <w:rsid w:val="008B2EE4"/>
    <w:rsid w:val="008B34AF"/>
    <w:rsid w:val="008B3821"/>
    <w:rsid w:val="008B3EB5"/>
    <w:rsid w:val="008B4CD8"/>
    <w:rsid w:val="008B4D3D"/>
    <w:rsid w:val="008B57C7"/>
    <w:rsid w:val="008B5F0B"/>
    <w:rsid w:val="008B7117"/>
    <w:rsid w:val="008C1FB2"/>
    <w:rsid w:val="008C2F92"/>
    <w:rsid w:val="008C3546"/>
    <w:rsid w:val="008C589D"/>
    <w:rsid w:val="008C64F7"/>
    <w:rsid w:val="008C6D51"/>
    <w:rsid w:val="008D1878"/>
    <w:rsid w:val="008D2846"/>
    <w:rsid w:val="008D3063"/>
    <w:rsid w:val="008D36F5"/>
    <w:rsid w:val="008D4236"/>
    <w:rsid w:val="008D462F"/>
    <w:rsid w:val="008D4DF7"/>
    <w:rsid w:val="008D521D"/>
    <w:rsid w:val="008D6DCF"/>
    <w:rsid w:val="008D72E8"/>
    <w:rsid w:val="008D7F8B"/>
    <w:rsid w:val="008E3C33"/>
    <w:rsid w:val="008E4376"/>
    <w:rsid w:val="008E4860"/>
    <w:rsid w:val="008E6319"/>
    <w:rsid w:val="008E7A0A"/>
    <w:rsid w:val="008E7B49"/>
    <w:rsid w:val="008F0C08"/>
    <w:rsid w:val="008F4AE5"/>
    <w:rsid w:val="008F5598"/>
    <w:rsid w:val="008F59F6"/>
    <w:rsid w:val="008F72AC"/>
    <w:rsid w:val="008F72DB"/>
    <w:rsid w:val="00900719"/>
    <w:rsid w:val="009017AC"/>
    <w:rsid w:val="00902A9A"/>
    <w:rsid w:val="00904962"/>
    <w:rsid w:val="00904A1C"/>
    <w:rsid w:val="00905030"/>
    <w:rsid w:val="00906490"/>
    <w:rsid w:val="009070D6"/>
    <w:rsid w:val="00910266"/>
    <w:rsid w:val="009111B2"/>
    <w:rsid w:val="00911A06"/>
    <w:rsid w:val="009132A4"/>
    <w:rsid w:val="009151F5"/>
    <w:rsid w:val="0091571F"/>
    <w:rsid w:val="00916B59"/>
    <w:rsid w:val="00920209"/>
    <w:rsid w:val="009225C4"/>
    <w:rsid w:val="00922F15"/>
    <w:rsid w:val="009240A6"/>
    <w:rsid w:val="009243F7"/>
    <w:rsid w:val="00924969"/>
    <w:rsid w:val="00924AE1"/>
    <w:rsid w:val="009269B1"/>
    <w:rsid w:val="00926D0E"/>
    <w:rsid w:val="0092724D"/>
    <w:rsid w:val="009272B3"/>
    <w:rsid w:val="0093106A"/>
    <w:rsid w:val="009315BE"/>
    <w:rsid w:val="009319E0"/>
    <w:rsid w:val="00931E07"/>
    <w:rsid w:val="009326DD"/>
    <w:rsid w:val="0093338F"/>
    <w:rsid w:val="00934176"/>
    <w:rsid w:val="009345B1"/>
    <w:rsid w:val="009355FD"/>
    <w:rsid w:val="00936E53"/>
    <w:rsid w:val="00936FB9"/>
    <w:rsid w:val="00937BD9"/>
    <w:rsid w:val="00937C6D"/>
    <w:rsid w:val="00937F1B"/>
    <w:rsid w:val="00940309"/>
    <w:rsid w:val="00940CCF"/>
    <w:rsid w:val="0094503B"/>
    <w:rsid w:val="00947B92"/>
    <w:rsid w:val="00950E2C"/>
    <w:rsid w:val="00951D50"/>
    <w:rsid w:val="009525EB"/>
    <w:rsid w:val="00953D78"/>
    <w:rsid w:val="0095470B"/>
    <w:rsid w:val="00954874"/>
    <w:rsid w:val="0095615A"/>
    <w:rsid w:val="00956543"/>
    <w:rsid w:val="00960200"/>
    <w:rsid w:val="00961400"/>
    <w:rsid w:val="009622DE"/>
    <w:rsid w:val="009622E8"/>
    <w:rsid w:val="00963646"/>
    <w:rsid w:val="00965A7D"/>
    <w:rsid w:val="0096632D"/>
    <w:rsid w:val="00967124"/>
    <w:rsid w:val="009679A1"/>
    <w:rsid w:val="00967CE8"/>
    <w:rsid w:val="0097166C"/>
    <w:rsid w:val="009718C7"/>
    <w:rsid w:val="00971A3B"/>
    <w:rsid w:val="009722EE"/>
    <w:rsid w:val="00973915"/>
    <w:rsid w:val="0097559F"/>
    <w:rsid w:val="00975B07"/>
    <w:rsid w:val="00975BC9"/>
    <w:rsid w:val="009761EA"/>
    <w:rsid w:val="0097761E"/>
    <w:rsid w:val="00977EDB"/>
    <w:rsid w:val="009821AF"/>
    <w:rsid w:val="00982454"/>
    <w:rsid w:val="00982CF0"/>
    <w:rsid w:val="009853E1"/>
    <w:rsid w:val="0098553C"/>
    <w:rsid w:val="00986463"/>
    <w:rsid w:val="00986E6B"/>
    <w:rsid w:val="00990032"/>
    <w:rsid w:val="00990B19"/>
    <w:rsid w:val="0099153B"/>
    <w:rsid w:val="00991769"/>
    <w:rsid w:val="00991E29"/>
    <w:rsid w:val="00991F03"/>
    <w:rsid w:val="0099232C"/>
    <w:rsid w:val="00994386"/>
    <w:rsid w:val="00994DEA"/>
    <w:rsid w:val="00996E6F"/>
    <w:rsid w:val="009A04BF"/>
    <w:rsid w:val="009A13D8"/>
    <w:rsid w:val="009A15F6"/>
    <w:rsid w:val="009A1C04"/>
    <w:rsid w:val="009A1C7C"/>
    <w:rsid w:val="009A1FDF"/>
    <w:rsid w:val="009A279E"/>
    <w:rsid w:val="009A3015"/>
    <w:rsid w:val="009A3490"/>
    <w:rsid w:val="009A3C99"/>
    <w:rsid w:val="009A57BE"/>
    <w:rsid w:val="009A6378"/>
    <w:rsid w:val="009A6DB4"/>
    <w:rsid w:val="009A7C69"/>
    <w:rsid w:val="009A7E8B"/>
    <w:rsid w:val="009B0364"/>
    <w:rsid w:val="009B0439"/>
    <w:rsid w:val="009B0A6F"/>
    <w:rsid w:val="009B0A94"/>
    <w:rsid w:val="009B0C62"/>
    <w:rsid w:val="009B0D92"/>
    <w:rsid w:val="009B21AA"/>
    <w:rsid w:val="009B22F8"/>
    <w:rsid w:val="009B2AE8"/>
    <w:rsid w:val="009B454E"/>
    <w:rsid w:val="009B49D4"/>
    <w:rsid w:val="009B5622"/>
    <w:rsid w:val="009B5636"/>
    <w:rsid w:val="009B59E9"/>
    <w:rsid w:val="009B651C"/>
    <w:rsid w:val="009B70AA"/>
    <w:rsid w:val="009B73D5"/>
    <w:rsid w:val="009C0200"/>
    <w:rsid w:val="009C15B2"/>
    <w:rsid w:val="009C245E"/>
    <w:rsid w:val="009C2D91"/>
    <w:rsid w:val="009C3183"/>
    <w:rsid w:val="009C4401"/>
    <w:rsid w:val="009C465C"/>
    <w:rsid w:val="009C46A2"/>
    <w:rsid w:val="009C48B6"/>
    <w:rsid w:val="009C4A4A"/>
    <w:rsid w:val="009C5E77"/>
    <w:rsid w:val="009C7A7E"/>
    <w:rsid w:val="009C7B92"/>
    <w:rsid w:val="009C7D31"/>
    <w:rsid w:val="009D02E8"/>
    <w:rsid w:val="009D04E8"/>
    <w:rsid w:val="009D127F"/>
    <w:rsid w:val="009D143A"/>
    <w:rsid w:val="009D1BAF"/>
    <w:rsid w:val="009D29C6"/>
    <w:rsid w:val="009D4D57"/>
    <w:rsid w:val="009D4F16"/>
    <w:rsid w:val="009D51D0"/>
    <w:rsid w:val="009D6639"/>
    <w:rsid w:val="009D70A4"/>
    <w:rsid w:val="009D70D9"/>
    <w:rsid w:val="009D7B14"/>
    <w:rsid w:val="009E08D1"/>
    <w:rsid w:val="009E0D96"/>
    <w:rsid w:val="009E13C4"/>
    <w:rsid w:val="009E1B95"/>
    <w:rsid w:val="009E2D39"/>
    <w:rsid w:val="009E367C"/>
    <w:rsid w:val="009E38C8"/>
    <w:rsid w:val="009E496F"/>
    <w:rsid w:val="009E4B0D"/>
    <w:rsid w:val="009E5250"/>
    <w:rsid w:val="009E5997"/>
    <w:rsid w:val="009E76A3"/>
    <w:rsid w:val="009E78FD"/>
    <w:rsid w:val="009E79E5"/>
    <w:rsid w:val="009E7A2D"/>
    <w:rsid w:val="009E7A69"/>
    <w:rsid w:val="009E7F92"/>
    <w:rsid w:val="009F02A3"/>
    <w:rsid w:val="009F2182"/>
    <w:rsid w:val="009F276A"/>
    <w:rsid w:val="009F2B4C"/>
    <w:rsid w:val="009F2F27"/>
    <w:rsid w:val="009F333D"/>
    <w:rsid w:val="009F34AA"/>
    <w:rsid w:val="009F3957"/>
    <w:rsid w:val="009F4297"/>
    <w:rsid w:val="009F6BCB"/>
    <w:rsid w:val="009F7B78"/>
    <w:rsid w:val="00A0057A"/>
    <w:rsid w:val="00A022AA"/>
    <w:rsid w:val="00A02FA1"/>
    <w:rsid w:val="00A04CCE"/>
    <w:rsid w:val="00A0513F"/>
    <w:rsid w:val="00A05B85"/>
    <w:rsid w:val="00A0634B"/>
    <w:rsid w:val="00A07421"/>
    <w:rsid w:val="00A0776B"/>
    <w:rsid w:val="00A10FB9"/>
    <w:rsid w:val="00A11421"/>
    <w:rsid w:val="00A12C28"/>
    <w:rsid w:val="00A1389F"/>
    <w:rsid w:val="00A13B7A"/>
    <w:rsid w:val="00A157A7"/>
    <w:rsid w:val="00A157B1"/>
    <w:rsid w:val="00A15D1C"/>
    <w:rsid w:val="00A21850"/>
    <w:rsid w:val="00A22229"/>
    <w:rsid w:val="00A24442"/>
    <w:rsid w:val="00A246B0"/>
    <w:rsid w:val="00A24ADA"/>
    <w:rsid w:val="00A27615"/>
    <w:rsid w:val="00A315A9"/>
    <w:rsid w:val="00A32577"/>
    <w:rsid w:val="00A32EFA"/>
    <w:rsid w:val="00A330BB"/>
    <w:rsid w:val="00A33147"/>
    <w:rsid w:val="00A33362"/>
    <w:rsid w:val="00A3696D"/>
    <w:rsid w:val="00A36E36"/>
    <w:rsid w:val="00A37AE9"/>
    <w:rsid w:val="00A37CC4"/>
    <w:rsid w:val="00A37F1D"/>
    <w:rsid w:val="00A40205"/>
    <w:rsid w:val="00A405AA"/>
    <w:rsid w:val="00A408DA"/>
    <w:rsid w:val="00A40ED1"/>
    <w:rsid w:val="00A42283"/>
    <w:rsid w:val="00A42A1B"/>
    <w:rsid w:val="00A446F5"/>
    <w:rsid w:val="00A44882"/>
    <w:rsid w:val="00A45125"/>
    <w:rsid w:val="00A47407"/>
    <w:rsid w:val="00A47DF9"/>
    <w:rsid w:val="00A5145B"/>
    <w:rsid w:val="00A524B4"/>
    <w:rsid w:val="00A53378"/>
    <w:rsid w:val="00A54715"/>
    <w:rsid w:val="00A54EA8"/>
    <w:rsid w:val="00A5507F"/>
    <w:rsid w:val="00A55208"/>
    <w:rsid w:val="00A60346"/>
    <w:rsid w:val="00A6061C"/>
    <w:rsid w:val="00A60D19"/>
    <w:rsid w:val="00A622BA"/>
    <w:rsid w:val="00A62D44"/>
    <w:rsid w:val="00A65FF1"/>
    <w:rsid w:val="00A67263"/>
    <w:rsid w:val="00A67420"/>
    <w:rsid w:val="00A7161C"/>
    <w:rsid w:val="00A71CE4"/>
    <w:rsid w:val="00A727B4"/>
    <w:rsid w:val="00A72A75"/>
    <w:rsid w:val="00A7390E"/>
    <w:rsid w:val="00A75F5B"/>
    <w:rsid w:val="00A7752B"/>
    <w:rsid w:val="00A77AA3"/>
    <w:rsid w:val="00A77AF8"/>
    <w:rsid w:val="00A77F38"/>
    <w:rsid w:val="00A80E3C"/>
    <w:rsid w:val="00A81B1C"/>
    <w:rsid w:val="00A8236D"/>
    <w:rsid w:val="00A8290D"/>
    <w:rsid w:val="00A82A65"/>
    <w:rsid w:val="00A82BB2"/>
    <w:rsid w:val="00A836D8"/>
    <w:rsid w:val="00A83724"/>
    <w:rsid w:val="00A854EB"/>
    <w:rsid w:val="00A872E5"/>
    <w:rsid w:val="00A87826"/>
    <w:rsid w:val="00A87B83"/>
    <w:rsid w:val="00A911B4"/>
    <w:rsid w:val="00A91406"/>
    <w:rsid w:val="00A91984"/>
    <w:rsid w:val="00A91FBD"/>
    <w:rsid w:val="00A938F5"/>
    <w:rsid w:val="00A95BDF"/>
    <w:rsid w:val="00A96E65"/>
    <w:rsid w:val="00A96ECE"/>
    <w:rsid w:val="00A97C72"/>
    <w:rsid w:val="00AA0403"/>
    <w:rsid w:val="00AA310B"/>
    <w:rsid w:val="00AA59E8"/>
    <w:rsid w:val="00AA5ED8"/>
    <w:rsid w:val="00AA63D4"/>
    <w:rsid w:val="00AA6A93"/>
    <w:rsid w:val="00AA6F47"/>
    <w:rsid w:val="00AA79F6"/>
    <w:rsid w:val="00AB00E6"/>
    <w:rsid w:val="00AB0626"/>
    <w:rsid w:val="00AB06E8"/>
    <w:rsid w:val="00AB1CD3"/>
    <w:rsid w:val="00AB352F"/>
    <w:rsid w:val="00AB42F8"/>
    <w:rsid w:val="00AB4E87"/>
    <w:rsid w:val="00AC0B19"/>
    <w:rsid w:val="00AC131D"/>
    <w:rsid w:val="00AC274B"/>
    <w:rsid w:val="00AC2D22"/>
    <w:rsid w:val="00AC3447"/>
    <w:rsid w:val="00AC4764"/>
    <w:rsid w:val="00AC6361"/>
    <w:rsid w:val="00AC6D36"/>
    <w:rsid w:val="00AC6FFA"/>
    <w:rsid w:val="00AD085D"/>
    <w:rsid w:val="00AD0CBA"/>
    <w:rsid w:val="00AD0F32"/>
    <w:rsid w:val="00AD26E2"/>
    <w:rsid w:val="00AD2D66"/>
    <w:rsid w:val="00AD56CD"/>
    <w:rsid w:val="00AD65F4"/>
    <w:rsid w:val="00AD784C"/>
    <w:rsid w:val="00AE10A9"/>
    <w:rsid w:val="00AE126A"/>
    <w:rsid w:val="00AE1BAE"/>
    <w:rsid w:val="00AE3005"/>
    <w:rsid w:val="00AE307D"/>
    <w:rsid w:val="00AE3BD5"/>
    <w:rsid w:val="00AE59A0"/>
    <w:rsid w:val="00AE789F"/>
    <w:rsid w:val="00AF045E"/>
    <w:rsid w:val="00AF0C57"/>
    <w:rsid w:val="00AF11AD"/>
    <w:rsid w:val="00AF1D7C"/>
    <w:rsid w:val="00AF2294"/>
    <w:rsid w:val="00AF251F"/>
    <w:rsid w:val="00AF26F3"/>
    <w:rsid w:val="00AF3CE9"/>
    <w:rsid w:val="00AF3FCA"/>
    <w:rsid w:val="00AF536C"/>
    <w:rsid w:val="00AF5F04"/>
    <w:rsid w:val="00AF7017"/>
    <w:rsid w:val="00AF793C"/>
    <w:rsid w:val="00AF7B7B"/>
    <w:rsid w:val="00B000D9"/>
    <w:rsid w:val="00B003EA"/>
    <w:rsid w:val="00B00672"/>
    <w:rsid w:val="00B00CBA"/>
    <w:rsid w:val="00B00EC7"/>
    <w:rsid w:val="00B01086"/>
    <w:rsid w:val="00B01179"/>
    <w:rsid w:val="00B01B4D"/>
    <w:rsid w:val="00B02201"/>
    <w:rsid w:val="00B02621"/>
    <w:rsid w:val="00B028DA"/>
    <w:rsid w:val="00B03F40"/>
    <w:rsid w:val="00B04489"/>
    <w:rsid w:val="00B04C70"/>
    <w:rsid w:val="00B04D88"/>
    <w:rsid w:val="00B06571"/>
    <w:rsid w:val="00B066CE"/>
    <w:rsid w:val="00B068BA"/>
    <w:rsid w:val="00B07217"/>
    <w:rsid w:val="00B10717"/>
    <w:rsid w:val="00B10811"/>
    <w:rsid w:val="00B13851"/>
    <w:rsid w:val="00B13B1C"/>
    <w:rsid w:val="00B142AF"/>
    <w:rsid w:val="00B14656"/>
    <w:rsid w:val="00B14B5F"/>
    <w:rsid w:val="00B15B6D"/>
    <w:rsid w:val="00B16BE1"/>
    <w:rsid w:val="00B17EA8"/>
    <w:rsid w:val="00B201CC"/>
    <w:rsid w:val="00B204A5"/>
    <w:rsid w:val="00B21022"/>
    <w:rsid w:val="00B21F90"/>
    <w:rsid w:val="00B22070"/>
    <w:rsid w:val="00B220A4"/>
    <w:rsid w:val="00B22291"/>
    <w:rsid w:val="00B22C43"/>
    <w:rsid w:val="00B23994"/>
    <w:rsid w:val="00B23F9A"/>
    <w:rsid w:val="00B2417B"/>
    <w:rsid w:val="00B245DB"/>
    <w:rsid w:val="00B24E6F"/>
    <w:rsid w:val="00B25BA6"/>
    <w:rsid w:val="00B26CB5"/>
    <w:rsid w:val="00B2752E"/>
    <w:rsid w:val="00B27D11"/>
    <w:rsid w:val="00B30415"/>
    <w:rsid w:val="00B307CC"/>
    <w:rsid w:val="00B30CD8"/>
    <w:rsid w:val="00B31473"/>
    <w:rsid w:val="00B326B7"/>
    <w:rsid w:val="00B326E3"/>
    <w:rsid w:val="00B3328D"/>
    <w:rsid w:val="00B3588E"/>
    <w:rsid w:val="00B37B58"/>
    <w:rsid w:val="00B40446"/>
    <w:rsid w:val="00B4071F"/>
    <w:rsid w:val="00B40A38"/>
    <w:rsid w:val="00B4198F"/>
    <w:rsid w:val="00B41F3D"/>
    <w:rsid w:val="00B4201A"/>
    <w:rsid w:val="00B42395"/>
    <w:rsid w:val="00B431E8"/>
    <w:rsid w:val="00B44199"/>
    <w:rsid w:val="00B45141"/>
    <w:rsid w:val="00B46424"/>
    <w:rsid w:val="00B47342"/>
    <w:rsid w:val="00B47460"/>
    <w:rsid w:val="00B4765D"/>
    <w:rsid w:val="00B47EB8"/>
    <w:rsid w:val="00B519CD"/>
    <w:rsid w:val="00B5273A"/>
    <w:rsid w:val="00B52E84"/>
    <w:rsid w:val="00B547CA"/>
    <w:rsid w:val="00B55144"/>
    <w:rsid w:val="00B57329"/>
    <w:rsid w:val="00B60CF2"/>
    <w:rsid w:val="00B60E61"/>
    <w:rsid w:val="00B62B50"/>
    <w:rsid w:val="00B62D0A"/>
    <w:rsid w:val="00B635B7"/>
    <w:rsid w:val="00B63AE8"/>
    <w:rsid w:val="00B648E2"/>
    <w:rsid w:val="00B65950"/>
    <w:rsid w:val="00B66D83"/>
    <w:rsid w:val="00B672C0"/>
    <w:rsid w:val="00B676FD"/>
    <w:rsid w:val="00B67780"/>
    <w:rsid w:val="00B678B6"/>
    <w:rsid w:val="00B70540"/>
    <w:rsid w:val="00B75646"/>
    <w:rsid w:val="00B7625B"/>
    <w:rsid w:val="00B7629E"/>
    <w:rsid w:val="00B773D4"/>
    <w:rsid w:val="00B77889"/>
    <w:rsid w:val="00B81712"/>
    <w:rsid w:val="00B83F0D"/>
    <w:rsid w:val="00B85559"/>
    <w:rsid w:val="00B873DF"/>
    <w:rsid w:val="00B877B4"/>
    <w:rsid w:val="00B90729"/>
    <w:rsid w:val="00B907DA"/>
    <w:rsid w:val="00B90B09"/>
    <w:rsid w:val="00B94C5E"/>
    <w:rsid w:val="00B950BC"/>
    <w:rsid w:val="00B95AD6"/>
    <w:rsid w:val="00B9714C"/>
    <w:rsid w:val="00B97F18"/>
    <w:rsid w:val="00BA133F"/>
    <w:rsid w:val="00BA26F6"/>
    <w:rsid w:val="00BA29AD"/>
    <w:rsid w:val="00BA33C6"/>
    <w:rsid w:val="00BA33CF"/>
    <w:rsid w:val="00BA3BB7"/>
    <w:rsid w:val="00BA3F8D"/>
    <w:rsid w:val="00BA410A"/>
    <w:rsid w:val="00BA74D2"/>
    <w:rsid w:val="00BB0AA1"/>
    <w:rsid w:val="00BB4000"/>
    <w:rsid w:val="00BB421F"/>
    <w:rsid w:val="00BB640B"/>
    <w:rsid w:val="00BB6B0E"/>
    <w:rsid w:val="00BB74AC"/>
    <w:rsid w:val="00BB7A10"/>
    <w:rsid w:val="00BC125D"/>
    <w:rsid w:val="00BC1591"/>
    <w:rsid w:val="00BC2462"/>
    <w:rsid w:val="00BC5522"/>
    <w:rsid w:val="00BC60BE"/>
    <w:rsid w:val="00BC6571"/>
    <w:rsid w:val="00BC7468"/>
    <w:rsid w:val="00BC7D4F"/>
    <w:rsid w:val="00BC7ED7"/>
    <w:rsid w:val="00BD1505"/>
    <w:rsid w:val="00BD2850"/>
    <w:rsid w:val="00BD3BA0"/>
    <w:rsid w:val="00BD3C57"/>
    <w:rsid w:val="00BD6B9D"/>
    <w:rsid w:val="00BD736D"/>
    <w:rsid w:val="00BE22BA"/>
    <w:rsid w:val="00BE28D2"/>
    <w:rsid w:val="00BE2F6C"/>
    <w:rsid w:val="00BE32AC"/>
    <w:rsid w:val="00BE4A64"/>
    <w:rsid w:val="00BE5E43"/>
    <w:rsid w:val="00BE66A7"/>
    <w:rsid w:val="00BE7144"/>
    <w:rsid w:val="00BE79B2"/>
    <w:rsid w:val="00BF11C9"/>
    <w:rsid w:val="00BF1914"/>
    <w:rsid w:val="00BF3C26"/>
    <w:rsid w:val="00BF3F6B"/>
    <w:rsid w:val="00BF481F"/>
    <w:rsid w:val="00BF4E16"/>
    <w:rsid w:val="00BF557D"/>
    <w:rsid w:val="00BF6072"/>
    <w:rsid w:val="00BF658D"/>
    <w:rsid w:val="00BF7527"/>
    <w:rsid w:val="00BF7A0C"/>
    <w:rsid w:val="00BF7C0E"/>
    <w:rsid w:val="00BF7F58"/>
    <w:rsid w:val="00C0112B"/>
    <w:rsid w:val="00C01381"/>
    <w:rsid w:val="00C01AB1"/>
    <w:rsid w:val="00C02279"/>
    <w:rsid w:val="00C026A0"/>
    <w:rsid w:val="00C0327C"/>
    <w:rsid w:val="00C03F37"/>
    <w:rsid w:val="00C04970"/>
    <w:rsid w:val="00C06137"/>
    <w:rsid w:val="00C06929"/>
    <w:rsid w:val="00C079B8"/>
    <w:rsid w:val="00C07F22"/>
    <w:rsid w:val="00C10037"/>
    <w:rsid w:val="00C10DD5"/>
    <w:rsid w:val="00C115E1"/>
    <w:rsid w:val="00C12059"/>
    <w:rsid w:val="00C123EA"/>
    <w:rsid w:val="00C126E7"/>
    <w:rsid w:val="00C12A49"/>
    <w:rsid w:val="00C133EE"/>
    <w:rsid w:val="00C13A81"/>
    <w:rsid w:val="00C149D0"/>
    <w:rsid w:val="00C14EA8"/>
    <w:rsid w:val="00C14FA2"/>
    <w:rsid w:val="00C154F4"/>
    <w:rsid w:val="00C158DC"/>
    <w:rsid w:val="00C20192"/>
    <w:rsid w:val="00C20329"/>
    <w:rsid w:val="00C20CC4"/>
    <w:rsid w:val="00C2267B"/>
    <w:rsid w:val="00C23460"/>
    <w:rsid w:val="00C25AD1"/>
    <w:rsid w:val="00C26588"/>
    <w:rsid w:val="00C26DF7"/>
    <w:rsid w:val="00C26E9A"/>
    <w:rsid w:val="00C26FDD"/>
    <w:rsid w:val="00C27DE9"/>
    <w:rsid w:val="00C31A0C"/>
    <w:rsid w:val="00C32989"/>
    <w:rsid w:val="00C32FE5"/>
    <w:rsid w:val="00C33388"/>
    <w:rsid w:val="00C3387E"/>
    <w:rsid w:val="00C34172"/>
    <w:rsid w:val="00C35484"/>
    <w:rsid w:val="00C376AF"/>
    <w:rsid w:val="00C37922"/>
    <w:rsid w:val="00C40243"/>
    <w:rsid w:val="00C41309"/>
    <w:rsid w:val="00C4137A"/>
    <w:rsid w:val="00C4173A"/>
    <w:rsid w:val="00C41C3C"/>
    <w:rsid w:val="00C44A0F"/>
    <w:rsid w:val="00C478ED"/>
    <w:rsid w:val="00C47BD2"/>
    <w:rsid w:val="00C50DED"/>
    <w:rsid w:val="00C5207F"/>
    <w:rsid w:val="00C52217"/>
    <w:rsid w:val="00C523C2"/>
    <w:rsid w:val="00C5426B"/>
    <w:rsid w:val="00C55A6A"/>
    <w:rsid w:val="00C56917"/>
    <w:rsid w:val="00C572FC"/>
    <w:rsid w:val="00C57A28"/>
    <w:rsid w:val="00C602FF"/>
    <w:rsid w:val="00C60411"/>
    <w:rsid w:val="00C60A14"/>
    <w:rsid w:val="00C61174"/>
    <w:rsid w:val="00C6148F"/>
    <w:rsid w:val="00C62186"/>
    <w:rsid w:val="00C621B1"/>
    <w:rsid w:val="00C62383"/>
    <w:rsid w:val="00C62F7A"/>
    <w:rsid w:val="00C6325D"/>
    <w:rsid w:val="00C63404"/>
    <w:rsid w:val="00C63981"/>
    <w:rsid w:val="00C63B9C"/>
    <w:rsid w:val="00C64708"/>
    <w:rsid w:val="00C66755"/>
    <w:rsid w:val="00C6682F"/>
    <w:rsid w:val="00C67BF4"/>
    <w:rsid w:val="00C7275E"/>
    <w:rsid w:val="00C72980"/>
    <w:rsid w:val="00C72AC4"/>
    <w:rsid w:val="00C731AF"/>
    <w:rsid w:val="00C7425C"/>
    <w:rsid w:val="00C74267"/>
    <w:rsid w:val="00C74C5D"/>
    <w:rsid w:val="00C75770"/>
    <w:rsid w:val="00C76572"/>
    <w:rsid w:val="00C767F8"/>
    <w:rsid w:val="00C803FA"/>
    <w:rsid w:val="00C81A93"/>
    <w:rsid w:val="00C827AD"/>
    <w:rsid w:val="00C83427"/>
    <w:rsid w:val="00C84F44"/>
    <w:rsid w:val="00C85A55"/>
    <w:rsid w:val="00C85D2B"/>
    <w:rsid w:val="00C85DB0"/>
    <w:rsid w:val="00C85ED3"/>
    <w:rsid w:val="00C863C4"/>
    <w:rsid w:val="00C86428"/>
    <w:rsid w:val="00C8695A"/>
    <w:rsid w:val="00C90DAB"/>
    <w:rsid w:val="00C920EA"/>
    <w:rsid w:val="00C92DA5"/>
    <w:rsid w:val="00C93C3E"/>
    <w:rsid w:val="00CA12E3"/>
    <w:rsid w:val="00CA1476"/>
    <w:rsid w:val="00CA1E14"/>
    <w:rsid w:val="00CA1EED"/>
    <w:rsid w:val="00CA2D0D"/>
    <w:rsid w:val="00CA5963"/>
    <w:rsid w:val="00CA6471"/>
    <w:rsid w:val="00CA6611"/>
    <w:rsid w:val="00CA6AE6"/>
    <w:rsid w:val="00CA782F"/>
    <w:rsid w:val="00CB1626"/>
    <w:rsid w:val="00CB187B"/>
    <w:rsid w:val="00CB1C8F"/>
    <w:rsid w:val="00CB24A7"/>
    <w:rsid w:val="00CB2835"/>
    <w:rsid w:val="00CB2F50"/>
    <w:rsid w:val="00CB323C"/>
    <w:rsid w:val="00CB3285"/>
    <w:rsid w:val="00CB393D"/>
    <w:rsid w:val="00CB4500"/>
    <w:rsid w:val="00CB4A30"/>
    <w:rsid w:val="00CB4AD6"/>
    <w:rsid w:val="00CB4EB8"/>
    <w:rsid w:val="00CB5CA9"/>
    <w:rsid w:val="00CB665E"/>
    <w:rsid w:val="00CB6A6A"/>
    <w:rsid w:val="00CC0C72"/>
    <w:rsid w:val="00CC2BFD"/>
    <w:rsid w:val="00CC3BB0"/>
    <w:rsid w:val="00CC3C6B"/>
    <w:rsid w:val="00CC438D"/>
    <w:rsid w:val="00CC6F40"/>
    <w:rsid w:val="00CC7150"/>
    <w:rsid w:val="00CD033F"/>
    <w:rsid w:val="00CD05E4"/>
    <w:rsid w:val="00CD0A6E"/>
    <w:rsid w:val="00CD101C"/>
    <w:rsid w:val="00CD2F34"/>
    <w:rsid w:val="00CD336C"/>
    <w:rsid w:val="00CD3476"/>
    <w:rsid w:val="00CD443B"/>
    <w:rsid w:val="00CD4791"/>
    <w:rsid w:val="00CD5C18"/>
    <w:rsid w:val="00CD5E1C"/>
    <w:rsid w:val="00CD64DF"/>
    <w:rsid w:val="00CD6D1F"/>
    <w:rsid w:val="00CD7FFD"/>
    <w:rsid w:val="00CE0454"/>
    <w:rsid w:val="00CE0502"/>
    <w:rsid w:val="00CE225F"/>
    <w:rsid w:val="00CE5A7A"/>
    <w:rsid w:val="00CE7223"/>
    <w:rsid w:val="00CF01F6"/>
    <w:rsid w:val="00CF0330"/>
    <w:rsid w:val="00CF29A3"/>
    <w:rsid w:val="00CF2F50"/>
    <w:rsid w:val="00CF6198"/>
    <w:rsid w:val="00CF7469"/>
    <w:rsid w:val="00D00846"/>
    <w:rsid w:val="00D00D73"/>
    <w:rsid w:val="00D00E83"/>
    <w:rsid w:val="00D013DD"/>
    <w:rsid w:val="00D01AC5"/>
    <w:rsid w:val="00D01D18"/>
    <w:rsid w:val="00D02809"/>
    <w:rsid w:val="00D02919"/>
    <w:rsid w:val="00D04C61"/>
    <w:rsid w:val="00D05622"/>
    <w:rsid w:val="00D05B8D"/>
    <w:rsid w:val="00D05B9B"/>
    <w:rsid w:val="00D065A2"/>
    <w:rsid w:val="00D079AA"/>
    <w:rsid w:val="00D07E90"/>
    <w:rsid w:val="00D07F00"/>
    <w:rsid w:val="00D1130F"/>
    <w:rsid w:val="00D13CD7"/>
    <w:rsid w:val="00D13FF6"/>
    <w:rsid w:val="00D14D18"/>
    <w:rsid w:val="00D151F4"/>
    <w:rsid w:val="00D15379"/>
    <w:rsid w:val="00D15B8F"/>
    <w:rsid w:val="00D16697"/>
    <w:rsid w:val="00D17B72"/>
    <w:rsid w:val="00D212FC"/>
    <w:rsid w:val="00D21E02"/>
    <w:rsid w:val="00D2249C"/>
    <w:rsid w:val="00D23D09"/>
    <w:rsid w:val="00D24113"/>
    <w:rsid w:val="00D2430C"/>
    <w:rsid w:val="00D27C54"/>
    <w:rsid w:val="00D3185C"/>
    <w:rsid w:val="00D3205F"/>
    <w:rsid w:val="00D3318E"/>
    <w:rsid w:val="00D33520"/>
    <w:rsid w:val="00D33BCA"/>
    <w:rsid w:val="00D33E72"/>
    <w:rsid w:val="00D3467F"/>
    <w:rsid w:val="00D34C1F"/>
    <w:rsid w:val="00D34E8A"/>
    <w:rsid w:val="00D35BD6"/>
    <w:rsid w:val="00D35CE1"/>
    <w:rsid w:val="00D3604C"/>
    <w:rsid w:val="00D361B5"/>
    <w:rsid w:val="00D366FD"/>
    <w:rsid w:val="00D40BEF"/>
    <w:rsid w:val="00D411A2"/>
    <w:rsid w:val="00D4148D"/>
    <w:rsid w:val="00D429E1"/>
    <w:rsid w:val="00D4606D"/>
    <w:rsid w:val="00D46CDA"/>
    <w:rsid w:val="00D47CD5"/>
    <w:rsid w:val="00D504D2"/>
    <w:rsid w:val="00D5077B"/>
    <w:rsid w:val="00D50B9C"/>
    <w:rsid w:val="00D513AF"/>
    <w:rsid w:val="00D519C7"/>
    <w:rsid w:val="00D5229C"/>
    <w:rsid w:val="00D529A8"/>
    <w:rsid w:val="00D52D73"/>
    <w:rsid w:val="00D52E58"/>
    <w:rsid w:val="00D538E0"/>
    <w:rsid w:val="00D56276"/>
    <w:rsid w:val="00D56580"/>
    <w:rsid w:val="00D56B20"/>
    <w:rsid w:val="00D578B3"/>
    <w:rsid w:val="00D61876"/>
    <w:rsid w:val="00D618F4"/>
    <w:rsid w:val="00D61E2B"/>
    <w:rsid w:val="00D621B5"/>
    <w:rsid w:val="00D628A1"/>
    <w:rsid w:val="00D62C7D"/>
    <w:rsid w:val="00D63636"/>
    <w:rsid w:val="00D65938"/>
    <w:rsid w:val="00D66C7B"/>
    <w:rsid w:val="00D66F0C"/>
    <w:rsid w:val="00D7077A"/>
    <w:rsid w:val="00D7146B"/>
    <w:rsid w:val="00D714CC"/>
    <w:rsid w:val="00D724D4"/>
    <w:rsid w:val="00D72789"/>
    <w:rsid w:val="00D740E5"/>
    <w:rsid w:val="00D75EA7"/>
    <w:rsid w:val="00D76ECC"/>
    <w:rsid w:val="00D77706"/>
    <w:rsid w:val="00D80102"/>
    <w:rsid w:val="00D807EB"/>
    <w:rsid w:val="00D81A1D"/>
    <w:rsid w:val="00D81ADF"/>
    <w:rsid w:val="00D81F21"/>
    <w:rsid w:val="00D81F57"/>
    <w:rsid w:val="00D84D08"/>
    <w:rsid w:val="00D85356"/>
    <w:rsid w:val="00D859C5"/>
    <w:rsid w:val="00D864F2"/>
    <w:rsid w:val="00D866DE"/>
    <w:rsid w:val="00D87017"/>
    <w:rsid w:val="00D9038D"/>
    <w:rsid w:val="00D908A5"/>
    <w:rsid w:val="00D90B1D"/>
    <w:rsid w:val="00D91C00"/>
    <w:rsid w:val="00D93877"/>
    <w:rsid w:val="00D93B41"/>
    <w:rsid w:val="00D93E0C"/>
    <w:rsid w:val="00D943F8"/>
    <w:rsid w:val="00D95470"/>
    <w:rsid w:val="00D95AE4"/>
    <w:rsid w:val="00D96B55"/>
    <w:rsid w:val="00D96B8C"/>
    <w:rsid w:val="00D96EFA"/>
    <w:rsid w:val="00D976FB"/>
    <w:rsid w:val="00D97C4C"/>
    <w:rsid w:val="00DA0169"/>
    <w:rsid w:val="00DA2619"/>
    <w:rsid w:val="00DA2DEF"/>
    <w:rsid w:val="00DA3D29"/>
    <w:rsid w:val="00DA3EB4"/>
    <w:rsid w:val="00DA4239"/>
    <w:rsid w:val="00DA588C"/>
    <w:rsid w:val="00DA5A1C"/>
    <w:rsid w:val="00DA5A80"/>
    <w:rsid w:val="00DA65DE"/>
    <w:rsid w:val="00DA7E9C"/>
    <w:rsid w:val="00DB0B61"/>
    <w:rsid w:val="00DB10C4"/>
    <w:rsid w:val="00DB1474"/>
    <w:rsid w:val="00DB17B0"/>
    <w:rsid w:val="00DB2962"/>
    <w:rsid w:val="00DB2FE2"/>
    <w:rsid w:val="00DB4F4A"/>
    <w:rsid w:val="00DB50FE"/>
    <w:rsid w:val="00DB52FB"/>
    <w:rsid w:val="00DB7EE9"/>
    <w:rsid w:val="00DC013B"/>
    <w:rsid w:val="00DC0662"/>
    <w:rsid w:val="00DC06A2"/>
    <w:rsid w:val="00DC090B"/>
    <w:rsid w:val="00DC1679"/>
    <w:rsid w:val="00DC219B"/>
    <w:rsid w:val="00DC2CF1"/>
    <w:rsid w:val="00DC2DC7"/>
    <w:rsid w:val="00DC2EA0"/>
    <w:rsid w:val="00DC3A7C"/>
    <w:rsid w:val="00DC3B15"/>
    <w:rsid w:val="00DC4908"/>
    <w:rsid w:val="00DC4FCF"/>
    <w:rsid w:val="00DC50E0"/>
    <w:rsid w:val="00DC5A96"/>
    <w:rsid w:val="00DC6386"/>
    <w:rsid w:val="00DC6592"/>
    <w:rsid w:val="00DD02B7"/>
    <w:rsid w:val="00DD063B"/>
    <w:rsid w:val="00DD1130"/>
    <w:rsid w:val="00DD1951"/>
    <w:rsid w:val="00DD487D"/>
    <w:rsid w:val="00DD4E83"/>
    <w:rsid w:val="00DD4F30"/>
    <w:rsid w:val="00DD6628"/>
    <w:rsid w:val="00DD6945"/>
    <w:rsid w:val="00DE060C"/>
    <w:rsid w:val="00DE0749"/>
    <w:rsid w:val="00DE16E6"/>
    <w:rsid w:val="00DE25C6"/>
    <w:rsid w:val="00DE2D04"/>
    <w:rsid w:val="00DE2D07"/>
    <w:rsid w:val="00DE2FFD"/>
    <w:rsid w:val="00DE3250"/>
    <w:rsid w:val="00DE33E0"/>
    <w:rsid w:val="00DE5DA3"/>
    <w:rsid w:val="00DE6028"/>
    <w:rsid w:val="00DE627C"/>
    <w:rsid w:val="00DE6C85"/>
    <w:rsid w:val="00DE7582"/>
    <w:rsid w:val="00DE78A3"/>
    <w:rsid w:val="00DF0A6E"/>
    <w:rsid w:val="00DF1438"/>
    <w:rsid w:val="00DF1A71"/>
    <w:rsid w:val="00DF2DA1"/>
    <w:rsid w:val="00DF3176"/>
    <w:rsid w:val="00DF50FC"/>
    <w:rsid w:val="00DF5560"/>
    <w:rsid w:val="00DF5A06"/>
    <w:rsid w:val="00DF5F96"/>
    <w:rsid w:val="00DF6400"/>
    <w:rsid w:val="00DF68C7"/>
    <w:rsid w:val="00DF6EDD"/>
    <w:rsid w:val="00DF7073"/>
    <w:rsid w:val="00DF731A"/>
    <w:rsid w:val="00E0108E"/>
    <w:rsid w:val="00E03C74"/>
    <w:rsid w:val="00E04905"/>
    <w:rsid w:val="00E05E35"/>
    <w:rsid w:val="00E069F5"/>
    <w:rsid w:val="00E06B75"/>
    <w:rsid w:val="00E07EB8"/>
    <w:rsid w:val="00E11159"/>
    <w:rsid w:val="00E11332"/>
    <w:rsid w:val="00E11352"/>
    <w:rsid w:val="00E1230E"/>
    <w:rsid w:val="00E14698"/>
    <w:rsid w:val="00E1488B"/>
    <w:rsid w:val="00E15E84"/>
    <w:rsid w:val="00E16D88"/>
    <w:rsid w:val="00E170DC"/>
    <w:rsid w:val="00E171F4"/>
    <w:rsid w:val="00E17546"/>
    <w:rsid w:val="00E17CFE"/>
    <w:rsid w:val="00E210B5"/>
    <w:rsid w:val="00E24F66"/>
    <w:rsid w:val="00E2521A"/>
    <w:rsid w:val="00E261B3"/>
    <w:rsid w:val="00E26818"/>
    <w:rsid w:val="00E26929"/>
    <w:rsid w:val="00E26D99"/>
    <w:rsid w:val="00E27DFE"/>
    <w:rsid w:val="00E27FFC"/>
    <w:rsid w:val="00E30B15"/>
    <w:rsid w:val="00E31C69"/>
    <w:rsid w:val="00E33237"/>
    <w:rsid w:val="00E3355C"/>
    <w:rsid w:val="00E33894"/>
    <w:rsid w:val="00E34CA0"/>
    <w:rsid w:val="00E3504F"/>
    <w:rsid w:val="00E3575B"/>
    <w:rsid w:val="00E35F93"/>
    <w:rsid w:val="00E37A3A"/>
    <w:rsid w:val="00E40181"/>
    <w:rsid w:val="00E40FF5"/>
    <w:rsid w:val="00E4100C"/>
    <w:rsid w:val="00E4101D"/>
    <w:rsid w:val="00E414FB"/>
    <w:rsid w:val="00E41B38"/>
    <w:rsid w:val="00E4295D"/>
    <w:rsid w:val="00E42EA6"/>
    <w:rsid w:val="00E43D80"/>
    <w:rsid w:val="00E43D91"/>
    <w:rsid w:val="00E44890"/>
    <w:rsid w:val="00E45D73"/>
    <w:rsid w:val="00E473F6"/>
    <w:rsid w:val="00E474BA"/>
    <w:rsid w:val="00E474D8"/>
    <w:rsid w:val="00E47D0E"/>
    <w:rsid w:val="00E54950"/>
    <w:rsid w:val="00E55FB3"/>
    <w:rsid w:val="00E564C3"/>
    <w:rsid w:val="00E56A01"/>
    <w:rsid w:val="00E56C87"/>
    <w:rsid w:val="00E56DC7"/>
    <w:rsid w:val="00E570CD"/>
    <w:rsid w:val="00E57237"/>
    <w:rsid w:val="00E57BC8"/>
    <w:rsid w:val="00E60CAB"/>
    <w:rsid w:val="00E629A1"/>
    <w:rsid w:val="00E63486"/>
    <w:rsid w:val="00E64AA8"/>
    <w:rsid w:val="00E652CF"/>
    <w:rsid w:val="00E659F2"/>
    <w:rsid w:val="00E6794C"/>
    <w:rsid w:val="00E67BCA"/>
    <w:rsid w:val="00E700DD"/>
    <w:rsid w:val="00E71591"/>
    <w:rsid w:val="00E71C90"/>
    <w:rsid w:val="00E71CEB"/>
    <w:rsid w:val="00E727F1"/>
    <w:rsid w:val="00E7281D"/>
    <w:rsid w:val="00E72A71"/>
    <w:rsid w:val="00E7474F"/>
    <w:rsid w:val="00E763D7"/>
    <w:rsid w:val="00E7665A"/>
    <w:rsid w:val="00E807AE"/>
    <w:rsid w:val="00E80DE3"/>
    <w:rsid w:val="00E82C55"/>
    <w:rsid w:val="00E83FED"/>
    <w:rsid w:val="00E85EF3"/>
    <w:rsid w:val="00E8787E"/>
    <w:rsid w:val="00E87B55"/>
    <w:rsid w:val="00E9042A"/>
    <w:rsid w:val="00E90448"/>
    <w:rsid w:val="00E9087D"/>
    <w:rsid w:val="00E9229D"/>
    <w:rsid w:val="00E92919"/>
    <w:rsid w:val="00E92933"/>
    <w:rsid w:val="00E92AC3"/>
    <w:rsid w:val="00E92D82"/>
    <w:rsid w:val="00E95E6C"/>
    <w:rsid w:val="00E96EBB"/>
    <w:rsid w:val="00E9725E"/>
    <w:rsid w:val="00EA0CCA"/>
    <w:rsid w:val="00EA0DB9"/>
    <w:rsid w:val="00EA1678"/>
    <w:rsid w:val="00EA2F6A"/>
    <w:rsid w:val="00EA3065"/>
    <w:rsid w:val="00EA4FAB"/>
    <w:rsid w:val="00EA6BCA"/>
    <w:rsid w:val="00EB00E0"/>
    <w:rsid w:val="00EB04A9"/>
    <w:rsid w:val="00EB0531"/>
    <w:rsid w:val="00EB05D5"/>
    <w:rsid w:val="00EB0762"/>
    <w:rsid w:val="00EB1433"/>
    <w:rsid w:val="00EB4BC7"/>
    <w:rsid w:val="00EB56B9"/>
    <w:rsid w:val="00EB56E8"/>
    <w:rsid w:val="00EB614C"/>
    <w:rsid w:val="00EB6367"/>
    <w:rsid w:val="00EB6905"/>
    <w:rsid w:val="00EB7597"/>
    <w:rsid w:val="00EC00A7"/>
    <w:rsid w:val="00EC0182"/>
    <w:rsid w:val="00EC059F"/>
    <w:rsid w:val="00EC0D94"/>
    <w:rsid w:val="00EC13ED"/>
    <w:rsid w:val="00EC173E"/>
    <w:rsid w:val="00EC1F24"/>
    <w:rsid w:val="00EC1FFD"/>
    <w:rsid w:val="00EC22F6"/>
    <w:rsid w:val="00EC3A47"/>
    <w:rsid w:val="00EC3DB9"/>
    <w:rsid w:val="00EC41F2"/>
    <w:rsid w:val="00EC5748"/>
    <w:rsid w:val="00EC7A12"/>
    <w:rsid w:val="00ED0786"/>
    <w:rsid w:val="00ED2D27"/>
    <w:rsid w:val="00ED37E3"/>
    <w:rsid w:val="00ED3FC3"/>
    <w:rsid w:val="00ED4B09"/>
    <w:rsid w:val="00ED5B9B"/>
    <w:rsid w:val="00ED6BAD"/>
    <w:rsid w:val="00ED70FC"/>
    <w:rsid w:val="00ED7339"/>
    <w:rsid w:val="00ED7447"/>
    <w:rsid w:val="00ED7762"/>
    <w:rsid w:val="00ED7BA4"/>
    <w:rsid w:val="00ED7E51"/>
    <w:rsid w:val="00EE00D6"/>
    <w:rsid w:val="00EE11E7"/>
    <w:rsid w:val="00EE1488"/>
    <w:rsid w:val="00EE1AAC"/>
    <w:rsid w:val="00EE29AD"/>
    <w:rsid w:val="00EE2DA0"/>
    <w:rsid w:val="00EE3E24"/>
    <w:rsid w:val="00EE4BC7"/>
    <w:rsid w:val="00EE4D5D"/>
    <w:rsid w:val="00EE4D67"/>
    <w:rsid w:val="00EE5131"/>
    <w:rsid w:val="00EE5200"/>
    <w:rsid w:val="00EE5544"/>
    <w:rsid w:val="00EE60A4"/>
    <w:rsid w:val="00EE6991"/>
    <w:rsid w:val="00EE6C34"/>
    <w:rsid w:val="00EE6E06"/>
    <w:rsid w:val="00EE7175"/>
    <w:rsid w:val="00EE79B0"/>
    <w:rsid w:val="00EF0AA0"/>
    <w:rsid w:val="00EF0D01"/>
    <w:rsid w:val="00EF109B"/>
    <w:rsid w:val="00EF10B7"/>
    <w:rsid w:val="00EF201C"/>
    <w:rsid w:val="00EF2415"/>
    <w:rsid w:val="00EF2C72"/>
    <w:rsid w:val="00EF3533"/>
    <w:rsid w:val="00EF36AF"/>
    <w:rsid w:val="00EF55B9"/>
    <w:rsid w:val="00EF58B0"/>
    <w:rsid w:val="00EF59A3"/>
    <w:rsid w:val="00EF6675"/>
    <w:rsid w:val="00EF6CA3"/>
    <w:rsid w:val="00F0063D"/>
    <w:rsid w:val="00F00C99"/>
    <w:rsid w:val="00F00F9C"/>
    <w:rsid w:val="00F0169F"/>
    <w:rsid w:val="00F01E5F"/>
    <w:rsid w:val="00F024F3"/>
    <w:rsid w:val="00F026F2"/>
    <w:rsid w:val="00F02ABA"/>
    <w:rsid w:val="00F02FA0"/>
    <w:rsid w:val="00F03930"/>
    <w:rsid w:val="00F03AD7"/>
    <w:rsid w:val="00F0437A"/>
    <w:rsid w:val="00F05270"/>
    <w:rsid w:val="00F060D0"/>
    <w:rsid w:val="00F06DFD"/>
    <w:rsid w:val="00F0733B"/>
    <w:rsid w:val="00F07C5C"/>
    <w:rsid w:val="00F101B8"/>
    <w:rsid w:val="00F10392"/>
    <w:rsid w:val="00F11037"/>
    <w:rsid w:val="00F16525"/>
    <w:rsid w:val="00F16F1B"/>
    <w:rsid w:val="00F20415"/>
    <w:rsid w:val="00F250A9"/>
    <w:rsid w:val="00F25676"/>
    <w:rsid w:val="00F25D25"/>
    <w:rsid w:val="00F267AF"/>
    <w:rsid w:val="00F27F3B"/>
    <w:rsid w:val="00F30A6A"/>
    <w:rsid w:val="00F30FF4"/>
    <w:rsid w:val="00F3122E"/>
    <w:rsid w:val="00F32368"/>
    <w:rsid w:val="00F331AD"/>
    <w:rsid w:val="00F33E26"/>
    <w:rsid w:val="00F344DC"/>
    <w:rsid w:val="00F35287"/>
    <w:rsid w:val="00F358B7"/>
    <w:rsid w:val="00F401EA"/>
    <w:rsid w:val="00F40A70"/>
    <w:rsid w:val="00F413AF"/>
    <w:rsid w:val="00F43A37"/>
    <w:rsid w:val="00F44E04"/>
    <w:rsid w:val="00F45B2E"/>
    <w:rsid w:val="00F45DDD"/>
    <w:rsid w:val="00F4641B"/>
    <w:rsid w:val="00F467EB"/>
    <w:rsid w:val="00F46C59"/>
    <w:rsid w:val="00F46EB8"/>
    <w:rsid w:val="00F5048F"/>
    <w:rsid w:val="00F50CD1"/>
    <w:rsid w:val="00F511E4"/>
    <w:rsid w:val="00F51F1C"/>
    <w:rsid w:val="00F52D09"/>
    <w:rsid w:val="00F52E08"/>
    <w:rsid w:val="00F53A66"/>
    <w:rsid w:val="00F53B03"/>
    <w:rsid w:val="00F53D57"/>
    <w:rsid w:val="00F5462D"/>
    <w:rsid w:val="00F549CB"/>
    <w:rsid w:val="00F55177"/>
    <w:rsid w:val="00F5586A"/>
    <w:rsid w:val="00F558D9"/>
    <w:rsid w:val="00F55B21"/>
    <w:rsid w:val="00F5636C"/>
    <w:rsid w:val="00F5654D"/>
    <w:rsid w:val="00F56B28"/>
    <w:rsid w:val="00F56EF6"/>
    <w:rsid w:val="00F57F7D"/>
    <w:rsid w:val="00F60082"/>
    <w:rsid w:val="00F61A9F"/>
    <w:rsid w:val="00F61B5F"/>
    <w:rsid w:val="00F622BD"/>
    <w:rsid w:val="00F6253D"/>
    <w:rsid w:val="00F625A2"/>
    <w:rsid w:val="00F64696"/>
    <w:rsid w:val="00F6553A"/>
    <w:rsid w:val="00F65AA9"/>
    <w:rsid w:val="00F66A00"/>
    <w:rsid w:val="00F6768F"/>
    <w:rsid w:val="00F70F83"/>
    <w:rsid w:val="00F71A86"/>
    <w:rsid w:val="00F722B2"/>
    <w:rsid w:val="00F72C2C"/>
    <w:rsid w:val="00F72E33"/>
    <w:rsid w:val="00F741F2"/>
    <w:rsid w:val="00F75A86"/>
    <w:rsid w:val="00F76CAB"/>
    <w:rsid w:val="00F772C6"/>
    <w:rsid w:val="00F800AD"/>
    <w:rsid w:val="00F800C1"/>
    <w:rsid w:val="00F81105"/>
    <w:rsid w:val="00F811DD"/>
    <w:rsid w:val="00F815B5"/>
    <w:rsid w:val="00F81CC1"/>
    <w:rsid w:val="00F8468F"/>
    <w:rsid w:val="00F85195"/>
    <w:rsid w:val="00F855B9"/>
    <w:rsid w:val="00F85739"/>
    <w:rsid w:val="00F868E3"/>
    <w:rsid w:val="00F87CE1"/>
    <w:rsid w:val="00F9061D"/>
    <w:rsid w:val="00F929E4"/>
    <w:rsid w:val="00F938BA"/>
    <w:rsid w:val="00F93CB7"/>
    <w:rsid w:val="00F94270"/>
    <w:rsid w:val="00F95DA1"/>
    <w:rsid w:val="00F97919"/>
    <w:rsid w:val="00FA02F1"/>
    <w:rsid w:val="00FA2553"/>
    <w:rsid w:val="00FA2C46"/>
    <w:rsid w:val="00FA3193"/>
    <w:rsid w:val="00FA3525"/>
    <w:rsid w:val="00FA40AF"/>
    <w:rsid w:val="00FA5751"/>
    <w:rsid w:val="00FA5A53"/>
    <w:rsid w:val="00FA642F"/>
    <w:rsid w:val="00FA78F8"/>
    <w:rsid w:val="00FA7E4E"/>
    <w:rsid w:val="00FB0B40"/>
    <w:rsid w:val="00FB1283"/>
    <w:rsid w:val="00FB1F6E"/>
    <w:rsid w:val="00FB3A35"/>
    <w:rsid w:val="00FB3AD8"/>
    <w:rsid w:val="00FB3DCB"/>
    <w:rsid w:val="00FB4769"/>
    <w:rsid w:val="00FB4CDA"/>
    <w:rsid w:val="00FB6481"/>
    <w:rsid w:val="00FB6D36"/>
    <w:rsid w:val="00FB73D7"/>
    <w:rsid w:val="00FC0965"/>
    <w:rsid w:val="00FC09A0"/>
    <w:rsid w:val="00FC0F81"/>
    <w:rsid w:val="00FC1206"/>
    <w:rsid w:val="00FC15DC"/>
    <w:rsid w:val="00FC1739"/>
    <w:rsid w:val="00FC196B"/>
    <w:rsid w:val="00FC252F"/>
    <w:rsid w:val="00FC2C67"/>
    <w:rsid w:val="00FC395C"/>
    <w:rsid w:val="00FC5E85"/>
    <w:rsid w:val="00FC5E8E"/>
    <w:rsid w:val="00FC6ACF"/>
    <w:rsid w:val="00FD085D"/>
    <w:rsid w:val="00FD0EAE"/>
    <w:rsid w:val="00FD1652"/>
    <w:rsid w:val="00FD2E09"/>
    <w:rsid w:val="00FD3160"/>
    <w:rsid w:val="00FD3766"/>
    <w:rsid w:val="00FD3D05"/>
    <w:rsid w:val="00FD44C4"/>
    <w:rsid w:val="00FD47C4"/>
    <w:rsid w:val="00FD486C"/>
    <w:rsid w:val="00FD4917"/>
    <w:rsid w:val="00FD4F74"/>
    <w:rsid w:val="00FD657D"/>
    <w:rsid w:val="00FE041A"/>
    <w:rsid w:val="00FE0734"/>
    <w:rsid w:val="00FE0A0E"/>
    <w:rsid w:val="00FE21CA"/>
    <w:rsid w:val="00FE28D7"/>
    <w:rsid w:val="00FE2DCF"/>
    <w:rsid w:val="00FE3168"/>
    <w:rsid w:val="00FE3FA7"/>
    <w:rsid w:val="00FE4081"/>
    <w:rsid w:val="00FE4E15"/>
    <w:rsid w:val="00FE5CCD"/>
    <w:rsid w:val="00FE69F7"/>
    <w:rsid w:val="00FF0D52"/>
    <w:rsid w:val="00FF25B8"/>
    <w:rsid w:val="00FF2A4E"/>
    <w:rsid w:val="00FF2FCE"/>
    <w:rsid w:val="00FF37EB"/>
    <w:rsid w:val="00FF3A78"/>
    <w:rsid w:val="00FF427D"/>
    <w:rsid w:val="00FF43FC"/>
    <w:rsid w:val="00FF4F7D"/>
    <w:rsid w:val="00FF5E7C"/>
    <w:rsid w:val="00FF6178"/>
    <w:rsid w:val="00FF6D9D"/>
    <w:rsid w:val="00FF73A1"/>
    <w:rsid w:val="00FF7620"/>
    <w:rsid w:val="00FF7DD5"/>
    <w:rsid w:val="01AC60B7"/>
    <w:rsid w:val="01C80B85"/>
    <w:rsid w:val="02D8AF20"/>
    <w:rsid w:val="02FFB855"/>
    <w:rsid w:val="0396F17F"/>
    <w:rsid w:val="04EDA0EA"/>
    <w:rsid w:val="05E9318E"/>
    <w:rsid w:val="0664AA2D"/>
    <w:rsid w:val="070EED91"/>
    <w:rsid w:val="07F7A1FA"/>
    <w:rsid w:val="08C674D8"/>
    <w:rsid w:val="0924D858"/>
    <w:rsid w:val="09963CC7"/>
    <w:rsid w:val="09E53DED"/>
    <w:rsid w:val="0AA914EE"/>
    <w:rsid w:val="0B10DCE9"/>
    <w:rsid w:val="0B64FEF7"/>
    <w:rsid w:val="0B9388B6"/>
    <w:rsid w:val="0CA829E9"/>
    <w:rsid w:val="0DB3E417"/>
    <w:rsid w:val="13890B59"/>
    <w:rsid w:val="14B539C5"/>
    <w:rsid w:val="1562B28E"/>
    <w:rsid w:val="15D3F6BF"/>
    <w:rsid w:val="16BEE0C2"/>
    <w:rsid w:val="18064826"/>
    <w:rsid w:val="18CF61A0"/>
    <w:rsid w:val="19CBD830"/>
    <w:rsid w:val="1C11FBF1"/>
    <w:rsid w:val="1EA5ABF9"/>
    <w:rsid w:val="2083B29D"/>
    <w:rsid w:val="212286A5"/>
    <w:rsid w:val="21685FA9"/>
    <w:rsid w:val="2192C22C"/>
    <w:rsid w:val="227B68EE"/>
    <w:rsid w:val="230D7B24"/>
    <w:rsid w:val="2336C3D7"/>
    <w:rsid w:val="240650BA"/>
    <w:rsid w:val="251B313C"/>
    <w:rsid w:val="2730D77F"/>
    <w:rsid w:val="2795E04B"/>
    <w:rsid w:val="29564AEB"/>
    <w:rsid w:val="2A5008A6"/>
    <w:rsid w:val="2B430423"/>
    <w:rsid w:val="2D7F2EE1"/>
    <w:rsid w:val="2E3DD0D7"/>
    <w:rsid w:val="2E5A12D1"/>
    <w:rsid w:val="2ECCB35E"/>
    <w:rsid w:val="2ED10FE3"/>
    <w:rsid w:val="302F2DAA"/>
    <w:rsid w:val="309E4B20"/>
    <w:rsid w:val="3126DC35"/>
    <w:rsid w:val="3138D4CA"/>
    <w:rsid w:val="31D4320C"/>
    <w:rsid w:val="35770E74"/>
    <w:rsid w:val="35797ED5"/>
    <w:rsid w:val="36330EB4"/>
    <w:rsid w:val="3688F828"/>
    <w:rsid w:val="37BD386E"/>
    <w:rsid w:val="37DCE5A8"/>
    <w:rsid w:val="3840E7CD"/>
    <w:rsid w:val="38C5C565"/>
    <w:rsid w:val="39691B31"/>
    <w:rsid w:val="3B352F32"/>
    <w:rsid w:val="3BD5CDE7"/>
    <w:rsid w:val="3C7D4DD9"/>
    <w:rsid w:val="3CD86307"/>
    <w:rsid w:val="3E2FA120"/>
    <w:rsid w:val="3E5C607E"/>
    <w:rsid w:val="4200FDBA"/>
    <w:rsid w:val="4210AA29"/>
    <w:rsid w:val="422D84A1"/>
    <w:rsid w:val="42A30407"/>
    <w:rsid w:val="43BEFF1F"/>
    <w:rsid w:val="4412329B"/>
    <w:rsid w:val="46253B37"/>
    <w:rsid w:val="465357D0"/>
    <w:rsid w:val="4699153A"/>
    <w:rsid w:val="46AE28BC"/>
    <w:rsid w:val="46FD750D"/>
    <w:rsid w:val="473C84A5"/>
    <w:rsid w:val="476B98DB"/>
    <w:rsid w:val="47A62C73"/>
    <w:rsid w:val="4922156F"/>
    <w:rsid w:val="493A0EDC"/>
    <w:rsid w:val="4AB7FC39"/>
    <w:rsid w:val="4DB0C9CE"/>
    <w:rsid w:val="4E132AF9"/>
    <w:rsid w:val="4F8215C7"/>
    <w:rsid w:val="4F976964"/>
    <w:rsid w:val="5201EFCD"/>
    <w:rsid w:val="53DCFB1F"/>
    <w:rsid w:val="553CC93D"/>
    <w:rsid w:val="55AC811F"/>
    <w:rsid w:val="55E0B9D9"/>
    <w:rsid w:val="55E1CC23"/>
    <w:rsid w:val="55E7DFE9"/>
    <w:rsid w:val="569DD4D4"/>
    <w:rsid w:val="57CF6201"/>
    <w:rsid w:val="580BA578"/>
    <w:rsid w:val="596E20D2"/>
    <w:rsid w:val="59AF2D32"/>
    <w:rsid w:val="5B1D9F1A"/>
    <w:rsid w:val="5B7D9D66"/>
    <w:rsid w:val="5C60DFD8"/>
    <w:rsid w:val="602EF439"/>
    <w:rsid w:val="60395605"/>
    <w:rsid w:val="61E1C1E8"/>
    <w:rsid w:val="67F65084"/>
    <w:rsid w:val="68940703"/>
    <w:rsid w:val="6940CFDB"/>
    <w:rsid w:val="6A5D4B29"/>
    <w:rsid w:val="6BF1165B"/>
    <w:rsid w:val="6CEA76E4"/>
    <w:rsid w:val="6E21827E"/>
    <w:rsid w:val="6E5FC1DA"/>
    <w:rsid w:val="6F8D5CAB"/>
    <w:rsid w:val="6FBB06F4"/>
    <w:rsid w:val="70AD85A8"/>
    <w:rsid w:val="70B7B9BA"/>
    <w:rsid w:val="73355358"/>
    <w:rsid w:val="7343A748"/>
    <w:rsid w:val="735E7DC5"/>
    <w:rsid w:val="73648D82"/>
    <w:rsid w:val="73C119D1"/>
    <w:rsid w:val="74DD91D1"/>
    <w:rsid w:val="75CBFF33"/>
    <w:rsid w:val="75D72F3B"/>
    <w:rsid w:val="76871FF3"/>
    <w:rsid w:val="7751A6BC"/>
    <w:rsid w:val="77F5AECD"/>
    <w:rsid w:val="789655A8"/>
    <w:rsid w:val="7B299C0F"/>
    <w:rsid w:val="7C02402B"/>
    <w:rsid w:val="7C66F778"/>
    <w:rsid w:val="7CEAB78C"/>
    <w:rsid w:val="7D113FA3"/>
    <w:rsid w:val="7D332E51"/>
    <w:rsid w:val="7D700300"/>
    <w:rsid w:val="7D7F23F7"/>
    <w:rsid w:val="7E44ADE3"/>
    <w:rsid w:val="7EF0390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8B251BF"/>
  <w15:docId w15:val="{0CBCB992-3CFB-4996-9E86-4A3C34872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98" w:unhideWhenUsed="1"/>
    <w:lsdException w:name="footer" w:semiHidden="1" w:uiPriority="9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55056"/>
    <w:rPr>
      <w:rFonts w:ascii="Cambria" w:hAnsi="Cambria"/>
      <w:lang w:eastAsia="en-US"/>
    </w:rPr>
  </w:style>
  <w:style w:type="paragraph" w:styleId="Heading1">
    <w:name w:val="heading 1"/>
    <w:next w:val="Body"/>
    <w:link w:val="Heading1Char"/>
    <w:uiPriority w:val="1"/>
    <w:qFormat/>
    <w:rsid w:val="00CC3BB0"/>
    <w:pPr>
      <w:keepNext/>
      <w:keepLines/>
      <w:spacing w:before="520" w:after="240" w:line="480" w:lineRule="atLeast"/>
      <w:outlineLvl w:val="0"/>
    </w:pPr>
    <w:rPr>
      <w:rFonts w:ascii="Arial" w:eastAsia="MS Gothic" w:hAnsi="Arial" w:cs="Arial"/>
      <w:bCs/>
      <w:color w:val="201547"/>
      <w:kern w:val="32"/>
      <w:sz w:val="44"/>
      <w:szCs w:val="44"/>
      <w:lang w:eastAsia="en-US"/>
    </w:rPr>
  </w:style>
  <w:style w:type="paragraph" w:styleId="Heading2">
    <w:name w:val="heading 2"/>
    <w:next w:val="Body"/>
    <w:link w:val="Heading2Char"/>
    <w:uiPriority w:val="1"/>
    <w:qFormat/>
    <w:rsid w:val="00030CDD"/>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030CDD"/>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030CDD"/>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454A7D"/>
    <w:pPr>
      <w:keepNext/>
      <w:keepLines/>
      <w:spacing w:before="240"/>
      <w:outlineLvl w:val="4"/>
    </w:pPr>
    <w:rPr>
      <w:rFonts w:eastAsia="MS Mincho"/>
      <w:b/>
      <w:bCs/>
      <w:iCs/>
      <w:color w:val="000000" w:themeColor="text1"/>
      <w:szCs w:val="26"/>
    </w:rPr>
  </w:style>
  <w:style w:type="paragraph" w:styleId="Heading6">
    <w:name w:val="heading 6"/>
    <w:basedOn w:val="Normal"/>
    <w:next w:val="Normal"/>
    <w:link w:val="Heading6Char"/>
    <w:uiPriority w:val="9"/>
    <w:semiHidden/>
    <w:unhideWhenUsed/>
    <w:qFormat/>
    <w:rsid w:val="0000567A"/>
    <w:pPr>
      <w:keepNext/>
      <w:keepLines/>
      <w:spacing w:before="200"/>
      <w:ind w:left="1152" w:hanging="1152"/>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0567A"/>
    <w:pPr>
      <w:keepNext/>
      <w:keepLines/>
      <w:spacing w:before="200"/>
      <w:ind w:left="1296" w:hanging="1296"/>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0567A"/>
    <w:pPr>
      <w:keepNext/>
      <w:keepLines/>
      <w:spacing w:before="200"/>
      <w:ind w:left="1440" w:hanging="144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00567A"/>
    <w:pPr>
      <w:keepNext/>
      <w:keepLines/>
      <w:spacing w:before="200"/>
      <w:ind w:left="1584" w:hanging="1584"/>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CC3BB0"/>
    <w:rPr>
      <w:rFonts w:ascii="Arial" w:eastAsia="MS Gothic" w:hAnsi="Arial" w:cs="Arial"/>
      <w:bCs/>
      <w:color w:val="201547"/>
      <w:kern w:val="32"/>
      <w:sz w:val="44"/>
      <w:szCs w:val="44"/>
      <w:lang w:eastAsia="en-US"/>
    </w:rPr>
  </w:style>
  <w:style w:type="character" w:customStyle="1" w:styleId="Heading2Char">
    <w:name w:val="Heading 2 Char"/>
    <w:link w:val="Heading2"/>
    <w:uiPriority w:val="1"/>
    <w:rsid w:val="00030CDD"/>
    <w:rPr>
      <w:rFonts w:ascii="Arial" w:hAnsi="Arial"/>
      <w:b/>
      <w:color w:val="53565A"/>
      <w:sz w:val="32"/>
      <w:szCs w:val="28"/>
      <w:lang w:eastAsia="en-US"/>
    </w:rPr>
  </w:style>
  <w:style w:type="character" w:customStyle="1" w:styleId="Heading3Char">
    <w:name w:val="Heading 3 Char"/>
    <w:link w:val="Heading3"/>
    <w:uiPriority w:val="1"/>
    <w:rsid w:val="00030CDD"/>
    <w:rPr>
      <w:rFonts w:ascii="Arial" w:eastAsia="MS Gothic" w:hAnsi="Arial"/>
      <w:bCs/>
      <w:color w:val="53565A"/>
      <w:sz w:val="30"/>
      <w:szCs w:val="26"/>
      <w:lang w:eastAsia="en-US"/>
    </w:rPr>
  </w:style>
  <w:style w:type="character" w:customStyle="1" w:styleId="Heading4Char">
    <w:name w:val="Heading 4 Char"/>
    <w:link w:val="Heading4"/>
    <w:uiPriority w:val="1"/>
    <w:rsid w:val="00030CDD"/>
    <w:rPr>
      <w:rFonts w:ascii="Arial" w:eastAsia="MS Mincho" w:hAnsi="Arial"/>
      <w:b/>
      <w:bCs/>
      <w:color w:val="53565A"/>
      <w:sz w:val="24"/>
      <w:szCs w:val="22"/>
      <w:lang w:eastAsia="en-US"/>
    </w:rPr>
  </w:style>
  <w:style w:type="paragraph" w:styleId="Header">
    <w:name w:val="header"/>
    <w:uiPriority w:val="98"/>
    <w:rsid w:val="00454A7D"/>
    <w:pPr>
      <w:spacing w:after="300"/>
    </w:pPr>
    <w:rPr>
      <w:rFonts w:ascii="Arial" w:hAnsi="Arial" w:cs="Arial"/>
      <w:b/>
      <w:color w:val="53565A"/>
      <w:sz w:val="18"/>
      <w:szCs w:val="18"/>
      <w:lang w:eastAsia="en-US"/>
    </w:rPr>
  </w:style>
  <w:style w:type="paragraph" w:styleId="Footer">
    <w:name w:val="footer"/>
    <w:uiPriority w:val="98"/>
    <w:rsid w:val="00A13B7A"/>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35"/>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
    <w:rsid w:val="00454A7D"/>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semiHidden/>
    <w:rsid w:val="0021053D"/>
    <w:pPr>
      <w:ind w:left="1000"/>
    </w:pPr>
  </w:style>
  <w:style w:type="paragraph" w:styleId="TOC7">
    <w:name w:val="toc 7"/>
    <w:basedOn w:val="Normal"/>
    <w:next w:val="Normal"/>
    <w:autoRedefine/>
    <w:semiHidden/>
    <w:rsid w:val="0021053D"/>
    <w:pPr>
      <w:ind w:left="1200"/>
    </w:pPr>
  </w:style>
  <w:style w:type="paragraph" w:styleId="TOC8">
    <w:name w:val="toc 8"/>
    <w:basedOn w:val="Normal"/>
    <w:next w:val="Normal"/>
    <w:autoRedefine/>
    <w:semiHidden/>
    <w:rsid w:val="0021053D"/>
    <w:pPr>
      <w:ind w:left="1400"/>
    </w:pPr>
  </w:style>
  <w:style w:type="paragraph" w:styleId="TOC9">
    <w:name w:val="toc 9"/>
    <w:basedOn w:val="Normal"/>
    <w:next w:val="Normal"/>
    <w:autoRedefine/>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C3BB0"/>
    <w:pPr>
      <w:spacing w:after="240" w:line="560" w:lineRule="atLeast"/>
    </w:pPr>
    <w:rPr>
      <w:rFonts w:ascii="Arial" w:hAnsi="Arial"/>
      <w:b/>
      <w:color w:val="201547"/>
      <w:sz w:val="48"/>
      <w:szCs w:val="50"/>
      <w:lang w:eastAsia="en-US"/>
    </w:rPr>
  </w:style>
  <w:style w:type="character" w:styleId="FootnoteReference">
    <w:name w:val="footnote reference"/>
    <w:uiPriority w:val="99"/>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35"/>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3"/>
      </w:numPr>
    </w:pPr>
  </w:style>
  <w:style w:type="numbering" w:customStyle="1" w:styleId="ZZTablebullets">
    <w:name w:val="ZZ Table bullets"/>
    <w:basedOn w:val="NoList"/>
    <w:rsid w:val="00C60411"/>
    <w:pPr>
      <w:numPr>
        <w:numId w:val="3"/>
      </w:numPr>
    </w:pPr>
  </w:style>
  <w:style w:type="paragraph" w:customStyle="1" w:styleId="Tablecolhead">
    <w:name w:val="Table col head"/>
    <w:uiPriority w:val="3"/>
    <w:qFormat/>
    <w:rsid w:val="00030CD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C60411"/>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uiPriority w:val="99"/>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99"/>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style>
  <w:style w:type="numbering" w:customStyle="1" w:styleId="ZZNumbersdigit">
    <w:name w:val="ZZ Numbers digit"/>
    <w:rsid w:val="00C60411"/>
    <w:pPr>
      <w:numPr>
        <w:numId w:val="1"/>
      </w:numPr>
    </w:pPr>
  </w:style>
  <w:style w:type="numbering" w:customStyle="1" w:styleId="ZZQuotebullets">
    <w:name w:val="ZZ Quote bullets"/>
    <w:basedOn w:val="ZZNumbersdigit"/>
    <w:rsid w:val="00C60411"/>
    <w:pPr>
      <w:numPr>
        <w:numId w:val="4"/>
      </w:numPr>
    </w:pPr>
  </w:style>
  <w:style w:type="paragraph" w:customStyle="1" w:styleId="Numberdigit">
    <w:name w:val="Number digit"/>
    <w:basedOn w:val="Body"/>
    <w:uiPriority w:val="2"/>
    <w:rsid w:val="00C60411"/>
    <w:pPr>
      <w:numPr>
        <w:numId w:val="1"/>
      </w:numPr>
    </w:pPr>
  </w:style>
  <w:style w:type="paragraph" w:customStyle="1" w:styleId="Numberloweralphaindent">
    <w:name w:val="Number lower alpha indent"/>
    <w:basedOn w:val="Body"/>
    <w:uiPriority w:val="3"/>
    <w:rsid w:val="00C60411"/>
    <w:pPr>
      <w:numPr>
        <w:ilvl w:val="1"/>
        <w:numId w:val="6"/>
      </w:numPr>
    </w:pPr>
  </w:style>
  <w:style w:type="paragraph" w:customStyle="1" w:styleId="Numberdigitindent">
    <w:name w:val="Number digit indent"/>
    <w:basedOn w:val="Numberloweralphaindent"/>
    <w:uiPriority w:val="3"/>
    <w:rsid w:val="00C60411"/>
    <w:pPr>
      <w:numPr>
        <w:numId w:val="1"/>
      </w:numPr>
    </w:pPr>
  </w:style>
  <w:style w:type="paragraph" w:customStyle="1" w:styleId="Numberloweralpha">
    <w:name w:val="Number lower alpha"/>
    <w:basedOn w:val="Body"/>
    <w:uiPriority w:val="3"/>
    <w:rsid w:val="00C60411"/>
    <w:pPr>
      <w:numPr>
        <w:numId w:val="6"/>
      </w:numPr>
    </w:pPr>
  </w:style>
  <w:style w:type="paragraph" w:customStyle="1" w:styleId="Numberlowerroman">
    <w:name w:val="Number lower roman"/>
    <w:basedOn w:val="Body"/>
    <w:uiPriority w:val="3"/>
    <w:rsid w:val="00C60411"/>
    <w:pPr>
      <w:numPr>
        <w:numId w:val="5"/>
      </w:numPr>
    </w:pPr>
  </w:style>
  <w:style w:type="paragraph" w:customStyle="1" w:styleId="Numberlowerromanindent">
    <w:name w:val="Number lower roman indent"/>
    <w:basedOn w:val="Body"/>
    <w:uiPriority w:val="3"/>
    <w:rsid w:val="00C60411"/>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1"/>
      </w:numPr>
    </w:pPr>
  </w:style>
  <w:style w:type="numbering" w:customStyle="1" w:styleId="ZZNumberslowerroman">
    <w:name w:val="ZZ Numbers lower roman"/>
    <w:basedOn w:val="ZZQuotebullets"/>
    <w:rsid w:val="00C60411"/>
    <w:pPr>
      <w:numPr>
        <w:numId w:val="5"/>
      </w:numPr>
    </w:pPr>
  </w:style>
  <w:style w:type="numbering" w:customStyle="1" w:styleId="ZZNumbersloweralpha">
    <w:name w:val="ZZ Numbers lower alpha"/>
    <w:basedOn w:val="NoList"/>
    <w:rsid w:val="00C60411"/>
    <w:pPr>
      <w:numPr>
        <w:numId w:val="6"/>
      </w:numPr>
    </w:pPr>
  </w:style>
  <w:style w:type="paragraph" w:customStyle="1" w:styleId="Quotebullet1">
    <w:name w:val="Quote bullet 1"/>
    <w:basedOn w:val="Quotetext"/>
    <w:rsid w:val="00C60411"/>
    <w:pPr>
      <w:numPr>
        <w:numId w:val="4"/>
      </w:numPr>
    </w:pPr>
  </w:style>
  <w:style w:type="paragraph" w:customStyle="1" w:styleId="Quotebullet2">
    <w:name w:val="Quote bullet 2"/>
    <w:basedOn w:val="Quotetext"/>
    <w:rsid w:val="00C60411"/>
    <w:pPr>
      <w:numPr>
        <w:ilvl w:val="1"/>
        <w:numId w:val="4"/>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Introtext">
    <w:name w:val="Intro text"/>
    <w:basedOn w:val="Body"/>
    <w:uiPriority w:val="11"/>
    <w:rsid w:val="00BD6B9D"/>
    <w:pPr>
      <w:spacing w:line="320" w:lineRule="atLeast"/>
    </w:pPr>
    <w:rPr>
      <w:color w:val="201547"/>
      <w:sz w:val="24"/>
    </w:rPr>
  </w:style>
  <w:style w:type="character" w:customStyle="1" w:styleId="Heading6Char">
    <w:name w:val="Heading 6 Char"/>
    <w:basedOn w:val="DefaultParagraphFont"/>
    <w:link w:val="Heading6"/>
    <w:uiPriority w:val="9"/>
    <w:semiHidden/>
    <w:rsid w:val="0000567A"/>
    <w:rPr>
      <w:rFonts w:asciiTheme="majorHAnsi" w:eastAsiaTheme="majorEastAsia" w:hAnsiTheme="majorHAnsi" w:cstheme="majorBidi"/>
      <w:i/>
      <w:iCs/>
      <w:color w:val="243F60" w:themeColor="accent1" w:themeShade="7F"/>
      <w:lang w:eastAsia="en-US"/>
    </w:rPr>
  </w:style>
  <w:style w:type="character" w:customStyle="1" w:styleId="Heading7Char">
    <w:name w:val="Heading 7 Char"/>
    <w:basedOn w:val="DefaultParagraphFont"/>
    <w:link w:val="Heading7"/>
    <w:uiPriority w:val="9"/>
    <w:semiHidden/>
    <w:rsid w:val="0000567A"/>
    <w:rPr>
      <w:rFonts w:asciiTheme="majorHAnsi" w:eastAsiaTheme="majorEastAsia" w:hAnsiTheme="majorHAnsi" w:cstheme="majorBidi"/>
      <w:i/>
      <w:iCs/>
      <w:color w:val="404040" w:themeColor="text1" w:themeTint="BF"/>
      <w:lang w:eastAsia="en-US"/>
    </w:rPr>
  </w:style>
  <w:style w:type="character" w:customStyle="1" w:styleId="Heading8Char">
    <w:name w:val="Heading 8 Char"/>
    <w:basedOn w:val="DefaultParagraphFont"/>
    <w:link w:val="Heading8"/>
    <w:uiPriority w:val="9"/>
    <w:semiHidden/>
    <w:rsid w:val="0000567A"/>
    <w:rPr>
      <w:rFonts w:asciiTheme="majorHAnsi" w:eastAsiaTheme="majorEastAsia" w:hAnsiTheme="majorHAnsi" w:cstheme="majorBidi"/>
      <w:color w:val="404040" w:themeColor="text1" w:themeTint="BF"/>
      <w:lang w:eastAsia="en-US"/>
    </w:rPr>
  </w:style>
  <w:style w:type="character" w:customStyle="1" w:styleId="Heading9Char">
    <w:name w:val="Heading 9 Char"/>
    <w:basedOn w:val="DefaultParagraphFont"/>
    <w:link w:val="Heading9"/>
    <w:uiPriority w:val="9"/>
    <w:semiHidden/>
    <w:rsid w:val="0000567A"/>
    <w:rPr>
      <w:rFonts w:asciiTheme="majorHAnsi" w:eastAsiaTheme="majorEastAsia" w:hAnsiTheme="majorHAnsi" w:cstheme="majorBidi"/>
      <w:i/>
      <w:iCs/>
      <w:color w:val="404040" w:themeColor="text1" w:themeTint="BF"/>
      <w:lang w:eastAsia="en-US"/>
    </w:rPr>
  </w:style>
  <w:style w:type="paragraph" w:customStyle="1" w:styleId="DHHStabletext6pt">
    <w:name w:val="DHHS table text + 6pt"/>
    <w:basedOn w:val="DHHStabletext"/>
    <w:rsid w:val="0000567A"/>
    <w:pPr>
      <w:spacing w:after="120"/>
    </w:pPr>
  </w:style>
  <w:style w:type="paragraph" w:customStyle="1" w:styleId="DHHSreportsubtitle">
    <w:name w:val="DHHS report subtitle"/>
    <w:basedOn w:val="Normal"/>
    <w:uiPriority w:val="4"/>
    <w:rsid w:val="0000567A"/>
    <w:pPr>
      <w:spacing w:after="120" w:line="380" w:lineRule="atLeast"/>
    </w:pPr>
    <w:rPr>
      <w:rFonts w:ascii="Arial" w:hAnsi="Arial"/>
      <w:color w:val="000000"/>
      <w:sz w:val="30"/>
      <w:szCs w:val="30"/>
    </w:rPr>
  </w:style>
  <w:style w:type="paragraph" w:customStyle="1" w:styleId="DHHSreportmaintitle">
    <w:name w:val="DHHS report main title"/>
    <w:uiPriority w:val="4"/>
    <w:rsid w:val="0000567A"/>
    <w:pPr>
      <w:keepLines/>
      <w:spacing w:after="240" w:line="580" w:lineRule="atLeast"/>
    </w:pPr>
    <w:rPr>
      <w:rFonts w:ascii="Arial" w:hAnsi="Arial"/>
      <w:color w:val="004EA8"/>
      <w:sz w:val="50"/>
      <w:szCs w:val="24"/>
      <w:lang w:eastAsia="en-US"/>
    </w:rPr>
  </w:style>
  <w:style w:type="paragraph" w:customStyle="1" w:styleId="DHHSreportmaintitlewhite">
    <w:name w:val="DHHS report main title white"/>
    <w:uiPriority w:val="4"/>
    <w:rsid w:val="0000567A"/>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00567A"/>
    <w:pPr>
      <w:spacing w:after="120" w:line="380" w:lineRule="atLeast"/>
    </w:pPr>
    <w:rPr>
      <w:rFonts w:ascii="Arial" w:hAnsi="Arial"/>
      <w:bCs/>
      <w:color w:val="FFFFFF"/>
      <w:sz w:val="30"/>
      <w:szCs w:val="30"/>
      <w:lang w:eastAsia="en-US"/>
    </w:rPr>
  </w:style>
  <w:style w:type="paragraph" w:customStyle="1" w:styleId="Coverinstructions">
    <w:name w:val="Cover instructions"/>
    <w:rsid w:val="0000567A"/>
    <w:pPr>
      <w:spacing w:after="200" w:line="320" w:lineRule="atLeast"/>
    </w:pPr>
    <w:rPr>
      <w:rFonts w:ascii="Arial" w:hAnsi="Arial"/>
      <w:color w:val="FFFFFF"/>
      <w:sz w:val="24"/>
      <w:lang w:eastAsia="en-US"/>
    </w:rPr>
  </w:style>
  <w:style w:type="paragraph" w:customStyle="1" w:styleId="DHHSbody">
    <w:name w:val="DHHS body"/>
    <w:qFormat/>
    <w:rsid w:val="0000567A"/>
    <w:pPr>
      <w:spacing w:after="120" w:line="270" w:lineRule="atLeast"/>
    </w:pPr>
    <w:rPr>
      <w:rFonts w:ascii="Arial" w:eastAsia="Times" w:hAnsi="Arial"/>
      <w:lang w:eastAsia="en-US"/>
    </w:rPr>
  </w:style>
  <w:style w:type="paragraph" w:customStyle="1" w:styleId="DHHSbullet1">
    <w:name w:val="DHHS bullet 1"/>
    <w:basedOn w:val="DHHSbody"/>
    <w:qFormat/>
    <w:rsid w:val="0000567A"/>
    <w:pPr>
      <w:spacing w:after="40"/>
      <w:ind w:left="284" w:hanging="284"/>
    </w:pPr>
  </w:style>
  <w:style w:type="paragraph" w:customStyle="1" w:styleId="DHHSnumberloweralpha">
    <w:name w:val="DHHS number lower alpha"/>
    <w:basedOn w:val="DHHSbody"/>
    <w:uiPriority w:val="3"/>
    <w:rsid w:val="0000567A"/>
    <w:pPr>
      <w:numPr>
        <w:ilvl w:val="2"/>
        <w:numId w:val="7"/>
      </w:numPr>
    </w:pPr>
  </w:style>
  <w:style w:type="paragraph" w:customStyle="1" w:styleId="DHHSnumberloweralphaindent">
    <w:name w:val="DHHS number lower alpha indent"/>
    <w:basedOn w:val="DHHSbody"/>
    <w:uiPriority w:val="3"/>
    <w:rsid w:val="0000567A"/>
    <w:pPr>
      <w:numPr>
        <w:ilvl w:val="3"/>
        <w:numId w:val="7"/>
      </w:numPr>
    </w:pPr>
  </w:style>
  <w:style w:type="paragraph" w:customStyle="1" w:styleId="DHHStablefigurenote">
    <w:name w:val="DHHS table/figure note"/>
    <w:uiPriority w:val="4"/>
    <w:rsid w:val="0000567A"/>
    <w:pPr>
      <w:spacing w:before="60" w:after="60" w:line="240" w:lineRule="exact"/>
    </w:pPr>
    <w:rPr>
      <w:rFonts w:ascii="Arial" w:hAnsi="Arial"/>
      <w:i/>
      <w:sz w:val="18"/>
      <w:lang w:eastAsia="en-US"/>
    </w:rPr>
  </w:style>
  <w:style w:type="paragraph" w:customStyle="1" w:styleId="DHHStabletext">
    <w:name w:val="DHHS table text"/>
    <w:uiPriority w:val="3"/>
    <w:qFormat/>
    <w:rsid w:val="0000567A"/>
    <w:pPr>
      <w:spacing w:before="80" w:after="60"/>
    </w:pPr>
    <w:rPr>
      <w:rFonts w:ascii="Arial" w:hAnsi="Arial"/>
      <w:lang w:eastAsia="en-US"/>
    </w:rPr>
  </w:style>
  <w:style w:type="paragraph" w:customStyle="1" w:styleId="DHHStablecaption">
    <w:name w:val="DHHS table caption"/>
    <w:next w:val="DHHSbody"/>
    <w:uiPriority w:val="3"/>
    <w:qFormat/>
    <w:rsid w:val="0000567A"/>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00567A"/>
    <w:pPr>
      <w:keepNext/>
      <w:keepLines/>
      <w:spacing w:before="240" w:after="120"/>
    </w:pPr>
    <w:rPr>
      <w:rFonts w:ascii="Arial" w:hAnsi="Arial"/>
      <w:b/>
      <w:lang w:eastAsia="en-US"/>
    </w:rPr>
  </w:style>
  <w:style w:type="paragraph" w:customStyle="1" w:styleId="DHHSfooter">
    <w:name w:val="DHHS footer"/>
    <w:uiPriority w:val="11"/>
    <w:rsid w:val="0000567A"/>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00567A"/>
    <w:pPr>
      <w:spacing w:after="40"/>
      <w:ind w:left="567" w:hanging="283"/>
    </w:pPr>
  </w:style>
  <w:style w:type="paragraph" w:customStyle="1" w:styleId="DHHSheader">
    <w:name w:val="DHHS header"/>
    <w:basedOn w:val="DHHSfooter"/>
    <w:uiPriority w:val="11"/>
    <w:rsid w:val="0000567A"/>
  </w:style>
  <w:style w:type="paragraph" w:customStyle="1" w:styleId="DHHSnumberdigit">
    <w:name w:val="DHHS number digit"/>
    <w:basedOn w:val="DHHSbody"/>
    <w:uiPriority w:val="2"/>
    <w:rsid w:val="0000567A"/>
    <w:pPr>
      <w:numPr>
        <w:numId w:val="7"/>
      </w:numPr>
    </w:pPr>
  </w:style>
  <w:style w:type="paragraph" w:customStyle="1" w:styleId="DHHStablecolhead">
    <w:name w:val="DHHS table col head"/>
    <w:uiPriority w:val="3"/>
    <w:qFormat/>
    <w:rsid w:val="0000567A"/>
    <w:pPr>
      <w:spacing w:before="80" w:after="60"/>
    </w:pPr>
    <w:rPr>
      <w:rFonts w:ascii="Arial" w:hAnsi="Arial"/>
      <w:b/>
      <w:color w:val="004EA8"/>
      <w:lang w:eastAsia="en-US"/>
    </w:rPr>
  </w:style>
  <w:style w:type="paragraph" w:customStyle="1" w:styleId="DHHSbodyaftertablefigure">
    <w:name w:val="DHHS body after table/figure"/>
    <w:basedOn w:val="DHHSbody"/>
    <w:next w:val="DHHSbody"/>
    <w:rsid w:val="0000567A"/>
    <w:pPr>
      <w:spacing w:before="240"/>
    </w:pPr>
  </w:style>
  <w:style w:type="paragraph" w:customStyle="1" w:styleId="DHHSbullet1lastline">
    <w:name w:val="DHHS bullet 1 last line"/>
    <w:basedOn w:val="DHHSbullet1"/>
    <w:qFormat/>
    <w:rsid w:val="0000567A"/>
    <w:pPr>
      <w:spacing w:after="120"/>
    </w:pPr>
  </w:style>
  <w:style w:type="paragraph" w:customStyle="1" w:styleId="DHHSbullet2lastline">
    <w:name w:val="DHHS bullet 2 last line"/>
    <w:basedOn w:val="DHHSbullet2"/>
    <w:uiPriority w:val="2"/>
    <w:qFormat/>
    <w:rsid w:val="0000567A"/>
    <w:pPr>
      <w:spacing w:after="120"/>
    </w:pPr>
  </w:style>
  <w:style w:type="paragraph" w:customStyle="1" w:styleId="DHHStablebullet">
    <w:name w:val="DHHS table bullet"/>
    <w:basedOn w:val="DHHStabletext"/>
    <w:uiPriority w:val="3"/>
    <w:qFormat/>
    <w:rsid w:val="0000567A"/>
    <w:pPr>
      <w:ind w:left="227" w:hanging="227"/>
    </w:pPr>
  </w:style>
  <w:style w:type="paragraph" w:customStyle="1" w:styleId="DHHSTOCheadingreport">
    <w:name w:val="DHHS TOC heading report"/>
    <w:basedOn w:val="Heading1"/>
    <w:link w:val="DHHSTOCheadingreportChar"/>
    <w:uiPriority w:val="5"/>
    <w:rsid w:val="0000567A"/>
    <w:pPr>
      <w:spacing w:before="0" w:after="440" w:line="440" w:lineRule="atLeast"/>
      <w:ind w:left="2559" w:hanging="432"/>
      <w:outlineLvl w:val="9"/>
    </w:pPr>
    <w:rPr>
      <w:rFonts w:eastAsia="Times New Roman" w:cs="Times New Roman"/>
      <w:color w:val="004EA8"/>
      <w:kern w:val="0"/>
    </w:rPr>
  </w:style>
  <w:style w:type="character" w:customStyle="1" w:styleId="DHHSTOCheadingreportChar">
    <w:name w:val="DHHS TOC heading report Char"/>
    <w:link w:val="DHHSTOCheadingreport"/>
    <w:uiPriority w:val="5"/>
    <w:rsid w:val="0000567A"/>
    <w:rPr>
      <w:rFonts w:ascii="Arial" w:hAnsi="Arial"/>
      <w:bCs/>
      <w:color w:val="004EA8"/>
      <w:sz w:val="44"/>
      <w:szCs w:val="44"/>
      <w:lang w:eastAsia="en-US"/>
    </w:rPr>
  </w:style>
  <w:style w:type="paragraph" w:customStyle="1" w:styleId="DHHSaccessibilitypara">
    <w:name w:val="DHHS accessibility para"/>
    <w:uiPriority w:val="8"/>
    <w:rsid w:val="0000567A"/>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00567A"/>
    <w:pPr>
      <w:spacing w:after="0"/>
    </w:pPr>
  </w:style>
  <w:style w:type="paragraph" w:customStyle="1" w:styleId="DHHSquote">
    <w:name w:val="DHHS quote"/>
    <w:basedOn w:val="DHHSbody"/>
    <w:uiPriority w:val="4"/>
    <w:rsid w:val="0000567A"/>
    <w:pPr>
      <w:ind w:left="397"/>
    </w:pPr>
    <w:rPr>
      <w:szCs w:val="18"/>
    </w:rPr>
  </w:style>
  <w:style w:type="paragraph" w:customStyle="1" w:styleId="DHHSbulletindent">
    <w:name w:val="DHHS bullet indent"/>
    <w:basedOn w:val="DHHSbody"/>
    <w:uiPriority w:val="4"/>
    <w:rsid w:val="0000567A"/>
    <w:pPr>
      <w:spacing w:after="40"/>
      <w:ind w:left="680" w:hanging="283"/>
    </w:pPr>
  </w:style>
  <w:style w:type="paragraph" w:customStyle="1" w:styleId="DHHSbulletindentlastline">
    <w:name w:val="DHHS bullet indent last line"/>
    <w:basedOn w:val="DHHSbody"/>
    <w:uiPriority w:val="4"/>
    <w:rsid w:val="0000567A"/>
    <w:pPr>
      <w:ind w:left="680" w:hanging="283"/>
    </w:pPr>
  </w:style>
  <w:style w:type="numbering" w:customStyle="1" w:styleId="ZZNumbers">
    <w:name w:val="ZZ Numbers"/>
    <w:rsid w:val="0000567A"/>
    <w:pPr>
      <w:numPr>
        <w:numId w:val="2"/>
      </w:numPr>
    </w:pPr>
  </w:style>
  <w:style w:type="paragraph" w:customStyle="1" w:styleId="DHHSnumberlowerroman">
    <w:name w:val="DHHS number lower roman"/>
    <w:basedOn w:val="DHHSbody"/>
    <w:uiPriority w:val="3"/>
    <w:rsid w:val="0000567A"/>
    <w:pPr>
      <w:numPr>
        <w:ilvl w:val="4"/>
        <w:numId w:val="7"/>
      </w:numPr>
    </w:pPr>
  </w:style>
  <w:style w:type="paragraph" w:customStyle="1" w:styleId="DHHSnumberlowerromanindent">
    <w:name w:val="DHHS number lower roman indent"/>
    <w:basedOn w:val="DHHSbody"/>
    <w:uiPriority w:val="3"/>
    <w:rsid w:val="0000567A"/>
    <w:pPr>
      <w:numPr>
        <w:ilvl w:val="5"/>
        <w:numId w:val="7"/>
      </w:numPr>
    </w:pPr>
  </w:style>
  <w:style w:type="paragraph" w:customStyle="1" w:styleId="DHHSnumberdigitindent">
    <w:name w:val="DHHS number digit indent"/>
    <w:basedOn w:val="DHHSnumberloweralphaindent"/>
    <w:uiPriority w:val="3"/>
    <w:rsid w:val="0000567A"/>
    <w:pPr>
      <w:numPr>
        <w:ilvl w:val="1"/>
      </w:numPr>
    </w:pPr>
  </w:style>
  <w:style w:type="paragraph" w:customStyle="1" w:styleId="DHHSNumberText">
    <w:name w:val="DHHS Number Text"/>
    <w:basedOn w:val="Normal"/>
    <w:uiPriority w:val="2"/>
    <w:qFormat/>
    <w:rsid w:val="0000567A"/>
    <w:pPr>
      <w:numPr>
        <w:numId w:val="8"/>
      </w:numPr>
      <w:spacing w:after="120" w:line="270" w:lineRule="exact"/>
    </w:pPr>
    <w:rPr>
      <w:rFonts w:ascii="Calibri" w:hAnsi="Calibri"/>
      <w:sz w:val="22"/>
    </w:rPr>
  </w:style>
  <w:style w:type="paragraph" w:styleId="MacroText">
    <w:name w:val="macro"/>
    <w:link w:val="MacroTextChar"/>
    <w:uiPriority w:val="99"/>
    <w:rsid w:val="0000567A"/>
    <w:pPr>
      <w:overflowPunct w:val="0"/>
      <w:autoSpaceDE w:val="0"/>
      <w:autoSpaceDN w:val="0"/>
      <w:adjustRightInd w:val="0"/>
      <w:textAlignment w:val="baseline"/>
    </w:pPr>
    <w:rPr>
      <w:rFonts w:ascii="Courier New" w:hAnsi="Courier New"/>
      <w:lang w:eastAsia="en-US"/>
    </w:rPr>
  </w:style>
  <w:style w:type="character" w:customStyle="1" w:styleId="MacroTextChar">
    <w:name w:val="Macro Text Char"/>
    <w:basedOn w:val="DefaultParagraphFont"/>
    <w:link w:val="MacroText"/>
    <w:uiPriority w:val="99"/>
    <w:rsid w:val="0000567A"/>
    <w:rPr>
      <w:rFonts w:ascii="Courier New" w:hAnsi="Courier New"/>
      <w:lang w:eastAsia="en-US"/>
    </w:rPr>
  </w:style>
  <w:style w:type="paragraph" w:styleId="ListParagraph">
    <w:name w:val="List Paragraph"/>
    <w:basedOn w:val="Normal"/>
    <w:uiPriority w:val="34"/>
    <w:qFormat/>
    <w:rsid w:val="0000567A"/>
    <w:pPr>
      <w:spacing w:after="200" w:line="276" w:lineRule="auto"/>
      <w:ind w:left="720"/>
      <w:contextualSpacing/>
    </w:pPr>
    <w:rPr>
      <w:rFonts w:asciiTheme="minorHAnsi" w:eastAsiaTheme="minorHAnsi" w:hAnsiTheme="minorHAnsi" w:cstheme="minorBidi"/>
      <w:sz w:val="22"/>
      <w:szCs w:val="22"/>
    </w:rPr>
  </w:style>
  <w:style w:type="character" w:customStyle="1" w:styleId="apple-converted-space">
    <w:name w:val="apple-converted-space"/>
    <w:basedOn w:val="DefaultParagraphFont"/>
    <w:rsid w:val="0000567A"/>
  </w:style>
  <w:style w:type="character" w:customStyle="1" w:styleId="pubtitle">
    <w:name w:val="pubtitle"/>
    <w:basedOn w:val="DefaultParagraphFont"/>
    <w:rsid w:val="0000567A"/>
  </w:style>
  <w:style w:type="paragraph" w:customStyle="1" w:styleId="Healthbody">
    <w:name w:val="Health body"/>
    <w:rsid w:val="0000567A"/>
    <w:pPr>
      <w:spacing w:after="120" w:line="270" w:lineRule="atLeast"/>
    </w:pPr>
    <w:rPr>
      <w:rFonts w:ascii="Arial" w:eastAsia="MS Mincho" w:hAnsi="Arial"/>
      <w:szCs w:val="24"/>
      <w:lang w:eastAsia="en-US"/>
    </w:rPr>
  </w:style>
  <w:style w:type="paragraph" w:customStyle="1" w:styleId="Healthbullet1">
    <w:name w:val="Health bullet 1"/>
    <w:basedOn w:val="Healthbody"/>
    <w:qFormat/>
    <w:rsid w:val="0000567A"/>
    <w:pPr>
      <w:spacing w:after="40"/>
      <w:ind w:left="284" w:hanging="284"/>
    </w:pPr>
  </w:style>
  <w:style w:type="paragraph" w:styleId="NormalWeb">
    <w:name w:val="Normal (Web)"/>
    <w:basedOn w:val="Normal"/>
    <w:uiPriority w:val="99"/>
    <w:semiHidden/>
    <w:unhideWhenUsed/>
    <w:rsid w:val="0000567A"/>
    <w:pPr>
      <w:spacing w:before="100" w:beforeAutospacing="1" w:after="100" w:afterAutospacing="1"/>
    </w:pPr>
    <w:rPr>
      <w:rFonts w:ascii="Times New Roman" w:hAnsi="Times New Roman"/>
      <w:sz w:val="24"/>
      <w:szCs w:val="24"/>
      <w:lang w:eastAsia="en-AU"/>
    </w:rPr>
  </w:style>
  <w:style w:type="character" w:styleId="Emphasis">
    <w:name w:val="Emphasis"/>
    <w:basedOn w:val="DefaultParagraphFont"/>
    <w:uiPriority w:val="20"/>
    <w:qFormat/>
    <w:rsid w:val="0000567A"/>
    <w:rPr>
      <w:i/>
      <w:iCs/>
    </w:rPr>
  </w:style>
  <w:style w:type="character" w:styleId="PlaceholderText">
    <w:name w:val="Placeholder Text"/>
    <w:basedOn w:val="DefaultParagraphFont"/>
    <w:uiPriority w:val="99"/>
    <w:unhideWhenUsed/>
    <w:rsid w:val="0000567A"/>
    <w:rPr>
      <w:color w:val="808080"/>
    </w:rPr>
  </w:style>
  <w:style w:type="character" w:customStyle="1" w:styleId="normaltextrun">
    <w:name w:val="normaltextrun"/>
    <w:basedOn w:val="DefaultParagraphFont"/>
    <w:rsid w:val="0000567A"/>
  </w:style>
  <w:style w:type="paragraph" w:customStyle="1" w:styleId="paragraph">
    <w:name w:val="paragraph"/>
    <w:basedOn w:val="Normal"/>
    <w:rsid w:val="0000567A"/>
    <w:pPr>
      <w:spacing w:before="100" w:beforeAutospacing="1" w:after="100" w:afterAutospacing="1"/>
    </w:pPr>
    <w:rPr>
      <w:rFonts w:ascii="Times New Roman" w:hAnsi="Times New Roman"/>
      <w:sz w:val="24"/>
      <w:szCs w:val="24"/>
      <w:lang w:eastAsia="en-AU"/>
    </w:rPr>
  </w:style>
  <w:style w:type="character" w:customStyle="1" w:styleId="eop">
    <w:name w:val="eop"/>
    <w:basedOn w:val="DefaultParagraphFont"/>
    <w:rsid w:val="0000567A"/>
  </w:style>
  <w:style w:type="paragraph" w:customStyle="1" w:styleId="Default">
    <w:name w:val="Default"/>
    <w:rsid w:val="0000567A"/>
    <w:pPr>
      <w:autoSpaceDE w:val="0"/>
      <w:autoSpaceDN w:val="0"/>
      <w:adjustRightInd w:val="0"/>
    </w:pPr>
    <w:rPr>
      <w:rFonts w:ascii="Arial" w:hAnsi="Arial" w:cs="Arial"/>
      <w:color w:val="000000"/>
      <w:sz w:val="24"/>
      <w:szCs w:val="24"/>
    </w:rPr>
  </w:style>
  <w:style w:type="character" w:styleId="Mention">
    <w:name w:val="Mention"/>
    <w:basedOn w:val="DefaultParagraphFont"/>
    <w:uiPriority w:val="99"/>
    <w:unhideWhenUsed/>
    <w:rsid w:val="0000567A"/>
    <w:rPr>
      <w:color w:val="2B579A"/>
      <w:shd w:val="clear" w:color="auto" w:fill="E1DFDD"/>
    </w:rPr>
  </w:style>
  <w:style w:type="character" w:customStyle="1" w:styleId="superscript">
    <w:name w:val="superscript"/>
    <w:basedOn w:val="DefaultParagraphFont"/>
    <w:rsid w:val="000C0BB1"/>
  </w:style>
  <w:style w:type="character" w:customStyle="1" w:styleId="findhit">
    <w:name w:val="findhit"/>
    <w:basedOn w:val="DefaultParagraphFont"/>
    <w:rsid w:val="008F72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257330042">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yperlink" Target="https://www.health.vic.gov.au/immunisation/pharmacist-immunisers" TargetMode="External"/><Relationship Id="rId39" Type="http://schemas.openxmlformats.org/officeDocument/2006/relationships/image" Target="media/image2.png"/><Relationship Id="rId21" Type="http://schemas.openxmlformats.org/officeDocument/2006/relationships/footer" Target="footer5.xml"/><Relationship Id="rId34" Type="http://schemas.openxmlformats.org/officeDocument/2006/relationships/hyperlink" Target="https://www.immunisationcoalition.org.au/pvt/" TargetMode="External"/><Relationship Id="rId42" Type="http://schemas.openxmlformats.org/officeDocument/2006/relationships/hyperlink" Target="http://www.qcpp.com" TargetMode="External"/><Relationship Id="rId47" Type="http://schemas.openxmlformats.org/officeDocument/2006/relationships/hyperlink" Target="https://www.health.vic.gov.au/immunisation/adverse-events-following-immunisation-reporting" TargetMode="External"/><Relationship Id="rId50" Type="http://schemas.openxmlformats.org/officeDocument/2006/relationships/hyperlink" Target="http://www.pharmacy.vic.gov.au" TargetMode="External"/><Relationship Id="rId55" Type="http://schemas.openxmlformats.org/officeDocument/2006/relationships/header" Target="header8.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www.legislation.vic.gov.au/" TargetMode="External"/><Relationship Id="rId33" Type="http://schemas.openxmlformats.org/officeDocument/2006/relationships/hyperlink" Target="https://www.health.gov.au/resources/publications/national-immunisation-program-pneumococcal-vaccination-schedule-from-1-july-2020-clinical-decision-tree-for-vaccination-providers" TargetMode="External"/><Relationship Id="rId38" Type="http://schemas.openxmlformats.org/officeDocument/2006/relationships/hyperlink" Target="https://www.health.vic.gov.au/infectious-diseases/monkeypox" TargetMode="External"/><Relationship Id="rId46" Type="http://schemas.openxmlformats.org/officeDocument/2006/relationships/hyperlink" Target="https://www.health.vic.gov.au/immunisation/cold-chain-breach-reporting" TargetMode="External"/><Relationship Id="rId59"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hyperlink" Target="https://www.health.vic.gov.au/immunisation/programs-of-study" TargetMode="External"/><Relationship Id="rId41" Type="http://schemas.openxmlformats.org/officeDocument/2006/relationships/hyperlink" Target="http://www.legislation.vic.gov.au/" TargetMode="External"/><Relationship Id="rId54"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mailto:immunisation@health.vic.gov.au" TargetMode="External"/><Relationship Id="rId32" Type="http://schemas.openxmlformats.org/officeDocument/2006/relationships/hyperlink" Target="https://my.psa.org.au/s/article/Professional-Practice-Standards" TargetMode="External"/><Relationship Id="rId37" Type="http://schemas.openxmlformats.org/officeDocument/2006/relationships/hyperlink" Target="https://www.health.vic.gov.au/infectious-diseases/information-for-health-professionals-japanese-encephalitis-in-victoria" TargetMode="External"/><Relationship Id="rId40" Type="http://schemas.openxmlformats.org/officeDocument/2006/relationships/hyperlink" Target="https://www.health.vic.gov.au/immunisation/vaccine-order-forms-and-stock-information" TargetMode="External"/><Relationship Id="rId45" Type="http://schemas.openxmlformats.org/officeDocument/2006/relationships/hyperlink" Target="https://www.health.vic.gov.au/subscribe" TargetMode="External"/><Relationship Id="rId53" Type="http://schemas.openxmlformats.org/officeDocument/2006/relationships/hyperlink" Target="mailto:immunisation@health.vic.gov.au" TargetMode="External"/><Relationship Id="rId58"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yperlink" Target="https://www.health.vic.gov.au/immunisation/programs-of-study" TargetMode="External"/><Relationship Id="rId36" Type="http://schemas.openxmlformats.org/officeDocument/2006/relationships/hyperlink" Target="https://www.coronavirus.vic.gov.au/information-covid-19-vaccine-providers" TargetMode="External"/><Relationship Id="rId49" Type="http://schemas.openxmlformats.org/officeDocument/2006/relationships/hyperlink" Target="http://www.ahpra.gov.au" TargetMode="External"/><Relationship Id="rId57" Type="http://schemas.openxmlformats.org/officeDocument/2006/relationships/footer" Target="footer8.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yperlink" Target="http://www.ahpra.gov.au/" TargetMode="External"/><Relationship Id="rId44" Type="http://schemas.openxmlformats.org/officeDocument/2006/relationships/hyperlink" Target="https://www.health.gov.au/resources/publications/questions-about-vaccination" TargetMode="External"/><Relationship Id="rId52" Type="http://schemas.openxmlformats.org/officeDocument/2006/relationships/hyperlink" Target="https://hcc.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yperlink" Target="https://www.health.vic.gov.au/immunisation/programs-of-study" TargetMode="External"/><Relationship Id="rId30" Type="http://schemas.openxmlformats.org/officeDocument/2006/relationships/hyperlink" Target="https://ncirs.org.au/health-professionals/ncirs-newsletters" TargetMode="External"/><Relationship Id="rId35" Type="http://schemas.openxmlformats.org/officeDocument/2006/relationships/hyperlink" Target="https://www.immunisationcoalition.org.au/resources/pneumococcal-disease-guide/" TargetMode="External"/><Relationship Id="rId43" Type="http://schemas.openxmlformats.org/officeDocument/2006/relationships/hyperlink" Target="https://www.ahpra.gov.au/Resources/Advertising-hub/Advertising-guidelines-and-other-guidance/Advertising-guidelines.aspx" TargetMode="External"/><Relationship Id="rId48" Type="http://schemas.openxmlformats.org/officeDocument/2006/relationships/hyperlink" Target="https://www.humanservices.gov.au/organisations/health-professionals/forms/im004" TargetMode="External"/><Relationship Id="rId56" Type="http://schemas.openxmlformats.org/officeDocument/2006/relationships/footer" Target="footer7.xml"/><Relationship Id="rId8" Type="http://schemas.openxmlformats.org/officeDocument/2006/relationships/webSettings" Target="webSettings.xml"/><Relationship Id="rId51" Type="http://schemas.openxmlformats.org/officeDocument/2006/relationships/hyperlink" Target="mailto:immunisation@health.vic.gov.au" TargetMode="Externa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8" Type="http://schemas.openxmlformats.org/officeDocument/2006/relationships/hyperlink" Target="http://www.pharmacyboard.gov.au/Codes-Guidelines/Code-of-conduct.aspx" TargetMode="External"/><Relationship Id="rId13" Type="http://schemas.openxmlformats.org/officeDocument/2006/relationships/hyperlink" Target="https://immunisationhandbook.health.gov.au/" TargetMode="External"/><Relationship Id="rId18" Type="http://schemas.openxmlformats.org/officeDocument/2006/relationships/hyperlink" Target="https://nhmrc.govcms.gov.au/about-us/publications/australian-guidelines-prevention-and-control-infection-healthcare-2019" TargetMode="External"/><Relationship Id="rId26" Type="http://schemas.openxmlformats.org/officeDocument/2006/relationships/hyperlink" Target="https://my.psa.org.au/s/article/immunisation-guidelines" TargetMode="External"/><Relationship Id="rId3" Type="http://schemas.openxmlformats.org/officeDocument/2006/relationships/hyperlink" Target="https://www.health.vic.gov.au/infectious-diseases/monkeypox" TargetMode="External"/><Relationship Id="rId21" Type="http://schemas.openxmlformats.org/officeDocument/2006/relationships/hyperlink" Target="https://my.psa.org.au/s/article/Clinical-Governance-Principles-for-Pharmacy-Services" TargetMode="External"/><Relationship Id="rId7" Type="http://schemas.openxmlformats.org/officeDocument/2006/relationships/hyperlink" Target="https://www.health.gov.au/resources/publications/national-immunisation-education-framework-for-health-professionals" TargetMode="External"/><Relationship Id="rId12" Type="http://schemas.openxmlformats.org/officeDocument/2006/relationships/hyperlink" Target="https://www.health.gov.au/sites/default/files/documents/2022/05/statement-on-the-clinical-use-of-zoster-vaccine-in-older-adults-in-australia-statement-on-the-clinical-use-of-zoster-vaccine-in-older-adults-in-australia.pdf" TargetMode="External"/><Relationship Id="rId17" Type="http://schemas.openxmlformats.org/officeDocument/2006/relationships/hyperlink" Target="https://immunisationhandbook.health.gov.au/vaccination-procedures/preparing-for-vaccination" TargetMode="External"/><Relationship Id="rId25" Type="http://schemas.openxmlformats.org/officeDocument/2006/relationships/hyperlink" Target="https://immunisationhandbook.health.gov.au/" TargetMode="External"/><Relationship Id="rId2" Type="http://schemas.openxmlformats.org/officeDocument/2006/relationships/hyperlink" Target="https://www.health.vic.gov.au/infectious-diseases/information-for-health-professionals-japanese-encephalitis-in-victoria" TargetMode="External"/><Relationship Id="rId16" Type="http://schemas.openxmlformats.org/officeDocument/2006/relationships/hyperlink" Target="https://www.psa.org.au/wp-content/uploads/2019/05/PSAClinicalGovernancePrinciples2018_FINAL.pdf" TargetMode="External"/><Relationship Id="rId20" Type="http://schemas.openxmlformats.org/officeDocument/2006/relationships/hyperlink" Target="http://www.pharmacy.vic.gov.au/index.php?view=guidelines" TargetMode="External"/><Relationship Id="rId29" Type="http://schemas.openxmlformats.org/officeDocument/2006/relationships/hyperlink" Target="https://immunisationhandbook.health.gov.au/" TargetMode="External"/><Relationship Id="rId1" Type="http://schemas.openxmlformats.org/officeDocument/2006/relationships/hyperlink" Target="https://www2.health.vic.gov.au/public-health/immunisation/immunisers-in-victoria/pharmacist-immunisers" TargetMode="External"/><Relationship Id="rId6" Type="http://schemas.openxmlformats.org/officeDocument/2006/relationships/hyperlink" Target="https://www.health.vic.gov.au/infectious-diseases/monkeypox" TargetMode="External"/><Relationship Id="rId11" Type="http://schemas.openxmlformats.org/officeDocument/2006/relationships/hyperlink" Target="https://immunisationhandbook.health.gov.au/" TargetMode="External"/><Relationship Id="rId24" Type="http://schemas.openxmlformats.org/officeDocument/2006/relationships/hyperlink" Target="https://www.humanservices.gov.au/organisations/health-professionals/services/medicare/australian-immunisation-register-health-professionals" TargetMode="External"/><Relationship Id="rId32" Type="http://schemas.openxmlformats.org/officeDocument/2006/relationships/hyperlink" Target="https://immunisationhandbook.health.gov.au/" TargetMode="External"/><Relationship Id="rId5" Type="http://schemas.openxmlformats.org/officeDocument/2006/relationships/hyperlink" Target="https://www.health.vic.gov.au/infectious-diseases/monkeypox" TargetMode="External"/><Relationship Id="rId15" Type="http://schemas.openxmlformats.org/officeDocument/2006/relationships/hyperlink" Target="https://www.psa.org.au/practice-support-industry/national-competency-standards/" TargetMode="External"/><Relationship Id="rId23" Type="http://schemas.openxmlformats.org/officeDocument/2006/relationships/hyperlink" Target="https://www.health.gov.au/resources/publications/national-vaccine-storage-guidelines-strive-for-5" TargetMode="External"/><Relationship Id="rId28" Type="http://schemas.openxmlformats.org/officeDocument/2006/relationships/hyperlink" Target="http://www.pharmacy.vic.gov.au/index.php?view=guidelines" TargetMode="External"/><Relationship Id="rId10" Type="http://schemas.openxmlformats.org/officeDocument/2006/relationships/hyperlink" Target="https://www2.health.vic.gov.au/public-health/immunisation/immunisers-in-victoria/pharmacist-immunisers" TargetMode="External"/><Relationship Id="rId19" Type="http://schemas.openxmlformats.org/officeDocument/2006/relationships/hyperlink" Target="https://www.health.gov.au/resources/publications/national-vaccine-storage-guidelines-strive-for-5" TargetMode="External"/><Relationship Id="rId31" Type="http://schemas.openxmlformats.org/officeDocument/2006/relationships/hyperlink" Target="https://immunisationhandbook.health.gov.au/vaccination-procedures/preparing-for-vaccination" TargetMode="External"/><Relationship Id="rId4" Type="http://schemas.openxmlformats.org/officeDocument/2006/relationships/hyperlink" Target="https://www.coronavirus.vic.gov.au/information-covid-19-vaccine-providers" TargetMode="External"/><Relationship Id="rId9" Type="http://schemas.openxmlformats.org/officeDocument/2006/relationships/hyperlink" Target="https://my.psa.org.au/s/article/Professional-Practice-Standards" TargetMode="External"/><Relationship Id="rId14" Type="http://schemas.openxmlformats.org/officeDocument/2006/relationships/hyperlink" Target="https://www.bettersafercare.vic.gov.au/reports-and-publications/clinical-governance-framework" TargetMode="External"/><Relationship Id="rId22" Type="http://schemas.openxmlformats.org/officeDocument/2006/relationships/hyperlink" Target="https://immunisationhandbook.health.gov.au/" TargetMode="External"/><Relationship Id="rId27" Type="http://schemas.openxmlformats.org/officeDocument/2006/relationships/hyperlink" Target="https://www.health.gov.au/sites/default/files/national-vaccine-storage-guidelines-strive-for-5_0.pdf" TargetMode="External"/><Relationship Id="rId30" Type="http://schemas.openxmlformats.org/officeDocument/2006/relationships/hyperlink" Target="https://immunisationhandbook.health.gov.au/vaccination-procedures/preparing-for-vaccin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2DFF03779B5A84C9EDCC583EFC503D8" ma:contentTypeVersion="16" ma:contentTypeDescription="Create a new document." ma:contentTypeScope="" ma:versionID="8c3fa1d9a59858c0e012a9ba4dd88a28">
  <xsd:schema xmlns:xsd="http://www.w3.org/2001/XMLSchema" xmlns:xs="http://www.w3.org/2001/XMLSchema" xmlns:p="http://schemas.microsoft.com/office/2006/metadata/properties" xmlns:ns2="56f13c3b-1a5e-4b20-8813-0ef8710fa369" xmlns:ns3="bef801f1-2872-443b-a104-0f84f9fd0895" xmlns:ns4="5ce0f2b5-5be5-4508-bce9-d7011ece0659" targetNamespace="http://schemas.microsoft.com/office/2006/metadata/properties" ma:root="true" ma:fieldsID="2961d15b169c0d192cdb8d93769ef6ad" ns2:_="" ns3:_="" ns4:_="">
    <xsd:import namespace="56f13c3b-1a5e-4b20-8813-0ef8710fa369"/>
    <xsd:import namespace="bef801f1-2872-443b-a104-0f84f9fd0895"/>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Preview"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f13c3b-1a5e-4b20-8813-0ef8710fa3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Preview" ma:index="20" nillable="true" ma:displayName="Preview" ma:format="Thumbnail" ma:internalName="Preview">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ef801f1-2872-443b-a104-0f84f9fd089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63edf56-f7bf-4105-a90c-c93683ef9dba}" ma:internalName="TaxCatchAll" ma:showField="CatchAllData" ma:web="bef801f1-2872-443b-a104-0f84f9fd08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view xmlns="56f13c3b-1a5e-4b20-8813-0ef8710fa369" xsi:nil="true"/>
    <TaxCatchAll xmlns="5ce0f2b5-5be5-4508-bce9-d7011ece0659" xsi:nil="true"/>
    <lcf76f155ced4ddcb4097134ff3c332f xmlns="56f13c3b-1a5e-4b20-8813-0ef8710fa36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3.xml><?xml version="1.0" encoding="utf-8"?>
<ds:datastoreItem xmlns:ds="http://schemas.openxmlformats.org/officeDocument/2006/customXml" ds:itemID="{9338FBE5-2F90-426A-92F7-0DA65029FD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f13c3b-1a5e-4b20-8813-0ef8710fa369"/>
    <ds:schemaRef ds:uri="bef801f1-2872-443b-a104-0f84f9fd0895"/>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AC28CD-794A-4DE5-9080-AF945367D2AC}">
  <ds:schemaRef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dcmitype/"/>
    <ds:schemaRef ds:uri="5ce0f2b5-5be5-4508-bce9-d7011ece0659"/>
    <ds:schemaRef ds:uri="bef801f1-2872-443b-a104-0f84f9fd0895"/>
    <ds:schemaRef ds:uri="56f13c3b-1a5e-4b20-8813-0ef8710fa369"/>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34</Pages>
  <Words>10616</Words>
  <Characters>71307</Characters>
  <Application>Microsoft Office Word</Application>
  <DocSecurity>0</DocSecurity>
  <Lines>594</Lines>
  <Paragraphs>163</Paragraphs>
  <ScaleCrop>false</ScaleCrop>
  <Manager/>
  <Company>Victoria State Government, Department of Health</Company>
  <LinksUpToDate>false</LinksUpToDate>
  <CharactersWithSpaces>81760</CharactersWithSpaces>
  <SharedDoc>false</SharedDoc>
  <HyperlinkBase/>
  <HLinks>
    <vt:vector size="750" baseType="variant">
      <vt:variant>
        <vt:i4>2359304</vt:i4>
      </vt:variant>
      <vt:variant>
        <vt:i4>420</vt:i4>
      </vt:variant>
      <vt:variant>
        <vt:i4>0</vt:i4>
      </vt:variant>
      <vt:variant>
        <vt:i4>5</vt:i4>
      </vt:variant>
      <vt:variant>
        <vt:lpwstr>mailto:immunisation@health.vic.gov.au</vt:lpwstr>
      </vt:variant>
      <vt:variant>
        <vt:lpwstr/>
      </vt:variant>
      <vt:variant>
        <vt:i4>4194421</vt:i4>
      </vt:variant>
      <vt:variant>
        <vt:i4>417</vt:i4>
      </vt:variant>
      <vt:variant>
        <vt:i4>0</vt:i4>
      </vt:variant>
      <vt:variant>
        <vt:i4>5</vt:i4>
      </vt:variant>
      <vt:variant>
        <vt:lpwstr/>
      </vt:variant>
      <vt:variant>
        <vt:lpwstr>_Registration_with_the</vt:lpwstr>
      </vt:variant>
      <vt:variant>
        <vt:i4>2818049</vt:i4>
      </vt:variant>
      <vt:variant>
        <vt:i4>414</vt:i4>
      </vt:variant>
      <vt:variant>
        <vt:i4>0</vt:i4>
      </vt:variant>
      <vt:variant>
        <vt:i4>5</vt:i4>
      </vt:variant>
      <vt:variant>
        <vt:lpwstr/>
      </vt:variant>
      <vt:variant>
        <vt:lpwstr>_Target_groups_under</vt:lpwstr>
      </vt:variant>
      <vt:variant>
        <vt:i4>3080238</vt:i4>
      </vt:variant>
      <vt:variant>
        <vt:i4>411</vt:i4>
      </vt:variant>
      <vt:variant>
        <vt:i4>0</vt:i4>
      </vt:variant>
      <vt:variant>
        <vt:i4>5</vt:i4>
      </vt:variant>
      <vt:variant>
        <vt:lpwstr>https://hcc.vic.gov.au/</vt:lpwstr>
      </vt:variant>
      <vt:variant>
        <vt:lpwstr/>
      </vt:variant>
      <vt:variant>
        <vt:i4>2359304</vt:i4>
      </vt:variant>
      <vt:variant>
        <vt:i4>408</vt:i4>
      </vt:variant>
      <vt:variant>
        <vt:i4>0</vt:i4>
      </vt:variant>
      <vt:variant>
        <vt:i4>5</vt:i4>
      </vt:variant>
      <vt:variant>
        <vt:lpwstr>mailto:immunisation@health.vic.gov.au</vt:lpwstr>
      </vt:variant>
      <vt:variant>
        <vt:lpwstr/>
      </vt:variant>
      <vt:variant>
        <vt:i4>6881335</vt:i4>
      </vt:variant>
      <vt:variant>
        <vt:i4>405</vt:i4>
      </vt:variant>
      <vt:variant>
        <vt:i4>0</vt:i4>
      </vt:variant>
      <vt:variant>
        <vt:i4>5</vt:i4>
      </vt:variant>
      <vt:variant>
        <vt:lpwstr>http://www.pharmacy.vic.gov.au/</vt:lpwstr>
      </vt:variant>
      <vt:variant>
        <vt:lpwstr/>
      </vt:variant>
      <vt:variant>
        <vt:i4>262224</vt:i4>
      </vt:variant>
      <vt:variant>
        <vt:i4>402</vt:i4>
      </vt:variant>
      <vt:variant>
        <vt:i4>0</vt:i4>
      </vt:variant>
      <vt:variant>
        <vt:i4>5</vt:i4>
      </vt:variant>
      <vt:variant>
        <vt:lpwstr>http://www.ahpra.gov.au/</vt:lpwstr>
      </vt:variant>
      <vt:variant>
        <vt:lpwstr/>
      </vt:variant>
      <vt:variant>
        <vt:i4>3473519</vt:i4>
      </vt:variant>
      <vt:variant>
        <vt:i4>399</vt:i4>
      </vt:variant>
      <vt:variant>
        <vt:i4>0</vt:i4>
      </vt:variant>
      <vt:variant>
        <vt:i4>5</vt:i4>
      </vt:variant>
      <vt:variant>
        <vt:lpwstr>https://www.humanservices.gov.au/organisations/health-professionals/forms/im004</vt:lpwstr>
      </vt:variant>
      <vt:variant>
        <vt:lpwstr/>
      </vt:variant>
      <vt:variant>
        <vt:i4>7536685</vt:i4>
      </vt:variant>
      <vt:variant>
        <vt:i4>396</vt:i4>
      </vt:variant>
      <vt:variant>
        <vt:i4>0</vt:i4>
      </vt:variant>
      <vt:variant>
        <vt:i4>5</vt:i4>
      </vt:variant>
      <vt:variant>
        <vt:lpwstr>https://www.health.vic.gov.au/immunisation/adverse-events-following-immunisation-reporting</vt:lpwstr>
      </vt:variant>
      <vt:variant>
        <vt:lpwstr/>
      </vt:variant>
      <vt:variant>
        <vt:i4>8323187</vt:i4>
      </vt:variant>
      <vt:variant>
        <vt:i4>393</vt:i4>
      </vt:variant>
      <vt:variant>
        <vt:i4>0</vt:i4>
      </vt:variant>
      <vt:variant>
        <vt:i4>5</vt:i4>
      </vt:variant>
      <vt:variant>
        <vt:lpwstr>https://www.health.vic.gov.au/immunisation/cold-chain-breach-reporting</vt:lpwstr>
      </vt:variant>
      <vt:variant>
        <vt:lpwstr/>
      </vt:variant>
      <vt:variant>
        <vt:i4>5308515</vt:i4>
      </vt:variant>
      <vt:variant>
        <vt:i4>390</vt:i4>
      </vt:variant>
      <vt:variant>
        <vt:i4>0</vt:i4>
      </vt:variant>
      <vt:variant>
        <vt:i4>5</vt:i4>
      </vt:variant>
      <vt:variant>
        <vt:lpwstr/>
      </vt:variant>
      <vt:variant>
        <vt:lpwstr>_Pharmacist_Immunisers_and</vt:lpwstr>
      </vt:variant>
      <vt:variant>
        <vt:i4>3866648</vt:i4>
      </vt:variant>
      <vt:variant>
        <vt:i4>387</vt:i4>
      </vt:variant>
      <vt:variant>
        <vt:i4>0</vt:i4>
      </vt:variant>
      <vt:variant>
        <vt:i4>5</vt:i4>
      </vt:variant>
      <vt:variant>
        <vt:lpwstr/>
      </vt:variant>
      <vt:variant>
        <vt:lpwstr>_Emergency_response_protocol</vt:lpwstr>
      </vt:variant>
      <vt:variant>
        <vt:i4>7667835</vt:i4>
      </vt:variant>
      <vt:variant>
        <vt:i4>384</vt:i4>
      </vt:variant>
      <vt:variant>
        <vt:i4>0</vt:i4>
      </vt:variant>
      <vt:variant>
        <vt:i4>5</vt:i4>
      </vt:variant>
      <vt:variant>
        <vt:lpwstr>https://www.health.vic.gov.au/subscribe</vt:lpwstr>
      </vt:variant>
      <vt:variant>
        <vt:lpwstr/>
      </vt:variant>
      <vt:variant>
        <vt:i4>4849680</vt:i4>
      </vt:variant>
      <vt:variant>
        <vt:i4>381</vt:i4>
      </vt:variant>
      <vt:variant>
        <vt:i4>0</vt:i4>
      </vt:variant>
      <vt:variant>
        <vt:i4>5</vt:i4>
      </vt:variant>
      <vt:variant>
        <vt:lpwstr>https://www.health.gov.au/resources/publications/questions-about-vaccination</vt:lpwstr>
      </vt:variant>
      <vt:variant>
        <vt:lpwstr/>
      </vt:variant>
      <vt:variant>
        <vt:i4>3866648</vt:i4>
      </vt:variant>
      <vt:variant>
        <vt:i4>378</vt:i4>
      </vt:variant>
      <vt:variant>
        <vt:i4>0</vt:i4>
      </vt:variant>
      <vt:variant>
        <vt:i4>5</vt:i4>
      </vt:variant>
      <vt:variant>
        <vt:lpwstr/>
      </vt:variant>
      <vt:variant>
        <vt:lpwstr>_Emergency_response_protocol</vt:lpwstr>
      </vt:variant>
      <vt:variant>
        <vt:i4>5308515</vt:i4>
      </vt:variant>
      <vt:variant>
        <vt:i4>375</vt:i4>
      </vt:variant>
      <vt:variant>
        <vt:i4>0</vt:i4>
      </vt:variant>
      <vt:variant>
        <vt:i4>5</vt:i4>
      </vt:variant>
      <vt:variant>
        <vt:lpwstr/>
      </vt:variant>
      <vt:variant>
        <vt:lpwstr>_Pharmacist_Immunisers_and</vt:lpwstr>
      </vt:variant>
      <vt:variant>
        <vt:i4>5308515</vt:i4>
      </vt:variant>
      <vt:variant>
        <vt:i4>372</vt:i4>
      </vt:variant>
      <vt:variant>
        <vt:i4>0</vt:i4>
      </vt:variant>
      <vt:variant>
        <vt:i4>5</vt:i4>
      </vt:variant>
      <vt:variant>
        <vt:lpwstr/>
      </vt:variant>
      <vt:variant>
        <vt:lpwstr>_Pharmacist_Immunisers_and</vt:lpwstr>
      </vt:variant>
      <vt:variant>
        <vt:i4>4784128</vt:i4>
      </vt:variant>
      <vt:variant>
        <vt:i4>369</vt:i4>
      </vt:variant>
      <vt:variant>
        <vt:i4>0</vt:i4>
      </vt:variant>
      <vt:variant>
        <vt:i4>5</vt:i4>
      </vt:variant>
      <vt:variant>
        <vt:lpwstr>https://www.ahpra.gov.au/Resources/Advertising-hub/Advertising-guidelines-and-other-guidance/Advertising-guidelines.aspx</vt:lpwstr>
      </vt:variant>
      <vt:variant>
        <vt:lpwstr/>
      </vt:variant>
      <vt:variant>
        <vt:i4>4456525</vt:i4>
      </vt:variant>
      <vt:variant>
        <vt:i4>366</vt:i4>
      </vt:variant>
      <vt:variant>
        <vt:i4>0</vt:i4>
      </vt:variant>
      <vt:variant>
        <vt:i4>5</vt:i4>
      </vt:variant>
      <vt:variant>
        <vt:lpwstr>http://www.qcpp.com/</vt:lpwstr>
      </vt:variant>
      <vt:variant>
        <vt:lpwstr/>
      </vt:variant>
      <vt:variant>
        <vt:i4>3801118</vt:i4>
      </vt:variant>
      <vt:variant>
        <vt:i4>363</vt:i4>
      </vt:variant>
      <vt:variant>
        <vt:i4>0</vt:i4>
      </vt:variant>
      <vt:variant>
        <vt:i4>5</vt:i4>
      </vt:variant>
      <vt:variant>
        <vt:lpwstr/>
      </vt:variant>
      <vt:variant>
        <vt:lpwstr>_Contract_staffing_models</vt:lpwstr>
      </vt:variant>
      <vt:variant>
        <vt:i4>8323190</vt:i4>
      </vt:variant>
      <vt:variant>
        <vt:i4>360</vt:i4>
      </vt:variant>
      <vt:variant>
        <vt:i4>0</vt:i4>
      </vt:variant>
      <vt:variant>
        <vt:i4>5</vt:i4>
      </vt:variant>
      <vt:variant>
        <vt:lpwstr>http://www.legislation.vic.gov.au/</vt:lpwstr>
      </vt:variant>
      <vt:variant>
        <vt:lpwstr/>
      </vt:variant>
      <vt:variant>
        <vt:i4>2359304</vt:i4>
      </vt:variant>
      <vt:variant>
        <vt:i4>357</vt:i4>
      </vt:variant>
      <vt:variant>
        <vt:i4>0</vt:i4>
      </vt:variant>
      <vt:variant>
        <vt:i4>5</vt:i4>
      </vt:variant>
      <vt:variant>
        <vt:lpwstr>mailto:immunisation@health.vic.gov.au</vt:lpwstr>
      </vt:variant>
      <vt:variant>
        <vt:lpwstr/>
      </vt:variant>
      <vt:variant>
        <vt:i4>1703959</vt:i4>
      </vt:variant>
      <vt:variant>
        <vt:i4>354</vt:i4>
      </vt:variant>
      <vt:variant>
        <vt:i4>0</vt:i4>
      </vt:variant>
      <vt:variant>
        <vt:i4>5</vt:i4>
      </vt:variant>
      <vt:variant>
        <vt:lpwstr>https://www.health.vic.gov.au/immunisation/vaccine-order-forms-and-stock-information</vt:lpwstr>
      </vt:variant>
      <vt:variant>
        <vt:lpwstr/>
      </vt:variant>
      <vt:variant>
        <vt:i4>3014695</vt:i4>
      </vt:variant>
      <vt:variant>
        <vt:i4>351</vt:i4>
      </vt:variant>
      <vt:variant>
        <vt:i4>0</vt:i4>
      </vt:variant>
      <vt:variant>
        <vt:i4>5</vt:i4>
      </vt:variant>
      <vt:variant>
        <vt:lpwstr>https://www.health.vic.gov.au/infectious-diseases/monkeypox</vt:lpwstr>
      </vt:variant>
      <vt:variant>
        <vt:lpwstr/>
      </vt:variant>
      <vt:variant>
        <vt:i4>5832712</vt:i4>
      </vt:variant>
      <vt:variant>
        <vt:i4>348</vt:i4>
      </vt:variant>
      <vt:variant>
        <vt:i4>0</vt:i4>
      </vt:variant>
      <vt:variant>
        <vt:i4>5</vt:i4>
      </vt:variant>
      <vt:variant>
        <vt:lpwstr>https://www.health.vic.gov.au/infectious-diseases/information-for-health-professionals-japanese-encephalitis-in-victoria</vt:lpwstr>
      </vt:variant>
      <vt:variant>
        <vt:lpwstr/>
      </vt:variant>
      <vt:variant>
        <vt:i4>5046336</vt:i4>
      </vt:variant>
      <vt:variant>
        <vt:i4>345</vt:i4>
      </vt:variant>
      <vt:variant>
        <vt:i4>0</vt:i4>
      </vt:variant>
      <vt:variant>
        <vt:i4>5</vt:i4>
      </vt:variant>
      <vt:variant>
        <vt:lpwstr>https://www.coronavirus.vic.gov.au/information-covid-19-vaccine-providers</vt:lpwstr>
      </vt:variant>
      <vt:variant>
        <vt:lpwstr/>
      </vt:variant>
      <vt:variant>
        <vt:i4>8126518</vt:i4>
      </vt:variant>
      <vt:variant>
        <vt:i4>342</vt:i4>
      </vt:variant>
      <vt:variant>
        <vt:i4>0</vt:i4>
      </vt:variant>
      <vt:variant>
        <vt:i4>5</vt:i4>
      </vt:variant>
      <vt:variant>
        <vt:lpwstr>https://www.immunisationcoalition.org.au/resources/pneumococcal-disease-guide/</vt:lpwstr>
      </vt:variant>
      <vt:variant>
        <vt:lpwstr/>
      </vt:variant>
      <vt:variant>
        <vt:i4>4456478</vt:i4>
      </vt:variant>
      <vt:variant>
        <vt:i4>339</vt:i4>
      </vt:variant>
      <vt:variant>
        <vt:i4>0</vt:i4>
      </vt:variant>
      <vt:variant>
        <vt:i4>5</vt:i4>
      </vt:variant>
      <vt:variant>
        <vt:lpwstr>https://www.immunisationcoalition.org.au/pvt/</vt:lpwstr>
      </vt:variant>
      <vt:variant>
        <vt:lpwstr/>
      </vt:variant>
      <vt:variant>
        <vt:i4>6946858</vt:i4>
      </vt:variant>
      <vt:variant>
        <vt:i4>336</vt:i4>
      </vt:variant>
      <vt:variant>
        <vt:i4>0</vt:i4>
      </vt:variant>
      <vt:variant>
        <vt:i4>5</vt:i4>
      </vt:variant>
      <vt:variant>
        <vt:lpwstr>https://www.health.gov.au/resources/publications/national-immunisation-program-pneumococcal-vaccination-schedule-from-1-july-2020-clinical-decision-tree-for-vaccination-providers</vt:lpwstr>
      </vt:variant>
      <vt:variant>
        <vt:lpwstr/>
      </vt:variant>
      <vt:variant>
        <vt:i4>2818049</vt:i4>
      </vt:variant>
      <vt:variant>
        <vt:i4>333</vt:i4>
      </vt:variant>
      <vt:variant>
        <vt:i4>0</vt:i4>
      </vt:variant>
      <vt:variant>
        <vt:i4>5</vt:i4>
      </vt:variant>
      <vt:variant>
        <vt:lpwstr/>
      </vt:variant>
      <vt:variant>
        <vt:lpwstr>_Target_groups_under</vt:lpwstr>
      </vt:variant>
      <vt:variant>
        <vt:i4>7340068</vt:i4>
      </vt:variant>
      <vt:variant>
        <vt:i4>330</vt:i4>
      </vt:variant>
      <vt:variant>
        <vt:i4>0</vt:i4>
      </vt:variant>
      <vt:variant>
        <vt:i4>5</vt:i4>
      </vt:variant>
      <vt:variant>
        <vt:lpwstr>https://my.psa.org.au/s/article/Professional-Practice-Standards</vt:lpwstr>
      </vt:variant>
      <vt:variant>
        <vt:lpwstr/>
      </vt:variant>
      <vt:variant>
        <vt:i4>5308515</vt:i4>
      </vt:variant>
      <vt:variant>
        <vt:i4>327</vt:i4>
      </vt:variant>
      <vt:variant>
        <vt:i4>0</vt:i4>
      </vt:variant>
      <vt:variant>
        <vt:i4>5</vt:i4>
      </vt:variant>
      <vt:variant>
        <vt:lpwstr/>
      </vt:variant>
      <vt:variant>
        <vt:lpwstr>_Pharmacist_Immunisers_and</vt:lpwstr>
      </vt:variant>
      <vt:variant>
        <vt:i4>8323151</vt:i4>
      </vt:variant>
      <vt:variant>
        <vt:i4>324</vt:i4>
      </vt:variant>
      <vt:variant>
        <vt:i4>0</vt:i4>
      </vt:variant>
      <vt:variant>
        <vt:i4>5</vt:i4>
      </vt:variant>
      <vt:variant>
        <vt:lpwstr/>
      </vt:variant>
      <vt:variant>
        <vt:lpwstr>_Complaints</vt:lpwstr>
      </vt:variant>
      <vt:variant>
        <vt:i4>262224</vt:i4>
      </vt:variant>
      <vt:variant>
        <vt:i4>321</vt:i4>
      </vt:variant>
      <vt:variant>
        <vt:i4>0</vt:i4>
      </vt:variant>
      <vt:variant>
        <vt:i4>5</vt:i4>
      </vt:variant>
      <vt:variant>
        <vt:lpwstr>http://www.ahpra.gov.au/</vt:lpwstr>
      </vt:variant>
      <vt:variant>
        <vt:lpwstr/>
      </vt:variant>
      <vt:variant>
        <vt:i4>3997815</vt:i4>
      </vt:variant>
      <vt:variant>
        <vt:i4>318</vt:i4>
      </vt:variant>
      <vt:variant>
        <vt:i4>0</vt:i4>
      </vt:variant>
      <vt:variant>
        <vt:i4>5</vt:i4>
      </vt:variant>
      <vt:variant>
        <vt:lpwstr>https://ncirs.org.au/health-professionals/ncirs-newsletters</vt:lpwstr>
      </vt:variant>
      <vt:variant>
        <vt:lpwstr/>
      </vt:variant>
      <vt:variant>
        <vt:i4>4194328</vt:i4>
      </vt:variant>
      <vt:variant>
        <vt:i4>315</vt:i4>
      </vt:variant>
      <vt:variant>
        <vt:i4>0</vt:i4>
      </vt:variant>
      <vt:variant>
        <vt:i4>5</vt:i4>
      </vt:variant>
      <vt:variant>
        <vt:lpwstr>https://www.health.vic.gov.au/immunisation/programs-of-study</vt:lpwstr>
      </vt:variant>
      <vt:variant>
        <vt:lpwstr/>
      </vt:variant>
      <vt:variant>
        <vt:i4>4194328</vt:i4>
      </vt:variant>
      <vt:variant>
        <vt:i4>312</vt:i4>
      </vt:variant>
      <vt:variant>
        <vt:i4>0</vt:i4>
      </vt:variant>
      <vt:variant>
        <vt:i4>5</vt:i4>
      </vt:variant>
      <vt:variant>
        <vt:lpwstr>https://www.health.vic.gov.au/immunisation/programs-of-study</vt:lpwstr>
      </vt:variant>
      <vt:variant>
        <vt:lpwstr/>
      </vt:variant>
      <vt:variant>
        <vt:i4>4194328</vt:i4>
      </vt:variant>
      <vt:variant>
        <vt:i4>309</vt:i4>
      </vt:variant>
      <vt:variant>
        <vt:i4>0</vt:i4>
      </vt:variant>
      <vt:variant>
        <vt:i4>5</vt:i4>
      </vt:variant>
      <vt:variant>
        <vt:lpwstr>https://www.health.vic.gov.au/immunisation/programs-of-study</vt:lpwstr>
      </vt:variant>
      <vt:variant>
        <vt:lpwstr/>
      </vt:variant>
      <vt:variant>
        <vt:i4>5374016</vt:i4>
      </vt:variant>
      <vt:variant>
        <vt:i4>306</vt:i4>
      </vt:variant>
      <vt:variant>
        <vt:i4>0</vt:i4>
      </vt:variant>
      <vt:variant>
        <vt:i4>5</vt:i4>
      </vt:variant>
      <vt:variant>
        <vt:lpwstr>https://www.health.vic.gov.au/immunisation/pharmacist-immunisers</vt:lpwstr>
      </vt:variant>
      <vt:variant>
        <vt:lpwstr/>
      </vt:variant>
      <vt:variant>
        <vt:i4>8323190</vt:i4>
      </vt:variant>
      <vt:variant>
        <vt:i4>303</vt:i4>
      </vt:variant>
      <vt:variant>
        <vt:i4>0</vt:i4>
      </vt:variant>
      <vt:variant>
        <vt:i4>5</vt:i4>
      </vt:variant>
      <vt:variant>
        <vt:lpwstr>http://www.legislation.vic.gov.au/</vt:lpwstr>
      </vt:variant>
      <vt:variant>
        <vt:lpwstr/>
      </vt:variant>
      <vt:variant>
        <vt:i4>1376301</vt:i4>
      </vt:variant>
      <vt:variant>
        <vt:i4>300</vt:i4>
      </vt:variant>
      <vt:variant>
        <vt:i4>0</vt:i4>
      </vt:variant>
      <vt:variant>
        <vt:i4>5</vt:i4>
      </vt:variant>
      <vt:variant>
        <vt:lpwstr/>
      </vt:variant>
      <vt:variant>
        <vt:lpwstr>_Training</vt:lpwstr>
      </vt:variant>
      <vt:variant>
        <vt:i4>1376307</vt:i4>
      </vt:variant>
      <vt:variant>
        <vt:i4>293</vt:i4>
      </vt:variant>
      <vt:variant>
        <vt:i4>0</vt:i4>
      </vt:variant>
      <vt:variant>
        <vt:i4>5</vt:i4>
      </vt:variant>
      <vt:variant>
        <vt:lpwstr/>
      </vt:variant>
      <vt:variant>
        <vt:lpwstr>_Toc115426515</vt:lpwstr>
      </vt:variant>
      <vt:variant>
        <vt:i4>1376307</vt:i4>
      </vt:variant>
      <vt:variant>
        <vt:i4>287</vt:i4>
      </vt:variant>
      <vt:variant>
        <vt:i4>0</vt:i4>
      </vt:variant>
      <vt:variant>
        <vt:i4>5</vt:i4>
      </vt:variant>
      <vt:variant>
        <vt:lpwstr/>
      </vt:variant>
      <vt:variant>
        <vt:lpwstr>_Toc115426514</vt:lpwstr>
      </vt:variant>
      <vt:variant>
        <vt:i4>1376307</vt:i4>
      </vt:variant>
      <vt:variant>
        <vt:i4>281</vt:i4>
      </vt:variant>
      <vt:variant>
        <vt:i4>0</vt:i4>
      </vt:variant>
      <vt:variant>
        <vt:i4>5</vt:i4>
      </vt:variant>
      <vt:variant>
        <vt:lpwstr/>
      </vt:variant>
      <vt:variant>
        <vt:lpwstr>_Toc115426513</vt:lpwstr>
      </vt:variant>
      <vt:variant>
        <vt:i4>1376307</vt:i4>
      </vt:variant>
      <vt:variant>
        <vt:i4>275</vt:i4>
      </vt:variant>
      <vt:variant>
        <vt:i4>0</vt:i4>
      </vt:variant>
      <vt:variant>
        <vt:i4>5</vt:i4>
      </vt:variant>
      <vt:variant>
        <vt:lpwstr/>
      </vt:variant>
      <vt:variant>
        <vt:lpwstr>_Toc115426512</vt:lpwstr>
      </vt:variant>
      <vt:variant>
        <vt:i4>1376307</vt:i4>
      </vt:variant>
      <vt:variant>
        <vt:i4>269</vt:i4>
      </vt:variant>
      <vt:variant>
        <vt:i4>0</vt:i4>
      </vt:variant>
      <vt:variant>
        <vt:i4>5</vt:i4>
      </vt:variant>
      <vt:variant>
        <vt:lpwstr/>
      </vt:variant>
      <vt:variant>
        <vt:lpwstr>_Toc115426511</vt:lpwstr>
      </vt:variant>
      <vt:variant>
        <vt:i4>1376307</vt:i4>
      </vt:variant>
      <vt:variant>
        <vt:i4>263</vt:i4>
      </vt:variant>
      <vt:variant>
        <vt:i4>0</vt:i4>
      </vt:variant>
      <vt:variant>
        <vt:i4>5</vt:i4>
      </vt:variant>
      <vt:variant>
        <vt:lpwstr/>
      </vt:variant>
      <vt:variant>
        <vt:lpwstr>_Toc115426510</vt:lpwstr>
      </vt:variant>
      <vt:variant>
        <vt:i4>1310771</vt:i4>
      </vt:variant>
      <vt:variant>
        <vt:i4>257</vt:i4>
      </vt:variant>
      <vt:variant>
        <vt:i4>0</vt:i4>
      </vt:variant>
      <vt:variant>
        <vt:i4>5</vt:i4>
      </vt:variant>
      <vt:variant>
        <vt:lpwstr/>
      </vt:variant>
      <vt:variant>
        <vt:lpwstr>_Toc115426509</vt:lpwstr>
      </vt:variant>
      <vt:variant>
        <vt:i4>1310771</vt:i4>
      </vt:variant>
      <vt:variant>
        <vt:i4>251</vt:i4>
      </vt:variant>
      <vt:variant>
        <vt:i4>0</vt:i4>
      </vt:variant>
      <vt:variant>
        <vt:i4>5</vt:i4>
      </vt:variant>
      <vt:variant>
        <vt:lpwstr/>
      </vt:variant>
      <vt:variant>
        <vt:lpwstr>_Toc115426508</vt:lpwstr>
      </vt:variant>
      <vt:variant>
        <vt:i4>1310771</vt:i4>
      </vt:variant>
      <vt:variant>
        <vt:i4>245</vt:i4>
      </vt:variant>
      <vt:variant>
        <vt:i4>0</vt:i4>
      </vt:variant>
      <vt:variant>
        <vt:i4>5</vt:i4>
      </vt:variant>
      <vt:variant>
        <vt:lpwstr/>
      </vt:variant>
      <vt:variant>
        <vt:lpwstr>_Toc115426507</vt:lpwstr>
      </vt:variant>
      <vt:variant>
        <vt:i4>1310771</vt:i4>
      </vt:variant>
      <vt:variant>
        <vt:i4>239</vt:i4>
      </vt:variant>
      <vt:variant>
        <vt:i4>0</vt:i4>
      </vt:variant>
      <vt:variant>
        <vt:i4>5</vt:i4>
      </vt:variant>
      <vt:variant>
        <vt:lpwstr/>
      </vt:variant>
      <vt:variant>
        <vt:lpwstr>_Toc115426506</vt:lpwstr>
      </vt:variant>
      <vt:variant>
        <vt:i4>1310771</vt:i4>
      </vt:variant>
      <vt:variant>
        <vt:i4>233</vt:i4>
      </vt:variant>
      <vt:variant>
        <vt:i4>0</vt:i4>
      </vt:variant>
      <vt:variant>
        <vt:i4>5</vt:i4>
      </vt:variant>
      <vt:variant>
        <vt:lpwstr/>
      </vt:variant>
      <vt:variant>
        <vt:lpwstr>_Toc115426505</vt:lpwstr>
      </vt:variant>
      <vt:variant>
        <vt:i4>1310771</vt:i4>
      </vt:variant>
      <vt:variant>
        <vt:i4>227</vt:i4>
      </vt:variant>
      <vt:variant>
        <vt:i4>0</vt:i4>
      </vt:variant>
      <vt:variant>
        <vt:i4>5</vt:i4>
      </vt:variant>
      <vt:variant>
        <vt:lpwstr/>
      </vt:variant>
      <vt:variant>
        <vt:lpwstr>_Toc115426504</vt:lpwstr>
      </vt:variant>
      <vt:variant>
        <vt:i4>1310771</vt:i4>
      </vt:variant>
      <vt:variant>
        <vt:i4>221</vt:i4>
      </vt:variant>
      <vt:variant>
        <vt:i4>0</vt:i4>
      </vt:variant>
      <vt:variant>
        <vt:i4>5</vt:i4>
      </vt:variant>
      <vt:variant>
        <vt:lpwstr/>
      </vt:variant>
      <vt:variant>
        <vt:lpwstr>_Toc115426503</vt:lpwstr>
      </vt:variant>
      <vt:variant>
        <vt:i4>1310771</vt:i4>
      </vt:variant>
      <vt:variant>
        <vt:i4>215</vt:i4>
      </vt:variant>
      <vt:variant>
        <vt:i4>0</vt:i4>
      </vt:variant>
      <vt:variant>
        <vt:i4>5</vt:i4>
      </vt:variant>
      <vt:variant>
        <vt:lpwstr/>
      </vt:variant>
      <vt:variant>
        <vt:lpwstr>_Toc115426502</vt:lpwstr>
      </vt:variant>
      <vt:variant>
        <vt:i4>1310771</vt:i4>
      </vt:variant>
      <vt:variant>
        <vt:i4>209</vt:i4>
      </vt:variant>
      <vt:variant>
        <vt:i4>0</vt:i4>
      </vt:variant>
      <vt:variant>
        <vt:i4>5</vt:i4>
      </vt:variant>
      <vt:variant>
        <vt:lpwstr/>
      </vt:variant>
      <vt:variant>
        <vt:lpwstr>_Toc115426501</vt:lpwstr>
      </vt:variant>
      <vt:variant>
        <vt:i4>1310771</vt:i4>
      </vt:variant>
      <vt:variant>
        <vt:i4>203</vt:i4>
      </vt:variant>
      <vt:variant>
        <vt:i4>0</vt:i4>
      </vt:variant>
      <vt:variant>
        <vt:i4>5</vt:i4>
      </vt:variant>
      <vt:variant>
        <vt:lpwstr/>
      </vt:variant>
      <vt:variant>
        <vt:lpwstr>_Toc115426500</vt:lpwstr>
      </vt:variant>
      <vt:variant>
        <vt:i4>1900594</vt:i4>
      </vt:variant>
      <vt:variant>
        <vt:i4>197</vt:i4>
      </vt:variant>
      <vt:variant>
        <vt:i4>0</vt:i4>
      </vt:variant>
      <vt:variant>
        <vt:i4>5</vt:i4>
      </vt:variant>
      <vt:variant>
        <vt:lpwstr/>
      </vt:variant>
      <vt:variant>
        <vt:lpwstr>_Toc115426499</vt:lpwstr>
      </vt:variant>
      <vt:variant>
        <vt:i4>1900594</vt:i4>
      </vt:variant>
      <vt:variant>
        <vt:i4>191</vt:i4>
      </vt:variant>
      <vt:variant>
        <vt:i4>0</vt:i4>
      </vt:variant>
      <vt:variant>
        <vt:i4>5</vt:i4>
      </vt:variant>
      <vt:variant>
        <vt:lpwstr/>
      </vt:variant>
      <vt:variant>
        <vt:lpwstr>_Toc115426498</vt:lpwstr>
      </vt:variant>
      <vt:variant>
        <vt:i4>1900594</vt:i4>
      </vt:variant>
      <vt:variant>
        <vt:i4>185</vt:i4>
      </vt:variant>
      <vt:variant>
        <vt:i4>0</vt:i4>
      </vt:variant>
      <vt:variant>
        <vt:i4>5</vt:i4>
      </vt:variant>
      <vt:variant>
        <vt:lpwstr/>
      </vt:variant>
      <vt:variant>
        <vt:lpwstr>_Toc115426497</vt:lpwstr>
      </vt:variant>
      <vt:variant>
        <vt:i4>1900594</vt:i4>
      </vt:variant>
      <vt:variant>
        <vt:i4>179</vt:i4>
      </vt:variant>
      <vt:variant>
        <vt:i4>0</vt:i4>
      </vt:variant>
      <vt:variant>
        <vt:i4>5</vt:i4>
      </vt:variant>
      <vt:variant>
        <vt:lpwstr/>
      </vt:variant>
      <vt:variant>
        <vt:lpwstr>_Toc115426496</vt:lpwstr>
      </vt:variant>
      <vt:variant>
        <vt:i4>1900594</vt:i4>
      </vt:variant>
      <vt:variant>
        <vt:i4>173</vt:i4>
      </vt:variant>
      <vt:variant>
        <vt:i4>0</vt:i4>
      </vt:variant>
      <vt:variant>
        <vt:i4>5</vt:i4>
      </vt:variant>
      <vt:variant>
        <vt:lpwstr/>
      </vt:variant>
      <vt:variant>
        <vt:lpwstr>_Toc115426495</vt:lpwstr>
      </vt:variant>
      <vt:variant>
        <vt:i4>1900594</vt:i4>
      </vt:variant>
      <vt:variant>
        <vt:i4>167</vt:i4>
      </vt:variant>
      <vt:variant>
        <vt:i4>0</vt:i4>
      </vt:variant>
      <vt:variant>
        <vt:i4>5</vt:i4>
      </vt:variant>
      <vt:variant>
        <vt:lpwstr/>
      </vt:variant>
      <vt:variant>
        <vt:lpwstr>_Toc115426494</vt:lpwstr>
      </vt:variant>
      <vt:variant>
        <vt:i4>1900594</vt:i4>
      </vt:variant>
      <vt:variant>
        <vt:i4>161</vt:i4>
      </vt:variant>
      <vt:variant>
        <vt:i4>0</vt:i4>
      </vt:variant>
      <vt:variant>
        <vt:i4>5</vt:i4>
      </vt:variant>
      <vt:variant>
        <vt:lpwstr/>
      </vt:variant>
      <vt:variant>
        <vt:lpwstr>_Toc115426493</vt:lpwstr>
      </vt:variant>
      <vt:variant>
        <vt:i4>1900594</vt:i4>
      </vt:variant>
      <vt:variant>
        <vt:i4>155</vt:i4>
      </vt:variant>
      <vt:variant>
        <vt:i4>0</vt:i4>
      </vt:variant>
      <vt:variant>
        <vt:i4>5</vt:i4>
      </vt:variant>
      <vt:variant>
        <vt:lpwstr/>
      </vt:variant>
      <vt:variant>
        <vt:lpwstr>_Toc115426492</vt:lpwstr>
      </vt:variant>
      <vt:variant>
        <vt:i4>1900594</vt:i4>
      </vt:variant>
      <vt:variant>
        <vt:i4>149</vt:i4>
      </vt:variant>
      <vt:variant>
        <vt:i4>0</vt:i4>
      </vt:variant>
      <vt:variant>
        <vt:i4>5</vt:i4>
      </vt:variant>
      <vt:variant>
        <vt:lpwstr/>
      </vt:variant>
      <vt:variant>
        <vt:lpwstr>_Toc115426491</vt:lpwstr>
      </vt:variant>
      <vt:variant>
        <vt:i4>1900594</vt:i4>
      </vt:variant>
      <vt:variant>
        <vt:i4>143</vt:i4>
      </vt:variant>
      <vt:variant>
        <vt:i4>0</vt:i4>
      </vt:variant>
      <vt:variant>
        <vt:i4>5</vt:i4>
      </vt:variant>
      <vt:variant>
        <vt:lpwstr/>
      </vt:variant>
      <vt:variant>
        <vt:lpwstr>_Toc115426490</vt:lpwstr>
      </vt:variant>
      <vt:variant>
        <vt:i4>1835058</vt:i4>
      </vt:variant>
      <vt:variant>
        <vt:i4>137</vt:i4>
      </vt:variant>
      <vt:variant>
        <vt:i4>0</vt:i4>
      </vt:variant>
      <vt:variant>
        <vt:i4>5</vt:i4>
      </vt:variant>
      <vt:variant>
        <vt:lpwstr/>
      </vt:variant>
      <vt:variant>
        <vt:lpwstr>_Toc115426489</vt:lpwstr>
      </vt:variant>
      <vt:variant>
        <vt:i4>1835058</vt:i4>
      </vt:variant>
      <vt:variant>
        <vt:i4>131</vt:i4>
      </vt:variant>
      <vt:variant>
        <vt:i4>0</vt:i4>
      </vt:variant>
      <vt:variant>
        <vt:i4>5</vt:i4>
      </vt:variant>
      <vt:variant>
        <vt:lpwstr/>
      </vt:variant>
      <vt:variant>
        <vt:lpwstr>_Toc115426488</vt:lpwstr>
      </vt:variant>
      <vt:variant>
        <vt:i4>1835058</vt:i4>
      </vt:variant>
      <vt:variant>
        <vt:i4>125</vt:i4>
      </vt:variant>
      <vt:variant>
        <vt:i4>0</vt:i4>
      </vt:variant>
      <vt:variant>
        <vt:i4>5</vt:i4>
      </vt:variant>
      <vt:variant>
        <vt:lpwstr/>
      </vt:variant>
      <vt:variant>
        <vt:lpwstr>_Toc115426487</vt:lpwstr>
      </vt:variant>
      <vt:variant>
        <vt:i4>1835058</vt:i4>
      </vt:variant>
      <vt:variant>
        <vt:i4>119</vt:i4>
      </vt:variant>
      <vt:variant>
        <vt:i4>0</vt:i4>
      </vt:variant>
      <vt:variant>
        <vt:i4>5</vt:i4>
      </vt:variant>
      <vt:variant>
        <vt:lpwstr/>
      </vt:variant>
      <vt:variant>
        <vt:lpwstr>_Toc115426486</vt:lpwstr>
      </vt:variant>
      <vt:variant>
        <vt:i4>1835058</vt:i4>
      </vt:variant>
      <vt:variant>
        <vt:i4>113</vt:i4>
      </vt:variant>
      <vt:variant>
        <vt:i4>0</vt:i4>
      </vt:variant>
      <vt:variant>
        <vt:i4>5</vt:i4>
      </vt:variant>
      <vt:variant>
        <vt:lpwstr/>
      </vt:variant>
      <vt:variant>
        <vt:lpwstr>_Toc115426485</vt:lpwstr>
      </vt:variant>
      <vt:variant>
        <vt:i4>1835058</vt:i4>
      </vt:variant>
      <vt:variant>
        <vt:i4>107</vt:i4>
      </vt:variant>
      <vt:variant>
        <vt:i4>0</vt:i4>
      </vt:variant>
      <vt:variant>
        <vt:i4>5</vt:i4>
      </vt:variant>
      <vt:variant>
        <vt:lpwstr/>
      </vt:variant>
      <vt:variant>
        <vt:lpwstr>_Toc115426484</vt:lpwstr>
      </vt:variant>
      <vt:variant>
        <vt:i4>1835058</vt:i4>
      </vt:variant>
      <vt:variant>
        <vt:i4>101</vt:i4>
      </vt:variant>
      <vt:variant>
        <vt:i4>0</vt:i4>
      </vt:variant>
      <vt:variant>
        <vt:i4>5</vt:i4>
      </vt:variant>
      <vt:variant>
        <vt:lpwstr/>
      </vt:variant>
      <vt:variant>
        <vt:lpwstr>_Toc115426483</vt:lpwstr>
      </vt:variant>
      <vt:variant>
        <vt:i4>1835058</vt:i4>
      </vt:variant>
      <vt:variant>
        <vt:i4>95</vt:i4>
      </vt:variant>
      <vt:variant>
        <vt:i4>0</vt:i4>
      </vt:variant>
      <vt:variant>
        <vt:i4>5</vt:i4>
      </vt:variant>
      <vt:variant>
        <vt:lpwstr/>
      </vt:variant>
      <vt:variant>
        <vt:lpwstr>_Toc115426482</vt:lpwstr>
      </vt:variant>
      <vt:variant>
        <vt:i4>1835058</vt:i4>
      </vt:variant>
      <vt:variant>
        <vt:i4>89</vt:i4>
      </vt:variant>
      <vt:variant>
        <vt:i4>0</vt:i4>
      </vt:variant>
      <vt:variant>
        <vt:i4>5</vt:i4>
      </vt:variant>
      <vt:variant>
        <vt:lpwstr/>
      </vt:variant>
      <vt:variant>
        <vt:lpwstr>_Toc115426481</vt:lpwstr>
      </vt:variant>
      <vt:variant>
        <vt:i4>1835058</vt:i4>
      </vt:variant>
      <vt:variant>
        <vt:i4>83</vt:i4>
      </vt:variant>
      <vt:variant>
        <vt:i4>0</vt:i4>
      </vt:variant>
      <vt:variant>
        <vt:i4>5</vt:i4>
      </vt:variant>
      <vt:variant>
        <vt:lpwstr/>
      </vt:variant>
      <vt:variant>
        <vt:lpwstr>_Toc115426480</vt:lpwstr>
      </vt:variant>
      <vt:variant>
        <vt:i4>1245234</vt:i4>
      </vt:variant>
      <vt:variant>
        <vt:i4>77</vt:i4>
      </vt:variant>
      <vt:variant>
        <vt:i4>0</vt:i4>
      </vt:variant>
      <vt:variant>
        <vt:i4>5</vt:i4>
      </vt:variant>
      <vt:variant>
        <vt:lpwstr/>
      </vt:variant>
      <vt:variant>
        <vt:lpwstr>_Toc115426479</vt:lpwstr>
      </vt:variant>
      <vt:variant>
        <vt:i4>1245234</vt:i4>
      </vt:variant>
      <vt:variant>
        <vt:i4>71</vt:i4>
      </vt:variant>
      <vt:variant>
        <vt:i4>0</vt:i4>
      </vt:variant>
      <vt:variant>
        <vt:i4>5</vt:i4>
      </vt:variant>
      <vt:variant>
        <vt:lpwstr/>
      </vt:variant>
      <vt:variant>
        <vt:lpwstr>_Toc115426478</vt:lpwstr>
      </vt:variant>
      <vt:variant>
        <vt:i4>1245234</vt:i4>
      </vt:variant>
      <vt:variant>
        <vt:i4>65</vt:i4>
      </vt:variant>
      <vt:variant>
        <vt:i4>0</vt:i4>
      </vt:variant>
      <vt:variant>
        <vt:i4>5</vt:i4>
      </vt:variant>
      <vt:variant>
        <vt:lpwstr/>
      </vt:variant>
      <vt:variant>
        <vt:lpwstr>_Toc115426477</vt:lpwstr>
      </vt:variant>
      <vt:variant>
        <vt:i4>1245234</vt:i4>
      </vt:variant>
      <vt:variant>
        <vt:i4>59</vt:i4>
      </vt:variant>
      <vt:variant>
        <vt:i4>0</vt:i4>
      </vt:variant>
      <vt:variant>
        <vt:i4>5</vt:i4>
      </vt:variant>
      <vt:variant>
        <vt:lpwstr/>
      </vt:variant>
      <vt:variant>
        <vt:lpwstr>_Toc115426476</vt:lpwstr>
      </vt:variant>
      <vt:variant>
        <vt:i4>1245234</vt:i4>
      </vt:variant>
      <vt:variant>
        <vt:i4>53</vt:i4>
      </vt:variant>
      <vt:variant>
        <vt:i4>0</vt:i4>
      </vt:variant>
      <vt:variant>
        <vt:i4>5</vt:i4>
      </vt:variant>
      <vt:variant>
        <vt:lpwstr/>
      </vt:variant>
      <vt:variant>
        <vt:lpwstr>_Toc115426475</vt:lpwstr>
      </vt:variant>
      <vt:variant>
        <vt:i4>1245234</vt:i4>
      </vt:variant>
      <vt:variant>
        <vt:i4>47</vt:i4>
      </vt:variant>
      <vt:variant>
        <vt:i4>0</vt:i4>
      </vt:variant>
      <vt:variant>
        <vt:i4>5</vt:i4>
      </vt:variant>
      <vt:variant>
        <vt:lpwstr/>
      </vt:variant>
      <vt:variant>
        <vt:lpwstr>_Toc115426474</vt:lpwstr>
      </vt:variant>
      <vt:variant>
        <vt:i4>1245234</vt:i4>
      </vt:variant>
      <vt:variant>
        <vt:i4>41</vt:i4>
      </vt:variant>
      <vt:variant>
        <vt:i4>0</vt:i4>
      </vt:variant>
      <vt:variant>
        <vt:i4>5</vt:i4>
      </vt:variant>
      <vt:variant>
        <vt:lpwstr/>
      </vt:variant>
      <vt:variant>
        <vt:lpwstr>_Toc115426473</vt:lpwstr>
      </vt:variant>
      <vt:variant>
        <vt:i4>1245234</vt:i4>
      </vt:variant>
      <vt:variant>
        <vt:i4>35</vt:i4>
      </vt:variant>
      <vt:variant>
        <vt:i4>0</vt:i4>
      </vt:variant>
      <vt:variant>
        <vt:i4>5</vt:i4>
      </vt:variant>
      <vt:variant>
        <vt:lpwstr/>
      </vt:variant>
      <vt:variant>
        <vt:lpwstr>_Toc115426472</vt:lpwstr>
      </vt:variant>
      <vt:variant>
        <vt:i4>1245234</vt:i4>
      </vt:variant>
      <vt:variant>
        <vt:i4>29</vt:i4>
      </vt:variant>
      <vt:variant>
        <vt:i4>0</vt:i4>
      </vt:variant>
      <vt:variant>
        <vt:i4>5</vt:i4>
      </vt:variant>
      <vt:variant>
        <vt:lpwstr/>
      </vt:variant>
      <vt:variant>
        <vt:lpwstr>_Toc115426471</vt:lpwstr>
      </vt:variant>
      <vt:variant>
        <vt:i4>1245234</vt:i4>
      </vt:variant>
      <vt:variant>
        <vt:i4>23</vt:i4>
      </vt:variant>
      <vt:variant>
        <vt:i4>0</vt:i4>
      </vt:variant>
      <vt:variant>
        <vt:i4>5</vt:i4>
      </vt:variant>
      <vt:variant>
        <vt:lpwstr/>
      </vt:variant>
      <vt:variant>
        <vt:lpwstr>_Toc115426470</vt:lpwstr>
      </vt:variant>
      <vt:variant>
        <vt:i4>1179698</vt:i4>
      </vt:variant>
      <vt:variant>
        <vt:i4>17</vt:i4>
      </vt:variant>
      <vt:variant>
        <vt:i4>0</vt:i4>
      </vt:variant>
      <vt:variant>
        <vt:i4>5</vt:i4>
      </vt:variant>
      <vt:variant>
        <vt:lpwstr/>
      </vt:variant>
      <vt:variant>
        <vt:lpwstr>_Toc115426469</vt:lpwstr>
      </vt:variant>
      <vt:variant>
        <vt:i4>1179698</vt:i4>
      </vt:variant>
      <vt:variant>
        <vt:i4>11</vt:i4>
      </vt:variant>
      <vt:variant>
        <vt:i4>0</vt:i4>
      </vt:variant>
      <vt:variant>
        <vt:i4>5</vt:i4>
      </vt:variant>
      <vt:variant>
        <vt:lpwstr/>
      </vt:variant>
      <vt:variant>
        <vt:lpwstr>_Toc115426468</vt:lpwstr>
      </vt:variant>
      <vt:variant>
        <vt:i4>1179698</vt:i4>
      </vt:variant>
      <vt:variant>
        <vt:i4>5</vt:i4>
      </vt:variant>
      <vt:variant>
        <vt:i4>0</vt:i4>
      </vt:variant>
      <vt:variant>
        <vt:i4>5</vt:i4>
      </vt:variant>
      <vt:variant>
        <vt:lpwstr/>
      </vt:variant>
      <vt:variant>
        <vt:lpwstr>_Toc115426467</vt:lpwstr>
      </vt:variant>
      <vt:variant>
        <vt:i4>2359304</vt:i4>
      </vt:variant>
      <vt:variant>
        <vt:i4>0</vt:i4>
      </vt:variant>
      <vt:variant>
        <vt:i4>0</vt:i4>
      </vt:variant>
      <vt:variant>
        <vt:i4>5</vt:i4>
      </vt:variant>
      <vt:variant>
        <vt:lpwstr>mailto:immunisation@health.vic.gov.au</vt:lpwstr>
      </vt:variant>
      <vt:variant>
        <vt:lpwstr/>
      </vt:variant>
      <vt:variant>
        <vt:i4>6291574</vt:i4>
      </vt:variant>
      <vt:variant>
        <vt:i4>93</vt:i4>
      </vt:variant>
      <vt:variant>
        <vt:i4>0</vt:i4>
      </vt:variant>
      <vt:variant>
        <vt:i4>5</vt:i4>
      </vt:variant>
      <vt:variant>
        <vt:lpwstr>https://immunisationhandbook.health.gov.au/</vt:lpwstr>
      </vt:variant>
      <vt:variant>
        <vt:lpwstr/>
      </vt:variant>
      <vt:variant>
        <vt:i4>3735661</vt:i4>
      </vt:variant>
      <vt:variant>
        <vt:i4>90</vt:i4>
      </vt:variant>
      <vt:variant>
        <vt:i4>0</vt:i4>
      </vt:variant>
      <vt:variant>
        <vt:i4>5</vt:i4>
      </vt:variant>
      <vt:variant>
        <vt:lpwstr>https://immunisationhandbook.health.gov.au/vaccination-procedures/preparing-for-vaccination</vt:lpwstr>
      </vt:variant>
      <vt:variant>
        <vt:lpwstr/>
      </vt:variant>
      <vt:variant>
        <vt:i4>3735661</vt:i4>
      </vt:variant>
      <vt:variant>
        <vt:i4>87</vt:i4>
      </vt:variant>
      <vt:variant>
        <vt:i4>0</vt:i4>
      </vt:variant>
      <vt:variant>
        <vt:i4>5</vt:i4>
      </vt:variant>
      <vt:variant>
        <vt:lpwstr>https://immunisationhandbook.health.gov.au/vaccination-procedures/preparing-for-vaccination</vt:lpwstr>
      </vt:variant>
      <vt:variant>
        <vt:lpwstr/>
      </vt:variant>
      <vt:variant>
        <vt:i4>6291574</vt:i4>
      </vt:variant>
      <vt:variant>
        <vt:i4>84</vt:i4>
      </vt:variant>
      <vt:variant>
        <vt:i4>0</vt:i4>
      </vt:variant>
      <vt:variant>
        <vt:i4>5</vt:i4>
      </vt:variant>
      <vt:variant>
        <vt:lpwstr>https://immunisationhandbook.health.gov.au/</vt:lpwstr>
      </vt:variant>
      <vt:variant>
        <vt:lpwstr/>
      </vt:variant>
      <vt:variant>
        <vt:i4>5373971</vt:i4>
      </vt:variant>
      <vt:variant>
        <vt:i4>81</vt:i4>
      </vt:variant>
      <vt:variant>
        <vt:i4>0</vt:i4>
      </vt:variant>
      <vt:variant>
        <vt:i4>5</vt:i4>
      </vt:variant>
      <vt:variant>
        <vt:lpwstr>http://www.pharmacy.vic.gov.au/index.php?view=guidelines</vt:lpwstr>
      </vt:variant>
      <vt:variant>
        <vt:lpwstr/>
      </vt:variant>
      <vt:variant>
        <vt:i4>983152</vt:i4>
      </vt:variant>
      <vt:variant>
        <vt:i4>78</vt:i4>
      </vt:variant>
      <vt:variant>
        <vt:i4>0</vt:i4>
      </vt:variant>
      <vt:variant>
        <vt:i4>5</vt:i4>
      </vt:variant>
      <vt:variant>
        <vt:lpwstr>https://www.health.gov.au/sites/default/files/national-vaccine-storage-guidelines-strive-for-5_0.pdf</vt:lpwstr>
      </vt:variant>
      <vt:variant>
        <vt:lpwstr/>
      </vt:variant>
      <vt:variant>
        <vt:i4>3670059</vt:i4>
      </vt:variant>
      <vt:variant>
        <vt:i4>75</vt:i4>
      </vt:variant>
      <vt:variant>
        <vt:i4>0</vt:i4>
      </vt:variant>
      <vt:variant>
        <vt:i4>5</vt:i4>
      </vt:variant>
      <vt:variant>
        <vt:lpwstr>https://my.psa.org.au/s/article/immunisation-guidelines</vt:lpwstr>
      </vt:variant>
      <vt:variant>
        <vt:lpwstr/>
      </vt:variant>
      <vt:variant>
        <vt:i4>6291574</vt:i4>
      </vt:variant>
      <vt:variant>
        <vt:i4>72</vt:i4>
      </vt:variant>
      <vt:variant>
        <vt:i4>0</vt:i4>
      </vt:variant>
      <vt:variant>
        <vt:i4>5</vt:i4>
      </vt:variant>
      <vt:variant>
        <vt:lpwstr>https://immunisationhandbook.health.gov.au/</vt:lpwstr>
      </vt:variant>
      <vt:variant>
        <vt:lpwstr/>
      </vt:variant>
      <vt:variant>
        <vt:i4>7274596</vt:i4>
      </vt:variant>
      <vt:variant>
        <vt:i4>69</vt:i4>
      </vt:variant>
      <vt:variant>
        <vt:i4>0</vt:i4>
      </vt:variant>
      <vt:variant>
        <vt:i4>5</vt:i4>
      </vt:variant>
      <vt:variant>
        <vt:lpwstr>https://www.humanservices.gov.au/organisations/health-professionals/services/medicare/australian-immunisation-register-health-professionals</vt:lpwstr>
      </vt:variant>
      <vt:variant>
        <vt:lpwstr/>
      </vt:variant>
      <vt:variant>
        <vt:i4>1704028</vt:i4>
      </vt:variant>
      <vt:variant>
        <vt:i4>66</vt:i4>
      </vt:variant>
      <vt:variant>
        <vt:i4>0</vt:i4>
      </vt:variant>
      <vt:variant>
        <vt:i4>5</vt:i4>
      </vt:variant>
      <vt:variant>
        <vt:lpwstr>https://www.health.gov.au/resources/publications/national-vaccine-storage-guidelines-strive-for-5</vt:lpwstr>
      </vt:variant>
      <vt:variant>
        <vt:lpwstr/>
      </vt:variant>
      <vt:variant>
        <vt:i4>6291574</vt:i4>
      </vt:variant>
      <vt:variant>
        <vt:i4>63</vt:i4>
      </vt:variant>
      <vt:variant>
        <vt:i4>0</vt:i4>
      </vt:variant>
      <vt:variant>
        <vt:i4>5</vt:i4>
      </vt:variant>
      <vt:variant>
        <vt:lpwstr>https://immunisationhandbook.health.gov.au/</vt:lpwstr>
      </vt:variant>
      <vt:variant>
        <vt:lpwstr/>
      </vt:variant>
      <vt:variant>
        <vt:i4>4587608</vt:i4>
      </vt:variant>
      <vt:variant>
        <vt:i4>60</vt:i4>
      </vt:variant>
      <vt:variant>
        <vt:i4>0</vt:i4>
      </vt:variant>
      <vt:variant>
        <vt:i4>5</vt:i4>
      </vt:variant>
      <vt:variant>
        <vt:lpwstr>https://my.psa.org.au/s/article/Clinical-Governance-Principles-for-Pharmacy-Services</vt:lpwstr>
      </vt:variant>
      <vt:variant>
        <vt:lpwstr/>
      </vt:variant>
      <vt:variant>
        <vt:i4>5373971</vt:i4>
      </vt:variant>
      <vt:variant>
        <vt:i4>57</vt:i4>
      </vt:variant>
      <vt:variant>
        <vt:i4>0</vt:i4>
      </vt:variant>
      <vt:variant>
        <vt:i4>5</vt:i4>
      </vt:variant>
      <vt:variant>
        <vt:lpwstr>http://www.pharmacy.vic.gov.au/index.php?view=guidelines</vt:lpwstr>
      </vt:variant>
      <vt:variant>
        <vt:lpwstr/>
      </vt:variant>
      <vt:variant>
        <vt:i4>1704028</vt:i4>
      </vt:variant>
      <vt:variant>
        <vt:i4>54</vt:i4>
      </vt:variant>
      <vt:variant>
        <vt:i4>0</vt:i4>
      </vt:variant>
      <vt:variant>
        <vt:i4>5</vt:i4>
      </vt:variant>
      <vt:variant>
        <vt:lpwstr>https://www.health.gov.au/resources/publications/national-vaccine-storage-guidelines-strive-for-5</vt:lpwstr>
      </vt:variant>
      <vt:variant>
        <vt:lpwstr/>
      </vt:variant>
      <vt:variant>
        <vt:i4>720979</vt:i4>
      </vt:variant>
      <vt:variant>
        <vt:i4>51</vt:i4>
      </vt:variant>
      <vt:variant>
        <vt:i4>0</vt:i4>
      </vt:variant>
      <vt:variant>
        <vt:i4>5</vt:i4>
      </vt:variant>
      <vt:variant>
        <vt:lpwstr>https://nhmrc.govcms.gov.au/about-us/publications/australian-guidelines-prevention-and-control-infection-healthcare-2019</vt:lpwstr>
      </vt:variant>
      <vt:variant>
        <vt:lpwstr/>
      </vt:variant>
      <vt:variant>
        <vt:i4>3735661</vt:i4>
      </vt:variant>
      <vt:variant>
        <vt:i4>48</vt:i4>
      </vt:variant>
      <vt:variant>
        <vt:i4>0</vt:i4>
      </vt:variant>
      <vt:variant>
        <vt:i4>5</vt:i4>
      </vt:variant>
      <vt:variant>
        <vt:lpwstr>https://immunisationhandbook.health.gov.au/vaccination-procedures/preparing-for-vaccination</vt:lpwstr>
      </vt:variant>
      <vt:variant>
        <vt:lpwstr/>
      </vt:variant>
      <vt:variant>
        <vt:i4>2031724</vt:i4>
      </vt:variant>
      <vt:variant>
        <vt:i4>45</vt:i4>
      </vt:variant>
      <vt:variant>
        <vt:i4>0</vt:i4>
      </vt:variant>
      <vt:variant>
        <vt:i4>5</vt:i4>
      </vt:variant>
      <vt:variant>
        <vt:lpwstr>https://www.psa.org.au/wp-content/uploads/2019/05/PSAClinicalGovernancePrinciples2018_FINAL.pdf</vt:lpwstr>
      </vt:variant>
      <vt:variant>
        <vt:lpwstr/>
      </vt:variant>
      <vt:variant>
        <vt:i4>6881380</vt:i4>
      </vt:variant>
      <vt:variant>
        <vt:i4>42</vt:i4>
      </vt:variant>
      <vt:variant>
        <vt:i4>0</vt:i4>
      </vt:variant>
      <vt:variant>
        <vt:i4>5</vt:i4>
      </vt:variant>
      <vt:variant>
        <vt:lpwstr>https://www.psa.org.au/practice-support-industry/national-competency-standards/</vt:lpwstr>
      </vt:variant>
      <vt:variant>
        <vt:lpwstr/>
      </vt:variant>
      <vt:variant>
        <vt:i4>786517</vt:i4>
      </vt:variant>
      <vt:variant>
        <vt:i4>39</vt:i4>
      </vt:variant>
      <vt:variant>
        <vt:i4>0</vt:i4>
      </vt:variant>
      <vt:variant>
        <vt:i4>5</vt:i4>
      </vt:variant>
      <vt:variant>
        <vt:lpwstr>https://www.bettersafercare.vic.gov.au/reports-and-publications/clinical-governance-framework</vt:lpwstr>
      </vt:variant>
      <vt:variant>
        <vt:lpwstr/>
      </vt:variant>
      <vt:variant>
        <vt:i4>6291574</vt:i4>
      </vt:variant>
      <vt:variant>
        <vt:i4>36</vt:i4>
      </vt:variant>
      <vt:variant>
        <vt:i4>0</vt:i4>
      </vt:variant>
      <vt:variant>
        <vt:i4>5</vt:i4>
      </vt:variant>
      <vt:variant>
        <vt:lpwstr>https://immunisationhandbook.health.gov.au/</vt:lpwstr>
      </vt:variant>
      <vt:variant>
        <vt:lpwstr/>
      </vt:variant>
      <vt:variant>
        <vt:i4>4522014</vt:i4>
      </vt:variant>
      <vt:variant>
        <vt:i4>33</vt:i4>
      </vt:variant>
      <vt:variant>
        <vt:i4>0</vt:i4>
      </vt:variant>
      <vt:variant>
        <vt:i4>5</vt:i4>
      </vt:variant>
      <vt:variant>
        <vt:lpwstr>https://www.health.gov.au/sites/default/files/documents/2022/05/statement-on-the-clinical-use-of-zoster-vaccine-in-older-adults-in-australia-statement-on-the-clinical-use-of-zoster-vaccine-in-older-adults-in-australia.pdf</vt:lpwstr>
      </vt:variant>
      <vt:variant>
        <vt:lpwstr/>
      </vt:variant>
      <vt:variant>
        <vt:i4>6291574</vt:i4>
      </vt:variant>
      <vt:variant>
        <vt:i4>30</vt:i4>
      </vt:variant>
      <vt:variant>
        <vt:i4>0</vt:i4>
      </vt:variant>
      <vt:variant>
        <vt:i4>5</vt:i4>
      </vt:variant>
      <vt:variant>
        <vt:lpwstr>https://immunisationhandbook.health.gov.au/</vt:lpwstr>
      </vt:variant>
      <vt:variant>
        <vt:lpwstr/>
      </vt:variant>
      <vt:variant>
        <vt:i4>6619235</vt:i4>
      </vt:variant>
      <vt:variant>
        <vt:i4>27</vt:i4>
      </vt:variant>
      <vt:variant>
        <vt:i4>0</vt:i4>
      </vt:variant>
      <vt:variant>
        <vt:i4>5</vt:i4>
      </vt:variant>
      <vt:variant>
        <vt:lpwstr>https://www2.health.vic.gov.au/public-health/immunisation/immunisers-in-victoria/pharmacist-immunisers</vt:lpwstr>
      </vt:variant>
      <vt:variant>
        <vt:lpwstr/>
      </vt:variant>
      <vt:variant>
        <vt:i4>7340068</vt:i4>
      </vt:variant>
      <vt:variant>
        <vt:i4>24</vt:i4>
      </vt:variant>
      <vt:variant>
        <vt:i4>0</vt:i4>
      </vt:variant>
      <vt:variant>
        <vt:i4>5</vt:i4>
      </vt:variant>
      <vt:variant>
        <vt:lpwstr>https://my.psa.org.au/s/article/Professional-Practice-Standards</vt:lpwstr>
      </vt:variant>
      <vt:variant>
        <vt:lpwstr/>
      </vt:variant>
      <vt:variant>
        <vt:i4>1703956</vt:i4>
      </vt:variant>
      <vt:variant>
        <vt:i4>21</vt:i4>
      </vt:variant>
      <vt:variant>
        <vt:i4>0</vt:i4>
      </vt:variant>
      <vt:variant>
        <vt:i4>5</vt:i4>
      </vt:variant>
      <vt:variant>
        <vt:lpwstr>http://www.pharmacyboard.gov.au/Codes-Guidelines/Code-of-conduct.aspx</vt:lpwstr>
      </vt:variant>
      <vt:variant>
        <vt:lpwstr/>
      </vt:variant>
      <vt:variant>
        <vt:i4>2097270</vt:i4>
      </vt:variant>
      <vt:variant>
        <vt:i4>18</vt:i4>
      </vt:variant>
      <vt:variant>
        <vt:i4>0</vt:i4>
      </vt:variant>
      <vt:variant>
        <vt:i4>5</vt:i4>
      </vt:variant>
      <vt:variant>
        <vt:lpwstr>https://www.health.gov.au/resources/publications/national-immunisation-education-framework-for-health-professionals</vt:lpwstr>
      </vt:variant>
      <vt:variant>
        <vt:lpwstr/>
      </vt:variant>
      <vt:variant>
        <vt:i4>3014695</vt:i4>
      </vt:variant>
      <vt:variant>
        <vt:i4>15</vt:i4>
      </vt:variant>
      <vt:variant>
        <vt:i4>0</vt:i4>
      </vt:variant>
      <vt:variant>
        <vt:i4>5</vt:i4>
      </vt:variant>
      <vt:variant>
        <vt:lpwstr>https://www.health.vic.gov.au/infectious-diseases/monkeypox</vt:lpwstr>
      </vt:variant>
      <vt:variant>
        <vt:lpwstr/>
      </vt:variant>
      <vt:variant>
        <vt:i4>3014695</vt:i4>
      </vt:variant>
      <vt:variant>
        <vt:i4>12</vt:i4>
      </vt:variant>
      <vt:variant>
        <vt:i4>0</vt:i4>
      </vt:variant>
      <vt:variant>
        <vt:i4>5</vt:i4>
      </vt:variant>
      <vt:variant>
        <vt:lpwstr>https://www.health.vic.gov.au/infectious-diseases/monkeypox</vt:lpwstr>
      </vt:variant>
      <vt:variant>
        <vt:lpwstr/>
      </vt:variant>
      <vt:variant>
        <vt:i4>5046336</vt:i4>
      </vt:variant>
      <vt:variant>
        <vt:i4>9</vt:i4>
      </vt:variant>
      <vt:variant>
        <vt:i4>0</vt:i4>
      </vt:variant>
      <vt:variant>
        <vt:i4>5</vt:i4>
      </vt:variant>
      <vt:variant>
        <vt:lpwstr>https://www.coronavirus.vic.gov.au/information-covid-19-vaccine-providers</vt:lpwstr>
      </vt:variant>
      <vt:variant>
        <vt:lpwstr/>
      </vt:variant>
      <vt:variant>
        <vt:i4>3014695</vt:i4>
      </vt:variant>
      <vt:variant>
        <vt:i4>6</vt:i4>
      </vt:variant>
      <vt:variant>
        <vt:i4>0</vt:i4>
      </vt:variant>
      <vt:variant>
        <vt:i4>5</vt:i4>
      </vt:variant>
      <vt:variant>
        <vt:lpwstr>https://www.health.vic.gov.au/infectious-diseases/monkeypox</vt:lpwstr>
      </vt:variant>
      <vt:variant>
        <vt:lpwstr/>
      </vt:variant>
      <vt:variant>
        <vt:i4>5832712</vt:i4>
      </vt:variant>
      <vt:variant>
        <vt:i4>3</vt:i4>
      </vt:variant>
      <vt:variant>
        <vt:i4>0</vt:i4>
      </vt:variant>
      <vt:variant>
        <vt:i4>5</vt:i4>
      </vt:variant>
      <vt:variant>
        <vt:lpwstr>https://www.health.vic.gov.au/infectious-diseases/information-for-health-professionals-japanese-encephalitis-in-victoria</vt:lpwstr>
      </vt:variant>
      <vt:variant>
        <vt:lpwstr/>
      </vt:variant>
      <vt:variant>
        <vt:i4>6619235</vt:i4>
      </vt:variant>
      <vt:variant>
        <vt:i4>0</vt:i4>
      </vt:variant>
      <vt:variant>
        <vt:i4>0</vt:i4>
      </vt:variant>
      <vt:variant>
        <vt:i4>5</vt:i4>
      </vt:variant>
      <vt:variant>
        <vt:lpwstr>https://www2.health.vic.gov.au/public-health/immunisation/immunisers-in-victoria/pharmacist-immunisers</vt:lpwstr>
      </vt:variant>
      <vt:variant>
        <vt:lpwstr/>
      </vt:variant>
      <vt:variant>
        <vt:i4>1376376</vt:i4>
      </vt:variant>
      <vt:variant>
        <vt:i4>3</vt:i4>
      </vt:variant>
      <vt:variant>
        <vt:i4>0</vt:i4>
      </vt:variant>
      <vt:variant>
        <vt:i4>5</vt:i4>
      </vt:variant>
      <vt:variant>
        <vt:lpwstr>mailto:nick.wilson@health.vic.gov.au</vt:lpwstr>
      </vt:variant>
      <vt:variant>
        <vt:lpwstr/>
      </vt:variant>
      <vt:variant>
        <vt:i4>1376376</vt:i4>
      </vt:variant>
      <vt:variant>
        <vt:i4>0</vt:i4>
      </vt:variant>
      <vt:variant>
        <vt:i4>0</vt:i4>
      </vt:variant>
      <vt:variant>
        <vt:i4>5</vt:i4>
      </vt:variant>
      <vt:variant>
        <vt:lpwstr>mailto:nick.wilson@health.vic.gov.au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DH blue report</dc:title>
  <dc:subject/>
  <dc:creator>Brittany X Geritz (Health)</dc:creator>
  <cp:keywords/>
  <dc:description/>
  <cp:lastModifiedBy>Nick Wilson (Health)</cp:lastModifiedBy>
  <cp:revision>6</cp:revision>
  <cp:lastPrinted>2021-01-30T00:27:00Z</cp:lastPrinted>
  <dcterms:created xsi:type="dcterms:W3CDTF">2022-09-30T08:14:00Z</dcterms:created>
  <dcterms:modified xsi:type="dcterms:W3CDTF">2022-10-02T22:04:00Z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0x010100A2DFF03779B5A84C9EDCC583EFC503D8</vt:lpwstr>
  </property>
  <property fmtid="{D5CDD505-2E9C-101B-9397-08002B2CF9AE}" pid="4" name="version">
    <vt:lpwstr>v5 15032021</vt:lpwstr>
  </property>
  <property fmtid="{D5CDD505-2E9C-101B-9397-08002B2CF9AE}" pid="5" name="MediaServiceImageTags">
    <vt:lpwstr/>
  </property>
  <property fmtid="{D5CDD505-2E9C-101B-9397-08002B2CF9AE}" pid="6" name="MSIP_Label_43e64453-338c-4f93-8a4d-0039a0a41f2a_Enabled">
    <vt:lpwstr>true</vt:lpwstr>
  </property>
  <property fmtid="{D5CDD505-2E9C-101B-9397-08002B2CF9AE}" pid="7" name="MSIP_Label_43e64453-338c-4f93-8a4d-0039a0a41f2a_SetDate">
    <vt:lpwstr>2022-09-30T08:17:50Z</vt:lpwstr>
  </property>
  <property fmtid="{D5CDD505-2E9C-101B-9397-08002B2CF9AE}" pid="8" name="MSIP_Label_43e64453-338c-4f93-8a4d-0039a0a41f2a_Method">
    <vt:lpwstr>Privileged</vt:lpwstr>
  </property>
  <property fmtid="{D5CDD505-2E9C-101B-9397-08002B2CF9AE}" pid="9" name="MSIP_Label_43e64453-338c-4f93-8a4d-0039a0a41f2a_Name">
    <vt:lpwstr>43e64453-338c-4f93-8a4d-0039a0a41f2a</vt:lpwstr>
  </property>
  <property fmtid="{D5CDD505-2E9C-101B-9397-08002B2CF9AE}" pid="10" name="MSIP_Label_43e64453-338c-4f93-8a4d-0039a0a41f2a_SiteId">
    <vt:lpwstr>c0e0601f-0fac-449c-9c88-a104c4eb9f28</vt:lpwstr>
  </property>
  <property fmtid="{D5CDD505-2E9C-101B-9397-08002B2CF9AE}" pid="11" name="MSIP_Label_43e64453-338c-4f93-8a4d-0039a0a41f2a_ActionId">
    <vt:lpwstr>b4750f5b-6b07-46a9-8f3b-7c8e7f46dadd</vt:lpwstr>
  </property>
  <property fmtid="{D5CDD505-2E9C-101B-9397-08002B2CF9AE}" pid="12" name="MSIP_Label_43e64453-338c-4f93-8a4d-0039a0a41f2a_ContentBits">
    <vt:lpwstr>2</vt:lpwstr>
  </property>
</Properties>
</file>