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8A85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A8E1110" wp14:editId="27316B6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37FB3CE"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7DAA304" w14:textId="77777777" w:rsidTr="00B07FF7">
        <w:trPr>
          <w:trHeight w:val="622"/>
        </w:trPr>
        <w:tc>
          <w:tcPr>
            <w:tcW w:w="10348" w:type="dxa"/>
            <w:tcMar>
              <w:top w:w="1531" w:type="dxa"/>
              <w:left w:w="0" w:type="dxa"/>
              <w:right w:w="0" w:type="dxa"/>
            </w:tcMar>
          </w:tcPr>
          <w:p w14:paraId="4521AC45" w14:textId="2A4F95DC" w:rsidR="003B5733" w:rsidRPr="003B5733" w:rsidRDefault="003E3383" w:rsidP="003B5733">
            <w:pPr>
              <w:pStyle w:val="Documenttitle"/>
            </w:pPr>
            <w:r>
              <w:t xml:space="preserve">Secretary Approval: Pharmacist </w:t>
            </w:r>
            <w:r w:rsidR="005756F0">
              <w:t>I</w:t>
            </w:r>
            <w:r>
              <w:t>mmuniser</w:t>
            </w:r>
          </w:p>
        </w:tc>
      </w:tr>
      <w:tr w:rsidR="003E3383" w14:paraId="4EF6FD76" w14:textId="77777777" w:rsidTr="00B07FF7">
        <w:tc>
          <w:tcPr>
            <w:tcW w:w="10348" w:type="dxa"/>
          </w:tcPr>
          <w:p w14:paraId="235389BD" w14:textId="77777777" w:rsidR="003E3383" w:rsidRDefault="003E3383" w:rsidP="003E3383">
            <w:pPr>
              <w:pStyle w:val="Documentsubtitle"/>
              <w:jc w:val="center"/>
              <w:rPr>
                <w:rFonts w:cs="Arial"/>
                <w:color w:val="auto"/>
              </w:rPr>
            </w:pPr>
          </w:p>
          <w:p w14:paraId="79895EEA" w14:textId="1483E777" w:rsidR="003E3383" w:rsidRPr="003E3383" w:rsidRDefault="003E3383" w:rsidP="003E3383">
            <w:pPr>
              <w:pStyle w:val="Documentsubtitle"/>
              <w:jc w:val="center"/>
              <w:rPr>
                <w:rFonts w:cs="Arial"/>
                <w:color w:val="auto"/>
              </w:rPr>
            </w:pPr>
            <w:r w:rsidRPr="003E3383">
              <w:rPr>
                <w:rFonts w:cs="Arial"/>
                <w:color w:val="auto"/>
              </w:rPr>
              <w:t>DRUGS, POISONS AND CONTROLLED SUBSTANCES REGULATIONS 2017</w:t>
            </w:r>
          </w:p>
          <w:p w14:paraId="2A9F885A" w14:textId="36501489" w:rsidR="003E3383" w:rsidRPr="00FA2CFB" w:rsidRDefault="003E3383" w:rsidP="003E3383">
            <w:pPr>
              <w:pStyle w:val="Documentsubtitle"/>
              <w:jc w:val="center"/>
              <w:rPr>
                <w:rFonts w:cs="Arial"/>
                <w:color w:val="auto"/>
              </w:rPr>
            </w:pPr>
            <w:r>
              <w:rPr>
                <w:rFonts w:cs="Arial"/>
                <w:color w:val="auto"/>
              </w:rPr>
              <w:t xml:space="preserve">Approval under </w:t>
            </w:r>
            <w:r w:rsidR="004A0179">
              <w:rPr>
                <w:rFonts w:cs="Arial"/>
                <w:color w:val="auto"/>
              </w:rPr>
              <w:t>r</w:t>
            </w:r>
            <w:r>
              <w:rPr>
                <w:rFonts w:cs="Arial"/>
                <w:color w:val="auto"/>
              </w:rPr>
              <w:t>egulation 163</w:t>
            </w:r>
          </w:p>
          <w:p w14:paraId="59ACA306" w14:textId="360E71B7" w:rsidR="003E3383" w:rsidRPr="00A1389F" w:rsidRDefault="003E3383" w:rsidP="003E3383">
            <w:pPr>
              <w:pStyle w:val="Documentsubtitle"/>
            </w:pPr>
          </w:p>
        </w:tc>
      </w:tr>
    </w:tbl>
    <w:p w14:paraId="28A769F5" w14:textId="10A81708" w:rsidR="000021F9" w:rsidRDefault="003E3383" w:rsidP="003E3383">
      <w:pPr>
        <w:autoSpaceDE w:val="0"/>
        <w:autoSpaceDN w:val="0"/>
        <w:adjustRightInd w:val="0"/>
        <w:spacing w:after="120" w:line="240" w:lineRule="auto"/>
        <w:rPr>
          <w:rFonts w:ascii="Arial" w:eastAsia="Times" w:hAnsi="Arial" w:cs="Times New Roman"/>
          <w:sz w:val="21"/>
          <w:szCs w:val="21"/>
        </w:rPr>
      </w:pPr>
      <w:r w:rsidRPr="00385A80">
        <w:rPr>
          <w:rFonts w:ascii="Arial" w:eastAsia="Times" w:hAnsi="Arial" w:cs="Times New Roman"/>
          <w:sz w:val="21"/>
          <w:szCs w:val="21"/>
        </w:rPr>
        <w:t xml:space="preserve">Pursuant to </w:t>
      </w:r>
      <w:r w:rsidR="00BC4FCD">
        <w:rPr>
          <w:rFonts w:ascii="Arial" w:eastAsia="Times" w:hAnsi="Arial" w:cs="Times New Roman"/>
          <w:sz w:val="21"/>
          <w:szCs w:val="21"/>
        </w:rPr>
        <w:t>r</w:t>
      </w:r>
      <w:r w:rsidRPr="00385A80">
        <w:rPr>
          <w:rFonts w:ascii="Arial" w:eastAsia="Times" w:hAnsi="Arial" w:cs="Times New Roman"/>
          <w:sz w:val="21"/>
          <w:szCs w:val="21"/>
        </w:rPr>
        <w:t>egulation 163 of the Drugs, Poisons and Controlled Substances Regulations 2017</w:t>
      </w:r>
      <w:r w:rsidR="004A0179">
        <w:rPr>
          <w:rFonts w:ascii="Arial" w:eastAsia="Times" w:hAnsi="Arial" w:cs="Times New Roman"/>
          <w:sz w:val="21"/>
          <w:szCs w:val="21"/>
        </w:rPr>
        <w:t xml:space="preserve"> (the Regulations)</w:t>
      </w:r>
      <w:r w:rsidRPr="00385A80">
        <w:rPr>
          <w:rFonts w:ascii="Arial" w:eastAsia="Times" w:hAnsi="Arial" w:cs="Times New Roman"/>
          <w:sz w:val="21"/>
          <w:szCs w:val="21"/>
        </w:rPr>
        <w:t xml:space="preserve">, I, </w:t>
      </w:r>
      <w:r w:rsidR="00FD44FB">
        <w:rPr>
          <w:rFonts w:ascii="Arial" w:eastAsia="Times" w:hAnsi="Arial" w:cs="Times New Roman"/>
          <w:sz w:val="21"/>
          <w:szCs w:val="21"/>
        </w:rPr>
        <w:t>Stefan Tulloch</w:t>
      </w:r>
      <w:r w:rsidRPr="00385A80">
        <w:rPr>
          <w:rFonts w:ascii="Arial" w:eastAsia="Times" w:hAnsi="Arial" w:cs="Times New Roman"/>
          <w:sz w:val="21"/>
          <w:szCs w:val="21"/>
        </w:rPr>
        <w:t xml:space="preserve">, </w:t>
      </w:r>
      <w:r w:rsidR="00FD44FB">
        <w:rPr>
          <w:rFonts w:ascii="Arial" w:eastAsia="Times" w:hAnsi="Arial" w:cs="Times New Roman"/>
          <w:sz w:val="21"/>
          <w:szCs w:val="21"/>
        </w:rPr>
        <w:t xml:space="preserve">Acting </w:t>
      </w:r>
      <w:r w:rsidRPr="00385A80">
        <w:rPr>
          <w:rFonts w:ascii="Arial" w:eastAsia="Times" w:hAnsi="Arial" w:cs="Times New Roman"/>
          <w:sz w:val="21"/>
          <w:szCs w:val="21"/>
        </w:rPr>
        <w:t>Director, Medicines and Poisons Regulation and Delegate of the Secretary</w:t>
      </w:r>
      <w:r w:rsidR="00F95DAF">
        <w:rPr>
          <w:rFonts w:ascii="Arial" w:eastAsia="Times" w:hAnsi="Arial" w:cs="Times New Roman"/>
          <w:sz w:val="21"/>
          <w:szCs w:val="21"/>
        </w:rPr>
        <w:t>,</w:t>
      </w:r>
      <w:r w:rsidRPr="00385A80">
        <w:rPr>
          <w:rFonts w:ascii="Arial" w:eastAsia="Times" w:hAnsi="Arial" w:cs="Times New Roman"/>
          <w:sz w:val="21"/>
          <w:szCs w:val="21"/>
        </w:rPr>
        <w:t xml:space="preserve"> Department of Health, hereby approve</w:t>
      </w:r>
      <w:r w:rsidR="000021F9">
        <w:rPr>
          <w:rFonts w:ascii="Arial" w:eastAsia="Times" w:hAnsi="Arial" w:cs="Times New Roman"/>
          <w:sz w:val="21"/>
          <w:szCs w:val="21"/>
        </w:rPr>
        <w:t>:</w:t>
      </w:r>
    </w:p>
    <w:p w14:paraId="3F6AF95A" w14:textId="03F51AEF" w:rsidR="003E3383" w:rsidRPr="00470166" w:rsidRDefault="003E3383" w:rsidP="000021F9">
      <w:pPr>
        <w:pStyle w:val="ListParagraph"/>
        <w:numPr>
          <w:ilvl w:val="0"/>
          <w:numId w:val="49"/>
        </w:numPr>
        <w:autoSpaceDE w:val="0"/>
        <w:autoSpaceDN w:val="0"/>
        <w:adjustRightInd w:val="0"/>
        <w:spacing w:after="120" w:line="240" w:lineRule="auto"/>
        <w:rPr>
          <w:rFonts w:ascii="Arial" w:eastAsia="Times" w:hAnsi="Arial" w:cs="Times New Roman"/>
          <w:sz w:val="21"/>
          <w:szCs w:val="21"/>
        </w:rPr>
      </w:pPr>
      <w:r w:rsidRPr="00F1411B">
        <w:rPr>
          <w:rFonts w:ascii="Arial" w:eastAsia="Times" w:hAnsi="Arial" w:cs="Times New Roman"/>
          <w:sz w:val="21"/>
          <w:szCs w:val="21"/>
        </w:rPr>
        <w:t xml:space="preserve">the Schedule 4 poisons listed </w:t>
      </w:r>
      <w:r w:rsidR="000021F9" w:rsidRPr="00F1411B">
        <w:rPr>
          <w:rFonts w:ascii="Arial" w:eastAsia="Times" w:hAnsi="Arial" w:cs="Times New Roman"/>
          <w:sz w:val="21"/>
          <w:szCs w:val="21"/>
        </w:rPr>
        <w:t>in Appendix 1</w:t>
      </w:r>
      <w:r w:rsidR="000021F9">
        <w:rPr>
          <w:rFonts w:ascii="Arial" w:eastAsia="Times" w:hAnsi="Arial" w:cs="Times New Roman"/>
          <w:sz w:val="21"/>
          <w:szCs w:val="21"/>
        </w:rPr>
        <w:t xml:space="preserve"> </w:t>
      </w:r>
      <w:r w:rsidRPr="00F1411B">
        <w:rPr>
          <w:rFonts w:ascii="Arial" w:eastAsia="Times" w:hAnsi="Arial" w:cs="Times New Roman"/>
          <w:sz w:val="21"/>
          <w:szCs w:val="21"/>
        </w:rPr>
        <w:t xml:space="preserve">for administration by a </w:t>
      </w:r>
      <w:r w:rsidR="000021F9">
        <w:rPr>
          <w:rFonts w:ascii="Arial" w:eastAsia="Times" w:hAnsi="Arial" w:cs="Times New Roman"/>
          <w:sz w:val="21"/>
          <w:szCs w:val="21"/>
        </w:rPr>
        <w:t>p</w:t>
      </w:r>
      <w:r w:rsidRPr="00F1411B">
        <w:rPr>
          <w:rFonts w:ascii="Arial" w:eastAsia="Times" w:hAnsi="Arial" w:cs="Times New Roman"/>
          <w:sz w:val="21"/>
          <w:szCs w:val="21"/>
        </w:rPr>
        <w:t xml:space="preserve">harmacist </w:t>
      </w:r>
      <w:r w:rsidR="000021F9">
        <w:rPr>
          <w:rFonts w:ascii="Arial" w:eastAsia="Times" w:hAnsi="Arial" w:cs="Times New Roman"/>
          <w:sz w:val="21"/>
          <w:szCs w:val="21"/>
        </w:rPr>
        <w:t xml:space="preserve">on condition that the </w:t>
      </w:r>
      <w:r w:rsidR="000021F9" w:rsidRPr="00470166">
        <w:rPr>
          <w:rFonts w:ascii="Arial" w:eastAsia="Times" w:hAnsi="Arial" w:cs="Times New Roman"/>
          <w:sz w:val="21"/>
          <w:szCs w:val="21"/>
        </w:rPr>
        <w:t>pharmacist meets the requirements of a pharmacist immuniser as set out below.</w:t>
      </w:r>
    </w:p>
    <w:p w14:paraId="30416C9F" w14:textId="77777777" w:rsidR="000021F9" w:rsidRPr="00470166" w:rsidRDefault="000021F9" w:rsidP="00F1411B">
      <w:pPr>
        <w:pStyle w:val="ListParagraph"/>
        <w:autoSpaceDE w:val="0"/>
        <w:autoSpaceDN w:val="0"/>
        <w:adjustRightInd w:val="0"/>
        <w:spacing w:after="120" w:line="240" w:lineRule="auto"/>
        <w:rPr>
          <w:rFonts w:ascii="Arial" w:eastAsia="Times" w:hAnsi="Arial" w:cs="Times New Roman"/>
          <w:sz w:val="21"/>
          <w:szCs w:val="21"/>
        </w:rPr>
      </w:pPr>
    </w:p>
    <w:p w14:paraId="6F722729" w14:textId="59A62EC3" w:rsidR="007034CC" w:rsidRDefault="000021F9" w:rsidP="004A0179">
      <w:pPr>
        <w:pStyle w:val="ListParagraph"/>
        <w:numPr>
          <w:ilvl w:val="0"/>
          <w:numId w:val="49"/>
        </w:numPr>
        <w:autoSpaceDE w:val="0"/>
        <w:autoSpaceDN w:val="0"/>
        <w:adjustRightInd w:val="0"/>
        <w:spacing w:after="120" w:line="240" w:lineRule="auto"/>
        <w:rPr>
          <w:rFonts w:ascii="Arial" w:eastAsia="Times" w:hAnsi="Arial" w:cs="Times New Roman"/>
          <w:sz w:val="21"/>
          <w:szCs w:val="21"/>
        </w:rPr>
      </w:pPr>
      <w:r w:rsidRPr="00470166">
        <w:rPr>
          <w:rFonts w:ascii="Arial" w:eastAsia="Times" w:hAnsi="Arial" w:cs="Times New Roman"/>
          <w:sz w:val="21"/>
          <w:szCs w:val="21"/>
        </w:rPr>
        <w:t>the Schedule 4 poison listed in Appendix 2 for administration by a pharmacist w</w:t>
      </w:r>
      <w:r w:rsidR="007034CC" w:rsidRPr="00470166">
        <w:rPr>
          <w:rFonts w:ascii="Arial" w:eastAsia="Times" w:hAnsi="Arial" w:cs="Times New Roman"/>
          <w:sz w:val="21"/>
          <w:szCs w:val="21"/>
        </w:rPr>
        <w:t>h</w:t>
      </w:r>
      <w:r w:rsidRPr="00470166">
        <w:rPr>
          <w:rFonts w:ascii="Arial" w:eastAsia="Times" w:hAnsi="Arial" w:cs="Times New Roman"/>
          <w:sz w:val="21"/>
          <w:szCs w:val="21"/>
        </w:rPr>
        <w:t>o meets t</w:t>
      </w:r>
      <w:r w:rsidR="007034CC" w:rsidRPr="00470166">
        <w:rPr>
          <w:rFonts w:ascii="Arial" w:eastAsia="Times" w:hAnsi="Arial" w:cs="Times New Roman"/>
          <w:sz w:val="21"/>
          <w:szCs w:val="21"/>
        </w:rPr>
        <w:t>h</w:t>
      </w:r>
      <w:r w:rsidRPr="00470166">
        <w:rPr>
          <w:rFonts w:ascii="Arial" w:eastAsia="Times" w:hAnsi="Arial" w:cs="Times New Roman"/>
          <w:sz w:val="21"/>
          <w:szCs w:val="21"/>
        </w:rPr>
        <w:t>e requirements of a pharmacist immuniser</w:t>
      </w:r>
      <w:r w:rsidR="00F1411B" w:rsidRPr="00470166">
        <w:rPr>
          <w:rFonts w:ascii="Arial" w:eastAsia="Times" w:hAnsi="Arial" w:cs="Times New Roman"/>
          <w:sz w:val="21"/>
          <w:szCs w:val="21"/>
        </w:rPr>
        <w:t>,</w:t>
      </w:r>
      <w:r w:rsidRPr="00470166">
        <w:rPr>
          <w:rFonts w:ascii="Arial" w:eastAsia="Times" w:hAnsi="Arial" w:cs="Times New Roman"/>
          <w:sz w:val="21"/>
          <w:szCs w:val="21"/>
        </w:rPr>
        <w:t xml:space="preserve"> and </w:t>
      </w:r>
      <w:r w:rsidR="007034CC" w:rsidRPr="00470166">
        <w:rPr>
          <w:rFonts w:ascii="Arial" w:eastAsia="Times" w:hAnsi="Arial" w:cs="Times New Roman"/>
          <w:sz w:val="21"/>
          <w:szCs w:val="21"/>
        </w:rPr>
        <w:t>in addition</w:t>
      </w:r>
      <w:r w:rsidR="00B3739A">
        <w:rPr>
          <w:rFonts w:ascii="Arial" w:eastAsia="Times" w:hAnsi="Arial" w:cs="Times New Roman"/>
          <w:sz w:val="21"/>
          <w:szCs w:val="21"/>
        </w:rPr>
        <w:t>,</w:t>
      </w:r>
      <w:r w:rsidR="007034CC" w:rsidRPr="00470166">
        <w:rPr>
          <w:rFonts w:ascii="Arial" w:eastAsia="Times" w:hAnsi="Arial" w:cs="Times New Roman"/>
          <w:sz w:val="21"/>
          <w:szCs w:val="21"/>
        </w:rPr>
        <w:t xml:space="preserve"> on condition that the pharmacist has satisfactorily completed the </w:t>
      </w:r>
      <w:bookmarkStart w:id="0" w:name="_Hlk103351522"/>
      <w:r w:rsidR="007034CC" w:rsidRPr="00470166">
        <w:rPr>
          <w:rFonts w:ascii="Arial" w:eastAsia="Times" w:hAnsi="Arial" w:cs="Times New Roman"/>
          <w:sz w:val="21"/>
          <w:szCs w:val="21"/>
        </w:rPr>
        <w:t xml:space="preserve">Japanese </w:t>
      </w:r>
      <w:r w:rsidR="002A36B8">
        <w:rPr>
          <w:rFonts w:ascii="Arial" w:eastAsia="Times" w:hAnsi="Arial" w:cs="Times New Roman"/>
          <w:sz w:val="21"/>
          <w:szCs w:val="21"/>
        </w:rPr>
        <w:t>e</w:t>
      </w:r>
      <w:r w:rsidR="007034CC" w:rsidRPr="00470166">
        <w:rPr>
          <w:rFonts w:ascii="Arial" w:eastAsia="Times" w:hAnsi="Arial" w:cs="Times New Roman"/>
          <w:sz w:val="21"/>
          <w:szCs w:val="21"/>
        </w:rPr>
        <w:t>ncephalitis eLearning module</w:t>
      </w:r>
      <w:bookmarkEnd w:id="0"/>
      <w:r w:rsidR="00214379" w:rsidRPr="00470166">
        <w:rPr>
          <w:rFonts w:ascii="Arial" w:eastAsia="Times" w:hAnsi="Arial" w:cs="Times New Roman"/>
          <w:sz w:val="21"/>
          <w:szCs w:val="21"/>
        </w:rPr>
        <w:t>,</w:t>
      </w:r>
      <w:r w:rsidR="007034CC" w:rsidRPr="00470166">
        <w:rPr>
          <w:rFonts w:ascii="Arial" w:eastAsia="Times" w:hAnsi="Arial" w:cs="Times New Roman"/>
          <w:sz w:val="21"/>
          <w:szCs w:val="21"/>
        </w:rPr>
        <w:t xml:space="preserve"> </w:t>
      </w:r>
      <w:r w:rsidR="00214379" w:rsidRPr="00470166">
        <w:rPr>
          <w:rFonts w:ascii="Arial" w:eastAsia="Times" w:hAnsi="Arial" w:cs="Times New Roman"/>
          <w:sz w:val="21"/>
          <w:szCs w:val="21"/>
        </w:rPr>
        <w:t>as approved by the Deputy Chief Health Officer</w:t>
      </w:r>
      <w:r w:rsidR="00470166" w:rsidRPr="00470166">
        <w:rPr>
          <w:rFonts w:ascii="Arial" w:eastAsia="Times" w:hAnsi="Arial" w:cs="Times New Roman"/>
          <w:sz w:val="21"/>
          <w:szCs w:val="21"/>
        </w:rPr>
        <w:t xml:space="preserve"> – Communicable Disease</w:t>
      </w:r>
      <w:r w:rsidR="00214379" w:rsidRPr="00470166">
        <w:rPr>
          <w:rFonts w:ascii="Arial" w:eastAsia="Times" w:hAnsi="Arial" w:cs="Times New Roman"/>
          <w:sz w:val="21"/>
          <w:szCs w:val="21"/>
        </w:rPr>
        <w:t xml:space="preserve">, </w:t>
      </w:r>
      <w:r w:rsidR="007034CC" w:rsidRPr="00470166">
        <w:rPr>
          <w:rFonts w:ascii="Arial" w:eastAsia="Times" w:hAnsi="Arial" w:cs="Times New Roman"/>
          <w:sz w:val="21"/>
          <w:szCs w:val="21"/>
        </w:rPr>
        <w:t xml:space="preserve">prior to administering the Japanese </w:t>
      </w:r>
      <w:r w:rsidR="00122497">
        <w:rPr>
          <w:rFonts w:ascii="Arial" w:eastAsia="Times" w:hAnsi="Arial" w:cs="Times New Roman"/>
          <w:sz w:val="21"/>
          <w:szCs w:val="21"/>
        </w:rPr>
        <w:t>e</w:t>
      </w:r>
      <w:r w:rsidR="007034CC" w:rsidRPr="00470166">
        <w:rPr>
          <w:rFonts w:ascii="Arial" w:eastAsia="Times" w:hAnsi="Arial" w:cs="Times New Roman"/>
          <w:sz w:val="21"/>
          <w:szCs w:val="21"/>
        </w:rPr>
        <w:t>ncephalitis vaccine.</w:t>
      </w:r>
    </w:p>
    <w:p w14:paraId="259640E4" w14:textId="77777777" w:rsidR="004644E2" w:rsidRPr="00D555E1" w:rsidRDefault="004644E2" w:rsidP="00D555E1">
      <w:pPr>
        <w:pStyle w:val="ListParagraph"/>
        <w:rPr>
          <w:rFonts w:ascii="Arial" w:eastAsia="Times" w:hAnsi="Arial" w:cs="Times New Roman"/>
          <w:sz w:val="21"/>
          <w:szCs w:val="21"/>
        </w:rPr>
      </w:pPr>
    </w:p>
    <w:p w14:paraId="5D61FDFF" w14:textId="5F5BE0CC" w:rsidR="00190E83" w:rsidRDefault="004644E2" w:rsidP="00190E83">
      <w:pPr>
        <w:pStyle w:val="ListParagraph"/>
        <w:numPr>
          <w:ilvl w:val="0"/>
          <w:numId w:val="49"/>
        </w:numPr>
        <w:autoSpaceDE w:val="0"/>
        <w:autoSpaceDN w:val="0"/>
        <w:adjustRightInd w:val="0"/>
        <w:spacing w:after="120" w:line="240" w:lineRule="auto"/>
        <w:rPr>
          <w:rFonts w:ascii="Arial" w:eastAsia="Times" w:hAnsi="Arial" w:cs="Times New Roman"/>
          <w:sz w:val="21"/>
          <w:szCs w:val="21"/>
        </w:rPr>
      </w:pPr>
      <w:r w:rsidRPr="1FB433B4">
        <w:rPr>
          <w:rFonts w:ascii="Arial" w:eastAsia="Times" w:hAnsi="Arial" w:cs="Times New Roman"/>
          <w:sz w:val="21"/>
          <w:szCs w:val="21"/>
        </w:rPr>
        <w:t>the Schedule 4 poison listed in Appendix 3 for administration by a pharmacist who meets the requirements of a pharmacist immuniser</w:t>
      </w:r>
      <w:r w:rsidR="00190E83">
        <w:rPr>
          <w:rFonts w:ascii="Arial" w:eastAsia="Times" w:hAnsi="Arial" w:cs="Times New Roman"/>
          <w:sz w:val="21"/>
          <w:szCs w:val="21"/>
        </w:rPr>
        <w:t xml:space="preserve"> </w:t>
      </w:r>
      <w:r w:rsidRPr="1FB433B4">
        <w:rPr>
          <w:rFonts w:ascii="Arial" w:eastAsia="Times" w:hAnsi="Arial" w:cs="Times New Roman"/>
          <w:sz w:val="21"/>
          <w:szCs w:val="21"/>
        </w:rPr>
        <w:t>on</w:t>
      </w:r>
      <w:r w:rsidR="00190E83">
        <w:rPr>
          <w:rFonts w:ascii="Arial" w:eastAsia="Times" w:hAnsi="Arial" w:cs="Times New Roman"/>
          <w:sz w:val="21"/>
          <w:szCs w:val="21"/>
        </w:rPr>
        <w:t xml:space="preserve"> </w:t>
      </w:r>
      <w:r w:rsidRPr="1FB433B4">
        <w:rPr>
          <w:rFonts w:ascii="Arial" w:eastAsia="Times" w:hAnsi="Arial" w:cs="Times New Roman"/>
          <w:sz w:val="21"/>
          <w:szCs w:val="21"/>
        </w:rPr>
        <w:t>condition that</w:t>
      </w:r>
      <w:r w:rsidR="00190E83">
        <w:rPr>
          <w:rFonts w:ascii="Arial" w:eastAsia="Times" w:hAnsi="Arial" w:cs="Times New Roman"/>
          <w:sz w:val="21"/>
          <w:szCs w:val="21"/>
        </w:rPr>
        <w:t xml:space="preserve"> </w:t>
      </w:r>
      <w:r w:rsidR="00190E83" w:rsidRPr="1FB433B4">
        <w:rPr>
          <w:rFonts w:ascii="Arial" w:eastAsia="Times" w:hAnsi="Arial" w:cs="Times New Roman"/>
          <w:sz w:val="21"/>
          <w:szCs w:val="21"/>
        </w:rPr>
        <w:t>prior to administering the monkeypox vaccine</w:t>
      </w:r>
      <w:r w:rsidR="00566195">
        <w:rPr>
          <w:rFonts w:ascii="Arial" w:eastAsia="Times" w:hAnsi="Arial" w:cs="Times New Roman"/>
          <w:sz w:val="21"/>
          <w:szCs w:val="21"/>
        </w:rPr>
        <w:t>,</w:t>
      </w:r>
      <w:r w:rsidR="00190E83">
        <w:rPr>
          <w:rFonts w:ascii="Arial" w:eastAsia="Times" w:hAnsi="Arial" w:cs="Times New Roman"/>
          <w:sz w:val="21"/>
          <w:szCs w:val="21"/>
        </w:rPr>
        <w:t xml:space="preserve"> the pharmacist immuniser has satisfactorily completed:</w:t>
      </w:r>
    </w:p>
    <w:p w14:paraId="1359FD9A" w14:textId="77777777" w:rsidR="00190E83" w:rsidRPr="004D4F33" w:rsidRDefault="00190E83" w:rsidP="004D4F33">
      <w:pPr>
        <w:pStyle w:val="ListParagraph"/>
        <w:rPr>
          <w:rFonts w:ascii="Arial" w:eastAsia="Times" w:hAnsi="Arial" w:cs="Times New Roman"/>
          <w:sz w:val="21"/>
          <w:szCs w:val="21"/>
        </w:rPr>
      </w:pPr>
    </w:p>
    <w:p w14:paraId="6AA69EA6" w14:textId="2D23B517" w:rsidR="00190E83" w:rsidRDefault="004644E2" w:rsidP="00190E83">
      <w:pPr>
        <w:pStyle w:val="ListParagraph"/>
        <w:numPr>
          <w:ilvl w:val="1"/>
          <w:numId w:val="49"/>
        </w:numPr>
        <w:autoSpaceDE w:val="0"/>
        <w:autoSpaceDN w:val="0"/>
        <w:adjustRightInd w:val="0"/>
        <w:spacing w:after="120" w:line="240" w:lineRule="auto"/>
        <w:rPr>
          <w:rFonts w:ascii="Arial" w:eastAsia="Times" w:hAnsi="Arial" w:cs="Times New Roman"/>
          <w:sz w:val="21"/>
          <w:szCs w:val="21"/>
        </w:rPr>
      </w:pPr>
      <w:r w:rsidRPr="009A679B">
        <w:rPr>
          <w:rFonts w:ascii="Arial" w:hAnsi="Arial"/>
          <w:sz w:val="21"/>
        </w:rPr>
        <w:t>the Monkeypox vaccin</w:t>
      </w:r>
      <w:r w:rsidR="000A13B2" w:rsidRPr="009A679B">
        <w:rPr>
          <w:rFonts w:ascii="Arial" w:hAnsi="Arial"/>
          <w:sz w:val="21"/>
        </w:rPr>
        <w:t>ation eLearning module, as appro</w:t>
      </w:r>
      <w:r w:rsidR="00517A22" w:rsidRPr="009A679B">
        <w:rPr>
          <w:rFonts w:ascii="Arial" w:hAnsi="Arial"/>
          <w:sz w:val="21"/>
        </w:rPr>
        <w:t>v</w:t>
      </w:r>
      <w:r w:rsidR="000A13B2" w:rsidRPr="009A679B">
        <w:rPr>
          <w:rFonts w:ascii="Arial" w:hAnsi="Arial"/>
          <w:sz w:val="21"/>
        </w:rPr>
        <w:t>ed by the Deputy Chief Health Officer – Communicable Disease</w:t>
      </w:r>
      <w:r w:rsidR="00190E83">
        <w:rPr>
          <w:rFonts w:ascii="Arial" w:eastAsia="Times" w:hAnsi="Arial" w:cs="Times New Roman"/>
          <w:sz w:val="21"/>
          <w:szCs w:val="21"/>
        </w:rPr>
        <w:t>;</w:t>
      </w:r>
      <w:r w:rsidR="000A13B2" w:rsidRPr="009A679B">
        <w:rPr>
          <w:rFonts w:ascii="Arial" w:hAnsi="Arial"/>
          <w:sz w:val="21"/>
        </w:rPr>
        <w:t xml:space="preserve"> and </w:t>
      </w:r>
    </w:p>
    <w:p w14:paraId="2C62A6B2" w14:textId="77777777" w:rsidR="00190E83" w:rsidRDefault="00190E83" w:rsidP="004D4F33">
      <w:pPr>
        <w:pStyle w:val="ListParagraph"/>
        <w:autoSpaceDE w:val="0"/>
        <w:autoSpaceDN w:val="0"/>
        <w:adjustRightInd w:val="0"/>
        <w:spacing w:after="120" w:line="240" w:lineRule="auto"/>
        <w:ind w:left="1440"/>
        <w:rPr>
          <w:rFonts w:ascii="Arial" w:eastAsia="Times" w:hAnsi="Arial" w:cs="Times New Roman"/>
          <w:sz w:val="21"/>
          <w:szCs w:val="21"/>
        </w:rPr>
      </w:pPr>
    </w:p>
    <w:p w14:paraId="71961450" w14:textId="2F5DE0FF" w:rsidR="004644E2" w:rsidRPr="009A679B" w:rsidRDefault="00190E83" w:rsidP="004D4F33">
      <w:pPr>
        <w:pStyle w:val="ListParagraph"/>
        <w:numPr>
          <w:ilvl w:val="1"/>
          <w:numId w:val="49"/>
        </w:numPr>
        <w:autoSpaceDE w:val="0"/>
        <w:autoSpaceDN w:val="0"/>
        <w:adjustRightInd w:val="0"/>
        <w:spacing w:after="120" w:line="240" w:lineRule="auto"/>
        <w:rPr>
          <w:rFonts w:ascii="Arial" w:hAnsi="Arial"/>
          <w:sz w:val="21"/>
        </w:rPr>
      </w:pPr>
      <w:r>
        <w:rPr>
          <w:rFonts w:ascii="Arial" w:eastAsia="Times" w:hAnsi="Arial" w:cs="Times New Roman"/>
          <w:sz w:val="21"/>
          <w:szCs w:val="21"/>
        </w:rPr>
        <w:t xml:space="preserve">the </w:t>
      </w:r>
      <w:r w:rsidR="00A56490">
        <w:rPr>
          <w:rFonts w:ascii="Arial" w:eastAsia="Times" w:hAnsi="Arial" w:cs="Times New Roman"/>
          <w:sz w:val="21"/>
          <w:szCs w:val="21"/>
        </w:rPr>
        <w:t>Intradermal injection -</w:t>
      </w:r>
      <w:r w:rsidRPr="0054266C">
        <w:rPr>
          <w:rFonts w:ascii="Arial" w:eastAsia="Times" w:hAnsi="Arial" w:cs="Times New Roman"/>
          <w:sz w:val="21"/>
          <w:szCs w:val="21"/>
        </w:rPr>
        <w:t xml:space="preserve"> skills </w:t>
      </w:r>
      <w:r w:rsidR="00A56490">
        <w:rPr>
          <w:rFonts w:ascii="Arial" w:eastAsia="Times" w:hAnsi="Arial" w:cs="Times New Roman"/>
          <w:sz w:val="21"/>
          <w:szCs w:val="21"/>
        </w:rPr>
        <w:t xml:space="preserve">and </w:t>
      </w:r>
      <w:r w:rsidRPr="0054266C">
        <w:rPr>
          <w:rFonts w:ascii="Arial" w:eastAsia="Times" w:hAnsi="Arial" w:cs="Times New Roman"/>
          <w:sz w:val="21"/>
          <w:szCs w:val="21"/>
        </w:rPr>
        <w:t xml:space="preserve">competency </w:t>
      </w:r>
      <w:r w:rsidR="006E19F1">
        <w:rPr>
          <w:rFonts w:ascii="Arial" w:eastAsia="Times" w:hAnsi="Arial" w:cs="Times New Roman"/>
          <w:sz w:val="21"/>
          <w:szCs w:val="21"/>
        </w:rPr>
        <w:t>assessment</w:t>
      </w:r>
      <w:r w:rsidR="00A56490">
        <w:rPr>
          <w:rStyle w:val="FootnoteReference"/>
          <w:rFonts w:ascii="Arial" w:eastAsia="Times" w:hAnsi="Arial" w:cs="Times New Roman"/>
          <w:sz w:val="21"/>
          <w:szCs w:val="21"/>
        </w:rPr>
        <w:footnoteReference w:id="2"/>
      </w:r>
      <w:r>
        <w:rPr>
          <w:rFonts w:ascii="Arial" w:eastAsia="Times" w:hAnsi="Arial" w:cs="Times New Roman"/>
          <w:sz w:val="21"/>
          <w:szCs w:val="21"/>
        </w:rPr>
        <w:t xml:space="preserve">, </w:t>
      </w:r>
      <w:r w:rsidRPr="0054266C">
        <w:rPr>
          <w:rFonts w:ascii="Arial" w:eastAsia="Times" w:hAnsi="Arial" w:cs="Times New Roman"/>
          <w:sz w:val="21"/>
          <w:szCs w:val="21"/>
        </w:rPr>
        <w:t>if administering intradermal monkeypox vaccinations</w:t>
      </w:r>
      <w:r>
        <w:rPr>
          <w:rFonts w:ascii="Arial" w:eastAsia="Times" w:hAnsi="Arial" w:cs="Times New Roman"/>
          <w:sz w:val="21"/>
          <w:szCs w:val="21"/>
        </w:rPr>
        <w:t>.</w:t>
      </w:r>
    </w:p>
    <w:p w14:paraId="4937053A" w14:textId="585F0A80" w:rsidR="007034CC" w:rsidRPr="00470166" w:rsidRDefault="007034CC" w:rsidP="00F1411B">
      <w:pPr>
        <w:rPr>
          <w:rFonts w:ascii="Arial" w:eastAsia="Times" w:hAnsi="Arial" w:cs="Arial"/>
          <w:sz w:val="21"/>
          <w:szCs w:val="21"/>
        </w:rPr>
      </w:pPr>
      <w:r w:rsidRPr="00470166">
        <w:rPr>
          <w:rFonts w:ascii="Arial" w:hAnsi="Arial" w:cs="Arial"/>
          <w:sz w:val="21"/>
          <w:szCs w:val="21"/>
        </w:rPr>
        <w:t>This approval revokes the Secretary Approval</w:t>
      </w:r>
      <w:r w:rsidR="008D4F9E">
        <w:rPr>
          <w:rFonts w:ascii="Arial" w:hAnsi="Arial" w:cs="Arial"/>
          <w:sz w:val="21"/>
          <w:szCs w:val="21"/>
        </w:rPr>
        <w:t>:</w:t>
      </w:r>
      <w:r w:rsidRPr="00470166">
        <w:rPr>
          <w:rFonts w:ascii="Arial" w:hAnsi="Arial" w:cs="Arial"/>
          <w:sz w:val="21"/>
          <w:szCs w:val="21"/>
        </w:rPr>
        <w:t xml:space="preserve"> Pharmacist</w:t>
      </w:r>
      <w:r w:rsidR="002A36B8">
        <w:rPr>
          <w:rFonts w:ascii="Arial" w:hAnsi="Arial" w:cs="Arial"/>
          <w:sz w:val="21"/>
          <w:szCs w:val="21"/>
        </w:rPr>
        <w:t xml:space="preserve"> Immuniser</w:t>
      </w:r>
      <w:r w:rsidRPr="00470166">
        <w:rPr>
          <w:rFonts w:ascii="Arial" w:hAnsi="Arial" w:cs="Arial"/>
          <w:sz w:val="21"/>
          <w:szCs w:val="21"/>
        </w:rPr>
        <w:t xml:space="preserve"> published in the Government Gazette </w:t>
      </w:r>
      <w:r w:rsidR="001A19E0">
        <w:rPr>
          <w:rFonts w:ascii="Arial" w:hAnsi="Arial" w:cs="Arial"/>
          <w:sz w:val="21"/>
          <w:szCs w:val="21"/>
        </w:rPr>
        <w:t>S</w:t>
      </w:r>
      <w:r w:rsidR="009C6C6A">
        <w:rPr>
          <w:rFonts w:ascii="Arial" w:hAnsi="Arial" w:cs="Arial"/>
          <w:sz w:val="21"/>
          <w:szCs w:val="21"/>
        </w:rPr>
        <w:t xml:space="preserve"> </w:t>
      </w:r>
      <w:r w:rsidR="001A19E0">
        <w:rPr>
          <w:rFonts w:ascii="Arial" w:hAnsi="Arial" w:cs="Arial"/>
          <w:sz w:val="21"/>
          <w:szCs w:val="21"/>
        </w:rPr>
        <w:t>244</w:t>
      </w:r>
      <w:r w:rsidR="001A19E0" w:rsidRPr="00470166">
        <w:rPr>
          <w:rFonts w:ascii="Arial" w:hAnsi="Arial" w:cs="Arial"/>
          <w:sz w:val="21"/>
          <w:szCs w:val="21"/>
        </w:rPr>
        <w:t xml:space="preserve"> </w:t>
      </w:r>
      <w:r w:rsidRPr="00470166">
        <w:rPr>
          <w:rFonts w:ascii="Arial" w:hAnsi="Arial" w:cs="Arial"/>
          <w:sz w:val="21"/>
          <w:szCs w:val="21"/>
        </w:rPr>
        <w:t xml:space="preserve">Thursday </w:t>
      </w:r>
      <w:r w:rsidR="001A19E0">
        <w:rPr>
          <w:rFonts w:ascii="Arial" w:hAnsi="Arial" w:cs="Arial"/>
          <w:sz w:val="21"/>
          <w:szCs w:val="21"/>
        </w:rPr>
        <w:t>19 May</w:t>
      </w:r>
      <w:r w:rsidRPr="00470166">
        <w:rPr>
          <w:rFonts w:ascii="Arial" w:hAnsi="Arial" w:cs="Arial"/>
          <w:sz w:val="21"/>
          <w:szCs w:val="21"/>
        </w:rPr>
        <w:t xml:space="preserve"> 202</w:t>
      </w:r>
      <w:r w:rsidR="001A19E0">
        <w:rPr>
          <w:rFonts w:ascii="Arial" w:hAnsi="Arial" w:cs="Arial"/>
          <w:sz w:val="21"/>
          <w:szCs w:val="21"/>
        </w:rPr>
        <w:t>2</w:t>
      </w:r>
      <w:r w:rsidR="00C8610A" w:rsidRPr="00470166">
        <w:rPr>
          <w:rFonts w:ascii="Arial" w:hAnsi="Arial" w:cs="Arial"/>
          <w:sz w:val="21"/>
          <w:szCs w:val="21"/>
        </w:rPr>
        <w:t>.</w:t>
      </w:r>
    </w:p>
    <w:p w14:paraId="3B65BE01" w14:textId="77777777" w:rsidR="007034CC" w:rsidRPr="00470166" w:rsidRDefault="007034CC" w:rsidP="007034CC">
      <w:pPr>
        <w:autoSpaceDE w:val="0"/>
        <w:autoSpaceDN w:val="0"/>
        <w:adjustRightInd w:val="0"/>
        <w:spacing w:after="120" w:line="240" w:lineRule="auto"/>
        <w:rPr>
          <w:rFonts w:ascii="Arial" w:eastAsia="Times" w:hAnsi="Arial" w:cs="Times New Roman"/>
          <w:sz w:val="21"/>
          <w:szCs w:val="21"/>
        </w:rPr>
      </w:pPr>
    </w:p>
    <w:p w14:paraId="71C9789B" w14:textId="4F7C9D70" w:rsidR="007034CC" w:rsidRPr="00143E13" w:rsidRDefault="003E3383" w:rsidP="003E3383">
      <w:pPr>
        <w:pStyle w:val="DHHSbody"/>
        <w:numPr>
          <w:ilvl w:val="0"/>
          <w:numId w:val="40"/>
        </w:numPr>
        <w:rPr>
          <w:b/>
          <w:sz w:val="21"/>
          <w:szCs w:val="21"/>
        </w:rPr>
      </w:pPr>
      <w:r w:rsidRPr="00470166">
        <w:rPr>
          <w:b/>
          <w:sz w:val="21"/>
          <w:szCs w:val="21"/>
        </w:rPr>
        <w:t>This approval applies</w:t>
      </w:r>
      <w:r w:rsidRPr="00143E13">
        <w:rPr>
          <w:b/>
          <w:sz w:val="21"/>
          <w:szCs w:val="21"/>
        </w:rPr>
        <w:t xml:space="preserve"> to</w:t>
      </w:r>
      <w:r w:rsidR="007034CC" w:rsidRPr="00143E13">
        <w:rPr>
          <w:b/>
          <w:sz w:val="21"/>
          <w:szCs w:val="21"/>
        </w:rPr>
        <w:t>:</w:t>
      </w:r>
    </w:p>
    <w:p w14:paraId="6A658020" w14:textId="2DD57A81" w:rsidR="003E3383" w:rsidRPr="00F1411B" w:rsidRDefault="003E3383" w:rsidP="00F1411B">
      <w:pPr>
        <w:pStyle w:val="DHHSbody"/>
        <w:ind w:left="360"/>
        <w:rPr>
          <w:bCs/>
          <w:sz w:val="21"/>
          <w:szCs w:val="21"/>
        </w:rPr>
      </w:pPr>
      <w:r w:rsidRPr="00F1411B">
        <w:rPr>
          <w:bCs/>
          <w:sz w:val="21"/>
          <w:szCs w:val="21"/>
        </w:rPr>
        <w:t>a pharmacist who at the time of the administration of the Schedule 4 poisons</w:t>
      </w:r>
      <w:r w:rsidRPr="007034CC">
        <w:rPr>
          <w:rStyle w:val="FootnoteReference"/>
          <w:bCs/>
          <w:sz w:val="21"/>
          <w:szCs w:val="21"/>
        </w:rPr>
        <w:footnoteReference w:id="3"/>
      </w:r>
      <w:r w:rsidRPr="00F1411B">
        <w:rPr>
          <w:bCs/>
          <w:sz w:val="21"/>
          <w:szCs w:val="21"/>
        </w:rPr>
        <w:t xml:space="preserve"> holds general registration with the Pharmacy Board of Australia</w:t>
      </w:r>
      <w:r w:rsidRPr="007034CC">
        <w:rPr>
          <w:rStyle w:val="FootnoteReference"/>
          <w:bCs/>
          <w:sz w:val="21"/>
          <w:szCs w:val="21"/>
        </w:rPr>
        <w:footnoteReference w:id="4"/>
      </w:r>
      <w:r w:rsidRPr="00F1411B">
        <w:rPr>
          <w:bCs/>
          <w:sz w:val="21"/>
          <w:szCs w:val="21"/>
        </w:rPr>
        <w:t xml:space="preserve"> and:</w:t>
      </w:r>
    </w:p>
    <w:p w14:paraId="52F143E2" w14:textId="29CD013B" w:rsidR="003E3383" w:rsidRPr="00385A80" w:rsidRDefault="00D655ED" w:rsidP="003E3383">
      <w:pPr>
        <w:pStyle w:val="DHHSbody"/>
        <w:numPr>
          <w:ilvl w:val="0"/>
          <w:numId w:val="44"/>
        </w:numPr>
        <w:rPr>
          <w:sz w:val="21"/>
          <w:szCs w:val="21"/>
        </w:rPr>
      </w:pPr>
      <w:r>
        <w:rPr>
          <w:sz w:val="21"/>
          <w:szCs w:val="21"/>
        </w:rPr>
        <w:t>H</w:t>
      </w:r>
      <w:r w:rsidR="003E3383" w:rsidRPr="00385A80">
        <w:rPr>
          <w:sz w:val="21"/>
          <w:szCs w:val="21"/>
        </w:rPr>
        <w:t>as satisfactorily completed the assessment of an ‘Immuniser program of study’ recognised by the Chief Health Officer</w:t>
      </w:r>
      <w:r w:rsidR="001716FB">
        <w:rPr>
          <w:sz w:val="21"/>
          <w:szCs w:val="21"/>
        </w:rPr>
        <w:t xml:space="preserve"> (see Note)</w:t>
      </w:r>
      <w:r w:rsidR="003E3383" w:rsidRPr="00385A80">
        <w:rPr>
          <w:sz w:val="21"/>
          <w:szCs w:val="21"/>
        </w:rPr>
        <w:t>;</w:t>
      </w:r>
    </w:p>
    <w:p w14:paraId="0CC62366" w14:textId="77777777" w:rsidR="003E3383" w:rsidRPr="005756F0" w:rsidRDefault="003E3383" w:rsidP="003E3383">
      <w:pPr>
        <w:pStyle w:val="DHHSbody"/>
        <w:rPr>
          <w:sz w:val="21"/>
          <w:szCs w:val="21"/>
        </w:rPr>
      </w:pPr>
      <w:r w:rsidRPr="005756F0">
        <w:rPr>
          <w:sz w:val="21"/>
          <w:szCs w:val="21"/>
        </w:rPr>
        <w:t>OR</w:t>
      </w:r>
    </w:p>
    <w:p w14:paraId="2848C1EB" w14:textId="77777777" w:rsidR="003E3383" w:rsidRPr="00385A80" w:rsidRDefault="003E3383" w:rsidP="003E3383">
      <w:pPr>
        <w:pStyle w:val="DHHSbody"/>
        <w:numPr>
          <w:ilvl w:val="0"/>
          <w:numId w:val="44"/>
        </w:numPr>
        <w:rPr>
          <w:sz w:val="21"/>
          <w:szCs w:val="21"/>
        </w:rPr>
      </w:pPr>
      <w:r w:rsidRPr="00385A80">
        <w:rPr>
          <w:sz w:val="21"/>
          <w:szCs w:val="21"/>
        </w:rPr>
        <w:lastRenderedPageBreak/>
        <w:t>Has satisfactorily completed the assessment of an ‘Immuniser program of study’ that meets the curriculum content requirements of the National Immunisation Education Framework for Health Professionals; and</w:t>
      </w:r>
    </w:p>
    <w:p w14:paraId="0A442140" w14:textId="6A90D394" w:rsidR="003E3383" w:rsidRPr="00385A80" w:rsidRDefault="003E3383" w:rsidP="003E3383">
      <w:pPr>
        <w:pStyle w:val="DHHSbody"/>
        <w:numPr>
          <w:ilvl w:val="0"/>
          <w:numId w:val="44"/>
        </w:numPr>
        <w:rPr>
          <w:sz w:val="21"/>
          <w:szCs w:val="21"/>
        </w:rPr>
      </w:pPr>
      <w:r w:rsidRPr="00385A80">
        <w:rPr>
          <w:sz w:val="21"/>
          <w:szCs w:val="21"/>
        </w:rPr>
        <w:t xml:space="preserve">Has recency of practice and continuing professional development in immunisation (as defined from time to time by the Pharmacy Board of Australia); </w:t>
      </w:r>
    </w:p>
    <w:p w14:paraId="72BC55A9" w14:textId="77777777" w:rsidR="003E3383" w:rsidRPr="005756F0" w:rsidRDefault="003E3383" w:rsidP="003E3383">
      <w:pPr>
        <w:pStyle w:val="DHHSbody"/>
        <w:rPr>
          <w:bCs/>
          <w:sz w:val="21"/>
          <w:szCs w:val="21"/>
        </w:rPr>
      </w:pPr>
      <w:r w:rsidRPr="005756F0">
        <w:rPr>
          <w:bCs/>
          <w:sz w:val="21"/>
          <w:szCs w:val="21"/>
        </w:rPr>
        <w:t>OR</w:t>
      </w:r>
    </w:p>
    <w:p w14:paraId="3E2F2430" w14:textId="77777777" w:rsidR="003E3383" w:rsidRPr="00385A80" w:rsidRDefault="003E3383" w:rsidP="003E3383">
      <w:pPr>
        <w:pStyle w:val="DHHSbody"/>
        <w:numPr>
          <w:ilvl w:val="0"/>
          <w:numId w:val="44"/>
        </w:numPr>
        <w:rPr>
          <w:sz w:val="21"/>
          <w:szCs w:val="21"/>
        </w:rPr>
      </w:pPr>
      <w:r w:rsidRPr="00385A80">
        <w:rPr>
          <w:sz w:val="21"/>
          <w:szCs w:val="21"/>
        </w:rPr>
        <w:t>Is currently completing clinical practice in a hospital, pharmacy, pharmacy depot, general practice or immunisation clinic as part of an ‘Immuniser program of study’ recognised by the Chief Health Officer under the direct supervision of a:</w:t>
      </w:r>
    </w:p>
    <w:p w14:paraId="318C1F94" w14:textId="77777777" w:rsidR="003E3383" w:rsidRPr="00385A80" w:rsidRDefault="003E3383" w:rsidP="003E3383">
      <w:pPr>
        <w:pStyle w:val="DHHSbody"/>
        <w:numPr>
          <w:ilvl w:val="0"/>
          <w:numId w:val="45"/>
        </w:numPr>
        <w:rPr>
          <w:sz w:val="21"/>
          <w:szCs w:val="21"/>
        </w:rPr>
      </w:pPr>
      <w:r w:rsidRPr="00385A80">
        <w:rPr>
          <w:sz w:val="21"/>
          <w:szCs w:val="21"/>
        </w:rPr>
        <w:t>medical practitioner;</w:t>
      </w:r>
    </w:p>
    <w:p w14:paraId="67A437F2" w14:textId="77777777" w:rsidR="003E3383" w:rsidRPr="00385A80" w:rsidRDefault="003E3383" w:rsidP="003E3383">
      <w:pPr>
        <w:pStyle w:val="DHHSbody"/>
        <w:numPr>
          <w:ilvl w:val="0"/>
          <w:numId w:val="45"/>
        </w:numPr>
        <w:rPr>
          <w:sz w:val="21"/>
          <w:szCs w:val="21"/>
        </w:rPr>
      </w:pPr>
      <w:r w:rsidRPr="00385A80">
        <w:rPr>
          <w:sz w:val="21"/>
          <w:szCs w:val="21"/>
        </w:rPr>
        <w:t>nurse practitioner;</w:t>
      </w:r>
    </w:p>
    <w:p w14:paraId="22032E2F" w14:textId="77777777" w:rsidR="003E3383" w:rsidRPr="00385A80" w:rsidRDefault="003E3383" w:rsidP="003E3383">
      <w:pPr>
        <w:pStyle w:val="DHHSbody"/>
        <w:numPr>
          <w:ilvl w:val="0"/>
          <w:numId w:val="45"/>
        </w:numPr>
        <w:rPr>
          <w:sz w:val="21"/>
          <w:szCs w:val="21"/>
        </w:rPr>
      </w:pPr>
      <w:r w:rsidRPr="00385A80">
        <w:rPr>
          <w:sz w:val="21"/>
          <w:szCs w:val="21"/>
        </w:rPr>
        <w:t>‘Nurse Immuniser’</w:t>
      </w:r>
      <w:r w:rsidRPr="00385A80">
        <w:rPr>
          <w:rStyle w:val="FootnoteReference"/>
          <w:sz w:val="21"/>
          <w:szCs w:val="21"/>
        </w:rPr>
        <w:footnoteReference w:id="5"/>
      </w:r>
      <w:r w:rsidRPr="00385A80">
        <w:rPr>
          <w:sz w:val="21"/>
          <w:szCs w:val="21"/>
        </w:rPr>
        <w:t xml:space="preserve"> that is compliant with Regulation 8(1) of the Drugs, Poisons and Controlled Substance Regulations 2017; or </w:t>
      </w:r>
    </w:p>
    <w:p w14:paraId="6F0F90CC" w14:textId="77777777" w:rsidR="003E3383" w:rsidRPr="00385A80" w:rsidRDefault="003E3383" w:rsidP="003E3383">
      <w:pPr>
        <w:pStyle w:val="DHHSbody"/>
        <w:numPr>
          <w:ilvl w:val="0"/>
          <w:numId w:val="45"/>
        </w:numPr>
        <w:rPr>
          <w:sz w:val="21"/>
          <w:szCs w:val="21"/>
        </w:rPr>
      </w:pPr>
      <w:r w:rsidRPr="00385A80">
        <w:rPr>
          <w:sz w:val="21"/>
          <w:szCs w:val="21"/>
        </w:rPr>
        <w:t xml:space="preserve">Pharmacist that is compliant with Regulation 99(c) of the Drugs, Poisons and Controlled Substances Regulations 2017; </w:t>
      </w:r>
    </w:p>
    <w:p w14:paraId="4332C624" w14:textId="3DBC0D10" w:rsidR="003E3383" w:rsidRPr="005756F0" w:rsidRDefault="003E3383" w:rsidP="003E3383">
      <w:pPr>
        <w:pStyle w:val="DHHSbody"/>
        <w:rPr>
          <w:bCs/>
          <w:sz w:val="21"/>
          <w:szCs w:val="21"/>
        </w:rPr>
      </w:pPr>
      <w:r w:rsidRPr="005756F0">
        <w:rPr>
          <w:bCs/>
          <w:sz w:val="21"/>
          <w:szCs w:val="21"/>
        </w:rPr>
        <w:t>AND</w:t>
      </w:r>
    </w:p>
    <w:p w14:paraId="0DE81970" w14:textId="77777777" w:rsidR="003E3383" w:rsidRPr="00385A80" w:rsidRDefault="003E3383" w:rsidP="003E3383">
      <w:pPr>
        <w:pStyle w:val="DHHSbody"/>
        <w:numPr>
          <w:ilvl w:val="0"/>
          <w:numId w:val="44"/>
        </w:numPr>
        <w:rPr>
          <w:sz w:val="21"/>
          <w:szCs w:val="21"/>
        </w:rPr>
      </w:pPr>
      <w:r w:rsidRPr="00385A80">
        <w:rPr>
          <w:sz w:val="21"/>
          <w:szCs w:val="21"/>
        </w:rPr>
        <w:t>Holds a current first aid certificate (to be updated every three years); and</w:t>
      </w:r>
    </w:p>
    <w:p w14:paraId="1C24A6AC" w14:textId="428E67AB" w:rsidR="003E3383" w:rsidRDefault="003E3383" w:rsidP="003E3383">
      <w:pPr>
        <w:pStyle w:val="DHHSbody"/>
        <w:numPr>
          <w:ilvl w:val="0"/>
          <w:numId w:val="44"/>
        </w:numPr>
        <w:rPr>
          <w:sz w:val="21"/>
          <w:szCs w:val="21"/>
        </w:rPr>
      </w:pPr>
      <w:r w:rsidRPr="00385A80">
        <w:rPr>
          <w:sz w:val="21"/>
          <w:szCs w:val="21"/>
        </w:rPr>
        <w:t>Holds a current cardiopulmonary resuscitation certificate (to be updated annually).</w:t>
      </w:r>
    </w:p>
    <w:p w14:paraId="72DA7714" w14:textId="561045D1" w:rsidR="00D655ED" w:rsidRDefault="00D655ED" w:rsidP="00D655ED">
      <w:pPr>
        <w:pStyle w:val="Body"/>
        <w:spacing w:before="120"/>
        <w:rPr>
          <w:rFonts w:eastAsia="Times New Roman"/>
          <w:szCs w:val="21"/>
        </w:rPr>
      </w:pPr>
      <w:bookmarkStart w:id="1" w:name="_Hlk103351463"/>
      <w:r w:rsidRPr="006F5C39">
        <w:rPr>
          <w:rFonts w:eastAsia="Times New Roman"/>
          <w:szCs w:val="21"/>
        </w:rPr>
        <w:t>Note – For</w:t>
      </w:r>
      <w:r>
        <w:rPr>
          <w:rFonts w:eastAsia="Times New Roman"/>
          <w:szCs w:val="21"/>
        </w:rPr>
        <w:t xml:space="preserve"> a list of</w:t>
      </w:r>
      <w:r w:rsidRPr="006F5C39">
        <w:rPr>
          <w:rFonts w:eastAsia="Times New Roman"/>
          <w:szCs w:val="21"/>
        </w:rPr>
        <w:t xml:space="preserve"> the </w:t>
      </w:r>
      <w:r w:rsidR="007708D4">
        <w:rPr>
          <w:rFonts w:eastAsia="Times New Roman"/>
          <w:szCs w:val="21"/>
        </w:rPr>
        <w:t>i</w:t>
      </w:r>
      <w:r w:rsidRPr="006F5C39">
        <w:rPr>
          <w:rFonts w:eastAsia="Times New Roman"/>
          <w:szCs w:val="21"/>
        </w:rPr>
        <w:t xml:space="preserve">mmuniser programs </w:t>
      </w:r>
      <w:r w:rsidR="007708D4">
        <w:rPr>
          <w:rFonts w:eastAsia="Times New Roman"/>
          <w:szCs w:val="21"/>
        </w:rPr>
        <w:t xml:space="preserve">of study that have been </w:t>
      </w:r>
      <w:r w:rsidRPr="006F5C39">
        <w:rPr>
          <w:rFonts w:eastAsia="Times New Roman"/>
          <w:szCs w:val="21"/>
        </w:rPr>
        <w:t xml:space="preserve">recognised by the Chief Health </w:t>
      </w:r>
      <w:r w:rsidR="007708D4">
        <w:rPr>
          <w:rFonts w:eastAsia="Times New Roman"/>
          <w:szCs w:val="21"/>
        </w:rPr>
        <w:t xml:space="preserve">Officer </w:t>
      </w:r>
      <w:r w:rsidR="002A36B8">
        <w:rPr>
          <w:rFonts w:eastAsia="Times New Roman"/>
          <w:szCs w:val="21"/>
        </w:rPr>
        <w:t>and link</w:t>
      </w:r>
      <w:r w:rsidR="000E17D6">
        <w:rPr>
          <w:rFonts w:eastAsia="Times New Roman"/>
          <w:szCs w:val="21"/>
        </w:rPr>
        <w:t>s</w:t>
      </w:r>
      <w:r w:rsidR="002A36B8">
        <w:rPr>
          <w:rFonts w:eastAsia="Times New Roman"/>
          <w:szCs w:val="21"/>
        </w:rPr>
        <w:t xml:space="preserve"> to the </w:t>
      </w:r>
      <w:bookmarkStart w:id="2" w:name="_Hlk103352543"/>
      <w:r w:rsidR="002A36B8" w:rsidRPr="00470166">
        <w:rPr>
          <w:szCs w:val="21"/>
        </w:rPr>
        <w:t xml:space="preserve">Japanese </w:t>
      </w:r>
      <w:r w:rsidR="002A36B8">
        <w:rPr>
          <w:szCs w:val="21"/>
        </w:rPr>
        <w:t>e</w:t>
      </w:r>
      <w:r w:rsidR="002A36B8" w:rsidRPr="00470166">
        <w:rPr>
          <w:szCs w:val="21"/>
        </w:rPr>
        <w:t>ncephalitis eLearning module</w:t>
      </w:r>
      <w:r w:rsidR="000E17D6">
        <w:rPr>
          <w:szCs w:val="21"/>
        </w:rPr>
        <w:t xml:space="preserve"> and the Monkeypox vaccination eLearning module</w:t>
      </w:r>
      <w:r w:rsidR="002A36B8">
        <w:rPr>
          <w:rFonts w:eastAsia="Times New Roman"/>
          <w:szCs w:val="21"/>
        </w:rPr>
        <w:t xml:space="preserve"> </w:t>
      </w:r>
      <w:bookmarkEnd w:id="2"/>
      <w:r w:rsidR="002A36B8">
        <w:rPr>
          <w:rFonts w:eastAsia="Times New Roman"/>
          <w:szCs w:val="21"/>
        </w:rPr>
        <w:t>that ha</w:t>
      </w:r>
      <w:r w:rsidR="007068F1">
        <w:rPr>
          <w:rFonts w:eastAsia="Times New Roman"/>
          <w:szCs w:val="21"/>
        </w:rPr>
        <w:t>ve</w:t>
      </w:r>
      <w:r w:rsidR="002A36B8">
        <w:rPr>
          <w:rFonts w:eastAsia="Times New Roman"/>
          <w:szCs w:val="21"/>
        </w:rPr>
        <w:t xml:space="preserve"> been approved by </w:t>
      </w:r>
      <w:r w:rsidR="002A36B8" w:rsidRPr="00470166">
        <w:rPr>
          <w:szCs w:val="21"/>
        </w:rPr>
        <w:t>Deputy Chief Health Officer – Communicable Disease</w:t>
      </w:r>
      <w:r w:rsidR="007708D4">
        <w:rPr>
          <w:szCs w:val="21"/>
        </w:rPr>
        <w:t xml:space="preserve"> see</w:t>
      </w:r>
      <w:r>
        <w:rPr>
          <w:rFonts w:eastAsia="Times New Roman"/>
          <w:szCs w:val="21"/>
        </w:rPr>
        <w:t>:</w:t>
      </w:r>
    </w:p>
    <w:p w14:paraId="2A98FE36" w14:textId="1B769937" w:rsidR="000D1DE0" w:rsidRDefault="00B23550" w:rsidP="00F1411B">
      <w:pPr>
        <w:pStyle w:val="Body"/>
        <w:spacing w:before="120"/>
        <w:rPr>
          <w:rFonts w:eastAsia="Times New Roman"/>
        </w:rPr>
      </w:pPr>
      <w:hyperlink r:id="rId15">
        <w:r w:rsidR="000D1DE0" w:rsidRPr="23B43F8C">
          <w:rPr>
            <w:rStyle w:val="Hyperlink"/>
            <w:rFonts w:eastAsia="Times New Roman"/>
          </w:rPr>
          <w:t>https://www.health.vic.gov.au/immunisation/programs-of-study</w:t>
        </w:r>
      </w:hyperlink>
    </w:p>
    <w:bookmarkEnd w:id="1"/>
    <w:p w14:paraId="6C2BEF13" w14:textId="5312902C" w:rsidR="00D655ED" w:rsidRDefault="00D655ED" w:rsidP="00F1411B">
      <w:pPr>
        <w:pStyle w:val="Body"/>
        <w:spacing w:before="120"/>
        <w:rPr>
          <w:rStyle w:val="Hyperlink"/>
          <w:rFonts w:eastAsia="Times New Roman"/>
          <w:szCs w:val="21"/>
        </w:rPr>
      </w:pPr>
    </w:p>
    <w:p w14:paraId="451AC4D0" w14:textId="77777777" w:rsidR="003E3383" w:rsidRPr="00385A80" w:rsidRDefault="003E3383" w:rsidP="003E3383">
      <w:pPr>
        <w:pStyle w:val="DHHSbody"/>
        <w:rPr>
          <w:b/>
          <w:sz w:val="21"/>
          <w:szCs w:val="21"/>
        </w:rPr>
      </w:pPr>
      <w:r w:rsidRPr="00385A80">
        <w:rPr>
          <w:b/>
          <w:sz w:val="21"/>
          <w:szCs w:val="21"/>
        </w:rPr>
        <w:t>2. The pharmacist may administer the following Schedule 4 poisons:</w:t>
      </w:r>
    </w:p>
    <w:p w14:paraId="2EFD3F79" w14:textId="7A775DF3" w:rsidR="003E3383" w:rsidRPr="00470166" w:rsidRDefault="00D655ED" w:rsidP="00D655ED">
      <w:pPr>
        <w:pStyle w:val="DHHSbody"/>
        <w:numPr>
          <w:ilvl w:val="0"/>
          <w:numId w:val="41"/>
        </w:numPr>
        <w:rPr>
          <w:sz w:val="21"/>
          <w:szCs w:val="21"/>
        </w:rPr>
      </w:pPr>
      <w:r w:rsidRPr="00470166">
        <w:rPr>
          <w:sz w:val="21"/>
          <w:szCs w:val="21"/>
        </w:rPr>
        <w:t>v</w:t>
      </w:r>
      <w:r w:rsidR="003E3383" w:rsidRPr="00470166">
        <w:rPr>
          <w:sz w:val="21"/>
          <w:szCs w:val="21"/>
        </w:rPr>
        <w:t>accines listed in Appendix 1</w:t>
      </w:r>
      <w:r w:rsidR="000F6AC4" w:rsidRPr="00470166">
        <w:rPr>
          <w:sz w:val="21"/>
          <w:szCs w:val="21"/>
        </w:rPr>
        <w:t xml:space="preserve"> to persons set out in the corresponding entry in column 2, subject to the corresponding exclusions in column 3</w:t>
      </w:r>
      <w:r w:rsidR="003E3383" w:rsidRPr="00470166">
        <w:rPr>
          <w:sz w:val="21"/>
          <w:szCs w:val="21"/>
        </w:rPr>
        <w:t>.</w:t>
      </w:r>
    </w:p>
    <w:p w14:paraId="2F323C8C" w14:textId="23207B7E" w:rsidR="00D655ED" w:rsidRDefault="00D655ED" w:rsidP="003E3383">
      <w:pPr>
        <w:pStyle w:val="DHHSbody"/>
        <w:numPr>
          <w:ilvl w:val="0"/>
          <w:numId w:val="41"/>
        </w:numPr>
        <w:rPr>
          <w:sz w:val="21"/>
          <w:szCs w:val="21"/>
        </w:rPr>
      </w:pPr>
      <w:r w:rsidRPr="00470166">
        <w:rPr>
          <w:sz w:val="21"/>
          <w:szCs w:val="21"/>
        </w:rPr>
        <w:t xml:space="preserve">vaccine listed in Appendix 2 where the pharmacist has completed the </w:t>
      </w:r>
      <w:r w:rsidR="00122497" w:rsidRPr="00470166">
        <w:rPr>
          <w:sz w:val="21"/>
          <w:szCs w:val="21"/>
        </w:rPr>
        <w:t xml:space="preserve">Japanese </w:t>
      </w:r>
      <w:r w:rsidR="00122497">
        <w:rPr>
          <w:sz w:val="21"/>
          <w:szCs w:val="21"/>
        </w:rPr>
        <w:t>e</w:t>
      </w:r>
      <w:r w:rsidR="00122497" w:rsidRPr="00470166">
        <w:rPr>
          <w:sz w:val="21"/>
          <w:szCs w:val="21"/>
        </w:rPr>
        <w:t>ncephalitis eLearning module</w:t>
      </w:r>
      <w:r w:rsidR="000F6AC4" w:rsidRPr="00470166">
        <w:rPr>
          <w:sz w:val="21"/>
          <w:szCs w:val="21"/>
        </w:rPr>
        <w:t>, to persons listed in column 2, subject to the exclusions in column 3</w:t>
      </w:r>
      <w:r w:rsidR="00901450" w:rsidRPr="00470166">
        <w:rPr>
          <w:sz w:val="21"/>
          <w:szCs w:val="21"/>
        </w:rPr>
        <w:t>.</w:t>
      </w:r>
    </w:p>
    <w:p w14:paraId="59690173" w14:textId="7F249637" w:rsidR="00577638" w:rsidRPr="00470166" w:rsidRDefault="00577638" w:rsidP="003E3383">
      <w:pPr>
        <w:pStyle w:val="DHHSbody"/>
        <w:numPr>
          <w:ilvl w:val="0"/>
          <w:numId w:val="41"/>
        </w:numPr>
        <w:rPr>
          <w:sz w:val="21"/>
          <w:szCs w:val="21"/>
        </w:rPr>
      </w:pPr>
      <w:r w:rsidRPr="1FB433B4">
        <w:rPr>
          <w:sz w:val="21"/>
          <w:szCs w:val="21"/>
        </w:rPr>
        <w:t>vaccine listed in Appendix 3 where the pharmacist has completed the Monkeypox vaccination eLearning module, to persons listed in column 2, subject to the exclusions in column 3.</w:t>
      </w:r>
    </w:p>
    <w:p w14:paraId="4478CB9D" w14:textId="42269255" w:rsidR="003E3383" w:rsidRPr="00385A80" w:rsidRDefault="003E3383" w:rsidP="003E3383">
      <w:pPr>
        <w:pStyle w:val="DHHSbody"/>
        <w:rPr>
          <w:b/>
          <w:sz w:val="21"/>
          <w:szCs w:val="21"/>
        </w:rPr>
      </w:pPr>
      <w:r w:rsidRPr="00385A80">
        <w:rPr>
          <w:b/>
          <w:sz w:val="21"/>
          <w:szCs w:val="21"/>
        </w:rPr>
        <w:t xml:space="preserve">3. </w:t>
      </w:r>
      <w:r w:rsidR="00F43CB3">
        <w:rPr>
          <w:b/>
          <w:sz w:val="21"/>
          <w:szCs w:val="21"/>
        </w:rPr>
        <w:t>On the condition that the</w:t>
      </w:r>
      <w:r w:rsidR="00F43CB3" w:rsidRPr="00385A80">
        <w:rPr>
          <w:b/>
          <w:sz w:val="21"/>
          <w:szCs w:val="21"/>
        </w:rPr>
        <w:t xml:space="preserve"> </w:t>
      </w:r>
      <w:r w:rsidRPr="00385A80">
        <w:rPr>
          <w:b/>
          <w:sz w:val="21"/>
          <w:szCs w:val="21"/>
        </w:rPr>
        <w:t>following circumstances apply:</w:t>
      </w:r>
    </w:p>
    <w:p w14:paraId="69282AE3" w14:textId="77777777" w:rsidR="003E3383" w:rsidRPr="00385A80" w:rsidRDefault="003E3383" w:rsidP="003E3383">
      <w:pPr>
        <w:pStyle w:val="DHHSbody"/>
        <w:numPr>
          <w:ilvl w:val="0"/>
          <w:numId w:val="42"/>
        </w:numPr>
        <w:rPr>
          <w:b/>
          <w:i/>
          <w:sz w:val="21"/>
          <w:szCs w:val="21"/>
        </w:rPr>
      </w:pPr>
      <w:r w:rsidRPr="00385A80">
        <w:rPr>
          <w:b/>
          <w:i/>
          <w:sz w:val="21"/>
          <w:szCs w:val="21"/>
        </w:rPr>
        <w:t>The premises on which a pharmacist administers the Schedule 4 poisons must:</w:t>
      </w:r>
    </w:p>
    <w:p w14:paraId="45023309" w14:textId="77777777" w:rsidR="003E3383" w:rsidRPr="00385A80" w:rsidRDefault="003E3383" w:rsidP="003E3383">
      <w:pPr>
        <w:pStyle w:val="DHHSbody"/>
        <w:ind w:left="851" w:firstLine="283"/>
        <w:rPr>
          <w:sz w:val="21"/>
          <w:szCs w:val="21"/>
        </w:rPr>
      </w:pPr>
      <w:r w:rsidRPr="00385A80">
        <w:rPr>
          <w:b/>
          <w:bCs/>
          <w:sz w:val="21"/>
          <w:szCs w:val="21"/>
        </w:rPr>
        <w:t>(i) be one of the following premises</w:t>
      </w:r>
      <w:r w:rsidRPr="00385A80">
        <w:rPr>
          <w:sz w:val="21"/>
          <w:szCs w:val="21"/>
        </w:rPr>
        <w:t>:</w:t>
      </w:r>
    </w:p>
    <w:p w14:paraId="006CC1AE" w14:textId="77777777" w:rsidR="003E3383" w:rsidRPr="00385A80" w:rsidRDefault="003E3383" w:rsidP="003E3383">
      <w:pPr>
        <w:pStyle w:val="DHHSbody"/>
        <w:tabs>
          <w:tab w:val="left" w:pos="1701"/>
        </w:tabs>
        <w:ind w:left="1135" w:firstLine="566"/>
        <w:rPr>
          <w:sz w:val="21"/>
          <w:szCs w:val="21"/>
        </w:rPr>
      </w:pPr>
      <w:r w:rsidRPr="00385A80">
        <w:rPr>
          <w:sz w:val="21"/>
          <w:szCs w:val="21"/>
        </w:rPr>
        <w:t>(I)</w:t>
      </w:r>
      <w:r w:rsidRPr="00385A80">
        <w:rPr>
          <w:sz w:val="21"/>
          <w:szCs w:val="21"/>
        </w:rPr>
        <w:tab/>
        <w:t>A hospital; or</w:t>
      </w:r>
    </w:p>
    <w:p w14:paraId="674EE8C8" w14:textId="77777777" w:rsidR="003E3383" w:rsidRPr="00385A80" w:rsidRDefault="003E3383" w:rsidP="003E3383">
      <w:pPr>
        <w:pStyle w:val="DHHSbody"/>
        <w:tabs>
          <w:tab w:val="left" w:pos="1701"/>
        </w:tabs>
        <w:ind w:left="1135" w:firstLine="566"/>
        <w:rPr>
          <w:sz w:val="21"/>
          <w:szCs w:val="21"/>
        </w:rPr>
      </w:pPr>
      <w:r w:rsidRPr="00385A80">
        <w:rPr>
          <w:sz w:val="21"/>
          <w:szCs w:val="21"/>
        </w:rPr>
        <w:t>(II)</w:t>
      </w:r>
      <w:r w:rsidRPr="00385A80">
        <w:rPr>
          <w:sz w:val="21"/>
          <w:szCs w:val="21"/>
        </w:rPr>
        <w:tab/>
        <w:t xml:space="preserve">A pharmacy as defined in the </w:t>
      </w:r>
      <w:r w:rsidRPr="00385A80">
        <w:rPr>
          <w:i/>
          <w:sz w:val="21"/>
          <w:szCs w:val="21"/>
        </w:rPr>
        <w:t>Pharmacy Regulation Act 2010</w:t>
      </w:r>
      <w:r w:rsidRPr="00385A80">
        <w:rPr>
          <w:sz w:val="21"/>
          <w:szCs w:val="21"/>
        </w:rPr>
        <w:t xml:space="preserve">; or </w:t>
      </w:r>
    </w:p>
    <w:p w14:paraId="59451FD1" w14:textId="77777777" w:rsidR="003E3383" w:rsidRPr="00385A80" w:rsidRDefault="003E3383" w:rsidP="003E3383">
      <w:pPr>
        <w:pStyle w:val="DHHSbody"/>
        <w:tabs>
          <w:tab w:val="left" w:pos="1701"/>
        </w:tabs>
        <w:ind w:left="2155" w:hanging="465"/>
        <w:rPr>
          <w:sz w:val="21"/>
          <w:szCs w:val="21"/>
        </w:rPr>
      </w:pPr>
      <w:r w:rsidRPr="00385A80">
        <w:rPr>
          <w:sz w:val="21"/>
          <w:szCs w:val="21"/>
        </w:rPr>
        <w:lastRenderedPageBreak/>
        <w:t>(III)</w:t>
      </w:r>
      <w:r w:rsidRPr="00385A80">
        <w:rPr>
          <w:sz w:val="21"/>
          <w:szCs w:val="21"/>
        </w:rPr>
        <w:tab/>
        <w:t xml:space="preserve">A pharmacy depot, as defined in the </w:t>
      </w:r>
      <w:r w:rsidRPr="00385A80">
        <w:rPr>
          <w:i/>
          <w:sz w:val="21"/>
          <w:szCs w:val="21"/>
        </w:rPr>
        <w:t>Pharmacy Regulation Act 2010</w:t>
      </w:r>
      <w:r w:rsidRPr="00385A80">
        <w:rPr>
          <w:sz w:val="21"/>
          <w:szCs w:val="21"/>
        </w:rPr>
        <w:t>, that is a stand-alone business in premises owned or leased by the licensee of the related pharmacy;</w:t>
      </w:r>
    </w:p>
    <w:p w14:paraId="4BE26E17" w14:textId="77777777" w:rsidR="003E3383" w:rsidRPr="005756F0" w:rsidRDefault="003E3383" w:rsidP="003E3383">
      <w:pPr>
        <w:pStyle w:val="DHHSbody"/>
        <w:tabs>
          <w:tab w:val="left" w:pos="1701"/>
        </w:tabs>
        <w:rPr>
          <w:sz w:val="21"/>
          <w:szCs w:val="21"/>
        </w:rPr>
      </w:pPr>
      <w:r w:rsidRPr="005756F0">
        <w:rPr>
          <w:sz w:val="21"/>
          <w:szCs w:val="21"/>
        </w:rPr>
        <w:t>OR</w:t>
      </w:r>
    </w:p>
    <w:p w14:paraId="48A6480A" w14:textId="77777777" w:rsidR="003E3383" w:rsidRPr="00385A80" w:rsidRDefault="003E3383" w:rsidP="003E3383">
      <w:pPr>
        <w:pStyle w:val="DHHSbody"/>
        <w:tabs>
          <w:tab w:val="left" w:pos="1701"/>
        </w:tabs>
        <w:ind w:left="2160" w:hanging="459"/>
        <w:rPr>
          <w:sz w:val="21"/>
          <w:szCs w:val="21"/>
        </w:rPr>
      </w:pPr>
      <w:r w:rsidRPr="00385A80">
        <w:rPr>
          <w:sz w:val="21"/>
          <w:szCs w:val="21"/>
        </w:rPr>
        <w:t>(IV)</w:t>
      </w:r>
      <w:r>
        <w:tab/>
      </w:r>
      <w:r w:rsidRPr="00385A80">
        <w:rPr>
          <w:sz w:val="21"/>
          <w:szCs w:val="21"/>
        </w:rPr>
        <w:t xml:space="preserve">Be a mobile or outreach service of one of the premises referred to in paragraphs 3(a)(i)(I), (II) or (III) because the pharmacist administering the vaccines owns, is employed or otherwise engaged by the business referred to in paragraphs 3(a)(i)(I), (II) or (III) and sources the vaccines from those premises. </w:t>
      </w:r>
    </w:p>
    <w:p w14:paraId="2E267FC0" w14:textId="77777777" w:rsidR="003E3383" w:rsidRPr="00385A80" w:rsidRDefault="003E3383" w:rsidP="003E3383">
      <w:pPr>
        <w:pStyle w:val="DHHSbody"/>
        <w:ind w:left="709" w:hanging="425"/>
        <w:rPr>
          <w:sz w:val="21"/>
          <w:szCs w:val="21"/>
        </w:rPr>
      </w:pPr>
      <w:r w:rsidRPr="00385A80">
        <w:rPr>
          <w:b/>
          <w:bCs/>
          <w:i/>
          <w:iCs/>
          <w:sz w:val="21"/>
          <w:szCs w:val="21"/>
        </w:rPr>
        <w:t>(b)</w:t>
      </w:r>
      <w:r w:rsidRPr="00385A80">
        <w:rPr>
          <w:b/>
          <w:bCs/>
          <w:sz w:val="21"/>
          <w:szCs w:val="21"/>
        </w:rPr>
        <w:t xml:space="preserve"> </w:t>
      </w:r>
      <w:r w:rsidRPr="00385A80">
        <w:rPr>
          <w:sz w:val="21"/>
          <w:szCs w:val="21"/>
        </w:rPr>
        <w:t xml:space="preserve"> </w:t>
      </w:r>
      <w:r w:rsidRPr="00385A80">
        <w:rPr>
          <w:b/>
          <w:bCs/>
          <w:i/>
          <w:iCs/>
          <w:sz w:val="21"/>
          <w:szCs w:val="21"/>
        </w:rPr>
        <w:t>Any premises referred to in paragraphs 3(a)(i)(I), (II) or (III) on which a pharmacist administers a Schedule 4 vaccine must</w:t>
      </w:r>
      <w:r w:rsidRPr="00385A80">
        <w:rPr>
          <w:sz w:val="21"/>
          <w:szCs w:val="21"/>
        </w:rPr>
        <w:t xml:space="preserve"> meet the guidelines for facilities for immunisation services described in the </w:t>
      </w:r>
      <w:r w:rsidRPr="00385A80">
        <w:rPr>
          <w:i/>
          <w:sz w:val="21"/>
          <w:szCs w:val="21"/>
        </w:rPr>
        <w:t xml:space="preserve">Victorian Pharmacy Authority Guidelines </w:t>
      </w:r>
      <w:r w:rsidRPr="00385A80">
        <w:rPr>
          <w:sz w:val="21"/>
          <w:szCs w:val="21"/>
        </w:rPr>
        <w:t xml:space="preserve">that are current at the time of the administration. </w:t>
      </w:r>
    </w:p>
    <w:p w14:paraId="15FFB39B" w14:textId="77777777" w:rsidR="003E3383" w:rsidRPr="00385A80" w:rsidRDefault="003E3383" w:rsidP="003E3383">
      <w:pPr>
        <w:pStyle w:val="DHHSbody"/>
        <w:numPr>
          <w:ilvl w:val="0"/>
          <w:numId w:val="46"/>
        </w:numPr>
        <w:ind w:hanging="425"/>
        <w:rPr>
          <w:b/>
          <w:i/>
          <w:sz w:val="21"/>
          <w:szCs w:val="21"/>
        </w:rPr>
      </w:pPr>
      <w:r w:rsidRPr="00385A80">
        <w:rPr>
          <w:b/>
          <w:i/>
          <w:sz w:val="21"/>
          <w:szCs w:val="21"/>
        </w:rPr>
        <w:t>All pharmacists administering Schedule 4 poisons:</w:t>
      </w:r>
    </w:p>
    <w:p w14:paraId="0D9A0665" w14:textId="77777777" w:rsidR="003E3383" w:rsidRPr="00385A80" w:rsidRDefault="003E3383" w:rsidP="003E3383">
      <w:pPr>
        <w:pStyle w:val="DHHSbody"/>
        <w:numPr>
          <w:ilvl w:val="0"/>
          <w:numId w:val="43"/>
        </w:numPr>
        <w:ind w:firstLine="54"/>
        <w:rPr>
          <w:sz w:val="21"/>
          <w:szCs w:val="21"/>
        </w:rPr>
      </w:pPr>
      <w:r w:rsidRPr="00385A80">
        <w:rPr>
          <w:sz w:val="21"/>
          <w:szCs w:val="21"/>
        </w:rPr>
        <w:t>must do so in accordance with:</w:t>
      </w:r>
    </w:p>
    <w:p w14:paraId="68F4164C" w14:textId="77777777" w:rsidR="003E3383" w:rsidRPr="00385A80" w:rsidRDefault="003E3383" w:rsidP="003E3383">
      <w:pPr>
        <w:pStyle w:val="DHHSbody"/>
        <w:numPr>
          <w:ilvl w:val="0"/>
          <w:numId w:val="47"/>
        </w:numPr>
        <w:ind w:left="2126" w:hanging="425"/>
        <w:rPr>
          <w:sz w:val="21"/>
          <w:szCs w:val="21"/>
        </w:rPr>
      </w:pPr>
      <w:r w:rsidRPr="00385A80">
        <w:rPr>
          <w:sz w:val="21"/>
          <w:szCs w:val="21"/>
        </w:rPr>
        <w:t xml:space="preserve">The edition of the </w:t>
      </w:r>
      <w:r w:rsidRPr="00385A80">
        <w:rPr>
          <w:i/>
          <w:iCs/>
          <w:sz w:val="21"/>
          <w:szCs w:val="21"/>
        </w:rPr>
        <w:t>Australian Immunisation Handbook</w:t>
      </w:r>
      <w:bookmarkStart w:id="3" w:name="_Ref449959766"/>
      <w:r w:rsidRPr="00385A80">
        <w:rPr>
          <w:rStyle w:val="FootnoteReference"/>
          <w:sz w:val="21"/>
          <w:szCs w:val="21"/>
        </w:rPr>
        <w:footnoteReference w:id="6"/>
      </w:r>
      <w:bookmarkEnd w:id="3"/>
      <w:r w:rsidRPr="00385A80">
        <w:rPr>
          <w:sz w:val="21"/>
          <w:szCs w:val="21"/>
          <w:vertAlign w:val="superscript"/>
        </w:rPr>
        <w:t xml:space="preserve"> </w:t>
      </w:r>
      <w:r w:rsidRPr="00385A80">
        <w:rPr>
          <w:sz w:val="21"/>
          <w:szCs w:val="21"/>
        </w:rPr>
        <w:t>that is current at the time of the administration; and</w:t>
      </w:r>
    </w:p>
    <w:p w14:paraId="770857FE" w14:textId="77777777" w:rsidR="003E3383" w:rsidRPr="00385A80" w:rsidRDefault="003E3383" w:rsidP="003E3383">
      <w:pPr>
        <w:pStyle w:val="DHHSbody"/>
        <w:numPr>
          <w:ilvl w:val="0"/>
          <w:numId w:val="47"/>
        </w:numPr>
        <w:ind w:left="2127" w:hanging="426"/>
        <w:rPr>
          <w:sz w:val="21"/>
          <w:szCs w:val="21"/>
        </w:rPr>
      </w:pPr>
      <w:r w:rsidRPr="00385A80">
        <w:rPr>
          <w:sz w:val="21"/>
          <w:szCs w:val="21"/>
        </w:rPr>
        <w:t xml:space="preserve">The edition of the </w:t>
      </w:r>
      <w:r w:rsidRPr="00385A80">
        <w:rPr>
          <w:i/>
          <w:iCs/>
          <w:sz w:val="21"/>
          <w:szCs w:val="21"/>
        </w:rPr>
        <w:t>National Vaccine Storage Guidelines: Strive for 5</w:t>
      </w:r>
      <w:r w:rsidRPr="00385A80">
        <w:rPr>
          <w:sz w:val="21"/>
          <w:szCs w:val="21"/>
          <w:vertAlign w:val="superscript"/>
        </w:rPr>
        <w:fldChar w:fldCharType="begin"/>
      </w:r>
      <w:r w:rsidRPr="00385A80">
        <w:rPr>
          <w:sz w:val="21"/>
          <w:szCs w:val="21"/>
          <w:vertAlign w:val="superscript"/>
        </w:rPr>
        <w:instrText xml:space="preserve"> NOTEREF _Ref449959766 \h  \* MERGEFORMAT </w:instrText>
      </w:r>
      <w:r w:rsidRPr="00385A80">
        <w:rPr>
          <w:sz w:val="21"/>
          <w:szCs w:val="21"/>
          <w:vertAlign w:val="superscript"/>
        </w:rPr>
      </w:r>
      <w:r w:rsidRPr="00385A80">
        <w:rPr>
          <w:sz w:val="21"/>
          <w:szCs w:val="21"/>
          <w:vertAlign w:val="superscript"/>
        </w:rPr>
        <w:fldChar w:fldCharType="separate"/>
      </w:r>
      <w:r w:rsidRPr="00385A80">
        <w:rPr>
          <w:sz w:val="21"/>
          <w:szCs w:val="21"/>
          <w:vertAlign w:val="superscript"/>
        </w:rPr>
        <w:t>4</w:t>
      </w:r>
      <w:r w:rsidRPr="00385A80">
        <w:rPr>
          <w:sz w:val="21"/>
          <w:szCs w:val="21"/>
          <w:vertAlign w:val="superscript"/>
        </w:rPr>
        <w:fldChar w:fldCharType="end"/>
      </w:r>
      <w:r w:rsidRPr="00385A80">
        <w:rPr>
          <w:sz w:val="21"/>
          <w:szCs w:val="21"/>
        </w:rPr>
        <w:t xml:space="preserve"> that is current at the time of the administration; and</w:t>
      </w:r>
    </w:p>
    <w:p w14:paraId="1624AB2E" w14:textId="33ECBF99" w:rsidR="003E3383" w:rsidRPr="00385A80" w:rsidRDefault="00901450" w:rsidP="003E3383">
      <w:pPr>
        <w:pStyle w:val="DHHSbody"/>
        <w:numPr>
          <w:ilvl w:val="0"/>
          <w:numId w:val="43"/>
        </w:numPr>
        <w:tabs>
          <w:tab w:val="left" w:pos="1418"/>
        </w:tabs>
        <w:ind w:left="1418" w:hanging="284"/>
        <w:rPr>
          <w:sz w:val="21"/>
          <w:szCs w:val="21"/>
        </w:rPr>
      </w:pPr>
      <w:r>
        <w:rPr>
          <w:sz w:val="21"/>
          <w:szCs w:val="21"/>
        </w:rPr>
        <w:t>m</w:t>
      </w:r>
      <w:r w:rsidRPr="00385A80">
        <w:rPr>
          <w:sz w:val="21"/>
          <w:szCs w:val="21"/>
        </w:rPr>
        <w:t xml:space="preserve">ust </w:t>
      </w:r>
      <w:r w:rsidR="003E3383" w:rsidRPr="00385A80">
        <w:rPr>
          <w:sz w:val="21"/>
          <w:szCs w:val="21"/>
        </w:rPr>
        <w:t xml:space="preserve">ensure that at least one other staff member that holds a current first aid and cardiopulmonary resuscitation certificate is on duty in the pharmacy when the Schedule 4 poisons are administered and for a minimum period of 15 minutes afterwards, where administering on premises defined in paragraphs 3(a)(i)(I), (II) or (III). </w:t>
      </w:r>
    </w:p>
    <w:p w14:paraId="17C7B996" w14:textId="47001B32" w:rsidR="003E3383" w:rsidRDefault="003E3383" w:rsidP="003E3383">
      <w:pPr>
        <w:pStyle w:val="DHHSbody"/>
        <w:tabs>
          <w:tab w:val="left" w:pos="1418"/>
        </w:tabs>
        <w:rPr>
          <w:sz w:val="21"/>
          <w:szCs w:val="21"/>
        </w:rPr>
      </w:pPr>
      <w:r w:rsidRPr="00385A80">
        <w:rPr>
          <w:sz w:val="21"/>
          <w:szCs w:val="21"/>
        </w:rPr>
        <w:t>NOTE: Pharmacists who administer Schedule 4 poisons, as listed in Appendi</w:t>
      </w:r>
      <w:r w:rsidR="00B627C1">
        <w:rPr>
          <w:sz w:val="21"/>
          <w:szCs w:val="21"/>
        </w:rPr>
        <w:t>ces</w:t>
      </w:r>
      <w:r w:rsidRPr="00385A80">
        <w:rPr>
          <w:sz w:val="21"/>
          <w:szCs w:val="21"/>
        </w:rPr>
        <w:t xml:space="preserve"> 1</w:t>
      </w:r>
      <w:r w:rsidR="00B627C1">
        <w:rPr>
          <w:sz w:val="21"/>
          <w:szCs w:val="21"/>
        </w:rPr>
        <w:t>,</w:t>
      </w:r>
      <w:r w:rsidR="00475B4A">
        <w:rPr>
          <w:sz w:val="21"/>
          <w:szCs w:val="21"/>
        </w:rPr>
        <w:t xml:space="preserve"> 2</w:t>
      </w:r>
      <w:r w:rsidR="00B627C1">
        <w:rPr>
          <w:sz w:val="21"/>
          <w:szCs w:val="21"/>
        </w:rPr>
        <w:t xml:space="preserve"> and 3</w:t>
      </w:r>
      <w:r w:rsidRPr="00385A80">
        <w:rPr>
          <w:sz w:val="21"/>
          <w:szCs w:val="21"/>
        </w:rPr>
        <w:t xml:space="preserve">, are referred to the edition of the </w:t>
      </w:r>
      <w:r w:rsidRPr="00385A80">
        <w:rPr>
          <w:i/>
          <w:iCs/>
          <w:sz w:val="21"/>
          <w:szCs w:val="21"/>
        </w:rPr>
        <w:t>Victorian Pharmacist-Administered Vaccination Program Guidelines</w:t>
      </w:r>
      <w:r w:rsidRPr="00385A80">
        <w:rPr>
          <w:sz w:val="21"/>
          <w:szCs w:val="21"/>
        </w:rPr>
        <w:t xml:space="preserve"> current at the time of administration and issued by the Department of Health, which apply to the administration of all government-funded vaccines by </w:t>
      </w:r>
      <w:r w:rsidRPr="00122497">
        <w:rPr>
          <w:sz w:val="21"/>
          <w:szCs w:val="21"/>
        </w:rPr>
        <w:t>pharmacists. These guidelines contain best practice guidance for the administration of all vaccines listed in Appendi</w:t>
      </w:r>
      <w:r w:rsidR="0074356B">
        <w:rPr>
          <w:sz w:val="21"/>
          <w:szCs w:val="21"/>
        </w:rPr>
        <w:t>ces</w:t>
      </w:r>
      <w:r w:rsidRPr="00122497">
        <w:rPr>
          <w:sz w:val="21"/>
          <w:szCs w:val="21"/>
        </w:rPr>
        <w:t xml:space="preserve"> 1</w:t>
      </w:r>
      <w:r w:rsidR="0062492E">
        <w:rPr>
          <w:sz w:val="21"/>
          <w:szCs w:val="21"/>
        </w:rPr>
        <w:t>,</w:t>
      </w:r>
      <w:r w:rsidR="00475B4A" w:rsidRPr="00122497">
        <w:rPr>
          <w:sz w:val="21"/>
          <w:szCs w:val="21"/>
        </w:rPr>
        <w:t xml:space="preserve"> 2</w:t>
      </w:r>
      <w:r w:rsidR="0062492E">
        <w:rPr>
          <w:sz w:val="21"/>
          <w:szCs w:val="21"/>
        </w:rPr>
        <w:t xml:space="preserve"> and 3</w:t>
      </w:r>
      <w:r w:rsidRPr="00122497">
        <w:rPr>
          <w:sz w:val="21"/>
          <w:szCs w:val="21"/>
        </w:rPr>
        <w:t xml:space="preserve"> (whether government funded or not) by pharmacists.</w:t>
      </w:r>
    </w:p>
    <w:p w14:paraId="3C737FB1" w14:textId="147B123F" w:rsidR="00AB2A5D" w:rsidRPr="00122497" w:rsidRDefault="00AB2A5D" w:rsidP="003E3383">
      <w:pPr>
        <w:pStyle w:val="DHHSbody"/>
        <w:tabs>
          <w:tab w:val="left" w:pos="1418"/>
        </w:tabs>
        <w:rPr>
          <w:sz w:val="21"/>
          <w:szCs w:val="21"/>
        </w:rPr>
      </w:pPr>
      <w:r>
        <w:rPr>
          <w:sz w:val="21"/>
          <w:szCs w:val="21"/>
        </w:rPr>
        <w:t xml:space="preserve">NOTE: Pharmacists who administer </w:t>
      </w:r>
      <w:r w:rsidR="006E544B">
        <w:rPr>
          <w:sz w:val="21"/>
          <w:szCs w:val="21"/>
        </w:rPr>
        <w:t xml:space="preserve">the </w:t>
      </w:r>
      <w:r>
        <w:rPr>
          <w:sz w:val="21"/>
          <w:szCs w:val="21"/>
        </w:rPr>
        <w:t xml:space="preserve">Schedule 4 poison, as listed in Appendix 3 are referred to the edition of the </w:t>
      </w:r>
      <w:r w:rsidR="00475EF7" w:rsidRPr="00F77728">
        <w:rPr>
          <w:i/>
          <w:iCs/>
          <w:sz w:val="21"/>
          <w:szCs w:val="21"/>
        </w:rPr>
        <w:t>Victorian Monkeypox Vaccination Program</w:t>
      </w:r>
      <w:r w:rsidR="00C64819">
        <w:rPr>
          <w:sz w:val="21"/>
          <w:szCs w:val="21"/>
        </w:rPr>
        <w:t xml:space="preserve"> </w:t>
      </w:r>
      <w:r w:rsidR="00C64819" w:rsidRPr="00F77728">
        <w:rPr>
          <w:i/>
          <w:iCs/>
          <w:sz w:val="21"/>
          <w:szCs w:val="21"/>
        </w:rPr>
        <w:t>guidelines</w:t>
      </w:r>
      <w:r w:rsidR="00F77728">
        <w:rPr>
          <w:sz w:val="21"/>
          <w:szCs w:val="21"/>
        </w:rPr>
        <w:t xml:space="preserve">, </w:t>
      </w:r>
      <w:r w:rsidR="00475EF7">
        <w:rPr>
          <w:sz w:val="21"/>
          <w:szCs w:val="21"/>
        </w:rPr>
        <w:t>current at the time of administration</w:t>
      </w:r>
      <w:r w:rsidR="00C64819">
        <w:rPr>
          <w:sz w:val="21"/>
          <w:szCs w:val="21"/>
        </w:rPr>
        <w:t xml:space="preserve"> and issued by the Department of Health.</w:t>
      </w:r>
    </w:p>
    <w:p w14:paraId="6F4ADF67" w14:textId="3E39E90E" w:rsidR="003541A0" w:rsidRPr="00385A80" w:rsidRDefault="003541A0" w:rsidP="003541A0">
      <w:pPr>
        <w:pStyle w:val="DHHSbody"/>
        <w:tabs>
          <w:tab w:val="left" w:pos="1418"/>
        </w:tabs>
        <w:rPr>
          <w:sz w:val="21"/>
          <w:szCs w:val="21"/>
        </w:rPr>
      </w:pPr>
      <w:r w:rsidRPr="00122497">
        <w:rPr>
          <w:sz w:val="21"/>
          <w:szCs w:val="21"/>
        </w:rPr>
        <w:t xml:space="preserve">NOTE: Pharmacists are permitted to possess and administer Schedule 3 poisons pursuant to Regulation 141 of the Regulations. Accordingly, pharmacists are permitted to possess and administer Schedule 3 Poisons that are necessary for the treatment of anaphylactic reactions to the </w:t>
      </w:r>
      <w:r w:rsidR="00890974">
        <w:rPr>
          <w:sz w:val="21"/>
          <w:szCs w:val="21"/>
        </w:rPr>
        <w:t>vaccine</w:t>
      </w:r>
      <w:r w:rsidRPr="00122497">
        <w:rPr>
          <w:sz w:val="21"/>
          <w:szCs w:val="21"/>
        </w:rPr>
        <w:t>. Those Schedule 3 Poisons should be kept on hand and utilised should they be required at the time the vaccine is administered.</w:t>
      </w:r>
    </w:p>
    <w:p w14:paraId="5A34CC29" w14:textId="77777777" w:rsidR="00F3660A" w:rsidRPr="00385A80" w:rsidRDefault="00F3660A" w:rsidP="003E3383">
      <w:pPr>
        <w:spacing w:after="0" w:line="240" w:lineRule="auto"/>
        <w:rPr>
          <w:rFonts w:ascii="Arial" w:eastAsia="Times" w:hAnsi="Arial"/>
          <w:b/>
          <w:sz w:val="21"/>
          <w:szCs w:val="21"/>
        </w:rPr>
      </w:pPr>
    </w:p>
    <w:p w14:paraId="597F0E10" w14:textId="77777777" w:rsidR="003E3383" w:rsidRPr="00385A80" w:rsidRDefault="003E3383" w:rsidP="003E3383">
      <w:pPr>
        <w:pStyle w:val="DHHSbody"/>
        <w:tabs>
          <w:tab w:val="left" w:pos="1134"/>
        </w:tabs>
        <w:rPr>
          <w:b/>
          <w:sz w:val="21"/>
          <w:szCs w:val="21"/>
        </w:rPr>
      </w:pPr>
      <w:r w:rsidRPr="00385A80">
        <w:rPr>
          <w:b/>
          <w:sz w:val="21"/>
          <w:szCs w:val="21"/>
        </w:rPr>
        <w:t>Appendix 1</w:t>
      </w:r>
    </w:p>
    <w:tbl>
      <w:tblPr>
        <w:tblStyle w:val="TableGrid"/>
        <w:tblW w:w="10201" w:type="dxa"/>
        <w:tblLook w:val="04A0" w:firstRow="1" w:lastRow="0" w:firstColumn="1" w:lastColumn="0" w:noHBand="0" w:noVBand="1"/>
      </w:tblPr>
      <w:tblGrid>
        <w:gridCol w:w="2061"/>
        <w:gridCol w:w="3377"/>
        <w:gridCol w:w="4756"/>
        <w:gridCol w:w="7"/>
      </w:tblGrid>
      <w:tr w:rsidR="003E3383" w:rsidRPr="00385A80" w14:paraId="5491ADB2" w14:textId="77777777" w:rsidTr="4A0FC554">
        <w:trPr>
          <w:gridAfter w:val="1"/>
          <w:wAfter w:w="7" w:type="dxa"/>
          <w:tblHeader/>
        </w:trPr>
        <w:tc>
          <w:tcPr>
            <w:tcW w:w="2061" w:type="dxa"/>
          </w:tcPr>
          <w:p w14:paraId="7A4B5606" w14:textId="77777777" w:rsidR="003E3383" w:rsidRPr="00385A80" w:rsidRDefault="003E3383" w:rsidP="00695CB9">
            <w:pPr>
              <w:pStyle w:val="DHHSbody"/>
              <w:tabs>
                <w:tab w:val="left" w:pos="1134"/>
              </w:tabs>
              <w:rPr>
                <w:b/>
                <w:sz w:val="21"/>
                <w:szCs w:val="21"/>
              </w:rPr>
            </w:pPr>
            <w:r w:rsidRPr="00385A80">
              <w:rPr>
                <w:b/>
                <w:sz w:val="21"/>
                <w:szCs w:val="21"/>
              </w:rPr>
              <w:t xml:space="preserve">Column 1: </w:t>
            </w:r>
          </w:p>
          <w:p w14:paraId="0B681B23" w14:textId="305A0ED1" w:rsidR="003E3383" w:rsidRPr="00385A80" w:rsidRDefault="003E3383" w:rsidP="1E2D4070">
            <w:pPr>
              <w:pStyle w:val="DHHSbody"/>
              <w:tabs>
                <w:tab w:val="left" w:pos="1134"/>
              </w:tabs>
              <w:rPr>
                <w:b/>
                <w:bCs/>
                <w:sz w:val="21"/>
                <w:szCs w:val="21"/>
              </w:rPr>
            </w:pPr>
            <w:r w:rsidRPr="4A0FC554">
              <w:rPr>
                <w:b/>
                <w:bCs/>
                <w:sz w:val="21"/>
                <w:szCs w:val="21"/>
              </w:rPr>
              <w:t>Generic name</w:t>
            </w:r>
            <w:r w:rsidR="66827062" w:rsidRPr="4A0FC554">
              <w:rPr>
                <w:b/>
                <w:bCs/>
                <w:sz w:val="21"/>
                <w:szCs w:val="21"/>
              </w:rPr>
              <w:t xml:space="preserve"> of</w:t>
            </w:r>
          </w:p>
          <w:p w14:paraId="373018B2" w14:textId="4D72D9E0" w:rsidR="003E3383" w:rsidRPr="00385A80" w:rsidRDefault="2F587730" w:rsidP="1E2D4070">
            <w:pPr>
              <w:pStyle w:val="DHHSbody"/>
              <w:tabs>
                <w:tab w:val="left" w:pos="1134"/>
              </w:tabs>
              <w:rPr>
                <w:b/>
                <w:bCs/>
                <w:sz w:val="21"/>
                <w:szCs w:val="21"/>
              </w:rPr>
            </w:pPr>
            <w:r w:rsidRPr="1E2D4070">
              <w:rPr>
                <w:b/>
                <w:bCs/>
                <w:sz w:val="21"/>
                <w:szCs w:val="21"/>
              </w:rPr>
              <w:t>vaccine</w:t>
            </w:r>
          </w:p>
        </w:tc>
        <w:tc>
          <w:tcPr>
            <w:tcW w:w="3377" w:type="dxa"/>
          </w:tcPr>
          <w:p w14:paraId="4B302986" w14:textId="77777777" w:rsidR="003E3383" w:rsidRPr="00385A80" w:rsidRDefault="003E3383" w:rsidP="00695CB9">
            <w:pPr>
              <w:pStyle w:val="DHHSbody"/>
              <w:tabs>
                <w:tab w:val="left" w:pos="1134"/>
              </w:tabs>
              <w:rPr>
                <w:b/>
                <w:sz w:val="21"/>
                <w:szCs w:val="21"/>
              </w:rPr>
            </w:pPr>
            <w:r w:rsidRPr="00385A80">
              <w:rPr>
                <w:b/>
                <w:sz w:val="21"/>
                <w:szCs w:val="21"/>
              </w:rPr>
              <w:t>Column 2:</w:t>
            </w:r>
          </w:p>
          <w:p w14:paraId="11B5D0C0" w14:textId="77777777" w:rsidR="003E3383" w:rsidRPr="00385A80" w:rsidRDefault="003E3383" w:rsidP="00695CB9">
            <w:pPr>
              <w:pStyle w:val="DHHSbody"/>
              <w:tabs>
                <w:tab w:val="left" w:pos="1134"/>
              </w:tabs>
              <w:rPr>
                <w:b/>
                <w:i/>
                <w:sz w:val="21"/>
                <w:szCs w:val="21"/>
              </w:rPr>
            </w:pPr>
            <w:r w:rsidRPr="00385A80">
              <w:rPr>
                <w:b/>
                <w:sz w:val="21"/>
                <w:szCs w:val="21"/>
              </w:rPr>
              <w:t xml:space="preserve">Approval for pharmacists to vaccinate with this vaccine </w:t>
            </w:r>
            <w:r w:rsidRPr="00385A80">
              <w:rPr>
                <w:b/>
                <w:i/>
                <w:sz w:val="21"/>
                <w:szCs w:val="21"/>
              </w:rPr>
              <w:t>applies to</w:t>
            </w:r>
          </w:p>
        </w:tc>
        <w:tc>
          <w:tcPr>
            <w:tcW w:w="4756" w:type="dxa"/>
          </w:tcPr>
          <w:p w14:paraId="07160BC7" w14:textId="77777777" w:rsidR="003E3383" w:rsidRPr="00385A80" w:rsidRDefault="003E3383" w:rsidP="00695CB9">
            <w:pPr>
              <w:pStyle w:val="DHHSbody"/>
              <w:tabs>
                <w:tab w:val="left" w:pos="1134"/>
              </w:tabs>
              <w:rPr>
                <w:b/>
                <w:sz w:val="21"/>
                <w:szCs w:val="21"/>
              </w:rPr>
            </w:pPr>
            <w:r w:rsidRPr="00385A80">
              <w:rPr>
                <w:b/>
                <w:sz w:val="21"/>
                <w:szCs w:val="21"/>
              </w:rPr>
              <w:t>Column 3:</w:t>
            </w:r>
          </w:p>
          <w:p w14:paraId="73CE8358" w14:textId="77777777" w:rsidR="003E3383" w:rsidRPr="00385A80" w:rsidRDefault="003E3383" w:rsidP="00695CB9">
            <w:pPr>
              <w:pStyle w:val="DHHSbody"/>
              <w:tabs>
                <w:tab w:val="left" w:pos="1134"/>
              </w:tabs>
              <w:rPr>
                <w:b/>
                <w:i/>
                <w:sz w:val="21"/>
                <w:szCs w:val="21"/>
              </w:rPr>
            </w:pPr>
            <w:r w:rsidRPr="00385A80">
              <w:rPr>
                <w:b/>
                <w:sz w:val="21"/>
                <w:szCs w:val="21"/>
              </w:rPr>
              <w:t xml:space="preserve">Approval for pharmacists to vaccinate with this vaccine </w:t>
            </w:r>
            <w:r w:rsidRPr="00385A80">
              <w:rPr>
                <w:b/>
                <w:i/>
                <w:sz w:val="21"/>
                <w:szCs w:val="21"/>
              </w:rPr>
              <w:t>excludes</w:t>
            </w:r>
          </w:p>
        </w:tc>
      </w:tr>
      <w:tr w:rsidR="003E3383" w:rsidRPr="00385A80" w14:paraId="412EEA57" w14:textId="77777777" w:rsidTr="4A0FC554">
        <w:trPr>
          <w:gridAfter w:val="1"/>
          <w:wAfter w:w="7" w:type="dxa"/>
        </w:trPr>
        <w:tc>
          <w:tcPr>
            <w:tcW w:w="2061" w:type="dxa"/>
          </w:tcPr>
          <w:p w14:paraId="73C160B3" w14:textId="6A201BFD" w:rsidR="003E3383" w:rsidRPr="00385A80" w:rsidRDefault="003E3383" w:rsidP="00695CB9">
            <w:pPr>
              <w:pStyle w:val="DHHSbody"/>
              <w:tabs>
                <w:tab w:val="left" w:pos="1134"/>
              </w:tabs>
              <w:rPr>
                <w:sz w:val="21"/>
                <w:szCs w:val="21"/>
              </w:rPr>
            </w:pPr>
            <w:r w:rsidRPr="00385A80">
              <w:rPr>
                <w:sz w:val="21"/>
                <w:szCs w:val="21"/>
              </w:rPr>
              <w:t xml:space="preserve">Influenza </w:t>
            </w:r>
          </w:p>
        </w:tc>
        <w:tc>
          <w:tcPr>
            <w:tcW w:w="3377" w:type="dxa"/>
          </w:tcPr>
          <w:p w14:paraId="5CA7A777" w14:textId="6CDE960B" w:rsidR="003E3383" w:rsidRPr="00122497" w:rsidRDefault="003E3383" w:rsidP="00695CB9">
            <w:pPr>
              <w:pStyle w:val="DHHSbullet1"/>
              <w:numPr>
                <w:ilvl w:val="0"/>
                <w:numId w:val="1"/>
              </w:numPr>
              <w:rPr>
                <w:sz w:val="21"/>
                <w:szCs w:val="21"/>
              </w:rPr>
            </w:pPr>
            <w:r w:rsidRPr="00122497">
              <w:rPr>
                <w:sz w:val="21"/>
                <w:szCs w:val="21"/>
              </w:rPr>
              <w:t xml:space="preserve">Vaccination of people aged </w:t>
            </w:r>
            <w:r w:rsidR="00385A80" w:rsidRPr="00122497">
              <w:rPr>
                <w:sz w:val="21"/>
                <w:szCs w:val="21"/>
              </w:rPr>
              <w:t>5</w:t>
            </w:r>
            <w:r w:rsidRPr="00122497">
              <w:rPr>
                <w:sz w:val="21"/>
                <w:szCs w:val="21"/>
              </w:rPr>
              <w:t xml:space="preserve"> years and </w:t>
            </w:r>
            <w:r w:rsidR="00A617FF" w:rsidRPr="00122497">
              <w:rPr>
                <w:sz w:val="21"/>
                <w:szCs w:val="21"/>
              </w:rPr>
              <w:t>o</w:t>
            </w:r>
            <w:r w:rsidR="00A617FF">
              <w:rPr>
                <w:sz w:val="21"/>
                <w:szCs w:val="21"/>
              </w:rPr>
              <w:t>lder</w:t>
            </w:r>
            <w:r w:rsidRPr="00122497">
              <w:rPr>
                <w:sz w:val="21"/>
                <w:szCs w:val="21"/>
              </w:rPr>
              <w:t xml:space="preserve">, excluding </w:t>
            </w:r>
            <w:r w:rsidRPr="00122497">
              <w:rPr>
                <w:sz w:val="21"/>
                <w:szCs w:val="21"/>
              </w:rPr>
              <w:lastRenderedPageBreak/>
              <w:t>those circumstances listed in Column 3.</w:t>
            </w:r>
          </w:p>
        </w:tc>
        <w:tc>
          <w:tcPr>
            <w:tcW w:w="4756" w:type="dxa"/>
          </w:tcPr>
          <w:p w14:paraId="26D06490" w14:textId="77777777" w:rsidR="003E3383" w:rsidRPr="00122497" w:rsidRDefault="003E3383" w:rsidP="00695CB9">
            <w:pPr>
              <w:pStyle w:val="DHHStablebullet"/>
              <w:numPr>
                <w:ilvl w:val="6"/>
                <w:numId w:val="1"/>
              </w:numPr>
              <w:rPr>
                <w:sz w:val="21"/>
                <w:szCs w:val="21"/>
              </w:rPr>
            </w:pPr>
            <w:r w:rsidRPr="00122497">
              <w:rPr>
                <w:sz w:val="21"/>
                <w:szCs w:val="21"/>
              </w:rPr>
              <w:lastRenderedPageBreak/>
              <w:t>Vaccination for travel purposes</w:t>
            </w:r>
            <w:bookmarkStart w:id="4" w:name="_Ref450048837"/>
            <w:r w:rsidRPr="00122497">
              <w:rPr>
                <w:rStyle w:val="FootnoteReference"/>
                <w:rFonts w:eastAsia="MS Mincho"/>
                <w:sz w:val="21"/>
                <w:szCs w:val="21"/>
              </w:rPr>
              <w:footnoteReference w:id="7"/>
            </w:r>
            <w:bookmarkEnd w:id="4"/>
            <w:r w:rsidRPr="00122497">
              <w:rPr>
                <w:sz w:val="21"/>
                <w:szCs w:val="21"/>
              </w:rPr>
              <w:t>;</w:t>
            </w:r>
          </w:p>
          <w:p w14:paraId="23AEA41B" w14:textId="322F1BBC" w:rsidR="003E3383" w:rsidRPr="00122497" w:rsidRDefault="003E3383" w:rsidP="00695CB9">
            <w:pPr>
              <w:pStyle w:val="DHHStablebullet"/>
              <w:numPr>
                <w:ilvl w:val="6"/>
                <w:numId w:val="1"/>
              </w:numPr>
              <w:rPr>
                <w:sz w:val="21"/>
                <w:szCs w:val="21"/>
              </w:rPr>
            </w:pPr>
            <w:r w:rsidRPr="00122497">
              <w:rPr>
                <w:sz w:val="21"/>
                <w:szCs w:val="21"/>
              </w:rPr>
              <w:lastRenderedPageBreak/>
              <w:t xml:space="preserve">Vaccination of people aged </w:t>
            </w:r>
            <w:r w:rsidR="00385A80" w:rsidRPr="00122497">
              <w:rPr>
                <w:sz w:val="21"/>
                <w:szCs w:val="21"/>
              </w:rPr>
              <w:t>4</w:t>
            </w:r>
            <w:r w:rsidRPr="00122497">
              <w:rPr>
                <w:sz w:val="21"/>
                <w:szCs w:val="21"/>
              </w:rPr>
              <w:t xml:space="preserve"> years and </w:t>
            </w:r>
            <w:r w:rsidR="00A617FF">
              <w:rPr>
                <w:sz w:val="21"/>
                <w:szCs w:val="21"/>
              </w:rPr>
              <w:t>younger</w:t>
            </w:r>
            <w:r w:rsidRPr="00122497">
              <w:rPr>
                <w:sz w:val="21"/>
                <w:szCs w:val="21"/>
              </w:rPr>
              <w:t xml:space="preserve">; </w:t>
            </w:r>
          </w:p>
          <w:p w14:paraId="7DDA77B2" w14:textId="6037FC9E" w:rsidR="003E3383" w:rsidRPr="00122497" w:rsidRDefault="003E3383" w:rsidP="00695CB9">
            <w:pPr>
              <w:pStyle w:val="DHHStablebullet"/>
              <w:numPr>
                <w:ilvl w:val="6"/>
                <w:numId w:val="1"/>
              </w:numPr>
              <w:rPr>
                <w:sz w:val="21"/>
                <w:szCs w:val="21"/>
              </w:rPr>
            </w:pPr>
            <w:r w:rsidRPr="00122497">
              <w:rPr>
                <w:sz w:val="21"/>
                <w:szCs w:val="21"/>
              </w:rPr>
              <w:t xml:space="preserve">Vaccination of people with contraindications defined in the current edition of the </w:t>
            </w:r>
            <w:r w:rsidRPr="00122497">
              <w:rPr>
                <w:i/>
                <w:sz w:val="21"/>
                <w:szCs w:val="21"/>
              </w:rPr>
              <w:t>Australian Immunisation Handbook</w:t>
            </w:r>
            <w:r w:rsidRPr="00122497">
              <w:rPr>
                <w:sz w:val="21"/>
                <w:szCs w:val="21"/>
                <w:vertAlign w:val="superscript"/>
              </w:rPr>
              <w:fldChar w:fldCharType="begin"/>
            </w:r>
            <w:r w:rsidRPr="00122497">
              <w:rPr>
                <w:sz w:val="21"/>
                <w:szCs w:val="21"/>
                <w:vertAlign w:val="superscript"/>
              </w:rPr>
              <w:instrText xml:space="preserve"> NOTEREF _Ref449959766 \h </w:instrText>
            </w:r>
            <w:r w:rsidR="00385A80" w:rsidRPr="00122497">
              <w:rPr>
                <w:sz w:val="21"/>
                <w:szCs w:val="21"/>
                <w:vertAlign w:val="superscript"/>
              </w:rPr>
              <w:instrText xml:space="preserve"> \* MERGEFORMAT </w:instrText>
            </w:r>
            <w:r w:rsidRPr="00122497">
              <w:rPr>
                <w:sz w:val="21"/>
                <w:szCs w:val="21"/>
                <w:vertAlign w:val="superscript"/>
              </w:rPr>
            </w:r>
            <w:r w:rsidRPr="00122497">
              <w:rPr>
                <w:sz w:val="21"/>
                <w:szCs w:val="21"/>
                <w:vertAlign w:val="superscript"/>
              </w:rPr>
              <w:fldChar w:fldCharType="separate"/>
            </w:r>
            <w:r w:rsidRPr="00122497">
              <w:rPr>
                <w:sz w:val="21"/>
                <w:szCs w:val="21"/>
                <w:vertAlign w:val="superscript"/>
              </w:rPr>
              <w:t>4</w:t>
            </w:r>
            <w:r w:rsidRPr="00122497">
              <w:rPr>
                <w:sz w:val="21"/>
                <w:szCs w:val="21"/>
                <w:vertAlign w:val="superscript"/>
              </w:rPr>
              <w:fldChar w:fldCharType="end"/>
            </w:r>
            <w:r w:rsidRPr="00122497">
              <w:rPr>
                <w:sz w:val="21"/>
                <w:szCs w:val="21"/>
              </w:rPr>
              <w:t>.</w:t>
            </w:r>
          </w:p>
        </w:tc>
      </w:tr>
      <w:tr w:rsidR="003E3383" w:rsidRPr="00385A80" w14:paraId="225B461D" w14:textId="77777777" w:rsidTr="4A0FC554">
        <w:trPr>
          <w:gridAfter w:val="1"/>
          <w:wAfter w:w="7" w:type="dxa"/>
        </w:trPr>
        <w:tc>
          <w:tcPr>
            <w:tcW w:w="2061" w:type="dxa"/>
          </w:tcPr>
          <w:p w14:paraId="3FE0DD0E" w14:textId="5E8FA203" w:rsidR="003E3383" w:rsidRPr="00385A80" w:rsidRDefault="4FE873CA">
            <w:pPr>
              <w:pStyle w:val="DHHSbody"/>
              <w:tabs>
                <w:tab w:val="left" w:pos="1134"/>
              </w:tabs>
              <w:rPr>
                <w:sz w:val="21"/>
                <w:szCs w:val="21"/>
              </w:rPr>
            </w:pPr>
            <w:r w:rsidRPr="1FB433B4">
              <w:rPr>
                <w:sz w:val="21"/>
                <w:szCs w:val="21"/>
              </w:rPr>
              <w:lastRenderedPageBreak/>
              <w:t>Diphtheria-tetanus-pertussis</w:t>
            </w:r>
            <w:r w:rsidR="3C04E4E4" w:rsidRPr="1FB433B4">
              <w:rPr>
                <w:sz w:val="21"/>
                <w:szCs w:val="21"/>
              </w:rPr>
              <w:t xml:space="preserve"> vaccines</w:t>
            </w:r>
          </w:p>
        </w:tc>
        <w:tc>
          <w:tcPr>
            <w:tcW w:w="3377" w:type="dxa"/>
          </w:tcPr>
          <w:p w14:paraId="308D2692" w14:textId="11DAF10C" w:rsidR="003E3383" w:rsidRPr="00122497" w:rsidRDefault="003E3383" w:rsidP="00695CB9">
            <w:pPr>
              <w:pStyle w:val="DHHSbullet1"/>
              <w:numPr>
                <w:ilvl w:val="0"/>
                <w:numId w:val="1"/>
              </w:numPr>
              <w:rPr>
                <w:sz w:val="21"/>
                <w:szCs w:val="21"/>
              </w:rPr>
            </w:pPr>
            <w:r w:rsidRPr="00122497">
              <w:rPr>
                <w:sz w:val="21"/>
                <w:szCs w:val="21"/>
              </w:rPr>
              <w:t xml:space="preserve">Vaccination of people aged </w:t>
            </w:r>
            <w:r w:rsidR="00BA1D73">
              <w:rPr>
                <w:sz w:val="21"/>
                <w:szCs w:val="21"/>
              </w:rPr>
              <w:t xml:space="preserve">12 </w:t>
            </w:r>
            <w:r w:rsidRPr="00122497">
              <w:rPr>
                <w:sz w:val="21"/>
                <w:szCs w:val="21"/>
              </w:rPr>
              <w:t xml:space="preserve">years and </w:t>
            </w:r>
            <w:r w:rsidR="00A617FF" w:rsidRPr="00122497">
              <w:rPr>
                <w:sz w:val="21"/>
                <w:szCs w:val="21"/>
              </w:rPr>
              <w:t>o</w:t>
            </w:r>
            <w:r w:rsidR="00A617FF">
              <w:rPr>
                <w:sz w:val="21"/>
                <w:szCs w:val="21"/>
              </w:rPr>
              <w:t>lder</w:t>
            </w:r>
            <w:r w:rsidRPr="00122497">
              <w:rPr>
                <w:sz w:val="21"/>
                <w:szCs w:val="21"/>
              </w:rPr>
              <w:t>, excluding those circumstances listed in Column 3.</w:t>
            </w:r>
          </w:p>
        </w:tc>
        <w:tc>
          <w:tcPr>
            <w:tcW w:w="4756" w:type="dxa"/>
          </w:tcPr>
          <w:p w14:paraId="320D89A1" w14:textId="5EE31CD4" w:rsidR="003E3383" w:rsidRPr="00122497" w:rsidRDefault="003E3383" w:rsidP="00695CB9">
            <w:pPr>
              <w:pStyle w:val="DHHSbullet1lastline"/>
              <w:numPr>
                <w:ilvl w:val="1"/>
                <w:numId w:val="1"/>
              </w:numPr>
              <w:rPr>
                <w:sz w:val="21"/>
                <w:szCs w:val="21"/>
              </w:rPr>
            </w:pPr>
            <w:r w:rsidRPr="00122497">
              <w:rPr>
                <w:sz w:val="21"/>
                <w:szCs w:val="21"/>
              </w:rPr>
              <w:t>Vaccination for travel purposes</w:t>
            </w:r>
            <w:r w:rsidRPr="00122497">
              <w:rPr>
                <w:sz w:val="21"/>
                <w:szCs w:val="21"/>
                <w:vertAlign w:val="superscript"/>
              </w:rPr>
              <w:fldChar w:fldCharType="begin"/>
            </w:r>
            <w:r w:rsidRPr="00122497">
              <w:rPr>
                <w:sz w:val="21"/>
                <w:szCs w:val="21"/>
                <w:vertAlign w:val="superscript"/>
              </w:rPr>
              <w:instrText xml:space="preserve"> NOTEREF _Ref450048837 \h </w:instrText>
            </w:r>
            <w:r w:rsidR="00385A80" w:rsidRPr="00122497">
              <w:rPr>
                <w:sz w:val="21"/>
                <w:szCs w:val="21"/>
                <w:vertAlign w:val="superscript"/>
              </w:rPr>
              <w:instrText xml:space="preserve"> \* MERGEFORMAT </w:instrText>
            </w:r>
            <w:r w:rsidRPr="00122497">
              <w:rPr>
                <w:sz w:val="21"/>
                <w:szCs w:val="21"/>
                <w:vertAlign w:val="superscript"/>
              </w:rPr>
            </w:r>
            <w:r w:rsidRPr="00122497">
              <w:rPr>
                <w:sz w:val="21"/>
                <w:szCs w:val="21"/>
                <w:vertAlign w:val="superscript"/>
              </w:rPr>
              <w:fldChar w:fldCharType="separate"/>
            </w:r>
            <w:r w:rsidRPr="00122497">
              <w:rPr>
                <w:sz w:val="21"/>
                <w:szCs w:val="21"/>
                <w:vertAlign w:val="superscript"/>
              </w:rPr>
              <w:t>5</w:t>
            </w:r>
            <w:r w:rsidRPr="00122497">
              <w:rPr>
                <w:sz w:val="21"/>
                <w:szCs w:val="21"/>
                <w:vertAlign w:val="superscript"/>
              </w:rPr>
              <w:fldChar w:fldCharType="end"/>
            </w:r>
            <w:r w:rsidRPr="00122497">
              <w:rPr>
                <w:sz w:val="21"/>
                <w:szCs w:val="21"/>
              </w:rPr>
              <w:t>;</w:t>
            </w:r>
          </w:p>
          <w:p w14:paraId="4C65B01E" w14:textId="0EF9B597" w:rsidR="003E3383" w:rsidRPr="00122497" w:rsidRDefault="003E3383" w:rsidP="00695CB9">
            <w:pPr>
              <w:pStyle w:val="DHHSbullet1lastline"/>
              <w:numPr>
                <w:ilvl w:val="1"/>
                <w:numId w:val="1"/>
              </w:numPr>
              <w:rPr>
                <w:sz w:val="21"/>
                <w:szCs w:val="21"/>
              </w:rPr>
            </w:pPr>
            <w:r w:rsidRPr="00122497">
              <w:rPr>
                <w:sz w:val="21"/>
                <w:szCs w:val="21"/>
              </w:rPr>
              <w:t>Vaccination of people aged 1</w:t>
            </w:r>
            <w:r w:rsidR="0072156D">
              <w:rPr>
                <w:sz w:val="21"/>
                <w:szCs w:val="21"/>
              </w:rPr>
              <w:t>1</w:t>
            </w:r>
            <w:r w:rsidRPr="00122497">
              <w:rPr>
                <w:sz w:val="21"/>
                <w:szCs w:val="21"/>
              </w:rPr>
              <w:t xml:space="preserve"> years and </w:t>
            </w:r>
            <w:r w:rsidR="00A617FF">
              <w:rPr>
                <w:sz w:val="21"/>
                <w:szCs w:val="21"/>
              </w:rPr>
              <w:t>younger</w:t>
            </w:r>
            <w:r w:rsidRPr="00122497">
              <w:rPr>
                <w:sz w:val="21"/>
                <w:szCs w:val="21"/>
              </w:rPr>
              <w:t xml:space="preserve">; </w:t>
            </w:r>
          </w:p>
          <w:p w14:paraId="74224570" w14:textId="27BD2409" w:rsidR="003E3383" w:rsidRPr="00C85714" w:rsidRDefault="003E3383" w:rsidP="00695CB9">
            <w:pPr>
              <w:pStyle w:val="DHHSbullet1lastline"/>
              <w:numPr>
                <w:ilvl w:val="1"/>
                <w:numId w:val="1"/>
              </w:numPr>
              <w:rPr>
                <w:sz w:val="21"/>
                <w:szCs w:val="21"/>
              </w:rPr>
            </w:pPr>
            <w:r w:rsidRPr="00C85714">
              <w:rPr>
                <w:sz w:val="21"/>
                <w:szCs w:val="21"/>
              </w:rPr>
              <w:t>Vaccination for the express purpose of</w:t>
            </w:r>
            <w:r w:rsidR="5218E1F4" w:rsidRPr="00C85714">
              <w:rPr>
                <w:sz w:val="21"/>
                <w:szCs w:val="21"/>
              </w:rPr>
              <w:t xml:space="preserve"> post-exposure prophylaxis </w:t>
            </w:r>
            <w:r w:rsidR="76B10613" w:rsidRPr="00C85714">
              <w:rPr>
                <w:sz w:val="21"/>
                <w:szCs w:val="21"/>
              </w:rPr>
              <w:t>in people with a</w:t>
            </w:r>
            <w:r w:rsidR="000F1992" w:rsidRPr="00C85714">
              <w:rPr>
                <w:sz w:val="21"/>
                <w:szCs w:val="21"/>
              </w:rPr>
              <w:t xml:space="preserve"> </w:t>
            </w:r>
            <w:r w:rsidRPr="00C85714">
              <w:rPr>
                <w:sz w:val="21"/>
                <w:szCs w:val="21"/>
              </w:rPr>
              <w:t>tetanus</w:t>
            </w:r>
            <w:r w:rsidR="5F5E7CB5" w:rsidRPr="00C85714">
              <w:rPr>
                <w:sz w:val="21"/>
                <w:szCs w:val="21"/>
              </w:rPr>
              <w:t>-</w:t>
            </w:r>
            <w:r w:rsidR="49719142" w:rsidRPr="00C85714">
              <w:rPr>
                <w:sz w:val="21"/>
                <w:szCs w:val="21"/>
              </w:rPr>
              <w:t>prone</w:t>
            </w:r>
            <w:r w:rsidR="1B21DBA1" w:rsidRPr="00C85714">
              <w:rPr>
                <w:sz w:val="21"/>
                <w:szCs w:val="21"/>
              </w:rPr>
              <w:t xml:space="preserve"> wound</w:t>
            </w:r>
            <w:r w:rsidRPr="00C85714">
              <w:rPr>
                <w:rStyle w:val="FootnoteReference"/>
                <w:sz w:val="21"/>
                <w:szCs w:val="21"/>
              </w:rPr>
              <w:footnoteReference w:id="8"/>
            </w:r>
            <w:r w:rsidRPr="00C85714">
              <w:rPr>
                <w:sz w:val="21"/>
                <w:szCs w:val="21"/>
              </w:rPr>
              <w:t>;</w:t>
            </w:r>
          </w:p>
          <w:p w14:paraId="61CED205" w14:textId="3454F5AB" w:rsidR="003E3383" w:rsidRPr="00122497" w:rsidRDefault="003E3383" w:rsidP="00695CB9">
            <w:pPr>
              <w:pStyle w:val="DHHSbullet1lastline"/>
              <w:numPr>
                <w:ilvl w:val="1"/>
                <w:numId w:val="1"/>
              </w:numPr>
              <w:rPr>
                <w:sz w:val="21"/>
                <w:szCs w:val="21"/>
              </w:rPr>
            </w:pPr>
            <w:r w:rsidRPr="00122497">
              <w:rPr>
                <w:sz w:val="21"/>
                <w:szCs w:val="21"/>
              </w:rPr>
              <w:t>Vaccination of people that are contacts in the event of a case of pertussis, unless directed by the Department of Health</w:t>
            </w:r>
            <w:r w:rsidRPr="00122497">
              <w:rPr>
                <w:rStyle w:val="FootnoteReference"/>
                <w:sz w:val="21"/>
                <w:szCs w:val="21"/>
              </w:rPr>
              <w:footnoteReference w:id="9"/>
            </w:r>
            <w:r w:rsidRPr="00122497">
              <w:rPr>
                <w:sz w:val="21"/>
                <w:szCs w:val="21"/>
              </w:rPr>
              <w:t xml:space="preserve">; </w:t>
            </w:r>
          </w:p>
          <w:p w14:paraId="565BFF3A" w14:textId="49D5CC47" w:rsidR="003E3383" w:rsidRPr="00122497" w:rsidRDefault="003E3383" w:rsidP="00695CB9">
            <w:pPr>
              <w:pStyle w:val="DHHSbullet1lastline"/>
              <w:numPr>
                <w:ilvl w:val="1"/>
                <w:numId w:val="1"/>
              </w:numPr>
              <w:rPr>
                <w:sz w:val="21"/>
                <w:szCs w:val="21"/>
              </w:rPr>
            </w:pPr>
            <w:r w:rsidRPr="00122497">
              <w:rPr>
                <w:sz w:val="21"/>
                <w:szCs w:val="21"/>
              </w:rPr>
              <w:t xml:space="preserve">Vaccination of people with contraindications defined in the current edition of the </w:t>
            </w:r>
            <w:r w:rsidRPr="00122497">
              <w:rPr>
                <w:i/>
                <w:sz w:val="21"/>
                <w:szCs w:val="21"/>
              </w:rPr>
              <w:t>Australian Immunisation Handbook</w:t>
            </w:r>
            <w:r w:rsidRPr="00122497">
              <w:rPr>
                <w:sz w:val="21"/>
                <w:szCs w:val="21"/>
                <w:vertAlign w:val="superscript"/>
              </w:rPr>
              <w:fldChar w:fldCharType="begin"/>
            </w:r>
            <w:r w:rsidRPr="00122497">
              <w:rPr>
                <w:sz w:val="21"/>
                <w:szCs w:val="21"/>
                <w:vertAlign w:val="superscript"/>
              </w:rPr>
              <w:instrText xml:space="preserve"> NOTEREF _Ref449959766 \h </w:instrText>
            </w:r>
            <w:r w:rsidR="00385A80" w:rsidRPr="00122497">
              <w:rPr>
                <w:sz w:val="21"/>
                <w:szCs w:val="21"/>
                <w:vertAlign w:val="superscript"/>
              </w:rPr>
              <w:instrText xml:space="preserve"> \* MERGEFORMAT </w:instrText>
            </w:r>
            <w:r w:rsidRPr="00122497">
              <w:rPr>
                <w:sz w:val="21"/>
                <w:szCs w:val="21"/>
                <w:vertAlign w:val="superscript"/>
              </w:rPr>
            </w:r>
            <w:r w:rsidRPr="00122497">
              <w:rPr>
                <w:sz w:val="21"/>
                <w:szCs w:val="21"/>
                <w:vertAlign w:val="superscript"/>
              </w:rPr>
              <w:fldChar w:fldCharType="separate"/>
            </w:r>
            <w:r w:rsidRPr="00122497">
              <w:rPr>
                <w:sz w:val="21"/>
                <w:szCs w:val="21"/>
                <w:vertAlign w:val="superscript"/>
              </w:rPr>
              <w:t>4</w:t>
            </w:r>
            <w:r w:rsidRPr="00122497">
              <w:rPr>
                <w:sz w:val="21"/>
                <w:szCs w:val="21"/>
                <w:vertAlign w:val="superscript"/>
              </w:rPr>
              <w:fldChar w:fldCharType="end"/>
            </w:r>
            <w:r w:rsidRPr="00122497">
              <w:rPr>
                <w:sz w:val="21"/>
                <w:szCs w:val="21"/>
              </w:rPr>
              <w:t>.</w:t>
            </w:r>
          </w:p>
        </w:tc>
      </w:tr>
      <w:tr w:rsidR="00942F36" w:rsidRPr="00385A80" w14:paraId="70BDBE6C" w14:textId="77777777" w:rsidTr="4A0FC554">
        <w:trPr>
          <w:gridAfter w:val="1"/>
          <w:wAfter w:w="7" w:type="dxa"/>
        </w:trPr>
        <w:tc>
          <w:tcPr>
            <w:tcW w:w="2061" w:type="dxa"/>
          </w:tcPr>
          <w:p w14:paraId="3576A939" w14:textId="3EB93FB4" w:rsidR="00942F36" w:rsidRPr="00385A80" w:rsidRDefault="00942F36" w:rsidP="00942F36">
            <w:pPr>
              <w:pStyle w:val="DHHSbody"/>
              <w:tabs>
                <w:tab w:val="left" w:pos="1134"/>
              </w:tabs>
              <w:rPr>
                <w:sz w:val="21"/>
                <w:szCs w:val="21"/>
              </w:rPr>
            </w:pPr>
            <w:r w:rsidRPr="75C1CDF0">
              <w:rPr>
                <w:sz w:val="21"/>
                <w:szCs w:val="21"/>
              </w:rPr>
              <w:t>Human papillomavirus (HPV)</w:t>
            </w:r>
          </w:p>
        </w:tc>
        <w:tc>
          <w:tcPr>
            <w:tcW w:w="3377" w:type="dxa"/>
          </w:tcPr>
          <w:p w14:paraId="2446B206" w14:textId="666A4061" w:rsidR="00942F36" w:rsidRPr="00385A80" w:rsidRDefault="00942F36" w:rsidP="00942F36">
            <w:pPr>
              <w:pStyle w:val="DHHSbullet1"/>
              <w:numPr>
                <w:ilvl w:val="0"/>
                <w:numId w:val="1"/>
              </w:numPr>
              <w:rPr>
                <w:sz w:val="21"/>
                <w:szCs w:val="21"/>
              </w:rPr>
            </w:pPr>
            <w:r>
              <w:rPr>
                <w:sz w:val="21"/>
                <w:szCs w:val="21"/>
              </w:rPr>
              <w:t>Vaccination of people aged 12 years and older, excluding those circumstances listed in Column 3.</w:t>
            </w:r>
          </w:p>
        </w:tc>
        <w:tc>
          <w:tcPr>
            <w:tcW w:w="4756" w:type="dxa"/>
          </w:tcPr>
          <w:p w14:paraId="1534B284" w14:textId="77777777" w:rsidR="00942F36" w:rsidRPr="00385A80" w:rsidRDefault="00942F36" w:rsidP="00942F36">
            <w:pPr>
              <w:pStyle w:val="DHHSbullet1lastline"/>
              <w:numPr>
                <w:ilvl w:val="1"/>
                <w:numId w:val="1"/>
              </w:numPr>
              <w:rPr>
                <w:sz w:val="21"/>
                <w:szCs w:val="21"/>
              </w:rPr>
            </w:pPr>
            <w:r w:rsidRPr="00385A80">
              <w:rPr>
                <w:sz w:val="21"/>
                <w:szCs w:val="21"/>
              </w:rPr>
              <w:t>Vaccination for travel purposes</w:t>
            </w:r>
            <w:r w:rsidRPr="00385A80">
              <w:rPr>
                <w:sz w:val="21"/>
                <w:szCs w:val="21"/>
                <w:vertAlign w:val="superscript"/>
              </w:rPr>
              <w:fldChar w:fldCharType="begin"/>
            </w:r>
            <w:r w:rsidRPr="00385A80">
              <w:rPr>
                <w:sz w:val="21"/>
                <w:szCs w:val="21"/>
                <w:vertAlign w:val="superscript"/>
              </w:rPr>
              <w:instrText xml:space="preserve"> NOTEREF _Ref450048837 \h </w:instrText>
            </w:r>
            <w:r>
              <w:rPr>
                <w:sz w:val="21"/>
                <w:szCs w:val="21"/>
                <w:vertAlign w:val="superscript"/>
              </w:rPr>
              <w:instrText xml:space="preserve"> \* MERGEFORMAT </w:instrText>
            </w:r>
            <w:r w:rsidRPr="00385A80">
              <w:rPr>
                <w:sz w:val="21"/>
                <w:szCs w:val="21"/>
                <w:vertAlign w:val="superscript"/>
              </w:rPr>
            </w:r>
            <w:r w:rsidRPr="00385A80">
              <w:rPr>
                <w:sz w:val="21"/>
                <w:szCs w:val="21"/>
                <w:vertAlign w:val="superscript"/>
              </w:rPr>
              <w:fldChar w:fldCharType="separate"/>
            </w:r>
            <w:r w:rsidRPr="00385A80">
              <w:rPr>
                <w:sz w:val="21"/>
                <w:szCs w:val="21"/>
                <w:vertAlign w:val="superscript"/>
              </w:rPr>
              <w:t>5</w:t>
            </w:r>
            <w:r w:rsidRPr="00385A80">
              <w:rPr>
                <w:sz w:val="21"/>
                <w:szCs w:val="21"/>
                <w:vertAlign w:val="superscript"/>
              </w:rPr>
              <w:fldChar w:fldCharType="end"/>
            </w:r>
            <w:r w:rsidRPr="00385A80">
              <w:rPr>
                <w:sz w:val="21"/>
                <w:szCs w:val="21"/>
              </w:rPr>
              <w:t>;</w:t>
            </w:r>
          </w:p>
          <w:p w14:paraId="21B12D4C" w14:textId="77777777" w:rsidR="00942F36" w:rsidRDefault="00942F36" w:rsidP="00942F36">
            <w:pPr>
              <w:pStyle w:val="DHHSbullet1lastline"/>
              <w:numPr>
                <w:ilvl w:val="1"/>
                <w:numId w:val="1"/>
              </w:numPr>
              <w:rPr>
                <w:sz w:val="21"/>
                <w:szCs w:val="21"/>
              </w:rPr>
            </w:pPr>
            <w:r>
              <w:rPr>
                <w:sz w:val="21"/>
                <w:szCs w:val="21"/>
              </w:rPr>
              <w:t>Vaccination of people aged 11 years and younger;</w:t>
            </w:r>
          </w:p>
          <w:p w14:paraId="47285124" w14:textId="2523910E" w:rsidR="00942F36" w:rsidRPr="00385A80" w:rsidRDefault="00942F36" w:rsidP="00942F36">
            <w:pPr>
              <w:pStyle w:val="DHHSbullet1lastline"/>
              <w:numPr>
                <w:ilvl w:val="1"/>
                <w:numId w:val="1"/>
              </w:numPr>
              <w:rPr>
                <w:sz w:val="21"/>
                <w:szCs w:val="21"/>
              </w:rPr>
            </w:pPr>
            <w:r>
              <w:rPr>
                <w:sz w:val="21"/>
                <w:szCs w:val="21"/>
              </w:rPr>
              <w:t xml:space="preserve">Vaccination of people with contraindications defined in the current edition of the </w:t>
            </w:r>
            <w:r w:rsidRPr="00385A80">
              <w:rPr>
                <w:i/>
                <w:sz w:val="21"/>
                <w:szCs w:val="21"/>
              </w:rPr>
              <w:t>Australian Immunisation Handbook</w:t>
            </w:r>
            <w:r w:rsidRPr="00385A80">
              <w:rPr>
                <w:sz w:val="21"/>
                <w:szCs w:val="21"/>
                <w:vertAlign w:val="superscript"/>
              </w:rPr>
              <w:fldChar w:fldCharType="begin"/>
            </w:r>
            <w:r w:rsidRPr="00385A80">
              <w:rPr>
                <w:sz w:val="21"/>
                <w:szCs w:val="21"/>
                <w:vertAlign w:val="superscript"/>
              </w:rPr>
              <w:instrText xml:space="preserve"> NOTEREF _Ref449959766 \h </w:instrText>
            </w:r>
            <w:r>
              <w:rPr>
                <w:sz w:val="21"/>
                <w:szCs w:val="21"/>
                <w:vertAlign w:val="superscript"/>
              </w:rPr>
              <w:instrText xml:space="preserve"> \* MERGEFORMAT </w:instrText>
            </w:r>
            <w:r w:rsidRPr="00385A80">
              <w:rPr>
                <w:sz w:val="21"/>
                <w:szCs w:val="21"/>
                <w:vertAlign w:val="superscript"/>
              </w:rPr>
            </w:r>
            <w:r w:rsidRPr="00385A80">
              <w:rPr>
                <w:sz w:val="21"/>
                <w:szCs w:val="21"/>
                <w:vertAlign w:val="superscript"/>
              </w:rPr>
              <w:fldChar w:fldCharType="separate"/>
            </w:r>
            <w:r w:rsidRPr="00385A80">
              <w:rPr>
                <w:sz w:val="21"/>
                <w:szCs w:val="21"/>
                <w:vertAlign w:val="superscript"/>
              </w:rPr>
              <w:t>4</w:t>
            </w:r>
            <w:r w:rsidRPr="00385A80">
              <w:rPr>
                <w:sz w:val="21"/>
                <w:szCs w:val="21"/>
                <w:vertAlign w:val="superscript"/>
              </w:rPr>
              <w:fldChar w:fldCharType="end"/>
            </w:r>
            <w:r w:rsidRPr="00385A80">
              <w:rPr>
                <w:sz w:val="21"/>
                <w:szCs w:val="21"/>
              </w:rPr>
              <w:t>.</w:t>
            </w:r>
          </w:p>
        </w:tc>
      </w:tr>
      <w:tr w:rsidR="00942F36" w:rsidRPr="00385A80" w14:paraId="6D4345E3" w14:textId="77777777" w:rsidTr="4A0FC554">
        <w:trPr>
          <w:gridAfter w:val="1"/>
          <w:wAfter w:w="7" w:type="dxa"/>
        </w:trPr>
        <w:tc>
          <w:tcPr>
            <w:tcW w:w="2061" w:type="dxa"/>
          </w:tcPr>
          <w:p w14:paraId="229D8B8C" w14:textId="77777777" w:rsidR="00942F36" w:rsidRPr="00385A80" w:rsidRDefault="00942F36" w:rsidP="00942F36">
            <w:pPr>
              <w:pStyle w:val="DHHSbody"/>
              <w:tabs>
                <w:tab w:val="left" w:pos="1134"/>
              </w:tabs>
              <w:rPr>
                <w:sz w:val="21"/>
                <w:szCs w:val="21"/>
              </w:rPr>
            </w:pPr>
            <w:r w:rsidRPr="00385A80">
              <w:rPr>
                <w:sz w:val="21"/>
                <w:szCs w:val="21"/>
              </w:rPr>
              <w:t>Measles-mumps-rubella vaccine (MMR)</w:t>
            </w:r>
          </w:p>
        </w:tc>
        <w:tc>
          <w:tcPr>
            <w:tcW w:w="3377" w:type="dxa"/>
          </w:tcPr>
          <w:p w14:paraId="10FF3881" w14:textId="16FF9FA6" w:rsidR="00942F36" w:rsidRPr="00385A80" w:rsidRDefault="00942F36" w:rsidP="00942F36">
            <w:pPr>
              <w:pStyle w:val="DHHSbullet1"/>
              <w:numPr>
                <w:ilvl w:val="0"/>
                <w:numId w:val="1"/>
              </w:numPr>
              <w:rPr>
                <w:sz w:val="21"/>
                <w:szCs w:val="21"/>
              </w:rPr>
            </w:pPr>
            <w:r w:rsidRPr="00385A80">
              <w:rPr>
                <w:sz w:val="21"/>
                <w:szCs w:val="21"/>
              </w:rPr>
              <w:t>Vaccination of people aged 15 years and o</w:t>
            </w:r>
            <w:r>
              <w:rPr>
                <w:sz w:val="21"/>
                <w:szCs w:val="21"/>
              </w:rPr>
              <w:t>lder</w:t>
            </w:r>
            <w:r w:rsidRPr="00385A80">
              <w:rPr>
                <w:sz w:val="21"/>
                <w:szCs w:val="21"/>
              </w:rPr>
              <w:t>, excluding those circumstances listed in Column 3.</w:t>
            </w:r>
          </w:p>
        </w:tc>
        <w:tc>
          <w:tcPr>
            <w:tcW w:w="4756" w:type="dxa"/>
          </w:tcPr>
          <w:p w14:paraId="2A275AA5" w14:textId="2A0AA2C6" w:rsidR="00942F36" w:rsidRPr="00385A80" w:rsidRDefault="00942F36" w:rsidP="00942F36">
            <w:pPr>
              <w:pStyle w:val="DHHSbullet1lastline"/>
              <w:numPr>
                <w:ilvl w:val="1"/>
                <w:numId w:val="1"/>
              </w:numPr>
              <w:rPr>
                <w:sz w:val="21"/>
                <w:szCs w:val="21"/>
              </w:rPr>
            </w:pPr>
            <w:r w:rsidRPr="00385A80">
              <w:rPr>
                <w:sz w:val="21"/>
                <w:szCs w:val="21"/>
              </w:rPr>
              <w:t>Vaccination for travel purposes</w:t>
            </w:r>
            <w:r w:rsidRPr="00385A80">
              <w:rPr>
                <w:sz w:val="21"/>
                <w:szCs w:val="21"/>
                <w:vertAlign w:val="superscript"/>
              </w:rPr>
              <w:fldChar w:fldCharType="begin"/>
            </w:r>
            <w:r w:rsidRPr="00385A80">
              <w:rPr>
                <w:sz w:val="21"/>
                <w:szCs w:val="21"/>
                <w:vertAlign w:val="superscript"/>
              </w:rPr>
              <w:instrText xml:space="preserve"> NOTEREF _Ref450048837 \h </w:instrText>
            </w:r>
            <w:r>
              <w:rPr>
                <w:sz w:val="21"/>
                <w:szCs w:val="21"/>
                <w:vertAlign w:val="superscript"/>
              </w:rPr>
              <w:instrText xml:space="preserve"> \* MERGEFORMAT </w:instrText>
            </w:r>
            <w:r w:rsidRPr="00385A80">
              <w:rPr>
                <w:sz w:val="21"/>
                <w:szCs w:val="21"/>
                <w:vertAlign w:val="superscript"/>
              </w:rPr>
            </w:r>
            <w:r w:rsidRPr="00385A80">
              <w:rPr>
                <w:sz w:val="21"/>
                <w:szCs w:val="21"/>
                <w:vertAlign w:val="superscript"/>
              </w:rPr>
              <w:fldChar w:fldCharType="separate"/>
            </w:r>
            <w:r w:rsidRPr="00385A80">
              <w:rPr>
                <w:sz w:val="21"/>
                <w:szCs w:val="21"/>
                <w:vertAlign w:val="superscript"/>
              </w:rPr>
              <w:t>5</w:t>
            </w:r>
            <w:r w:rsidRPr="00385A80">
              <w:rPr>
                <w:sz w:val="21"/>
                <w:szCs w:val="21"/>
                <w:vertAlign w:val="superscript"/>
              </w:rPr>
              <w:fldChar w:fldCharType="end"/>
            </w:r>
            <w:r w:rsidRPr="00385A80">
              <w:rPr>
                <w:sz w:val="21"/>
                <w:szCs w:val="21"/>
              </w:rPr>
              <w:t>;</w:t>
            </w:r>
          </w:p>
          <w:p w14:paraId="42CD451B" w14:textId="679C5D4C" w:rsidR="00942F36" w:rsidRPr="00385A80" w:rsidRDefault="00942F36" w:rsidP="00942F36">
            <w:pPr>
              <w:pStyle w:val="DHHSbullet1lastline"/>
              <w:numPr>
                <w:ilvl w:val="1"/>
                <w:numId w:val="1"/>
              </w:numPr>
              <w:rPr>
                <w:sz w:val="21"/>
                <w:szCs w:val="21"/>
              </w:rPr>
            </w:pPr>
            <w:r w:rsidRPr="00385A80">
              <w:rPr>
                <w:sz w:val="21"/>
                <w:szCs w:val="21"/>
              </w:rPr>
              <w:t xml:space="preserve">Vaccination of people aged 14 years and </w:t>
            </w:r>
            <w:r>
              <w:rPr>
                <w:sz w:val="21"/>
                <w:szCs w:val="21"/>
              </w:rPr>
              <w:t>younger</w:t>
            </w:r>
            <w:r w:rsidRPr="00385A80">
              <w:rPr>
                <w:sz w:val="21"/>
                <w:szCs w:val="21"/>
              </w:rPr>
              <w:t xml:space="preserve">; </w:t>
            </w:r>
          </w:p>
          <w:p w14:paraId="57E0FC7E" w14:textId="75135DBE" w:rsidR="00942F36" w:rsidRPr="00385A80" w:rsidRDefault="00942F36" w:rsidP="00942F36">
            <w:pPr>
              <w:pStyle w:val="DHHSbullet1lastline"/>
              <w:numPr>
                <w:ilvl w:val="1"/>
                <w:numId w:val="1"/>
              </w:numPr>
              <w:rPr>
                <w:sz w:val="21"/>
                <w:szCs w:val="21"/>
              </w:rPr>
            </w:pPr>
            <w:r w:rsidRPr="00385A80">
              <w:rPr>
                <w:sz w:val="21"/>
                <w:szCs w:val="21"/>
              </w:rPr>
              <w:t xml:space="preserve">Vaccination of people with contraindications defined in the current edition of the </w:t>
            </w:r>
            <w:r w:rsidRPr="00385A80">
              <w:rPr>
                <w:i/>
                <w:sz w:val="21"/>
                <w:szCs w:val="21"/>
              </w:rPr>
              <w:t>Australian Immunisation Handbook</w:t>
            </w:r>
            <w:r w:rsidRPr="00385A80">
              <w:rPr>
                <w:sz w:val="21"/>
                <w:szCs w:val="21"/>
                <w:vertAlign w:val="superscript"/>
              </w:rPr>
              <w:fldChar w:fldCharType="begin"/>
            </w:r>
            <w:r w:rsidRPr="00385A80">
              <w:rPr>
                <w:sz w:val="21"/>
                <w:szCs w:val="21"/>
                <w:vertAlign w:val="superscript"/>
              </w:rPr>
              <w:instrText xml:space="preserve"> NOTEREF _Ref449959766 \h </w:instrText>
            </w:r>
            <w:r>
              <w:rPr>
                <w:sz w:val="21"/>
                <w:szCs w:val="21"/>
                <w:vertAlign w:val="superscript"/>
              </w:rPr>
              <w:instrText xml:space="preserve"> \* MERGEFORMAT </w:instrText>
            </w:r>
            <w:r w:rsidRPr="00385A80">
              <w:rPr>
                <w:sz w:val="21"/>
                <w:szCs w:val="21"/>
                <w:vertAlign w:val="superscript"/>
              </w:rPr>
            </w:r>
            <w:r w:rsidRPr="00385A80">
              <w:rPr>
                <w:sz w:val="21"/>
                <w:szCs w:val="21"/>
                <w:vertAlign w:val="superscript"/>
              </w:rPr>
              <w:fldChar w:fldCharType="separate"/>
            </w:r>
            <w:r w:rsidRPr="00385A80">
              <w:rPr>
                <w:sz w:val="21"/>
                <w:szCs w:val="21"/>
                <w:vertAlign w:val="superscript"/>
              </w:rPr>
              <w:t>4</w:t>
            </w:r>
            <w:r w:rsidRPr="00385A80">
              <w:rPr>
                <w:sz w:val="21"/>
                <w:szCs w:val="21"/>
                <w:vertAlign w:val="superscript"/>
              </w:rPr>
              <w:fldChar w:fldCharType="end"/>
            </w:r>
            <w:r w:rsidRPr="00385A80">
              <w:rPr>
                <w:sz w:val="21"/>
                <w:szCs w:val="21"/>
              </w:rPr>
              <w:t>.</w:t>
            </w:r>
          </w:p>
        </w:tc>
      </w:tr>
      <w:tr w:rsidR="00942F36" w:rsidRPr="00385A80" w14:paraId="49E92A65" w14:textId="77777777" w:rsidTr="4A0FC554">
        <w:trPr>
          <w:gridAfter w:val="1"/>
          <w:wAfter w:w="7" w:type="dxa"/>
        </w:trPr>
        <w:tc>
          <w:tcPr>
            <w:tcW w:w="2061" w:type="dxa"/>
          </w:tcPr>
          <w:p w14:paraId="48DD06AE" w14:textId="77777777" w:rsidR="00942F36" w:rsidRPr="00385A80" w:rsidRDefault="00942F36" w:rsidP="00942F36">
            <w:pPr>
              <w:pStyle w:val="DHHSbody"/>
              <w:tabs>
                <w:tab w:val="left" w:pos="1134"/>
              </w:tabs>
              <w:rPr>
                <w:sz w:val="21"/>
                <w:szCs w:val="21"/>
              </w:rPr>
            </w:pPr>
            <w:r w:rsidRPr="00385A80">
              <w:rPr>
                <w:sz w:val="21"/>
                <w:szCs w:val="21"/>
              </w:rPr>
              <w:t>Meningococcal ACWY</w:t>
            </w:r>
          </w:p>
        </w:tc>
        <w:tc>
          <w:tcPr>
            <w:tcW w:w="3377" w:type="dxa"/>
          </w:tcPr>
          <w:p w14:paraId="62562CBB" w14:textId="74B41D13" w:rsidR="00942F36" w:rsidRPr="00385A80" w:rsidRDefault="00942F36" w:rsidP="00942F36">
            <w:pPr>
              <w:pStyle w:val="DHHSbullet1"/>
              <w:numPr>
                <w:ilvl w:val="0"/>
                <w:numId w:val="1"/>
              </w:numPr>
              <w:rPr>
                <w:sz w:val="21"/>
                <w:szCs w:val="21"/>
              </w:rPr>
            </w:pPr>
            <w:r w:rsidRPr="00385A80">
              <w:rPr>
                <w:sz w:val="21"/>
                <w:szCs w:val="21"/>
              </w:rPr>
              <w:t>Vaccination of people aged 15 years and o</w:t>
            </w:r>
            <w:r>
              <w:rPr>
                <w:sz w:val="21"/>
                <w:szCs w:val="21"/>
              </w:rPr>
              <w:t>lder</w:t>
            </w:r>
            <w:r w:rsidRPr="00385A80">
              <w:rPr>
                <w:sz w:val="21"/>
                <w:szCs w:val="21"/>
              </w:rPr>
              <w:t>, excluding those circumstances listed in Column 3</w:t>
            </w:r>
            <w:r>
              <w:rPr>
                <w:sz w:val="21"/>
                <w:szCs w:val="21"/>
              </w:rPr>
              <w:t>.</w:t>
            </w:r>
          </w:p>
        </w:tc>
        <w:tc>
          <w:tcPr>
            <w:tcW w:w="4756" w:type="dxa"/>
          </w:tcPr>
          <w:p w14:paraId="1EFEF4E0" w14:textId="03003DBC" w:rsidR="00942F36" w:rsidRPr="00385A80" w:rsidRDefault="00942F36" w:rsidP="00942F36">
            <w:pPr>
              <w:pStyle w:val="DHHSbullet1lastline"/>
              <w:numPr>
                <w:ilvl w:val="1"/>
                <w:numId w:val="1"/>
              </w:numPr>
              <w:rPr>
                <w:sz w:val="21"/>
                <w:szCs w:val="21"/>
              </w:rPr>
            </w:pPr>
            <w:r w:rsidRPr="00385A80">
              <w:rPr>
                <w:sz w:val="21"/>
                <w:szCs w:val="21"/>
              </w:rPr>
              <w:t>Vaccination for travel purposes</w:t>
            </w:r>
            <w:r w:rsidRPr="00385A80">
              <w:rPr>
                <w:sz w:val="21"/>
                <w:szCs w:val="21"/>
                <w:vertAlign w:val="superscript"/>
              </w:rPr>
              <w:fldChar w:fldCharType="begin"/>
            </w:r>
            <w:r w:rsidRPr="00385A80">
              <w:rPr>
                <w:sz w:val="21"/>
                <w:szCs w:val="21"/>
                <w:vertAlign w:val="superscript"/>
              </w:rPr>
              <w:instrText xml:space="preserve"> NOTEREF _Ref450048837 \h </w:instrText>
            </w:r>
            <w:r>
              <w:rPr>
                <w:sz w:val="21"/>
                <w:szCs w:val="21"/>
                <w:vertAlign w:val="superscript"/>
              </w:rPr>
              <w:instrText xml:space="preserve"> \* MERGEFORMAT </w:instrText>
            </w:r>
            <w:r w:rsidRPr="00385A80">
              <w:rPr>
                <w:sz w:val="21"/>
                <w:szCs w:val="21"/>
                <w:vertAlign w:val="superscript"/>
              </w:rPr>
            </w:r>
            <w:r w:rsidRPr="00385A80">
              <w:rPr>
                <w:sz w:val="21"/>
                <w:szCs w:val="21"/>
                <w:vertAlign w:val="superscript"/>
              </w:rPr>
              <w:fldChar w:fldCharType="separate"/>
            </w:r>
            <w:r w:rsidRPr="00385A80">
              <w:rPr>
                <w:sz w:val="21"/>
                <w:szCs w:val="21"/>
                <w:vertAlign w:val="superscript"/>
              </w:rPr>
              <w:t>5</w:t>
            </w:r>
            <w:r w:rsidRPr="00385A80">
              <w:rPr>
                <w:sz w:val="21"/>
                <w:szCs w:val="21"/>
                <w:vertAlign w:val="superscript"/>
              </w:rPr>
              <w:fldChar w:fldCharType="end"/>
            </w:r>
            <w:r w:rsidRPr="00385A80">
              <w:rPr>
                <w:sz w:val="21"/>
                <w:szCs w:val="21"/>
              </w:rPr>
              <w:t>;</w:t>
            </w:r>
          </w:p>
          <w:p w14:paraId="36050147" w14:textId="3CCC5465" w:rsidR="00942F36" w:rsidRPr="00385A80" w:rsidRDefault="00942F36" w:rsidP="00942F36">
            <w:pPr>
              <w:pStyle w:val="DHHSbullet1lastline"/>
              <w:numPr>
                <w:ilvl w:val="1"/>
                <w:numId w:val="1"/>
              </w:numPr>
              <w:rPr>
                <w:sz w:val="21"/>
                <w:szCs w:val="21"/>
              </w:rPr>
            </w:pPr>
            <w:r w:rsidRPr="00385A80">
              <w:rPr>
                <w:sz w:val="21"/>
                <w:szCs w:val="21"/>
              </w:rPr>
              <w:t xml:space="preserve">Vaccination of people aged 14 years and </w:t>
            </w:r>
            <w:r>
              <w:rPr>
                <w:sz w:val="21"/>
                <w:szCs w:val="21"/>
              </w:rPr>
              <w:t>younger</w:t>
            </w:r>
            <w:r w:rsidRPr="00385A80">
              <w:rPr>
                <w:sz w:val="21"/>
                <w:szCs w:val="21"/>
              </w:rPr>
              <w:t xml:space="preserve">; </w:t>
            </w:r>
          </w:p>
          <w:p w14:paraId="790EDAB4" w14:textId="3B4D0494" w:rsidR="00942F36" w:rsidRPr="00385A80" w:rsidRDefault="00942F36" w:rsidP="00942F36">
            <w:pPr>
              <w:pStyle w:val="DHHSbullet1lastline"/>
              <w:numPr>
                <w:ilvl w:val="1"/>
                <w:numId w:val="1"/>
              </w:numPr>
              <w:rPr>
                <w:sz w:val="21"/>
                <w:szCs w:val="21"/>
              </w:rPr>
            </w:pPr>
            <w:r w:rsidRPr="00385A80">
              <w:rPr>
                <w:sz w:val="21"/>
                <w:szCs w:val="21"/>
              </w:rPr>
              <w:t xml:space="preserve">Vaccination of people with contraindications defined in the current edition of the </w:t>
            </w:r>
            <w:r w:rsidRPr="00385A80">
              <w:rPr>
                <w:i/>
                <w:sz w:val="21"/>
                <w:szCs w:val="21"/>
              </w:rPr>
              <w:t>Australian Immunisation Handbook</w:t>
            </w:r>
            <w:r w:rsidRPr="00385A80">
              <w:rPr>
                <w:sz w:val="21"/>
                <w:szCs w:val="21"/>
                <w:vertAlign w:val="superscript"/>
              </w:rPr>
              <w:fldChar w:fldCharType="begin"/>
            </w:r>
            <w:r w:rsidRPr="00385A80">
              <w:rPr>
                <w:sz w:val="21"/>
                <w:szCs w:val="21"/>
                <w:vertAlign w:val="superscript"/>
              </w:rPr>
              <w:instrText xml:space="preserve"> NOTEREF _Ref449959766 \h </w:instrText>
            </w:r>
            <w:r>
              <w:rPr>
                <w:sz w:val="21"/>
                <w:szCs w:val="21"/>
                <w:vertAlign w:val="superscript"/>
              </w:rPr>
              <w:instrText xml:space="preserve"> \* MERGEFORMAT </w:instrText>
            </w:r>
            <w:r w:rsidRPr="00385A80">
              <w:rPr>
                <w:sz w:val="21"/>
                <w:szCs w:val="21"/>
                <w:vertAlign w:val="superscript"/>
              </w:rPr>
            </w:r>
            <w:r w:rsidRPr="00385A80">
              <w:rPr>
                <w:sz w:val="21"/>
                <w:szCs w:val="21"/>
                <w:vertAlign w:val="superscript"/>
              </w:rPr>
              <w:fldChar w:fldCharType="separate"/>
            </w:r>
            <w:r w:rsidRPr="00385A80">
              <w:rPr>
                <w:sz w:val="21"/>
                <w:szCs w:val="21"/>
                <w:vertAlign w:val="superscript"/>
              </w:rPr>
              <w:t>4</w:t>
            </w:r>
            <w:r w:rsidRPr="00385A80">
              <w:rPr>
                <w:sz w:val="21"/>
                <w:szCs w:val="21"/>
                <w:vertAlign w:val="superscript"/>
              </w:rPr>
              <w:fldChar w:fldCharType="end"/>
            </w:r>
            <w:r w:rsidRPr="00385A80">
              <w:rPr>
                <w:sz w:val="21"/>
                <w:szCs w:val="21"/>
              </w:rPr>
              <w:t>.</w:t>
            </w:r>
          </w:p>
        </w:tc>
      </w:tr>
      <w:tr w:rsidR="00942F36" w:rsidRPr="00385A80" w14:paraId="3892AE4E" w14:textId="77777777" w:rsidTr="4A0FC554">
        <w:tc>
          <w:tcPr>
            <w:tcW w:w="2061" w:type="dxa"/>
          </w:tcPr>
          <w:p w14:paraId="2054EACC" w14:textId="2A693BD4" w:rsidR="00942F36" w:rsidRDefault="00942F36" w:rsidP="00942F36">
            <w:pPr>
              <w:pStyle w:val="DHHSbody"/>
              <w:tabs>
                <w:tab w:val="left" w:pos="1134"/>
              </w:tabs>
              <w:rPr>
                <w:sz w:val="21"/>
                <w:szCs w:val="21"/>
              </w:rPr>
            </w:pPr>
            <w:r>
              <w:rPr>
                <w:sz w:val="21"/>
                <w:szCs w:val="21"/>
              </w:rPr>
              <w:lastRenderedPageBreak/>
              <w:t>Pneumococcal</w:t>
            </w:r>
          </w:p>
        </w:tc>
        <w:tc>
          <w:tcPr>
            <w:tcW w:w="3377" w:type="dxa"/>
          </w:tcPr>
          <w:p w14:paraId="74C05392" w14:textId="05CE6F27" w:rsidR="00942F36" w:rsidRDefault="00942F36" w:rsidP="00942F36">
            <w:pPr>
              <w:pStyle w:val="DHHSbullet1"/>
              <w:numPr>
                <w:ilvl w:val="0"/>
                <w:numId w:val="1"/>
              </w:numPr>
              <w:rPr>
                <w:sz w:val="21"/>
                <w:szCs w:val="21"/>
              </w:rPr>
            </w:pPr>
            <w:r>
              <w:rPr>
                <w:sz w:val="21"/>
                <w:szCs w:val="21"/>
              </w:rPr>
              <w:t>Vaccination of people aged 50 years and older, excluding those circumstances listed in Column 3.</w:t>
            </w:r>
          </w:p>
        </w:tc>
        <w:tc>
          <w:tcPr>
            <w:tcW w:w="4763" w:type="dxa"/>
            <w:gridSpan w:val="2"/>
          </w:tcPr>
          <w:p w14:paraId="7F59B179" w14:textId="77777777" w:rsidR="00942F36" w:rsidRPr="00385A80" w:rsidRDefault="00942F36" w:rsidP="00942F36">
            <w:pPr>
              <w:pStyle w:val="DHHSbullet1lastline"/>
              <w:numPr>
                <w:ilvl w:val="1"/>
                <w:numId w:val="1"/>
              </w:numPr>
              <w:rPr>
                <w:sz w:val="21"/>
                <w:szCs w:val="21"/>
              </w:rPr>
            </w:pPr>
            <w:r w:rsidRPr="00385A80">
              <w:rPr>
                <w:sz w:val="21"/>
                <w:szCs w:val="21"/>
              </w:rPr>
              <w:t>Vaccination for travel purposes</w:t>
            </w:r>
            <w:r w:rsidRPr="00385A80">
              <w:rPr>
                <w:sz w:val="21"/>
                <w:szCs w:val="21"/>
                <w:vertAlign w:val="superscript"/>
              </w:rPr>
              <w:fldChar w:fldCharType="begin"/>
            </w:r>
            <w:r w:rsidRPr="00385A80">
              <w:rPr>
                <w:sz w:val="21"/>
                <w:szCs w:val="21"/>
                <w:vertAlign w:val="superscript"/>
              </w:rPr>
              <w:instrText xml:space="preserve"> NOTEREF _Ref450048837 \h </w:instrText>
            </w:r>
            <w:r>
              <w:rPr>
                <w:sz w:val="21"/>
                <w:szCs w:val="21"/>
                <w:vertAlign w:val="superscript"/>
              </w:rPr>
              <w:instrText xml:space="preserve"> \* MERGEFORMAT </w:instrText>
            </w:r>
            <w:r w:rsidRPr="00385A80">
              <w:rPr>
                <w:sz w:val="21"/>
                <w:szCs w:val="21"/>
                <w:vertAlign w:val="superscript"/>
              </w:rPr>
            </w:r>
            <w:r w:rsidRPr="00385A80">
              <w:rPr>
                <w:sz w:val="21"/>
                <w:szCs w:val="21"/>
                <w:vertAlign w:val="superscript"/>
              </w:rPr>
              <w:fldChar w:fldCharType="separate"/>
            </w:r>
            <w:r w:rsidRPr="00385A80">
              <w:rPr>
                <w:sz w:val="21"/>
                <w:szCs w:val="21"/>
                <w:vertAlign w:val="superscript"/>
              </w:rPr>
              <w:t>5</w:t>
            </w:r>
            <w:r w:rsidRPr="00385A80">
              <w:rPr>
                <w:sz w:val="21"/>
                <w:szCs w:val="21"/>
                <w:vertAlign w:val="superscript"/>
              </w:rPr>
              <w:fldChar w:fldCharType="end"/>
            </w:r>
            <w:r w:rsidRPr="00385A80">
              <w:rPr>
                <w:sz w:val="21"/>
                <w:szCs w:val="21"/>
              </w:rPr>
              <w:t>;</w:t>
            </w:r>
          </w:p>
          <w:p w14:paraId="2EFA5B14" w14:textId="7747C667" w:rsidR="00942F36" w:rsidRDefault="00942F36" w:rsidP="00942F36">
            <w:pPr>
              <w:pStyle w:val="DHHSbullet1lastline"/>
              <w:numPr>
                <w:ilvl w:val="1"/>
                <w:numId w:val="1"/>
              </w:numPr>
              <w:rPr>
                <w:sz w:val="21"/>
                <w:szCs w:val="21"/>
              </w:rPr>
            </w:pPr>
            <w:r>
              <w:rPr>
                <w:sz w:val="21"/>
                <w:szCs w:val="21"/>
              </w:rPr>
              <w:t>Vaccination of people aged 49 years and younger;</w:t>
            </w:r>
          </w:p>
          <w:p w14:paraId="1153027A" w14:textId="5584EC4D" w:rsidR="00942F36" w:rsidRPr="00385A80" w:rsidRDefault="00942F36" w:rsidP="00942F36">
            <w:pPr>
              <w:pStyle w:val="DHHSbullet1lastline"/>
              <w:numPr>
                <w:ilvl w:val="1"/>
                <w:numId w:val="1"/>
              </w:numPr>
              <w:rPr>
                <w:sz w:val="21"/>
                <w:szCs w:val="21"/>
              </w:rPr>
            </w:pPr>
            <w:r>
              <w:rPr>
                <w:sz w:val="21"/>
                <w:szCs w:val="21"/>
              </w:rPr>
              <w:t xml:space="preserve">Vaccination of people with contraindications defined in the current edition of the </w:t>
            </w:r>
            <w:r w:rsidRPr="00385A80">
              <w:rPr>
                <w:i/>
                <w:sz w:val="21"/>
                <w:szCs w:val="21"/>
              </w:rPr>
              <w:t>Australian Immunisation Handbook</w:t>
            </w:r>
            <w:r w:rsidRPr="00385A80">
              <w:rPr>
                <w:sz w:val="21"/>
                <w:szCs w:val="21"/>
                <w:vertAlign w:val="superscript"/>
              </w:rPr>
              <w:fldChar w:fldCharType="begin"/>
            </w:r>
            <w:r w:rsidRPr="00385A80">
              <w:rPr>
                <w:sz w:val="21"/>
                <w:szCs w:val="21"/>
                <w:vertAlign w:val="superscript"/>
              </w:rPr>
              <w:instrText xml:space="preserve"> NOTEREF _Ref449959766 \h </w:instrText>
            </w:r>
            <w:r>
              <w:rPr>
                <w:sz w:val="21"/>
                <w:szCs w:val="21"/>
                <w:vertAlign w:val="superscript"/>
              </w:rPr>
              <w:instrText xml:space="preserve"> \* MERGEFORMAT </w:instrText>
            </w:r>
            <w:r w:rsidRPr="00385A80">
              <w:rPr>
                <w:sz w:val="21"/>
                <w:szCs w:val="21"/>
                <w:vertAlign w:val="superscript"/>
              </w:rPr>
            </w:r>
            <w:r w:rsidRPr="00385A80">
              <w:rPr>
                <w:sz w:val="21"/>
                <w:szCs w:val="21"/>
                <w:vertAlign w:val="superscript"/>
              </w:rPr>
              <w:fldChar w:fldCharType="separate"/>
            </w:r>
            <w:r w:rsidRPr="00385A80">
              <w:rPr>
                <w:sz w:val="21"/>
                <w:szCs w:val="21"/>
                <w:vertAlign w:val="superscript"/>
              </w:rPr>
              <w:t>4</w:t>
            </w:r>
            <w:r w:rsidRPr="00385A80">
              <w:rPr>
                <w:sz w:val="21"/>
                <w:szCs w:val="21"/>
                <w:vertAlign w:val="superscript"/>
              </w:rPr>
              <w:fldChar w:fldCharType="end"/>
            </w:r>
            <w:r w:rsidRPr="00385A80">
              <w:rPr>
                <w:sz w:val="21"/>
                <w:szCs w:val="21"/>
              </w:rPr>
              <w:t>.</w:t>
            </w:r>
          </w:p>
        </w:tc>
      </w:tr>
      <w:tr w:rsidR="00942F36" w:rsidRPr="00385A80" w14:paraId="707316D5" w14:textId="77777777" w:rsidTr="4A0FC554">
        <w:tc>
          <w:tcPr>
            <w:tcW w:w="2061" w:type="dxa"/>
          </w:tcPr>
          <w:p w14:paraId="01B99DDE" w14:textId="1EA10090" w:rsidR="00942F36" w:rsidRDefault="00942F36" w:rsidP="00942F36">
            <w:pPr>
              <w:pStyle w:val="DHHSbody"/>
              <w:tabs>
                <w:tab w:val="left" w:pos="1134"/>
              </w:tabs>
              <w:rPr>
                <w:sz w:val="21"/>
                <w:szCs w:val="21"/>
              </w:rPr>
            </w:pPr>
            <w:r w:rsidRPr="2C743B02">
              <w:rPr>
                <w:sz w:val="21"/>
                <w:szCs w:val="21"/>
              </w:rPr>
              <w:t xml:space="preserve">Herpes zoster/varicella zoster </w:t>
            </w:r>
          </w:p>
        </w:tc>
        <w:tc>
          <w:tcPr>
            <w:tcW w:w="3377" w:type="dxa"/>
          </w:tcPr>
          <w:p w14:paraId="48EA0CE3" w14:textId="5B8AD115" w:rsidR="00942F36" w:rsidRDefault="00942F36" w:rsidP="00942F36">
            <w:pPr>
              <w:pStyle w:val="DHHSbullet1"/>
              <w:numPr>
                <w:ilvl w:val="0"/>
                <w:numId w:val="1"/>
              </w:numPr>
              <w:rPr>
                <w:sz w:val="21"/>
                <w:szCs w:val="21"/>
              </w:rPr>
            </w:pPr>
            <w:r>
              <w:rPr>
                <w:sz w:val="21"/>
                <w:szCs w:val="21"/>
              </w:rPr>
              <w:t>Vaccination of people aged 50 years and older, excluding those circumstances listed in Column 3.</w:t>
            </w:r>
          </w:p>
        </w:tc>
        <w:tc>
          <w:tcPr>
            <w:tcW w:w="4763" w:type="dxa"/>
            <w:gridSpan w:val="2"/>
          </w:tcPr>
          <w:p w14:paraId="02825A64" w14:textId="77777777" w:rsidR="00942F36" w:rsidRPr="00385A80" w:rsidRDefault="00942F36" w:rsidP="00942F36">
            <w:pPr>
              <w:pStyle w:val="DHHSbullet1lastline"/>
              <w:numPr>
                <w:ilvl w:val="1"/>
                <w:numId w:val="1"/>
              </w:numPr>
              <w:rPr>
                <w:sz w:val="21"/>
                <w:szCs w:val="21"/>
              </w:rPr>
            </w:pPr>
            <w:r w:rsidRPr="00385A80">
              <w:rPr>
                <w:sz w:val="21"/>
                <w:szCs w:val="21"/>
              </w:rPr>
              <w:t>Vaccination for travel purposes</w:t>
            </w:r>
            <w:r w:rsidRPr="00385A80">
              <w:rPr>
                <w:sz w:val="21"/>
                <w:szCs w:val="21"/>
                <w:vertAlign w:val="superscript"/>
              </w:rPr>
              <w:fldChar w:fldCharType="begin"/>
            </w:r>
            <w:r w:rsidRPr="00385A80">
              <w:rPr>
                <w:sz w:val="21"/>
                <w:szCs w:val="21"/>
                <w:vertAlign w:val="superscript"/>
              </w:rPr>
              <w:instrText xml:space="preserve"> NOTEREF _Ref450048837 \h </w:instrText>
            </w:r>
            <w:r>
              <w:rPr>
                <w:sz w:val="21"/>
                <w:szCs w:val="21"/>
                <w:vertAlign w:val="superscript"/>
              </w:rPr>
              <w:instrText xml:space="preserve"> \* MERGEFORMAT </w:instrText>
            </w:r>
            <w:r w:rsidRPr="00385A80">
              <w:rPr>
                <w:sz w:val="21"/>
                <w:szCs w:val="21"/>
                <w:vertAlign w:val="superscript"/>
              </w:rPr>
            </w:r>
            <w:r w:rsidRPr="00385A80">
              <w:rPr>
                <w:sz w:val="21"/>
                <w:szCs w:val="21"/>
                <w:vertAlign w:val="superscript"/>
              </w:rPr>
              <w:fldChar w:fldCharType="separate"/>
            </w:r>
            <w:r w:rsidRPr="00385A80">
              <w:rPr>
                <w:sz w:val="21"/>
                <w:szCs w:val="21"/>
                <w:vertAlign w:val="superscript"/>
              </w:rPr>
              <w:t>5</w:t>
            </w:r>
            <w:r w:rsidRPr="00385A80">
              <w:rPr>
                <w:sz w:val="21"/>
                <w:szCs w:val="21"/>
                <w:vertAlign w:val="superscript"/>
              </w:rPr>
              <w:fldChar w:fldCharType="end"/>
            </w:r>
            <w:r w:rsidRPr="00385A80">
              <w:rPr>
                <w:sz w:val="21"/>
                <w:szCs w:val="21"/>
              </w:rPr>
              <w:t>;</w:t>
            </w:r>
          </w:p>
          <w:p w14:paraId="5DD2713D" w14:textId="77777777" w:rsidR="00942F36" w:rsidRDefault="00942F36" w:rsidP="00942F36">
            <w:pPr>
              <w:pStyle w:val="DHHSbullet1lastline"/>
              <w:numPr>
                <w:ilvl w:val="1"/>
                <w:numId w:val="1"/>
              </w:numPr>
              <w:rPr>
                <w:sz w:val="21"/>
                <w:szCs w:val="21"/>
              </w:rPr>
            </w:pPr>
            <w:r>
              <w:rPr>
                <w:sz w:val="21"/>
                <w:szCs w:val="21"/>
              </w:rPr>
              <w:t>Vaccination of people aged 49 years and younger;</w:t>
            </w:r>
          </w:p>
          <w:p w14:paraId="55FD45FE" w14:textId="6D4F12DE" w:rsidR="00942F36" w:rsidRPr="00385A80" w:rsidRDefault="00942F36" w:rsidP="00942F36">
            <w:pPr>
              <w:pStyle w:val="DHHSbullet1lastline"/>
              <w:numPr>
                <w:ilvl w:val="1"/>
                <w:numId w:val="1"/>
              </w:numPr>
              <w:rPr>
                <w:sz w:val="21"/>
                <w:szCs w:val="21"/>
              </w:rPr>
            </w:pPr>
            <w:r>
              <w:rPr>
                <w:sz w:val="21"/>
                <w:szCs w:val="21"/>
              </w:rPr>
              <w:t xml:space="preserve">Vaccination of people with contraindications defined in the current edition of the </w:t>
            </w:r>
            <w:r w:rsidRPr="00385A80">
              <w:rPr>
                <w:i/>
                <w:sz w:val="21"/>
                <w:szCs w:val="21"/>
              </w:rPr>
              <w:t>Australian Immunisation Handbook</w:t>
            </w:r>
            <w:r w:rsidRPr="00385A80">
              <w:rPr>
                <w:sz w:val="21"/>
                <w:szCs w:val="21"/>
                <w:vertAlign w:val="superscript"/>
              </w:rPr>
              <w:fldChar w:fldCharType="begin"/>
            </w:r>
            <w:r w:rsidRPr="00385A80">
              <w:rPr>
                <w:sz w:val="21"/>
                <w:szCs w:val="21"/>
                <w:vertAlign w:val="superscript"/>
              </w:rPr>
              <w:instrText xml:space="preserve"> NOTEREF _Ref449959766 \h </w:instrText>
            </w:r>
            <w:r>
              <w:rPr>
                <w:sz w:val="21"/>
                <w:szCs w:val="21"/>
                <w:vertAlign w:val="superscript"/>
              </w:rPr>
              <w:instrText xml:space="preserve"> \* MERGEFORMAT </w:instrText>
            </w:r>
            <w:r w:rsidRPr="00385A80">
              <w:rPr>
                <w:sz w:val="21"/>
                <w:szCs w:val="21"/>
                <w:vertAlign w:val="superscript"/>
              </w:rPr>
            </w:r>
            <w:r w:rsidRPr="00385A80">
              <w:rPr>
                <w:sz w:val="21"/>
                <w:szCs w:val="21"/>
                <w:vertAlign w:val="superscript"/>
              </w:rPr>
              <w:fldChar w:fldCharType="separate"/>
            </w:r>
            <w:r w:rsidRPr="00385A80">
              <w:rPr>
                <w:sz w:val="21"/>
                <w:szCs w:val="21"/>
                <w:vertAlign w:val="superscript"/>
              </w:rPr>
              <w:t>4</w:t>
            </w:r>
            <w:r w:rsidRPr="00385A80">
              <w:rPr>
                <w:sz w:val="21"/>
                <w:szCs w:val="21"/>
                <w:vertAlign w:val="superscript"/>
              </w:rPr>
              <w:fldChar w:fldCharType="end"/>
            </w:r>
            <w:r w:rsidRPr="00385A80">
              <w:rPr>
                <w:sz w:val="21"/>
                <w:szCs w:val="21"/>
              </w:rPr>
              <w:t>.</w:t>
            </w:r>
          </w:p>
        </w:tc>
      </w:tr>
    </w:tbl>
    <w:p w14:paraId="34160A87" w14:textId="7CB70774" w:rsidR="003E3383" w:rsidRDefault="003E3383" w:rsidP="003E3383">
      <w:pPr>
        <w:pStyle w:val="DHHSbody"/>
        <w:rPr>
          <w:b/>
          <w:sz w:val="21"/>
          <w:szCs w:val="21"/>
        </w:rPr>
      </w:pPr>
    </w:p>
    <w:p w14:paraId="14A5E69A" w14:textId="6C13A2C4" w:rsidR="00C8610A" w:rsidRPr="00122497" w:rsidRDefault="00C8610A" w:rsidP="00233E38">
      <w:pPr>
        <w:spacing w:after="0" w:line="240" w:lineRule="auto"/>
        <w:rPr>
          <w:b/>
          <w:color w:val="000000" w:themeColor="text1"/>
          <w:sz w:val="21"/>
          <w:szCs w:val="21"/>
        </w:rPr>
      </w:pPr>
      <w:r w:rsidRPr="00122497">
        <w:rPr>
          <w:b/>
          <w:color w:val="000000" w:themeColor="text1"/>
          <w:sz w:val="21"/>
          <w:szCs w:val="21"/>
        </w:rPr>
        <w:t>Appendix 2</w:t>
      </w:r>
    </w:p>
    <w:tbl>
      <w:tblPr>
        <w:tblStyle w:val="TableGrid"/>
        <w:tblW w:w="10201" w:type="dxa"/>
        <w:tblLook w:val="04A0" w:firstRow="1" w:lastRow="0" w:firstColumn="1" w:lastColumn="0" w:noHBand="0" w:noVBand="1"/>
      </w:tblPr>
      <w:tblGrid>
        <w:gridCol w:w="1851"/>
        <w:gridCol w:w="3531"/>
        <w:gridCol w:w="4819"/>
      </w:tblGrid>
      <w:tr w:rsidR="00122497" w:rsidRPr="00122497" w14:paraId="6D6A6CD8" w14:textId="77777777" w:rsidTr="004D4F33">
        <w:tc>
          <w:tcPr>
            <w:tcW w:w="1851" w:type="dxa"/>
          </w:tcPr>
          <w:p w14:paraId="3F29A516" w14:textId="7783E905" w:rsidR="00C8610A" w:rsidRPr="00122497" w:rsidRDefault="00C8610A" w:rsidP="00695CB9">
            <w:pPr>
              <w:pStyle w:val="DHHSbody"/>
              <w:tabs>
                <w:tab w:val="left" w:pos="1134"/>
              </w:tabs>
              <w:rPr>
                <w:color w:val="000000" w:themeColor="text1"/>
                <w:sz w:val="21"/>
                <w:szCs w:val="21"/>
              </w:rPr>
            </w:pPr>
            <w:r w:rsidRPr="00122497">
              <w:rPr>
                <w:color w:val="000000" w:themeColor="text1"/>
                <w:sz w:val="21"/>
                <w:szCs w:val="21"/>
              </w:rPr>
              <w:t xml:space="preserve">Japanese encephalitis </w:t>
            </w:r>
          </w:p>
        </w:tc>
        <w:tc>
          <w:tcPr>
            <w:tcW w:w="3531" w:type="dxa"/>
          </w:tcPr>
          <w:p w14:paraId="3BAF1568" w14:textId="74DBE5D9" w:rsidR="00C8610A" w:rsidRPr="00122497" w:rsidRDefault="00C8610A" w:rsidP="00695CB9">
            <w:pPr>
              <w:pStyle w:val="DHHSbullet1"/>
              <w:numPr>
                <w:ilvl w:val="0"/>
                <w:numId w:val="1"/>
              </w:numPr>
              <w:rPr>
                <w:color w:val="000000" w:themeColor="text1"/>
                <w:sz w:val="21"/>
                <w:szCs w:val="21"/>
              </w:rPr>
            </w:pPr>
            <w:r w:rsidRPr="00122497">
              <w:rPr>
                <w:rFonts w:cs="Arial"/>
                <w:color w:val="000000" w:themeColor="text1"/>
                <w:sz w:val="21"/>
                <w:szCs w:val="21"/>
              </w:rPr>
              <w:t xml:space="preserve">Vaccination of people </w:t>
            </w:r>
            <w:r w:rsidR="47C3E551" w:rsidRPr="00122497">
              <w:rPr>
                <w:rFonts w:cs="Arial"/>
                <w:color w:val="000000" w:themeColor="text1"/>
                <w:sz w:val="21"/>
                <w:szCs w:val="21"/>
              </w:rPr>
              <w:t xml:space="preserve">aged 5 years and older </w:t>
            </w:r>
            <w:r w:rsidRPr="00122497">
              <w:rPr>
                <w:rFonts w:cs="Arial"/>
                <w:color w:val="000000" w:themeColor="text1"/>
                <w:sz w:val="21"/>
                <w:szCs w:val="21"/>
              </w:rPr>
              <w:t xml:space="preserve">that are recommended for vaccination as listed on the Victorian </w:t>
            </w:r>
            <w:r w:rsidRPr="00122497">
              <w:rPr>
                <w:color w:val="000000" w:themeColor="text1"/>
                <w:sz w:val="21"/>
                <w:szCs w:val="21"/>
              </w:rPr>
              <w:t>Department of Health’s Japanese encephalitis in Victoria website</w:t>
            </w:r>
            <w:r w:rsidRPr="00122497">
              <w:rPr>
                <w:rStyle w:val="FootnoteReference"/>
                <w:color w:val="000000" w:themeColor="text1"/>
                <w:sz w:val="21"/>
                <w:szCs w:val="21"/>
              </w:rPr>
              <w:footnoteReference w:id="10"/>
            </w:r>
            <w:r w:rsidR="006359C4" w:rsidRPr="00122497">
              <w:rPr>
                <w:color w:val="000000" w:themeColor="text1"/>
                <w:sz w:val="21"/>
                <w:szCs w:val="21"/>
              </w:rPr>
              <w:t xml:space="preserve"> as amended from time to time</w:t>
            </w:r>
            <w:r w:rsidRPr="00122497">
              <w:rPr>
                <w:color w:val="000000" w:themeColor="text1"/>
                <w:sz w:val="21"/>
                <w:szCs w:val="21"/>
              </w:rPr>
              <w:t>.</w:t>
            </w:r>
          </w:p>
        </w:tc>
        <w:tc>
          <w:tcPr>
            <w:tcW w:w="4819" w:type="dxa"/>
          </w:tcPr>
          <w:p w14:paraId="46D51D82" w14:textId="6A46BE27" w:rsidR="00C8610A" w:rsidRPr="00122497" w:rsidRDefault="00C8610A" w:rsidP="00695CB9">
            <w:pPr>
              <w:pStyle w:val="DHHStablebullet"/>
              <w:numPr>
                <w:ilvl w:val="6"/>
                <w:numId w:val="1"/>
              </w:numPr>
              <w:rPr>
                <w:color w:val="000000" w:themeColor="text1"/>
                <w:sz w:val="21"/>
                <w:szCs w:val="21"/>
              </w:rPr>
            </w:pPr>
            <w:r w:rsidRPr="00122497">
              <w:rPr>
                <w:color w:val="000000" w:themeColor="text1"/>
                <w:sz w:val="21"/>
                <w:szCs w:val="21"/>
              </w:rPr>
              <w:t>Vaccination for people not recommended for vaccination</w:t>
            </w:r>
            <w:r w:rsidR="00FA6129">
              <w:rPr>
                <w:color w:val="000000" w:themeColor="text1"/>
                <w:sz w:val="21"/>
                <w:szCs w:val="21"/>
              </w:rPr>
              <w:t>;</w:t>
            </w:r>
          </w:p>
          <w:p w14:paraId="78D9DF30" w14:textId="36F9C4F8" w:rsidR="00C8610A" w:rsidRPr="00122497" w:rsidRDefault="00C8610A" w:rsidP="00695CB9">
            <w:pPr>
              <w:pStyle w:val="DHHStablebullet"/>
              <w:numPr>
                <w:ilvl w:val="6"/>
                <w:numId w:val="1"/>
              </w:numPr>
              <w:rPr>
                <w:color w:val="000000" w:themeColor="text1"/>
                <w:sz w:val="21"/>
                <w:szCs w:val="21"/>
              </w:rPr>
            </w:pPr>
            <w:r w:rsidRPr="00122497">
              <w:rPr>
                <w:color w:val="000000" w:themeColor="text1"/>
                <w:sz w:val="21"/>
                <w:szCs w:val="21"/>
              </w:rPr>
              <w:t>Vaccination for travel purposes</w:t>
            </w:r>
            <w:r w:rsidRPr="00122497">
              <w:rPr>
                <w:color w:val="000000" w:themeColor="text1"/>
                <w:sz w:val="21"/>
                <w:szCs w:val="21"/>
                <w:vertAlign w:val="superscript"/>
              </w:rPr>
              <w:fldChar w:fldCharType="begin"/>
            </w:r>
            <w:r w:rsidRPr="00122497">
              <w:rPr>
                <w:color w:val="000000" w:themeColor="text1"/>
                <w:sz w:val="21"/>
                <w:szCs w:val="21"/>
                <w:vertAlign w:val="superscript"/>
              </w:rPr>
              <w:instrText xml:space="preserve"> NOTEREF _Ref450048837 \h  \* MERGEFORMAT </w:instrText>
            </w:r>
            <w:r w:rsidRPr="00122497">
              <w:rPr>
                <w:color w:val="000000" w:themeColor="text1"/>
                <w:sz w:val="21"/>
                <w:szCs w:val="21"/>
                <w:vertAlign w:val="superscript"/>
              </w:rPr>
            </w:r>
            <w:r w:rsidRPr="00122497">
              <w:rPr>
                <w:color w:val="000000" w:themeColor="text1"/>
                <w:sz w:val="21"/>
                <w:szCs w:val="21"/>
                <w:vertAlign w:val="superscript"/>
              </w:rPr>
              <w:fldChar w:fldCharType="separate"/>
            </w:r>
            <w:r w:rsidRPr="00122497">
              <w:rPr>
                <w:color w:val="000000" w:themeColor="text1"/>
                <w:sz w:val="21"/>
                <w:szCs w:val="21"/>
                <w:vertAlign w:val="superscript"/>
              </w:rPr>
              <w:t>5</w:t>
            </w:r>
            <w:r w:rsidRPr="00122497">
              <w:rPr>
                <w:color w:val="000000" w:themeColor="text1"/>
                <w:sz w:val="21"/>
                <w:szCs w:val="21"/>
                <w:vertAlign w:val="superscript"/>
              </w:rPr>
              <w:fldChar w:fldCharType="end"/>
            </w:r>
            <w:r w:rsidR="00FA6129">
              <w:rPr>
                <w:color w:val="000000" w:themeColor="text1"/>
                <w:sz w:val="21"/>
                <w:szCs w:val="21"/>
              </w:rPr>
              <w:t>;</w:t>
            </w:r>
          </w:p>
          <w:p w14:paraId="595421E8" w14:textId="1A8F4F38" w:rsidR="00C8610A" w:rsidRPr="00122497" w:rsidRDefault="00C8610A" w:rsidP="00695CB9">
            <w:pPr>
              <w:pStyle w:val="DHHStablebullet"/>
              <w:numPr>
                <w:ilvl w:val="6"/>
                <w:numId w:val="1"/>
              </w:numPr>
              <w:rPr>
                <w:color w:val="000000" w:themeColor="text1"/>
                <w:sz w:val="21"/>
                <w:szCs w:val="21"/>
              </w:rPr>
            </w:pPr>
            <w:r w:rsidRPr="00122497">
              <w:rPr>
                <w:color w:val="000000" w:themeColor="text1"/>
                <w:sz w:val="21"/>
                <w:szCs w:val="21"/>
              </w:rPr>
              <w:t xml:space="preserve">Vaccination of people aged 4 years and </w:t>
            </w:r>
            <w:r w:rsidR="00A617FF">
              <w:rPr>
                <w:color w:val="000000" w:themeColor="text1"/>
                <w:sz w:val="21"/>
                <w:szCs w:val="21"/>
              </w:rPr>
              <w:t>younger</w:t>
            </w:r>
            <w:r w:rsidRPr="00122497">
              <w:rPr>
                <w:color w:val="000000" w:themeColor="text1"/>
                <w:sz w:val="21"/>
                <w:szCs w:val="21"/>
              </w:rPr>
              <w:t xml:space="preserve">; </w:t>
            </w:r>
          </w:p>
          <w:p w14:paraId="0BA5A9A9" w14:textId="77777777" w:rsidR="00C8610A" w:rsidRPr="00122497" w:rsidRDefault="00C8610A" w:rsidP="00695CB9">
            <w:pPr>
              <w:pStyle w:val="DHHSbullet1lastline"/>
              <w:numPr>
                <w:ilvl w:val="1"/>
                <w:numId w:val="1"/>
              </w:numPr>
              <w:rPr>
                <w:color w:val="000000" w:themeColor="text1"/>
                <w:sz w:val="21"/>
                <w:szCs w:val="21"/>
              </w:rPr>
            </w:pPr>
            <w:r w:rsidRPr="00122497">
              <w:rPr>
                <w:color w:val="000000" w:themeColor="text1"/>
                <w:sz w:val="21"/>
                <w:szCs w:val="21"/>
              </w:rPr>
              <w:t xml:space="preserve">Vaccination of people with contraindications defined in the current edition of the </w:t>
            </w:r>
            <w:r w:rsidRPr="00122497">
              <w:rPr>
                <w:i/>
                <w:color w:val="000000" w:themeColor="text1"/>
                <w:sz w:val="21"/>
                <w:szCs w:val="21"/>
              </w:rPr>
              <w:t>Australian Immunisation Handbook</w:t>
            </w:r>
            <w:r w:rsidRPr="00122497">
              <w:rPr>
                <w:color w:val="000000" w:themeColor="text1"/>
                <w:sz w:val="21"/>
                <w:szCs w:val="21"/>
                <w:vertAlign w:val="superscript"/>
              </w:rPr>
              <w:fldChar w:fldCharType="begin"/>
            </w:r>
            <w:r w:rsidRPr="00122497">
              <w:rPr>
                <w:color w:val="000000" w:themeColor="text1"/>
                <w:sz w:val="21"/>
                <w:szCs w:val="21"/>
                <w:vertAlign w:val="superscript"/>
              </w:rPr>
              <w:instrText xml:space="preserve"> NOTEREF _Ref449959766 \h  \* MERGEFORMAT </w:instrText>
            </w:r>
            <w:r w:rsidRPr="00122497">
              <w:rPr>
                <w:color w:val="000000" w:themeColor="text1"/>
                <w:sz w:val="21"/>
                <w:szCs w:val="21"/>
                <w:vertAlign w:val="superscript"/>
              </w:rPr>
            </w:r>
            <w:r w:rsidRPr="00122497">
              <w:rPr>
                <w:color w:val="000000" w:themeColor="text1"/>
                <w:sz w:val="21"/>
                <w:szCs w:val="21"/>
                <w:vertAlign w:val="superscript"/>
              </w:rPr>
              <w:fldChar w:fldCharType="separate"/>
            </w:r>
            <w:r w:rsidRPr="00122497">
              <w:rPr>
                <w:color w:val="000000" w:themeColor="text1"/>
                <w:sz w:val="21"/>
                <w:szCs w:val="21"/>
                <w:vertAlign w:val="superscript"/>
              </w:rPr>
              <w:t>4</w:t>
            </w:r>
            <w:r w:rsidRPr="00122497">
              <w:rPr>
                <w:color w:val="000000" w:themeColor="text1"/>
                <w:sz w:val="21"/>
                <w:szCs w:val="21"/>
                <w:vertAlign w:val="superscript"/>
              </w:rPr>
              <w:fldChar w:fldCharType="end"/>
            </w:r>
            <w:r w:rsidRPr="00122497">
              <w:rPr>
                <w:color w:val="000000" w:themeColor="text1"/>
                <w:sz w:val="21"/>
                <w:szCs w:val="21"/>
              </w:rPr>
              <w:t>.</w:t>
            </w:r>
          </w:p>
        </w:tc>
      </w:tr>
    </w:tbl>
    <w:p w14:paraId="567A3E6D" w14:textId="77777777" w:rsidR="00C8610A" w:rsidRPr="00385A80" w:rsidRDefault="00C8610A" w:rsidP="003E3383">
      <w:pPr>
        <w:pStyle w:val="DHHSbody"/>
        <w:rPr>
          <w:b/>
          <w:sz w:val="21"/>
          <w:szCs w:val="21"/>
        </w:rPr>
      </w:pPr>
    </w:p>
    <w:p w14:paraId="72A5D39D" w14:textId="486C9CC9" w:rsidR="00370D34" w:rsidRDefault="00370D34" w:rsidP="00370D34">
      <w:pPr>
        <w:pStyle w:val="DHHSbody"/>
        <w:rPr>
          <w:b/>
          <w:color w:val="000000" w:themeColor="text1"/>
          <w:sz w:val="21"/>
          <w:szCs w:val="21"/>
        </w:rPr>
      </w:pPr>
      <w:r w:rsidRPr="00122497">
        <w:rPr>
          <w:b/>
          <w:color w:val="000000" w:themeColor="text1"/>
          <w:sz w:val="21"/>
          <w:szCs w:val="21"/>
        </w:rPr>
        <w:t xml:space="preserve">Appendix </w:t>
      </w:r>
      <w:r>
        <w:rPr>
          <w:b/>
          <w:color w:val="000000" w:themeColor="text1"/>
          <w:sz w:val="21"/>
          <w:szCs w:val="21"/>
        </w:rPr>
        <w:t>3</w:t>
      </w:r>
    </w:p>
    <w:tbl>
      <w:tblPr>
        <w:tblStyle w:val="TableGrid"/>
        <w:tblW w:w="10206" w:type="dxa"/>
        <w:tblInd w:w="-5" w:type="dxa"/>
        <w:tblLook w:val="04A0" w:firstRow="1" w:lastRow="0" w:firstColumn="1" w:lastColumn="0" w:noHBand="0" w:noVBand="1"/>
      </w:tblPr>
      <w:tblGrid>
        <w:gridCol w:w="1843"/>
        <w:gridCol w:w="3544"/>
        <w:gridCol w:w="4819"/>
      </w:tblGrid>
      <w:tr w:rsidR="00370D34" w:rsidRPr="00122497" w14:paraId="4D338253" w14:textId="77777777" w:rsidTr="4A0FC554">
        <w:tc>
          <w:tcPr>
            <w:tcW w:w="1843" w:type="dxa"/>
          </w:tcPr>
          <w:p w14:paraId="16E5F3A7" w14:textId="0E38C429" w:rsidR="00370D34" w:rsidRDefault="00370D34" w:rsidP="00695CB9">
            <w:pPr>
              <w:pStyle w:val="DHHSbody"/>
              <w:tabs>
                <w:tab w:val="left" w:pos="1134"/>
              </w:tabs>
              <w:rPr>
                <w:color w:val="000000" w:themeColor="text1"/>
                <w:sz w:val="21"/>
                <w:szCs w:val="21"/>
              </w:rPr>
            </w:pPr>
            <w:r w:rsidRPr="4A0FC554">
              <w:rPr>
                <w:color w:val="000000" w:themeColor="text1"/>
                <w:sz w:val="21"/>
                <w:szCs w:val="21"/>
              </w:rPr>
              <w:t>M</w:t>
            </w:r>
            <w:r w:rsidR="006114AD" w:rsidRPr="4A0FC554">
              <w:rPr>
                <w:color w:val="000000" w:themeColor="text1"/>
                <w:sz w:val="21"/>
                <w:szCs w:val="21"/>
              </w:rPr>
              <w:t>onkeypox</w:t>
            </w:r>
            <w:r w:rsidR="020D17BC" w:rsidRPr="4A0FC554">
              <w:rPr>
                <w:color w:val="000000" w:themeColor="text1"/>
                <w:sz w:val="21"/>
                <w:szCs w:val="21"/>
              </w:rPr>
              <w:t>/</w:t>
            </w:r>
            <w:r w:rsidR="006114AD" w:rsidRPr="4A0FC554">
              <w:rPr>
                <w:color w:val="000000" w:themeColor="text1"/>
                <w:sz w:val="21"/>
                <w:szCs w:val="21"/>
              </w:rPr>
              <w:t xml:space="preserve"> smallpox</w:t>
            </w:r>
            <w:r w:rsidR="00C868B7" w:rsidRPr="4A0FC554">
              <w:rPr>
                <w:color w:val="000000" w:themeColor="text1"/>
                <w:sz w:val="21"/>
                <w:szCs w:val="21"/>
              </w:rPr>
              <w:t>/</w:t>
            </w:r>
            <w:r w:rsidR="176F336B" w:rsidRPr="4A0FC554">
              <w:rPr>
                <w:color w:val="000000" w:themeColor="text1"/>
                <w:sz w:val="21"/>
                <w:szCs w:val="21"/>
              </w:rPr>
              <w:t xml:space="preserve"> </w:t>
            </w:r>
            <w:r w:rsidR="0F470EFF" w:rsidRPr="4A0FC554">
              <w:rPr>
                <w:color w:val="000000" w:themeColor="text1"/>
                <w:sz w:val="21"/>
                <w:szCs w:val="21"/>
              </w:rPr>
              <w:t>vaccin</w:t>
            </w:r>
            <w:r w:rsidR="016C36DB" w:rsidRPr="4A0FC554">
              <w:rPr>
                <w:color w:val="000000" w:themeColor="text1"/>
                <w:sz w:val="21"/>
                <w:szCs w:val="21"/>
              </w:rPr>
              <w:t>i</w:t>
            </w:r>
            <w:r w:rsidR="003937DB" w:rsidRPr="4A0FC554">
              <w:rPr>
                <w:color w:val="000000" w:themeColor="text1"/>
                <w:sz w:val="21"/>
                <w:szCs w:val="21"/>
              </w:rPr>
              <w:t>a</w:t>
            </w:r>
            <w:r w:rsidR="006114AD" w:rsidRPr="4A0FC554">
              <w:rPr>
                <w:color w:val="000000" w:themeColor="text1"/>
                <w:sz w:val="21"/>
                <w:szCs w:val="21"/>
              </w:rPr>
              <w:t xml:space="preserve"> </w:t>
            </w:r>
            <w:r w:rsidR="70B391FE" w:rsidRPr="4A0FC554">
              <w:rPr>
                <w:color w:val="000000" w:themeColor="text1"/>
                <w:sz w:val="21"/>
                <w:szCs w:val="21"/>
              </w:rPr>
              <w:t xml:space="preserve">virus </w:t>
            </w:r>
          </w:p>
          <w:p w14:paraId="1D9D96E2" w14:textId="77777777" w:rsidR="00566195" w:rsidRPr="004D4F33" w:rsidRDefault="00566195" w:rsidP="004D4F33"/>
          <w:p w14:paraId="68C9FE64" w14:textId="77777777" w:rsidR="00566195" w:rsidRPr="004D4F33" w:rsidRDefault="00566195" w:rsidP="004D4F33"/>
          <w:p w14:paraId="0103B8EC" w14:textId="77777777" w:rsidR="00566195" w:rsidRPr="004D4F33" w:rsidRDefault="00566195" w:rsidP="004D4F33"/>
          <w:p w14:paraId="73279384" w14:textId="77777777" w:rsidR="00566195" w:rsidRPr="004D4F33" w:rsidRDefault="00566195" w:rsidP="004D4F33"/>
          <w:p w14:paraId="39BF5AAD" w14:textId="06D9F8B9" w:rsidR="00566195" w:rsidRPr="004D4F33" w:rsidRDefault="00566195" w:rsidP="004D4F33">
            <w:pPr>
              <w:jc w:val="center"/>
            </w:pPr>
          </w:p>
        </w:tc>
        <w:tc>
          <w:tcPr>
            <w:tcW w:w="3544" w:type="dxa"/>
          </w:tcPr>
          <w:p w14:paraId="7D06839F" w14:textId="67A79EB7" w:rsidR="00370D34" w:rsidRPr="00122497" w:rsidRDefault="00370D34" w:rsidP="00695CB9">
            <w:pPr>
              <w:pStyle w:val="DHHSbullet1"/>
              <w:numPr>
                <w:ilvl w:val="0"/>
                <w:numId w:val="1"/>
              </w:numPr>
              <w:rPr>
                <w:color w:val="000000" w:themeColor="text1"/>
                <w:sz w:val="21"/>
                <w:szCs w:val="21"/>
              </w:rPr>
            </w:pPr>
            <w:r w:rsidRPr="3333640D">
              <w:rPr>
                <w:rFonts w:cs="Arial"/>
                <w:color w:val="000000" w:themeColor="text1"/>
                <w:sz w:val="21"/>
                <w:szCs w:val="21"/>
              </w:rPr>
              <w:lastRenderedPageBreak/>
              <w:t xml:space="preserve">Vaccination of people </w:t>
            </w:r>
            <w:r w:rsidR="2962A17C" w:rsidRPr="3333640D">
              <w:rPr>
                <w:rFonts w:cs="Arial"/>
                <w:color w:val="000000" w:themeColor="text1"/>
                <w:sz w:val="21"/>
                <w:szCs w:val="21"/>
              </w:rPr>
              <w:t xml:space="preserve">aged 5 years and older </w:t>
            </w:r>
            <w:r w:rsidRPr="3333640D">
              <w:rPr>
                <w:rFonts w:cs="Arial"/>
                <w:color w:val="000000" w:themeColor="text1"/>
                <w:sz w:val="21"/>
                <w:szCs w:val="21"/>
              </w:rPr>
              <w:t xml:space="preserve">that are recommended for vaccination as listed on the Victorian </w:t>
            </w:r>
            <w:r w:rsidRPr="3333640D">
              <w:rPr>
                <w:color w:val="000000" w:themeColor="text1"/>
                <w:sz w:val="21"/>
                <w:szCs w:val="21"/>
              </w:rPr>
              <w:t xml:space="preserve">Department of Health’s </w:t>
            </w:r>
            <w:r w:rsidR="006114AD" w:rsidRPr="3333640D">
              <w:rPr>
                <w:color w:val="000000" w:themeColor="text1"/>
                <w:sz w:val="21"/>
                <w:szCs w:val="21"/>
              </w:rPr>
              <w:t>Monkeypox</w:t>
            </w:r>
            <w:r w:rsidRPr="3333640D">
              <w:rPr>
                <w:color w:val="000000" w:themeColor="text1"/>
                <w:sz w:val="21"/>
                <w:szCs w:val="21"/>
              </w:rPr>
              <w:t xml:space="preserve"> website</w:t>
            </w:r>
            <w:r w:rsidR="006114AD">
              <w:rPr>
                <w:rStyle w:val="FootnoteReference"/>
                <w:color w:val="000000" w:themeColor="text1"/>
                <w:sz w:val="21"/>
                <w:szCs w:val="21"/>
              </w:rPr>
              <w:footnoteReference w:id="11"/>
            </w:r>
            <w:r w:rsidRPr="3333640D">
              <w:rPr>
                <w:color w:val="000000" w:themeColor="text1"/>
                <w:sz w:val="21"/>
                <w:szCs w:val="21"/>
              </w:rPr>
              <w:t xml:space="preserve"> as amended from time to time.</w:t>
            </w:r>
          </w:p>
        </w:tc>
        <w:tc>
          <w:tcPr>
            <w:tcW w:w="4819" w:type="dxa"/>
          </w:tcPr>
          <w:p w14:paraId="7DF476B9" w14:textId="27064007" w:rsidR="00370D34" w:rsidRDefault="00370D34" w:rsidP="00695CB9">
            <w:pPr>
              <w:pStyle w:val="DHHStablebullet"/>
              <w:numPr>
                <w:ilvl w:val="6"/>
                <w:numId w:val="1"/>
              </w:numPr>
              <w:rPr>
                <w:color w:val="000000" w:themeColor="text1"/>
                <w:sz w:val="21"/>
                <w:szCs w:val="21"/>
              </w:rPr>
            </w:pPr>
            <w:r w:rsidRPr="00122497">
              <w:rPr>
                <w:color w:val="000000" w:themeColor="text1"/>
                <w:sz w:val="21"/>
                <w:szCs w:val="21"/>
              </w:rPr>
              <w:t>Vaccination for people not recommended for vaccination</w:t>
            </w:r>
            <w:r w:rsidR="00FA6129">
              <w:rPr>
                <w:color w:val="000000" w:themeColor="text1"/>
                <w:sz w:val="21"/>
                <w:szCs w:val="21"/>
              </w:rPr>
              <w:t>;</w:t>
            </w:r>
          </w:p>
          <w:p w14:paraId="267BA31A" w14:textId="219F4984" w:rsidR="00370D34" w:rsidRPr="00122497" w:rsidRDefault="00370D34" w:rsidP="00695CB9">
            <w:pPr>
              <w:pStyle w:val="DHHStablebullet"/>
              <w:numPr>
                <w:ilvl w:val="6"/>
                <w:numId w:val="1"/>
              </w:numPr>
              <w:rPr>
                <w:color w:val="000000" w:themeColor="text1"/>
                <w:sz w:val="21"/>
                <w:szCs w:val="21"/>
              </w:rPr>
            </w:pPr>
            <w:r w:rsidRPr="3333640D">
              <w:rPr>
                <w:color w:val="000000" w:themeColor="text1"/>
                <w:sz w:val="21"/>
                <w:szCs w:val="21"/>
              </w:rPr>
              <w:t>Vaccination for travel purposes</w:t>
            </w:r>
            <w:r w:rsidR="00275063" w:rsidRPr="3333640D">
              <w:rPr>
                <w:color w:val="000000" w:themeColor="text1"/>
                <w:sz w:val="21"/>
                <w:szCs w:val="21"/>
              </w:rPr>
              <w:t xml:space="preserve"> other tha</w:t>
            </w:r>
            <w:r w:rsidR="00372A3F" w:rsidRPr="3333640D">
              <w:rPr>
                <w:color w:val="000000" w:themeColor="text1"/>
                <w:sz w:val="21"/>
                <w:szCs w:val="21"/>
              </w:rPr>
              <w:t xml:space="preserve">n </w:t>
            </w:r>
            <w:r w:rsidR="00275063" w:rsidRPr="3333640D">
              <w:rPr>
                <w:color w:val="000000" w:themeColor="text1"/>
                <w:sz w:val="21"/>
                <w:szCs w:val="21"/>
              </w:rPr>
              <w:t xml:space="preserve">those </w:t>
            </w:r>
            <w:r w:rsidR="0059134A" w:rsidRPr="3333640D">
              <w:rPr>
                <w:color w:val="000000" w:themeColor="text1"/>
                <w:sz w:val="21"/>
                <w:szCs w:val="21"/>
              </w:rPr>
              <w:t>pe</w:t>
            </w:r>
            <w:r w:rsidR="0059134A">
              <w:rPr>
                <w:color w:val="000000" w:themeColor="text1"/>
                <w:sz w:val="21"/>
                <w:szCs w:val="21"/>
              </w:rPr>
              <w:t>ople</w:t>
            </w:r>
            <w:r w:rsidR="0059134A" w:rsidRPr="3333640D">
              <w:rPr>
                <w:color w:val="000000" w:themeColor="text1"/>
                <w:sz w:val="21"/>
                <w:szCs w:val="21"/>
              </w:rPr>
              <w:t xml:space="preserve"> </w:t>
            </w:r>
            <w:r w:rsidR="2F099180" w:rsidRPr="3333640D">
              <w:rPr>
                <w:color w:val="000000" w:themeColor="text1"/>
                <w:sz w:val="21"/>
                <w:szCs w:val="21"/>
              </w:rPr>
              <w:t xml:space="preserve">recommended for vaccination as listed on </w:t>
            </w:r>
            <w:r w:rsidR="00275063" w:rsidRPr="3333640D">
              <w:rPr>
                <w:color w:val="000000" w:themeColor="text1"/>
                <w:sz w:val="21"/>
                <w:szCs w:val="21"/>
              </w:rPr>
              <w:t>the Department of Health’s Monkeypox webpage</w:t>
            </w:r>
            <w:r w:rsidRPr="3333640D">
              <w:rPr>
                <w:color w:val="000000" w:themeColor="text1"/>
                <w:sz w:val="21"/>
                <w:szCs w:val="21"/>
                <w:vertAlign w:val="superscript"/>
              </w:rPr>
              <w:fldChar w:fldCharType="begin"/>
            </w:r>
            <w:r w:rsidRPr="3333640D">
              <w:rPr>
                <w:color w:val="000000" w:themeColor="text1"/>
                <w:sz w:val="21"/>
                <w:szCs w:val="21"/>
                <w:vertAlign w:val="superscript"/>
              </w:rPr>
              <w:instrText xml:space="preserve"> NOTEREF _Ref450048837 \h  \* MERGEFORMAT </w:instrText>
            </w:r>
            <w:r w:rsidRPr="3333640D">
              <w:rPr>
                <w:color w:val="000000" w:themeColor="text1"/>
                <w:sz w:val="21"/>
                <w:szCs w:val="21"/>
                <w:vertAlign w:val="superscript"/>
              </w:rPr>
            </w:r>
            <w:r w:rsidRPr="3333640D">
              <w:rPr>
                <w:color w:val="000000" w:themeColor="text1"/>
                <w:sz w:val="21"/>
                <w:szCs w:val="21"/>
                <w:vertAlign w:val="superscript"/>
              </w:rPr>
              <w:fldChar w:fldCharType="separate"/>
            </w:r>
            <w:r w:rsidRPr="3333640D">
              <w:rPr>
                <w:color w:val="000000" w:themeColor="text1"/>
                <w:sz w:val="21"/>
                <w:szCs w:val="21"/>
                <w:vertAlign w:val="superscript"/>
              </w:rPr>
              <w:t>5</w:t>
            </w:r>
            <w:r w:rsidRPr="3333640D">
              <w:rPr>
                <w:color w:val="000000" w:themeColor="text1"/>
                <w:sz w:val="21"/>
                <w:szCs w:val="21"/>
                <w:vertAlign w:val="superscript"/>
              </w:rPr>
              <w:fldChar w:fldCharType="end"/>
            </w:r>
            <w:r w:rsidR="00372A3F" w:rsidRPr="3333640D">
              <w:rPr>
                <w:color w:val="000000" w:themeColor="text1"/>
                <w:sz w:val="21"/>
                <w:szCs w:val="21"/>
                <w:vertAlign w:val="superscript"/>
              </w:rPr>
              <w:t>,9</w:t>
            </w:r>
            <w:r w:rsidR="00FA6129" w:rsidRPr="3333640D">
              <w:rPr>
                <w:color w:val="000000" w:themeColor="text1"/>
                <w:sz w:val="21"/>
                <w:szCs w:val="21"/>
              </w:rPr>
              <w:t>;</w:t>
            </w:r>
          </w:p>
          <w:p w14:paraId="2CEE7CBD" w14:textId="3E85B4EA" w:rsidR="5F67BC70" w:rsidRDefault="5F67BC70" w:rsidP="3333640D">
            <w:pPr>
              <w:pStyle w:val="DHHStablebullet"/>
              <w:numPr>
                <w:ilvl w:val="6"/>
                <w:numId w:val="1"/>
              </w:numPr>
              <w:rPr>
                <w:color w:val="000000" w:themeColor="text1"/>
                <w:sz w:val="21"/>
                <w:szCs w:val="21"/>
              </w:rPr>
            </w:pPr>
            <w:r w:rsidRPr="3333640D">
              <w:rPr>
                <w:color w:val="000000" w:themeColor="text1"/>
                <w:sz w:val="21"/>
                <w:szCs w:val="21"/>
              </w:rPr>
              <w:t>Vaccination of people aged 4 years and younger;</w:t>
            </w:r>
          </w:p>
          <w:p w14:paraId="02E95A22" w14:textId="27994D67" w:rsidR="00370D34" w:rsidRPr="00122497" w:rsidRDefault="00370D34" w:rsidP="00695CB9">
            <w:pPr>
              <w:pStyle w:val="DHHSbullet1lastline"/>
              <w:numPr>
                <w:ilvl w:val="1"/>
                <w:numId w:val="1"/>
              </w:numPr>
              <w:rPr>
                <w:color w:val="000000" w:themeColor="text1"/>
                <w:sz w:val="21"/>
                <w:szCs w:val="21"/>
              </w:rPr>
            </w:pPr>
            <w:r w:rsidRPr="1FB433B4">
              <w:rPr>
                <w:color w:val="000000" w:themeColor="text1"/>
                <w:sz w:val="21"/>
                <w:szCs w:val="21"/>
              </w:rPr>
              <w:t xml:space="preserve">Vaccination of people with contraindications defined in the current edition of the </w:t>
            </w:r>
            <w:r w:rsidRPr="1FB433B4">
              <w:rPr>
                <w:i/>
                <w:iCs/>
                <w:color w:val="000000" w:themeColor="text1"/>
                <w:sz w:val="21"/>
                <w:szCs w:val="21"/>
              </w:rPr>
              <w:t>Australian Immunisation Handbook</w:t>
            </w:r>
            <w:r w:rsidR="000F53AB" w:rsidRPr="1FB433B4">
              <w:rPr>
                <w:color w:val="000000" w:themeColor="text1"/>
                <w:sz w:val="21"/>
                <w:szCs w:val="21"/>
              </w:rPr>
              <w:t xml:space="preserve"> </w:t>
            </w:r>
            <w:r w:rsidR="65BE689F" w:rsidRPr="1FB433B4">
              <w:rPr>
                <w:color w:val="000000" w:themeColor="text1"/>
                <w:sz w:val="21"/>
                <w:szCs w:val="21"/>
              </w:rPr>
              <w:t>(</w:t>
            </w:r>
            <w:r w:rsidR="000F53AB" w:rsidRPr="1FB433B4">
              <w:rPr>
                <w:color w:val="000000" w:themeColor="text1"/>
                <w:sz w:val="21"/>
                <w:szCs w:val="21"/>
              </w:rPr>
              <w:t xml:space="preserve">or </w:t>
            </w:r>
            <w:r w:rsidR="0BAED0B0" w:rsidRPr="7130C3EA">
              <w:rPr>
                <w:color w:val="000000" w:themeColor="text1"/>
                <w:sz w:val="21"/>
                <w:szCs w:val="21"/>
              </w:rPr>
              <w:t xml:space="preserve">current </w:t>
            </w:r>
            <w:r w:rsidR="392F22C7" w:rsidRPr="1FB433B4">
              <w:rPr>
                <w:color w:val="000000" w:themeColor="text1"/>
                <w:sz w:val="21"/>
                <w:szCs w:val="21"/>
              </w:rPr>
              <w:lastRenderedPageBreak/>
              <w:t>recommendations</w:t>
            </w:r>
            <w:r w:rsidR="00E44E75">
              <w:rPr>
                <w:color w:val="000000" w:themeColor="text1"/>
                <w:sz w:val="21"/>
                <w:szCs w:val="21"/>
              </w:rPr>
              <w:t xml:space="preserve"> </w:t>
            </w:r>
            <w:r w:rsidR="7AAEB3F7" w:rsidRPr="1FB433B4">
              <w:rPr>
                <w:color w:val="000000" w:themeColor="text1"/>
                <w:sz w:val="21"/>
                <w:szCs w:val="21"/>
              </w:rPr>
              <w:t>issued</w:t>
            </w:r>
            <w:r w:rsidR="000F53AB" w:rsidRPr="1FB433B4">
              <w:rPr>
                <w:color w:val="000000" w:themeColor="text1"/>
                <w:sz w:val="21"/>
                <w:szCs w:val="21"/>
              </w:rPr>
              <w:t xml:space="preserve"> by </w:t>
            </w:r>
            <w:r w:rsidR="151A215D" w:rsidRPr="1FB433B4">
              <w:rPr>
                <w:color w:val="000000" w:themeColor="text1"/>
                <w:sz w:val="21"/>
                <w:szCs w:val="21"/>
              </w:rPr>
              <w:t>the Australian Technical Advisory Group on Immunisation (</w:t>
            </w:r>
            <w:r w:rsidR="000F53AB" w:rsidRPr="1FB433B4">
              <w:rPr>
                <w:color w:val="000000" w:themeColor="text1"/>
                <w:sz w:val="21"/>
                <w:szCs w:val="21"/>
              </w:rPr>
              <w:t>ATAGI</w:t>
            </w:r>
            <w:r w:rsidR="4B76622F" w:rsidRPr="1FB433B4">
              <w:rPr>
                <w:color w:val="000000" w:themeColor="text1"/>
                <w:sz w:val="21"/>
                <w:szCs w:val="21"/>
              </w:rPr>
              <w:t>)</w:t>
            </w:r>
            <w:r w:rsidR="585647E1" w:rsidRPr="1FB433B4">
              <w:rPr>
                <w:color w:val="000000" w:themeColor="text1"/>
                <w:sz w:val="21"/>
                <w:szCs w:val="21"/>
              </w:rPr>
              <w:t>)</w:t>
            </w:r>
            <w:r w:rsidRPr="1FB433B4">
              <w:rPr>
                <w:color w:val="000000" w:themeColor="text1"/>
                <w:sz w:val="21"/>
                <w:szCs w:val="21"/>
                <w:vertAlign w:val="superscript"/>
              </w:rPr>
              <w:fldChar w:fldCharType="begin"/>
            </w:r>
            <w:r w:rsidRPr="1FB433B4">
              <w:rPr>
                <w:color w:val="000000" w:themeColor="text1"/>
                <w:sz w:val="21"/>
                <w:szCs w:val="21"/>
                <w:vertAlign w:val="superscript"/>
              </w:rPr>
              <w:instrText xml:space="preserve"> NOTEREF _Ref449959766 \h  \* MERGEFORMAT </w:instrText>
            </w:r>
            <w:r w:rsidRPr="1FB433B4">
              <w:rPr>
                <w:color w:val="000000" w:themeColor="text1"/>
                <w:sz w:val="21"/>
                <w:szCs w:val="21"/>
                <w:vertAlign w:val="superscript"/>
              </w:rPr>
            </w:r>
            <w:r w:rsidRPr="1FB433B4">
              <w:rPr>
                <w:color w:val="000000" w:themeColor="text1"/>
                <w:sz w:val="21"/>
                <w:szCs w:val="21"/>
                <w:vertAlign w:val="superscript"/>
              </w:rPr>
              <w:fldChar w:fldCharType="separate"/>
            </w:r>
            <w:r w:rsidRPr="1FB433B4">
              <w:rPr>
                <w:color w:val="000000" w:themeColor="text1"/>
                <w:sz w:val="21"/>
                <w:szCs w:val="21"/>
                <w:vertAlign w:val="superscript"/>
              </w:rPr>
              <w:t>4</w:t>
            </w:r>
            <w:r w:rsidRPr="1FB433B4">
              <w:rPr>
                <w:color w:val="000000" w:themeColor="text1"/>
                <w:sz w:val="21"/>
                <w:szCs w:val="21"/>
                <w:vertAlign w:val="superscript"/>
              </w:rPr>
              <w:fldChar w:fldCharType="end"/>
            </w:r>
            <w:r w:rsidRPr="1FB433B4">
              <w:rPr>
                <w:color w:val="000000" w:themeColor="text1"/>
                <w:sz w:val="21"/>
                <w:szCs w:val="21"/>
              </w:rPr>
              <w:t>.</w:t>
            </w:r>
          </w:p>
        </w:tc>
      </w:tr>
    </w:tbl>
    <w:p w14:paraId="49D02BD2" w14:textId="77777777" w:rsidR="00370D34" w:rsidRPr="00122497" w:rsidRDefault="00370D34" w:rsidP="00370D34">
      <w:pPr>
        <w:pStyle w:val="DHHSbody"/>
        <w:rPr>
          <w:b/>
          <w:color w:val="000000" w:themeColor="text1"/>
          <w:sz w:val="21"/>
          <w:szCs w:val="21"/>
        </w:rPr>
      </w:pPr>
    </w:p>
    <w:p w14:paraId="4C9E9A42" w14:textId="3F3B31C6" w:rsidR="003E3383" w:rsidRPr="00385A80" w:rsidRDefault="003E3383" w:rsidP="003E3383">
      <w:pPr>
        <w:pStyle w:val="DHHSbody"/>
        <w:rPr>
          <w:sz w:val="21"/>
          <w:szCs w:val="21"/>
        </w:rPr>
      </w:pPr>
    </w:p>
    <w:p w14:paraId="7B02FC15" w14:textId="2FEB3065" w:rsidR="003E3383" w:rsidRPr="00385A80" w:rsidRDefault="003E3383" w:rsidP="003E3383">
      <w:pPr>
        <w:pStyle w:val="DHHSbody"/>
        <w:rPr>
          <w:sz w:val="21"/>
          <w:szCs w:val="21"/>
        </w:rPr>
      </w:pPr>
    </w:p>
    <w:p w14:paraId="3C8DB0A2" w14:textId="6B3F3B82" w:rsidR="003E3383" w:rsidRPr="00385A80" w:rsidRDefault="003E3383" w:rsidP="003E3383">
      <w:pPr>
        <w:pStyle w:val="DHHSbody"/>
        <w:rPr>
          <w:sz w:val="21"/>
          <w:szCs w:val="21"/>
        </w:rPr>
      </w:pPr>
      <w:r w:rsidRPr="00385A80">
        <w:rPr>
          <w:sz w:val="21"/>
          <w:szCs w:val="21"/>
        </w:rPr>
        <w:t xml:space="preserve">This approval takes effect on </w:t>
      </w:r>
      <w:r w:rsidR="00385A80" w:rsidRPr="00385A80">
        <w:rPr>
          <w:sz w:val="21"/>
          <w:szCs w:val="21"/>
        </w:rPr>
        <w:t xml:space="preserve">the date of publication in the </w:t>
      </w:r>
      <w:r w:rsidR="0006755F">
        <w:rPr>
          <w:sz w:val="21"/>
          <w:szCs w:val="21"/>
        </w:rPr>
        <w:t xml:space="preserve">Victorian </w:t>
      </w:r>
      <w:r w:rsidR="00385A80" w:rsidRPr="00385A80">
        <w:rPr>
          <w:sz w:val="21"/>
          <w:szCs w:val="21"/>
        </w:rPr>
        <w:t>Government Gazette</w:t>
      </w:r>
      <w:r w:rsidRPr="00385A80">
        <w:rPr>
          <w:sz w:val="21"/>
          <w:szCs w:val="21"/>
        </w:rPr>
        <w:t>.</w:t>
      </w:r>
    </w:p>
    <w:p w14:paraId="22BE0C32" w14:textId="77777777" w:rsidR="003E3383" w:rsidRPr="00385A80" w:rsidRDefault="003E3383" w:rsidP="003E3383">
      <w:pPr>
        <w:pStyle w:val="DHHSbody"/>
        <w:rPr>
          <w:b/>
          <w:sz w:val="21"/>
          <w:szCs w:val="21"/>
        </w:rPr>
      </w:pPr>
    </w:p>
    <w:p w14:paraId="6FE6AFBB" w14:textId="76D3FF14" w:rsidR="003E3383" w:rsidRDefault="00A2533C" w:rsidP="003E3383">
      <w:pPr>
        <w:pStyle w:val="DHHSbody"/>
        <w:rPr>
          <w:sz w:val="21"/>
          <w:szCs w:val="21"/>
        </w:rPr>
      </w:pPr>
      <w:r>
        <w:rPr>
          <w:sz w:val="21"/>
          <w:szCs w:val="21"/>
        </w:rPr>
        <w:t xml:space="preserve">Approved by </w:t>
      </w:r>
      <w:r w:rsidR="000B760C">
        <w:rPr>
          <w:sz w:val="21"/>
          <w:szCs w:val="21"/>
        </w:rPr>
        <w:t>STEFAN TULLOCH</w:t>
      </w:r>
    </w:p>
    <w:p w14:paraId="7A001DE4" w14:textId="2088B0F3" w:rsidR="00A2533C" w:rsidRPr="00A2533C" w:rsidRDefault="00A2533C" w:rsidP="00A2533C">
      <w:pPr>
        <w:pStyle w:val="Body"/>
      </w:pPr>
      <w:r w:rsidRPr="00122497">
        <w:t>Date:</w:t>
      </w:r>
      <w:r w:rsidR="00D96562">
        <w:t xml:space="preserve"> </w:t>
      </w:r>
      <w:r w:rsidR="00B23550">
        <w:rPr>
          <w:rFonts w:eastAsia="Times New Roman"/>
          <w:szCs w:val="21"/>
        </w:rPr>
        <w:t>29</w:t>
      </w:r>
      <w:r w:rsidR="009A3923">
        <w:rPr>
          <w:rFonts w:eastAsia="Times New Roman"/>
          <w:szCs w:val="21"/>
        </w:rPr>
        <w:t xml:space="preserve"> September</w:t>
      </w:r>
      <w:r w:rsidR="00D96562">
        <w:rPr>
          <w:rFonts w:eastAsia="Times New Roman"/>
          <w:szCs w:val="21"/>
        </w:rPr>
        <w:t xml:space="preserve"> 2022</w:t>
      </w:r>
    </w:p>
    <w:p w14:paraId="7FF08367" w14:textId="465AE484" w:rsidR="003E3383" w:rsidRPr="00122497" w:rsidRDefault="000B760C" w:rsidP="003E3383">
      <w:pPr>
        <w:pStyle w:val="DHHSbody"/>
        <w:rPr>
          <w:sz w:val="21"/>
          <w:szCs w:val="21"/>
        </w:rPr>
      </w:pPr>
      <w:r>
        <w:rPr>
          <w:sz w:val="21"/>
          <w:szCs w:val="21"/>
        </w:rPr>
        <w:t xml:space="preserve">Acting </w:t>
      </w:r>
      <w:r w:rsidR="003E3383" w:rsidRPr="00122497">
        <w:rPr>
          <w:sz w:val="21"/>
          <w:szCs w:val="21"/>
        </w:rPr>
        <w:t>Director, Medicines and Poisons Regulation</w:t>
      </w:r>
    </w:p>
    <w:p w14:paraId="48EE0AF7" w14:textId="77777777" w:rsidR="003E3383" w:rsidRPr="00122497" w:rsidRDefault="003E3383" w:rsidP="003E3383">
      <w:pPr>
        <w:pStyle w:val="DHHSbody"/>
        <w:rPr>
          <w:sz w:val="21"/>
          <w:szCs w:val="21"/>
        </w:rPr>
      </w:pPr>
      <w:r w:rsidRPr="00122497">
        <w:rPr>
          <w:sz w:val="21"/>
          <w:szCs w:val="21"/>
        </w:rPr>
        <w:t xml:space="preserve">Delegate of the Secretary, Department of Health </w:t>
      </w:r>
    </w:p>
    <w:sectPr w:rsidR="003E3383" w:rsidRPr="00122497" w:rsidSect="00E62622">
      <w:footerReference w:type="default" r:id="rId1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F1AA5" w14:textId="77777777" w:rsidR="00BD4195" w:rsidRDefault="00BD4195">
      <w:r>
        <w:separator/>
      </w:r>
    </w:p>
  </w:endnote>
  <w:endnote w:type="continuationSeparator" w:id="0">
    <w:p w14:paraId="40F06FD1" w14:textId="77777777" w:rsidR="00BD4195" w:rsidRDefault="00BD4195">
      <w:r>
        <w:continuationSeparator/>
      </w:r>
    </w:p>
  </w:endnote>
  <w:endnote w:type="continuationNotice" w:id="1">
    <w:p w14:paraId="5AC77A8D" w14:textId="77777777" w:rsidR="00BD4195" w:rsidRDefault="00BD41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4DBC" w14:textId="7E64DF66" w:rsidR="00E261B3" w:rsidRPr="00F65AA9" w:rsidRDefault="0072251A" w:rsidP="00F84FA0">
    <w:pPr>
      <w:pStyle w:val="Footer"/>
    </w:pPr>
    <w:r>
      <w:rPr>
        <w:noProof/>
        <w:lang w:eastAsia="en-AU"/>
      </w:rPr>
      <w:drawing>
        <wp:anchor distT="0" distB="0" distL="114300" distR="114300" simplePos="0" relativeHeight="251659264" behindDoc="1" locked="1" layoutInCell="1" allowOverlap="1" wp14:anchorId="69E1AAC4" wp14:editId="1160FFFE">
          <wp:simplePos x="542260" y="9324753"/>
          <wp:positionH relativeFrom="page">
            <wp:align>left</wp:align>
          </wp:positionH>
          <wp:positionV relativeFrom="page">
            <wp:align>bottom</wp:align>
          </wp:positionV>
          <wp:extent cx="7560000" cy="964800"/>
          <wp:effectExtent l="0" t="0" r="3175" b="6985"/>
          <wp:wrapNone/>
          <wp:docPr id="1" name="Picture 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168" behindDoc="0" locked="0" layoutInCell="0" allowOverlap="1" wp14:anchorId="51495E22" wp14:editId="06AD144C">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B286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495E2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2EB286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787F" w14:textId="432AD72B" w:rsidR="00E261B3" w:rsidRDefault="00E261B3">
    <w:pPr>
      <w:pStyle w:val="Footer"/>
    </w:pPr>
    <w:r>
      <w:rPr>
        <w:noProof/>
      </w:rPr>
      <mc:AlternateContent>
        <mc:Choice Requires="wps">
          <w:drawing>
            <wp:anchor distT="0" distB="0" distL="114300" distR="114300" simplePos="1" relativeHeight="251658240" behindDoc="0" locked="0" layoutInCell="0" allowOverlap="1" wp14:anchorId="38F06833" wp14:editId="79DA3607">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35B3E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F06833"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635B3E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CD44" w14:textId="25CB2C28" w:rsidR="00373890" w:rsidRPr="00F65AA9" w:rsidRDefault="005D516E" w:rsidP="00F84FA0">
    <w:pPr>
      <w:pStyle w:val="Footer"/>
    </w:pPr>
    <w:r>
      <w:rPr>
        <w:noProof/>
      </w:rPr>
      <mc:AlternateContent>
        <mc:Choice Requires="wps">
          <w:drawing>
            <wp:anchor distT="0" distB="0" distL="114300" distR="114300" simplePos="0" relativeHeight="251657216" behindDoc="0" locked="0" layoutInCell="0" allowOverlap="1" wp14:anchorId="7E69BD4A" wp14:editId="30A322F8">
              <wp:simplePos x="0" y="0"/>
              <wp:positionH relativeFrom="page">
                <wp:posOffset>0</wp:posOffset>
              </wp:positionH>
              <wp:positionV relativeFrom="page">
                <wp:posOffset>10189210</wp:posOffset>
              </wp:positionV>
              <wp:extent cx="7560310" cy="311785"/>
              <wp:effectExtent l="0" t="0" r="0" b="12065"/>
              <wp:wrapNone/>
              <wp:docPr id="3" name="MSIPCMaedd452e921cf7c7c57b46c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AADAC0" w14:textId="4845C80D" w:rsidR="005D516E" w:rsidRPr="005D516E" w:rsidRDefault="005D516E" w:rsidP="005D516E">
                          <w:pPr>
                            <w:spacing w:after="0"/>
                            <w:jc w:val="center"/>
                            <w:rPr>
                              <w:rFonts w:ascii="Arial Black" w:hAnsi="Arial Black"/>
                              <w:color w:val="000000"/>
                              <w:sz w:val="20"/>
                            </w:rPr>
                          </w:pPr>
                          <w:r w:rsidRPr="005D516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69BD4A" id="_x0000_t202" coordsize="21600,21600" o:spt="202" path="m,l,21600r21600,l21600,xe">
              <v:stroke joinstyle="miter"/>
              <v:path gradientshapeok="t" o:connecttype="rect"/>
            </v:shapetype>
            <v:shape id="MSIPCMaedd452e921cf7c7c57b46cc"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AADAC0" w14:textId="4845C80D" w:rsidR="005D516E" w:rsidRPr="005D516E" w:rsidRDefault="005D516E" w:rsidP="005D516E">
                    <w:pPr>
                      <w:spacing w:after="0"/>
                      <w:jc w:val="center"/>
                      <w:rPr>
                        <w:rFonts w:ascii="Arial Black" w:hAnsi="Arial Black"/>
                        <w:color w:val="000000"/>
                        <w:sz w:val="20"/>
                      </w:rPr>
                    </w:pPr>
                    <w:r w:rsidRPr="005D516E">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6192" behindDoc="0" locked="0" layoutInCell="0" allowOverlap="1" wp14:anchorId="4357B203" wp14:editId="16550684">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4AD93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57B203"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C4AD93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2624" w14:textId="77777777" w:rsidR="00BD4195" w:rsidRDefault="00BD4195" w:rsidP="002862F1">
      <w:pPr>
        <w:spacing w:before="120"/>
      </w:pPr>
      <w:r>
        <w:separator/>
      </w:r>
    </w:p>
  </w:footnote>
  <w:footnote w:type="continuationSeparator" w:id="0">
    <w:p w14:paraId="6AE961C4" w14:textId="77777777" w:rsidR="00BD4195" w:rsidRDefault="00BD4195">
      <w:r>
        <w:continuationSeparator/>
      </w:r>
    </w:p>
  </w:footnote>
  <w:footnote w:type="continuationNotice" w:id="1">
    <w:p w14:paraId="608372CE" w14:textId="77777777" w:rsidR="00BD4195" w:rsidRDefault="00BD4195">
      <w:pPr>
        <w:spacing w:after="0" w:line="240" w:lineRule="auto"/>
      </w:pPr>
    </w:p>
  </w:footnote>
  <w:footnote w:id="2">
    <w:p w14:paraId="12ECA761" w14:textId="1BD749E2" w:rsidR="00A56490" w:rsidRDefault="00A56490">
      <w:pPr>
        <w:pStyle w:val="FootnoteText"/>
      </w:pPr>
      <w:r>
        <w:rPr>
          <w:rStyle w:val="FootnoteReference"/>
        </w:rPr>
        <w:footnoteRef/>
      </w:r>
      <w:r>
        <w:t xml:space="preserve"> Included in the Victorian monkeypox vaccination program guidelines</w:t>
      </w:r>
      <w:r w:rsidR="00452054">
        <w:t>,</w:t>
      </w:r>
      <w:r>
        <w:t xml:space="preserve"> available at: </w:t>
      </w:r>
      <w:hyperlink r:id="rId1" w:history="1">
        <w:r w:rsidRPr="00C715E6">
          <w:rPr>
            <w:rStyle w:val="Hyperlink"/>
          </w:rPr>
          <w:t>https://www.health.vic.gov.au/infectious-diseases/monkeypox</w:t>
        </w:r>
      </w:hyperlink>
    </w:p>
  </w:footnote>
  <w:footnote w:id="3">
    <w:p w14:paraId="5B33003E" w14:textId="77777777" w:rsidR="003E3383" w:rsidRDefault="003E3383" w:rsidP="003E3383">
      <w:pPr>
        <w:pStyle w:val="FootnoteText"/>
      </w:pPr>
      <w:r>
        <w:rPr>
          <w:rStyle w:val="FootnoteReference"/>
        </w:rPr>
        <w:footnoteRef/>
      </w:r>
      <w:r>
        <w:t xml:space="preserve"> Included in Schedule 4 of the Poisons Standard.</w:t>
      </w:r>
    </w:p>
  </w:footnote>
  <w:footnote w:id="4">
    <w:p w14:paraId="4E9D2A5B" w14:textId="77777777" w:rsidR="003E3383" w:rsidRDefault="003E3383" w:rsidP="003E3383">
      <w:pPr>
        <w:pStyle w:val="FootnoteText"/>
      </w:pPr>
      <w:r>
        <w:rPr>
          <w:rStyle w:val="FootnoteReference"/>
        </w:rPr>
        <w:footnoteRef/>
      </w:r>
      <w:r>
        <w:t xml:space="preserve"> This does not include limited registration, provisional registration, non-practising registration, or student registration.</w:t>
      </w:r>
    </w:p>
  </w:footnote>
  <w:footnote w:id="5">
    <w:p w14:paraId="7E6ECB1C" w14:textId="77777777" w:rsidR="003E3383" w:rsidRDefault="003E3383" w:rsidP="003E3383">
      <w:pPr>
        <w:pStyle w:val="FootnoteText"/>
      </w:pPr>
      <w:r>
        <w:rPr>
          <w:rStyle w:val="FootnoteReference"/>
        </w:rPr>
        <w:footnoteRef/>
      </w:r>
      <w:r>
        <w:t xml:space="preserve"> ‘Nurse Immuniser’ is a nurse acting in accordance with a Secretary Approval to administer certain vaccines. </w:t>
      </w:r>
    </w:p>
    <w:p w14:paraId="7B72DA25" w14:textId="77777777" w:rsidR="003E3383" w:rsidRDefault="003E3383" w:rsidP="003E3383">
      <w:pPr>
        <w:pStyle w:val="FootnoteText"/>
      </w:pPr>
    </w:p>
  </w:footnote>
  <w:footnote w:id="6">
    <w:p w14:paraId="0027A9B8" w14:textId="77777777" w:rsidR="003E3383" w:rsidRDefault="003E3383" w:rsidP="003E3383">
      <w:pPr>
        <w:pStyle w:val="FootnoteText"/>
      </w:pPr>
      <w:r>
        <w:rPr>
          <w:rStyle w:val="FootnoteReference"/>
        </w:rPr>
        <w:footnoteRef/>
      </w:r>
      <w:r>
        <w:t xml:space="preserve"> </w:t>
      </w:r>
      <w:r w:rsidRPr="00A37282">
        <w:t>Current version available online.</w:t>
      </w:r>
    </w:p>
  </w:footnote>
  <w:footnote w:id="7">
    <w:p w14:paraId="6DFF1D61" w14:textId="77777777" w:rsidR="003E3383" w:rsidRPr="00A37282" w:rsidRDefault="003E3383" w:rsidP="003E3383">
      <w:pPr>
        <w:pStyle w:val="FootnoteText"/>
      </w:pPr>
      <w:r w:rsidRPr="00A37282">
        <w:rPr>
          <w:rStyle w:val="FootnoteReference"/>
        </w:rPr>
        <w:footnoteRef/>
      </w:r>
      <w:r w:rsidRPr="00A37282">
        <w:t xml:space="preserve"> Travel medicine is a specialist area that </w:t>
      </w:r>
      <w:r>
        <w:t>is outside the scope of this approval.</w:t>
      </w:r>
    </w:p>
  </w:footnote>
  <w:footnote w:id="8">
    <w:p w14:paraId="6F16FA27" w14:textId="77777777" w:rsidR="003E3383" w:rsidRPr="00A37282" w:rsidRDefault="003E3383" w:rsidP="003E3383">
      <w:pPr>
        <w:pStyle w:val="FootnoteText"/>
      </w:pPr>
      <w:r w:rsidRPr="00E352CF">
        <w:rPr>
          <w:rStyle w:val="FootnoteReference"/>
        </w:rPr>
        <w:footnoteRef/>
      </w:r>
      <w:r w:rsidRPr="00E352CF">
        <w:t xml:space="preserve"> Pertussis vaccine is only available in Australia in combination with diphtheria and tetanus, or diphtheria, tetanus and poliomyelitis.</w:t>
      </w:r>
      <w:r w:rsidRPr="00A37282">
        <w:t xml:space="preserve"> </w:t>
      </w:r>
    </w:p>
  </w:footnote>
  <w:footnote w:id="9">
    <w:p w14:paraId="5F8798B0" w14:textId="77777777" w:rsidR="003E3383" w:rsidRPr="00C930D5" w:rsidRDefault="003E3383" w:rsidP="003E3383">
      <w:pPr>
        <w:pStyle w:val="FootnoteText"/>
      </w:pPr>
      <w:r w:rsidRPr="00A37282">
        <w:rPr>
          <w:rStyle w:val="FootnoteReference"/>
        </w:rPr>
        <w:footnoteRef/>
      </w:r>
      <w:r w:rsidRPr="00A37282">
        <w:t xml:space="preserve"> A case of this vaccine-preventable disease is notifiable to the </w:t>
      </w:r>
      <w:r>
        <w:t xml:space="preserve">Department of Health </w:t>
      </w:r>
      <w:r w:rsidRPr="00A37282">
        <w:t xml:space="preserve">under the </w:t>
      </w:r>
      <w:r>
        <w:t xml:space="preserve">Public Health and Wellbeing </w:t>
      </w:r>
      <w:r w:rsidRPr="00AE0D9E">
        <w:t>Regulations</w:t>
      </w:r>
      <w:r w:rsidRPr="00A37282">
        <w:t xml:space="preserve"> </w:t>
      </w:r>
      <w:r>
        <w:t>2019</w:t>
      </w:r>
      <w:r w:rsidRPr="00A37282">
        <w:t xml:space="preserve">. The </w:t>
      </w:r>
      <w:r>
        <w:t xml:space="preserve">Department of Health </w:t>
      </w:r>
      <w:r w:rsidRPr="00A37282">
        <w:t>will advise on management of the case and contacts.</w:t>
      </w:r>
    </w:p>
  </w:footnote>
  <w:footnote w:id="10">
    <w:p w14:paraId="26DE7A01" w14:textId="1C0275F7" w:rsidR="00C8610A" w:rsidRDefault="00C8610A" w:rsidP="00C8610A">
      <w:pPr>
        <w:pStyle w:val="FootnoteText"/>
      </w:pPr>
      <w:r>
        <w:rPr>
          <w:rStyle w:val="FootnoteReference"/>
        </w:rPr>
        <w:footnoteRef/>
      </w:r>
      <w:r>
        <w:t xml:space="preserve"> Victorian Department of Health, Japanese encephalitis in Victoria – Information for Health Professionals</w:t>
      </w:r>
      <w:r w:rsidR="009A3923">
        <w:t>,</w:t>
      </w:r>
      <w:r>
        <w:t xml:space="preserve"> available at: </w:t>
      </w:r>
      <w:hyperlink r:id="rId2" w:history="1">
        <w:r w:rsidRPr="003A31BD">
          <w:rPr>
            <w:rStyle w:val="Hyperlink"/>
          </w:rPr>
          <w:t>https://www.health.vic.gov.au/infectious-diseases/information-for-health-professionals-japanese-encephalitis-in-victoria</w:t>
        </w:r>
      </w:hyperlink>
    </w:p>
  </w:footnote>
  <w:footnote w:id="11">
    <w:p w14:paraId="775D57FF" w14:textId="2AF406AF" w:rsidR="006114AD" w:rsidRDefault="006114AD">
      <w:pPr>
        <w:pStyle w:val="FootnoteText"/>
      </w:pPr>
      <w:r>
        <w:rPr>
          <w:rStyle w:val="FootnoteReference"/>
        </w:rPr>
        <w:footnoteRef/>
      </w:r>
      <w:r>
        <w:t xml:space="preserve"> </w:t>
      </w:r>
      <w:r w:rsidR="006F02A9">
        <w:t>Victorian Department of Health, Monkeypox</w:t>
      </w:r>
      <w:r w:rsidR="009A3923">
        <w:t xml:space="preserve">, available at: </w:t>
      </w:r>
      <w:hyperlink r:id="rId3" w:history="1">
        <w:r w:rsidR="002F43A2" w:rsidRPr="00021488">
          <w:rPr>
            <w:rStyle w:val="Hyperlink"/>
          </w:rPr>
          <w:t>https://www.health.vic.gov.au/infectious-diseases/monkeypox</w:t>
        </w:r>
      </w:hyperlink>
      <w:r w:rsidR="002F43A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093A" w14:textId="6AA18F30"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2157D98"/>
    <w:multiLevelType w:val="hybridMultilevel"/>
    <w:tmpl w:val="0A9C6444"/>
    <w:lvl w:ilvl="0" w:tplc="0C09000F">
      <w:start w:val="1"/>
      <w:numFmt w:val="decimal"/>
      <w:lvlText w:val="%1."/>
      <w:lvlJc w:val="left"/>
      <w:pPr>
        <w:ind w:left="360" w:hanging="360"/>
      </w:pPr>
    </w:lvl>
    <w:lvl w:ilvl="1" w:tplc="1DB063E4">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CCC1CF8"/>
    <w:multiLevelType w:val="hybridMultilevel"/>
    <w:tmpl w:val="D486AE90"/>
    <w:lvl w:ilvl="0" w:tplc="1DB063E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D871793"/>
    <w:multiLevelType w:val="hybridMultilevel"/>
    <w:tmpl w:val="16E841BE"/>
    <w:lvl w:ilvl="0" w:tplc="E8BE82B8">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EA63829"/>
    <w:multiLevelType w:val="hybridMultilevel"/>
    <w:tmpl w:val="7E3C2516"/>
    <w:lvl w:ilvl="0" w:tplc="1DB063E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BC2982"/>
    <w:multiLevelType w:val="hybridMultilevel"/>
    <w:tmpl w:val="9BB01B7A"/>
    <w:lvl w:ilvl="0" w:tplc="1DB063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6514922"/>
    <w:multiLevelType w:val="hybridMultilevel"/>
    <w:tmpl w:val="9E7C8BF2"/>
    <w:lvl w:ilvl="0" w:tplc="842E636C">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95139D"/>
    <w:multiLevelType w:val="hybridMultilevel"/>
    <w:tmpl w:val="396A0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F26A75"/>
    <w:multiLevelType w:val="hybridMultilevel"/>
    <w:tmpl w:val="3F423EE0"/>
    <w:lvl w:ilvl="0" w:tplc="8F809DD4">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CE300E8"/>
    <w:multiLevelType w:val="hybridMultilevel"/>
    <w:tmpl w:val="D43CC018"/>
    <w:lvl w:ilvl="0" w:tplc="8F809DD4">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6C08C6"/>
    <w:multiLevelType w:val="hybridMultilevel"/>
    <w:tmpl w:val="22F80C5E"/>
    <w:lvl w:ilvl="0" w:tplc="180618E4">
      <w:start w:val="1"/>
      <w:numFmt w:val="upperRoman"/>
      <w:lvlText w:val="(%1)"/>
      <w:lvlJc w:val="left"/>
      <w:pPr>
        <w:ind w:left="1134" w:hanging="720"/>
      </w:pPr>
      <w:rPr>
        <w:rFonts w:hint="default"/>
      </w:rPr>
    </w:lvl>
    <w:lvl w:ilvl="1" w:tplc="0C090019">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3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1"/>
  </w:num>
  <w:num w:numId="9">
    <w:abstractNumId w:val="28"/>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4"/>
  </w:num>
  <w:num w:numId="25">
    <w:abstractNumId w:val="31"/>
  </w:num>
  <w:num w:numId="26">
    <w:abstractNumId w:val="27"/>
  </w:num>
  <w:num w:numId="27">
    <w:abstractNumId w:val="12"/>
  </w:num>
  <w:num w:numId="28">
    <w:abstractNumId w:val="3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20"/>
  </w:num>
  <w:num w:numId="42">
    <w:abstractNumId w:val="16"/>
  </w:num>
  <w:num w:numId="43">
    <w:abstractNumId w:val="26"/>
  </w:num>
  <w:num w:numId="44">
    <w:abstractNumId w:val="18"/>
  </w:num>
  <w:num w:numId="45">
    <w:abstractNumId w:val="33"/>
  </w:num>
  <w:num w:numId="46">
    <w:abstractNumId w:val="24"/>
  </w:num>
  <w:num w:numId="47">
    <w:abstractNumId w:val="35"/>
  </w:num>
  <w:num w:numId="48">
    <w:abstractNumId w:val="25"/>
  </w:num>
  <w:num w:numId="4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DA"/>
    <w:rsid w:val="00000719"/>
    <w:rsid w:val="000021F9"/>
    <w:rsid w:val="00003403"/>
    <w:rsid w:val="00005347"/>
    <w:rsid w:val="000072B6"/>
    <w:rsid w:val="0001021B"/>
    <w:rsid w:val="00011D89"/>
    <w:rsid w:val="00015453"/>
    <w:rsid w:val="000154FD"/>
    <w:rsid w:val="00016FBF"/>
    <w:rsid w:val="00022271"/>
    <w:rsid w:val="000235E8"/>
    <w:rsid w:val="00024D89"/>
    <w:rsid w:val="000250B6"/>
    <w:rsid w:val="00033D81"/>
    <w:rsid w:val="00037366"/>
    <w:rsid w:val="00041BF0"/>
    <w:rsid w:val="000428F5"/>
    <w:rsid w:val="00042C8A"/>
    <w:rsid w:val="00044627"/>
    <w:rsid w:val="0004536B"/>
    <w:rsid w:val="00046B68"/>
    <w:rsid w:val="000527DD"/>
    <w:rsid w:val="00054734"/>
    <w:rsid w:val="000578B2"/>
    <w:rsid w:val="00060959"/>
    <w:rsid w:val="00060C8F"/>
    <w:rsid w:val="0006298A"/>
    <w:rsid w:val="000663CD"/>
    <w:rsid w:val="0006755F"/>
    <w:rsid w:val="000703FC"/>
    <w:rsid w:val="000733FE"/>
    <w:rsid w:val="00074219"/>
    <w:rsid w:val="00074ED5"/>
    <w:rsid w:val="000835C6"/>
    <w:rsid w:val="00084D20"/>
    <w:rsid w:val="0008508E"/>
    <w:rsid w:val="000851BD"/>
    <w:rsid w:val="00087951"/>
    <w:rsid w:val="0009113B"/>
    <w:rsid w:val="00093402"/>
    <w:rsid w:val="0009459A"/>
    <w:rsid w:val="00094DA3"/>
    <w:rsid w:val="00096CD1"/>
    <w:rsid w:val="000A012C"/>
    <w:rsid w:val="000A0EB9"/>
    <w:rsid w:val="000A13B2"/>
    <w:rsid w:val="000A186C"/>
    <w:rsid w:val="000A1EA4"/>
    <w:rsid w:val="000A2476"/>
    <w:rsid w:val="000A641A"/>
    <w:rsid w:val="000B3EDB"/>
    <w:rsid w:val="000B543D"/>
    <w:rsid w:val="000B55F9"/>
    <w:rsid w:val="000B5BF7"/>
    <w:rsid w:val="000B6BC8"/>
    <w:rsid w:val="000B760C"/>
    <w:rsid w:val="000C0303"/>
    <w:rsid w:val="000C42EA"/>
    <w:rsid w:val="000C4546"/>
    <w:rsid w:val="000D1242"/>
    <w:rsid w:val="000D1DE0"/>
    <w:rsid w:val="000D5138"/>
    <w:rsid w:val="000E0970"/>
    <w:rsid w:val="000E17D6"/>
    <w:rsid w:val="000E1910"/>
    <w:rsid w:val="000E3CC7"/>
    <w:rsid w:val="000E6BD4"/>
    <w:rsid w:val="000E6D6D"/>
    <w:rsid w:val="000F1992"/>
    <w:rsid w:val="000F1F1E"/>
    <w:rsid w:val="000F2259"/>
    <w:rsid w:val="000F2DDA"/>
    <w:rsid w:val="000F395B"/>
    <w:rsid w:val="000F5213"/>
    <w:rsid w:val="000F53AB"/>
    <w:rsid w:val="000F6650"/>
    <w:rsid w:val="000F6AC4"/>
    <w:rsid w:val="000F70B6"/>
    <w:rsid w:val="00101001"/>
    <w:rsid w:val="00101441"/>
    <w:rsid w:val="00103276"/>
    <w:rsid w:val="001035B1"/>
    <w:rsid w:val="0010392D"/>
    <w:rsid w:val="0010447F"/>
    <w:rsid w:val="00104FE3"/>
    <w:rsid w:val="0010714F"/>
    <w:rsid w:val="001120C5"/>
    <w:rsid w:val="0011701A"/>
    <w:rsid w:val="00120BD3"/>
    <w:rsid w:val="00122497"/>
    <w:rsid w:val="00122FEA"/>
    <w:rsid w:val="001232BD"/>
    <w:rsid w:val="00124ED5"/>
    <w:rsid w:val="001276FA"/>
    <w:rsid w:val="0014255B"/>
    <w:rsid w:val="00143E13"/>
    <w:rsid w:val="001447B3"/>
    <w:rsid w:val="001510E8"/>
    <w:rsid w:val="00152073"/>
    <w:rsid w:val="00154E2D"/>
    <w:rsid w:val="00156598"/>
    <w:rsid w:val="00161939"/>
    <w:rsid w:val="00161AA0"/>
    <w:rsid w:val="00161D2E"/>
    <w:rsid w:val="00161F3E"/>
    <w:rsid w:val="00162093"/>
    <w:rsid w:val="00162CA9"/>
    <w:rsid w:val="00165023"/>
    <w:rsid w:val="00165459"/>
    <w:rsid w:val="00165A57"/>
    <w:rsid w:val="001712C2"/>
    <w:rsid w:val="001716FB"/>
    <w:rsid w:val="00172BAF"/>
    <w:rsid w:val="001771DD"/>
    <w:rsid w:val="00177995"/>
    <w:rsid w:val="00177A8C"/>
    <w:rsid w:val="001831C3"/>
    <w:rsid w:val="00186B33"/>
    <w:rsid w:val="0018715B"/>
    <w:rsid w:val="00190E83"/>
    <w:rsid w:val="00192F9D"/>
    <w:rsid w:val="00196EB8"/>
    <w:rsid w:val="00196EFB"/>
    <w:rsid w:val="001979FF"/>
    <w:rsid w:val="00197B17"/>
    <w:rsid w:val="001A1950"/>
    <w:rsid w:val="001A19E0"/>
    <w:rsid w:val="001A1C54"/>
    <w:rsid w:val="001A3ACE"/>
    <w:rsid w:val="001B058F"/>
    <w:rsid w:val="001B738B"/>
    <w:rsid w:val="001C09DB"/>
    <w:rsid w:val="001C193D"/>
    <w:rsid w:val="001C277E"/>
    <w:rsid w:val="001C2A72"/>
    <w:rsid w:val="001C31B7"/>
    <w:rsid w:val="001D0B75"/>
    <w:rsid w:val="001D39A5"/>
    <w:rsid w:val="001D3C09"/>
    <w:rsid w:val="001D44E8"/>
    <w:rsid w:val="001D5D56"/>
    <w:rsid w:val="001D60EC"/>
    <w:rsid w:val="001D6F59"/>
    <w:rsid w:val="001E0845"/>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976"/>
    <w:rsid w:val="00206F2F"/>
    <w:rsid w:val="0021053D"/>
    <w:rsid w:val="00210A92"/>
    <w:rsid w:val="00214379"/>
    <w:rsid w:val="00216C03"/>
    <w:rsid w:val="00220C04"/>
    <w:rsid w:val="0022278D"/>
    <w:rsid w:val="0022701F"/>
    <w:rsid w:val="00227C68"/>
    <w:rsid w:val="002333F5"/>
    <w:rsid w:val="00233724"/>
    <w:rsid w:val="00233E38"/>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3D54"/>
    <w:rsid w:val="00275063"/>
    <w:rsid w:val="002763B3"/>
    <w:rsid w:val="002802E3"/>
    <w:rsid w:val="0028213D"/>
    <w:rsid w:val="002862F1"/>
    <w:rsid w:val="00291373"/>
    <w:rsid w:val="0029597D"/>
    <w:rsid w:val="002962C3"/>
    <w:rsid w:val="0029752B"/>
    <w:rsid w:val="002A0A9C"/>
    <w:rsid w:val="002A36B8"/>
    <w:rsid w:val="002A483C"/>
    <w:rsid w:val="002B0C7C"/>
    <w:rsid w:val="002B1729"/>
    <w:rsid w:val="002B36C7"/>
    <w:rsid w:val="002B4DD4"/>
    <w:rsid w:val="002B5277"/>
    <w:rsid w:val="002B5375"/>
    <w:rsid w:val="002B77C1"/>
    <w:rsid w:val="002C0ED7"/>
    <w:rsid w:val="002C2728"/>
    <w:rsid w:val="002C69BC"/>
    <w:rsid w:val="002C7641"/>
    <w:rsid w:val="002D1E0D"/>
    <w:rsid w:val="002D5006"/>
    <w:rsid w:val="002D7FDA"/>
    <w:rsid w:val="002E01D0"/>
    <w:rsid w:val="002E161D"/>
    <w:rsid w:val="002E3100"/>
    <w:rsid w:val="002E5435"/>
    <w:rsid w:val="002E6C95"/>
    <w:rsid w:val="002E7C36"/>
    <w:rsid w:val="002F0107"/>
    <w:rsid w:val="002F3D32"/>
    <w:rsid w:val="002F43A2"/>
    <w:rsid w:val="002F5F31"/>
    <w:rsid w:val="002F5F46"/>
    <w:rsid w:val="00302216"/>
    <w:rsid w:val="00303E53"/>
    <w:rsid w:val="003052B8"/>
    <w:rsid w:val="00305CC1"/>
    <w:rsid w:val="00306E5F"/>
    <w:rsid w:val="00307E14"/>
    <w:rsid w:val="00314054"/>
    <w:rsid w:val="00315BD8"/>
    <w:rsid w:val="00315EED"/>
    <w:rsid w:val="003166A9"/>
    <w:rsid w:val="00316F27"/>
    <w:rsid w:val="003214F1"/>
    <w:rsid w:val="00322E4B"/>
    <w:rsid w:val="00327870"/>
    <w:rsid w:val="0033259D"/>
    <w:rsid w:val="003333D2"/>
    <w:rsid w:val="003406C6"/>
    <w:rsid w:val="003418CC"/>
    <w:rsid w:val="003459BD"/>
    <w:rsid w:val="00350D38"/>
    <w:rsid w:val="00351B36"/>
    <w:rsid w:val="003541A0"/>
    <w:rsid w:val="00357B4E"/>
    <w:rsid w:val="00367C15"/>
    <w:rsid w:val="00370D34"/>
    <w:rsid w:val="003716FD"/>
    <w:rsid w:val="0037204B"/>
    <w:rsid w:val="00372A3F"/>
    <w:rsid w:val="00373890"/>
    <w:rsid w:val="00373D3C"/>
    <w:rsid w:val="003744CF"/>
    <w:rsid w:val="00374717"/>
    <w:rsid w:val="0037676C"/>
    <w:rsid w:val="00381043"/>
    <w:rsid w:val="003829E5"/>
    <w:rsid w:val="003833EC"/>
    <w:rsid w:val="00385A80"/>
    <w:rsid w:val="00386109"/>
    <w:rsid w:val="00386944"/>
    <w:rsid w:val="00387225"/>
    <w:rsid w:val="003937DB"/>
    <w:rsid w:val="003956CC"/>
    <w:rsid w:val="00395C9A"/>
    <w:rsid w:val="003A0853"/>
    <w:rsid w:val="003A3423"/>
    <w:rsid w:val="003A3AA9"/>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4675"/>
    <w:rsid w:val="003D6475"/>
    <w:rsid w:val="003E3383"/>
    <w:rsid w:val="003E375C"/>
    <w:rsid w:val="003E4086"/>
    <w:rsid w:val="003E4966"/>
    <w:rsid w:val="003E4AEE"/>
    <w:rsid w:val="003E639E"/>
    <w:rsid w:val="003E71E5"/>
    <w:rsid w:val="003F0445"/>
    <w:rsid w:val="003F0CF0"/>
    <w:rsid w:val="003F14B1"/>
    <w:rsid w:val="003F2B20"/>
    <w:rsid w:val="003F3289"/>
    <w:rsid w:val="003F428E"/>
    <w:rsid w:val="003F5CB9"/>
    <w:rsid w:val="004013C7"/>
    <w:rsid w:val="00401FCF"/>
    <w:rsid w:val="0040248F"/>
    <w:rsid w:val="00406285"/>
    <w:rsid w:val="004112C6"/>
    <w:rsid w:val="004148F9"/>
    <w:rsid w:val="00414D4A"/>
    <w:rsid w:val="0042084E"/>
    <w:rsid w:val="00421EEF"/>
    <w:rsid w:val="00424D65"/>
    <w:rsid w:val="004277FD"/>
    <w:rsid w:val="00442C6C"/>
    <w:rsid w:val="00443CBE"/>
    <w:rsid w:val="00443E8A"/>
    <w:rsid w:val="004441BC"/>
    <w:rsid w:val="004468B4"/>
    <w:rsid w:val="00452054"/>
    <w:rsid w:val="0045230A"/>
    <w:rsid w:val="00454AD0"/>
    <w:rsid w:val="00457337"/>
    <w:rsid w:val="00462344"/>
    <w:rsid w:val="00462E3D"/>
    <w:rsid w:val="004644E2"/>
    <w:rsid w:val="00466E79"/>
    <w:rsid w:val="00467591"/>
    <w:rsid w:val="00470166"/>
    <w:rsid w:val="00470D7D"/>
    <w:rsid w:val="00472DEF"/>
    <w:rsid w:val="0047372D"/>
    <w:rsid w:val="00473BA3"/>
    <w:rsid w:val="004743DD"/>
    <w:rsid w:val="00474CEA"/>
    <w:rsid w:val="00475B4A"/>
    <w:rsid w:val="00475EF7"/>
    <w:rsid w:val="00483968"/>
    <w:rsid w:val="00484F86"/>
    <w:rsid w:val="00490746"/>
    <w:rsid w:val="00490852"/>
    <w:rsid w:val="00491C9C"/>
    <w:rsid w:val="00492F30"/>
    <w:rsid w:val="004946F4"/>
    <w:rsid w:val="0049487E"/>
    <w:rsid w:val="004A0179"/>
    <w:rsid w:val="004A160D"/>
    <w:rsid w:val="004A3E81"/>
    <w:rsid w:val="004A4195"/>
    <w:rsid w:val="004A5C62"/>
    <w:rsid w:val="004A5CE5"/>
    <w:rsid w:val="004A707D"/>
    <w:rsid w:val="004B089B"/>
    <w:rsid w:val="004C5541"/>
    <w:rsid w:val="004C6EEE"/>
    <w:rsid w:val="004C702B"/>
    <w:rsid w:val="004D0033"/>
    <w:rsid w:val="004D016B"/>
    <w:rsid w:val="004D1B22"/>
    <w:rsid w:val="004D23CC"/>
    <w:rsid w:val="004D36F2"/>
    <w:rsid w:val="004D4F33"/>
    <w:rsid w:val="004E1106"/>
    <w:rsid w:val="004E138F"/>
    <w:rsid w:val="004E25A2"/>
    <w:rsid w:val="004E4649"/>
    <w:rsid w:val="004E5C2B"/>
    <w:rsid w:val="004F00DD"/>
    <w:rsid w:val="004F2133"/>
    <w:rsid w:val="004F4D39"/>
    <w:rsid w:val="004F5398"/>
    <w:rsid w:val="004F55F1"/>
    <w:rsid w:val="004F6936"/>
    <w:rsid w:val="005001CD"/>
    <w:rsid w:val="00503DC6"/>
    <w:rsid w:val="00506F5D"/>
    <w:rsid w:val="00510C37"/>
    <w:rsid w:val="005126D0"/>
    <w:rsid w:val="0051568D"/>
    <w:rsid w:val="00517A22"/>
    <w:rsid w:val="00526AC7"/>
    <w:rsid w:val="00526C15"/>
    <w:rsid w:val="00536395"/>
    <w:rsid w:val="00536499"/>
    <w:rsid w:val="00543903"/>
    <w:rsid w:val="00543F11"/>
    <w:rsid w:val="00546305"/>
    <w:rsid w:val="00547A95"/>
    <w:rsid w:val="0055119B"/>
    <w:rsid w:val="005545B1"/>
    <w:rsid w:val="005548B5"/>
    <w:rsid w:val="00554C28"/>
    <w:rsid w:val="00555C65"/>
    <w:rsid w:val="00556E28"/>
    <w:rsid w:val="00566195"/>
    <w:rsid w:val="00566568"/>
    <w:rsid w:val="00572031"/>
    <w:rsid w:val="00572282"/>
    <w:rsid w:val="00573CE3"/>
    <w:rsid w:val="005756F0"/>
    <w:rsid w:val="00576E84"/>
    <w:rsid w:val="00577638"/>
    <w:rsid w:val="00580394"/>
    <w:rsid w:val="005809CD"/>
    <w:rsid w:val="00582B8C"/>
    <w:rsid w:val="0058757E"/>
    <w:rsid w:val="0059134A"/>
    <w:rsid w:val="00596A4B"/>
    <w:rsid w:val="00597507"/>
    <w:rsid w:val="005A1E06"/>
    <w:rsid w:val="005A479D"/>
    <w:rsid w:val="005B1C6D"/>
    <w:rsid w:val="005B21B6"/>
    <w:rsid w:val="005B3A08"/>
    <w:rsid w:val="005B7A63"/>
    <w:rsid w:val="005C0955"/>
    <w:rsid w:val="005C49DA"/>
    <w:rsid w:val="005C50F3"/>
    <w:rsid w:val="005C54B5"/>
    <w:rsid w:val="005C5D80"/>
    <w:rsid w:val="005C5D91"/>
    <w:rsid w:val="005D07B8"/>
    <w:rsid w:val="005D516E"/>
    <w:rsid w:val="005D6597"/>
    <w:rsid w:val="005E14E7"/>
    <w:rsid w:val="005E26A3"/>
    <w:rsid w:val="005E2ECB"/>
    <w:rsid w:val="005E447E"/>
    <w:rsid w:val="005E4FD1"/>
    <w:rsid w:val="005F0775"/>
    <w:rsid w:val="005F0CF5"/>
    <w:rsid w:val="005F0E82"/>
    <w:rsid w:val="005F21EB"/>
    <w:rsid w:val="00605908"/>
    <w:rsid w:val="00610D7C"/>
    <w:rsid w:val="006114AD"/>
    <w:rsid w:val="00613414"/>
    <w:rsid w:val="00620154"/>
    <w:rsid w:val="0062408D"/>
    <w:rsid w:val="006240CC"/>
    <w:rsid w:val="0062492E"/>
    <w:rsid w:val="00624940"/>
    <w:rsid w:val="006254F8"/>
    <w:rsid w:val="00627DA7"/>
    <w:rsid w:val="00630DA4"/>
    <w:rsid w:val="00632597"/>
    <w:rsid w:val="006358B4"/>
    <w:rsid w:val="006359C4"/>
    <w:rsid w:val="006419AA"/>
    <w:rsid w:val="00644B1F"/>
    <w:rsid w:val="00644B7E"/>
    <w:rsid w:val="006454E6"/>
    <w:rsid w:val="00646235"/>
    <w:rsid w:val="00646395"/>
    <w:rsid w:val="00646A68"/>
    <w:rsid w:val="006505BD"/>
    <w:rsid w:val="006508EA"/>
    <w:rsid w:val="0065092E"/>
    <w:rsid w:val="006557A7"/>
    <w:rsid w:val="00656290"/>
    <w:rsid w:val="006608D8"/>
    <w:rsid w:val="006621D7"/>
    <w:rsid w:val="0066302A"/>
    <w:rsid w:val="00667750"/>
    <w:rsid w:val="00667770"/>
    <w:rsid w:val="00670597"/>
    <w:rsid w:val="006706D0"/>
    <w:rsid w:val="00677574"/>
    <w:rsid w:val="0068454C"/>
    <w:rsid w:val="00691B62"/>
    <w:rsid w:val="006933B5"/>
    <w:rsid w:val="00693D14"/>
    <w:rsid w:val="00695CB9"/>
    <w:rsid w:val="00696F27"/>
    <w:rsid w:val="006A18C2"/>
    <w:rsid w:val="006A3383"/>
    <w:rsid w:val="006A5ECF"/>
    <w:rsid w:val="006B077C"/>
    <w:rsid w:val="006B6803"/>
    <w:rsid w:val="006D0F16"/>
    <w:rsid w:val="006D2A3F"/>
    <w:rsid w:val="006D2FBC"/>
    <w:rsid w:val="006E0541"/>
    <w:rsid w:val="006E138B"/>
    <w:rsid w:val="006E19F1"/>
    <w:rsid w:val="006E2FB1"/>
    <w:rsid w:val="006E544B"/>
    <w:rsid w:val="006F02A9"/>
    <w:rsid w:val="006F0330"/>
    <w:rsid w:val="006F1FDC"/>
    <w:rsid w:val="006F6B8C"/>
    <w:rsid w:val="007013EF"/>
    <w:rsid w:val="00702C84"/>
    <w:rsid w:val="007034CC"/>
    <w:rsid w:val="007055BD"/>
    <w:rsid w:val="007068F1"/>
    <w:rsid w:val="007173CA"/>
    <w:rsid w:val="0072156D"/>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356B"/>
    <w:rsid w:val="007447DA"/>
    <w:rsid w:val="007450F8"/>
    <w:rsid w:val="0074696E"/>
    <w:rsid w:val="00750135"/>
    <w:rsid w:val="00750EC2"/>
    <w:rsid w:val="00751645"/>
    <w:rsid w:val="00752B28"/>
    <w:rsid w:val="007541A9"/>
    <w:rsid w:val="00754E36"/>
    <w:rsid w:val="00763139"/>
    <w:rsid w:val="0076468A"/>
    <w:rsid w:val="007708D4"/>
    <w:rsid w:val="00770F37"/>
    <w:rsid w:val="007711A0"/>
    <w:rsid w:val="00772D5E"/>
    <w:rsid w:val="0077463E"/>
    <w:rsid w:val="00776928"/>
    <w:rsid w:val="00776E0F"/>
    <w:rsid w:val="007774B1"/>
    <w:rsid w:val="00777BE1"/>
    <w:rsid w:val="007833D8"/>
    <w:rsid w:val="00784B84"/>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0ACF"/>
    <w:rsid w:val="007D1466"/>
    <w:rsid w:val="007D2BDE"/>
    <w:rsid w:val="007D2FB6"/>
    <w:rsid w:val="007D49EB"/>
    <w:rsid w:val="007D5E1C"/>
    <w:rsid w:val="007E0DE2"/>
    <w:rsid w:val="007E10C5"/>
    <w:rsid w:val="007E1227"/>
    <w:rsid w:val="007E135F"/>
    <w:rsid w:val="007E3B98"/>
    <w:rsid w:val="007E417A"/>
    <w:rsid w:val="007E4EF1"/>
    <w:rsid w:val="007F31B6"/>
    <w:rsid w:val="007F546C"/>
    <w:rsid w:val="007F625F"/>
    <w:rsid w:val="007F665E"/>
    <w:rsid w:val="00800412"/>
    <w:rsid w:val="008014F4"/>
    <w:rsid w:val="0080587B"/>
    <w:rsid w:val="00806468"/>
    <w:rsid w:val="00810C9B"/>
    <w:rsid w:val="008119CA"/>
    <w:rsid w:val="008130C4"/>
    <w:rsid w:val="0081400B"/>
    <w:rsid w:val="008155F0"/>
    <w:rsid w:val="00816735"/>
    <w:rsid w:val="00820141"/>
    <w:rsid w:val="00820E0C"/>
    <w:rsid w:val="008213F0"/>
    <w:rsid w:val="00823275"/>
    <w:rsid w:val="0082366F"/>
    <w:rsid w:val="0083202A"/>
    <w:rsid w:val="008338A2"/>
    <w:rsid w:val="00835FAF"/>
    <w:rsid w:val="00841AA9"/>
    <w:rsid w:val="008474FE"/>
    <w:rsid w:val="00853EE4"/>
    <w:rsid w:val="00854CBC"/>
    <w:rsid w:val="00855535"/>
    <w:rsid w:val="00855920"/>
    <w:rsid w:val="00857C5A"/>
    <w:rsid w:val="0086255E"/>
    <w:rsid w:val="008633F0"/>
    <w:rsid w:val="00867D9D"/>
    <w:rsid w:val="00872E0A"/>
    <w:rsid w:val="00873594"/>
    <w:rsid w:val="00875285"/>
    <w:rsid w:val="00884B62"/>
    <w:rsid w:val="0088529C"/>
    <w:rsid w:val="00887903"/>
    <w:rsid w:val="00890974"/>
    <w:rsid w:val="0089270A"/>
    <w:rsid w:val="00893AF6"/>
    <w:rsid w:val="00894BC4"/>
    <w:rsid w:val="008A28A8"/>
    <w:rsid w:val="008A5B32"/>
    <w:rsid w:val="008B1E7E"/>
    <w:rsid w:val="008B2EE4"/>
    <w:rsid w:val="008B4D3D"/>
    <w:rsid w:val="008B57C7"/>
    <w:rsid w:val="008C117F"/>
    <w:rsid w:val="008C2F92"/>
    <w:rsid w:val="008C3697"/>
    <w:rsid w:val="008C5557"/>
    <w:rsid w:val="008C589D"/>
    <w:rsid w:val="008C6D51"/>
    <w:rsid w:val="008D2846"/>
    <w:rsid w:val="008D4236"/>
    <w:rsid w:val="008D462F"/>
    <w:rsid w:val="008D4F9E"/>
    <w:rsid w:val="008D6DCF"/>
    <w:rsid w:val="008E3DE9"/>
    <w:rsid w:val="008E4376"/>
    <w:rsid w:val="008E7A0A"/>
    <w:rsid w:val="008E7B49"/>
    <w:rsid w:val="008F59F6"/>
    <w:rsid w:val="00900643"/>
    <w:rsid w:val="00900719"/>
    <w:rsid w:val="00901450"/>
    <w:rsid w:val="009017AC"/>
    <w:rsid w:val="00902A9A"/>
    <w:rsid w:val="00904A1C"/>
    <w:rsid w:val="00904AB4"/>
    <w:rsid w:val="00905030"/>
    <w:rsid w:val="00905740"/>
    <w:rsid w:val="00906490"/>
    <w:rsid w:val="009111B2"/>
    <w:rsid w:val="00911B0E"/>
    <w:rsid w:val="009151F5"/>
    <w:rsid w:val="009220CA"/>
    <w:rsid w:val="00924AE1"/>
    <w:rsid w:val="009269B1"/>
    <w:rsid w:val="0092724D"/>
    <w:rsid w:val="009272B3"/>
    <w:rsid w:val="0093017A"/>
    <w:rsid w:val="009315BE"/>
    <w:rsid w:val="0093338F"/>
    <w:rsid w:val="00937BD9"/>
    <w:rsid w:val="00942F36"/>
    <w:rsid w:val="00945372"/>
    <w:rsid w:val="00945609"/>
    <w:rsid w:val="00947593"/>
    <w:rsid w:val="00950E2C"/>
    <w:rsid w:val="00951D50"/>
    <w:rsid w:val="009525EB"/>
    <w:rsid w:val="0095470B"/>
    <w:rsid w:val="00954874"/>
    <w:rsid w:val="0095615A"/>
    <w:rsid w:val="00961400"/>
    <w:rsid w:val="00963646"/>
    <w:rsid w:val="00963CAB"/>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3923"/>
    <w:rsid w:val="009A679B"/>
    <w:rsid w:val="009B0A6F"/>
    <w:rsid w:val="009B0A94"/>
    <w:rsid w:val="009B2AE8"/>
    <w:rsid w:val="009B59E9"/>
    <w:rsid w:val="009B70AA"/>
    <w:rsid w:val="009C5E77"/>
    <w:rsid w:val="009C6C6A"/>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2533C"/>
    <w:rsid w:val="00A330BB"/>
    <w:rsid w:val="00A35612"/>
    <w:rsid w:val="00A44882"/>
    <w:rsid w:val="00A45125"/>
    <w:rsid w:val="00A54641"/>
    <w:rsid w:val="00A54715"/>
    <w:rsid w:val="00A56490"/>
    <w:rsid w:val="00A6061C"/>
    <w:rsid w:val="00A617FF"/>
    <w:rsid w:val="00A62A93"/>
    <w:rsid w:val="00A62D44"/>
    <w:rsid w:val="00A66DB6"/>
    <w:rsid w:val="00A67263"/>
    <w:rsid w:val="00A7161C"/>
    <w:rsid w:val="00A77AA3"/>
    <w:rsid w:val="00A8236D"/>
    <w:rsid w:val="00A854EB"/>
    <w:rsid w:val="00A872E5"/>
    <w:rsid w:val="00A91406"/>
    <w:rsid w:val="00A964B7"/>
    <w:rsid w:val="00A96BC7"/>
    <w:rsid w:val="00A96E65"/>
    <w:rsid w:val="00A97C72"/>
    <w:rsid w:val="00AA268E"/>
    <w:rsid w:val="00AA310B"/>
    <w:rsid w:val="00AA63D4"/>
    <w:rsid w:val="00AB06E8"/>
    <w:rsid w:val="00AB1CD3"/>
    <w:rsid w:val="00AB2A5D"/>
    <w:rsid w:val="00AB352F"/>
    <w:rsid w:val="00AC2464"/>
    <w:rsid w:val="00AC274B"/>
    <w:rsid w:val="00AC2B9C"/>
    <w:rsid w:val="00AC4764"/>
    <w:rsid w:val="00AC6D36"/>
    <w:rsid w:val="00AD0CBA"/>
    <w:rsid w:val="00AD177A"/>
    <w:rsid w:val="00AD2087"/>
    <w:rsid w:val="00AD26E2"/>
    <w:rsid w:val="00AD44DB"/>
    <w:rsid w:val="00AD784C"/>
    <w:rsid w:val="00AE126A"/>
    <w:rsid w:val="00AE1BAE"/>
    <w:rsid w:val="00AE3005"/>
    <w:rsid w:val="00AE3BD5"/>
    <w:rsid w:val="00AE59A0"/>
    <w:rsid w:val="00AF0C57"/>
    <w:rsid w:val="00AF26F3"/>
    <w:rsid w:val="00AF5F04"/>
    <w:rsid w:val="00AF603C"/>
    <w:rsid w:val="00AF6DF3"/>
    <w:rsid w:val="00AF7889"/>
    <w:rsid w:val="00B00672"/>
    <w:rsid w:val="00B01B4D"/>
    <w:rsid w:val="00B06571"/>
    <w:rsid w:val="00B068BA"/>
    <w:rsid w:val="00B07FF7"/>
    <w:rsid w:val="00B13851"/>
    <w:rsid w:val="00B13B1C"/>
    <w:rsid w:val="00B13BD1"/>
    <w:rsid w:val="00B14780"/>
    <w:rsid w:val="00B21F90"/>
    <w:rsid w:val="00B22291"/>
    <w:rsid w:val="00B23550"/>
    <w:rsid w:val="00B23F9A"/>
    <w:rsid w:val="00B2417B"/>
    <w:rsid w:val="00B24E6F"/>
    <w:rsid w:val="00B26CB5"/>
    <w:rsid w:val="00B2752E"/>
    <w:rsid w:val="00B307CC"/>
    <w:rsid w:val="00B326B7"/>
    <w:rsid w:val="00B3588E"/>
    <w:rsid w:val="00B3739A"/>
    <w:rsid w:val="00B41F3D"/>
    <w:rsid w:val="00B431E8"/>
    <w:rsid w:val="00B45141"/>
    <w:rsid w:val="00B46DE7"/>
    <w:rsid w:val="00B519CD"/>
    <w:rsid w:val="00B5273A"/>
    <w:rsid w:val="00B55187"/>
    <w:rsid w:val="00B57329"/>
    <w:rsid w:val="00B60E61"/>
    <w:rsid w:val="00B627C1"/>
    <w:rsid w:val="00B62B50"/>
    <w:rsid w:val="00B635B7"/>
    <w:rsid w:val="00B63AE8"/>
    <w:rsid w:val="00B65950"/>
    <w:rsid w:val="00B66D83"/>
    <w:rsid w:val="00B672C0"/>
    <w:rsid w:val="00B676FD"/>
    <w:rsid w:val="00B75646"/>
    <w:rsid w:val="00B90729"/>
    <w:rsid w:val="00B907DA"/>
    <w:rsid w:val="00B94CD5"/>
    <w:rsid w:val="00B950BC"/>
    <w:rsid w:val="00B9714C"/>
    <w:rsid w:val="00BA1D73"/>
    <w:rsid w:val="00BA29AD"/>
    <w:rsid w:val="00BA33CF"/>
    <w:rsid w:val="00BA3F8D"/>
    <w:rsid w:val="00BB7A10"/>
    <w:rsid w:val="00BC3E8F"/>
    <w:rsid w:val="00BC4FCD"/>
    <w:rsid w:val="00BC60BE"/>
    <w:rsid w:val="00BC7468"/>
    <w:rsid w:val="00BC7D4F"/>
    <w:rsid w:val="00BC7ED7"/>
    <w:rsid w:val="00BD2850"/>
    <w:rsid w:val="00BD4195"/>
    <w:rsid w:val="00BE28D2"/>
    <w:rsid w:val="00BE4A64"/>
    <w:rsid w:val="00BE5E43"/>
    <w:rsid w:val="00BF30B2"/>
    <w:rsid w:val="00BF52CC"/>
    <w:rsid w:val="00BF557D"/>
    <w:rsid w:val="00BF7F58"/>
    <w:rsid w:val="00C01381"/>
    <w:rsid w:val="00C01AB1"/>
    <w:rsid w:val="00C026A0"/>
    <w:rsid w:val="00C06137"/>
    <w:rsid w:val="00C079B8"/>
    <w:rsid w:val="00C10037"/>
    <w:rsid w:val="00C1033D"/>
    <w:rsid w:val="00C123EA"/>
    <w:rsid w:val="00C12A49"/>
    <w:rsid w:val="00C133EE"/>
    <w:rsid w:val="00C149D0"/>
    <w:rsid w:val="00C26588"/>
    <w:rsid w:val="00C27DE9"/>
    <w:rsid w:val="00C32989"/>
    <w:rsid w:val="00C33388"/>
    <w:rsid w:val="00C35484"/>
    <w:rsid w:val="00C4173A"/>
    <w:rsid w:val="00C5078B"/>
    <w:rsid w:val="00C50DED"/>
    <w:rsid w:val="00C578A9"/>
    <w:rsid w:val="00C602FF"/>
    <w:rsid w:val="00C61174"/>
    <w:rsid w:val="00C6148F"/>
    <w:rsid w:val="00C62071"/>
    <w:rsid w:val="00C621B1"/>
    <w:rsid w:val="00C62F7A"/>
    <w:rsid w:val="00C63B9C"/>
    <w:rsid w:val="00C64819"/>
    <w:rsid w:val="00C6682F"/>
    <w:rsid w:val="00C67BF4"/>
    <w:rsid w:val="00C7275E"/>
    <w:rsid w:val="00C74C5D"/>
    <w:rsid w:val="00C74D26"/>
    <w:rsid w:val="00C85714"/>
    <w:rsid w:val="00C8610A"/>
    <w:rsid w:val="00C863C4"/>
    <w:rsid w:val="00C86452"/>
    <w:rsid w:val="00C868B7"/>
    <w:rsid w:val="00C8746D"/>
    <w:rsid w:val="00C920EA"/>
    <w:rsid w:val="00C93C3E"/>
    <w:rsid w:val="00C956B0"/>
    <w:rsid w:val="00CA12E3"/>
    <w:rsid w:val="00CA1476"/>
    <w:rsid w:val="00CA6611"/>
    <w:rsid w:val="00CA6AE6"/>
    <w:rsid w:val="00CA782F"/>
    <w:rsid w:val="00CB187B"/>
    <w:rsid w:val="00CB20A4"/>
    <w:rsid w:val="00CB2835"/>
    <w:rsid w:val="00CB3285"/>
    <w:rsid w:val="00CB4500"/>
    <w:rsid w:val="00CB7800"/>
    <w:rsid w:val="00CC0C72"/>
    <w:rsid w:val="00CC2BFD"/>
    <w:rsid w:val="00CC6C96"/>
    <w:rsid w:val="00CD07EB"/>
    <w:rsid w:val="00CD3476"/>
    <w:rsid w:val="00CD64DF"/>
    <w:rsid w:val="00CE225F"/>
    <w:rsid w:val="00CE4875"/>
    <w:rsid w:val="00CE4B3D"/>
    <w:rsid w:val="00CF2F50"/>
    <w:rsid w:val="00CF6198"/>
    <w:rsid w:val="00D02919"/>
    <w:rsid w:val="00D04C61"/>
    <w:rsid w:val="00D05B8D"/>
    <w:rsid w:val="00D065A2"/>
    <w:rsid w:val="00D079AA"/>
    <w:rsid w:val="00D07F00"/>
    <w:rsid w:val="00D1130F"/>
    <w:rsid w:val="00D150F3"/>
    <w:rsid w:val="00D174BE"/>
    <w:rsid w:val="00D17B72"/>
    <w:rsid w:val="00D3185C"/>
    <w:rsid w:val="00D3205F"/>
    <w:rsid w:val="00D3318E"/>
    <w:rsid w:val="00D33E72"/>
    <w:rsid w:val="00D35BD6"/>
    <w:rsid w:val="00D361B5"/>
    <w:rsid w:val="00D36D29"/>
    <w:rsid w:val="00D4043D"/>
    <w:rsid w:val="00D405AC"/>
    <w:rsid w:val="00D411A2"/>
    <w:rsid w:val="00D4606D"/>
    <w:rsid w:val="00D46C92"/>
    <w:rsid w:val="00D50B9C"/>
    <w:rsid w:val="00D52D73"/>
    <w:rsid w:val="00D52E58"/>
    <w:rsid w:val="00D555E1"/>
    <w:rsid w:val="00D56B20"/>
    <w:rsid w:val="00D578B3"/>
    <w:rsid w:val="00D618F4"/>
    <w:rsid w:val="00D655ED"/>
    <w:rsid w:val="00D714CC"/>
    <w:rsid w:val="00D75EA7"/>
    <w:rsid w:val="00D81ADF"/>
    <w:rsid w:val="00D81F21"/>
    <w:rsid w:val="00D828B3"/>
    <w:rsid w:val="00D864F2"/>
    <w:rsid w:val="00D92F95"/>
    <w:rsid w:val="00D943F8"/>
    <w:rsid w:val="00D95470"/>
    <w:rsid w:val="00D96562"/>
    <w:rsid w:val="00D96B55"/>
    <w:rsid w:val="00DA0126"/>
    <w:rsid w:val="00DA2619"/>
    <w:rsid w:val="00DA2EEC"/>
    <w:rsid w:val="00DA4239"/>
    <w:rsid w:val="00DA62E7"/>
    <w:rsid w:val="00DA65DE"/>
    <w:rsid w:val="00DB0B61"/>
    <w:rsid w:val="00DB1474"/>
    <w:rsid w:val="00DB1A55"/>
    <w:rsid w:val="00DB2962"/>
    <w:rsid w:val="00DB3728"/>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4508"/>
    <w:rsid w:val="00DF50FC"/>
    <w:rsid w:val="00DF68C7"/>
    <w:rsid w:val="00DF731A"/>
    <w:rsid w:val="00DF791B"/>
    <w:rsid w:val="00E0140A"/>
    <w:rsid w:val="00E049F5"/>
    <w:rsid w:val="00E06B75"/>
    <w:rsid w:val="00E11332"/>
    <w:rsid w:val="00E11352"/>
    <w:rsid w:val="00E170DC"/>
    <w:rsid w:val="00E1739B"/>
    <w:rsid w:val="00E17546"/>
    <w:rsid w:val="00E210B5"/>
    <w:rsid w:val="00E21464"/>
    <w:rsid w:val="00E261B3"/>
    <w:rsid w:val="00E26818"/>
    <w:rsid w:val="00E27FFC"/>
    <w:rsid w:val="00E30B15"/>
    <w:rsid w:val="00E33237"/>
    <w:rsid w:val="00E40181"/>
    <w:rsid w:val="00E44E75"/>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A3CF3"/>
    <w:rsid w:val="00EA4A96"/>
    <w:rsid w:val="00EB00E0"/>
    <w:rsid w:val="00EB4AEA"/>
    <w:rsid w:val="00EC0172"/>
    <w:rsid w:val="00EC059F"/>
    <w:rsid w:val="00EC1F24"/>
    <w:rsid w:val="00EC22F6"/>
    <w:rsid w:val="00EC2FDA"/>
    <w:rsid w:val="00EC40D5"/>
    <w:rsid w:val="00EC6D23"/>
    <w:rsid w:val="00ED0EB6"/>
    <w:rsid w:val="00ED1C58"/>
    <w:rsid w:val="00ED5B9B"/>
    <w:rsid w:val="00ED6688"/>
    <w:rsid w:val="00ED6BAD"/>
    <w:rsid w:val="00ED7447"/>
    <w:rsid w:val="00EE00D6"/>
    <w:rsid w:val="00EE11E7"/>
    <w:rsid w:val="00EE1415"/>
    <w:rsid w:val="00EE1488"/>
    <w:rsid w:val="00EE1A09"/>
    <w:rsid w:val="00EE29AD"/>
    <w:rsid w:val="00EE3E24"/>
    <w:rsid w:val="00EE4D5D"/>
    <w:rsid w:val="00EE5131"/>
    <w:rsid w:val="00EF109B"/>
    <w:rsid w:val="00EF201C"/>
    <w:rsid w:val="00EF36AF"/>
    <w:rsid w:val="00EF385F"/>
    <w:rsid w:val="00EF59A3"/>
    <w:rsid w:val="00EF6675"/>
    <w:rsid w:val="00F00F9C"/>
    <w:rsid w:val="00F01E5F"/>
    <w:rsid w:val="00F024F3"/>
    <w:rsid w:val="00F029C6"/>
    <w:rsid w:val="00F02ABA"/>
    <w:rsid w:val="00F0437A"/>
    <w:rsid w:val="00F101B8"/>
    <w:rsid w:val="00F11037"/>
    <w:rsid w:val="00F1411B"/>
    <w:rsid w:val="00F16F1B"/>
    <w:rsid w:val="00F250A9"/>
    <w:rsid w:val="00F267AF"/>
    <w:rsid w:val="00F27FE6"/>
    <w:rsid w:val="00F30FF4"/>
    <w:rsid w:val="00F3122E"/>
    <w:rsid w:val="00F319AA"/>
    <w:rsid w:val="00F32368"/>
    <w:rsid w:val="00F331AD"/>
    <w:rsid w:val="00F35287"/>
    <w:rsid w:val="00F3660A"/>
    <w:rsid w:val="00F40A30"/>
    <w:rsid w:val="00F40A70"/>
    <w:rsid w:val="00F41235"/>
    <w:rsid w:val="00F43A37"/>
    <w:rsid w:val="00F43CB3"/>
    <w:rsid w:val="00F451AB"/>
    <w:rsid w:val="00F4641B"/>
    <w:rsid w:val="00F46A8D"/>
    <w:rsid w:val="00F46EB8"/>
    <w:rsid w:val="00F50CD1"/>
    <w:rsid w:val="00F511E4"/>
    <w:rsid w:val="00F52BCA"/>
    <w:rsid w:val="00F52D09"/>
    <w:rsid w:val="00F52E08"/>
    <w:rsid w:val="00F53A66"/>
    <w:rsid w:val="00F53DDD"/>
    <w:rsid w:val="00F5462D"/>
    <w:rsid w:val="00F55B21"/>
    <w:rsid w:val="00F56EF6"/>
    <w:rsid w:val="00F57C75"/>
    <w:rsid w:val="00F60082"/>
    <w:rsid w:val="00F61A9F"/>
    <w:rsid w:val="00F61B5F"/>
    <w:rsid w:val="00F64696"/>
    <w:rsid w:val="00F65AA9"/>
    <w:rsid w:val="00F6768F"/>
    <w:rsid w:val="00F712D8"/>
    <w:rsid w:val="00F72C2C"/>
    <w:rsid w:val="00F76CAB"/>
    <w:rsid w:val="00F772C6"/>
    <w:rsid w:val="00F77728"/>
    <w:rsid w:val="00F815B5"/>
    <w:rsid w:val="00F84FA0"/>
    <w:rsid w:val="00F85195"/>
    <w:rsid w:val="00F868E3"/>
    <w:rsid w:val="00F922C1"/>
    <w:rsid w:val="00F938BA"/>
    <w:rsid w:val="00F95DAF"/>
    <w:rsid w:val="00F974D0"/>
    <w:rsid w:val="00F97919"/>
    <w:rsid w:val="00FA2C46"/>
    <w:rsid w:val="00FA3525"/>
    <w:rsid w:val="00FA5A53"/>
    <w:rsid w:val="00FA6129"/>
    <w:rsid w:val="00FB2551"/>
    <w:rsid w:val="00FB4769"/>
    <w:rsid w:val="00FB4CDA"/>
    <w:rsid w:val="00FB6481"/>
    <w:rsid w:val="00FB6D36"/>
    <w:rsid w:val="00FC0965"/>
    <w:rsid w:val="00FC0F81"/>
    <w:rsid w:val="00FC252F"/>
    <w:rsid w:val="00FC395C"/>
    <w:rsid w:val="00FC5E8E"/>
    <w:rsid w:val="00FD3766"/>
    <w:rsid w:val="00FD3FB8"/>
    <w:rsid w:val="00FD44FB"/>
    <w:rsid w:val="00FD47C4"/>
    <w:rsid w:val="00FD722A"/>
    <w:rsid w:val="00FE2DCF"/>
    <w:rsid w:val="00FE3FA7"/>
    <w:rsid w:val="00FE40B8"/>
    <w:rsid w:val="00FE4F25"/>
    <w:rsid w:val="00FF2A4E"/>
    <w:rsid w:val="00FF2FCE"/>
    <w:rsid w:val="00FF4DE4"/>
    <w:rsid w:val="00FF4F7D"/>
    <w:rsid w:val="00FF54DF"/>
    <w:rsid w:val="00FF6D9D"/>
    <w:rsid w:val="00FF7DD5"/>
    <w:rsid w:val="016C36DB"/>
    <w:rsid w:val="020A2BEC"/>
    <w:rsid w:val="020D17BC"/>
    <w:rsid w:val="02AAED74"/>
    <w:rsid w:val="03AE8A78"/>
    <w:rsid w:val="043D0AE2"/>
    <w:rsid w:val="04DEBF5C"/>
    <w:rsid w:val="08A2753A"/>
    <w:rsid w:val="095CA8BD"/>
    <w:rsid w:val="0AC97D6C"/>
    <w:rsid w:val="0BAED0B0"/>
    <w:rsid w:val="0D26DA99"/>
    <w:rsid w:val="0F1D0BB1"/>
    <w:rsid w:val="0F470EFF"/>
    <w:rsid w:val="1011E984"/>
    <w:rsid w:val="1207E94F"/>
    <w:rsid w:val="151A215D"/>
    <w:rsid w:val="15AAD267"/>
    <w:rsid w:val="15D417BE"/>
    <w:rsid w:val="1628E11E"/>
    <w:rsid w:val="176F336B"/>
    <w:rsid w:val="17EE3DD0"/>
    <w:rsid w:val="1AF18F8F"/>
    <w:rsid w:val="1B21DBA1"/>
    <w:rsid w:val="1C11E07F"/>
    <w:rsid w:val="1C47867C"/>
    <w:rsid w:val="1C5A0076"/>
    <w:rsid w:val="1CC8CBDF"/>
    <w:rsid w:val="1D98C0DB"/>
    <w:rsid w:val="1DCA50E9"/>
    <w:rsid w:val="1E2D4070"/>
    <w:rsid w:val="1E8AFB15"/>
    <w:rsid w:val="1FB433B4"/>
    <w:rsid w:val="216308A8"/>
    <w:rsid w:val="21C29BD7"/>
    <w:rsid w:val="23427464"/>
    <w:rsid w:val="23B43F8C"/>
    <w:rsid w:val="25068577"/>
    <w:rsid w:val="25737B3F"/>
    <w:rsid w:val="2830D563"/>
    <w:rsid w:val="28C8C2DA"/>
    <w:rsid w:val="28D9DEDF"/>
    <w:rsid w:val="2962A17C"/>
    <w:rsid w:val="2B37871B"/>
    <w:rsid w:val="2B5055C0"/>
    <w:rsid w:val="2C743B02"/>
    <w:rsid w:val="2E61ABBD"/>
    <w:rsid w:val="2F099180"/>
    <w:rsid w:val="2F587730"/>
    <w:rsid w:val="2FFFF8BF"/>
    <w:rsid w:val="3071ED30"/>
    <w:rsid w:val="30E1FC78"/>
    <w:rsid w:val="3250C198"/>
    <w:rsid w:val="3333640D"/>
    <w:rsid w:val="34154BF6"/>
    <w:rsid w:val="34B8BABA"/>
    <w:rsid w:val="392F22C7"/>
    <w:rsid w:val="3B7D3929"/>
    <w:rsid w:val="3C04E4E4"/>
    <w:rsid w:val="3C0F21B8"/>
    <w:rsid w:val="3C23B0A5"/>
    <w:rsid w:val="3E608C53"/>
    <w:rsid w:val="3FFC70C4"/>
    <w:rsid w:val="436979EB"/>
    <w:rsid w:val="452C8D67"/>
    <w:rsid w:val="47C3E551"/>
    <w:rsid w:val="47E06564"/>
    <w:rsid w:val="49719142"/>
    <w:rsid w:val="4A0FC554"/>
    <w:rsid w:val="4A52B686"/>
    <w:rsid w:val="4B6AF1FD"/>
    <w:rsid w:val="4B76622F"/>
    <w:rsid w:val="4DC8CBFE"/>
    <w:rsid w:val="4FE873CA"/>
    <w:rsid w:val="5218E1F4"/>
    <w:rsid w:val="5240CF0D"/>
    <w:rsid w:val="52B84D28"/>
    <w:rsid w:val="53C40337"/>
    <w:rsid w:val="5542364B"/>
    <w:rsid w:val="5546B8C1"/>
    <w:rsid w:val="585647E1"/>
    <w:rsid w:val="5AA62016"/>
    <w:rsid w:val="5C1CCE83"/>
    <w:rsid w:val="5D9DB77F"/>
    <w:rsid w:val="5DAF2633"/>
    <w:rsid w:val="5F5E7CB5"/>
    <w:rsid w:val="5F67BC70"/>
    <w:rsid w:val="5FE26920"/>
    <w:rsid w:val="60A5FDEB"/>
    <w:rsid w:val="610C5B54"/>
    <w:rsid w:val="61C1618B"/>
    <w:rsid w:val="641BB1A8"/>
    <w:rsid w:val="65BE689F"/>
    <w:rsid w:val="66827062"/>
    <w:rsid w:val="6A3DD069"/>
    <w:rsid w:val="6B327B6B"/>
    <w:rsid w:val="6C17A74D"/>
    <w:rsid w:val="6F6CEEE8"/>
    <w:rsid w:val="70B391FE"/>
    <w:rsid w:val="7130C3EA"/>
    <w:rsid w:val="71D296B3"/>
    <w:rsid w:val="75C1CDF0"/>
    <w:rsid w:val="76B10613"/>
    <w:rsid w:val="77EADD0A"/>
    <w:rsid w:val="79D12886"/>
    <w:rsid w:val="7AAEB3F7"/>
    <w:rsid w:val="7B340BE8"/>
    <w:rsid w:val="7CFEF9AC"/>
    <w:rsid w:val="7F27B6E8"/>
    <w:rsid w:val="7FA1147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586FF3"/>
  <w15:docId w15:val="{C42A934B-BCF0-400E-BA62-3E8611E2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383"/>
    <w:pPr>
      <w:spacing w:after="200" w:line="276"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3E3383"/>
    <w:pPr>
      <w:spacing w:after="120" w:line="270" w:lineRule="atLeast"/>
    </w:pPr>
    <w:rPr>
      <w:rFonts w:ascii="Arial" w:eastAsia="Times" w:hAnsi="Arial"/>
      <w:lang w:eastAsia="en-US"/>
    </w:rPr>
  </w:style>
  <w:style w:type="paragraph" w:customStyle="1" w:styleId="DHHSbullet1">
    <w:name w:val="DHHS bullet 1"/>
    <w:basedOn w:val="DHHSbody"/>
    <w:qFormat/>
    <w:rsid w:val="003E3383"/>
    <w:pPr>
      <w:spacing w:after="40"/>
      <w:ind w:left="284" w:hanging="284"/>
    </w:pPr>
  </w:style>
  <w:style w:type="paragraph" w:customStyle="1" w:styleId="DHHSbullet2">
    <w:name w:val="DHHS bullet 2"/>
    <w:basedOn w:val="DHHSbody"/>
    <w:uiPriority w:val="2"/>
    <w:qFormat/>
    <w:rsid w:val="003E3383"/>
    <w:pPr>
      <w:spacing w:after="40"/>
      <w:ind w:left="567" w:hanging="283"/>
    </w:pPr>
  </w:style>
  <w:style w:type="paragraph" w:customStyle="1" w:styleId="DHHStablebullet">
    <w:name w:val="DHHS table bullet"/>
    <w:basedOn w:val="Normal"/>
    <w:uiPriority w:val="3"/>
    <w:qFormat/>
    <w:rsid w:val="003E3383"/>
    <w:pPr>
      <w:spacing w:before="80" w:after="60" w:line="240" w:lineRule="auto"/>
      <w:ind w:left="227" w:hanging="227"/>
    </w:pPr>
    <w:rPr>
      <w:rFonts w:ascii="Arial" w:eastAsia="Times New Roman" w:hAnsi="Arial" w:cs="Times New Roman"/>
      <w:sz w:val="20"/>
      <w:szCs w:val="20"/>
    </w:rPr>
  </w:style>
  <w:style w:type="paragraph" w:customStyle="1" w:styleId="DHHSbulletindent">
    <w:name w:val="DHHS bullet indent"/>
    <w:basedOn w:val="DHHSbody"/>
    <w:uiPriority w:val="4"/>
    <w:rsid w:val="003E3383"/>
    <w:pPr>
      <w:spacing w:after="40"/>
      <w:ind w:left="680" w:hanging="283"/>
    </w:pPr>
  </w:style>
  <w:style w:type="paragraph" w:customStyle="1" w:styleId="DHHSbullet1lastline">
    <w:name w:val="DHHS bullet 1 last line"/>
    <w:basedOn w:val="DHHSbullet1"/>
    <w:qFormat/>
    <w:rsid w:val="003E3383"/>
    <w:pPr>
      <w:spacing w:after="120"/>
    </w:pPr>
  </w:style>
  <w:style w:type="paragraph" w:customStyle="1" w:styleId="DHHSbullet2lastline">
    <w:name w:val="DHHS bullet 2 last line"/>
    <w:basedOn w:val="DHHSbullet2"/>
    <w:uiPriority w:val="2"/>
    <w:qFormat/>
    <w:rsid w:val="003E3383"/>
    <w:pPr>
      <w:spacing w:after="120"/>
    </w:pPr>
  </w:style>
  <w:style w:type="paragraph" w:customStyle="1" w:styleId="DHHSbulletindentlastline">
    <w:name w:val="DHHS bullet indent last line"/>
    <w:basedOn w:val="DHHSbody"/>
    <w:uiPriority w:val="4"/>
    <w:rsid w:val="003E3383"/>
    <w:pPr>
      <w:ind w:left="680" w:hanging="283"/>
    </w:pPr>
  </w:style>
  <w:style w:type="paragraph" w:styleId="ListParagraph">
    <w:name w:val="List Paragraph"/>
    <w:basedOn w:val="Normal"/>
    <w:uiPriority w:val="72"/>
    <w:semiHidden/>
    <w:qFormat/>
    <w:rsid w:val="000021F9"/>
    <w:pPr>
      <w:ind w:left="720"/>
      <w:contextualSpacing/>
    </w:pPr>
  </w:style>
  <w:style w:type="character" w:styleId="Emphasis">
    <w:name w:val="Emphasis"/>
    <w:basedOn w:val="DefaultParagraphFont"/>
    <w:uiPriority w:val="20"/>
    <w:qFormat/>
    <w:rsid w:val="00D655ED"/>
    <w:rPr>
      <w:i/>
      <w:iCs/>
    </w:rPr>
  </w:style>
  <w:style w:type="character" w:styleId="Mention">
    <w:name w:val="Mention"/>
    <w:basedOn w:val="DefaultParagraphFont"/>
    <w:uiPriority w:val="99"/>
    <w:unhideWhenUsed/>
    <w:rsid w:val="009A67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vic.gov.au/immunisation/programs-of-stud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health.vic.gov.au/infectious-diseases/monkeypox" TargetMode="External"/><Relationship Id="rId2" Type="http://schemas.openxmlformats.org/officeDocument/2006/relationships/hyperlink" Target="https://www.health.vic.gov.au/infectious-diseases/information-for-health-professionals-japanese-encephalitis-in-victoria" TargetMode="External"/><Relationship Id="rId1" Type="http://schemas.openxmlformats.org/officeDocument/2006/relationships/hyperlink" Target="https://www.health.vic.gov.au/infectious-diseases/monkeyp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xsi:nil="true"/>
    <lcf76f155ced4ddcb4097134ff3c332f xmlns="56f13c3b-1a5e-4b20-8813-0ef8710fa3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16" ma:contentTypeDescription="Create a new document." ma:contentTypeScope="" ma:versionID="8c3fa1d9a59858c0e012a9ba4dd88a28">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2961d15b169c0d192cdb8d93769ef6ad"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bef801f1-2872-443b-a104-0f84f9fd0895"/>
    <ds:schemaRef ds:uri="http://purl.org/dc/elements/1.1/"/>
    <ds:schemaRef ds:uri="http://schemas.openxmlformats.org/package/2006/metadata/core-properties"/>
    <ds:schemaRef ds:uri="http://schemas.microsoft.com/office/infopath/2007/PartnerControls"/>
    <ds:schemaRef ds:uri="5ce0f2b5-5be5-4508-bce9-d7011ece0659"/>
    <ds:schemaRef ds:uri="56f13c3b-1a5e-4b20-8813-0ef8710fa36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E38E562-0244-45A1-9A03-B5094B809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1758</Words>
  <Characters>10021</Characters>
  <Application>Microsoft Office Word</Application>
  <DocSecurity>0</DocSecurity>
  <Lines>83</Lines>
  <Paragraphs>23</Paragraphs>
  <ScaleCrop>false</ScaleCrop>
  <Manager/>
  <Company>Victoria State Government, Department of Health</Company>
  <LinksUpToDate>false</LinksUpToDate>
  <CharactersWithSpaces>11756</CharactersWithSpaces>
  <SharedDoc>false</SharedDoc>
  <HyperlinkBase/>
  <HLinks>
    <vt:vector size="24" baseType="variant">
      <vt:variant>
        <vt:i4>4194328</vt:i4>
      </vt:variant>
      <vt:variant>
        <vt:i4>0</vt:i4>
      </vt:variant>
      <vt:variant>
        <vt:i4>0</vt:i4>
      </vt:variant>
      <vt:variant>
        <vt:i4>5</vt:i4>
      </vt:variant>
      <vt:variant>
        <vt:lpwstr>https://www.health.vic.gov.au/immunisation/programs-of-study</vt:lpwstr>
      </vt:variant>
      <vt:variant>
        <vt:lpwstr/>
      </vt:variant>
      <vt:variant>
        <vt:i4>3014695</vt:i4>
      </vt:variant>
      <vt:variant>
        <vt:i4>6</vt:i4>
      </vt:variant>
      <vt:variant>
        <vt:i4>0</vt:i4>
      </vt:variant>
      <vt:variant>
        <vt:i4>5</vt:i4>
      </vt:variant>
      <vt:variant>
        <vt:lpwstr>https://www.health.vic.gov.au/infectious-diseases/monkeypox</vt:lpwstr>
      </vt:variant>
      <vt:variant>
        <vt:lpwstr/>
      </vt:variant>
      <vt:variant>
        <vt:i4>5832712</vt:i4>
      </vt:variant>
      <vt:variant>
        <vt:i4>3</vt:i4>
      </vt:variant>
      <vt:variant>
        <vt:i4>0</vt:i4>
      </vt:variant>
      <vt:variant>
        <vt:i4>5</vt:i4>
      </vt:variant>
      <vt:variant>
        <vt:lpwstr>https://www.health.vic.gov.au/infectious-diseases/information-for-health-professionals-japanese-encephalitis-in-victoria</vt:lpwstr>
      </vt:variant>
      <vt:variant>
        <vt:lpwstr/>
      </vt:variant>
      <vt:variant>
        <vt:i4>3014695</vt:i4>
      </vt:variant>
      <vt:variant>
        <vt:i4>0</vt:i4>
      </vt:variant>
      <vt:variant>
        <vt:i4>0</vt:i4>
      </vt:variant>
      <vt:variant>
        <vt:i4>5</vt:i4>
      </vt:variant>
      <vt:variant>
        <vt:lpwstr>https://www.health.vic.gov.au/infectious-diseases/monkeypox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 Approval: Pharmacist Immuniser</dc:title>
  <dc:subject/>
  <dc:creator>Emma Scott (Health)</dc:creator>
  <cp:keywords>Pharmacist Immuniser</cp:keywords>
  <dc:description/>
  <cp:lastModifiedBy>Stefan Tulloch (Health)</cp:lastModifiedBy>
  <cp:revision>4</cp:revision>
  <cp:lastPrinted>2020-03-30T03:28:00Z</cp:lastPrinted>
  <dcterms:created xsi:type="dcterms:W3CDTF">2022-09-27T05:38:00Z</dcterms:created>
  <dcterms:modified xsi:type="dcterms:W3CDTF">2022-09-29T07:52:00Z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2022-09-29T07:52:43Z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319c11c2-740e-417c-ab8e-47bfbe0fb6f2</vt:lpwstr>
  </property>
  <property fmtid="{D5CDD505-2E9C-101B-9397-08002B2CF9AE}" pid="12" name="MSIP_Label_43e64453-338c-4f93-8a4d-0039a0a41f2a_ContentBits">
    <vt:lpwstr>2</vt:lpwstr>
  </property>
</Properties>
</file>