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36BCC"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4F2609E3" wp14:editId="01562D6C">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01FB499B"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3D15AA3" w14:textId="77777777" w:rsidTr="5DFFB863">
        <w:trPr>
          <w:trHeight w:val="622"/>
        </w:trPr>
        <w:tc>
          <w:tcPr>
            <w:tcW w:w="10348" w:type="dxa"/>
            <w:tcMar>
              <w:top w:w="1531" w:type="dxa"/>
              <w:left w:w="0" w:type="dxa"/>
              <w:right w:w="0" w:type="dxa"/>
            </w:tcMar>
          </w:tcPr>
          <w:p w14:paraId="20436048" w14:textId="114C2B93" w:rsidR="003B5733" w:rsidRPr="003B5733" w:rsidRDefault="004B3EF9" w:rsidP="003B5733">
            <w:pPr>
              <w:pStyle w:val="Documenttitle"/>
            </w:pPr>
            <w:r>
              <w:t xml:space="preserve">Victorian Pharmacist-Administered Vaccination Program Expansion - Communique </w:t>
            </w:r>
          </w:p>
        </w:tc>
      </w:tr>
      <w:tr w:rsidR="003B5733" w14:paraId="05A797BE" w14:textId="77777777" w:rsidTr="5DFFB863">
        <w:tc>
          <w:tcPr>
            <w:tcW w:w="10348" w:type="dxa"/>
          </w:tcPr>
          <w:p w14:paraId="218EFDB4" w14:textId="163E74A4" w:rsidR="003B5733" w:rsidRPr="00A1389F" w:rsidRDefault="00216943" w:rsidP="00EA1BAD">
            <w:pPr>
              <w:pStyle w:val="Documentsubtitle"/>
            </w:pPr>
            <w:r>
              <w:t>October</w:t>
            </w:r>
            <w:r w:rsidR="004B3EF9">
              <w:t xml:space="preserve"> 2022</w:t>
            </w:r>
          </w:p>
        </w:tc>
      </w:tr>
      <w:tr w:rsidR="003B5733" w14:paraId="6B907571" w14:textId="77777777" w:rsidTr="5DFFB863">
        <w:tc>
          <w:tcPr>
            <w:tcW w:w="10348" w:type="dxa"/>
          </w:tcPr>
          <w:p w14:paraId="09751417" w14:textId="77777777" w:rsidR="003B5733" w:rsidRPr="001E5058" w:rsidRDefault="007C798A" w:rsidP="001E5058">
            <w:pPr>
              <w:pStyle w:val="Bannermarking"/>
            </w:pPr>
            <w:fldSimple w:instr="FILLIN  &quot;Type the protective marking&quot; \d OFFICIAL \o  \* MERGEFORMAT">
              <w:r w:rsidR="004B3EF9">
                <w:t>OFFICIAL</w:t>
              </w:r>
            </w:fldSimple>
          </w:p>
        </w:tc>
      </w:tr>
    </w:tbl>
    <w:p w14:paraId="419A9682" w14:textId="2F72EC0E" w:rsidR="00855920" w:rsidRDefault="00855920" w:rsidP="00855920">
      <w:pPr>
        <w:pStyle w:val="Body"/>
      </w:pPr>
    </w:p>
    <w:p w14:paraId="628CCAF9" w14:textId="01A916FF" w:rsidR="00EE29AD" w:rsidRDefault="004B3EF9" w:rsidP="00E261B3">
      <w:pPr>
        <w:pStyle w:val="Heading1"/>
      </w:pPr>
      <w:r>
        <w:t xml:space="preserve">What is changing in Victoria from </w:t>
      </w:r>
      <w:r w:rsidR="00216943">
        <w:t>3</w:t>
      </w:r>
      <w:r>
        <w:t xml:space="preserve"> </w:t>
      </w:r>
      <w:r w:rsidR="00216943">
        <w:t>October</w:t>
      </w:r>
      <w:r>
        <w:t xml:space="preserve"> 2022</w:t>
      </w:r>
    </w:p>
    <w:p w14:paraId="5B558A0B" w14:textId="13C02110" w:rsidR="004B3EF9" w:rsidRPr="00367D88" w:rsidRDefault="004B3EF9" w:rsidP="004B3EF9">
      <w:pPr>
        <w:spacing w:before="360" w:after="240" w:line="240" w:lineRule="auto"/>
        <w:jc w:val="both"/>
        <w:rPr>
          <w:color w:val="000000" w:themeColor="text1"/>
        </w:rPr>
      </w:pPr>
      <w:r>
        <w:rPr>
          <w:rFonts w:cs="Arial"/>
          <w:color w:val="000000" w:themeColor="text1"/>
        </w:rPr>
        <w:t>P</w:t>
      </w:r>
      <w:r w:rsidRPr="00367D88">
        <w:rPr>
          <w:rFonts w:cs="Arial"/>
          <w:color w:val="000000" w:themeColor="text1"/>
        </w:rPr>
        <w:t xml:space="preserve">harmacist immunisers in Victoria </w:t>
      </w:r>
      <w:r>
        <w:rPr>
          <w:rFonts w:cs="Arial"/>
          <w:color w:val="000000" w:themeColor="text1"/>
        </w:rPr>
        <w:t>are</w:t>
      </w:r>
      <w:r w:rsidRPr="00367D88">
        <w:rPr>
          <w:rFonts w:cs="Arial"/>
          <w:color w:val="000000" w:themeColor="text1"/>
        </w:rPr>
        <w:t xml:space="preserve"> authorised to administer </w:t>
      </w:r>
      <w:r>
        <w:rPr>
          <w:rFonts w:cs="Arial"/>
          <w:color w:val="000000" w:themeColor="text1"/>
        </w:rPr>
        <w:t>approved</w:t>
      </w:r>
      <w:r w:rsidRPr="00367D88">
        <w:rPr>
          <w:rFonts w:cs="Arial"/>
          <w:color w:val="000000" w:themeColor="text1"/>
        </w:rPr>
        <w:t xml:space="preserve"> vaccines through Secretary Approvals made under the </w:t>
      </w:r>
      <w:r w:rsidRPr="004B3EF9">
        <w:rPr>
          <w:rFonts w:cs="Arial"/>
          <w:i/>
          <w:iCs/>
          <w:color w:val="000000" w:themeColor="text1"/>
        </w:rPr>
        <w:t>Drugs, Poisons and Controlled Substances Regulations</w:t>
      </w:r>
      <w:r w:rsidRPr="00367D88">
        <w:rPr>
          <w:rFonts w:cs="Arial"/>
          <w:color w:val="000000" w:themeColor="text1"/>
        </w:rPr>
        <w:t xml:space="preserve"> 2017.</w:t>
      </w:r>
      <w:r w:rsidRPr="00367D88">
        <w:rPr>
          <w:color w:val="000000" w:themeColor="text1"/>
        </w:rPr>
        <w:t> </w:t>
      </w:r>
    </w:p>
    <w:p w14:paraId="2DF1C4E9" w14:textId="34B7B4AC" w:rsidR="004B3EF9" w:rsidRPr="004B3EF9" w:rsidRDefault="004B3EF9" w:rsidP="004B3EF9">
      <w:pPr>
        <w:pStyle w:val="Body"/>
      </w:pPr>
      <w:r w:rsidRPr="00DB673D">
        <w:rPr>
          <w:rFonts w:cs="Arial"/>
          <w:color w:val="000000" w:themeColor="text1"/>
        </w:rPr>
        <w:t>Following a review of relevant evidence</w:t>
      </w:r>
      <w:r>
        <w:rPr>
          <w:rFonts w:cs="Arial"/>
          <w:color w:val="000000" w:themeColor="text1"/>
        </w:rPr>
        <w:t xml:space="preserve"> and</w:t>
      </w:r>
      <w:r w:rsidRPr="00DB673D">
        <w:rPr>
          <w:rFonts w:cs="Arial"/>
          <w:color w:val="000000" w:themeColor="text1"/>
        </w:rPr>
        <w:t xml:space="preserve"> clinical safety</w:t>
      </w:r>
      <w:r>
        <w:rPr>
          <w:rFonts w:cs="Arial"/>
          <w:color w:val="000000" w:themeColor="text1"/>
        </w:rPr>
        <w:t xml:space="preserve"> and a targeted consultation process</w:t>
      </w:r>
      <w:r w:rsidR="00A8357A">
        <w:rPr>
          <w:rFonts w:cs="Arial"/>
          <w:color w:val="000000" w:themeColor="text1"/>
        </w:rPr>
        <w:t>,</w:t>
      </w:r>
      <w:r>
        <w:rPr>
          <w:rFonts w:cs="Arial"/>
          <w:color w:val="000000" w:themeColor="text1"/>
        </w:rPr>
        <w:t xml:space="preserve"> the </w:t>
      </w:r>
      <w:r>
        <w:t xml:space="preserve">Secretary Approval: Pharmacist Immuniser </w:t>
      </w:r>
      <w:r w:rsidR="00C0405A">
        <w:t xml:space="preserve">(the Secretary Approval) </w:t>
      </w:r>
      <w:r>
        <w:t xml:space="preserve">has been amended </w:t>
      </w:r>
      <w:r w:rsidR="00F05AA0">
        <w:t>authoris</w:t>
      </w:r>
      <w:r w:rsidR="001E5C0A">
        <w:t>e</w:t>
      </w:r>
      <w:r>
        <w:t xml:space="preserve"> pharmacist immunisers to administer the: </w:t>
      </w:r>
    </w:p>
    <w:p w14:paraId="408A80AB" w14:textId="77777777" w:rsidR="00216943" w:rsidRDefault="00216943" w:rsidP="00216943">
      <w:pPr>
        <w:pStyle w:val="Bullet1"/>
      </w:pPr>
      <w:bookmarkStart w:id="0" w:name="_Toc63347079"/>
      <w:r>
        <w:t>human papillomavirus (HPV) vaccine to persons aged 12 years and older;</w:t>
      </w:r>
    </w:p>
    <w:p w14:paraId="1C76E8F4" w14:textId="24FDB93A" w:rsidR="00216943" w:rsidRDefault="00216943" w:rsidP="00216943">
      <w:pPr>
        <w:pStyle w:val="Bullet1"/>
      </w:pPr>
      <w:r>
        <w:t xml:space="preserve">diphtheria-tetanus-pertussis </w:t>
      </w:r>
      <w:r w:rsidR="00A00938">
        <w:t xml:space="preserve">(DTP) </w:t>
      </w:r>
      <w:r>
        <w:t xml:space="preserve">vaccine to persons aged 12 years and older (lowered from 15 years and older); </w:t>
      </w:r>
    </w:p>
    <w:p w14:paraId="18D3ACDD" w14:textId="77777777" w:rsidR="00216943" w:rsidRDefault="00216943" w:rsidP="00216943">
      <w:pPr>
        <w:pStyle w:val="Bullet1"/>
      </w:pPr>
      <w:r>
        <w:t>pneumococcal vaccine to persons aged 50 years and older; and</w:t>
      </w:r>
    </w:p>
    <w:p w14:paraId="0B9B540F" w14:textId="77777777" w:rsidR="00216943" w:rsidRDefault="00216943" w:rsidP="00216943">
      <w:pPr>
        <w:pStyle w:val="Bullet1"/>
      </w:pPr>
      <w:r>
        <w:t xml:space="preserve">herpes zoster (shingles) vaccine to persons aged 50 years and older. </w:t>
      </w:r>
    </w:p>
    <w:p w14:paraId="0018A14D" w14:textId="1FC13ED1" w:rsidR="00C0405A" w:rsidRPr="00216943" w:rsidRDefault="00216943" w:rsidP="00A457CE">
      <w:pPr>
        <w:pStyle w:val="Bullet1"/>
        <w:rPr>
          <w:sz w:val="20"/>
        </w:rPr>
      </w:pPr>
      <w:r>
        <w:t xml:space="preserve">monkeypox vaccine to </w:t>
      </w:r>
      <w:r w:rsidR="004B3EF9" w:rsidRPr="004B3EF9">
        <w:t xml:space="preserve">people aged five years and </w:t>
      </w:r>
      <w:r w:rsidR="00DF2F32">
        <w:t>older</w:t>
      </w:r>
      <w:r w:rsidR="00DF2F32" w:rsidRPr="004B3EF9">
        <w:t xml:space="preserve"> </w:t>
      </w:r>
      <w:r w:rsidR="004B3EF9" w:rsidRPr="004B3EF9">
        <w:t xml:space="preserve">who are </w:t>
      </w:r>
      <w:r w:rsidR="004B3EF9" w:rsidRPr="00216943">
        <w:rPr>
          <w:color w:val="000000" w:themeColor="text1"/>
        </w:rPr>
        <w:t xml:space="preserve">recommended for vaccination as listed on the Victorian Department of </w:t>
      </w:r>
      <w:r>
        <w:rPr>
          <w:color w:val="000000" w:themeColor="text1"/>
        </w:rPr>
        <w:t>Monkeypox</w:t>
      </w:r>
      <w:r w:rsidR="004B3EF9" w:rsidRPr="00216943">
        <w:rPr>
          <w:color w:val="000000" w:themeColor="text1"/>
        </w:rPr>
        <w:t xml:space="preserve"> web</w:t>
      </w:r>
      <w:r>
        <w:rPr>
          <w:color w:val="000000" w:themeColor="text1"/>
        </w:rPr>
        <w:t>page</w:t>
      </w:r>
      <w:r w:rsidR="0044364A">
        <w:t xml:space="preserve">: </w:t>
      </w:r>
      <w:bookmarkEnd w:id="0"/>
      <w:r>
        <w:fldChar w:fldCharType="begin"/>
      </w:r>
      <w:r>
        <w:instrText>HYPERLINK "https://www.health.vic.gov.au/infectious-diseases/monkeypox"</w:instrText>
      </w:r>
      <w:r>
        <w:fldChar w:fldCharType="separate"/>
      </w:r>
      <w:r>
        <w:rPr>
          <w:rStyle w:val="Hyperlink"/>
        </w:rPr>
        <w:t>https://www.health.vic.gov.au/infectious-diseases/monkeypox</w:t>
      </w:r>
      <w:r>
        <w:fldChar w:fldCharType="end"/>
      </w:r>
      <w:r>
        <w:t xml:space="preserve">. </w:t>
      </w:r>
      <w:r w:rsidR="00C0405A">
        <w:t>Successful c</w:t>
      </w:r>
      <w:r w:rsidR="00C0405A" w:rsidRPr="00C0405A">
        <w:t xml:space="preserve">ompletion of a </w:t>
      </w:r>
      <w:r>
        <w:t>Monkeypox vaccination</w:t>
      </w:r>
      <w:r w:rsidR="00C0405A" w:rsidRPr="00C0405A">
        <w:t xml:space="preserve"> eLearning module is required prior to administration of the </w:t>
      </w:r>
      <w:r w:rsidR="00A3601A">
        <w:t xml:space="preserve">monkeypox </w:t>
      </w:r>
      <w:r w:rsidR="00C0405A" w:rsidRPr="00C0405A">
        <w:t>vaccine.</w:t>
      </w:r>
      <w:r w:rsidR="00C0405A" w:rsidRPr="00216943">
        <w:rPr>
          <w:color w:val="000000" w:themeColor="text1"/>
        </w:rPr>
        <w:t xml:space="preserve"> </w:t>
      </w:r>
      <w:r>
        <w:rPr>
          <w:color w:val="000000" w:themeColor="text1"/>
        </w:rPr>
        <w:t>Additional training requirements apply depending on the administration route of the vaccine.</w:t>
      </w:r>
    </w:p>
    <w:p w14:paraId="459914E0" w14:textId="77777777" w:rsidR="00D57D93" w:rsidRPr="00C0405A" w:rsidRDefault="00D57D93" w:rsidP="00D57D93">
      <w:pPr>
        <w:pStyle w:val="Bullet1"/>
        <w:numPr>
          <w:ilvl w:val="0"/>
          <w:numId w:val="0"/>
        </w:numPr>
        <w:ind w:left="284"/>
        <w:rPr>
          <w:sz w:val="20"/>
        </w:rPr>
      </w:pPr>
    </w:p>
    <w:p w14:paraId="1E7F9C0A" w14:textId="77777777" w:rsidR="00216943" w:rsidRPr="00A344E0" w:rsidRDefault="00216943" w:rsidP="00216943">
      <w:pPr>
        <w:pStyle w:val="DHHSbody"/>
        <w:rPr>
          <w:sz w:val="21"/>
          <w:szCs w:val="21"/>
        </w:rPr>
      </w:pPr>
      <w:r w:rsidRPr="7F6FF409">
        <w:rPr>
          <w:sz w:val="21"/>
          <w:szCs w:val="21"/>
        </w:rPr>
        <w:t xml:space="preserve">The </w:t>
      </w:r>
      <w:r>
        <w:rPr>
          <w:sz w:val="21"/>
          <w:szCs w:val="21"/>
        </w:rPr>
        <w:t>D</w:t>
      </w:r>
      <w:r w:rsidRPr="7F6FF409">
        <w:rPr>
          <w:sz w:val="21"/>
          <w:szCs w:val="21"/>
        </w:rPr>
        <w:t xml:space="preserve">epartment </w:t>
      </w:r>
      <w:r>
        <w:rPr>
          <w:sz w:val="21"/>
          <w:szCs w:val="21"/>
        </w:rPr>
        <w:t xml:space="preserve">of Health (the department) </w:t>
      </w:r>
      <w:r w:rsidRPr="7F6FF409">
        <w:rPr>
          <w:sz w:val="21"/>
          <w:szCs w:val="21"/>
        </w:rPr>
        <w:t xml:space="preserve">is implementing a multifaceted approach to support Victorians to receive their scheduled, delayed or missed vaccinations as a priority. This will include a focus on adolescent vaccines and important adult vaccines that prevent prevalent and serious illnesses in older adults. </w:t>
      </w:r>
    </w:p>
    <w:p w14:paraId="2091FA62" w14:textId="68E1EF8E" w:rsidR="00216943" w:rsidRDefault="00216943" w:rsidP="00216943">
      <w:pPr>
        <w:pStyle w:val="DHHSbody"/>
        <w:rPr>
          <w:sz w:val="21"/>
          <w:szCs w:val="21"/>
        </w:rPr>
      </w:pPr>
      <w:r w:rsidRPr="2E3CCD0E">
        <w:rPr>
          <w:sz w:val="21"/>
          <w:szCs w:val="21"/>
        </w:rPr>
        <w:t xml:space="preserve">Authorising pharmacist immunisers to administer the </w:t>
      </w:r>
      <w:r>
        <w:rPr>
          <w:sz w:val="21"/>
          <w:szCs w:val="21"/>
        </w:rPr>
        <w:t>above</w:t>
      </w:r>
      <w:r w:rsidRPr="2E3CCD0E">
        <w:rPr>
          <w:sz w:val="21"/>
          <w:szCs w:val="21"/>
        </w:rPr>
        <w:t xml:space="preserve"> vaccines will contribute to this work by improving access to delayed or missed vaccinations for the target cohort, enabling timely vaccinations in additional convenient and safe vaccination settings. </w:t>
      </w:r>
    </w:p>
    <w:p w14:paraId="74FD9AB9" w14:textId="16FDEC60" w:rsidR="00A62D44" w:rsidRPr="004B3EF9" w:rsidRDefault="004B3EF9" w:rsidP="004B3EF9">
      <w:pPr>
        <w:pStyle w:val="Body"/>
        <w:rPr>
          <w:rFonts w:cs="Arial"/>
          <w:color w:val="000000" w:themeColor="text1"/>
          <w:szCs w:val="21"/>
        </w:rPr>
      </w:pPr>
      <w:r w:rsidRPr="004B3EF9">
        <w:rPr>
          <w:rFonts w:cs="Arial"/>
          <w:color w:val="000000" w:themeColor="text1"/>
          <w:szCs w:val="21"/>
        </w:rPr>
        <w:t xml:space="preserve">The </w:t>
      </w:r>
      <w:r>
        <w:rPr>
          <w:rFonts w:cs="Arial"/>
          <w:color w:val="000000" w:themeColor="text1"/>
          <w:szCs w:val="21"/>
        </w:rPr>
        <w:t xml:space="preserve">amended </w:t>
      </w:r>
      <w:hyperlink r:id="rId15" w:history="1">
        <w:r w:rsidRPr="00E4195E">
          <w:rPr>
            <w:rStyle w:val="Hyperlink"/>
            <w:rFonts w:cs="Arial"/>
            <w:szCs w:val="21"/>
          </w:rPr>
          <w:t>Secretary Approva</w:t>
        </w:r>
        <w:r w:rsidR="00C0405A" w:rsidRPr="00E4195E">
          <w:rPr>
            <w:rStyle w:val="Hyperlink"/>
            <w:rFonts w:cs="Arial"/>
            <w:szCs w:val="21"/>
          </w:rPr>
          <w:t xml:space="preserve">l </w:t>
        </w:r>
        <w:r w:rsidRPr="00E4195E">
          <w:rPr>
            <w:rStyle w:val="Hyperlink"/>
            <w:rFonts w:cs="Arial"/>
            <w:szCs w:val="21"/>
          </w:rPr>
          <w:t xml:space="preserve">was </w:t>
        </w:r>
        <w:r w:rsidR="001701B7" w:rsidRPr="00E4195E">
          <w:rPr>
            <w:rStyle w:val="Hyperlink"/>
            <w:rFonts w:cs="Arial"/>
            <w:szCs w:val="21"/>
          </w:rPr>
          <w:t>g</w:t>
        </w:r>
        <w:r w:rsidRPr="00E4195E">
          <w:rPr>
            <w:rStyle w:val="Hyperlink"/>
            <w:rFonts w:cs="Arial"/>
            <w:szCs w:val="21"/>
          </w:rPr>
          <w:t xml:space="preserve">azetted on </w:t>
        </w:r>
        <w:r w:rsidR="00216943" w:rsidRPr="00E4195E">
          <w:rPr>
            <w:rStyle w:val="Hyperlink"/>
            <w:rFonts w:cs="Arial"/>
            <w:szCs w:val="21"/>
          </w:rPr>
          <w:t>3 October</w:t>
        </w:r>
        <w:r w:rsidRPr="00E4195E">
          <w:rPr>
            <w:rStyle w:val="Hyperlink"/>
            <w:rFonts w:cs="Arial"/>
            <w:szCs w:val="21"/>
          </w:rPr>
          <w:t xml:space="preserve"> 2022 </w:t>
        </w:r>
        <w:r w:rsidR="00A00938" w:rsidRPr="00E4195E">
          <w:rPr>
            <w:rStyle w:val="Hyperlink"/>
            <w:rFonts w:cs="Arial"/>
            <w:szCs w:val="21"/>
          </w:rPr>
          <w:t>(pp. 4-8)</w:t>
        </w:r>
      </w:hyperlink>
      <w:r w:rsidR="00A00938">
        <w:rPr>
          <w:rFonts w:cs="Arial"/>
          <w:color w:val="000000" w:themeColor="text1"/>
          <w:szCs w:val="21"/>
        </w:rPr>
        <w:t xml:space="preserve"> </w:t>
      </w:r>
      <w:r>
        <w:rPr>
          <w:rFonts w:cs="Arial"/>
          <w:color w:val="000000" w:themeColor="text1"/>
          <w:szCs w:val="21"/>
        </w:rPr>
        <w:t>and came into force on the date of gazettal.</w:t>
      </w:r>
    </w:p>
    <w:p w14:paraId="56D37D1C" w14:textId="3F962702" w:rsidR="004B3EF9" w:rsidRDefault="004B3EF9" w:rsidP="004B3EF9">
      <w:pPr>
        <w:pStyle w:val="Body"/>
        <w:rPr>
          <w:rStyle w:val="normaltextrun"/>
          <w:rFonts w:cs="Arial"/>
          <w:color w:val="000000"/>
          <w:szCs w:val="21"/>
          <w:shd w:val="clear" w:color="auto" w:fill="FFFFFF"/>
        </w:rPr>
      </w:pPr>
      <w:r w:rsidRPr="004B3EF9">
        <w:rPr>
          <w:rStyle w:val="normaltextrun"/>
          <w:rFonts w:cs="Arial"/>
          <w:color w:val="000000"/>
          <w:szCs w:val="21"/>
          <w:shd w:val="clear" w:color="auto" w:fill="FFFFFF"/>
        </w:rPr>
        <w:t>The Victorian Pharmacist-Administered Vaccination Program Guidelines</w:t>
      </w:r>
      <w:r w:rsidR="001701B7">
        <w:rPr>
          <w:rStyle w:val="normaltextrun"/>
          <w:rFonts w:cs="Arial"/>
          <w:color w:val="000000"/>
          <w:szCs w:val="21"/>
          <w:shd w:val="clear" w:color="auto" w:fill="FFFFFF"/>
        </w:rPr>
        <w:t xml:space="preserve"> (the Guidelines)</w:t>
      </w:r>
      <w:r>
        <w:rPr>
          <w:rStyle w:val="normaltextrun"/>
          <w:rFonts w:cs="Arial"/>
          <w:color w:val="000000"/>
          <w:szCs w:val="21"/>
          <w:shd w:val="clear" w:color="auto" w:fill="FFFFFF"/>
        </w:rPr>
        <w:t>,</w:t>
      </w:r>
      <w:r w:rsidRPr="004B3EF9">
        <w:rPr>
          <w:rStyle w:val="normaltextrun"/>
          <w:rFonts w:cs="Arial"/>
          <w:color w:val="000000"/>
          <w:szCs w:val="21"/>
          <w:shd w:val="clear" w:color="auto" w:fill="FFFFFF"/>
        </w:rPr>
        <w:t xml:space="preserve"> </w:t>
      </w:r>
      <w:r>
        <w:rPr>
          <w:rStyle w:val="normaltextrun"/>
          <w:rFonts w:cs="Arial"/>
          <w:color w:val="000000"/>
          <w:szCs w:val="21"/>
          <w:shd w:val="clear" w:color="auto" w:fill="FFFFFF"/>
        </w:rPr>
        <w:t xml:space="preserve">which </w:t>
      </w:r>
      <w:r w:rsidRPr="004B3EF9">
        <w:rPr>
          <w:rStyle w:val="normaltextrun"/>
          <w:rFonts w:cs="Arial"/>
          <w:color w:val="000000"/>
          <w:szCs w:val="21"/>
          <w:shd w:val="clear" w:color="auto" w:fill="FFFFFF"/>
        </w:rPr>
        <w:t xml:space="preserve">detail the </w:t>
      </w:r>
      <w:r>
        <w:rPr>
          <w:rStyle w:val="normaltextrun"/>
          <w:rFonts w:cs="Arial"/>
          <w:color w:val="000000"/>
          <w:szCs w:val="21"/>
          <w:shd w:val="clear" w:color="auto" w:fill="FFFFFF"/>
        </w:rPr>
        <w:t xml:space="preserve">program </w:t>
      </w:r>
      <w:r w:rsidRPr="004B3EF9">
        <w:rPr>
          <w:rStyle w:val="normaltextrun"/>
          <w:rFonts w:cs="Arial"/>
          <w:color w:val="000000"/>
          <w:szCs w:val="21"/>
          <w:shd w:val="clear" w:color="auto" w:fill="FFFFFF"/>
        </w:rPr>
        <w:t>requirements</w:t>
      </w:r>
      <w:r>
        <w:rPr>
          <w:rStyle w:val="normaltextrun"/>
          <w:rFonts w:cs="Arial"/>
          <w:color w:val="000000"/>
          <w:szCs w:val="21"/>
          <w:shd w:val="clear" w:color="auto" w:fill="FFFFFF"/>
        </w:rPr>
        <w:t>,</w:t>
      </w:r>
      <w:r w:rsidRPr="004B3EF9">
        <w:rPr>
          <w:rStyle w:val="normaltextrun"/>
          <w:rFonts w:cs="Arial"/>
          <w:color w:val="000000"/>
          <w:szCs w:val="21"/>
          <w:shd w:val="clear" w:color="auto" w:fill="FFFFFF"/>
        </w:rPr>
        <w:t xml:space="preserve"> have</w:t>
      </w:r>
      <w:r>
        <w:rPr>
          <w:rStyle w:val="normaltextrun"/>
          <w:rFonts w:cs="Arial"/>
          <w:color w:val="000000"/>
          <w:szCs w:val="21"/>
          <w:shd w:val="clear" w:color="auto" w:fill="FFFFFF"/>
        </w:rPr>
        <w:t xml:space="preserve"> also</w:t>
      </w:r>
      <w:r w:rsidRPr="004B3EF9">
        <w:rPr>
          <w:rStyle w:val="normaltextrun"/>
          <w:rFonts w:cs="Arial"/>
          <w:color w:val="000000"/>
          <w:szCs w:val="21"/>
          <w:shd w:val="clear" w:color="auto" w:fill="FFFFFF"/>
        </w:rPr>
        <w:t xml:space="preserve"> been updated to reflect the expansion.</w:t>
      </w:r>
    </w:p>
    <w:p w14:paraId="20DB4849" w14:textId="40660A93" w:rsidR="001701B7" w:rsidRPr="001701B7" w:rsidRDefault="001701B7" w:rsidP="004B3EF9">
      <w:pPr>
        <w:pStyle w:val="Body"/>
        <w:rPr>
          <w:rFonts w:cs="Arial"/>
          <w:color w:val="000000"/>
          <w:szCs w:val="21"/>
          <w:shd w:val="clear" w:color="auto" w:fill="FFFFFF"/>
        </w:rPr>
      </w:pPr>
      <w:r>
        <w:rPr>
          <w:rStyle w:val="normaltextrun"/>
          <w:rFonts w:cs="Arial"/>
          <w:color w:val="000000"/>
          <w:szCs w:val="21"/>
          <w:shd w:val="clear" w:color="auto" w:fill="FFFFFF"/>
        </w:rPr>
        <w:t xml:space="preserve">The Secretary Approval and the Guidelines can be accessed from the Department of Health’s Pharmacist Immuniser webpage: </w:t>
      </w:r>
      <w:hyperlink r:id="rId16" w:history="1">
        <w:r w:rsidR="0044364A" w:rsidRPr="00D73A6F">
          <w:rPr>
            <w:rStyle w:val="Hyperlink"/>
            <w:rFonts w:cs="Arial"/>
            <w:szCs w:val="21"/>
            <w:shd w:val="clear" w:color="auto" w:fill="FFFFFF"/>
          </w:rPr>
          <w:t>https://www.health.vic.gov.au/immunisation/pharmacist-immunisers</w:t>
        </w:r>
      </w:hyperlink>
      <w:r w:rsidR="008F67D5">
        <w:rPr>
          <w:rStyle w:val="normaltextrun"/>
          <w:rFonts w:cs="Arial"/>
          <w:color w:val="000000"/>
          <w:szCs w:val="21"/>
          <w:shd w:val="clear" w:color="auto" w:fill="FFFFFF"/>
        </w:rPr>
        <w:t xml:space="preserve">. </w:t>
      </w:r>
      <w:r>
        <w:rPr>
          <w:rStyle w:val="normaltextrun"/>
          <w:rFonts w:cs="Arial"/>
          <w:color w:val="000000"/>
          <w:szCs w:val="21"/>
          <w:shd w:val="clear" w:color="auto" w:fill="FFFFFF"/>
        </w:rPr>
        <w:t xml:space="preserve"> </w:t>
      </w:r>
    </w:p>
    <w:p w14:paraId="0CE24B58" w14:textId="614FBB04" w:rsidR="001701B7" w:rsidRDefault="001701B7" w:rsidP="001701B7">
      <w:pPr>
        <w:pStyle w:val="Heading1"/>
      </w:pPr>
      <w:r>
        <w:t xml:space="preserve">Administering </w:t>
      </w:r>
      <w:r w:rsidR="00216943">
        <w:t xml:space="preserve">HPV and </w:t>
      </w:r>
      <w:r w:rsidR="00A00938">
        <w:t>DTP</w:t>
      </w:r>
      <w:r>
        <w:t xml:space="preserve"> vaccine</w:t>
      </w:r>
      <w:r w:rsidR="00A00938">
        <w:t>s</w:t>
      </w:r>
      <w:r>
        <w:t xml:space="preserve"> to people aged </w:t>
      </w:r>
      <w:r w:rsidR="00216943">
        <w:t>12</w:t>
      </w:r>
      <w:r>
        <w:t xml:space="preserve"> years and older</w:t>
      </w:r>
    </w:p>
    <w:p w14:paraId="2ED1926D" w14:textId="77777777" w:rsidR="00216943" w:rsidRDefault="00216943" w:rsidP="00216943">
      <w:pPr>
        <w:pStyle w:val="DHHSbody"/>
        <w:rPr>
          <w:sz w:val="21"/>
          <w:szCs w:val="21"/>
        </w:rPr>
      </w:pPr>
      <w:r>
        <w:rPr>
          <w:sz w:val="21"/>
          <w:szCs w:val="21"/>
        </w:rPr>
        <w:t>Immunisation</w:t>
      </w:r>
      <w:r w:rsidRPr="6BDC235D">
        <w:rPr>
          <w:sz w:val="21"/>
          <w:szCs w:val="21"/>
        </w:rPr>
        <w:t xml:space="preserve"> coverage rates indicate that during the </w:t>
      </w:r>
      <w:r>
        <w:rPr>
          <w:sz w:val="21"/>
          <w:szCs w:val="21"/>
        </w:rPr>
        <w:t xml:space="preserve">COVID-19 </w:t>
      </w:r>
      <w:r w:rsidRPr="6BDC235D">
        <w:rPr>
          <w:sz w:val="21"/>
          <w:szCs w:val="21"/>
        </w:rPr>
        <w:t xml:space="preserve">pandemic, many scheduled vaccines were delayed or missed, including </w:t>
      </w:r>
      <w:r>
        <w:rPr>
          <w:sz w:val="21"/>
          <w:szCs w:val="21"/>
        </w:rPr>
        <w:t>those administered</w:t>
      </w:r>
      <w:r w:rsidRPr="6BDC235D">
        <w:rPr>
          <w:sz w:val="21"/>
          <w:szCs w:val="21"/>
        </w:rPr>
        <w:t xml:space="preserve"> </w:t>
      </w:r>
      <w:r>
        <w:rPr>
          <w:sz w:val="21"/>
          <w:szCs w:val="21"/>
        </w:rPr>
        <w:t xml:space="preserve">through </w:t>
      </w:r>
      <w:r w:rsidRPr="6BDC235D">
        <w:rPr>
          <w:sz w:val="21"/>
          <w:szCs w:val="21"/>
        </w:rPr>
        <w:t xml:space="preserve">the Secondary School Immunisation Program </w:t>
      </w:r>
      <w:r>
        <w:rPr>
          <w:sz w:val="21"/>
          <w:szCs w:val="21"/>
        </w:rPr>
        <w:t xml:space="preserve">(SSIP) </w:t>
      </w:r>
      <w:r w:rsidRPr="6BDC235D">
        <w:rPr>
          <w:sz w:val="21"/>
          <w:szCs w:val="21"/>
        </w:rPr>
        <w:t xml:space="preserve">which was impacted </w:t>
      </w:r>
      <w:r w:rsidRPr="14BC8A14">
        <w:rPr>
          <w:sz w:val="21"/>
          <w:szCs w:val="21"/>
        </w:rPr>
        <w:t xml:space="preserve">in 2020 and 2021 </w:t>
      </w:r>
      <w:r w:rsidRPr="6BDC235D">
        <w:rPr>
          <w:sz w:val="21"/>
          <w:szCs w:val="21"/>
        </w:rPr>
        <w:t xml:space="preserve">by lengthy periods where schooling </w:t>
      </w:r>
      <w:r>
        <w:rPr>
          <w:sz w:val="21"/>
          <w:szCs w:val="21"/>
        </w:rPr>
        <w:t>shifted to a remote and flexible learning model</w:t>
      </w:r>
      <w:r w:rsidRPr="6BDC235D">
        <w:rPr>
          <w:sz w:val="21"/>
          <w:szCs w:val="21"/>
        </w:rPr>
        <w:t xml:space="preserve">. </w:t>
      </w:r>
    </w:p>
    <w:p w14:paraId="056EB098" w14:textId="77777777" w:rsidR="00216943" w:rsidRDefault="00216943" w:rsidP="00216943">
      <w:pPr>
        <w:pStyle w:val="DHHSbody"/>
        <w:rPr>
          <w:sz w:val="21"/>
          <w:szCs w:val="21"/>
        </w:rPr>
      </w:pPr>
      <w:r w:rsidRPr="0DB2AC98">
        <w:rPr>
          <w:sz w:val="21"/>
          <w:szCs w:val="21"/>
        </w:rPr>
        <w:t>The proposed</w:t>
      </w:r>
      <w:r w:rsidRPr="4CEC0D57">
        <w:rPr>
          <w:sz w:val="21"/>
          <w:szCs w:val="21"/>
        </w:rPr>
        <w:t xml:space="preserve"> </w:t>
      </w:r>
      <w:r w:rsidRPr="57425319">
        <w:rPr>
          <w:sz w:val="21"/>
          <w:szCs w:val="21"/>
        </w:rPr>
        <w:t xml:space="preserve">expansion to </w:t>
      </w:r>
      <w:r w:rsidRPr="56FD5C2A">
        <w:rPr>
          <w:sz w:val="21"/>
          <w:szCs w:val="21"/>
        </w:rPr>
        <w:t xml:space="preserve">the </w:t>
      </w:r>
      <w:r w:rsidRPr="35851D07">
        <w:rPr>
          <w:sz w:val="21"/>
          <w:szCs w:val="21"/>
        </w:rPr>
        <w:t>Program seeks to</w:t>
      </w:r>
      <w:r w:rsidRPr="2E3CCD0E">
        <w:rPr>
          <w:sz w:val="21"/>
          <w:szCs w:val="21"/>
        </w:rPr>
        <w:t xml:space="preserve"> complement, not replace, existing arrangements for routine or catch-up vaccines through general practice or local government immunisation services for those adolescents absent on the day of their </w:t>
      </w:r>
      <w:r>
        <w:rPr>
          <w:sz w:val="21"/>
          <w:szCs w:val="21"/>
        </w:rPr>
        <w:t>SSIP</w:t>
      </w:r>
      <w:r w:rsidRPr="2E3CCD0E">
        <w:rPr>
          <w:sz w:val="21"/>
          <w:szCs w:val="21"/>
        </w:rPr>
        <w:t xml:space="preserve"> appointment, those that do not attend a traditional school setting, and/or prefer not to receive an injection in the school environment.</w:t>
      </w:r>
    </w:p>
    <w:p w14:paraId="64FBE08D" w14:textId="6A6EE86C" w:rsidR="00A00938" w:rsidRDefault="00A00938" w:rsidP="001701B7">
      <w:pPr>
        <w:pStyle w:val="Body"/>
        <w:rPr>
          <w:szCs w:val="21"/>
        </w:rPr>
      </w:pPr>
      <w:r w:rsidRPr="6BDC235D">
        <w:rPr>
          <w:szCs w:val="21"/>
        </w:rPr>
        <w:t xml:space="preserve">The HPV vaccine is recommended for persons aged 9-18 years of age. The recommended schedule for adolescents aged 9–14 years is 2 doses, with a 6–12-month interval between doses, and for people aged ≥15 years the recommended schedule is </w:t>
      </w:r>
      <w:r>
        <w:rPr>
          <w:szCs w:val="21"/>
        </w:rPr>
        <w:t>three</w:t>
      </w:r>
      <w:r w:rsidRPr="6BDC235D">
        <w:rPr>
          <w:szCs w:val="21"/>
        </w:rPr>
        <w:t xml:space="preserve"> doses, with an interval of 2 months between dose 1 and dose 2, and 4 months between dose 2 and dose 3. Adolescents with major immunocompromising conditions require a 3 dose course.</w:t>
      </w:r>
    </w:p>
    <w:p w14:paraId="670980E5" w14:textId="7184098B" w:rsidR="00A00938" w:rsidRDefault="00A00938" w:rsidP="00A00938">
      <w:pPr>
        <w:pStyle w:val="DHHSbody"/>
        <w:rPr>
          <w:sz w:val="21"/>
          <w:szCs w:val="21"/>
        </w:rPr>
      </w:pPr>
      <w:r>
        <w:rPr>
          <w:sz w:val="21"/>
          <w:szCs w:val="21"/>
        </w:rPr>
        <w:t>Similar to HPV</w:t>
      </w:r>
      <w:r w:rsidRPr="6BDC235D">
        <w:rPr>
          <w:sz w:val="21"/>
          <w:szCs w:val="21"/>
        </w:rPr>
        <w:t xml:space="preserve">, the single-dose diphtheria-tetanus-pertussis </w:t>
      </w:r>
      <w:r>
        <w:rPr>
          <w:sz w:val="21"/>
          <w:szCs w:val="21"/>
        </w:rPr>
        <w:t xml:space="preserve">(DTP) </w:t>
      </w:r>
      <w:r w:rsidRPr="6BDC235D">
        <w:rPr>
          <w:sz w:val="21"/>
          <w:szCs w:val="21"/>
        </w:rPr>
        <w:t xml:space="preserve">vaccine is administered </w:t>
      </w:r>
      <w:r>
        <w:rPr>
          <w:sz w:val="21"/>
          <w:szCs w:val="21"/>
        </w:rPr>
        <w:t>as part of the SSIP</w:t>
      </w:r>
      <w:r w:rsidRPr="6BDC235D">
        <w:rPr>
          <w:sz w:val="21"/>
          <w:szCs w:val="21"/>
        </w:rPr>
        <w:t xml:space="preserve">, with the optimal age for administration of this vaccine </w:t>
      </w:r>
      <w:r>
        <w:rPr>
          <w:sz w:val="21"/>
          <w:szCs w:val="21"/>
        </w:rPr>
        <w:t>being</w:t>
      </w:r>
      <w:r w:rsidRPr="6BDC235D">
        <w:rPr>
          <w:sz w:val="21"/>
          <w:szCs w:val="21"/>
        </w:rPr>
        <w:t xml:space="preserve"> 11-13 years. Adolescents require this vaccine to provide immunity against diphtheria, tetanus and pertussis into adulthood</w:t>
      </w:r>
      <w:r w:rsidRPr="6BDC235D">
        <w:rPr>
          <w:rStyle w:val="FootnoteReference"/>
          <w:sz w:val="21"/>
          <w:szCs w:val="21"/>
        </w:rPr>
        <w:footnoteReference w:id="2"/>
      </w:r>
      <w:r w:rsidRPr="6BDC235D">
        <w:rPr>
          <w:sz w:val="21"/>
          <w:szCs w:val="21"/>
        </w:rPr>
        <w:t xml:space="preserve">. </w:t>
      </w:r>
    </w:p>
    <w:p w14:paraId="1C32FA51" w14:textId="48C937CF" w:rsidR="00A00938" w:rsidRDefault="00A00938" w:rsidP="00A00938">
      <w:pPr>
        <w:pStyle w:val="DHHSbody"/>
        <w:rPr>
          <w:sz w:val="21"/>
          <w:szCs w:val="21"/>
        </w:rPr>
      </w:pPr>
      <w:r w:rsidRPr="6BDC235D">
        <w:rPr>
          <w:sz w:val="21"/>
          <w:szCs w:val="21"/>
        </w:rPr>
        <w:t xml:space="preserve">Pharmacist immunisers </w:t>
      </w:r>
      <w:r>
        <w:rPr>
          <w:sz w:val="21"/>
          <w:szCs w:val="21"/>
        </w:rPr>
        <w:t xml:space="preserve">were previously </w:t>
      </w:r>
      <w:r w:rsidRPr="6BDC235D">
        <w:rPr>
          <w:sz w:val="21"/>
          <w:szCs w:val="21"/>
        </w:rPr>
        <w:t xml:space="preserve">authorised to administer the pertussis-containing vaccines to target cohorts of people aged 15 years and older for the purposes of adult vaccination against whooping cough. This </w:t>
      </w:r>
      <w:r>
        <w:rPr>
          <w:sz w:val="21"/>
          <w:szCs w:val="21"/>
        </w:rPr>
        <w:t>change in authorisation</w:t>
      </w:r>
      <w:r w:rsidRPr="6BDC235D">
        <w:rPr>
          <w:sz w:val="21"/>
          <w:szCs w:val="21"/>
        </w:rPr>
        <w:t xml:space="preserve"> enable</w:t>
      </w:r>
      <w:r>
        <w:rPr>
          <w:sz w:val="21"/>
          <w:szCs w:val="21"/>
        </w:rPr>
        <w:t>s</w:t>
      </w:r>
      <w:r w:rsidRPr="6BDC235D">
        <w:rPr>
          <w:sz w:val="21"/>
          <w:szCs w:val="21"/>
        </w:rPr>
        <w:t xml:space="preserve"> the administration of the </w:t>
      </w:r>
      <w:r>
        <w:rPr>
          <w:sz w:val="21"/>
          <w:szCs w:val="21"/>
        </w:rPr>
        <w:t>DTP</w:t>
      </w:r>
      <w:r w:rsidRPr="6BDC235D">
        <w:rPr>
          <w:sz w:val="21"/>
          <w:szCs w:val="21"/>
        </w:rPr>
        <w:t xml:space="preserve"> vaccine to persons aged 1</w:t>
      </w:r>
      <w:r>
        <w:rPr>
          <w:sz w:val="21"/>
          <w:szCs w:val="21"/>
        </w:rPr>
        <w:t>2</w:t>
      </w:r>
      <w:r w:rsidRPr="6BDC235D">
        <w:rPr>
          <w:sz w:val="21"/>
          <w:szCs w:val="21"/>
        </w:rPr>
        <w:t xml:space="preserve"> years of age and older for the purposes of adolescent booster </w:t>
      </w:r>
      <w:r>
        <w:rPr>
          <w:sz w:val="21"/>
          <w:szCs w:val="21"/>
        </w:rPr>
        <w:t>as well as adult vaccination against whooping cough</w:t>
      </w:r>
      <w:r w:rsidRPr="6BDC235D">
        <w:rPr>
          <w:sz w:val="21"/>
          <w:szCs w:val="21"/>
        </w:rPr>
        <w:t>.</w:t>
      </w:r>
      <w:r w:rsidR="00A3601A">
        <w:rPr>
          <w:sz w:val="21"/>
          <w:szCs w:val="21"/>
        </w:rPr>
        <w:t xml:space="preserve"> </w:t>
      </w:r>
    </w:p>
    <w:p w14:paraId="1E872E92" w14:textId="1A798BA4" w:rsidR="008F67D5" w:rsidRDefault="008F67D5" w:rsidP="008F67D5">
      <w:pPr>
        <w:pStyle w:val="Heading1"/>
      </w:pPr>
      <w:r>
        <w:t xml:space="preserve">Administering the </w:t>
      </w:r>
      <w:r w:rsidR="00A00938">
        <w:t>pneumococcal and herpes zoster (shingles)</w:t>
      </w:r>
      <w:r>
        <w:t xml:space="preserve"> vaccine to people </w:t>
      </w:r>
      <w:r w:rsidR="00A00938">
        <w:t>aged 50 years and older</w:t>
      </w:r>
    </w:p>
    <w:p w14:paraId="2871B417" w14:textId="6A0F0932" w:rsidR="00D521C4" w:rsidRDefault="00D521C4" w:rsidP="00D521C4">
      <w:pPr>
        <w:pStyle w:val="Heading4"/>
      </w:pPr>
      <w:bookmarkStart w:id="1" w:name="_Toc256778633"/>
      <w:r>
        <w:t>Pneumococcal vaccination</w:t>
      </w:r>
    </w:p>
    <w:p w14:paraId="16DAA192" w14:textId="75891EDB" w:rsidR="00A00938" w:rsidRPr="00C732C7" w:rsidRDefault="00A00938" w:rsidP="00A00938">
      <w:pPr>
        <w:pStyle w:val="DHHSbody"/>
        <w:rPr>
          <w:b/>
          <w:sz w:val="21"/>
          <w:szCs w:val="21"/>
        </w:rPr>
      </w:pPr>
      <w:r w:rsidRPr="00D521C4">
        <w:rPr>
          <w:sz w:val="21"/>
          <w:szCs w:val="21"/>
        </w:rPr>
        <w:t>Pneumococcal immunisation</w:t>
      </w:r>
      <w:r w:rsidRPr="6BDC235D">
        <w:rPr>
          <w:sz w:val="21"/>
          <w:szCs w:val="21"/>
        </w:rPr>
        <w:t xml:space="preserve"> is recommended and funded </w:t>
      </w:r>
      <w:r>
        <w:rPr>
          <w:sz w:val="21"/>
          <w:szCs w:val="21"/>
        </w:rPr>
        <w:t>under the National Immunisation Program (NIP)</w:t>
      </w:r>
      <w:r w:rsidRPr="6BDC235D">
        <w:rPr>
          <w:sz w:val="21"/>
          <w:szCs w:val="21"/>
        </w:rPr>
        <w:t xml:space="preserve"> for adults with a medical risk factor, adolescent Aboriginal and Torres Strait Islander people with a medical risk factor, all Aboriginal and Torres Strait Islander people aged 50 years and older, and non-Indigenous people aged 70 years and older.  </w:t>
      </w:r>
    </w:p>
    <w:p w14:paraId="5C751D5A" w14:textId="77777777" w:rsidR="00A00938" w:rsidRPr="00C732C7" w:rsidRDefault="00A00938" w:rsidP="00A00938">
      <w:pPr>
        <w:pStyle w:val="DHHSbody"/>
        <w:rPr>
          <w:sz w:val="21"/>
          <w:szCs w:val="21"/>
        </w:rPr>
      </w:pPr>
      <w:r w:rsidRPr="6BDC235D">
        <w:rPr>
          <w:sz w:val="21"/>
          <w:szCs w:val="21"/>
        </w:rPr>
        <w:t xml:space="preserve">The recommended number and timing of doses, and the type of vaccine to be administered requires careful consideration of a range of factors including:   </w:t>
      </w:r>
    </w:p>
    <w:p w14:paraId="13F3F232" w14:textId="77777777" w:rsidR="00A00938" w:rsidRPr="00C732C7" w:rsidRDefault="00A00938" w:rsidP="00A00938">
      <w:pPr>
        <w:pStyle w:val="DHHSbody"/>
        <w:numPr>
          <w:ilvl w:val="0"/>
          <w:numId w:val="42"/>
        </w:numPr>
        <w:rPr>
          <w:sz w:val="21"/>
          <w:szCs w:val="21"/>
        </w:rPr>
      </w:pPr>
      <w:r w:rsidRPr="6BDC235D">
        <w:rPr>
          <w:sz w:val="21"/>
          <w:szCs w:val="21"/>
        </w:rPr>
        <w:t xml:space="preserve">the person’s age;   </w:t>
      </w:r>
    </w:p>
    <w:p w14:paraId="109F1C3E" w14:textId="77777777" w:rsidR="00A00938" w:rsidRPr="00C732C7" w:rsidRDefault="00A00938" w:rsidP="00A00938">
      <w:pPr>
        <w:pStyle w:val="DHHSbody"/>
        <w:numPr>
          <w:ilvl w:val="0"/>
          <w:numId w:val="42"/>
        </w:numPr>
        <w:rPr>
          <w:sz w:val="21"/>
          <w:szCs w:val="21"/>
        </w:rPr>
      </w:pPr>
      <w:r w:rsidRPr="6BDC235D">
        <w:rPr>
          <w:sz w:val="21"/>
          <w:szCs w:val="21"/>
        </w:rPr>
        <w:t xml:space="preserve">their Aboriginal and Torres Strait Islander status;   </w:t>
      </w:r>
    </w:p>
    <w:p w14:paraId="430B3337" w14:textId="77777777" w:rsidR="00A00938" w:rsidRPr="00C732C7" w:rsidRDefault="00A00938" w:rsidP="00A00938">
      <w:pPr>
        <w:pStyle w:val="DHHSbody"/>
        <w:numPr>
          <w:ilvl w:val="0"/>
          <w:numId w:val="42"/>
        </w:numPr>
        <w:rPr>
          <w:sz w:val="21"/>
          <w:szCs w:val="21"/>
        </w:rPr>
      </w:pPr>
      <w:r w:rsidRPr="6BDC235D">
        <w:rPr>
          <w:sz w:val="21"/>
          <w:szCs w:val="21"/>
        </w:rPr>
        <w:t xml:space="preserve">the state or territory they live in;   </w:t>
      </w:r>
    </w:p>
    <w:p w14:paraId="1FB8A3C4" w14:textId="77777777" w:rsidR="00A00938" w:rsidRPr="00C732C7" w:rsidRDefault="00A00938" w:rsidP="00A00938">
      <w:pPr>
        <w:pStyle w:val="DHHSbody"/>
        <w:numPr>
          <w:ilvl w:val="0"/>
          <w:numId w:val="42"/>
        </w:numPr>
        <w:rPr>
          <w:sz w:val="21"/>
          <w:szCs w:val="21"/>
        </w:rPr>
      </w:pPr>
      <w:r w:rsidRPr="6BDC235D">
        <w:rPr>
          <w:sz w:val="21"/>
          <w:szCs w:val="21"/>
        </w:rPr>
        <w:t xml:space="preserve">whether they have pre-existing or newly diagnosed conditions that increase their risk of invasive pneumococcal disease; and   </w:t>
      </w:r>
    </w:p>
    <w:p w14:paraId="096F676E" w14:textId="77777777" w:rsidR="00A00938" w:rsidRPr="00C732C7" w:rsidRDefault="00A00938" w:rsidP="00A00938">
      <w:pPr>
        <w:pStyle w:val="DHHSbody"/>
        <w:numPr>
          <w:ilvl w:val="0"/>
          <w:numId w:val="42"/>
        </w:numPr>
        <w:rPr>
          <w:sz w:val="21"/>
          <w:szCs w:val="21"/>
        </w:rPr>
      </w:pPr>
      <w:r w:rsidRPr="6BDC235D">
        <w:rPr>
          <w:sz w:val="21"/>
          <w:szCs w:val="21"/>
        </w:rPr>
        <w:t>whether they have received the 13vPCV (13-valent pneumococcal conjugate vaccine; Prevenar 13</w:t>
      </w:r>
      <w:r w:rsidRPr="6BDC235D">
        <w:rPr>
          <w:sz w:val="21"/>
          <w:szCs w:val="21"/>
          <w:vertAlign w:val="superscript"/>
        </w:rPr>
        <w:t>®</w:t>
      </w:r>
      <w:r w:rsidRPr="6BDC235D">
        <w:rPr>
          <w:sz w:val="21"/>
          <w:szCs w:val="21"/>
        </w:rPr>
        <w:t>) or the 23vPPV (23 valent pneumococcal polysaccharide vaccine; Pneumovax 23</w:t>
      </w:r>
      <w:r w:rsidRPr="6BDC235D">
        <w:rPr>
          <w:sz w:val="21"/>
          <w:szCs w:val="21"/>
          <w:vertAlign w:val="superscript"/>
        </w:rPr>
        <w:t>®</w:t>
      </w:r>
      <w:r w:rsidRPr="6BDC235D">
        <w:rPr>
          <w:sz w:val="21"/>
          <w:szCs w:val="21"/>
        </w:rPr>
        <w:t xml:space="preserve">) before.  </w:t>
      </w:r>
    </w:p>
    <w:p w14:paraId="2DA9E102" w14:textId="31D0EDFF" w:rsidR="0034519C" w:rsidRPr="00A07447" w:rsidRDefault="0034519C" w:rsidP="0034519C">
      <w:pPr>
        <w:pStyle w:val="DHHSbody"/>
        <w:spacing w:before="120"/>
        <w:rPr>
          <w:rStyle w:val="normaltextrun"/>
          <w:rFonts w:cs="Arial"/>
          <w:color w:val="000000"/>
          <w:sz w:val="21"/>
          <w:szCs w:val="21"/>
          <w:shd w:val="clear" w:color="auto" w:fill="FFFFFF"/>
        </w:rPr>
      </w:pPr>
      <w:r w:rsidRPr="00A07447">
        <w:rPr>
          <w:rStyle w:val="normaltextrun"/>
          <w:rFonts w:cs="Arial"/>
          <w:color w:val="000000"/>
          <w:sz w:val="21"/>
          <w:szCs w:val="21"/>
          <w:shd w:val="clear" w:color="auto" w:fill="FFFFFF"/>
        </w:rPr>
        <w:t>Pharmacist immunisers will consult the Australian Immunisation Handbook</w:t>
      </w:r>
      <w:r w:rsidR="00A3601A" w:rsidRPr="00A07447">
        <w:rPr>
          <w:rStyle w:val="FootnoteReference"/>
          <w:rFonts w:cs="Arial"/>
          <w:color w:val="000000"/>
          <w:sz w:val="21"/>
          <w:szCs w:val="21"/>
          <w:shd w:val="clear" w:color="auto" w:fill="FFFFFF"/>
        </w:rPr>
        <w:footnoteReference w:id="3"/>
      </w:r>
      <w:r w:rsidRPr="00A07447">
        <w:rPr>
          <w:rStyle w:val="normaltextrun"/>
          <w:rFonts w:cs="Arial"/>
          <w:color w:val="000000"/>
          <w:sz w:val="21"/>
          <w:szCs w:val="21"/>
          <w:shd w:val="clear" w:color="auto" w:fill="FFFFFF"/>
        </w:rPr>
        <w:t xml:space="preserve"> for identification of people at increased risk and dosing schedule.</w:t>
      </w:r>
    </w:p>
    <w:p w14:paraId="6929CAC3" w14:textId="77777777" w:rsidR="0034519C" w:rsidRPr="00A07447" w:rsidRDefault="0034519C" w:rsidP="0034519C">
      <w:pPr>
        <w:pStyle w:val="DHHSbody"/>
        <w:spacing w:before="120"/>
        <w:rPr>
          <w:rStyle w:val="normaltextrun"/>
          <w:rFonts w:cs="Arial"/>
          <w:color w:val="000000"/>
          <w:sz w:val="21"/>
          <w:szCs w:val="21"/>
          <w:shd w:val="clear" w:color="auto" w:fill="FFFFFF"/>
        </w:rPr>
      </w:pPr>
      <w:r w:rsidRPr="00A07447">
        <w:rPr>
          <w:rStyle w:val="normaltextrun"/>
          <w:rFonts w:cs="Arial"/>
          <w:color w:val="000000"/>
          <w:sz w:val="21"/>
          <w:szCs w:val="21"/>
          <w:shd w:val="clear" w:color="auto" w:fill="FFFFFF"/>
        </w:rPr>
        <w:t xml:space="preserve">Pharmacist immunisers are required to check the Australian Immunisation Register (AIR) records for previous doses, record any doses administered in AIR within the required timeframes, and ensure that patients (and their carers) are provided with suitable information about completing the full schedule of vaccines. </w:t>
      </w:r>
    </w:p>
    <w:p w14:paraId="03548E29" w14:textId="77777777" w:rsidR="0034519C" w:rsidRPr="00A07447" w:rsidRDefault="0034519C" w:rsidP="0034519C">
      <w:pPr>
        <w:pStyle w:val="DHHSbody"/>
        <w:spacing w:before="120"/>
        <w:rPr>
          <w:rStyle w:val="normaltextrun"/>
          <w:rFonts w:cs="Arial"/>
          <w:color w:val="000000"/>
          <w:sz w:val="21"/>
          <w:szCs w:val="21"/>
          <w:shd w:val="clear" w:color="auto" w:fill="FFFFFF"/>
        </w:rPr>
      </w:pPr>
      <w:r w:rsidRPr="00A07447">
        <w:rPr>
          <w:rStyle w:val="normaltextrun"/>
          <w:rFonts w:cs="Arial"/>
          <w:color w:val="000000"/>
          <w:sz w:val="21"/>
          <w:szCs w:val="21"/>
          <w:shd w:val="clear" w:color="auto" w:fill="FFFFFF"/>
        </w:rPr>
        <w:t>Decision making tools to support pharmacist immunisers administering the pneumococcal vaccine include:</w:t>
      </w:r>
    </w:p>
    <w:p w14:paraId="5DDE5CE9" w14:textId="77777777" w:rsidR="0034519C" w:rsidRPr="00A07447" w:rsidRDefault="007C798A" w:rsidP="0034519C">
      <w:pPr>
        <w:pStyle w:val="DHHSbullet1"/>
        <w:numPr>
          <w:ilvl w:val="0"/>
          <w:numId w:val="43"/>
        </w:numPr>
        <w:spacing w:line="240" w:lineRule="auto"/>
        <w:ind w:left="993" w:hanging="567"/>
        <w:rPr>
          <w:rStyle w:val="normaltextrun"/>
          <w:sz w:val="21"/>
          <w:szCs w:val="21"/>
        </w:rPr>
      </w:pPr>
      <w:hyperlink r:id="rId17" w:tgtFrame="_blank" w:history="1">
        <w:r w:rsidR="0034519C" w:rsidRPr="00A07447">
          <w:rPr>
            <w:rStyle w:val="normaltextrun"/>
            <w:rFonts w:cs="Arial"/>
            <w:color w:val="004C97"/>
            <w:sz w:val="21"/>
            <w:szCs w:val="21"/>
            <w:u w:val="single"/>
          </w:rPr>
          <w:t>The National Immunisation Program - Pneumococcal vaccination schedule from 1 July 2020 – Clinical decision tree for vaccination providers</w:t>
        </w:r>
      </w:hyperlink>
      <w:r w:rsidR="0034519C" w:rsidRPr="00A07447">
        <w:rPr>
          <w:rStyle w:val="normaltextrun"/>
          <w:rFonts w:cs="Arial"/>
          <w:sz w:val="21"/>
          <w:szCs w:val="21"/>
        </w:rPr>
        <w:t xml:space="preserve"> (issued by the Commonwealth Government) </w:t>
      </w:r>
    </w:p>
    <w:p w14:paraId="369F4252" w14:textId="77777777" w:rsidR="0034519C" w:rsidRPr="00A07447" w:rsidRDefault="0034519C" w:rsidP="0034519C">
      <w:pPr>
        <w:pStyle w:val="DHHSbullet1"/>
        <w:numPr>
          <w:ilvl w:val="0"/>
          <w:numId w:val="43"/>
        </w:numPr>
        <w:spacing w:line="240" w:lineRule="auto"/>
        <w:ind w:left="993" w:hanging="567"/>
        <w:rPr>
          <w:rFonts w:cs="Arial"/>
          <w:sz w:val="21"/>
          <w:szCs w:val="21"/>
        </w:rPr>
      </w:pPr>
      <w:r w:rsidRPr="00A07447">
        <w:rPr>
          <w:rStyle w:val="normaltextrun"/>
          <w:rFonts w:cs="Arial"/>
          <w:color w:val="004C97"/>
          <w:sz w:val="21"/>
          <w:szCs w:val="21"/>
          <w:u w:val="single"/>
        </w:rPr>
        <w:t xml:space="preserve">The </w:t>
      </w:r>
      <w:hyperlink r:id="rId18" w:tgtFrame="_blank" w:history="1">
        <w:proofErr w:type="spellStart"/>
        <w:r w:rsidRPr="00A07447">
          <w:rPr>
            <w:rStyle w:val="normaltextrun"/>
            <w:rFonts w:cs="Arial"/>
            <w:color w:val="004C97"/>
            <w:sz w:val="21"/>
            <w:szCs w:val="21"/>
            <w:u w:val="single"/>
          </w:rPr>
          <w:t>PneumoSmart</w:t>
        </w:r>
        <w:proofErr w:type="spellEnd"/>
        <w:r w:rsidRPr="00A07447">
          <w:rPr>
            <w:rStyle w:val="normaltextrun"/>
            <w:rFonts w:cs="Arial"/>
            <w:color w:val="004C97"/>
            <w:sz w:val="21"/>
            <w:szCs w:val="21"/>
            <w:u w:val="single"/>
          </w:rPr>
          <w:t xml:space="preserve"> Vaccination Tool</w:t>
        </w:r>
      </w:hyperlink>
      <w:r w:rsidRPr="00A07447">
        <w:rPr>
          <w:rStyle w:val="normaltextrun"/>
          <w:rFonts w:cs="Arial"/>
          <w:color w:val="004C97"/>
          <w:sz w:val="21"/>
          <w:szCs w:val="21"/>
          <w:u w:val="single"/>
        </w:rPr>
        <w:t xml:space="preserve"> and </w:t>
      </w:r>
      <w:hyperlink r:id="rId19" w:tgtFrame="_blank" w:history="1">
        <w:r w:rsidRPr="00A07447">
          <w:rPr>
            <w:rStyle w:val="normaltextrun"/>
            <w:rFonts w:cs="Arial"/>
            <w:color w:val="004C97"/>
            <w:sz w:val="21"/>
            <w:szCs w:val="21"/>
            <w:u w:val="single"/>
          </w:rPr>
          <w:t>Pneumococcal disease guide</w:t>
        </w:r>
      </w:hyperlink>
      <w:r w:rsidRPr="00A07447">
        <w:rPr>
          <w:rStyle w:val="normaltextrun"/>
          <w:rFonts w:cs="Arial"/>
          <w:color w:val="004C97"/>
          <w:sz w:val="21"/>
          <w:szCs w:val="21"/>
        </w:rPr>
        <w:t xml:space="preserve"> </w:t>
      </w:r>
      <w:r w:rsidRPr="00A07447">
        <w:rPr>
          <w:rStyle w:val="normaltextrun"/>
          <w:rFonts w:cs="Arial"/>
          <w:sz w:val="21"/>
          <w:szCs w:val="21"/>
        </w:rPr>
        <w:t xml:space="preserve">(issued by the Immunisation Coalition). </w:t>
      </w:r>
      <w:r w:rsidRPr="00A07447">
        <w:rPr>
          <w:rStyle w:val="eop"/>
          <w:rFonts w:cs="Arial"/>
          <w:color w:val="004C97"/>
          <w:sz w:val="21"/>
          <w:szCs w:val="21"/>
        </w:rPr>
        <w:t> </w:t>
      </w:r>
    </w:p>
    <w:p w14:paraId="16C00EF2" w14:textId="77777777" w:rsidR="0034519C" w:rsidRPr="00A07447" w:rsidRDefault="0034519C" w:rsidP="0034519C">
      <w:pPr>
        <w:pStyle w:val="DHHSbody"/>
        <w:spacing w:before="120"/>
        <w:rPr>
          <w:rStyle w:val="normaltextrun"/>
          <w:rFonts w:cs="Arial"/>
          <w:color w:val="000000"/>
          <w:sz w:val="21"/>
          <w:szCs w:val="21"/>
          <w:shd w:val="clear" w:color="auto" w:fill="FFFFFF"/>
        </w:rPr>
      </w:pPr>
      <w:r w:rsidRPr="00A07447">
        <w:rPr>
          <w:rStyle w:val="normaltextrun"/>
          <w:rFonts w:cs="Arial"/>
          <w:color w:val="000000"/>
          <w:sz w:val="21"/>
          <w:szCs w:val="21"/>
          <w:shd w:val="clear" w:color="auto" w:fill="FFFFFF"/>
        </w:rPr>
        <w:t>If the pharmac</w:t>
      </w:r>
      <w:r w:rsidRPr="00A07447">
        <w:rPr>
          <w:rStyle w:val="normaltextrun"/>
          <w:color w:val="000000"/>
          <w:sz w:val="21"/>
          <w:szCs w:val="21"/>
          <w:shd w:val="clear" w:color="auto" w:fill="FFFFFF"/>
        </w:rPr>
        <w:t xml:space="preserve">ist </w:t>
      </w:r>
      <w:r w:rsidRPr="00A07447">
        <w:rPr>
          <w:rStyle w:val="normaltextrun"/>
          <w:rFonts w:cs="Arial"/>
          <w:color w:val="000000"/>
          <w:sz w:val="21"/>
          <w:szCs w:val="21"/>
          <w:shd w:val="clear" w:color="auto" w:fill="FFFFFF"/>
        </w:rPr>
        <w:t xml:space="preserve">immuniser is in any doubt of the completeness or veracity of any information provided, the </w:t>
      </w:r>
      <w:r w:rsidRPr="00A07447">
        <w:rPr>
          <w:rStyle w:val="normaltextrun"/>
          <w:rFonts w:cs="Arial"/>
          <w:b/>
          <w:color w:val="000000"/>
          <w:sz w:val="21"/>
          <w:szCs w:val="21"/>
          <w:shd w:val="clear" w:color="auto" w:fill="FFFFFF"/>
        </w:rPr>
        <w:t>vaccination should not take place</w:t>
      </w:r>
      <w:r w:rsidRPr="00A07447">
        <w:rPr>
          <w:rStyle w:val="normaltextrun"/>
          <w:rFonts w:cs="Arial"/>
          <w:color w:val="000000"/>
          <w:sz w:val="21"/>
          <w:szCs w:val="21"/>
          <w:shd w:val="clear" w:color="auto" w:fill="FFFFFF"/>
        </w:rPr>
        <w:t xml:space="preserve"> and the patient should be referred to their medical practitioner for further assessment and care.</w:t>
      </w:r>
    </w:p>
    <w:p w14:paraId="11DF968B" w14:textId="0940839D" w:rsidR="00A00938" w:rsidRPr="00A07447" w:rsidRDefault="00A00938" w:rsidP="00A00938">
      <w:pPr>
        <w:pStyle w:val="DHHSbody"/>
        <w:rPr>
          <w:sz w:val="21"/>
          <w:szCs w:val="21"/>
        </w:rPr>
      </w:pPr>
      <w:r w:rsidRPr="00A07447">
        <w:rPr>
          <w:sz w:val="21"/>
          <w:szCs w:val="21"/>
        </w:rPr>
        <w:t>Authorising pharmacist immunisers to administer the pneumococcal vaccine to persons aged 50 years and older aligns with the recommended age to receive the vaccine under the NIP and provides these people with improved access to the vaccine.</w:t>
      </w:r>
    </w:p>
    <w:p w14:paraId="15489834" w14:textId="66BCD6CB" w:rsidR="00D521C4" w:rsidRDefault="00D521C4" w:rsidP="00D521C4">
      <w:pPr>
        <w:pStyle w:val="Heading4"/>
      </w:pPr>
      <w:r>
        <w:t>Herpes zoster (shingles) vaccination</w:t>
      </w:r>
    </w:p>
    <w:p w14:paraId="357C4AF5" w14:textId="11F95218" w:rsidR="00D521C4" w:rsidRPr="0009031C" w:rsidRDefault="00D521C4" w:rsidP="00D521C4">
      <w:pPr>
        <w:pStyle w:val="DHHSbody"/>
        <w:rPr>
          <w:sz w:val="21"/>
          <w:szCs w:val="21"/>
        </w:rPr>
      </w:pPr>
      <w:r w:rsidRPr="6BDC235D">
        <w:rPr>
          <w:sz w:val="21"/>
          <w:szCs w:val="21"/>
        </w:rPr>
        <w:t xml:space="preserve">People aged 70 to 79 years are expected to benefit most from </w:t>
      </w:r>
      <w:r w:rsidRPr="00D521C4">
        <w:rPr>
          <w:sz w:val="21"/>
          <w:szCs w:val="21"/>
        </w:rPr>
        <w:t>herpes zoster vaccination</w:t>
      </w:r>
      <w:r w:rsidRPr="6BDC235D">
        <w:rPr>
          <w:sz w:val="21"/>
          <w:szCs w:val="21"/>
        </w:rPr>
        <w:t xml:space="preserve">. </w:t>
      </w:r>
      <w:r>
        <w:rPr>
          <w:sz w:val="21"/>
          <w:szCs w:val="21"/>
        </w:rPr>
        <w:t>The Australian Technical Advisory Group on Immunisation (</w:t>
      </w:r>
      <w:r w:rsidRPr="6BDC235D">
        <w:rPr>
          <w:sz w:val="21"/>
          <w:szCs w:val="21"/>
        </w:rPr>
        <w:t>ATAGI</w:t>
      </w:r>
      <w:r>
        <w:rPr>
          <w:sz w:val="21"/>
          <w:szCs w:val="21"/>
        </w:rPr>
        <w:t>)</w:t>
      </w:r>
      <w:r w:rsidRPr="6BDC235D">
        <w:rPr>
          <w:sz w:val="21"/>
          <w:szCs w:val="21"/>
        </w:rPr>
        <w:t xml:space="preserve"> recommend that adults aged 60 years of age and older who have not yet received a shingles vaccine should do so. Adults aged 50 years and older who are household contacts of a person who is immunocompromised are also recommended to receive the vaccine. Otherwise, adults aged 50 years and older are not routinely recommended to receive the vaccine, but </w:t>
      </w:r>
      <w:r>
        <w:rPr>
          <w:sz w:val="21"/>
          <w:szCs w:val="21"/>
        </w:rPr>
        <w:t>may choose to be vaccinated</w:t>
      </w:r>
      <w:r w:rsidRPr="6BDC235D">
        <w:rPr>
          <w:sz w:val="21"/>
          <w:szCs w:val="21"/>
        </w:rPr>
        <w:t xml:space="preserve"> to reduce their risk of shingles</w:t>
      </w:r>
      <w:r w:rsidR="00A3601A">
        <w:rPr>
          <w:sz w:val="21"/>
          <w:szCs w:val="21"/>
          <w:vertAlign w:val="superscript"/>
        </w:rPr>
        <w:t>2</w:t>
      </w:r>
      <w:r w:rsidRPr="6BDC235D">
        <w:rPr>
          <w:sz w:val="21"/>
          <w:szCs w:val="21"/>
        </w:rPr>
        <w:t>.</w:t>
      </w:r>
    </w:p>
    <w:p w14:paraId="55336292" w14:textId="391598B1" w:rsidR="00A00938" w:rsidRDefault="00A00938" w:rsidP="00A00938">
      <w:pPr>
        <w:pStyle w:val="DHHSbody"/>
        <w:rPr>
          <w:sz w:val="21"/>
          <w:szCs w:val="21"/>
        </w:rPr>
      </w:pPr>
      <w:r w:rsidRPr="6BDC235D">
        <w:rPr>
          <w:sz w:val="21"/>
          <w:szCs w:val="21"/>
        </w:rPr>
        <w:t xml:space="preserve">The shingles vaccine is currently available in two formulations:  </w:t>
      </w:r>
    </w:p>
    <w:p w14:paraId="2F59612B" w14:textId="77777777" w:rsidR="00A00938" w:rsidRDefault="00A00938" w:rsidP="00A00938">
      <w:pPr>
        <w:pStyle w:val="DHHSbody"/>
        <w:numPr>
          <w:ilvl w:val="0"/>
          <w:numId w:val="42"/>
        </w:numPr>
        <w:rPr>
          <w:sz w:val="21"/>
          <w:szCs w:val="21"/>
        </w:rPr>
      </w:pPr>
      <w:r w:rsidRPr="6BDC235D">
        <w:rPr>
          <w:sz w:val="21"/>
          <w:szCs w:val="21"/>
        </w:rPr>
        <w:t>Zostavax</w:t>
      </w:r>
      <w:r w:rsidRPr="6BDC235D">
        <w:rPr>
          <w:sz w:val="21"/>
          <w:szCs w:val="21"/>
          <w:vertAlign w:val="superscript"/>
        </w:rPr>
        <w:t>®</w:t>
      </w:r>
      <w:r w:rsidRPr="6BDC235D">
        <w:rPr>
          <w:sz w:val="21"/>
          <w:szCs w:val="21"/>
        </w:rPr>
        <w:t xml:space="preserve"> - which is funded through the </w:t>
      </w:r>
      <w:r>
        <w:rPr>
          <w:sz w:val="21"/>
          <w:szCs w:val="21"/>
        </w:rPr>
        <w:t>NIP</w:t>
      </w:r>
      <w:r w:rsidRPr="6BDC235D">
        <w:rPr>
          <w:sz w:val="21"/>
          <w:szCs w:val="21"/>
        </w:rPr>
        <w:t xml:space="preserve"> as a single dose vaccine for persons aged 70 years and older and includes a catch-up program for Victorian adults aged 71-79 years until October 2023.</w:t>
      </w:r>
      <w:r w:rsidRPr="448BF94F">
        <w:rPr>
          <w:sz w:val="21"/>
          <w:szCs w:val="21"/>
        </w:rPr>
        <w:t> </w:t>
      </w:r>
      <w:r w:rsidRPr="6BDC235D">
        <w:rPr>
          <w:sz w:val="21"/>
          <w:szCs w:val="21"/>
        </w:rPr>
        <w:t xml:space="preserve"> </w:t>
      </w:r>
    </w:p>
    <w:p w14:paraId="12F17834" w14:textId="77777777" w:rsidR="00A00938" w:rsidRDefault="00A00938" w:rsidP="00A00938">
      <w:pPr>
        <w:pStyle w:val="DHHSbody"/>
        <w:numPr>
          <w:ilvl w:val="0"/>
          <w:numId w:val="42"/>
        </w:numPr>
        <w:rPr>
          <w:b/>
          <w:sz w:val="21"/>
          <w:szCs w:val="21"/>
        </w:rPr>
      </w:pPr>
      <w:r w:rsidRPr="6BDC235D">
        <w:rPr>
          <w:sz w:val="21"/>
          <w:szCs w:val="21"/>
        </w:rPr>
        <w:t>Shingrix</w:t>
      </w:r>
      <w:r w:rsidRPr="6BDC235D">
        <w:rPr>
          <w:sz w:val="21"/>
          <w:szCs w:val="21"/>
          <w:vertAlign w:val="superscript"/>
        </w:rPr>
        <w:t>®</w:t>
      </w:r>
      <w:r w:rsidRPr="6BDC235D">
        <w:rPr>
          <w:sz w:val="21"/>
          <w:szCs w:val="21"/>
        </w:rPr>
        <w:t xml:space="preserve"> - is not available through the </w:t>
      </w:r>
      <w:r>
        <w:rPr>
          <w:sz w:val="21"/>
          <w:szCs w:val="21"/>
        </w:rPr>
        <w:t>NIP</w:t>
      </w:r>
      <w:r w:rsidRPr="6BDC235D">
        <w:rPr>
          <w:sz w:val="21"/>
          <w:szCs w:val="21"/>
        </w:rPr>
        <w:t>. This is currently a ‘private prescription only’ vaccine.</w:t>
      </w:r>
      <w:r w:rsidRPr="448BF94F">
        <w:rPr>
          <w:sz w:val="21"/>
          <w:szCs w:val="21"/>
        </w:rPr>
        <w:t> Out</w:t>
      </w:r>
      <w:r w:rsidRPr="6BDC235D">
        <w:rPr>
          <w:sz w:val="21"/>
          <w:szCs w:val="21"/>
        </w:rPr>
        <w:t xml:space="preserve">-of-pocket costs for the vaccine </w:t>
      </w:r>
      <w:r w:rsidRPr="448BF94F">
        <w:rPr>
          <w:sz w:val="21"/>
          <w:szCs w:val="21"/>
        </w:rPr>
        <w:t>are</w:t>
      </w:r>
      <w:r w:rsidRPr="6BDC235D">
        <w:rPr>
          <w:sz w:val="21"/>
          <w:szCs w:val="21"/>
        </w:rPr>
        <w:t xml:space="preserve"> approximately $400-500/course, with a 2</w:t>
      </w:r>
      <w:r w:rsidRPr="448BF94F">
        <w:rPr>
          <w:sz w:val="21"/>
          <w:szCs w:val="21"/>
        </w:rPr>
        <w:t>-</w:t>
      </w:r>
      <w:r w:rsidRPr="6BDC235D">
        <w:rPr>
          <w:sz w:val="21"/>
          <w:szCs w:val="21"/>
        </w:rPr>
        <w:t>dose schedule required.</w:t>
      </w:r>
    </w:p>
    <w:p w14:paraId="368A7371" w14:textId="101693CF" w:rsidR="00A74F5B" w:rsidRDefault="00A00938" w:rsidP="00A00938">
      <w:pPr>
        <w:pStyle w:val="DHHSbody"/>
        <w:rPr>
          <w:sz w:val="21"/>
          <w:szCs w:val="21"/>
        </w:rPr>
      </w:pPr>
      <w:r w:rsidRPr="6BDC235D">
        <w:rPr>
          <w:sz w:val="21"/>
          <w:szCs w:val="21"/>
        </w:rPr>
        <w:t>The Zostavax</w:t>
      </w:r>
      <w:r w:rsidRPr="6BDC235D">
        <w:rPr>
          <w:sz w:val="21"/>
          <w:szCs w:val="21"/>
          <w:vertAlign w:val="superscript"/>
        </w:rPr>
        <w:t>®</w:t>
      </w:r>
      <w:r w:rsidRPr="6BDC235D">
        <w:rPr>
          <w:sz w:val="21"/>
          <w:szCs w:val="21"/>
        </w:rPr>
        <w:t xml:space="preserve"> </w:t>
      </w:r>
      <w:r w:rsidRPr="00A74F5B">
        <w:rPr>
          <w:sz w:val="21"/>
          <w:szCs w:val="21"/>
        </w:rPr>
        <w:t xml:space="preserve">vaccine is a live herpes zoster vaccine. </w:t>
      </w:r>
      <w:r w:rsidR="004E0156" w:rsidRPr="001F0D6A">
        <w:rPr>
          <w:rStyle w:val="normaltextrun"/>
          <w:rFonts w:cs="Arial"/>
          <w:color w:val="000000"/>
          <w:sz w:val="21"/>
          <w:szCs w:val="21"/>
          <w:bdr w:val="none" w:sz="0" w:space="0" w:color="auto" w:frame="1"/>
        </w:rPr>
        <w:t xml:space="preserve">It is contraindicated in people with current or recent severe immunocompromising conditions from </w:t>
      </w:r>
      <w:r w:rsidR="00A74F5B" w:rsidRPr="001F0D6A">
        <w:rPr>
          <w:rStyle w:val="normaltextrun"/>
          <w:rFonts w:cs="Arial"/>
          <w:color w:val="000000"/>
          <w:sz w:val="21"/>
          <w:szCs w:val="21"/>
          <w:bdr w:val="none" w:sz="0" w:space="0" w:color="auto" w:frame="1"/>
        </w:rPr>
        <w:t>a primary or acquired medical condition, or medical condition</w:t>
      </w:r>
      <w:r w:rsidRPr="00A74F5B">
        <w:rPr>
          <w:sz w:val="21"/>
          <w:szCs w:val="21"/>
        </w:rPr>
        <w:t xml:space="preserve">. If the immuniser is uncertain about the person’s level of immunocompromise and whether vaccination is safe, they should </w:t>
      </w:r>
      <w:r w:rsidRPr="00A74F5B">
        <w:rPr>
          <w:b/>
          <w:sz w:val="21"/>
          <w:szCs w:val="21"/>
        </w:rPr>
        <w:t>not</w:t>
      </w:r>
      <w:r w:rsidRPr="00A74F5B">
        <w:rPr>
          <w:sz w:val="21"/>
          <w:szCs w:val="21"/>
        </w:rPr>
        <w:t xml:space="preserve"> vaccinate with the Zostavax</w:t>
      </w:r>
      <w:r w:rsidRPr="00A74F5B">
        <w:rPr>
          <w:sz w:val="21"/>
          <w:szCs w:val="21"/>
          <w:vertAlign w:val="superscript"/>
        </w:rPr>
        <w:t>®</w:t>
      </w:r>
      <w:r w:rsidRPr="00A74F5B">
        <w:rPr>
          <w:sz w:val="21"/>
          <w:szCs w:val="21"/>
        </w:rPr>
        <w:t xml:space="preserve"> vaccine. </w:t>
      </w:r>
    </w:p>
    <w:p w14:paraId="2B920D40" w14:textId="2DC6968D" w:rsidR="00A00938" w:rsidRDefault="00A00938" w:rsidP="00A00938">
      <w:pPr>
        <w:pStyle w:val="DHHSbody"/>
        <w:rPr>
          <w:sz w:val="21"/>
          <w:szCs w:val="21"/>
        </w:rPr>
      </w:pPr>
      <w:r w:rsidRPr="00A74F5B">
        <w:rPr>
          <w:sz w:val="21"/>
          <w:szCs w:val="21"/>
        </w:rPr>
        <w:t>The Shingrix</w:t>
      </w:r>
      <w:r w:rsidRPr="00A74F5B">
        <w:rPr>
          <w:sz w:val="21"/>
          <w:szCs w:val="21"/>
          <w:vertAlign w:val="superscript"/>
        </w:rPr>
        <w:t>®</w:t>
      </w:r>
      <w:r w:rsidRPr="00A74F5B">
        <w:rPr>
          <w:sz w:val="21"/>
          <w:szCs w:val="21"/>
        </w:rPr>
        <w:t xml:space="preserve"> vaccine is not a live vaccine and is safe to use in immunocompromised, or shortly expected to be immunocompromised</w:t>
      </w:r>
      <w:r w:rsidRPr="6BDC235D">
        <w:rPr>
          <w:sz w:val="21"/>
          <w:szCs w:val="21"/>
        </w:rPr>
        <w:t xml:space="preserve"> persons aged 50 years and older</w:t>
      </w:r>
      <w:r w:rsidRPr="6BDC235D">
        <w:rPr>
          <w:rStyle w:val="FootnoteReference"/>
          <w:sz w:val="21"/>
          <w:szCs w:val="21"/>
        </w:rPr>
        <w:footnoteReference w:id="4"/>
      </w:r>
      <w:r w:rsidRPr="6BDC235D">
        <w:rPr>
          <w:sz w:val="21"/>
          <w:szCs w:val="21"/>
        </w:rPr>
        <w:t xml:space="preserve">. </w:t>
      </w:r>
    </w:p>
    <w:p w14:paraId="7F94EB9E" w14:textId="77777777" w:rsidR="0034519C" w:rsidRPr="00AA1F35" w:rsidRDefault="0034519C" w:rsidP="0034519C">
      <w:pPr>
        <w:pStyle w:val="DHHSbody"/>
        <w:spacing w:before="120"/>
        <w:rPr>
          <w:rFonts w:cs="Arial"/>
          <w:sz w:val="21"/>
          <w:szCs w:val="21"/>
        </w:rPr>
      </w:pPr>
      <w:r w:rsidRPr="00AA1F35">
        <w:rPr>
          <w:rStyle w:val="normaltextrun"/>
          <w:rFonts w:cs="Arial"/>
          <w:color w:val="000000"/>
          <w:sz w:val="21"/>
          <w:szCs w:val="21"/>
          <w:bdr w:val="none" w:sz="0" w:space="0" w:color="auto" w:frame="1"/>
        </w:rPr>
        <w:t xml:space="preserve">Where this information is not complete or the veracity of information is uncertain, the </w:t>
      </w:r>
      <w:r w:rsidRPr="00AA1F35">
        <w:rPr>
          <w:rStyle w:val="normaltextrun"/>
          <w:rFonts w:cs="Arial"/>
          <w:b/>
          <w:color w:val="000000"/>
          <w:sz w:val="21"/>
          <w:szCs w:val="21"/>
          <w:bdr w:val="none" w:sz="0" w:space="0" w:color="auto" w:frame="1"/>
        </w:rPr>
        <w:t>vaccination should not take place</w:t>
      </w:r>
      <w:r w:rsidRPr="00AA1F35">
        <w:rPr>
          <w:rStyle w:val="normaltextrun"/>
          <w:rFonts w:cs="Arial"/>
          <w:color w:val="000000"/>
          <w:sz w:val="21"/>
          <w:szCs w:val="21"/>
          <w:bdr w:val="none" w:sz="0" w:space="0" w:color="auto" w:frame="1"/>
        </w:rPr>
        <w:t xml:space="preserve"> and the patient should be referred to their medical practitioner for further assessment and care. </w:t>
      </w:r>
    </w:p>
    <w:p w14:paraId="1D1319E8" w14:textId="4D3128BE" w:rsidR="00A00938" w:rsidRPr="00AA1F35" w:rsidRDefault="00A00938" w:rsidP="00A00938">
      <w:pPr>
        <w:pStyle w:val="DHHSbody"/>
        <w:rPr>
          <w:sz w:val="21"/>
          <w:szCs w:val="21"/>
        </w:rPr>
      </w:pPr>
      <w:r w:rsidRPr="00AA1F35">
        <w:rPr>
          <w:sz w:val="21"/>
          <w:szCs w:val="21"/>
        </w:rPr>
        <w:t>Authorisation of pharmacist immunisers to administer the herpes zoster vaccine to persons aged 50 years and older increase</w:t>
      </w:r>
      <w:r w:rsidR="00D521C4" w:rsidRPr="00AA1F35">
        <w:rPr>
          <w:sz w:val="21"/>
          <w:szCs w:val="21"/>
        </w:rPr>
        <w:t>s</w:t>
      </w:r>
      <w:r w:rsidRPr="00AA1F35">
        <w:rPr>
          <w:sz w:val="21"/>
          <w:szCs w:val="21"/>
        </w:rPr>
        <w:t xml:space="preserve"> access for people who are recommended for vaccination. </w:t>
      </w:r>
    </w:p>
    <w:p w14:paraId="07F151C4" w14:textId="4564E219" w:rsidR="00D521C4" w:rsidRDefault="00D521C4" w:rsidP="00D521C4">
      <w:pPr>
        <w:pStyle w:val="Heading1"/>
      </w:pPr>
      <w:r>
        <w:t>Administering the monkeypox vaccine to people recommended for vaccination</w:t>
      </w:r>
    </w:p>
    <w:p w14:paraId="5A1297B8" w14:textId="491BFF3B" w:rsidR="0034519C" w:rsidRPr="0034519C" w:rsidRDefault="0034519C" w:rsidP="0034519C">
      <w:pPr>
        <w:pStyle w:val="Body"/>
        <w:rPr>
          <w:rStyle w:val="normaltextrun"/>
          <w:rFonts w:cs="Arial"/>
          <w:color w:val="000000"/>
          <w:szCs w:val="21"/>
          <w:shd w:val="clear" w:color="auto" w:fill="FFFFFF"/>
        </w:rPr>
      </w:pPr>
      <w:r w:rsidRPr="0034519C">
        <w:rPr>
          <w:rStyle w:val="normaltextrun"/>
          <w:rFonts w:cs="Arial"/>
          <w:color w:val="000000"/>
          <w:szCs w:val="21"/>
          <w:shd w:val="clear" w:color="auto" w:fill="FFFFFF"/>
        </w:rPr>
        <w:t>Since May 2022, there has been a global increase in monkeypox infections in multiple countries where the illness is not usually seen. Monkeypox was first reported in Australia in May 2022 and declared by the World Health Organization as a Public Health Emergency of International Concern on 23 July 2022. On 28 July 2022, Australia’s Chief Medical Officer declared monkeypox a Communicable Disease of National Significance</w:t>
      </w:r>
      <w:r>
        <w:rPr>
          <w:rStyle w:val="FootnoteReference"/>
          <w:rFonts w:cs="Arial"/>
          <w:color w:val="000000"/>
          <w:szCs w:val="21"/>
          <w:shd w:val="clear" w:color="auto" w:fill="FFFFFF"/>
        </w:rPr>
        <w:footnoteReference w:id="5"/>
      </w:r>
      <w:r w:rsidRPr="0034519C">
        <w:rPr>
          <w:rStyle w:val="normaltextrun"/>
          <w:rFonts w:cs="Arial"/>
          <w:color w:val="000000"/>
          <w:szCs w:val="21"/>
          <w:shd w:val="clear" w:color="auto" w:fill="FFFFFF"/>
        </w:rPr>
        <w:t xml:space="preserve">. </w:t>
      </w:r>
    </w:p>
    <w:p w14:paraId="26940042" w14:textId="24C6927E" w:rsidR="00A00938" w:rsidRDefault="0034519C" w:rsidP="0034519C">
      <w:pPr>
        <w:pStyle w:val="Body"/>
        <w:rPr>
          <w:rStyle w:val="normaltextrun"/>
          <w:rFonts w:cs="Arial"/>
          <w:color w:val="000000"/>
          <w:szCs w:val="21"/>
          <w:shd w:val="clear" w:color="auto" w:fill="FFFFFF"/>
        </w:rPr>
      </w:pPr>
      <w:r w:rsidRPr="0034519C">
        <w:rPr>
          <w:rStyle w:val="normaltextrun"/>
          <w:rFonts w:cs="Arial"/>
          <w:color w:val="000000"/>
          <w:szCs w:val="21"/>
          <w:shd w:val="clear" w:color="auto" w:fill="FFFFFF"/>
        </w:rPr>
        <w:t xml:space="preserve">A comprehensive whole of government response to the monkeypox virus is currently underway in Victoria which includes distribution of the monkeypox vaccine through select sexual health centres, health services and Local Public Health Units.  </w:t>
      </w:r>
    </w:p>
    <w:p w14:paraId="70EEB9C5" w14:textId="476FB176" w:rsidR="0034519C" w:rsidRDefault="0034519C" w:rsidP="0034519C">
      <w:pPr>
        <w:pStyle w:val="Body"/>
        <w:rPr>
          <w:rStyle w:val="eop"/>
          <w:rFonts w:cs="Arial"/>
          <w:color w:val="000000"/>
          <w:szCs w:val="21"/>
          <w:shd w:val="clear" w:color="auto" w:fill="FFFFFF"/>
        </w:rPr>
      </w:pPr>
      <w:r>
        <w:rPr>
          <w:rStyle w:val="normaltextrun"/>
          <w:rFonts w:cs="Arial"/>
          <w:color w:val="000000"/>
          <w:szCs w:val="21"/>
          <w:shd w:val="clear" w:color="auto" w:fill="FFFFFF"/>
        </w:rPr>
        <w:t xml:space="preserve">While </w:t>
      </w:r>
      <w:r w:rsidR="00F85D45">
        <w:rPr>
          <w:rStyle w:val="normaltextrun"/>
          <w:rFonts w:cs="Arial"/>
          <w:color w:val="000000"/>
          <w:szCs w:val="21"/>
          <w:shd w:val="clear" w:color="auto" w:fill="FFFFFF"/>
        </w:rPr>
        <w:t xml:space="preserve">the </w:t>
      </w:r>
      <w:r>
        <w:rPr>
          <w:rStyle w:val="normaltextrun"/>
          <w:rFonts w:cs="Arial"/>
          <w:color w:val="000000"/>
          <w:szCs w:val="21"/>
          <w:shd w:val="clear" w:color="auto" w:fill="FFFFFF"/>
        </w:rPr>
        <w:t>monk</w:t>
      </w:r>
      <w:r w:rsidR="00F85D45">
        <w:rPr>
          <w:rStyle w:val="normaltextrun"/>
          <w:rFonts w:cs="Arial"/>
          <w:color w:val="000000"/>
          <w:szCs w:val="21"/>
          <w:shd w:val="clear" w:color="auto" w:fill="FFFFFF"/>
        </w:rPr>
        <w:t>e</w:t>
      </w:r>
      <w:r>
        <w:rPr>
          <w:rStyle w:val="normaltextrun"/>
          <w:rFonts w:cs="Arial"/>
          <w:color w:val="000000"/>
          <w:szCs w:val="21"/>
          <w:shd w:val="clear" w:color="auto" w:fill="FFFFFF"/>
        </w:rPr>
        <w:t>ypox vaccine is in high demand and very short supply globally, authorisation and training of pharmacist immunisers to administer the monkeypox vaccine to people recommended for vaccination</w:t>
      </w:r>
      <w:r w:rsidR="00F85D45">
        <w:rPr>
          <w:rStyle w:val="FootnoteReference"/>
          <w:rFonts w:cs="Arial"/>
          <w:color w:val="000000"/>
          <w:szCs w:val="21"/>
          <w:shd w:val="clear" w:color="auto" w:fill="FFFFFF"/>
        </w:rPr>
        <w:footnoteReference w:id="6"/>
      </w:r>
      <w:r>
        <w:rPr>
          <w:rStyle w:val="normaltextrun"/>
          <w:rFonts w:cs="Arial"/>
          <w:color w:val="000000"/>
          <w:szCs w:val="21"/>
          <w:shd w:val="clear" w:color="auto" w:fill="FFFFFF"/>
        </w:rPr>
        <w:t>, aged five years and older, will align with the minimum age group that is within the pharmacist immuniser’s scope of practice in case of an expansion to the groups recommended for vaccination, and ensure that Victoria is prepared and well positioned when more vaccine becomes available and it is determined that additional models of care involving partnerships with primary care partners (including community pharmacies) need to be established.</w:t>
      </w:r>
      <w:r>
        <w:rPr>
          <w:rStyle w:val="eop"/>
          <w:rFonts w:cs="Arial"/>
          <w:color w:val="000000"/>
          <w:szCs w:val="21"/>
          <w:shd w:val="clear" w:color="auto" w:fill="FFFFFF"/>
        </w:rPr>
        <w:t> </w:t>
      </w:r>
    </w:p>
    <w:p w14:paraId="66958E80" w14:textId="6F2A1B7D" w:rsidR="00F85D45" w:rsidRPr="00A07447" w:rsidRDefault="00F85D45" w:rsidP="00F85D45">
      <w:pPr>
        <w:pStyle w:val="DHHSbody"/>
        <w:rPr>
          <w:sz w:val="21"/>
          <w:szCs w:val="21"/>
        </w:rPr>
      </w:pPr>
      <w:r w:rsidRPr="00A07447">
        <w:rPr>
          <w:sz w:val="21"/>
          <w:szCs w:val="21"/>
        </w:rPr>
        <w:t xml:space="preserve">The list of persons may be updated from time to time in response to changing circumstances, so pharmacist immunisers are required to be aware of the priority target groups recommended for vaccination.  </w:t>
      </w:r>
      <w:r w:rsidRPr="00A07447">
        <w:rPr>
          <w:b/>
          <w:bCs/>
          <w:sz w:val="21"/>
          <w:szCs w:val="21"/>
        </w:rPr>
        <w:t>Please note</w:t>
      </w:r>
      <w:r w:rsidRPr="00A07447">
        <w:rPr>
          <w:sz w:val="21"/>
          <w:szCs w:val="21"/>
        </w:rPr>
        <w:t xml:space="preserve"> that individuals requesting the monkeypox vaccine can self-identify that they meet the current eligibility criteria. They do not need to identify which criteria they meet, nor provide any proof of eligibility. The website is available at: &lt;</w:t>
      </w:r>
      <w:hyperlink r:id="rId20" w:history="1">
        <w:r w:rsidRPr="00A07447">
          <w:rPr>
            <w:rStyle w:val="Hyperlink"/>
            <w:rFonts w:cs="Arial"/>
            <w:sz w:val="21"/>
            <w:szCs w:val="21"/>
          </w:rPr>
          <w:t>https://www.health.vic.gov.au/infectious-diseases/monkeypox</w:t>
        </w:r>
      </w:hyperlink>
      <w:r w:rsidRPr="00A07447">
        <w:rPr>
          <w:sz w:val="21"/>
          <w:szCs w:val="21"/>
        </w:rPr>
        <w:t xml:space="preserve">&gt;.  </w:t>
      </w:r>
    </w:p>
    <w:p w14:paraId="3B9C9C8B" w14:textId="77777777" w:rsidR="00F85D45" w:rsidRPr="00A07447" w:rsidRDefault="00F85D45" w:rsidP="00F85D45">
      <w:pPr>
        <w:pStyle w:val="DHHSbody"/>
        <w:rPr>
          <w:sz w:val="21"/>
          <w:szCs w:val="21"/>
        </w:rPr>
      </w:pPr>
      <w:r w:rsidRPr="00A07447">
        <w:rPr>
          <w:sz w:val="21"/>
          <w:szCs w:val="21"/>
        </w:rPr>
        <w:t xml:space="preserve">Vaccine supply is limited and controlled centrally through the department. </w:t>
      </w:r>
      <w:r w:rsidRPr="00A07447">
        <w:rPr>
          <w:b/>
          <w:bCs/>
          <w:sz w:val="21"/>
          <w:szCs w:val="21"/>
        </w:rPr>
        <w:t>At present, supply is prioritised for select sexual health services, health services and Local Public Health Units</w:t>
      </w:r>
      <w:r w:rsidRPr="00A07447">
        <w:rPr>
          <w:sz w:val="21"/>
          <w:szCs w:val="21"/>
        </w:rPr>
        <w:t xml:space="preserve">. Any updates to the models of care and vaccine distribution will be communicated via the department’s Monkeypox webpage, or as arranged through the department or a Local Public Health Unit. </w:t>
      </w:r>
    </w:p>
    <w:p w14:paraId="12889F3E" w14:textId="5AA8A5DF" w:rsidR="00F85D45" w:rsidRPr="00A07447" w:rsidRDefault="00F85D45" w:rsidP="00F85D45">
      <w:pPr>
        <w:pStyle w:val="DHHSbody"/>
        <w:rPr>
          <w:sz w:val="21"/>
          <w:szCs w:val="21"/>
        </w:rPr>
      </w:pPr>
      <w:r w:rsidRPr="00A07447">
        <w:rPr>
          <w:sz w:val="21"/>
          <w:szCs w:val="21"/>
        </w:rPr>
        <w:t xml:space="preserve">Compliance with the </w:t>
      </w:r>
      <w:r w:rsidRPr="00A07447">
        <w:rPr>
          <w:i/>
          <w:sz w:val="21"/>
          <w:szCs w:val="21"/>
        </w:rPr>
        <w:t xml:space="preserve">Victorian monkeypox vaccination </w:t>
      </w:r>
      <w:r w:rsidR="00B524DE">
        <w:rPr>
          <w:i/>
          <w:sz w:val="21"/>
          <w:szCs w:val="21"/>
        </w:rPr>
        <w:t xml:space="preserve">program </w:t>
      </w:r>
      <w:r w:rsidRPr="00A07447">
        <w:rPr>
          <w:i/>
          <w:sz w:val="21"/>
          <w:szCs w:val="21"/>
        </w:rPr>
        <w:t>guidelines</w:t>
      </w:r>
      <w:r w:rsidR="00137DC8">
        <w:rPr>
          <w:rStyle w:val="FootnoteReference"/>
          <w:i/>
          <w:sz w:val="21"/>
          <w:szCs w:val="21"/>
        </w:rPr>
        <w:footnoteReference w:id="7"/>
      </w:r>
      <w:r w:rsidRPr="00A07447">
        <w:rPr>
          <w:i/>
          <w:sz w:val="21"/>
          <w:szCs w:val="21"/>
        </w:rPr>
        <w:t xml:space="preserve"> </w:t>
      </w:r>
      <w:r w:rsidRPr="00A07447">
        <w:rPr>
          <w:sz w:val="21"/>
          <w:szCs w:val="21"/>
        </w:rPr>
        <w:t>is a condition of the Secretary Approval: Pharmacist Immuniser when administering the monkeypox vaccine to people recommended for vaccination.</w:t>
      </w:r>
    </w:p>
    <w:p w14:paraId="6E8DAF6D" w14:textId="5B000092" w:rsidR="00A3601A" w:rsidRDefault="00A3601A" w:rsidP="00A3601A">
      <w:pPr>
        <w:pStyle w:val="Heading4"/>
      </w:pPr>
      <w:r>
        <w:t>Additional training required for monkeypox vaccine administration</w:t>
      </w:r>
    </w:p>
    <w:p w14:paraId="4246511E" w14:textId="63A93CC8" w:rsidR="00F85D45" w:rsidRPr="00A07447" w:rsidRDefault="00F85D45" w:rsidP="00F85D45">
      <w:pPr>
        <w:pStyle w:val="DHHSbody"/>
        <w:rPr>
          <w:sz w:val="21"/>
          <w:szCs w:val="21"/>
        </w:rPr>
      </w:pPr>
      <w:r w:rsidRPr="00A07447">
        <w:rPr>
          <w:rFonts w:cs="Arial"/>
          <w:sz w:val="21"/>
          <w:szCs w:val="21"/>
        </w:rPr>
        <w:t xml:space="preserve">Pharmacist Immunisers who are administering the monkeypox vaccine to individuals recommended for vaccination in Victoria must first complete the </w:t>
      </w:r>
      <w:r w:rsidRPr="00A07447">
        <w:rPr>
          <w:rFonts w:cs="Arial"/>
          <w:i/>
          <w:iCs/>
          <w:sz w:val="21"/>
          <w:szCs w:val="21"/>
        </w:rPr>
        <w:t>Monkeypox vaccination eLearning module</w:t>
      </w:r>
      <w:r w:rsidRPr="00A07447">
        <w:rPr>
          <w:rFonts w:cs="Arial"/>
          <w:sz w:val="21"/>
          <w:szCs w:val="21"/>
        </w:rPr>
        <w:t xml:space="preserve"> that has been approved by the Deputy Chief Health Officer – Communicable Disease. This training takes approximately 30 minutes to complete and can be accessed free from </w:t>
      </w:r>
      <w:r w:rsidRPr="00A07447">
        <w:rPr>
          <w:sz w:val="21"/>
          <w:szCs w:val="21"/>
        </w:rPr>
        <w:t>&lt;</w:t>
      </w:r>
      <w:hyperlink r:id="rId21" w:history="1">
        <w:r w:rsidRPr="00A07447">
          <w:rPr>
            <w:rStyle w:val="Hyperlink"/>
            <w:sz w:val="21"/>
            <w:szCs w:val="21"/>
          </w:rPr>
          <w:t>https://www.health.vic.gov.au/immunisation/programs-of-study</w:t>
        </w:r>
      </w:hyperlink>
      <w:r w:rsidRPr="00A07447">
        <w:rPr>
          <w:sz w:val="21"/>
          <w:szCs w:val="21"/>
        </w:rPr>
        <w:t xml:space="preserve">&gt;. Completion of this training is a condition of authorisation. </w:t>
      </w:r>
    </w:p>
    <w:p w14:paraId="1EA2B93A" w14:textId="77777777" w:rsidR="00F85D45" w:rsidRPr="00A07447" w:rsidRDefault="00F85D45" w:rsidP="00F85D45">
      <w:pPr>
        <w:pStyle w:val="paragraph"/>
        <w:spacing w:before="0" w:beforeAutospacing="0" w:after="120" w:afterAutospacing="0"/>
        <w:textAlignment w:val="baseline"/>
        <w:rPr>
          <w:rFonts w:ascii="Arial" w:eastAsia="Times" w:hAnsi="Arial" w:cs="Arial"/>
          <w:sz w:val="21"/>
          <w:szCs w:val="21"/>
          <w:lang w:eastAsia="en-US"/>
        </w:rPr>
      </w:pPr>
      <w:r w:rsidRPr="00A07447">
        <w:rPr>
          <w:rFonts w:ascii="Arial" w:eastAsia="Times" w:hAnsi="Arial" w:cs="Arial"/>
          <w:sz w:val="21"/>
          <w:szCs w:val="21"/>
          <w:lang w:eastAsia="en-US"/>
        </w:rPr>
        <w:t>The training includes information on the JYNNEOS</w:t>
      </w:r>
      <w:r w:rsidRPr="00A07447">
        <w:rPr>
          <w:rFonts w:ascii="Arial" w:eastAsia="Times" w:hAnsi="Arial" w:cs="Arial"/>
          <w:sz w:val="21"/>
          <w:szCs w:val="21"/>
          <w:vertAlign w:val="superscript"/>
          <w:lang w:eastAsia="en-US"/>
        </w:rPr>
        <w:t>®</w:t>
      </w:r>
      <w:r w:rsidRPr="00A07447">
        <w:rPr>
          <w:rFonts w:ascii="Arial" w:eastAsia="Times" w:hAnsi="Arial" w:cs="Arial"/>
          <w:sz w:val="21"/>
          <w:szCs w:val="21"/>
          <w:lang w:eastAsia="en-US"/>
        </w:rPr>
        <w:t xml:space="preserve"> vaccine, as the preferred monkeypox vaccine in Victoria, and therefore Pharmacist Immunisers only have the required knowledge, skills and training within their individual scope to administer the JYNNEOS</w:t>
      </w:r>
      <w:r w:rsidRPr="00A07447">
        <w:rPr>
          <w:rFonts w:ascii="Arial" w:eastAsia="Times" w:hAnsi="Arial" w:cs="Arial"/>
          <w:sz w:val="21"/>
          <w:szCs w:val="21"/>
          <w:vertAlign w:val="superscript"/>
          <w:lang w:eastAsia="en-US"/>
        </w:rPr>
        <w:t>®</w:t>
      </w:r>
      <w:r w:rsidRPr="00A07447">
        <w:rPr>
          <w:rFonts w:ascii="Arial" w:eastAsia="Times" w:hAnsi="Arial" w:cs="Arial"/>
          <w:sz w:val="21"/>
          <w:szCs w:val="21"/>
          <w:lang w:eastAsia="en-US"/>
        </w:rPr>
        <w:t xml:space="preserve"> vaccine. Patients requiring ACAM2000™ vaccine should be referred to a medical practitioner or nurse practitioner for vaccination. </w:t>
      </w:r>
    </w:p>
    <w:p w14:paraId="63A8AAED" w14:textId="77777777" w:rsidR="00F85D45" w:rsidRPr="00A07447" w:rsidRDefault="00F85D45" w:rsidP="00F85D45">
      <w:pPr>
        <w:pStyle w:val="DHHSbody"/>
        <w:rPr>
          <w:rStyle w:val="normaltextrun"/>
          <w:rFonts w:cs="Arial"/>
          <w:color w:val="000000"/>
          <w:sz w:val="21"/>
          <w:szCs w:val="21"/>
          <w:shd w:val="clear" w:color="auto" w:fill="FFFFFF"/>
        </w:rPr>
      </w:pPr>
      <w:r w:rsidRPr="00A07447">
        <w:rPr>
          <w:rStyle w:val="normaltextrun"/>
          <w:rFonts w:cs="Arial"/>
          <w:color w:val="202020"/>
          <w:sz w:val="21"/>
          <w:szCs w:val="21"/>
          <w:shd w:val="clear" w:color="auto" w:fill="FFFFFF"/>
        </w:rPr>
        <w:t xml:space="preserve">Standard administration of </w:t>
      </w:r>
      <w:r w:rsidRPr="00A07447">
        <w:rPr>
          <w:rStyle w:val="normaltextrun"/>
          <w:rFonts w:cs="Arial"/>
          <w:color w:val="000000"/>
          <w:sz w:val="21"/>
          <w:szCs w:val="21"/>
          <w:shd w:val="clear" w:color="auto" w:fill="FFFFFF"/>
        </w:rPr>
        <w:t>JYNNEOS</w:t>
      </w:r>
      <w:r w:rsidRPr="00A07447">
        <w:rPr>
          <w:rStyle w:val="normaltextrun"/>
          <w:rFonts w:cs="Arial"/>
          <w:color w:val="2A2736"/>
          <w:sz w:val="21"/>
          <w:szCs w:val="21"/>
          <w:shd w:val="clear" w:color="auto" w:fill="FFFFFF"/>
          <w:vertAlign w:val="superscript"/>
        </w:rPr>
        <w:t>®</w:t>
      </w:r>
      <w:r w:rsidRPr="00A07447">
        <w:rPr>
          <w:rStyle w:val="normaltextrun"/>
          <w:rFonts w:cs="Arial"/>
          <w:color w:val="000000"/>
          <w:sz w:val="21"/>
          <w:szCs w:val="21"/>
          <w:shd w:val="clear" w:color="auto" w:fill="FFFFFF"/>
        </w:rPr>
        <w:t xml:space="preserve"> vaccine</w:t>
      </w:r>
      <w:r w:rsidRPr="00A07447">
        <w:rPr>
          <w:rStyle w:val="normaltextrun"/>
          <w:rFonts w:cs="Arial"/>
          <w:color w:val="202020"/>
          <w:sz w:val="21"/>
          <w:szCs w:val="21"/>
          <w:shd w:val="clear" w:color="auto" w:fill="FFFFFF"/>
        </w:rPr>
        <w:t xml:space="preserve"> is by subcutaneous injection however, </w:t>
      </w:r>
      <w:r w:rsidRPr="00A07447">
        <w:rPr>
          <w:rStyle w:val="normaltextrun"/>
          <w:rFonts w:cs="Arial"/>
          <w:color w:val="000000"/>
          <w:sz w:val="21"/>
          <w:szCs w:val="21"/>
          <w:shd w:val="clear" w:color="auto" w:fill="FFFFFF"/>
        </w:rPr>
        <w:t>JYNNEOS</w:t>
      </w:r>
      <w:r w:rsidRPr="00A07447">
        <w:rPr>
          <w:rStyle w:val="normaltextrun"/>
          <w:rFonts w:cs="Arial"/>
          <w:color w:val="2A2736"/>
          <w:sz w:val="21"/>
          <w:szCs w:val="21"/>
          <w:shd w:val="clear" w:color="auto" w:fill="FFFFFF"/>
          <w:vertAlign w:val="superscript"/>
        </w:rPr>
        <w:t>®</w:t>
      </w:r>
      <w:r w:rsidRPr="00A07447">
        <w:rPr>
          <w:rStyle w:val="normaltextrun"/>
          <w:rFonts w:cs="Arial"/>
          <w:color w:val="000000"/>
          <w:sz w:val="21"/>
          <w:szCs w:val="21"/>
          <w:shd w:val="clear" w:color="auto" w:fill="FFFFFF"/>
        </w:rPr>
        <w:t xml:space="preserve"> vaccine may also be administered via the intradermal route to people without immunocompromise. This technique must only be used by trained and competent immunisers to minimise inadvertent underdosing, leakage or subcutaneous injection. </w:t>
      </w:r>
    </w:p>
    <w:p w14:paraId="58B24387" w14:textId="71F4D1DE" w:rsidR="00F85D45" w:rsidRPr="00A07447" w:rsidRDefault="00F85D45" w:rsidP="00F85D45">
      <w:pPr>
        <w:pStyle w:val="DHHSbody"/>
        <w:rPr>
          <w:rStyle w:val="normaltextrun"/>
          <w:rFonts w:cs="Arial"/>
          <w:color w:val="000000"/>
          <w:sz w:val="21"/>
          <w:szCs w:val="21"/>
          <w:shd w:val="clear" w:color="auto" w:fill="FFFFFF"/>
        </w:rPr>
      </w:pPr>
      <w:r w:rsidRPr="00A07447">
        <w:rPr>
          <w:rStyle w:val="normaltextrun"/>
          <w:rFonts w:cs="Arial"/>
          <w:color w:val="000000"/>
          <w:sz w:val="21"/>
          <w:szCs w:val="21"/>
          <w:shd w:val="clear" w:color="auto" w:fill="FFFFFF"/>
        </w:rPr>
        <w:t xml:space="preserve">An </w:t>
      </w:r>
      <w:r w:rsidR="00E4195E" w:rsidRPr="00A07447">
        <w:rPr>
          <w:rStyle w:val="normaltextrun"/>
          <w:rFonts w:cs="Arial"/>
          <w:i/>
          <w:iCs/>
          <w:color w:val="000000"/>
          <w:sz w:val="21"/>
          <w:szCs w:val="21"/>
          <w:shd w:val="clear" w:color="auto" w:fill="FFFFFF"/>
        </w:rPr>
        <w:t>I</w:t>
      </w:r>
      <w:r w:rsidRPr="00A07447">
        <w:rPr>
          <w:rStyle w:val="normaltextrun"/>
          <w:rFonts w:cs="Arial"/>
          <w:i/>
          <w:iCs/>
          <w:color w:val="000000"/>
          <w:sz w:val="21"/>
          <w:szCs w:val="21"/>
          <w:shd w:val="clear" w:color="auto" w:fill="FFFFFF"/>
        </w:rPr>
        <w:t xml:space="preserve">ntradermal injection skills and competencies checklist </w:t>
      </w:r>
      <w:r w:rsidRPr="00A07447">
        <w:rPr>
          <w:rStyle w:val="normaltextrun"/>
          <w:rFonts w:cs="Arial"/>
          <w:color w:val="000000"/>
          <w:sz w:val="21"/>
          <w:szCs w:val="21"/>
          <w:shd w:val="clear" w:color="auto" w:fill="FFFFFF"/>
        </w:rPr>
        <w:t>has been developed as a guide to verify that immunisers are deemed clinically skilled and competent in the technique of intradermal injection. This checklist must be completed and issued by an appropriately experienced clinician (for example, a medical practitioner, nurse practitioner or other specialist clinician) proficient in intradermal injection technique who can oversee the assessment of the clinical skills and competencies of an immuniser. </w:t>
      </w:r>
      <w:r w:rsidRPr="00A07447">
        <w:rPr>
          <w:rStyle w:val="eop"/>
          <w:rFonts w:cs="Arial"/>
          <w:color w:val="000000"/>
          <w:sz w:val="21"/>
          <w:szCs w:val="21"/>
          <w:shd w:val="clear" w:color="auto" w:fill="FFFFFF"/>
        </w:rPr>
        <w:t xml:space="preserve"> The checklist is available within the </w:t>
      </w:r>
      <w:r w:rsidRPr="00A07447">
        <w:rPr>
          <w:rFonts w:cs="Arial"/>
          <w:i/>
          <w:iCs/>
          <w:sz w:val="21"/>
          <w:szCs w:val="21"/>
        </w:rPr>
        <w:t>Victorian monkeypox vaccination program guidelines</w:t>
      </w:r>
      <w:r w:rsidRPr="00A07447">
        <w:rPr>
          <w:rStyle w:val="FootnoteReference"/>
          <w:rFonts w:cs="Arial"/>
          <w:i/>
          <w:iCs/>
          <w:sz w:val="21"/>
          <w:szCs w:val="21"/>
        </w:rPr>
        <w:footnoteReference w:id="8"/>
      </w:r>
      <w:r w:rsidRPr="00A07447">
        <w:rPr>
          <w:rFonts w:cs="Arial"/>
          <w:sz w:val="21"/>
          <w:szCs w:val="21"/>
        </w:rPr>
        <w:t xml:space="preserve">. </w:t>
      </w:r>
    </w:p>
    <w:p w14:paraId="48A2E4CD" w14:textId="77777777" w:rsidR="005145D2" w:rsidRDefault="005145D2" w:rsidP="005145D2">
      <w:pPr>
        <w:pStyle w:val="Heading1"/>
      </w:pPr>
      <w:r w:rsidRPr="00B2629D">
        <w:t>More information</w:t>
      </w:r>
    </w:p>
    <w:p w14:paraId="2C2974BA" w14:textId="4CFD6F8A" w:rsidR="00A3601A" w:rsidRDefault="00A3601A" w:rsidP="005145D2">
      <w:pPr>
        <w:pStyle w:val="Heading3"/>
        <w:rPr>
          <w:rFonts w:cs="Arial"/>
          <w:sz w:val="28"/>
          <w:szCs w:val="28"/>
        </w:rPr>
      </w:pPr>
      <w:r>
        <w:rPr>
          <w:rFonts w:cs="Arial"/>
          <w:sz w:val="28"/>
          <w:szCs w:val="28"/>
        </w:rPr>
        <w:t>Refresher training</w:t>
      </w:r>
    </w:p>
    <w:p w14:paraId="508446AE" w14:textId="42FAB7CB" w:rsidR="00A3601A" w:rsidRPr="00A07447" w:rsidRDefault="00A3601A" w:rsidP="00A3601A">
      <w:pPr>
        <w:pStyle w:val="DHHSbody"/>
        <w:rPr>
          <w:sz w:val="21"/>
          <w:szCs w:val="21"/>
        </w:rPr>
      </w:pPr>
      <w:r w:rsidRPr="00A07447">
        <w:rPr>
          <w:rStyle w:val="normaltextrun"/>
          <w:rFonts w:cs="Arial"/>
          <w:color w:val="000000"/>
          <w:sz w:val="21"/>
          <w:szCs w:val="21"/>
          <w:shd w:val="clear" w:color="auto" w:fill="FFFFFF"/>
        </w:rPr>
        <w:t>A requirement of the approval is the need to undertake continuing professional development and refreshers on NIP and other approved vaccines to ensure currency and competency in delivering safe vaccination services.</w:t>
      </w:r>
      <w:r w:rsidRPr="00A07447">
        <w:rPr>
          <w:rStyle w:val="eop"/>
          <w:rFonts w:cs="Arial"/>
          <w:color w:val="000000"/>
          <w:sz w:val="21"/>
          <w:szCs w:val="21"/>
          <w:shd w:val="clear" w:color="auto" w:fill="FFFFFF"/>
        </w:rPr>
        <w:t> </w:t>
      </w:r>
    </w:p>
    <w:p w14:paraId="4687F67C" w14:textId="35BDD3B2" w:rsidR="282B3CF6" w:rsidRDefault="282B3CF6" w:rsidP="18EA3783">
      <w:pPr>
        <w:pStyle w:val="Heading3"/>
        <w:rPr>
          <w:rFonts w:cs="Arial"/>
          <w:sz w:val="28"/>
          <w:szCs w:val="28"/>
        </w:rPr>
      </w:pPr>
      <w:r w:rsidRPr="18EA3783">
        <w:rPr>
          <w:rFonts w:cs="Arial"/>
          <w:sz w:val="28"/>
          <w:szCs w:val="28"/>
        </w:rPr>
        <w:t>Vaccine supply/ordering</w:t>
      </w:r>
    </w:p>
    <w:p w14:paraId="4DBE9338" w14:textId="5A7513C4" w:rsidR="009436AB" w:rsidRPr="009456D7" w:rsidRDefault="009436AB" w:rsidP="009456D7">
      <w:pPr>
        <w:pStyle w:val="Body"/>
      </w:pPr>
      <w:r w:rsidRPr="00D60928">
        <w:t xml:space="preserve">Pharmacist immunisers will need to consider whether there are identified cohorts within the community that may be eligible for </w:t>
      </w:r>
      <w:r>
        <w:t>newly authorised vaccines</w:t>
      </w:r>
      <w:r w:rsidR="00186F5D">
        <w:t xml:space="preserve"> prior to ordering</w:t>
      </w:r>
      <w:r w:rsidRPr="00D60928">
        <w:t xml:space="preserve">. This will minimise wastage due to expired unused stock. </w:t>
      </w:r>
    </w:p>
    <w:p w14:paraId="5927ED58" w14:textId="521C8BBB" w:rsidR="005145D2" w:rsidRPr="005145D2" w:rsidRDefault="005145D2" w:rsidP="005145D2">
      <w:pPr>
        <w:pStyle w:val="Heading3"/>
        <w:rPr>
          <w:rFonts w:cs="Arial"/>
          <w:sz w:val="28"/>
          <w:szCs w:val="28"/>
        </w:rPr>
      </w:pPr>
      <w:r w:rsidRPr="005145D2">
        <w:rPr>
          <w:rFonts w:cs="Arial"/>
          <w:sz w:val="28"/>
          <w:szCs w:val="28"/>
        </w:rPr>
        <w:t>Australian Immunisation Handbook</w:t>
      </w:r>
    </w:p>
    <w:p w14:paraId="6D9643FE" w14:textId="38BB5711" w:rsidR="00A91711" w:rsidRPr="0069401E" w:rsidRDefault="005145D2" w:rsidP="005145D2">
      <w:pPr>
        <w:pStyle w:val="DHHSbody"/>
        <w:rPr>
          <w:rFonts w:cs="Arial"/>
        </w:rPr>
      </w:pPr>
      <w:r w:rsidRPr="00DB3BF8">
        <w:rPr>
          <w:rFonts w:cs="Arial"/>
          <w:sz w:val="21"/>
          <w:szCs w:val="21"/>
        </w:rPr>
        <w:t xml:space="preserve">The </w:t>
      </w:r>
      <w:hyperlink r:id="rId22" w:history="1">
        <w:r w:rsidRPr="00DB3BF8">
          <w:rPr>
            <w:rStyle w:val="Hyperlink"/>
            <w:rFonts w:cs="Arial"/>
            <w:sz w:val="21"/>
            <w:szCs w:val="21"/>
          </w:rPr>
          <w:t>Australian Immunisation Handbook</w:t>
        </w:r>
      </w:hyperlink>
      <w:r w:rsidRPr="00DB3BF8">
        <w:rPr>
          <w:rStyle w:val="FootnoteReference"/>
          <w:rFonts w:cs="Arial"/>
          <w:sz w:val="21"/>
          <w:szCs w:val="21"/>
        </w:rPr>
        <w:footnoteReference w:id="9"/>
      </w:r>
      <w:r w:rsidRPr="00DB3BF8">
        <w:rPr>
          <w:rStyle w:val="Hyperlink"/>
          <w:rFonts w:cs="Arial"/>
          <w:sz w:val="21"/>
          <w:szCs w:val="21"/>
        </w:rPr>
        <w:t xml:space="preserve"> </w:t>
      </w:r>
      <w:r w:rsidRPr="00DB3BF8">
        <w:rPr>
          <w:rFonts w:cs="Arial"/>
          <w:sz w:val="21"/>
          <w:szCs w:val="21"/>
        </w:rPr>
        <w:t>is available on the Commonwealth’s Department of Health website and provides a single, up-to-date clinical reference guide for health care providers administering vaccines in Australia</w:t>
      </w:r>
      <w:r w:rsidRPr="0069401E">
        <w:rPr>
          <w:rFonts w:cs="Arial"/>
        </w:rPr>
        <w:t xml:space="preserve">. </w:t>
      </w:r>
    </w:p>
    <w:p w14:paraId="33C622FF" w14:textId="56582A7D" w:rsidR="005145D2" w:rsidRPr="005145D2" w:rsidRDefault="005145D2" w:rsidP="005145D2">
      <w:pPr>
        <w:pStyle w:val="Heading3"/>
        <w:rPr>
          <w:rFonts w:cs="Arial"/>
          <w:sz w:val="28"/>
          <w:szCs w:val="28"/>
        </w:rPr>
      </w:pPr>
      <w:r w:rsidRPr="005145D2">
        <w:rPr>
          <w:rFonts w:cs="Arial"/>
          <w:sz w:val="28"/>
          <w:szCs w:val="28"/>
        </w:rPr>
        <w:t xml:space="preserve">Victorian Government Department of Health </w:t>
      </w:r>
    </w:p>
    <w:p w14:paraId="533966CE" w14:textId="0E326BA3" w:rsidR="005145D2" w:rsidRPr="00DB3BF8" w:rsidRDefault="005145D2" w:rsidP="005145D2">
      <w:pPr>
        <w:pStyle w:val="DHHSaccessibilitypara"/>
        <w:rPr>
          <w:rFonts w:cs="Arial"/>
          <w:sz w:val="21"/>
          <w:szCs w:val="21"/>
        </w:rPr>
      </w:pPr>
      <w:r w:rsidRPr="00DB3BF8">
        <w:rPr>
          <w:rFonts w:cs="Arial"/>
          <w:sz w:val="21"/>
          <w:szCs w:val="21"/>
        </w:rPr>
        <w:t>If you have any queries about this matter please</w:t>
      </w:r>
      <w:r w:rsidR="008F236B" w:rsidRPr="00DB3BF8">
        <w:rPr>
          <w:rFonts w:cs="Arial"/>
          <w:sz w:val="21"/>
          <w:szCs w:val="21"/>
        </w:rPr>
        <w:t xml:space="preserve"> email the Immunisation Unit</w:t>
      </w:r>
      <w:r w:rsidRPr="00DB3BF8">
        <w:rPr>
          <w:rFonts w:cs="Arial"/>
          <w:sz w:val="21"/>
          <w:szCs w:val="21"/>
        </w:rPr>
        <w:t xml:space="preserve"> </w:t>
      </w:r>
      <w:hyperlink r:id="rId23" w:history="1">
        <w:r w:rsidRPr="00DB3BF8">
          <w:rPr>
            <w:rStyle w:val="Hyperlink"/>
            <w:rFonts w:cs="Arial"/>
            <w:sz w:val="21"/>
            <w:szCs w:val="21"/>
            <w:lang w:val="en-US"/>
          </w:rPr>
          <w:t>Immunisation@health.vic.gov.au</w:t>
        </w:r>
      </w:hyperlink>
    </w:p>
    <w:tbl>
      <w:tblPr>
        <w:tblStyle w:val="TableGrid"/>
        <w:tblW w:w="0" w:type="auto"/>
        <w:tblCellMar>
          <w:bottom w:w="108" w:type="dxa"/>
        </w:tblCellMar>
        <w:tblLook w:val="0600" w:firstRow="0" w:lastRow="0" w:firstColumn="0" w:lastColumn="0" w:noHBand="1" w:noVBand="1"/>
      </w:tblPr>
      <w:tblGrid>
        <w:gridCol w:w="10194"/>
      </w:tblGrid>
      <w:tr w:rsidR="0055119B" w14:paraId="7BAD296B" w14:textId="77777777" w:rsidTr="00EC40D5">
        <w:tc>
          <w:tcPr>
            <w:tcW w:w="10194" w:type="dxa"/>
          </w:tcPr>
          <w:p w14:paraId="2E22EADE" w14:textId="524AC36D" w:rsidR="0055119B" w:rsidRPr="0055119B" w:rsidRDefault="0055119B" w:rsidP="0055119B">
            <w:pPr>
              <w:pStyle w:val="Accessibilitypara"/>
            </w:pPr>
            <w:bookmarkStart w:id="2" w:name="_Hlk37240926"/>
            <w:bookmarkEnd w:id="1"/>
            <w:r w:rsidRPr="0055119B">
              <w:t>To receive this document in another format</w:t>
            </w:r>
            <w:r w:rsidR="005145D2">
              <w:t xml:space="preserve"> email the Immunisation Unit </w:t>
            </w:r>
            <w:hyperlink r:id="rId24" w:history="1">
              <w:r w:rsidR="005145D2" w:rsidRPr="00D73A6F">
                <w:rPr>
                  <w:rStyle w:val="Hyperlink"/>
                </w:rPr>
                <w:t>immunisation@health.vic.gov.au</w:t>
              </w:r>
            </w:hyperlink>
            <w:r w:rsidR="005145D2">
              <w:t xml:space="preserve"> </w:t>
            </w:r>
          </w:p>
          <w:p w14:paraId="0C991028" w14:textId="77777777" w:rsidR="0055119B" w:rsidRPr="0055119B" w:rsidRDefault="0055119B" w:rsidP="00E33237">
            <w:pPr>
              <w:pStyle w:val="Imprint"/>
            </w:pPr>
            <w:r w:rsidRPr="0055119B">
              <w:t>Authorised and published by the Victorian Government, 1 Treasury Place, Melbourne.</w:t>
            </w:r>
          </w:p>
          <w:p w14:paraId="670D8946" w14:textId="1BC8065F" w:rsidR="0055119B" w:rsidRPr="0055119B" w:rsidRDefault="0055119B" w:rsidP="00E33237">
            <w:pPr>
              <w:pStyle w:val="Imprint"/>
            </w:pPr>
            <w:r w:rsidRPr="0055119B">
              <w:t xml:space="preserve">© State of Victoria, Australia, </w:t>
            </w:r>
            <w:r w:rsidR="001E2A36" w:rsidRPr="001E2A36">
              <w:t>Department of Health</w:t>
            </w:r>
            <w:r w:rsidRPr="005B2EA1">
              <w:t xml:space="preserve">, </w:t>
            </w:r>
            <w:r w:rsidR="00A3601A">
              <w:t>October</w:t>
            </w:r>
            <w:r w:rsidR="005145D2" w:rsidRPr="005B2EA1">
              <w:t xml:space="preserve"> 2022.</w:t>
            </w:r>
          </w:p>
          <w:p w14:paraId="7E7222C7" w14:textId="3BE86676" w:rsidR="0055119B" w:rsidRDefault="0055119B" w:rsidP="00E33237">
            <w:pPr>
              <w:pStyle w:val="Imprint"/>
            </w:pPr>
            <w:r w:rsidRPr="0055119B">
              <w:t xml:space="preserve">Available at </w:t>
            </w:r>
            <w:hyperlink r:id="rId25" w:history="1">
              <w:r w:rsidR="00115A68" w:rsidRPr="00115A68">
                <w:rPr>
                  <w:rStyle w:val="Hyperlink"/>
                </w:rPr>
                <w:t>Pharmacist immunisers</w:t>
              </w:r>
            </w:hyperlink>
            <w:r w:rsidR="00115A68" w:rsidRPr="00115A68">
              <w:t xml:space="preserve"> </w:t>
            </w:r>
            <w:r w:rsidRPr="0055119B">
              <w:t>&lt;</w:t>
            </w:r>
            <w:r w:rsidR="00A91711" w:rsidRPr="00A91711">
              <w:rPr>
                <w:color w:val="004C97"/>
              </w:rPr>
              <w:t>https://www.health.vic.gov.au/immunisation/pharmacist-immunisers</w:t>
            </w:r>
            <w:r w:rsidRPr="0055119B">
              <w:t>&gt;</w:t>
            </w:r>
          </w:p>
        </w:tc>
      </w:tr>
      <w:bookmarkEnd w:id="2"/>
    </w:tbl>
    <w:p w14:paraId="3D1AFB43" w14:textId="77777777" w:rsidR="00162CA9" w:rsidRDefault="00162CA9" w:rsidP="002F3D50">
      <w:pPr>
        <w:pStyle w:val="Body"/>
      </w:pPr>
    </w:p>
    <w:sectPr w:rsidR="00162CA9" w:rsidSect="00361577">
      <w:footerReference w:type="default" r:id="rId26"/>
      <w:type w:val="continuous"/>
      <w:pgSz w:w="11906" w:h="16838" w:code="9"/>
      <w:pgMar w:top="993" w:right="851" w:bottom="1135"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DBE5F" w14:textId="77777777" w:rsidR="00A457CE" w:rsidRDefault="00A457CE">
      <w:r>
        <w:separator/>
      </w:r>
    </w:p>
  </w:endnote>
  <w:endnote w:type="continuationSeparator" w:id="0">
    <w:p w14:paraId="297011A6" w14:textId="77777777" w:rsidR="00A457CE" w:rsidRDefault="00A457CE">
      <w:r>
        <w:continuationSeparator/>
      </w:r>
    </w:p>
  </w:endnote>
  <w:endnote w:type="continuationNotice" w:id="1">
    <w:p w14:paraId="020AB4DD" w14:textId="77777777" w:rsidR="00A457CE" w:rsidRDefault="00A457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697D"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17C63FA6" wp14:editId="2B847C0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1496DF47" wp14:editId="7B006C40">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D1836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1496DF47"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BD1836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F590"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5A45BBB3" wp14:editId="403EA3F5">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C96C5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5A45BBB3"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8C96C5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EDC0A" w14:textId="3905FE3E" w:rsidR="00373890" w:rsidRPr="00F65AA9" w:rsidRDefault="008F67D5" w:rsidP="00F84FA0">
    <w:pPr>
      <w:pStyle w:val="Footer"/>
    </w:pPr>
    <w:r>
      <w:rPr>
        <w:noProof/>
      </w:rPr>
      <mc:AlternateContent>
        <mc:Choice Requires="wps">
          <w:drawing>
            <wp:anchor distT="0" distB="0" distL="114300" distR="114300" simplePos="0" relativeHeight="251658244" behindDoc="0" locked="0" layoutInCell="0" allowOverlap="1" wp14:anchorId="35F75B61" wp14:editId="3C14C056">
              <wp:simplePos x="0" y="0"/>
              <wp:positionH relativeFrom="page">
                <wp:posOffset>0</wp:posOffset>
              </wp:positionH>
              <wp:positionV relativeFrom="page">
                <wp:posOffset>10189210</wp:posOffset>
              </wp:positionV>
              <wp:extent cx="7560310" cy="311785"/>
              <wp:effectExtent l="0" t="0" r="0" b="12065"/>
              <wp:wrapNone/>
              <wp:docPr id="3" name="MSIPCM8f4146148529217b4647066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234EF1" w14:textId="263E55AE" w:rsidR="008F67D5" w:rsidRPr="008F67D5" w:rsidRDefault="008F67D5" w:rsidP="008F67D5">
                          <w:pPr>
                            <w:spacing w:after="0"/>
                            <w:jc w:val="center"/>
                            <w:rPr>
                              <w:rFonts w:ascii="Arial Black" w:hAnsi="Arial Black"/>
                              <w:color w:val="000000"/>
                              <w:sz w:val="20"/>
                            </w:rPr>
                          </w:pPr>
                          <w:r w:rsidRPr="008F67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35F75B61" id="_x0000_t202" coordsize="21600,21600" o:spt="202" path="m,l,21600r21600,l21600,xe">
              <v:stroke joinstyle="miter"/>
              <v:path gradientshapeok="t" o:connecttype="rect"/>
            </v:shapetype>
            <v:shape id="MSIPCM8f4146148529217b46470666"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2234EF1" w14:textId="263E55AE" w:rsidR="008F67D5" w:rsidRPr="008F67D5" w:rsidRDefault="008F67D5" w:rsidP="008F67D5">
                    <w:pPr>
                      <w:spacing w:after="0"/>
                      <w:jc w:val="center"/>
                      <w:rPr>
                        <w:rFonts w:ascii="Arial Black" w:hAnsi="Arial Black"/>
                        <w:color w:val="000000"/>
                        <w:sz w:val="20"/>
                      </w:rPr>
                    </w:pPr>
                    <w:r w:rsidRPr="008F67D5">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3E24D75B" wp14:editId="2666805F">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00836B"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 w14:anchorId="3E24D75B"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6100836B"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AA85D" w14:textId="77777777" w:rsidR="00A457CE" w:rsidRDefault="00A457CE" w:rsidP="002862F1">
      <w:pPr>
        <w:spacing w:before="120"/>
      </w:pPr>
      <w:r>
        <w:separator/>
      </w:r>
    </w:p>
  </w:footnote>
  <w:footnote w:type="continuationSeparator" w:id="0">
    <w:p w14:paraId="200A5437" w14:textId="77777777" w:rsidR="00A457CE" w:rsidRDefault="00A457CE">
      <w:r>
        <w:continuationSeparator/>
      </w:r>
    </w:p>
  </w:footnote>
  <w:footnote w:type="continuationNotice" w:id="1">
    <w:p w14:paraId="0606A87C" w14:textId="77777777" w:rsidR="00A457CE" w:rsidRDefault="00A457CE">
      <w:pPr>
        <w:spacing w:after="0" w:line="240" w:lineRule="auto"/>
      </w:pPr>
    </w:p>
  </w:footnote>
  <w:footnote w:id="2">
    <w:p w14:paraId="72A2C4CE" w14:textId="77777777" w:rsidR="00A00938" w:rsidRDefault="00A00938" w:rsidP="00A00938">
      <w:pPr>
        <w:pStyle w:val="FootnoteText"/>
      </w:pPr>
      <w:r>
        <w:rPr>
          <w:rStyle w:val="FootnoteReference"/>
        </w:rPr>
        <w:footnoteRef/>
      </w:r>
      <w:r>
        <w:t xml:space="preserve"> Australian Government, Department of Health and Aged Care, Australian Immunisation Handbook, accessed at: </w:t>
      </w:r>
      <w:hyperlink r:id="rId1" w:history="1">
        <w:r w:rsidRPr="005C42F1">
          <w:rPr>
            <w:rStyle w:val="Hyperlink"/>
          </w:rPr>
          <w:t>https://immunisationhandbook.health.gov.au/</w:t>
        </w:r>
      </w:hyperlink>
    </w:p>
  </w:footnote>
  <w:footnote w:id="3">
    <w:p w14:paraId="374729B4" w14:textId="746B4B97" w:rsidR="00A3601A" w:rsidRDefault="00A3601A">
      <w:pPr>
        <w:pStyle w:val="FootnoteText"/>
      </w:pPr>
      <w:r>
        <w:rPr>
          <w:rStyle w:val="FootnoteReference"/>
        </w:rPr>
        <w:footnoteRef/>
      </w:r>
      <w:r>
        <w:t xml:space="preserve"> Australian Government, Department of Health and Aged Care, Australian Immunisation Handbook, accessed at: </w:t>
      </w:r>
      <w:hyperlink r:id="rId2" w:history="1">
        <w:r w:rsidRPr="005C42F1">
          <w:rPr>
            <w:rStyle w:val="Hyperlink"/>
          </w:rPr>
          <w:t>https://immunisationhandbook.health.gov.au/</w:t>
        </w:r>
      </w:hyperlink>
    </w:p>
  </w:footnote>
  <w:footnote w:id="4">
    <w:p w14:paraId="1EB33B8D" w14:textId="77777777" w:rsidR="00A00938" w:rsidRDefault="00A00938" w:rsidP="00A00938">
      <w:pPr>
        <w:pStyle w:val="FootnoteText"/>
      </w:pPr>
      <w:r>
        <w:rPr>
          <w:rStyle w:val="FootnoteReference"/>
        </w:rPr>
        <w:footnoteRef/>
      </w:r>
      <w:r>
        <w:t xml:space="preserve"> Australian Government, Australian Technical Advisory Group on Immunisation, 2022, accessed at: </w:t>
      </w:r>
      <w:hyperlink r:id="rId3" w:history="1">
        <w:r w:rsidRPr="005C42F1">
          <w:rPr>
            <w:rStyle w:val="Hyperlink"/>
          </w:rPr>
          <w:t>https://www.health.gov.au/sites/default/files/documents/2022/05/statement-on-the-clinical-use-of-zoster-vaccine-in-older-adults-in-australia-statement-on-the-clinical-use-of-zoster-vaccine-in-older-adults-in-australia.pdf</w:t>
        </w:r>
      </w:hyperlink>
      <w:r>
        <w:t xml:space="preserve"> </w:t>
      </w:r>
    </w:p>
  </w:footnote>
  <w:footnote w:id="5">
    <w:p w14:paraId="521B6475" w14:textId="50A23CD7" w:rsidR="0034519C" w:rsidRDefault="0034519C">
      <w:pPr>
        <w:pStyle w:val="FootnoteText"/>
      </w:pPr>
      <w:r>
        <w:rPr>
          <w:rStyle w:val="FootnoteReference"/>
        </w:rPr>
        <w:footnoteRef/>
      </w:r>
      <w:r>
        <w:t xml:space="preserve"> </w:t>
      </w:r>
      <w:hyperlink r:id="rId4">
        <w:r w:rsidRPr="4F4D4F19">
          <w:rPr>
            <w:rStyle w:val="Hyperlink"/>
            <w:rFonts w:eastAsia="Arial"/>
            <w:szCs w:val="18"/>
          </w:rPr>
          <w:t>Monkeypox (MPX) | Australian Government Department of Health and Aged Care</w:t>
        </w:r>
      </w:hyperlink>
    </w:p>
  </w:footnote>
  <w:footnote w:id="6">
    <w:p w14:paraId="1042B43D" w14:textId="2BADD922" w:rsidR="00F85D45" w:rsidRDefault="00F85D45">
      <w:pPr>
        <w:pStyle w:val="FootnoteText"/>
      </w:pPr>
      <w:r>
        <w:rPr>
          <w:rStyle w:val="FootnoteReference"/>
        </w:rPr>
        <w:footnoteRef/>
      </w:r>
      <w:r>
        <w:t xml:space="preserve"> </w:t>
      </w:r>
      <w:r w:rsidRPr="00F85D45">
        <w:t xml:space="preserve">Recommended for vaccination as listed on the Victorian Department of Health’s </w:t>
      </w:r>
      <w:r w:rsidRPr="00F85D45">
        <w:rPr>
          <w:i/>
        </w:rPr>
        <w:t xml:space="preserve">Monkeypox </w:t>
      </w:r>
      <w:r w:rsidRPr="00F85D45">
        <w:t xml:space="preserve">webpage, available at </w:t>
      </w:r>
      <w:hyperlink r:id="rId5" w:history="1">
        <w:r w:rsidRPr="00F85D45">
          <w:rPr>
            <w:rStyle w:val="Hyperlink"/>
          </w:rPr>
          <w:t>https://www.health.vic.gov.au/infectious-diseases/monkeypox</w:t>
        </w:r>
      </w:hyperlink>
      <w:r w:rsidRPr="00F85D45">
        <w:t>.</w:t>
      </w:r>
    </w:p>
  </w:footnote>
  <w:footnote w:id="7">
    <w:p w14:paraId="1D3B1BC7" w14:textId="6C22F87B" w:rsidR="00137DC8" w:rsidRDefault="00137DC8">
      <w:pPr>
        <w:pStyle w:val="FootnoteText"/>
      </w:pPr>
      <w:r>
        <w:rPr>
          <w:rStyle w:val="FootnoteReference"/>
        </w:rPr>
        <w:footnoteRef/>
      </w:r>
      <w:r>
        <w:t xml:space="preserve"> </w:t>
      </w:r>
      <w:r w:rsidR="00D217D1">
        <w:t xml:space="preserve">Victorian monkeypox vaccination </w:t>
      </w:r>
      <w:r w:rsidR="002F3D50">
        <w:t xml:space="preserve">program </w:t>
      </w:r>
      <w:r w:rsidR="00D217D1">
        <w:t xml:space="preserve">guidelines, available at </w:t>
      </w:r>
      <w:hyperlink r:id="rId6" w:history="1">
        <w:r w:rsidR="00D217D1" w:rsidRPr="00F85D45">
          <w:rPr>
            <w:rStyle w:val="Hyperlink"/>
          </w:rPr>
          <w:t>https://www.health.vic.gov.au/infectious-diseases/monkeypox</w:t>
        </w:r>
      </w:hyperlink>
      <w:r w:rsidR="00D217D1" w:rsidRPr="00F85D45">
        <w:t>.</w:t>
      </w:r>
    </w:p>
  </w:footnote>
  <w:footnote w:id="8">
    <w:p w14:paraId="49D56E6E" w14:textId="77777777" w:rsidR="00F85D45" w:rsidRPr="00B4201A" w:rsidRDefault="00F85D45" w:rsidP="00F85D45">
      <w:pPr>
        <w:pStyle w:val="FootnoteText"/>
      </w:pPr>
      <w:r>
        <w:rPr>
          <w:rStyle w:val="FootnoteReference"/>
        </w:rPr>
        <w:footnoteRef/>
      </w:r>
      <w:r>
        <w:t xml:space="preserve"> </w:t>
      </w:r>
      <w:r w:rsidRPr="00A3601A">
        <w:t xml:space="preserve">Available from: </w:t>
      </w:r>
      <w:hyperlink r:id="rId7" w:history="1">
        <w:r w:rsidRPr="00A3601A">
          <w:rPr>
            <w:rStyle w:val="Hyperlink"/>
          </w:rPr>
          <w:t>https://www.health.vic.gov.au/infectious-diseases/monkeypox</w:t>
        </w:r>
      </w:hyperlink>
      <w:r>
        <w:t xml:space="preserve"> </w:t>
      </w:r>
    </w:p>
  </w:footnote>
  <w:footnote w:id="9">
    <w:p w14:paraId="5C29C254" w14:textId="77777777" w:rsidR="005145D2" w:rsidRDefault="005145D2" w:rsidP="005145D2">
      <w:pPr>
        <w:pStyle w:val="FootnoteText"/>
      </w:pPr>
      <w:r>
        <w:rPr>
          <w:rStyle w:val="FootnoteReference"/>
        </w:rPr>
        <w:footnoteRef/>
      </w:r>
      <w:r>
        <w:t xml:space="preserve"> Available at: </w:t>
      </w:r>
      <w:hyperlink r:id="rId8" w:history="1">
        <w:r w:rsidRPr="00975AB2">
          <w:rPr>
            <w:rStyle w:val="Hyperlink"/>
          </w:rPr>
          <w:t>https://immunisationhandbook.health.gov.au/vaccination-procedures/preparing-for-vaccination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88AD"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5687994"/>
    <w:multiLevelType w:val="hybridMultilevel"/>
    <w:tmpl w:val="EDAA457A"/>
    <w:lvl w:ilvl="0" w:tplc="0C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CCE725B"/>
    <w:multiLevelType w:val="singleLevel"/>
    <w:tmpl w:val="0C09000F"/>
    <w:lvl w:ilvl="0">
      <w:start w:val="1"/>
      <w:numFmt w:val="decimal"/>
      <w:lvlText w:val="%1."/>
      <w:lvlJc w:val="left"/>
      <w:pPr>
        <w:ind w:left="720" w:hanging="360"/>
      </w:p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FE3A70"/>
    <w:multiLevelType w:val="hybridMultilevel"/>
    <w:tmpl w:val="E166A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E9929B7"/>
    <w:multiLevelType w:val="hybridMultilevel"/>
    <w:tmpl w:val="89423B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55734420">
    <w:abstractNumId w:val="10"/>
  </w:num>
  <w:num w:numId="2" w16cid:durableId="218905662">
    <w:abstractNumId w:val="19"/>
  </w:num>
  <w:num w:numId="3" w16cid:durableId="12602898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79741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17005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43507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3079883">
    <w:abstractNumId w:val="24"/>
  </w:num>
  <w:num w:numId="8" w16cid:durableId="599873358">
    <w:abstractNumId w:val="17"/>
  </w:num>
  <w:num w:numId="9" w16cid:durableId="131602126">
    <w:abstractNumId w:val="23"/>
  </w:num>
  <w:num w:numId="10" w16cid:durableId="2759140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9148726">
    <w:abstractNumId w:val="25"/>
  </w:num>
  <w:num w:numId="12" w16cid:durableId="19714713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4732218">
    <w:abstractNumId w:val="20"/>
  </w:num>
  <w:num w:numId="14" w16cid:durableId="8871821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7086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16738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76017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2448233">
    <w:abstractNumId w:val="27"/>
  </w:num>
  <w:num w:numId="19" w16cid:durableId="19516684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4543148">
    <w:abstractNumId w:val="14"/>
  </w:num>
  <w:num w:numId="21" w16cid:durableId="486746088">
    <w:abstractNumId w:val="12"/>
  </w:num>
  <w:num w:numId="22" w16cid:durableId="4470444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26645751">
    <w:abstractNumId w:val="16"/>
  </w:num>
  <w:num w:numId="24" w16cid:durableId="2048604293">
    <w:abstractNumId w:val="29"/>
  </w:num>
  <w:num w:numId="25" w16cid:durableId="98643782">
    <w:abstractNumId w:val="26"/>
  </w:num>
  <w:num w:numId="26" w16cid:durableId="1513252465">
    <w:abstractNumId w:val="21"/>
  </w:num>
  <w:num w:numId="27" w16cid:durableId="1022052942">
    <w:abstractNumId w:val="11"/>
  </w:num>
  <w:num w:numId="28" w16cid:durableId="1168593399">
    <w:abstractNumId w:val="30"/>
  </w:num>
  <w:num w:numId="29" w16cid:durableId="1210612853">
    <w:abstractNumId w:val="9"/>
  </w:num>
  <w:num w:numId="30" w16cid:durableId="1428696617">
    <w:abstractNumId w:val="7"/>
  </w:num>
  <w:num w:numId="31" w16cid:durableId="224921390">
    <w:abstractNumId w:val="6"/>
  </w:num>
  <w:num w:numId="32" w16cid:durableId="720862713">
    <w:abstractNumId w:val="5"/>
  </w:num>
  <w:num w:numId="33" w16cid:durableId="440956983">
    <w:abstractNumId w:val="4"/>
  </w:num>
  <w:num w:numId="34" w16cid:durableId="890700733">
    <w:abstractNumId w:val="8"/>
  </w:num>
  <w:num w:numId="35" w16cid:durableId="286594472">
    <w:abstractNumId w:val="3"/>
  </w:num>
  <w:num w:numId="36" w16cid:durableId="1899434639">
    <w:abstractNumId w:val="2"/>
  </w:num>
  <w:num w:numId="37" w16cid:durableId="616255394">
    <w:abstractNumId w:val="1"/>
  </w:num>
  <w:num w:numId="38" w16cid:durableId="1072191469">
    <w:abstractNumId w:val="0"/>
  </w:num>
  <w:num w:numId="39" w16cid:durableId="15604356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49284684">
    <w:abstractNumId w:val="28"/>
  </w:num>
  <w:num w:numId="41" w16cid:durableId="914242934">
    <w:abstractNumId w:val="18"/>
    <w:lvlOverride w:ilvl="0">
      <w:startOverride w:val="1"/>
    </w:lvlOverride>
  </w:num>
  <w:num w:numId="42" w16cid:durableId="641497887">
    <w:abstractNumId w:val="22"/>
  </w:num>
  <w:num w:numId="43" w16cid:durableId="39593103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EF9"/>
    <w:rsid w:val="00000719"/>
    <w:rsid w:val="00003403"/>
    <w:rsid w:val="00005347"/>
    <w:rsid w:val="000072B6"/>
    <w:rsid w:val="0001021B"/>
    <w:rsid w:val="000119D7"/>
    <w:rsid w:val="00011D89"/>
    <w:rsid w:val="00012D76"/>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1B79"/>
    <w:rsid w:val="0006298A"/>
    <w:rsid w:val="00063379"/>
    <w:rsid w:val="00063A16"/>
    <w:rsid w:val="00063AAE"/>
    <w:rsid w:val="000663CD"/>
    <w:rsid w:val="0006759B"/>
    <w:rsid w:val="000733FE"/>
    <w:rsid w:val="00074219"/>
    <w:rsid w:val="00074ED5"/>
    <w:rsid w:val="0007783D"/>
    <w:rsid w:val="000835C6"/>
    <w:rsid w:val="0008508E"/>
    <w:rsid w:val="000851BD"/>
    <w:rsid w:val="00087951"/>
    <w:rsid w:val="0009113B"/>
    <w:rsid w:val="00093402"/>
    <w:rsid w:val="00094DA3"/>
    <w:rsid w:val="00096CD1"/>
    <w:rsid w:val="00096CFB"/>
    <w:rsid w:val="000A012C"/>
    <w:rsid w:val="000A0EB9"/>
    <w:rsid w:val="000A186C"/>
    <w:rsid w:val="000A1EA4"/>
    <w:rsid w:val="000A2476"/>
    <w:rsid w:val="000A641A"/>
    <w:rsid w:val="000B0C34"/>
    <w:rsid w:val="000B3EDB"/>
    <w:rsid w:val="000B543D"/>
    <w:rsid w:val="000B55F9"/>
    <w:rsid w:val="000B5BF7"/>
    <w:rsid w:val="000B6B71"/>
    <w:rsid w:val="000B6BC8"/>
    <w:rsid w:val="000C0303"/>
    <w:rsid w:val="000C42EA"/>
    <w:rsid w:val="000C4546"/>
    <w:rsid w:val="000C56BE"/>
    <w:rsid w:val="000D1242"/>
    <w:rsid w:val="000D3796"/>
    <w:rsid w:val="000E0970"/>
    <w:rsid w:val="000E0D2A"/>
    <w:rsid w:val="000E1910"/>
    <w:rsid w:val="000E23CD"/>
    <w:rsid w:val="000E3CC7"/>
    <w:rsid w:val="000E608D"/>
    <w:rsid w:val="000E6BD4"/>
    <w:rsid w:val="000E6D6D"/>
    <w:rsid w:val="000F1F1E"/>
    <w:rsid w:val="000F2259"/>
    <w:rsid w:val="000F2DDA"/>
    <w:rsid w:val="000F5213"/>
    <w:rsid w:val="00101001"/>
    <w:rsid w:val="00103276"/>
    <w:rsid w:val="0010392D"/>
    <w:rsid w:val="0010447F"/>
    <w:rsid w:val="00104FE3"/>
    <w:rsid w:val="0010714F"/>
    <w:rsid w:val="001120C5"/>
    <w:rsid w:val="001128ED"/>
    <w:rsid w:val="00115A68"/>
    <w:rsid w:val="0011701A"/>
    <w:rsid w:val="00120BD3"/>
    <w:rsid w:val="001222ED"/>
    <w:rsid w:val="00122FEA"/>
    <w:rsid w:val="001232BD"/>
    <w:rsid w:val="001238FA"/>
    <w:rsid w:val="0012493F"/>
    <w:rsid w:val="00124ED5"/>
    <w:rsid w:val="001276FA"/>
    <w:rsid w:val="00137DC8"/>
    <w:rsid w:val="0014255B"/>
    <w:rsid w:val="001447B3"/>
    <w:rsid w:val="00152073"/>
    <w:rsid w:val="00154E2D"/>
    <w:rsid w:val="00156598"/>
    <w:rsid w:val="00157DCE"/>
    <w:rsid w:val="00161939"/>
    <w:rsid w:val="00161AA0"/>
    <w:rsid w:val="00161D2E"/>
    <w:rsid w:val="00161F3E"/>
    <w:rsid w:val="00162093"/>
    <w:rsid w:val="00162CA9"/>
    <w:rsid w:val="00165459"/>
    <w:rsid w:val="001659FE"/>
    <w:rsid w:val="00165A57"/>
    <w:rsid w:val="001701B7"/>
    <w:rsid w:val="001712C2"/>
    <w:rsid w:val="00172BAF"/>
    <w:rsid w:val="001756C5"/>
    <w:rsid w:val="001771DD"/>
    <w:rsid w:val="00177995"/>
    <w:rsid w:val="00177A8C"/>
    <w:rsid w:val="00186B33"/>
    <w:rsid w:val="00186F5D"/>
    <w:rsid w:val="0019267B"/>
    <w:rsid w:val="00192F9D"/>
    <w:rsid w:val="00193791"/>
    <w:rsid w:val="00194302"/>
    <w:rsid w:val="00196EB8"/>
    <w:rsid w:val="00196EFB"/>
    <w:rsid w:val="001979FF"/>
    <w:rsid w:val="00197B17"/>
    <w:rsid w:val="001A1950"/>
    <w:rsid w:val="001A1C54"/>
    <w:rsid w:val="001A3ACE"/>
    <w:rsid w:val="001A6E7B"/>
    <w:rsid w:val="001B058F"/>
    <w:rsid w:val="001B0E36"/>
    <w:rsid w:val="001B738B"/>
    <w:rsid w:val="001C09DB"/>
    <w:rsid w:val="001C277E"/>
    <w:rsid w:val="001C2A72"/>
    <w:rsid w:val="001C31B7"/>
    <w:rsid w:val="001C697F"/>
    <w:rsid w:val="001D0B75"/>
    <w:rsid w:val="001D39A5"/>
    <w:rsid w:val="001D3C09"/>
    <w:rsid w:val="001D44E8"/>
    <w:rsid w:val="001D5D56"/>
    <w:rsid w:val="001D60EC"/>
    <w:rsid w:val="001D6F59"/>
    <w:rsid w:val="001E0C5D"/>
    <w:rsid w:val="001E2A36"/>
    <w:rsid w:val="001E44DF"/>
    <w:rsid w:val="001E5058"/>
    <w:rsid w:val="001E5C0A"/>
    <w:rsid w:val="001E68A5"/>
    <w:rsid w:val="001E6BB0"/>
    <w:rsid w:val="001E7282"/>
    <w:rsid w:val="001F0D6A"/>
    <w:rsid w:val="001F3826"/>
    <w:rsid w:val="001F6E46"/>
    <w:rsid w:val="001F7186"/>
    <w:rsid w:val="001F7700"/>
    <w:rsid w:val="001F7C91"/>
    <w:rsid w:val="00200176"/>
    <w:rsid w:val="002033B7"/>
    <w:rsid w:val="00206463"/>
    <w:rsid w:val="00206F2F"/>
    <w:rsid w:val="0021053D"/>
    <w:rsid w:val="002108B0"/>
    <w:rsid w:val="00210A92"/>
    <w:rsid w:val="00213C2A"/>
    <w:rsid w:val="00216943"/>
    <w:rsid w:val="00216C03"/>
    <w:rsid w:val="00220C04"/>
    <w:rsid w:val="00221427"/>
    <w:rsid w:val="0022278D"/>
    <w:rsid w:val="0022701F"/>
    <w:rsid w:val="00227C68"/>
    <w:rsid w:val="00230CFA"/>
    <w:rsid w:val="002333F5"/>
    <w:rsid w:val="00233724"/>
    <w:rsid w:val="002365B4"/>
    <w:rsid w:val="002432E1"/>
    <w:rsid w:val="0024376E"/>
    <w:rsid w:val="002445B5"/>
    <w:rsid w:val="00246207"/>
    <w:rsid w:val="00246C5E"/>
    <w:rsid w:val="00250960"/>
    <w:rsid w:val="00251343"/>
    <w:rsid w:val="002536A4"/>
    <w:rsid w:val="00254F58"/>
    <w:rsid w:val="002578AF"/>
    <w:rsid w:val="002620BC"/>
    <w:rsid w:val="00262802"/>
    <w:rsid w:val="00263A90"/>
    <w:rsid w:val="00263C1F"/>
    <w:rsid w:val="0026408B"/>
    <w:rsid w:val="00267C3E"/>
    <w:rsid w:val="002709BB"/>
    <w:rsid w:val="0027113F"/>
    <w:rsid w:val="00273BAC"/>
    <w:rsid w:val="002763B3"/>
    <w:rsid w:val="00276D3F"/>
    <w:rsid w:val="002802E3"/>
    <w:rsid w:val="0028213D"/>
    <w:rsid w:val="002862F1"/>
    <w:rsid w:val="00291373"/>
    <w:rsid w:val="00291CB1"/>
    <w:rsid w:val="0029597D"/>
    <w:rsid w:val="002962C3"/>
    <w:rsid w:val="0029752B"/>
    <w:rsid w:val="002A0A9C"/>
    <w:rsid w:val="002A0BE9"/>
    <w:rsid w:val="002A22A9"/>
    <w:rsid w:val="002A44E4"/>
    <w:rsid w:val="002A483C"/>
    <w:rsid w:val="002A5D2B"/>
    <w:rsid w:val="002A6396"/>
    <w:rsid w:val="002B0C7C"/>
    <w:rsid w:val="002B1729"/>
    <w:rsid w:val="002B36C7"/>
    <w:rsid w:val="002B3D11"/>
    <w:rsid w:val="002B4DD4"/>
    <w:rsid w:val="002B5277"/>
    <w:rsid w:val="002B5375"/>
    <w:rsid w:val="002B7710"/>
    <w:rsid w:val="002B77C1"/>
    <w:rsid w:val="002C0ED7"/>
    <w:rsid w:val="002C2728"/>
    <w:rsid w:val="002C37DA"/>
    <w:rsid w:val="002D1E0D"/>
    <w:rsid w:val="002D5006"/>
    <w:rsid w:val="002D5BDF"/>
    <w:rsid w:val="002D7661"/>
    <w:rsid w:val="002E01D0"/>
    <w:rsid w:val="002E06D9"/>
    <w:rsid w:val="002E161D"/>
    <w:rsid w:val="002E1FB0"/>
    <w:rsid w:val="002E3100"/>
    <w:rsid w:val="002E6C95"/>
    <w:rsid w:val="002E7C36"/>
    <w:rsid w:val="002F0107"/>
    <w:rsid w:val="002F2CC3"/>
    <w:rsid w:val="002F3D32"/>
    <w:rsid w:val="002F3D50"/>
    <w:rsid w:val="002F3E14"/>
    <w:rsid w:val="002F5F31"/>
    <w:rsid w:val="002F5F46"/>
    <w:rsid w:val="002F767F"/>
    <w:rsid w:val="00302216"/>
    <w:rsid w:val="00303E53"/>
    <w:rsid w:val="00305CC1"/>
    <w:rsid w:val="00306E5F"/>
    <w:rsid w:val="00307E14"/>
    <w:rsid w:val="00314054"/>
    <w:rsid w:val="00315BD8"/>
    <w:rsid w:val="00316F27"/>
    <w:rsid w:val="003214F1"/>
    <w:rsid w:val="00322D16"/>
    <w:rsid w:val="00322E4B"/>
    <w:rsid w:val="00327870"/>
    <w:rsid w:val="0033259D"/>
    <w:rsid w:val="003333D2"/>
    <w:rsid w:val="003406C6"/>
    <w:rsid w:val="003418CC"/>
    <w:rsid w:val="0034313D"/>
    <w:rsid w:val="0034519C"/>
    <w:rsid w:val="003459BD"/>
    <w:rsid w:val="00347862"/>
    <w:rsid w:val="00350D38"/>
    <w:rsid w:val="00351B36"/>
    <w:rsid w:val="00357B4E"/>
    <w:rsid w:val="00361577"/>
    <w:rsid w:val="00363204"/>
    <w:rsid w:val="003716FD"/>
    <w:rsid w:val="00371A31"/>
    <w:rsid w:val="0037204B"/>
    <w:rsid w:val="00373890"/>
    <w:rsid w:val="003744CF"/>
    <w:rsid w:val="00374717"/>
    <w:rsid w:val="00375539"/>
    <w:rsid w:val="0037676C"/>
    <w:rsid w:val="00380715"/>
    <w:rsid w:val="00380BFB"/>
    <w:rsid w:val="00381043"/>
    <w:rsid w:val="003817BD"/>
    <w:rsid w:val="003829E5"/>
    <w:rsid w:val="00383EE0"/>
    <w:rsid w:val="00386109"/>
    <w:rsid w:val="00386944"/>
    <w:rsid w:val="00387225"/>
    <w:rsid w:val="003916B7"/>
    <w:rsid w:val="00393E43"/>
    <w:rsid w:val="003956CC"/>
    <w:rsid w:val="003958DD"/>
    <w:rsid w:val="00395C9A"/>
    <w:rsid w:val="003A0853"/>
    <w:rsid w:val="003A6B67"/>
    <w:rsid w:val="003B04FC"/>
    <w:rsid w:val="003B13B6"/>
    <w:rsid w:val="003B15E6"/>
    <w:rsid w:val="003B33DF"/>
    <w:rsid w:val="003B408A"/>
    <w:rsid w:val="003B5733"/>
    <w:rsid w:val="003C08A2"/>
    <w:rsid w:val="003C2045"/>
    <w:rsid w:val="003C4119"/>
    <w:rsid w:val="003C43A1"/>
    <w:rsid w:val="003C4E85"/>
    <w:rsid w:val="003C4FC0"/>
    <w:rsid w:val="003C55F4"/>
    <w:rsid w:val="003C7897"/>
    <w:rsid w:val="003C7A3F"/>
    <w:rsid w:val="003D0225"/>
    <w:rsid w:val="003D1273"/>
    <w:rsid w:val="003D2766"/>
    <w:rsid w:val="003D2A74"/>
    <w:rsid w:val="003D3E8F"/>
    <w:rsid w:val="003D6475"/>
    <w:rsid w:val="003D6CE5"/>
    <w:rsid w:val="003E375C"/>
    <w:rsid w:val="003E4086"/>
    <w:rsid w:val="003E639E"/>
    <w:rsid w:val="003E71E5"/>
    <w:rsid w:val="003F0445"/>
    <w:rsid w:val="003F0CF0"/>
    <w:rsid w:val="003F14B1"/>
    <w:rsid w:val="003F2B20"/>
    <w:rsid w:val="003F3289"/>
    <w:rsid w:val="003F5CB9"/>
    <w:rsid w:val="003F6D47"/>
    <w:rsid w:val="003F74E7"/>
    <w:rsid w:val="004013C7"/>
    <w:rsid w:val="00401FCF"/>
    <w:rsid w:val="0040248F"/>
    <w:rsid w:val="00403DF0"/>
    <w:rsid w:val="0040491D"/>
    <w:rsid w:val="00406285"/>
    <w:rsid w:val="004112C6"/>
    <w:rsid w:val="00414783"/>
    <w:rsid w:val="004148F9"/>
    <w:rsid w:val="00414D47"/>
    <w:rsid w:val="00414D4A"/>
    <w:rsid w:val="0042084E"/>
    <w:rsid w:val="00421EEF"/>
    <w:rsid w:val="00424D65"/>
    <w:rsid w:val="00425B26"/>
    <w:rsid w:val="004340F9"/>
    <w:rsid w:val="00442C6C"/>
    <w:rsid w:val="0044364A"/>
    <w:rsid w:val="00443CBE"/>
    <w:rsid w:val="00443E8A"/>
    <w:rsid w:val="004441BC"/>
    <w:rsid w:val="00445410"/>
    <w:rsid w:val="004468B4"/>
    <w:rsid w:val="0045230A"/>
    <w:rsid w:val="00454AD0"/>
    <w:rsid w:val="00457337"/>
    <w:rsid w:val="00461A57"/>
    <w:rsid w:val="00462E3D"/>
    <w:rsid w:val="00465C6E"/>
    <w:rsid w:val="00466E79"/>
    <w:rsid w:val="00470082"/>
    <w:rsid w:val="00470D7D"/>
    <w:rsid w:val="0047372D"/>
    <w:rsid w:val="00473BA3"/>
    <w:rsid w:val="004743DD"/>
    <w:rsid w:val="00474CEA"/>
    <w:rsid w:val="00476CE6"/>
    <w:rsid w:val="0048163E"/>
    <w:rsid w:val="0048239C"/>
    <w:rsid w:val="00483968"/>
    <w:rsid w:val="00484E23"/>
    <w:rsid w:val="00484F86"/>
    <w:rsid w:val="00490746"/>
    <w:rsid w:val="00490852"/>
    <w:rsid w:val="00491C9C"/>
    <w:rsid w:val="00492F30"/>
    <w:rsid w:val="004946F4"/>
    <w:rsid w:val="0049487E"/>
    <w:rsid w:val="00497494"/>
    <w:rsid w:val="00497663"/>
    <w:rsid w:val="004A160D"/>
    <w:rsid w:val="004A1C02"/>
    <w:rsid w:val="004A3E81"/>
    <w:rsid w:val="004A4195"/>
    <w:rsid w:val="004A5C62"/>
    <w:rsid w:val="004A5CE5"/>
    <w:rsid w:val="004A64C7"/>
    <w:rsid w:val="004A67FC"/>
    <w:rsid w:val="004A707D"/>
    <w:rsid w:val="004B00E9"/>
    <w:rsid w:val="004B1579"/>
    <w:rsid w:val="004B2F36"/>
    <w:rsid w:val="004B3A5B"/>
    <w:rsid w:val="004B3EF9"/>
    <w:rsid w:val="004B51A2"/>
    <w:rsid w:val="004B59E5"/>
    <w:rsid w:val="004C271F"/>
    <w:rsid w:val="004C5541"/>
    <w:rsid w:val="004C6EEE"/>
    <w:rsid w:val="004C702B"/>
    <w:rsid w:val="004D0033"/>
    <w:rsid w:val="004D016B"/>
    <w:rsid w:val="004D1B22"/>
    <w:rsid w:val="004D1DDD"/>
    <w:rsid w:val="004D23CC"/>
    <w:rsid w:val="004D36F2"/>
    <w:rsid w:val="004D383B"/>
    <w:rsid w:val="004D4F4B"/>
    <w:rsid w:val="004E0156"/>
    <w:rsid w:val="004E1106"/>
    <w:rsid w:val="004E138F"/>
    <w:rsid w:val="004E175A"/>
    <w:rsid w:val="004E4649"/>
    <w:rsid w:val="004E5C2B"/>
    <w:rsid w:val="004F00DD"/>
    <w:rsid w:val="004F1FB7"/>
    <w:rsid w:val="004F2133"/>
    <w:rsid w:val="004F2E68"/>
    <w:rsid w:val="004F4D39"/>
    <w:rsid w:val="004F5398"/>
    <w:rsid w:val="004F55F1"/>
    <w:rsid w:val="004F6936"/>
    <w:rsid w:val="00503DC0"/>
    <w:rsid w:val="00503DC6"/>
    <w:rsid w:val="00506F5D"/>
    <w:rsid w:val="00510C37"/>
    <w:rsid w:val="005126D0"/>
    <w:rsid w:val="005145D2"/>
    <w:rsid w:val="0051568D"/>
    <w:rsid w:val="00526AC7"/>
    <w:rsid w:val="00526C15"/>
    <w:rsid w:val="005331CA"/>
    <w:rsid w:val="00536395"/>
    <w:rsid w:val="00536499"/>
    <w:rsid w:val="00543903"/>
    <w:rsid w:val="00543F11"/>
    <w:rsid w:val="00546305"/>
    <w:rsid w:val="00547A95"/>
    <w:rsid w:val="0055119B"/>
    <w:rsid w:val="005548B5"/>
    <w:rsid w:val="00554C28"/>
    <w:rsid w:val="0056208A"/>
    <w:rsid w:val="00564B62"/>
    <w:rsid w:val="00565D72"/>
    <w:rsid w:val="00572031"/>
    <w:rsid w:val="00572282"/>
    <w:rsid w:val="00573CE3"/>
    <w:rsid w:val="00574497"/>
    <w:rsid w:val="00576E84"/>
    <w:rsid w:val="00580394"/>
    <w:rsid w:val="005809CD"/>
    <w:rsid w:val="00582B8C"/>
    <w:rsid w:val="0058757E"/>
    <w:rsid w:val="00593DF5"/>
    <w:rsid w:val="0059579E"/>
    <w:rsid w:val="00596A4B"/>
    <w:rsid w:val="00597507"/>
    <w:rsid w:val="005A30EB"/>
    <w:rsid w:val="005A479D"/>
    <w:rsid w:val="005B1150"/>
    <w:rsid w:val="005B1875"/>
    <w:rsid w:val="005B1C6D"/>
    <w:rsid w:val="005B21B6"/>
    <w:rsid w:val="005B2EA1"/>
    <w:rsid w:val="005B3A08"/>
    <w:rsid w:val="005B6516"/>
    <w:rsid w:val="005B69E3"/>
    <w:rsid w:val="005B7A63"/>
    <w:rsid w:val="005C0955"/>
    <w:rsid w:val="005C49DA"/>
    <w:rsid w:val="005C50F3"/>
    <w:rsid w:val="005C54B5"/>
    <w:rsid w:val="005C5D80"/>
    <w:rsid w:val="005C5D91"/>
    <w:rsid w:val="005D07B8"/>
    <w:rsid w:val="005D5F15"/>
    <w:rsid w:val="005D6597"/>
    <w:rsid w:val="005E0E63"/>
    <w:rsid w:val="005E14E7"/>
    <w:rsid w:val="005E22F5"/>
    <w:rsid w:val="005E26A3"/>
    <w:rsid w:val="005E28E8"/>
    <w:rsid w:val="005E2ECB"/>
    <w:rsid w:val="005E43A6"/>
    <w:rsid w:val="005E447E"/>
    <w:rsid w:val="005E4C41"/>
    <w:rsid w:val="005E4FD1"/>
    <w:rsid w:val="005E6A98"/>
    <w:rsid w:val="005F0471"/>
    <w:rsid w:val="005F0775"/>
    <w:rsid w:val="005F0CF5"/>
    <w:rsid w:val="005F21EB"/>
    <w:rsid w:val="005F76AF"/>
    <w:rsid w:val="00605908"/>
    <w:rsid w:val="00606C25"/>
    <w:rsid w:val="00610D7C"/>
    <w:rsid w:val="00613414"/>
    <w:rsid w:val="00613B96"/>
    <w:rsid w:val="00613F40"/>
    <w:rsid w:val="0061405E"/>
    <w:rsid w:val="00614425"/>
    <w:rsid w:val="0062000C"/>
    <w:rsid w:val="00620154"/>
    <w:rsid w:val="0062408D"/>
    <w:rsid w:val="006240CC"/>
    <w:rsid w:val="00624940"/>
    <w:rsid w:val="006254F8"/>
    <w:rsid w:val="00627DA7"/>
    <w:rsid w:val="00630DA4"/>
    <w:rsid w:val="00632597"/>
    <w:rsid w:val="00635583"/>
    <w:rsid w:val="006358B4"/>
    <w:rsid w:val="00637C50"/>
    <w:rsid w:val="006419AA"/>
    <w:rsid w:val="006426FF"/>
    <w:rsid w:val="0064301B"/>
    <w:rsid w:val="00644B1F"/>
    <w:rsid w:val="00644B7E"/>
    <w:rsid w:val="006454E6"/>
    <w:rsid w:val="00645E2E"/>
    <w:rsid w:val="00646235"/>
    <w:rsid w:val="00646A68"/>
    <w:rsid w:val="006505BD"/>
    <w:rsid w:val="006508EA"/>
    <w:rsid w:val="0065092E"/>
    <w:rsid w:val="006509D5"/>
    <w:rsid w:val="00650B93"/>
    <w:rsid w:val="00651338"/>
    <w:rsid w:val="00654817"/>
    <w:rsid w:val="006557A7"/>
    <w:rsid w:val="00656290"/>
    <w:rsid w:val="006608D8"/>
    <w:rsid w:val="006621D7"/>
    <w:rsid w:val="0066302A"/>
    <w:rsid w:val="00667770"/>
    <w:rsid w:val="00670597"/>
    <w:rsid w:val="006706D0"/>
    <w:rsid w:val="00677574"/>
    <w:rsid w:val="00680F79"/>
    <w:rsid w:val="0068454C"/>
    <w:rsid w:val="00691B62"/>
    <w:rsid w:val="006933B5"/>
    <w:rsid w:val="00693D14"/>
    <w:rsid w:val="00696F27"/>
    <w:rsid w:val="006A18C2"/>
    <w:rsid w:val="006A3383"/>
    <w:rsid w:val="006A42BA"/>
    <w:rsid w:val="006B077C"/>
    <w:rsid w:val="006B0972"/>
    <w:rsid w:val="006B554F"/>
    <w:rsid w:val="006B6803"/>
    <w:rsid w:val="006C55C2"/>
    <w:rsid w:val="006D0F16"/>
    <w:rsid w:val="006D2A3F"/>
    <w:rsid w:val="006D2FBC"/>
    <w:rsid w:val="006D380A"/>
    <w:rsid w:val="006D78D9"/>
    <w:rsid w:val="006E0541"/>
    <w:rsid w:val="006E138B"/>
    <w:rsid w:val="006F0330"/>
    <w:rsid w:val="006F0D49"/>
    <w:rsid w:val="006F1FDC"/>
    <w:rsid w:val="006F6B8C"/>
    <w:rsid w:val="007013EF"/>
    <w:rsid w:val="007055BD"/>
    <w:rsid w:val="00705762"/>
    <w:rsid w:val="00705966"/>
    <w:rsid w:val="00706046"/>
    <w:rsid w:val="00710CFF"/>
    <w:rsid w:val="007173CA"/>
    <w:rsid w:val="007216AA"/>
    <w:rsid w:val="0072196E"/>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5BB0"/>
    <w:rsid w:val="0074696E"/>
    <w:rsid w:val="00750135"/>
    <w:rsid w:val="00750EC2"/>
    <w:rsid w:val="00752B28"/>
    <w:rsid w:val="00753788"/>
    <w:rsid w:val="00753AD8"/>
    <w:rsid w:val="007541A9"/>
    <w:rsid w:val="00754E36"/>
    <w:rsid w:val="00763139"/>
    <w:rsid w:val="00770F37"/>
    <w:rsid w:val="007711A0"/>
    <w:rsid w:val="00772D5E"/>
    <w:rsid w:val="0077463E"/>
    <w:rsid w:val="00776928"/>
    <w:rsid w:val="00776E0F"/>
    <w:rsid w:val="007774B1"/>
    <w:rsid w:val="00777BE1"/>
    <w:rsid w:val="007833D8"/>
    <w:rsid w:val="0078395B"/>
    <w:rsid w:val="00785677"/>
    <w:rsid w:val="00786A9E"/>
    <w:rsid w:val="00786F16"/>
    <w:rsid w:val="00791BD7"/>
    <w:rsid w:val="007933F7"/>
    <w:rsid w:val="00796E20"/>
    <w:rsid w:val="0079739A"/>
    <w:rsid w:val="00797C32"/>
    <w:rsid w:val="007A11E8"/>
    <w:rsid w:val="007A24BE"/>
    <w:rsid w:val="007B049B"/>
    <w:rsid w:val="007B0914"/>
    <w:rsid w:val="007B1374"/>
    <w:rsid w:val="007B32E5"/>
    <w:rsid w:val="007B3DB9"/>
    <w:rsid w:val="007B589F"/>
    <w:rsid w:val="007B6186"/>
    <w:rsid w:val="007B73BC"/>
    <w:rsid w:val="007C1838"/>
    <w:rsid w:val="007C20B9"/>
    <w:rsid w:val="007C6593"/>
    <w:rsid w:val="007C7301"/>
    <w:rsid w:val="007C7859"/>
    <w:rsid w:val="007C798A"/>
    <w:rsid w:val="007C7F28"/>
    <w:rsid w:val="007D1466"/>
    <w:rsid w:val="007D2BDE"/>
    <w:rsid w:val="007D2FB6"/>
    <w:rsid w:val="007D49EB"/>
    <w:rsid w:val="007D5E1C"/>
    <w:rsid w:val="007E022E"/>
    <w:rsid w:val="007E0DE2"/>
    <w:rsid w:val="007E1227"/>
    <w:rsid w:val="007E2007"/>
    <w:rsid w:val="007E3B98"/>
    <w:rsid w:val="007E417A"/>
    <w:rsid w:val="007E53CD"/>
    <w:rsid w:val="007EF611"/>
    <w:rsid w:val="007F14F5"/>
    <w:rsid w:val="007F31B6"/>
    <w:rsid w:val="007F546C"/>
    <w:rsid w:val="007F625F"/>
    <w:rsid w:val="007F665E"/>
    <w:rsid w:val="00800412"/>
    <w:rsid w:val="0080551C"/>
    <w:rsid w:val="0080587B"/>
    <w:rsid w:val="00806468"/>
    <w:rsid w:val="008119CA"/>
    <w:rsid w:val="008130C4"/>
    <w:rsid w:val="008139F8"/>
    <w:rsid w:val="008155F0"/>
    <w:rsid w:val="00816735"/>
    <w:rsid w:val="00820141"/>
    <w:rsid w:val="00820E0C"/>
    <w:rsid w:val="008213F0"/>
    <w:rsid w:val="00823275"/>
    <w:rsid w:val="0082366F"/>
    <w:rsid w:val="008338A2"/>
    <w:rsid w:val="00835FAF"/>
    <w:rsid w:val="00841AA9"/>
    <w:rsid w:val="008474FE"/>
    <w:rsid w:val="00853EE4"/>
    <w:rsid w:val="00855535"/>
    <w:rsid w:val="008555DF"/>
    <w:rsid w:val="00855920"/>
    <w:rsid w:val="00857C5A"/>
    <w:rsid w:val="0086255E"/>
    <w:rsid w:val="00862C65"/>
    <w:rsid w:val="008633F0"/>
    <w:rsid w:val="00864857"/>
    <w:rsid w:val="00867D9D"/>
    <w:rsid w:val="0087214E"/>
    <w:rsid w:val="008722A4"/>
    <w:rsid w:val="00872E0A"/>
    <w:rsid w:val="00873594"/>
    <w:rsid w:val="00873C57"/>
    <w:rsid w:val="00875285"/>
    <w:rsid w:val="00884B62"/>
    <w:rsid w:val="0088529C"/>
    <w:rsid w:val="00887903"/>
    <w:rsid w:val="0089270A"/>
    <w:rsid w:val="00893AF6"/>
    <w:rsid w:val="00894BC4"/>
    <w:rsid w:val="00896162"/>
    <w:rsid w:val="008A27AF"/>
    <w:rsid w:val="008A28A8"/>
    <w:rsid w:val="008A3BE7"/>
    <w:rsid w:val="008A5B32"/>
    <w:rsid w:val="008B0209"/>
    <w:rsid w:val="008B2EE4"/>
    <w:rsid w:val="008B4D3D"/>
    <w:rsid w:val="008B57C7"/>
    <w:rsid w:val="008B6596"/>
    <w:rsid w:val="008B6A64"/>
    <w:rsid w:val="008C2F92"/>
    <w:rsid w:val="008C3697"/>
    <w:rsid w:val="008C5557"/>
    <w:rsid w:val="008C589D"/>
    <w:rsid w:val="008C5EBA"/>
    <w:rsid w:val="008C6D51"/>
    <w:rsid w:val="008C74A1"/>
    <w:rsid w:val="008D2846"/>
    <w:rsid w:val="008D4236"/>
    <w:rsid w:val="008D462F"/>
    <w:rsid w:val="008D6DCF"/>
    <w:rsid w:val="008E3DE9"/>
    <w:rsid w:val="008E4376"/>
    <w:rsid w:val="008E5394"/>
    <w:rsid w:val="008E7A0A"/>
    <w:rsid w:val="008E7B49"/>
    <w:rsid w:val="008E7D88"/>
    <w:rsid w:val="008F236B"/>
    <w:rsid w:val="008F59F6"/>
    <w:rsid w:val="008F67D5"/>
    <w:rsid w:val="00900719"/>
    <w:rsid w:val="009017AC"/>
    <w:rsid w:val="00902A9A"/>
    <w:rsid w:val="00902C76"/>
    <w:rsid w:val="009032B5"/>
    <w:rsid w:val="00904A1C"/>
    <w:rsid w:val="00904AB4"/>
    <w:rsid w:val="00905030"/>
    <w:rsid w:val="00906490"/>
    <w:rsid w:val="00907C70"/>
    <w:rsid w:val="009111B2"/>
    <w:rsid w:val="00914FDC"/>
    <w:rsid w:val="009151F5"/>
    <w:rsid w:val="009220CA"/>
    <w:rsid w:val="00924AE1"/>
    <w:rsid w:val="009269B1"/>
    <w:rsid w:val="0092724D"/>
    <w:rsid w:val="009272B3"/>
    <w:rsid w:val="0093095F"/>
    <w:rsid w:val="009315BE"/>
    <w:rsid w:val="0093338F"/>
    <w:rsid w:val="00937BD9"/>
    <w:rsid w:val="009436AB"/>
    <w:rsid w:val="009456D7"/>
    <w:rsid w:val="00950E2C"/>
    <w:rsid w:val="00951D50"/>
    <w:rsid w:val="009525EB"/>
    <w:rsid w:val="0095470B"/>
    <w:rsid w:val="00954874"/>
    <w:rsid w:val="0095605D"/>
    <w:rsid w:val="0095615A"/>
    <w:rsid w:val="00957418"/>
    <w:rsid w:val="00961400"/>
    <w:rsid w:val="00963646"/>
    <w:rsid w:val="0096632D"/>
    <w:rsid w:val="009718C7"/>
    <w:rsid w:val="009744FE"/>
    <w:rsid w:val="0097559F"/>
    <w:rsid w:val="0097761E"/>
    <w:rsid w:val="00982454"/>
    <w:rsid w:val="00982CF0"/>
    <w:rsid w:val="009853E1"/>
    <w:rsid w:val="00986E6B"/>
    <w:rsid w:val="00990032"/>
    <w:rsid w:val="00990B19"/>
    <w:rsid w:val="0099153B"/>
    <w:rsid w:val="00991769"/>
    <w:rsid w:val="0099232C"/>
    <w:rsid w:val="00992C00"/>
    <w:rsid w:val="00992FEA"/>
    <w:rsid w:val="00994386"/>
    <w:rsid w:val="009A13D8"/>
    <w:rsid w:val="009A1AE8"/>
    <w:rsid w:val="009A279E"/>
    <w:rsid w:val="009A3015"/>
    <w:rsid w:val="009A3490"/>
    <w:rsid w:val="009A4908"/>
    <w:rsid w:val="009B0A6F"/>
    <w:rsid w:val="009B0A94"/>
    <w:rsid w:val="009B2AE8"/>
    <w:rsid w:val="009B59E9"/>
    <w:rsid w:val="009B70AA"/>
    <w:rsid w:val="009C5E77"/>
    <w:rsid w:val="009C787A"/>
    <w:rsid w:val="009C7A7E"/>
    <w:rsid w:val="009D02E8"/>
    <w:rsid w:val="009D3B8F"/>
    <w:rsid w:val="009D51D0"/>
    <w:rsid w:val="009D6ED6"/>
    <w:rsid w:val="009D70A4"/>
    <w:rsid w:val="009D7B14"/>
    <w:rsid w:val="009E08D1"/>
    <w:rsid w:val="009E170B"/>
    <w:rsid w:val="009E1B95"/>
    <w:rsid w:val="009E496F"/>
    <w:rsid w:val="009E4B0D"/>
    <w:rsid w:val="009E5250"/>
    <w:rsid w:val="009E7F92"/>
    <w:rsid w:val="009F02A3"/>
    <w:rsid w:val="009F1DD4"/>
    <w:rsid w:val="009F2F27"/>
    <w:rsid w:val="009F34AA"/>
    <w:rsid w:val="009F3D9D"/>
    <w:rsid w:val="009F6BCB"/>
    <w:rsid w:val="009F7B78"/>
    <w:rsid w:val="009F7C7C"/>
    <w:rsid w:val="00A0057A"/>
    <w:rsid w:val="00A00938"/>
    <w:rsid w:val="00A016D6"/>
    <w:rsid w:val="00A02FA1"/>
    <w:rsid w:val="00A04CCE"/>
    <w:rsid w:val="00A07421"/>
    <w:rsid w:val="00A07447"/>
    <w:rsid w:val="00A0776B"/>
    <w:rsid w:val="00A10FB9"/>
    <w:rsid w:val="00A11421"/>
    <w:rsid w:val="00A1323E"/>
    <w:rsid w:val="00A1389F"/>
    <w:rsid w:val="00A14747"/>
    <w:rsid w:val="00A156C0"/>
    <w:rsid w:val="00A157B1"/>
    <w:rsid w:val="00A15A5C"/>
    <w:rsid w:val="00A22229"/>
    <w:rsid w:val="00A22435"/>
    <w:rsid w:val="00A24442"/>
    <w:rsid w:val="00A330BB"/>
    <w:rsid w:val="00A3550F"/>
    <w:rsid w:val="00A3561B"/>
    <w:rsid w:val="00A3601A"/>
    <w:rsid w:val="00A44882"/>
    <w:rsid w:val="00A45125"/>
    <w:rsid w:val="00A457CE"/>
    <w:rsid w:val="00A50A54"/>
    <w:rsid w:val="00A5294C"/>
    <w:rsid w:val="00A54715"/>
    <w:rsid w:val="00A54C21"/>
    <w:rsid w:val="00A6061C"/>
    <w:rsid w:val="00A62D44"/>
    <w:rsid w:val="00A67263"/>
    <w:rsid w:val="00A67A9B"/>
    <w:rsid w:val="00A7161C"/>
    <w:rsid w:val="00A74F5B"/>
    <w:rsid w:val="00A77AA3"/>
    <w:rsid w:val="00A8236D"/>
    <w:rsid w:val="00A8357A"/>
    <w:rsid w:val="00A854EB"/>
    <w:rsid w:val="00A872E5"/>
    <w:rsid w:val="00A87788"/>
    <w:rsid w:val="00A91406"/>
    <w:rsid w:val="00A91711"/>
    <w:rsid w:val="00A96E65"/>
    <w:rsid w:val="00A97A0F"/>
    <w:rsid w:val="00A97C72"/>
    <w:rsid w:val="00AA1F35"/>
    <w:rsid w:val="00AA268E"/>
    <w:rsid w:val="00AA310B"/>
    <w:rsid w:val="00AA63D4"/>
    <w:rsid w:val="00AB06E8"/>
    <w:rsid w:val="00AB12D2"/>
    <w:rsid w:val="00AB1CD3"/>
    <w:rsid w:val="00AB352F"/>
    <w:rsid w:val="00AC274B"/>
    <w:rsid w:val="00AC4764"/>
    <w:rsid w:val="00AC6057"/>
    <w:rsid w:val="00AC6D36"/>
    <w:rsid w:val="00AD0CBA"/>
    <w:rsid w:val="00AD177A"/>
    <w:rsid w:val="00AD2087"/>
    <w:rsid w:val="00AD26E2"/>
    <w:rsid w:val="00AD4DBE"/>
    <w:rsid w:val="00AD784C"/>
    <w:rsid w:val="00AE126A"/>
    <w:rsid w:val="00AE1BAE"/>
    <w:rsid w:val="00AE2CEC"/>
    <w:rsid w:val="00AE3005"/>
    <w:rsid w:val="00AE3BD5"/>
    <w:rsid w:val="00AE59A0"/>
    <w:rsid w:val="00AF0C57"/>
    <w:rsid w:val="00AF26F3"/>
    <w:rsid w:val="00AF5F04"/>
    <w:rsid w:val="00B004B9"/>
    <w:rsid w:val="00B00672"/>
    <w:rsid w:val="00B01B4D"/>
    <w:rsid w:val="00B06571"/>
    <w:rsid w:val="00B06658"/>
    <w:rsid w:val="00B068BA"/>
    <w:rsid w:val="00B07DA7"/>
    <w:rsid w:val="00B07FF7"/>
    <w:rsid w:val="00B11DCC"/>
    <w:rsid w:val="00B13851"/>
    <w:rsid w:val="00B13B1C"/>
    <w:rsid w:val="00B14780"/>
    <w:rsid w:val="00B173FB"/>
    <w:rsid w:val="00B21F90"/>
    <w:rsid w:val="00B22291"/>
    <w:rsid w:val="00B23F9A"/>
    <w:rsid w:val="00B2417B"/>
    <w:rsid w:val="00B2436A"/>
    <w:rsid w:val="00B24E6F"/>
    <w:rsid w:val="00B26CB5"/>
    <w:rsid w:val="00B2752E"/>
    <w:rsid w:val="00B307CC"/>
    <w:rsid w:val="00B326B7"/>
    <w:rsid w:val="00B3588E"/>
    <w:rsid w:val="00B36676"/>
    <w:rsid w:val="00B41F3D"/>
    <w:rsid w:val="00B431E8"/>
    <w:rsid w:val="00B45141"/>
    <w:rsid w:val="00B454EA"/>
    <w:rsid w:val="00B46DE7"/>
    <w:rsid w:val="00B519CD"/>
    <w:rsid w:val="00B524DE"/>
    <w:rsid w:val="00B5273A"/>
    <w:rsid w:val="00B53E6E"/>
    <w:rsid w:val="00B54222"/>
    <w:rsid w:val="00B57329"/>
    <w:rsid w:val="00B60E61"/>
    <w:rsid w:val="00B62B50"/>
    <w:rsid w:val="00B635B7"/>
    <w:rsid w:val="00B63AE8"/>
    <w:rsid w:val="00B65950"/>
    <w:rsid w:val="00B66D83"/>
    <w:rsid w:val="00B672C0"/>
    <w:rsid w:val="00B676FD"/>
    <w:rsid w:val="00B73279"/>
    <w:rsid w:val="00B75646"/>
    <w:rsid w:val="00B76233"/>
    <w:rsid w:val="00B90729"/>
    <w:rsid w:val="00B907DA"/>
    <w:rsid w:val="00B90A0D"/>
    <w:rsid w:val="00B92CDA"/>
    <w:rsid w:val="00B94CD5"/>
    <w:rsid w:val="00B950BC"/>
    <w:rsid w:val="00B9714C"/>
    <w:rsid w:val="00BA083F"/>
    <w:rsid w:val="00BA29AD"/>
    <w:rsid w:val="00BA33CF"/>
    <w:rsid w:val="00BA3F8D"/>
    <w:rsid w:val="00BA6869"/>
    <w:rsid w:val="00BB7A10"/>
    <w:rsid w:val="00BC01C9"/>
    <w:rsid w:val="00BC3E05"/>
    <w:rsid w:val="00BC3E8F"/>
    <w:rsid w:val="00BC60BE"/>
    <w:rsid w:val="00BC7468"/>
    <w:rsid w:val="00BC7D4F"/>
    <w:rsid w:val="00BC7ED7"/>
    <w:rsid w:val="00BD2850"/>
    <w:rsid w:val="00BE28D2"/>
    <w:rsid w:val="00BE4A64"/>
    <w:rsid w:val="00BE5E43"/>
    <w:rsid w:val="00BE5F02"/>
    <w:rsid w:val="00BE6470"/>
    <w:rsid w:val="00BF2899"/>
    <w:rsid w:val="00BF30B2"/>
    <w:rsid w:val="00BF557D"/>
    <w:rsid w:val="00BF7F58"/>
    <w:rsid w:val="00C01381"/>
    <w:rsid w:val="00C016BA"/>
    <w:rsid w:val="00C01AB1"/>
    <w:rsid w:val="00C026A0"/>
    <w:rsid w:val="00C0405A"/>
    <w:rsid w:val="00C04AD5"/>
    <w:rsid w:val="00C056A2"/>
    <w:rsid w:val="00C06137"/>
    <w:rsid w:val="00C06349"/>
    <w:rsid w:val="00C079B8"/>
    <w:rsid w:val="00C10037"/>
    <w:rsid w:val="00C123EA"/>
    <w:rsid w:val="00C1249C"/>
    <w:rsid w:val="00C12A49"/>
    <w:rsid w:val="00C133EE"/>
    <w:rsid w:val="00C149D0"/>
    <w:rsid w:val="00C20776"/>
    <w:rsid w:val="00C25D07"/>
    <w:rsid w:val="00C26588"/>
    <w:rsid w:val="00C26899"/>
    <w:rsid w:val="00C27DE9"/>
    <w:rsid w:val="00C27EFA"/>
    <w:rsid w:val="00C31C16"/>
    <w:rsid w:val="00C32989"/>
    <w:rsid w:val="00C33388"/>
    <w:rsid w:val="00C35484"/>
    <w:rsid w:val="00C4173A"/>
    <w:rsid w:val="00C43448"/>
    <w:rsid w:val="00C46CFD"/>
    <w:rsid w:val="00C47C33"/>
    <w:rsid w:val="00C50DED"/>
    <w:rsid w:val="00C51EAE"/>
    <w:rsid w:val="00C56FDA"/>
    <w:rsid w:val="00C602FF"/>
    <w:rsid w:val="00C61174"/>
    <w:rsid w:val="00C6148F"/>
    <w:rsid w:val="00C621B1"/>
    <w:rsid w:val="00C62F7A"/>
    <w:rsid w:val="00C63B9C"/>
    <w:rsid w:val="00C64E28"/>
    <w:rsid w:val="00C6682F"/>
    <w:rsid w:val="00C66B48"/>
    <w:rsid w:val="00C67BF4"/>
    <w:rsid w:val="00C7275E"/>
    <w:rsid w:val="00C74C5D"/>
    <w:rsid w:val="00C83673"/>
    <w:rsid w:val="00C863C4"/>
    <w:rsid w:val="00C8746D"/>
    <w:rsid w:val="00C90297"/>
    <w:rsid w:val="00C9142E"/>
    <w:rsid w:val="00C920EA"/>
    <w:rsid w:val="00C93C3E"/>
    <w:rsid w:val="00CA0A91"/>
    <w:rsid w:val="00CA12E3"/>
    <w:rsid w:val="00CA1476"/>
    <w:rsid w:val="00CA2670"/>
    <w:rsid w:val="00CA3576"/>
    <w:rsid w:val="00CA6611"/>
    <w:rsid w:val="00CA6AE6"/>
    <w:rsid w:val="00CA782F"/>
    <w:rsid w:val="00CA7A53"/>
    <w:rsid w:val="00CB1479"/>
    <w:rsid w:val="00CB15EE"/>
    <w:rsid w:val="00CB187B"/>
    <w:rsid w:val="00CB206E"/>
    <w:rsid w:val="00CB2835"/>
    <w:rsid w:val="00CB3285"/>
    <w:rsid w:val="00CB4500"/>
    <w:rsid w:val="00CB7800"/>
    <w:rsid w:val="00CC0C72"/>
    <w:rsid w:val="00CC128B"/>
    <w:rsid w:val="00CC2BFD"/>
    <w:rsid w:val="00CD3476"/>
    <w:rsid w:val="00CD3C3A"/>
    <w:rsid w:val="00CD3E10"/>
    <w:rsid w:val="00CD4422"/>
    <w:rsid w:val="00CD64DF"/>
    <w:rsid w:val="00CD7315"/>
    <w:rsid w:val="00CE225F"/>
    <w:rsid w:val="00CF1908"/>
    <w:rsid w:val="00CF29C2"/>
    <w:rsid w:val="00CF2F50"/>
    <w:rsid w:val="00CF6198"/>
    <w:rsid w:val="00CF666B"/>
    <w:rsid w:val="00D019D2"/>
    <w:rsid w:val="00D01CC0"/>
    <w:rsid w:val="00D02919"/>
    <w:rsid w:val="00D041D8"/>
    <w:rsid w:val="00D04C61"/>
    <w:rsid w:val="00D04F96"/>
    <w:rsid w:val="00D05B8D"/>
    <w:rsid w:val="00D065A2"/>
    <w:rsid w:val="00D079AA"/>
    <w:rsid w:val="00D07F00"/>
    <w:rsid w:val="00D10B91"/>
    <w:rsid w:val="00D1130F"/>
    <w:rsid w:val="00D17B72"/>
    <w:rsid w:val="00D2033C"/>
    <w:rsid w:val="00D217D1"/>
    <w:rsid w:val="00D2251F"/>
    <w:rsid w:val="00D2318D"/>
    <w:rsid w:val="00D3185C"/>
    <w:rsid w:val="00D3205F"/>
    <w:rsid w:val="00D3274E"/>
    <w:rsid w:val="00D3318E"/>
    <w:rsid w:val="00D33E72"/>
    <w:rsid w:val="00D34833"/>
    <w:rsid w:val="00D35BD6"/>
    <w:rsid w:val="00D361B5"/>
    <w:rsid w:val="00D405AC"/>
    <w:rsid w:val="00D411A2"/>
    <w:rsid w:val="00D44EBF"/>
    <w:rsid w:val="00D454A6"/>
    <w:rsid w:val="00D45B17"/>
    <w:rsid w:val="00D4606D"/>
    <w:rsid w:val="00D46C92"/>
    <w:rsid w:val="00D50B9C"/>
    <w:rsid w:val="00D516DD"/>
    <w:rsid w:val="00D521C4"/>
    <w:rsid w:val="00D52D73"/>
    <w:rsid w:val="00D52E58"/>
    <w:rsid w:val="00D53058"/>
    <w:rsid w:val="00D56B20"/>
    <w:rsid w:val="00D578B3"/>
    <w:rsid w:val="00D57D93"/>
    <w:rsid w:val="00D60928"/>
    <w:rsid w:val="00D618F4"/>
    <w:rsid w:val="00D705DB"/>
    <w:rsid w:val="00D712C6"/>
    <w:rsid w:val="00D714CC"/>
    <w:rsid w:val="00D7425D"/>
    <w:rsid w:val="00D75EA7"/>
    <w:rsid w:val="00D75ED2"/>
    <w:rsid w:val="00D808C8"/>
    <w:rsid w:val="00D81ADF"/>
    <w:rsid w:val="00D81F21"/>
    <w:rsid w:val="00D849DC"/>
    <w:rsid w:val="00D864F2"/>
    <w:rsid w:val="00D92014"/>
    <w:rsid w:val="00D92F95"/>
    <w:rsid w:val="00D943F8"/>
    <w:rsid w:val="00D95470"/>
    <w:rsid w:val="00D95CC9"/>
    <w:rsid w:val="00D96B55"/>
    <w:rsid w:val="00D96F44"/>
    <w:rsid w:val="00DA2619"/>
    <w:rsid w:val="00DA4239"/>
    <w:rsid w:val="00DA65DE"/>
    <w:rsid w:val="00DA7107"/>
    <w:rsid w:val="00DB036B"/>
    <w:rsid w:val="00DB0B61"/>
    <w:rsid w:val="00DB1474"/>
    <w:rsid w:val="00DB1A0F"/>
    <w:rsid w:val="00DB2962"/>
    <w:rsid w:val="00DB3BF8"/>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2F32"/>
    <w:rsid w:val="00DF3423"/>
    <w:rsid w:val="00DF50FC"/>
    <w:rsid w:val="00DF68C7"/>
    <w:rsid w:val="00DF731A"/>
    <w:rsid w:val="00E00766"/>
    <w:rsid w:val="00E06B75"/>
    <w:rsid w:val="00E11332"/>
    <w:rsid w:val="00E11352"/>
    <w:rsid w:val="00E12FFD"/>
    <w:rsid w:val="00E132EA"/>
    <w:rsid w:val="00E136B6"/>
    <w:rsid w:val="00E14ABC"/>
    <w:rsid w:val="00E170DC"/>
    <w:rsid w:val="00E17546"/>
    <w:rsid w:val="00E17E4C"/>
    <w:rsid w:val="00E210B5"/>
    <w:rsid w:val="00E21D66"/>
    <w:rsid w:val="00E261B3"/>
    <w:rsid w:val="00E26818"/>
    <w:rsid w:val="00E27FDC"/>
    <w:rsid w:val="00E27FFC"/>
    <w:rsid w:val="00E30B15"/>
    <w:rsid w:val="00E33237"/>
    <w:rsid w:val="00E40181"/>
    <w:rsid w:val="00E4195E"/>
    <w:rsid w:val="00E54950"/>
    <w:rsid w:val="00E5568B"/>
    <w:rsid w:val="00E56A01"/>
    <w:rsid w:val="00E62622"/>
    <w:rsid w:val="00E629A1"/>
    <w:rsid w:val="00E655D7"/>
    <w:rsid w:val="00E6794C"/>
    <w:rsid w:val="00E71591"/>
    <w:rsid w:val="00E71890"/>
    <w:rsid w:val="00E71CEB"/>
    <w:rsid w:val="00E7474F"/>
    <w:rsid w:val="00E75369"/>
    <w:rsid w:val="00E7688C"/>
    <w:rsid w:val="00E80DE3"/>
    <w:rsid w:val="00E82185"/>
    <w:rsid w:val="00E82C55"/>
    <w:rsid w:val="00E8787E"/>
    <w:rsid w:val="00E929B6"/>
    <w:rsid w:val="00E92AC3"/>
    <w:rsid w:val="00E93BF7"/>
    <w:rsid w:val="00EA1360"/>
    <w:rsid w:val="00EA1BAD"/>
    <w:rsid w:val="00EA20C0"/>
    <w:rsid w:val="00EA2F6A"/>
    <w:rsid w:val="00EA7809"/>
    <w:rsid w:val="00EB00E0"/>
    <w:rsid w:val="00EB30A4"/>
    <w:rsid w:val="00EB46A4"/>
    <w:rsid w:val="00EC059F"/>
    <w:rsid w:val="00EC1F24"/>
    <w:rsid w:val="00EC22F6"/>
    <w:rsid w:val="00EC40D5"/>
    <w:rsid w:val="00EC5D2B"/>
    <w:rsid w:val="00EC732C"/>
    <w:rsid w:val="00ED5B9B"/>
    <w:rsid w:val="00ED6BAD"/>
    <w:rsid w:val="00ED6C98"/>
    <w:rsid w:val="00ED7447"/>
    <w:rsid w:val="00EE00D6"/>
    <w:rsid w:val="00EE11E7"/>
    <w:rsid w:val="00EE1488"/>
    <w:rsid w:val="00EE1D1A"/>
    <w:rsid w:val="00EE29AD"/>
    <w:rsid w:val="00EE3E24"/>
    <w:rsid w:val="00EE4D5D"/>
    <w:rsid w:val="00EE5131"/>
    <w:rsid w:val="00EF109B"/>
    <w:rsid w:val="00EF201C"/>
    <w:rsid w:val="00EF36AF"/>
    <w:rsid w:val="00EF4A1A"/>
    <w:rsid w:val="00EF4A4F"/>
    <w:rsid w:val="00EF54B3"/>
    <w:rsid w:val="00EF59A3"/>
    <w:rsid w:val="00EF6675"/>
    <w:rsid w:val="00EF790D"/>
    <w:rsid w:val="00EF79D2"/>
    <w:rsid w:val="00F00F9C"/>
    <w:rsid w:val="00F01E5F"/>
    <w:rsid w:val="00F024F3"/>
    <w:rsid w:val="00F02ABA"/>
    <w:rsid w:val="00F03146"/>
    <w:rsid w:val="00F0437A"/>
    <w:rsid w:val="00F0544E"/>
    <w:rsid w:val="00F05AA0"/>
    <w:rsid w:val="00F06EA4"/>
    <w:rsid w:val="00F07E6D"/>
    <w:rsid w:val="00F101B8"/>
    <w:rsid w:val="00F11037"/>
    <w:rsid w:val="00F123C8"/>
    <w:rsid w:val="00F14229"/>
    <w:rsid w:val="00F16F1B"/>
    <w:rsid w:val="00F17A3C"/>
    <w:rsid w:val="00F250A9"/>
    <w:rsid w:val="00F267AF"/>
    <w:rsid w:val="00F27174"/>
    <w:rsid w:val="00F30110"/>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BE2"/>
    <w:rsid w:val="00F53DDD"/>
    <w:rsid w:val="00F5462D"/>
    <w:rsid w:val="00F54732"/>
    <w:rsid w:val="00F55B21"/>
    <w:rsid w:val="00F56EF6"/>
    <w:rsid w:val="00F60082"/>
    <w:rsid w:val="00F61A9F"/>
    <w:rsid w:val="00F61B5F"/>
    <w:rsid w:val="00F632F9"/>
    <w:rsid w:val="00F64696"/>
    <w:rsid w:val="00F65AA9"/>
    <w:rsid w:val="00F6768F"/>
    <w:rsid w:val="00F712D8"/>
    <w:rsid w:val="00F72C2C"/>
    <w:rsid w:val="00F754B7"/>
    <w:rsid w:val="00F765EA"/>
    <w:rsid w:val="00F76CAB"/>
    <w:rsid w:val="00F772C6"/>
    <w:rsid w:val="00F815B5"/>
    <w:rsid w:val="00F8438C"/>
    <w:rsid w:val="00F84FA0"/>
    <w:rsid w:val="00F85195"/>
    <w:rsid w:val="00F85768"/>
    <w:rsid w:val="00F85D45"/>
    <w:rsid w:val="00F868E3"/>
    <w:rsid w:val="00F86D41"/>
    <w:rsid w:val="00F87C12"/>
    <w:rsid w:val="00F938BA"/>
    <w:rsid w:val="00F9588B"/>
    <w:rsid w:val="00F97919"/>
    <w:rsid w:val="00FA05C2"/>
    <w:rsid w:val="00FA15B5"/>
    <w:rsid w:val="00FA2C46"/>
    <w:rsid w:val="00FA3525"/>
    <w:rsid w:val="00FA5A53"/>
    <w:rsid w:val="00FB2551"/>
    <w:rsid w:val="00FB3CD1"/>
    <w:rsid w:val="00FB4769"/>
    <w:rsid w:val="00FB4CDA"/>
    <w:rsid w:val="00FB6481"/>
    <w:rsid w:val="00FB6D36"/>
    <w:rsid w:val="00FC0965"/>
    <w:rsid w:val="00FC0F81"/>
    <w:rsid w:val="00FC18E9"/>
    <w:rsid w:val="00FC252F"/>
    <w:rsid w:val="00FC395C"/>
    <w:rsid w:val="00FC5E8E"/>
    <w:rsid w:val="00FD2089"/>
    <w:rsid w:val="00FD3766"/>
    <w:rsid w:val="00FD47C4"/>
    <w:rsid w:val="00FD722A"/>
    <w:rsid w:val="00FE210A"/>
    <w:rsid w:val="00FE2DCF"/>
    <w:rsid w:val="00FE3FA7"/>
    <w:rsid w:val="00FF2A4E"/>
    <w:rsid w:val="00FF2FCE"/>
    <w:rsid w:val="00FF4DE4"/>
    <w:rsid w:val="00FF4F7D"/>
    <w:rsid w:val="00FF54DF"/>
    <w:rsid w:val="00FF6D9D"/>
    <w:rsid w:val="00FF7DD5"/>
    <w:rsid w:val="01CB153A"/>
    <w:rsid w:val="04FAC971"/>
    <w:rsid w:val="05585B81"/>
    <w:rsid w:val="05E01319"/>
    <w:rsid w:val="063D0375"/>
    <w:rsid w:val="0728743B"/>
    <w:rsid w:val="082C2B21"/>
    <w:rsid w:val="08D22574"/>
    <w:rsid w:val="09B60E56"/>
    <w:rsid w:val="0C7EA50B"/>
    <w:rsid w:val="0C9AA480"/>
    <w:rsid w:val="0D399673"/>
    <w:rsid w:val="0D9E0EB3"/>
    <w:rsid w:val="1024E09B"/>
    <w:rsid w:val="10CDC2EA"/>
    <w:rsid w:val="11F25F97"/>
    <w:rsid w:val="1279828C"/>
    <w:rsid w:val="15E62AFC"/>
    <w:rsid w:val="16FE6673"/>
    <w:rsid w:val="1735E131"/>
    <w:rsid w:val="17E24F55"/>
    <w:rsid w:val="18D83D57"/>
    <w:rsid w:val="18EA3783"/>
    <w:rsid w:val="1A209E79"/>
    <w:rsid w:val="1AF3E301"/>
    <w:rsid w:val="1CCDB9E5"/>
    <w:rsid w:val="1D323225"/>
    <w:rsid w:val="1E161B07"/>
    <w:rsid w:val="20514202"/>
    <w:rsid w:val="227D8C06"/>
    <w:rsid w:val="22811729"/>
    <w:rsid w:val="229D3439"/>
    <w:rsid w:val="22A4626A"/>
    <w:rsid w:val="2395C77D"/>
    <w:rsid w:val="23A7CC9D"/>
    <w:rsid w:val="24B4F4FA"/>
    <w:rsid w:val="251D2B41"/>
    <w:rsid w:val="282B3CF6"/>
    <w:rsid w:val="28AA7188"/>
    <w:rsid w:val="2C243B7B"/>
    <w:rsid w:val="2C69326A"/>
    <w:rsid w:val="2D999A1F"/>
    <w:rsid w:val="2FC5E423"/>
    <w:rsid w:val="30F024BA"/>
    <w:rsid w:val="318F16AD"/>
    <w:rsid w:val="32D777CF"/>
    <w:rsid w:val="32DECCE2"/>
    <w:rsid w:val="33BB60B1"/>
    <w:rsid w:val="3418F2C1"/>
    <w:rsid w:val="34A0AA59"/>
    <w:rsid w:val="356DFB8F"/>
    <w:rsid w:val="358B5931"/>
    <w:rsid w:val="36CCF45D"/>
    <w:rsid w:val="399F8567"/>
    <w:rsid w:val="3A2D3D22"/>
    <w:rsid w:val="3A507C7A"/>
    <w:rsid w:val="3C2A535E"/>
    <w:rsid w:val="3D246F45"/>
    <w:rsid w:val="40B145AE"/>
    <w:rsid w:val="41AC8A9E"/>
    <w:rsid w:val="42806C85"/>
    <w:rsid w:val="459BBE5B"/>
    <w:rsid w:val="461498FC"/>
    <w:rsid w:val="49D723BB"/>
    <w:rsid w:val="4ABD1B06"/>
    <w:rsid w:val="4B9EF57F"/>
    <w:rsid w:val="4C723A07"/>
    <w:rsid w:val="4E4852E4"/>
    <w:rsid w:val="4EE11DB9"/>
    <w:rsid w:val="4EE4DBC0"/>
    <w:rsid w:val="4F11D942"/>
    <w:rsid w:val="505A3A64"/>
    <w:rsid w:val="535CF119"/>
    <w:rsid w:val="544FB6F2"/>
    <w:rsid w:val="54B42F32"/>
    <w:rsid w:val="5545A4F4"/>
    <w:rsid w:val="56298DD6"/>
    <w:rsid w:val="562B9C3F"/>
    <w:rsid w:val="5630E2E9"/>
    <w:rsid w:val="568E0616"/>
    <w:rsid w:val="571F7BD8"/>
    <w:rsid w:val="580364BA"/>
    <w:rsid w:val="5821F428"/>
    <w:rsid w:val="58453380"/>
    <w:rsid w:val="59801871"/>
    <w:rsid w:val="5AE7FAE4"/>
    <w:rsid w:val="5AF57715"/>
    <w:rsid w:val="5B9BBE1B"/>
    <w:rsid w:val="5DA29281"/>
    <w:rsid w:val="5DFFB863"/>
    <w:rsid w:val="60C6D8F0"/>
    <w:rsid w:val="61980F0F"/>
    <w:rsid w:val="63A0F1DE"/>
    <w:rsid w:val="6663F84E"/>
    <w:rsid w:val="6747E130"/>
    <w:rsid w:val="6797F70F"/>
    <w:rsid w:val="69E7806B"/>
    <w:rsid w:val="6A4BF8AB"/>
    <w:rsid w:val="6C355A29"/>
    <w:rsid w:val="6D3E0B06"/>
    <w:rsid w:val="6E1477B7"/>
    <w:rsid w:val="71E31DE1"/>
    <w:rsid w:val="723333C0"/>
    <w:rsid w:val="72444A5E"/>
    <w:rsid w:val="73AC506B"/>
    <w:rsid w:val="7586274F"/>
    <w:rsid w:val="75AF66CA"/>
    <w:rsid w:val="776D7A64"/>
    <w:rsid w:val="7774CF77"/>
    <w:rsid w:val="77A1CCF9"/>
    <w:rsid w:val="7982F8F0"/>
    <w:rsid w:val="79E01C1D"/>
    <w:rsid w:val="7D63A43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B21846"/>
  <w15:docId w15:val="{A499D36D-FC14-4F08-B946-5B87A1012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link w:val="DHHSbodyChar"/>
    <w:qFormat/>
    <w:rsid w:val="004B3EF9"/>
    <w:pPr>
      <w:spacing w:after="120" w:line="270" w:lineRule="atLeast"/>
    </w:pPr>
    <w:rPr>
      <w:rFonts w:ascii="Arial" w:eastAsia="Times" w:hAnsi="Arial"/>
      <w:lang w:eastAsia="en-US"/>
    </w:rPr>
  </w:style>
  <w:style w:type="character" w:customStyle="1" w:styleId="DHHSbodyChar">
    <w:name w:val="DHHS body Char"/>
    <w:link w:val="DHHSbody"/>
    <w:rsid w:val="004B3EF9"/>
    <w:rPr>
      <w:rFonts w:ascii="Arial" w:eastAsia="Times" w:hAnsi="Arial"/>
      <w:lang w:eastAsia="en-US"/>
    </w:rPr>
  </w:style>
  <w:style w:type="paragraph" w:styleId="ListParagraph">
    <w:name w:val="List Paragraph"/>
    <w:basedOn w:val="Normal"/>
    <w:uiPriority w:val="34"/>
    <w:qFormat/>
    <w:rsid w:val="004B3EF9"/>
    <w:pPr>
      <w:spacing w:after="160" w:line="259" w:lineRule="auto"/>
      <w:ind w:left="720"/>
      <w:contextualSpacing/>
    </w:pPr>
    <w:rPr>
      <w:rFonts w:asciiTheme="minorHAnsi" w:eastAsiaTheme="minorHAnsi" w:hAnsiTheme="minorHAnsi" w:cstheme="minorBidi"/>
      <w:sz w:val="22"/>
      <w:szCs w:val="22"/>
    </w:rPr>
  </w:style>
  <w:style w:type="character" w:customStyle="1" w:styleId="normaltextrun">
    <w:name w:val="normaltextrun"/>
    <w:basedOn w:val="DefaultParagraphFont"/>
    <w:rsid w:val="004B3EF9"/>
  </w:style>
  <w:style w:type="paragraph" w:customStyle="1" w:styleId="paragraph">
    <w:name w:val="paragraph"/>
    <w:basedOn w:val="Normal"/>
    <w:rsid w:val="001701B7"/>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1701B7"/>
  </w:style>
  <w:style w:type="paragraph" w:customStyle="1" w:styleId="DHHSaccessibilitypara">
    <w:name w:val="DHHS accessibility para"/>
    <w:uiPriority w:val="8"/>
    <w:rsid w:val="005145D2"/>
    <w:pPr>
      <w:spacing w:after="200" w:line="300" w:lineRule="atLeast"/>
    </w:pPr>
    <w:rPr>
      <w:rFonts w:ascii="Arial" w:eastAsia="Times" w:hAnsi="Arial"/>
      <w:sz w:val="24"/>
      <w:szCs w:val="19"/>
      <w:lang w:eastAsia="en-US"/>
    </w:rPr>
  </w:style>
  <w:style w:type="character" w:styleId="Mention">
    <w:name w:val="Mention"/>
    <w:basedOn w:val="DefaultParagraphFont"/>
    <w:uiPriority w:val="99"/>
    <w:unhideWhenUsed/>
    <w:rsid w:val="002A0BE9"/>
    <w:rPr>
      <w:color w:val="2B579A"/>
      <w:shd w:val="clear" w:color="auto" w:fill="E1DFDD"/>
    </w:rPr>
  </w:style>
  <w:style w:type="paragraph" w:customStyle="1" w:styleId="DHHSbullet1">
    <w:name w:val="DHHS bullet 1"/>
    <w:basedOn w:val="DHHSbody"/>
    <w:qFormat/>
    <w:rsid w:val="0034519C"/>
    <w:pPr>
      <w:spacing w:after="40"/>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37817353">
      <w:bodyDiv w:val="1"/>
      <w:marLeft w:val="0"/>
      <w:marRight w:val="0"/>
      <w:marTop w:val="0"/>
      <w:marBottom w:val="0"/>
      <w:divBdr>
        <w:top w:val="none" w:sz="0" w:space="0" w:color="auto"/>
        <w:left w:val="none" w:sz="0" w:space="0" w:color="auto"/>
        <w:bottom w:val="none" w:sz="0" w:space="0" w:color="auto"/>
        <w:right w:val="none" w:sz="0" w:space="0" w:color="auto"/>
      </w:divBdr>
      <w:divsChild>
        <w:div w:id="632830436">
          <w:marLeft w:val="0"/>
          <w:marRight w:val="0"/>
          <w:marTop w:val="0"/>
          <w:marBottom w:val="0"/>
          <w:divBdr>
            <w:top w:val="none" w:sz="0" w:space="0" w:color="auto"/>
            <w:left w:val="none" w:sz="0" w:space="0" w:color="auto"/>
            <w:bottom w:val="none" w:sz="0" w:space="0" w:color="auto"/>
            <w:right w:val="none" w:sz="0" w:space="0" w:color="auto"/>
          </w:divBdr>
        </w:div>
        <w:div w:id="1930117395">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98133195">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97124960">
      <w:bodyDiv w:val="1"/>
      <w:marLeft w:val="0"/>
      <w:marRight w:val="0"/>
      <w:marTop w:val="0"/>
      <w:marBottom w:val="0"/>
      <w:divBdr>
        <w:top w:val="none" w:sz="0" w:space="0" w:color="auto"/>
        <w:left w:val="none" w:sz="0" w:space="0" w:color="auto"/>
        <w:bottom w:val="none" w:sz="0" w:space="0" w:color="auto"/>
        <w:right w:val="none" w:sz="0" w:space="0" w:color="auto"/>
      </w:divBdr>
      <w:divsChild>
        <w:div w:id="691300351">
          <w:marLeft w:val="0"/>
          <w:marRight w:val="0"/>
          <w:marTop w:val="0"/>
          <w:marBottom w:val="0"/>
          <w:divBdr>
            <w:top w:val="none" w:sz="0" w:space="0" w:color="auto"/>
            <w:left w:val="none" w:sz="0" w:space="0" w:color="auto"/>
            <w:bottom w:val="none" w:sz="0" w:space="0" w:color="auto"/>
            <w:right w:val="none" w:sz="0" w:space="0" w:color="auto"/>
          </w:divBdr>
        </w:div>
        <w:div w:id="1464618672">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46990305">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immunisationcoalition.org.au/pv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health.vic.gov.au/immunisation/programs-of-study"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gov.au/resources/publications/national-immunisation-program-pneumococcal-vaccination-schedule-from-1-july-2020-clinical-decision-tree-for-vaccination-providers" TargetMode="External"/><Relationship Id="rId25" Type="http://schemas.openxmlformats.org/officeDocument/2006/relationships/hyperlink" Target="https://www.health.vic.gov.au/immunisation/pharmacist-immunisers" TargetMode="External"/><Relationship Id="rId2" Type="http://schemas.openxmlformats.org/officeDocument/2006/relationships/customXml" Target="../customXml/item2.xml"/><Relationship Id="rId16" Type="http://schemas.openxmlformats.org/officeDocument/2006/relationships/hyperlink" Target="https://www.health.vic.gov.au/immunisation/pharmacist-immunisers" TargetMode="External"/><Relationship Id="rId20" Type="http://schemas.openxmlformats.org/officeDocument/2006/relationships/hyperlink" Target="https://www.health.vic.gov.au/infectious-diseases/monkeypo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mmunisation@health.vic.gov.au" TargetMode="External"/><Relationship Id="rId5" Type="http://schemas.openxmlformats.org/officeDocument/2006/relationships/numbering" Target="numbering.xml"/><Relationship Id="rId15" Type="http://schemas.openxmlformats.org/officeDocument/2006/relationships/hyperlink" Target="http://www.gazette.vic.gov.au/gazette/Gazettes2022/GG2022S518.pdf" TargetMode="External"/><Relationship Id="rId23" Type="http://schemas.openxmlformats.org/officeDocument/2006/relationships/hyperlink" Target="mailto:Immunisation@health.vic.gov.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mmunisationcoalition.org.au/resources/pneumococcal-disease-gui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betahealth.govcms.gov.au/news-and-events/news/the-digital-australian-immunisation-handbook"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immunisationhandbook.health.gov.au/vaccination-procedures/preparing-for-vaccination" TargetMode="External"/><Relationship Id="rId3" Type="http://schemas.openxmlformats.org/officeDocument/2006/relationships/hyperlink" Target="https://www.health.gov.au/sites/default/files/documents/2022/05/statement-on-the-clinical-use-of-zoster-vaccine-in-older-adults-in-australia-statement-on-the-clinical-use-of-zoster-vaccine-in-older-adults-in-australia.pdf" TargetMode="External"/><Relationship Id="rId7" Type="http://schemas.openxmlformats.org/officeDocument/2006/relationships/hyperlink" Target="https://www.health.vic.gov.au/infectious-diseases/monkeypox" TargetMode="External"/><Relationship Id="rId2" Type="http://schemas.openxmlformats.org/officeDocument/2006/relationships/hyperlink" Target="https://immunisationhandbook.health.gov.au/" TargetMode="External"/><Relationship Id="rId1" Type="http://schemas.openxmlformats.org/officeDocument/2006/relationships/hyperlink" Target="https://immunisationhandbook.health.gov.au/" TargetMode="External"/><Relationship Id="rId6" Type="http://schemas.openxmlformats.org/officeDocument/2006/relationships/hyperlink" Target="https://www.health.vic.gov.au/infectious-diseases/monkeypox" TargetMode="External"/><Relationship Id="rId5" Type="http://schemas.openxmlformats.org/officeDocument/2006/relationships/hyperlink" Target="https://www.health.vic.gov.au/infectious-diseases/monkeypox" TargetMode="External"/><Relationship Id="rId4" Type="http://schemas.openxmlformats.org/officeDocument/2006/relationships/hyperlink" Target="https://www.health.gov.au/diseases/monkeypox-m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16" ma:contentTypeDescription="Create a new document." ma:contentTypeScope="" ma:versionID="8c3fa1d9a59858c0e012a9ba4dd88a28">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2961d15b169c0d192cdb8d93769ef6ad"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TaxCatchAll xmlns="5ce0f2b5-5be5-4508-bce9-d7011ece0659" xsi:nil="true"/>
    <lcf76f155ced4ddcb4097134ff3c332f xmlns="56f13c3b-1a5e-4b20-8813-0ef8710fa3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A1861F-2DB8-4942-AE58-F4737E8DB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bef801f1-2872-443b-a104-0f84f9fd0895"/>
    <ds:schemaRef ds:uri="56f13c3b-1a5e-4b20-8813-0ef8710fa36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2313</Words>
  <Characters>13187</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Victorian Pharmacist-Administered Vaccination Program Expansion - Communique</vt:lpstr>
    </vt:vector>
  </TitlesOfParts>
  <Manager/>
  <Company>Victoria State Government, Department of Health</Company>
  <LinksUpToDate>false</LinksUpToDate>
  <CharactersWithSpaces>15470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Pharmacist-Administered Vaccination Program Expansion - Communique</dc:title>
  <dc:subject/>
  <dc:creator>Emma Scott (Health)</dc:creator>
  <cp:keywords>Pharmacist immunisers</cp:keywords>
  <dc:description/>
  <cp:lastModifiedBy>Nick Wilson</cp:lastModifiedBy>
  <cp:revision>27</cp:revision>
  <cp:lastPrinted>2022-05-21T04:45:00Z</cp:lastPrinted>
  <dcterms:created xsi:type="dcterms:W3CDTF">2022-10-04T11:45:00Z</dcterms:created>
  <dcterms:modified xsi:type="dcterms:W3CDTF">2022-10-03T19:49:00Z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0x010100A2DFF03779B5A84C9EDCC583EFC503D8</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2022-10-03T00:52:46Z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bf523c74-f663-4f39-b938-b4e70a74bd28</vt:lpwstr>
  </property>
  <property fmtid="{D5CDD505-2E9C-101B-9397-08002B2CF9AE}" pid="11" name="MSIP_Label_43e64453-338c-4f93-8a4d-0039a0a41f2a_ContentBits">
    <vt:lpwstr>2</vt:lpwstr>
  </property>
  <property fmtid="{D5CDD505-2E9C-101B-9397-08002B2CF9AE}" pid="12" name="MediaServiceImageTags">
    <vt:lpwstr/>
  </property>
</Properties>
</file>