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E4D7" w14:textId="77777777" w:rsidR="001478C9" w:rsidRPr="004C6EEE" w:rsidRDefault="001478C9" w:rsidP="001478C9">
      <w:pPr>
        <w:pStyle w:val="Sectionbreakfirstpage"/>
      </w:pPr>
      <w:r>
        <w:drawing>
          <wp:anchor distT="0" distB="0" distL="114300" distR="114300" simplePos="0" relativeHeight="251658240" behindDoc="1" locked="1" layoutInCell="1" allowOverlap="1" wp14:anchorId="4334F824" wp14:editId="62204D0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48ECFFF" w14:textId="77777777" w:rsidR="001478C9" w:rsidRPr="004C6EEE" w:rsidRDefault="001478C9" w:rsidP="001478C9">
      <w:pPr>
        <w:pStyle w:val="Sectionbreakfirstpage"/>
        <w:sectPr w:rsidR="001478C9" w:rsidRPr="004C6EEE" w:rsidSect="002B7183">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1478C9" w14:paraId="7CC18FEA" w14:textId="77777777" w:rsidTr="7E925187">
        <w:trPr>
          <w:trHeight w:val="622"/>
        </w:trPr>
        <w:tc>
          <w:tcPr>
            <w:tcW w:w="10348" w:type="dxa"/>
            <w:tcMar>
              <w:top w:w="1531" w:type="dxa"/>
              <w:left w:w="0" w:type="dxa"/>
              <w:right w:w="0" w:type="dxa"/>
            </w:tcMar>
          </w:tcPr>
          <w:p w14:paraId="75CE0C7A" w14:textId="7D93A3D5" w:rsidR="001478C9" w:rsidRPr="003B5733" w:rsidRDefault="00920363" w:rsidP="002B7183">
            <w:pPr>
              <w:pStyle w:val="Documenttitle"/>
            </w:pPr>
            <w:r>
              <w:t xml:space="preserve">Approval to administer the </w:t>
            </w:r>
            <w:r w:rsidR="2A30844A">
              <w:t>m</w:t>
            </w:r>
            <w:r w:rsidR="00AA53CD">
              <w:t>onkeypox</w:t>
            </w:r>
            <w:r>
              <w:t xml:space="preserve"> vaccine: nurse </w:t>
            </w:r>
            <w:r w:rsidR="0D6B552D">
              <w:t>i</w:t>
            </w:r>
            <w:r w:rsidR="7B5AC6EF">
              <w:t xml:space="preserve">mmunisers </w:t>
            </w:r>
            <w:r>
              <w:t xml:space="preserve">and pharmacist immunisers  </w:t>
            </w:r>
          </w:p>
        </w:tc>
      </w:tr>
      <w:tr w:rsidR="001478C9" w14:paraId="28ABE83B" w14:textId="77777777" w:rsidTr="7E925187">
        <w:tc>
          <w:tcPr>
            <w:tcW w:w="10348" w:type="dxa"/>
          </w:tcPr>
          <w:p w14:paraId="28BAFDEB" w14:textId="5FE894BD" w:rsidR="001478C9" w:rsidRPr="00A1389F" w:rsidRDefault="001478C9" w:rsidP="002B7183">
            <w:pPr>
              <w:pStyle w:val="Documentsubtitle"/>
            </w:pPr>
            <w:r>
              <w:t>October 2022</w:t>
            </w:r>
          </w:p>
        </w:tc>
      </w:tr>
      <w:tr w:rsidR="001478C9" w14:paraId="16DC9984" w14:textId="77777777" w:rsidTr="7E925187">
        <w:tc>
          <w:tcPr>
            <w:tcW w:w="10348" w:type="dxa"/>
          </w:tcPr>
          <w:p w14:paraId="65F8DA53" w14:textId="77777777" w:rsidR="001478C9" w:rsidRPr="001E5058" w:rsidRDefault="00156577" w:rsidP="002B7183">
            <w:pPr>
              <w:pStyle w:val="Bannermarking"/>
            </w:pPr>
            <w:fldSimple w:instr="FILLIN  &quot;Type the protective marking&quot; \d OFFICIAL \o  \* MERGEFORMAT">
              <w:r w:rsidR="001478C9">
                <w:t>OFFICIAL</w:t>
              </w:r>
            </w:fldSimple>
          </w:p>
        </w:tc>
      </w:tr>
    </w:tbl>
    <w:p w14:paraId="27FA1DFE" w14:textId="77777777" w:rsidR="001478C9" w:rsidRPr="00200176" w:rsidRDefault="001478C9" w:rsidP="001478C9">
      <w:pPr>
        <w:pStyle w:val="Body"/>
      </w:pPr>
    </w:p>
    <w:p w14:paraId="415D663A" w14:textId="77777777" w:rsidR="001478C9" w:rsidRPr="00B57329" w:rsidRDefault="001478C9" w:rsidP="001478C9">
      <w:pPr>
        <w:pStyle w:val="Heading1"/>
      </w:pPr>
      <w:bookmarkStart w:id="0" w:name="_Hlk63948051"/>
      <w:r>
        <w:t>Background</w:t>
      </w:r>
      <w:bookmarkEnd w:id="0"/>
    </w:p>
    <w:p w14:paraId="5510DD25" w14:textId="484889AA" w:rsidR="4F4D4F19" w:rsidRPr="00AE541B" w:rsidRDefault="3BABB5AC" w:rsidP="00AE541B">
      <w:pPr>
        <w:rPr>
          <w:rStyle w:val="normaltextrun"/>
        </w:rPr>
      </w:pPr>
      <w:r w:rsidRPr="61EFDE0E">
        <w:rPr>
          <w:rStyle w:val="normaltextrun"/>
          <w:rFonts w:eastAsia="Times"/>
          <w:color w:val="000000" w:themeColor="text1"/>
          <w:szCs w:val="21"/>
        </w:rPr>
        <w:t xml:space="preserve">Since May 2022, there has been a global increase in </w:t>
      </w:r>
      <w:r w:rsidRPr="004C4380">
        <w:rPr>
          <w:rStyle w:val="BodyChar"/>
        </w:rPr>
        <w:t>monkeypox infections in multiple countries where the illness is not usually seen. Monkeypox was first reported in Australia in May 2022 and declared by the World Health Organization as a Public Health Emergency of International Concern on 23 July 2022. On 28 July 2022, Australia’s Chief Medical Officer declared mon</w:t>
      </w:r>
      <w:r w:rsidRPr="61EFDE0E">
        <w:rPr>
          <w:rStyle w:val="normaltextrun"/>
          <w:rFonts w:eastAsia="Times"/>
          <w:color w:val="000000" w:themeColor="text1"/>
          <w:szCs w:val="21"/>
        </w:rPr>
        <w:t>keypox a Communicable Disease of National Significance</w:t>
      </w:r>
      <w:r w:rsidR="00AE541B">
        <w:rPr>
          <w:rStyle w:val="FootnoteReference"/>
          <w:rFonts w:eastAsia="Times"/>
          <w:color w:val="000000" w:themeColor="text1"/>
          <w:szCs w:val="21"/>
        </w:rPr>
        <w:footnoteReference w:id="2"/>
      </w:r>
      <w:r w:rsidR="00AE541B">
        <w:t>.</w:t>
      </w:r>
    </w:p>
    <w:p w14:paraId="13D6E3E4" w14:textId="36B76695" w:rsidR="00DF691C" w:rsidRDefault="001478C9" w:rsidP="001478C9">
      <w:pPr>
        <w:pStyle w:val="Body"/>
        <w:rPr>
          <w:rStyle w:val="normaltextrun"/>
          <w:color w:val="000000"/>
          <w:shd w:val="clear" w:color="auto" w:fill="FFFFFF"/>
        </w:rPr>
      </w:pPr>
      <w:r w:rsidRPr="063D0375">
        <w:rPr>
          <w:rStyle w:val="normaltextrun"/>
          <w:color w:val="000000"/>
          <w:shd w:val="clear" w:color="auto" w:fill="FFFFFF"/>
        </w:rPr>
        <w:t xml:space="preserve">A comprehensive whole of government response to the </w:t>
      </w:r>
      <w:r w:rsidR="7EF57F1A" w:rsidRPr="063D0375">
        <w:rPr>
          <w:rStyle w:val="normaltextrun"/>
          <w:color w:val="000000"/>
          <w:shd w:val="clear" w:color="auto" w:fill="FFFFFF"/>
        </w:rPr>
        <w:t xml:space="preserve">monkeypox </w:t>
      </w:r>
      <w:r w:rsidRPr="063D0375">
        <w:rPr>
          <w:rStyle w:val="normaltextrun"/>
          <w:color w:val="000000"/>
          <w:shd w:val="clear" w:color="auto" w:fill="FFFFFF"/>
        </w:rPr>
        <w:t xml:space="preserve">virus is </w:t>
      </w:r>
      <w:r w:rsidR="00394712">
        <w:rPr>
          <w:rStyle w:val="normaltextrun"/>
          <w:color w:val="000000"/>
          <w:shd w:val="clear" w:color="auto" w:fill="FFFFFF"/>
        </w:rPr>
        <w:t>currently</w:t>
      </w:r>
      <w:r w:rsidRPr="063D0375">
        <w:rPr>
          <w:rStyle w:val="normaltextrun"/>
          <w:color w:val="000000"/>
          <w:shd w:val="clear" w:color="auto" w:fill="FFFFFF"/>
        </w:rPr>
        <w:t xml:space="preserve"> underway in Victoria</w:t>
      </w:r>
      <w:r w:rsidR="003D20DD" w:rsidRPr="003D20DD">
        <w:t xml:space="preserve"> </w:t>
      </w:r>
      <w:r w:rsidR="003D20DD">
        <w:t>which includes distribution of the monkeypox vaccine through select sexual health centres, health services and Local Public Health Units.</w:t>
      </w:r>
      <w:r w:rsidRPr="063D0375">
        <w:rPr>
          <w:rStyle w:val="normaltextrun"/>
          <w:color w:val="000000"/>
          <w:shd w:val="clear" w:color="auto" w:fill="FFFFFF"/>
        </w:rPr>
        <w:t xml:space="preserve"> </w:t>
      </w:r>
    </w:p>
    <w:p w14:paraId="1205FDF2" w14:textId="243F9803" w:rsidR="008242E0" w:rsidRDefault="001478C9" w:rsidP="001478C9">
      <w:pPr>
        <w:pStyle w:val="Body"/>
        <w:rPr>
          <w:rStyle w:val="normaltextrun"/>
          <w:color w:val="000000"/>
          <w:shd w:val="clear" w:color="auto" w:fill="FFFFFF"/>
        </w:rPr>
      </w:pPr>
      <w:r w:rsidRPr="063D0375">
        <w:rPr>
          <w:rStyle w:val="normaltextrun"/>
          <w:color w:val="000000"/>
          <w:shd w:val="clear" w:color="auto" w:fill="FFFFFF"/>
        </w:rPr>
        <w:t>As part of this work</w:t>
      </w:r>
      <w:r w:rsidRPr="063D0375">
        <w:rPr>
          <w:rStyle w:val="normaltextrun"/>
          <w:color w:val="000000" w:themeColor="text1"/>
        </w:rPr>
        <w:t>,</w:t>
      </w:r>
      <w:r w:rsidRPr="063D0375">
        <w:rPr>
          <w:rStyle w:val="normaltextrun"/>
          <w:color w:val="000000"/>
          <w:shd w:val="clear" w:color="auto" w:fill="FFFFFF"/>
        </w:rPr>
        <w:t xml:space="preserve"> consideration has been given</w:t>
      </w:r>
      <w:r w:rsidRPr="063D0375">
        <w:rPr>
          <w:rStyle w:val="normaltextrun"/>
          <w:color w:val="000000" w:themeColor="text1"/>
        </w:rPr>
        <w:t xml:space="preserve"> to</w:t>
      </w:r>
      <w:r w:rsidRPr="063D0375">
        <w:rPr>
          <w:rStyle w:val="normaltextrun"/>
          <w:color w:val="000000"/>
          <w:shd w:val="clear" w:color="auto" w:fill="FFFFFF"/>
        </w:rPr>
        <w:t xml:space="preserve"> the workforces </w:t>
      </w:r>
      <w:r w:rsidR="008242E0">
        <w:rPr>
          <w:rStyle w:val="normaltextrun"/>
          <w:color w:val="000000"/>
          <w:shd w:val="clear" w:color="auto" w:fill="FFFFFF"/>
        </w:rPr>
        <w:t xml:space="preserve">that may be required to support the </w:t>
      </w:r>
      <w:r w:rsidR="00745491">
        <w:rPr>
          <w:rStyle w:val="normaltextrun"/>
          <w:color w:val="000000"/>
          <w:shd w:val="clear" w:color="auto" w:fill="FFFFFF"/>
        </w:rPr>
        <w:t xml:space="preserve">administration of the monkeypox vaccine to </w:t>
      </w:r>
      <w:r w:rsidR="001A277A">
        <w:rPr>
          <w:rStyle w:val="normaltextrun"/>
          <w:color w:val="000000"/>
          <w:shd w:val="clear" w:color="auto" w:fill="FFFFFF"/>
        </w:rPr>
        <w:t>people recommended for vaccination.</w:t>
      </w:r>
    </w:p>
    <w:p w14:paraId="2490404B" w14:textId="77777777" w:rsidR="001478C9" w:rsidRDefault="001478C9" w:rsidP="001478C9">
      <w:pPr>
        <w:pStyle w:val="Heading1"/>
      </w:pPr>
      <w:r>
        <w:t>Authorisations</w:t>
      </w:r>
    </w:p>
    <w:p w14:paraId="542DCF16" w14:textId="78897F61" w:rsidR="007C7943" w:rsidRPr="004C4380" w:rsidRDefault="008020A8" w:rsidP="004C4380">
      <w:pPr>
        <w:pStyle w:val="Body"/>
        <w:rPr>
          <w:rFonts w:eastAsia="MS Gothic"/>
          <w:lang w:eastAsia="en-AU"/>
        </w:rPr>
      </w:pPr>
      <w:r w:rsidRPr="008020A8">
        <w:rPr>
          <w:rStyle w:val="normaltextrun"/>
          <w:color w:val="000000"/>
          <w:shd w:val="clear" w:color="auto" w:fill="FFFFFF"/>
        </w:rPr>
        <w:t xml:space="preserve">Nurse immunisers </w:t>
      </w:r>
      <w:r>
        <w:rPr>
          <w:rStyle w:val="normaltextrun"/>
          <w:color w:val="000000"/>
          <w:shd w:val="clear" w:color="auto" w:fill="FFFFFF"/>
        </w:rPr>
        <w:t xml:space="preserve">have been authorised </w:t>
      </w:r>
      <w:r w:rsidRPr="008020A8">
        <w:rPr>
          <w:rStyle w:val="normaltextrun"/>
          <w:color w:val="000000"/>
          <w:shd w:val="clear" w:color="auto" w:fill="FFFFFF"/>
        </w:rPr>
        <w:t>to administer the monkeypox vaccine to people recommended for vaccination</w:t>
      </w:r>
      <w:r w:rsidR="00A7604A">
        <w:rPr>
          <w:rStyle w:val="normaltextrun"/>
          <w:color w:val="000000"/>
          <w:shd w:val="clear" w:color="auto" w:fill="FFFFFF"/>
        </w:rPr>
        <w:t xml:space="preserve"> </w:t>
      </w:r>
      <w:r w:rsidR="00A7604A" w:rsidRPr="004474EC">
        <w:rPr>
          <w:rStyle w:val="normaltextrun"/>
          <w:color w:val="000000"/>
          <w:shd w:val="clear" w:color="auto" w:fill="FFFFFF"/>
        </w:rPr>
        <w:t xml:space="preserve">as listed on the Victorian Department of Health’s (the department’s) </w:t>
      </w:r>
      <w:r w:rsidR="311DC24A" w:rsidRPr="004474EC">
        <w:rPr>
          <w:rStyle w:val="normaltextrun"/>
          <w:color w:val="000000"/>
          <w:shd w:val="clear" w:color="auto" w:fill="FFFFFF"/>
        </w:rPr>
        <w:t>M</w:t>
      </w:r>
      <w:r w:rsidR="716D654E" w:rsidRPr="004474EC">
        <w:rPr>
          <w:rStyle w:val="normaltextrun"/>
          <w:color w:val="000000"/>
          <w:shd w:val="clear" w:color="auto" w:fill="FFFFFF"/>
        </w:rPr>
        <w:t>onkeypox web</w:t>
      </w:r>
      <w:r w:rsidR="00F94FF2" w:rsidRPr="004474EC">
        <w:rPr>
          <w:rStyle w:val="normaltextrun"/>
          <w:color w:val="000000"/>
          <w:shd w:val="clear" w:color="auto" w:fill="FFFFFF"/>
        </w:rPr>
        <w:t>pag</w:t>
      </w:r>
      <w:r w:rsidR="2A982FDB">
        <w:rPr>
          <w:rStyle w:val="normaltextrun"/>
          <w:color w:val="000000"/>
          <w:shd w:val="clear" w:color="auto" w:fill="FFFFFF"/>
        </w:rPr>
        <w:t>e</w:t>
      </w:r>
      <w:r w:rsidR="004474EC">
        <w:rPr>
          <w:rStyle w:val="FootnoteReference"/>
          <w:color w:val="000000"/>
          <w:shd w:val="clear" w:color="auto" w:fill="FFFFFF"/>
        </w:rPr>
        <w:footnoteReference w:id="3"/>
      </w:r>
      <w:r w:rsidR="574762CB">
        <w:rPr>
          <w:rStyle w:val="normaltextrun"/>
          <w:color w:val="000000"/>
          <w:shd w:val="clear" w:color="auto" w:fill="FFFFFF"/>
        </w:rPr>
        <w:t>.</w:t>
      </w:r>
      <w:r w:rsidR="00092E58">
        <w:rPr>
          <w:rStyle w:val="normaltextrun"/>
          <w:color w:val="000000"/>
          <w:shd w:val="clear" w:color="auto" w:fill="FFFFFF"/>
        </w:rPr>
        <w:t xml:space="preserve"> </w:t>
      </w:r>
      <w:r w:rsidR="001D2CFA">
        <w:rPr>
          <w:rStyle w:val="normaltextrun"/>
          <w:color w:val="000000"/>
          <w:shd w:val="clear" w:color="auto" w:fill="FFFFFF"/>
        </w:rPr>
        <w:t>Author</w:t>
      </w:r>
      <w:r w:rsidR="00471AB8">
        <w:rPr>
          <w:rStyle w:val="normaltextrun"/>
          <w:color w:val="000000"/>
          <w:shd w:val="clear" w:color="auto" w:fill="FFFFFF"/>
        </w:rPr>
        <w:t>isation of</w:t>
      </w:r>
      <w:r w:rsidR="001D2CFA">
        <w:rPr>
          <w:rStyle w:val="normaltextrun"/>
          <w:color w:val="000000"/>
          <w:shd w:val="clear" w:color="auto" w:fill="FFFFFF"/>
        </w:rPr>
        <w:t xml:space="preserve"> </w:t>
      </w:r>
      <w:r w:rsidR="00BA104B">
        <w:rPr>
          <w:rStyle w:val="normaltextrun"/>
          <w:color w:val="000000"/>
          <w:shd w:val="clear" w:color="auto" w:fill="FFFFFF"/>
        </w:rPr>
        <w:t>nurse immunisers</w:t>
      </w:r>
      <w:r w:rsidRPr="008020A8">
        <w:rPr>
          <w:rStyle w:val="normaltextrun"/>
          <w:color w:val="000000"/>
          <w:shd w:val="clear" w:color="auto" w:fill="FFFFFF"/>
        </w:rPr>
        <w:t xml:space="preserve"> will build workforce capacity in the existing </w:t>
      </w:r>
      <w:r w:rsidR="00A458DF">
        <w:rPr>
          <w:rStyle w:val="normaltextrun"/>
          <w:color w:val="000000"/>
          <w:shd w:val="clear" w:color="auto" w:fill="FFFFFF"/>
        </w:rPr>
        <w:t>m</w:t>
      </w:r>
      <w:r w:rsidR="00DE7E4A">
        <w:rPr>
          <w:rStyle w:val="normaltextrun"/>
          <w:color w:val="000000"/>
          <w:shd w:val="clear" w:color="auto" w:fill="FFFFFF"/>
        </w:rPr>
        <w:t xml:space="preserve">onkeypox vaccine </w:t>
      </w:r>
      <w:r w:rsidRPr="008020A8">
        <w:rPr>
          <w:rStyle w:val="normaltextrun"/>
          <w:color w:val="000000"/>
          <w:shd w:val="clear" w:color="auto" w:fill="FFFFFF"/>
        </w:rPr>
        <w:t xml:space="preserve">models and allow them to scale up as more monkeypox vaccine becomes available.   </w:t>
      </w:r>
    </w:p>
    <w:p w14:paraId="6B456E96" w14:textId="5476C09C" w:rsidR="004029B6" w:rsidRPr="004C4380" w:rsidRDefault="00EB78FD" w:rsidP="004C4380">
      <w:pPr>
        <w:pStyle w:val="Body"/>
        <w:rPr>
          <w:rStyle w:val="normaltextrun"/>
          <w:rFonts w:cs="Arial"/>
          <w:color w:val="000000"/>
          <w:szCs w:val="21"/>
          <w:shd w:val="clear" w:color="auto" w:fill="FFFFFF"/>
        </w:rPr>
      </w:pPr>
      <w:r w:rsidRPr="004C4380">
        <w:rPr>
          <w:rStyle w:val="normaltextrun"/>
          <w:color w:val="000000"/>
          <w:szCs w:val="21"/>
          <w:shd w:val="clear" w:color="auto" w:fill="FFFFFF"/>
        </w:rPr>
        <w:t>P</w:t>
      </w:r>
      <w:r w:rsidR="008020A8" w:rsidRPr="004C4380">
        <w:rPr>
          <w:rStyle w:val="normaltextrun"/>
          <w:color w:val="000000"/>
          <w:szCs w:val="21"/>
          <w:shd w:val="clear" w:color="auto" w:fill="FFFFFF"/>
        </w:rPr>
        <w:t>harmacist immunisers</w:t>
      </w:r>
      <w:r w:rsidRPr="004C4380">
        <w:rPr>
          <w:rStyle w:val="normaltextrun"/>
          <w:color w:val="000000"/>
          <w:szCs w:val="21"/>
          <w:shd w:val="clear" w:color="auto" w:fill="FFFFFF"/>
        </w:rPr>
        <w:t xml:space="preserve"> have</w:t>
      </w:r>
      <w:r w:rsidR="00DE56C0" w:rsidRPr="004C4380">
        <w:rPr>
          <w:rStyle w:val="normaltextrun"/>
          <w:color w:val="000000"/>
          <w:szCs w:val="21"/>
          <w:shd w:val="clear" w:color="auto" w:fill="FFFFFF"/>
        </w:rPr>
        <w:t xml:space="preserve"> also</w:t>
      </w:r>
      <w:r w:rsidRPr="004C4380">
        <w:rPr>
          <w:rStyle w:val="normaltextrun"/>
          <w:color w:val="000000"/>
          <w:szCs w:val="21"/>
          <w:shd w:val="clear" w:color="auto" w:fill="FFFFFF"/>
        </w:rPr>
        <w:t xml:space="preserve"> been authorised</w:t>
      </w:r>
      <w:r w:rsidR="008020A8" w:rsidRPr="004C4380">
        <w:rPr>
          <w:rStyle w:val="normaltextrun"/>
          <w:color w:val="000000"/>
          <w:szCs w:val="21"/>
          <w:shd w:val="clear" w:color="auto" w:fill="FFFFFF"/>
        </w:rPr>
        <w:t xml:space="preserve"> to administer the monkeypox vaccine to people recommended for vaccination, aged five years and older. </w:t>
      </w:r>
      <w:r w:rsidR="004029B6" w:rsidRPr="004C4380">
        <w:rPr>
          <w:rStyle w:val="normaltextrun"/>
          <w:rFonts w:cs="Arial"/>
          <w:color w:val="000000"/>
          <w:szCs w:val="21"/>
          <w:shd w:val="clear" w:color="auto" w:fill="FFFFFF"/>
        </w:rPr>
        <w:t xml:space="preserve">Authorisation </w:t>
      </w:r>
      <w:r w:rsidR="00AC0F34" w:rsidRPr="004C4380">
        <w:rPr>
          <w:rStyle w:val="normaltextrun"/>
          <w:rFonts w:cs="Arial"/>
          <w:color w:val="000000"/>
          <w:szCs w:val="21"/>
          <w:shd w:val="clear" w:color="auto" w:fill="FFFFFF"/>
        </w:rPr>
        <w:t xml:space="preserve">and training </w:t>
      </w:r>
      <w:r w:rsidR="004029B6" w:rsidRPr="004C4380">
        <w:rPr>
          <w:rStyle w:val="normaltextrun"/>
          <w:rFonts w:cs="Arial"/>
          <w:color w:val="000000"/>
          <w:szCs w:val="21"/>
          <w:shd w:val="clear" w:color="auto" w:fill="FFFFFF"/>
        </w:rPr>
        <w:t xml:space="preserve">of pharmacist immunisers </w:t>
      </w:r>
      <w:r w:rsidR="00863F79" w:rsidRPr="004C4380">
        <w:rPr>
          <w:rStyle w:val="normaltextrun"/>
          <w:color w:val="000000" w:themeColor="text1"/>
          <w:szCs w:val="21"/>
        </w:rPr>
        <w:t>will</w:t>
      </w:r>
      <w:r w:rsidR="00F517E9" w:rsidRPr="004C4380">
        <w:rPr>
          <w:rStyle w:val="normaltextrun"/>
          <w:rFonts w:cs="Arial"/>
          <w:color w:val="000000"/>
          <w:szCs w:val="21"/>
          <w:shd w:val="clear" w:color="auto" w:fill="FFFFFF"/>
        </w:rPr>
        <w:t xml:space="preserve"> ensure that Victoria is prepared and well positioned when more vaccine becomes available and it is determined that additional models of care involving partnerships with primary care partners (including community pharmacies) need to be established</w:t>
      </w:r>
      <w:r w:rsidR="00F65E69" w:rsidRPr="004C4380">
        <w:rPr>
          <w:rStyle w:val="normaltextrun"/>
          <w:rFonts w:cs="Arial"/>
          <w:color w:val="000000"/>
          <w:szCs w:val="21"/>
          <w:shd w:val="clear" w:color="auto" w:fill="FFFFFF"/>
        </w:rPr>
        <w:t xml:space="preserve">, </w:t>
      </w:r>
      <w:r w:rsidR="00F65E69" w:rsidRPr="004C4380">
        <w:rPr>
          <w:rStyle w:val="eop"/>
          <w:rFonts w:cs="Arial"/>
          <w:color w:val="000000"/>
          <w:szCs w:val="21"/>
          <w:shd w:val="clear" w:color="auto" w:fill="FFFFFF"/>
        </w:rPr>
        <w:t xml:space="preserve">or </w:t>
      </w:r>
      <w:r w:rsidR="49514A98" w:rsidRPr="004C4380">
        <w:rPr>
          <w:rStyle w:val="normaltextrun"/>
          <w:color w:val="000000" w:themeColor="text1"/>
          <w:szCs w:val="21"/>
        </w:rPr>
        <w:t>in case of an expansion to the groups recommended for vaccination.</w:t>
      </w:r>
    </w:p>
    <w:p w14:paraId="22ECEA65" w14:textId="28D57A48" w:rsidR="0019167F" w:rsidRPr="004C4380" w:rsidRDefault="5029CEB3" w:rsidP="008020A8">
      <w:pPr>
        <w:pStyle w:val="DHHSbody"/>
        <w:rPr>
          <w:rFonts w:cs="Arial"/>
          <w:sz w:val="21"/>
          <w:szCs w:val="21"/>
          <w:shd w:val="clear" w:color="auto" w:fill="FFFFFF"/>
          <w:lang w:eastAsia="en-AU"/>
        </w:rPr>
      </w:pPr>
      <w:r w:rsidRPr="004C4380">
        <w:rPr>
          <w:rStyle w:val="normaltextrun"/>
          <w:color w:val="000000" w:themeColor="text1"/>
          <w:sz w:val="21"/>
          <w:szCs w:val="21"/>
        </w:rPr>
        <w:t>The amended Secretary Approvals for nurse immunisers and pharmacist immunisers have been published in Special Gazette No. 518, Monday 3 October 2022</w:t>
      </w:r>
      <w:r w:rsidR="008E6B39" w:rsidRPr="004C4380">
        <w:rPr>
          <w:rStyle w:val="normaltextrun"/>
          <w:color w:val="000000" w:themeColor="text1"/>
          <w:sz w:val="21"/>
          <w:szCs w:val="21"/>
        </w:rPr>
        <w:t xml:space="preserve">, available at: </w:t>
      </w:r>
      <w:r w:rsidR="00F46614" w:rsidRPr="004C4380">
        <w:rPr>
          <w:rStyle w:val="normaltextrun"/>
          <w:color w:val="000000" w:themeColor="text1"/>
          <w:sz w:val="21"/>
          <w:szCs w:val="21"/>
        </w:rPr>
        <w:t>&lt;</w:t>
      </w:r>
      <w:hyperlink r:id="rId17" w:history="1">
        <w:r w:rsidR="00F46614" w:rsidRPr="004C4380">
          <w:rPr>
            <w:rStyle w:val="Hyperlink"/>
            <w:rFonts w:eastAsia="MS Gothic"/>
            <w:sz w:val="21"/>
            <w:szCs w:val="21"/>
            <w:lang w:eastAsia="en-AU"/>
          </w:rPr>
          <w:t>http://www.gazette.vic.gov.au/gazette/Gazettes2022/GG2022S518.pdf</w:t>
        </w:r>
      </w:hyperlink>
      <w:r w:rsidR="00F46614" w:rsidRPr="004C4380">
        <w:rPr>
          <w:rFonts w:eastAsia="MS Gothic"/>
          <w:sz w:val="21"/>
          <w:szCs w:val="21"/>
          <w:lang w:eastAsia="en-AU"/>
        </w:rPr>
        <w:t>&gt;</w:t>
      </w:r>
      <w:r w:rsidRPr="004C4380">
        <w:rPr>
          <w:rFonts w:eastAsia="MS Gothic"/>
          <w:sz w:val="21"/>
          <w:szCs w:val="21"/>
          <w:lang w:eastAsia="en-AU"/>
        </w:rPr>
        <w:t>. Please see pages 1-3 for nurse immunisers and pages 4-8 for pharmacist immunisers.</w:t>
      </w:r>
    </w:p>
    <w:p w14:paraId="4B56DA81" w14:textId="236497AA" w:rsidR="006669C8" w:rsidRPr="00DE1A21" w:rsidRDefault="006669C8" w:rsidP="006669C8">
      <w:pPr>
        <w:pStyle w:val="DHHSbody"/>
        <w:rPr>
          <w:sz w:val="21"/>
          <w:szCs w:val="21"/>
        </w:rPr>
      </w:pPr>
      <w:r w:rsidRPr="00DE1A21">
        <w:rPr>
          <w:sz w:val="21"/>
          <w:szCs w:val="21"/>
        </w:rPr>
        <w:t xml:space="preserve">Compliance with the </w:t>
      </w:r>
      <w:r w:rsidRPr="00DE1A21">
        <w:rPr>
          <w:i/>
          <w:sz w:val="21"/>
          <w:szCs w:val="21"/>
        </w:rPr>
        <w:t>Victorian monkeypox vaccination program guidelines</w:t>
      </w:r>
      <w:r w:rsidRPr="00DE1A21">
        <w:rPr>
          <w:rStyle w:val="FootnoteReference"/>
          <w:iCs/>
          <w:sz w:val="21"/>
          <w:szCs w:val="21"/>
        </w:rPr>
        <w:footnoteReference w:id="4"/>
      </w:r>
      <w:r w:rsidR="00086E14" w:rsidRPr="00DE1A21">
        <w:rPr>
          <w:iCs/>
          <w:sz w:val="21"/>
          <w:szCs w:val="21"/>
        </w:rPr>
        <w:t>, available at: &lt;</w:t>
      </w:r>
      <w:hyperlink r:id="rId18" w:history="1">
        <w:r w:rsidR="00086E14" w:rsidRPr="00DE1A21">
          <w:rPr>
            <w:rStyle w:val="Hyperlink"/>
            <w:rFonts w:eastAsia="Arial"/>
            <w:sz w:val="21"/>
            <w:szCs w:val="21"/>
          </w:rPr>
          <w:t>https://www.health.vic.gov.au/infectious-diseases/monkeypox</w:t>
        </w:r>
      </w:hyperlink>
      <w:r w:rsidR="00086E14" w:rsidRPr="00DE1A21">
        <w:rPr>
          <w:sz w:val="21"/>
          <w:szCs w:val="21"/>
        </w:rPr>
        <w:t>&gt;,</w:t>
      </w:r>
      <w:r w:rsidRPr="00DE1A21">
        <w:rPr>
          <w:sz w:val="21"/>
          <w:szCs w:val="21"/>
        </w:rPr>
        <w:t xml:space="preserve"> is a condition of the Secretary Approvals when administering the monkeypox vaccine to people recommended for vaccination.</w:t>
      </w:r>
    </w:p>
    <w:p w14:paraId="3FE2A27E" w14:textId="20BAAF95" w:rsidR="006E4722" w:rsidRDefault="006E4722" w:rsidP="001478C9">
      <w:pPr>
        <w:pStyle w:val="Body"/>
        <w:rPr>
          <w:szCs w:val="21"/>
        </w:rPr>
      </w:pPr>
      <w:r w:rsidRPr="00A07447">
        <w:rPr>
          <w:szCs w:val="21"/>
        </w:rPr>
        <w:t xml:space="preserve">The list of persons may be updated from time to time in response to changing circumstances, so immunisers are required to be aware of the priority target groups recommended for vaccination.  </w:t>
      </w:r>
      <w:r w:rsidRPr="00A07447">
        <w:rPr>
          <w:b/>
          <w:bCs/>
          <w:szCs w:val="21"/>
        </w:rPr>
        <w:t>Please note</w:t>
      </w:r>
      <w:r w:rsidRPr="00A07447">
        <w:rPr>
          <w:szCs w:val="21"/>
        </w:rPr>
        <w:t xml:space="preserve"> that individuals requesting the monkeypox vaccine can self-identify that they meet the current eligibility criteria. They do not need to identify which criteria they meet, nor provide any proof of eligibility. The website is available at: &lt;</w:t>
      </w:r>
      <w:hyperlink r:id="rId19" w:history="1">
        <w:r w:rsidRPr="00A07447">
          <w:rPr>
            <w:rStyle w:val="Hyperlink"/>
            <w:rFonts w:cs="Arial"/>
            <w:szCs w:val="21"/>
          </w:rPr>
          <w:t>https://www.health.vic.gov.au/infectious-diseases/monkeypox</w:t>
        </w:r>
      </w:hyperlink>
      <w:r w:rsidRPr="00A07447">
        <w:rPr>
          <w:szCs w:val="21"/>
        </w:rPr>
        <w:t xml:space="preserve">&gt;.  </w:t>
      </w:r>
    </w:p>
    <w:p w14:paraId="10895F73" w14:textId="544BE10B" w:rsidR="001478C9" w:rsidRDefault="001478C9" w:rsidP="001478C9">
      <w:pPr>
        <w:pStyle w:val="Body"/>
        <w:rPr>
          <w:rStyle w:val="normaltextrun"/>
          <w:rFonts w:cs="Arial"/>
          <w:color w:val="000000"/>
          <w:szCs w:val="21"/>
          <w:shd w:val="clear" w:color="auto" w:fill="FFFFFF"/>
        </w:rPr>
      </w:pPr>
      <w:r w:rsidRPr="004B3EF9">
        <w:rPr>
          <w:rStyle w:val="normaltextrun"/>
          <w:rFonts w:cs="Arial"/>
          <w:color w:val="000000"/>
          <w:szCs w:val="21"/>
          <w:shd w:val="clear" w:color="auto" w:fill="FFFFFF"/>
        </w:rPr>
        <w:t>Th</w:t>
      </w:r>
      <w:r>
        <w:rPr>
          <w:rStyle w:val="normaltextrun"/>
          <w:rFonts w:cs="Arial"/>
          <w:color w:val="000000"/>
          <w:szCs w:val="21"/>
          <w:shd w:val="clear" w:color="auto" w:fill="FFFFFF"/>
        </w:rPr>
        <w:t>e Approved Client Groups</w:t>
      </w:r>
      <w:r w:rsidR="006E4722">
        <w:rPr>
          <w:rStyle w:val="normaltextrun"/>
          <w:rFonts w:cs="Arial"/>
          <w:color w:val="000000"/>
          <w:szCs w:val="21"/>
          <w:shd w:val="clear" w:color="auto" w:fill="FFFFFF"/>
        </w:rPr>
        <w:t xml:space="preserve"> for Nurse Immunisers document</w:t>
      </w:r>
      <w:r>
        <w:rPr>
          <w:rStyle w:val="normaltextrun"/>
          <w:rFonts w:cs="Arial"/>
          <w:color w:val="000000"/>
          <w:szCs w:val="21"/>
          <w:shd w:val="clear" w:color="auto" w:fill="FFFFFF"/>
        </w:rPr>
        <w:t xml:space="preserve"> has also been updated and can been accessed from: </w:t>
      </w:r>
      <w:hyperlink r:id="rId20" w:history="1">
        <w:r w:rsidRPr="00D73A6F">
          <w:rPr>
            <w:rStyle w:val="Hyperlink"/>
            <w:rFonts w:cs="Arial"/>
            <w:szCs w:val="21"/>
            <w:shd w:val="clear" w:color="auto" w:fill="FFFFFF"/>
          </w:rPr>
          <w:t>https://www.health.vic.gov.au/immunisation/nurse-immunisers-approved-client-groups</w:t>
        </w:r>
      </w:hyperlink>
      <w:r w:rsidR="00064DE7">
        <w:rPr>
          <w:rStyle w:val="Hyperlink"/>
          <w:rFonts w:cs="Arial"/>
          <w:szCs w:val="21"/>
          <w:shd w:val="clear" w:color="auto" w:fill="FFFFFF"/>
        </w:rPr>
        <w:t>.</w:t>
      </w:r>
      <w:r>
        <w:rPr>
          <w:rStyle w:val="normaltextrun"/>
          <w:rFonts w:cs="Arial"/>
          <w:color w:val="000000"/>
          <w:szCs w:val="21"/>
          <w:shd w:val="clear" w:color="auto" w:fill="FFFFFF"/>
        </w:rPr>
        <w:t xml:space="preserve"> </w:t>
      </w:r>
    </w:p>
    <w:p w14:paraId="2D4CA659" w14:textId="77777777" w:rsidR="001478C9" w:rsidRPr="00C956BC" w:rsidRDefault="001478C9" w:rsidP="001478C9">
      <w:pPr>
        <w:pStyle w:val="Heading1"/>
      </w:pPr>
      <w:r w:rsidRPr="00C956BC">
        <w:t>Training</w:t>
      </w:r>
      <w:r>
        <w:t xml:space="preserve"> requirements</w:t>
      </w:r>
    </w:p>
    <w:p w14:paraId="74A3232D" w14:textId="345FE88E" w:rsidR="00ED0ADD" w:rsidRPr="00A07447" w:rsidRDefault="001478C9" w:rsidP="00DD6722">
      <w:pPr>
        <w:pStyle w:val="Body"/>
        <w:rPr>
          <w:szCs w:val="21"/>
        </w:rPr>
      </w:pPr>
      <w:r>
        <w:t xml:space="preserve">Nurse </w:t>
      </w:r>
      <w:r w:rsidR="00395588">
        <w:t xml:space="preserve">immunisers </w:t>
      </w:r>
      <w:r>
        <w:t xml:space="preserve">and pharmacist immunisers who are administering the </w:t>
      </w:r>
      <w:r w:rsidR="2FED26C3">
        <w:t>monkeypox</w:t>
      </w:r>
      <w:r>
        <w:t xml:space="preserve"> vaccine to eligible individuals in Victoria must first complete the </w:t>
      </w:r>
      <w:r w:rsidR="2313C02A">
        <w:t xml:space="preserve">monkeypox </w:t>
      </w:r>
      <w:r>
        <w:t xml:space="preserve">eLearning module that has been approved by the Deputy Chief Health Officer – Communicable Disease. </w:t>
      </w:r>
      <w:r w:rsidR="00ED0ADD" w:rsidRPr="00A07447">
        <w:rPr>
          <w:rFonts w:cs="Arial"/>
          <w:szCs w:val="21"/>
        </w:rPr>
        <w:t>This training takes approximately 30 minutes to complete and can be accessed free from</w:t>
      </w:r>
      <w:r w:rsidR="00554EC9">
        <w:rPr>
          <w:rFonts w:cs="Arial"/>
          <w:szCs w:val="21"/>
        </w:rPr>
        <w:t>:</w:t>
      </w:r>
      <w:r w:rsidR="00ED0ADD" w:rsidRPr="00A07447">
        <w:rPr>
          <w:rFonts w:cs="Arial"/>
          <w:szCs w:val="21"/>
        </w:rPr>
        <w:t xml:space="preserve"> </w:t>
      </w:r>
      <w:r w:rsidR="00ED0ADD" w:rsidRPr="00A07447">
        <w:rPr>
          <w:szCs w:val="21"/>
        </w:rPr>
        <w:t>&lt;</w:t>
      </w:r>
      <w:hyperlink r:id="rId21" w:history="1">
        <w:r w:rsidR="00ED0ADD" w:rsidRPr="00A07447">
          <w:rPr>
            <w:rStyle w:val="Hyperlink"/>
            <w:szCs w:val="21"/>
          </w:rPr>
          <w:t>https://www.health.vic.gov.au/immunisation/programs-of-study</w:t>
        </w:r>
      </w:hyperlink>
      <w:r w:rsidR="00ED0ADD" w:rsidRPr="00A07447">
        <w:rPr>
          <w:szCs w:val="21"/>
        </w:rPr>
        <w:t xml:space="preserve">&gt;. Completion of this training is a condition of </w:t>
      </w:r>
      <w:r w:rsidR="00ED0ADD">
        <w:rPr>
          <w:szCs w:val="21"/>
        </w:rPr>
        <w:t>Secretary Approvals</w:t>
      </w:r>
      <w:r w:rsidR="00ED0ADD" w:rsidRPr="00A07447">
        <w:rPr>
          <w:szCs w:val="21"/>
        </w:rPr>
        <w:t xml:space="preserve">. </w:t>
      </w:r>
    </w:p>
    <w:p w14:paraId="23577B7C" w14:textId="20D5F603" w:rsidR="004B5AEB" w:rsidRPr="00A07447" w:rsidRDefault="004B5AEB" w:rsidP="00DD6722">
      <w:pPr>
        <w:pStyle w:val="Body"/>
      </w:pPr>
      <w:r w:rsidRPr="00A07447">
        <w:t>The training includes information on the JYNNEOS</w:t>
      </w:r>
      <w:r w:rsidRPr="00A07447">
        <w:rPr>
          <w:vertAlign w:val="superscript"/>
        </w:rPr>
        <w:t>®</w:t>
      </w:r>
      <w:r w:rsidRPr="00A07447">
        <w:t xml:space="preserve"> vaccine, as the preferred monkeypox vaccine in Victoria, and therefore </w:t>
      </w:r>
      <w:r>
        <w:t>immunisers</w:t>
      </w:r>
      <w:r w:rsidRPr="00A07447">
        <w:t xml:space="preserve"> only have the required knowledge, skills and training within their individual scope to administer the JYNNEOS</w:t>
      </w:r>
      <w:r w:rsidRPr="00A07447">
        <w:rPr>
          <w:vertAlign w:val="superscript"/>
        </w:rPr>
        <w:t>®</w:t>
      </w:r>
      <w:r w:rsidRPr="00A07447">
        <w:t xml:space="preserve"> vaccine</w:t>
      </w:r>
      <w:r w:rsidR="004142CB">
        <w:t>,</w:t>
      </w:r>
      <w:r w:rsidR="00575C0A">
        <w:t xml:space="preserve"> without instruction from an authorised prescriber</w:t>
      </w:r>
      <w:r w:rsidRPr="00A07447">
        <w:t>. Patients requiring ACAM2000™ vaccine should be referred to a medical practitioner or nurse practitioner for vaccination</w:t>
      </w:r>
      <w:r w:rsidR="00870D68">
        <w:t xml:space="preserve"> assessment and administration</w:t>
      </w:r>
      <w:r w:rsidRPr="00A07447">
        <w:t xml:space="preserve">. </w:t>
      </w:r>
    </w:p>
    <w:p w14:paraId="67D708AD" w14:textId="77777777" w:rsidR="00540C60" w:rsidRPr="00A07447" w:rsidRDefault="00540C60" w:rsidP="00DD6722">
      <w:pPr>
        <w:pStyle w:val="Body"/>
        <w:rPr>
          <w:rStyle w:val="normaltextrun"/>
          <w:rFonts w:cs="Arial"/>
          <w:color w:val="000000"/>
          <w:szCs w:val="21"/>
          <w:shd w:val="clear" w:color="auto" w:fill="FFFFFF"/>
        </w:rPr>
      </w:pPr>
      <w:r w:rsidRPr="00A07447">
        <w:rPr>
          <w:rStyle w:val="normaltextrun"/>
          <w:rFonts w:cs="Arial"/>
          <w:color w:val="202020"/>
          <w:szCs w:val="21"/>
          <w:shd w:val="clear" w:color="auto" w:fill="FFFFFF"/>
        </w:rPr>
        <w:t xml:space="preserve">Standard administration of </w:t>
      </w:r>
      <w:r w:rsidRPr="00A07447">
        <w:rPr>
          <w:rStyle w:val="normaltextrun"/>
          <w:rFonts w:cs="Arial"/>
          <w:color w:val="000000"/>
          <w:szCs w:val="21"/>
          <w:shd w:val="clear" w:color="auto" w:fill="FFFFFF"/>
        </w:rPr>
        <w:t>JYNNEOS</w:t>
      </w:r>
      <w:r w:rsidRPr="00A07447">
        <w:rPr>
          <w:rStyle w:val="normaltextrun"/>
          <w:rFonts w:cs="Arial"/>
          <w:color w:val="2A2736"/>
          <w:szCs w:val="21"/>
          <w:shd w:val="clear" w:color="auto" w:fill="FFFFFF"/>
          <w:vertAlign w:val="superscript"/>
        </w:rPr>
        <w:t>®</w:t>
      </w:r>
      <w:r w:rsidRPr="00A07447">
        <w:rPr>
          <w:rStyle w:val="normaltextrun"/>
          <w:rFonts w:cs="Arial"/>
          <w:color w:val="000000"/>
          <w:szCs w:val="21"/>
          <w:shd w:val="clear" w:color="auto" w:fill="FFFFFF"/>
        </w:rPr>
        <w:t xml:space="preserve"> vaccine</w:t>
      </w:r>
      <w:r w:rsidRPr="00A07447">
        <w:rPr>
          <w:rStyle w:val="normaltextrun"/>
          <w:rFonts w:cs="Arial"/>
          <w:color w:val="202020"/>
          <w:szCs w:val="21"/>
          <w:shd w:val="clear" w:color="auto" w:fill="FFFFFF"/>
        </w:rPr>
        <w:t xml:space="preserve"> is by subcutaneous injection however, </w:t>
      </w:r>
      <w:r w:rsidRPr="00A07447">
        <w:rPr>
          <w:rStyle w:val="normaltextrun"/>
          <w:rFonts w:cs="Arial"/>
          <w:color w:val="000000"/>
          <w:szCs w:val="21"/>
          <w:shd w:val="clear" w:color="auto" w:fill="FFFFFF"/>
        </w:rPr>
        <w:t>JYNNEOS</w:t>
      </w:r>
      <w:r w:rsidRPr="00A07447">
        <w:rPr>
          <w:rStyle w:val="normaltextrun"/>
          <w:rFonts w:cs="Arial"/>
          <w:color w:val="2A2736"/>
          <w:szCs w:val="21"/>
          <w:shd w:val="clear" w:color="auto" w:fill="FFFFFF"/>
          <w:vertAlign w:val="superscript"/>
        </w:rPr>
        <w:t>®</w:t>
      </w:r>
      <w:r w:rsidRPr="00A07447">
        <w:rPr>
          <w:rStyle w:val="normaltextrun"/>
          <w:rFonts w:cs="Arial"/>
          <w:color w:val="000000"/>
          <w:szCs w:val="21"/>
          <w:shd w:val="clear" w:color="auto" w:fill="FFFFFF"/>
        </w:rPr>
        <w:t xml:space="preserve"> vaccine may also be administered via the intradermal route to people without immunocompromise. This technique must only be used by trained and competent immunisers to minimise inadvertent underdosing, leakage or subcutaneous injection. </w:t>
      </w:r>
    </w:p>
    <w:p w14:paraId="3F74C8B0" w14:textId="77777777" w:rsidR="00540C60" w:rsidRDefault="00540C60" w:rsidP="00540C60">
      <w:pPr>
        <w:pStyle w:val="DHHSbody"/>
        <w:rPr>
          <w:rFonts w:cs="Arial"/>
          <w:sz w:val="21"/>
          <w:szCs w:val="21"/>
        </w:rPr>
      </w:pPr>
      <w:r w:rsidRPr="00A07447">
        <w:rPr>
          <w:rStyle w:val="normaltextrun"/>
          <w:rFonts w:cs="Arial"/>
          <w:color w:val="000000"/>
          <w:sz w:val="21"/>
          <w:szCs w:val="21"/>
          <w:shd w:val="clear" w:color="auto" w:fill="FFFFFF"/>
        </w:rPr>
        <w:t xml:space="preserve">An </w:t>
      </w:r>
      <w:r w:rsidRPr="00A07447">
        <w:rPr>
          <w:rStyle w:val="normaltextrun"/>
          <w:rFonts w:cs="Arial"/>
          <w:i/>
          <w:iCs/>
          <w:color w:val="000000"/>
          <w:sz w:val="21"/>
          <w:szCs w:val="21"/>
          <w:shd w:val="clear" w:color="auto" w:fill="FFFFFF"/>
        </w:rPr>
        <w:t xml:space="preserve">Intradermal injection skills and competencies checklist </w:t>
      </w:r>
      <w:r w:rsidRPr="00A07447">
        <w:rPr>
          <w:rStyle w:val="normaltextrun"/>
          <w:rFonts w:cs="Arial"/>
          <w:color w:val="000000"/>
          <w:sz w:val="21"/>
          <w:szCs w:val="21"/>
          <w:shd w:val="clear" w:color="auto" w:fill="FFFFFF"/>
        </w:rPr>
        <w:t>has been developed as a guide to verify that immunisers are deemed clinically skilled and competent in the technique of intradermal injection. This checklist must be completed and issued by an appropriately experienced clinician (for example, a medical practitioner, nurse practitioner or other specialist clinician) proficient in intradermal injection technique who can oversee the assessment of the clinical skills and competencies of an immuniser. </w:t>
      </w:r>
      <w:r w:rsidRPr="00A07447">
        <w:rPr>
          <w:rStyle w:val="eop"/>
          <w:rFonts w:cs="Arial"/>
          <w:color w:val="000000"/>
          <w:sz w:val="21"/>
          <w:szCs w:val="21"/>
          <w:shd w:val="clear" w:color="auto" w:fill="FFFFFF"/>
        </w:rPr>
        <w:t xml:space="preserve"> The checklist is available within the </w:t>
      </w:r>
      <w:r w:rsidRPr="00A07447">
        <w:rPr>
          <w:rFonts w:cs="Arial"/>
          <w:i/>
          <w:iCs/>
          <w:sz w:val="21"/>
          <w:szCs w:val="21"/>
        </w:rPr>
        <w:t>Victorian monkeypox vaccination program guidelines</w:t>
      </w:r>
      <w:r w:rsidRPr="00A07447">
        <w:rPr>
          <w:rStyle w:val="FootnoteReference"/>
          <w:rFonts w:cs="Arial"/>
          <w:i/>
          <w:iCs/>
          <w:sz w:val="21"/>
          <w:szCs w:val="21"/>
        </w:rPr>
        <w:footnoteReference w:id="5"/>
      </w:r>
      <w:r w:rsidRPr="00A07447">
        <w:rPr>
          <w:rFonts w:cs="Arial"/>
          <w:sz w:val="21"/>
          <w:szCs w:val="21"/>
        </w:rPr>
        <w:t xml:space="preserve">. </w:t>
      </w:r>
    </w:p>
    <w:p w14:paraId="570F1857" w14:textId="76917009" w:rsidR="008A3F4C" w:rsidRPr="00A07447" w:rsidRDefault="008A3F4C" w:rsidP="00540C60">
      <w:pPr>
        <w:pStyle w:val="DHHSbody"/>
        <w:rPr>
          <w:rStyle w:val="normaltextrun"/>
          <w:rFonts w:cs="Arial"/>
          <w:color w:val="000000"/>
          <w:sz w:val="21"/>
          <w:szCs w:val="21"/>
          <w:shd w:val="clear" w:color="auto" w:fill="FFFFFF"/>
        </w:rPr>
      </w:pPr>
      <w:r w:rsidRPr="008A3F4C">
        <w:rPr>
          <w:rStyle w:val="normaltextrun"/>
          <w:rFonts w:cs="Arial"/>
          <w:color w:val="000000"/>
          <w:sz w:val="21"/>
          <w:szCs w:val="21"/>
          <w:shd w:val="clear" w:color="auto" w:fill="FFFFFF"/>
        </w:rPr>
        <w:t xml:space="preserve">The training will not equip nurse immunisers or pharmacist immunisers to provide all the necessary care in the instances of post exposure prophylaxis purposes for high-risk close contacts of monkeypox cases. This process requires specialist counselling and comprehensive public health measures to be considered – including contact tracing. For more information about post-exposure prophylaxis, refer to the </w:t>
      </w:r>
      <w:r w:rsidR="00424117">
        <w:rPr>
          <w:rStyle w:val="normaltextrun"/>
          <w:rFonts w:cs="Arial"/>
          <w:color w:val="000000"/>
          <w:sz w:val="21"/>
          <w:szCs w:val="21"/>
          <w:shd w:val="clear" w:color="auto" w:fill="FFFFFF"/>
        </w:rPr>
        <w:t>Victorian m</w:t>
      </w:r>
      <w:r w:rsidRPr="008A3F4C">
        <w:rPr>
          <w:rStyle w:val="normaltextrun"/>
          <w:rFonts w:cs="Arial"/>
          <w:color w:val="000000"/>
          <w:sz w:val="21"/>
          <w:szCs w:val="21"/>
          <w:shd w:val="clear" w:color="auto" w:fill="FFFFFF"/>
        </w:rPr>
        <w:t>onkeypox</w:t>
      </w:r>
      <w:r w:rsidR="00424117">
        <w:rPr>
          <w:rStyle w:val="normaltextrun"/>
          <w:rFonts w:cs="Arial"/>
          <w:color w:val="000000"/>
          <w:sz w:val="21"/>
          <w:szCs w:val="21"/>
          <w:shd w:val="clear" w:color="auto" w:fill="FFFFFF"/>
        </w:rPr>
        <w:t xml:space="preserve"> vaccination program</w:t>
      </w:r>
      <w:r w:rsidRPr="008A3F4C">
        <w:rPr>
          <w:rStyle w:val="normaltextrun"/>
          <w:rFonts w:cs="Arial"/>
          <w:color w:val="000000"/>
          <w:sz w:val="21"/>
          <w:szCs w:val="21"/>
          <w:shd w:val="clear" w:color="auto" w:fill="FFFFFF"/>
        </w:rPr>
        <w:t xml:space="preserve"> guidelines.</w:t>
      </w:r>
    </w:p>
    <w:p w14:paraId="16DD00C2" w14:textId="77777777" w:rsidR="001478C9" w:rsidRDefault="001478C9" w:rsidP="001478C9">
      <w:pPr>
        <w:pStyle w:val="Heading1"/>
      </w:pPr>
      <w:r w:rsidRPr="00B2629D">
        <w:t>More information</w:t>
      </w:r>
    </w:p>
    <w:p w14:paraId="3772DFA7" w14:textId="77777777" w:rsidR="001478C9" w:rsidRPr="005145D2" w:rsidRDefault="001478C9" w:rsidP="001478C9">
      <w:pPr>
        <w:pStyle w:val="Heading3"/>
        <w:rPr>
          <w:rFonts w:cs="Arial"/>
          <w:sz w:val="28"/>
          <w:szCs w:val="28"/>
        </w:rPr>
      </w:pPr>
      <w:r w:rsidRPr="005145D2">
        <w:rPr>
          <w:rFonts w:cs="Arial"/>
          <w:sz w:val="28"/>
          <w:szCs w:val="28"/>
        </w:rPr>
        <w:t>Australian Immunisation Handbook</w:t>
      </w:r>
    </w:p>
    <w:p w14:paraId="4CFAE6F4" w14:textId="77777777" w:rsidR="001478C9" w:rsidRPr="0069401E" w:rsidRDefault="001478C9" w:rsidP="001478C9">
      <w:pPr>
        <w:pStyle w:val="DHHSbody"/>
        <w:rPr>
          <w:rFonts w:cs="Arial"/>
          <w:sz w:val="21"/>
          <w:szCs w:val="21"/>
        </w:rPr>
      </w:pPr>
      <w:r w:rsidRPr="3BF026AB">
        <w:rPr>
          <w:rFonts w:cs="Arial"/>
          <w:sz w:val="21"/>
          <w:szCs w:val="21"/>
        </w:rPr>
        <w:t xml:space="preserve">The </w:t>
      </w:r>
      <w:hyperlink r:id="rId22" w:history="1">
        <w:r w:rsidRPr="3BF026AB">
          <w:rPr>
            <w:rStyle w:val="Hyperlink"/>
            <w:rFonts w:cs="Arial"/>
            <w:sz w:val="21"/>
            <w:szCs w:val="21"/>
          </w:rPr>
          <w:t>Australian Immunisation Handbook</w:t>
        </w:r>
      </w:hyperlink>
      <w:r w:rsidRPr="3BF026AB">
        <w:rPr>
          <w:rStyle w:val="FootnoteReference"/>
          <w:rFonts w:cs="Arial"/>
          <w:sz w:val="21"/>
          <w:szCs w:val="21"/>
        </w:rPr>
        <w:footnoteReference w:id="6"/>
      </w:r>
      <w:r w:rsidRPr="3BF026AB">
        <w:rPr>
          <w:rStyle w:val="Hyperlink"/>
          <w:rFonts w:cs="Arial"/>
          <w:sz w:val="21"/>
          <w:szCs w:val="21"/>
        </w:rPr>
        <w:t xml:space="preserve"> </w:t>
      </w:r>
      <w:r w:rsidRPr="3BF026AB">
        <w:rPr>
          <w:rFonts w:cs="Arial"/>
          <w:sz w:val="21"/>
          <w:szCs w:val="21"/>
        </w:rPr>
        <w:t xml:space="preserve">is available on the Commonwealth’s Department of Health website and provides a single, up-to-date clinical reference guide for health care providers administering vaccines in Australia. </w:t>
      </w:r>
    </w:p>
    <w:p w14:paraId="507AFDF3" w14:textId="77777777" w:rsidR="001478C9" w:rsidRPr="005145D2" w:rsidRDefault="001478C9" w:rsidP="001478C9">
      <w:pPr>
        <w:pStyle w:val="Heading3"/>
        <w:rPr>
          <w:rFonts w:cs="Arial"/>
          <w:sz w:val="28"/>
          <w:szCs w:val="28"/>
        </w:rPr>
      </w:pPr>
      <w:r w:rsidRPr="005145D2">
        <w:rPr>
          <w:rFonts w:cs="Arial"/>
          <w:sz w:val="28"/>
          <w:szCs w:val="28"/>
        </w:rPr>
        <w:t xml:space="preserve">Victorian Government Department of Health </w:t>
      </w:r>
    </w:p>
    <w:p w14:paraId="196D2EEB" w14:textId="77777777" w:rsidR="001478C9" w:rsidRDefault="001478C9" w:rsidP="001478C9">
      <w:pPr>
        <w:pStyle w:val="DHHSaccessibilitypara"/>
        <w:rPr>
          <w:sz w:val="21"/>
          <w:szCs w:val="21"/>
        </w:rPr>
      </w:pPr>
      <w:r w:rsidRPr="3BF026AB">
        <w:rPr>
          <w:rFonts w:cs="Arial"/>
          <w:sz w:val="21"/>
          <w:szCs w:val="21"/>
        </w:rPr>
        <w:t xml:space="preserve">If you have any queries about this matter please email the Immunisation Unit </w:t>
      </w:r>
      <w:hyperlink r:id="rId23">
        <w:r w:rsidRPr="3BF026AB">
          <w:rPr>
            <w:rStyle w:val="Hyperlink"/>
            <w:rFonts w:cs="Arial"/>
            <w:sz w:val="21"/>
            <w:szCs w:val="21"/>
            <w:lang w:val="en-US"/>
          </w:rPr>
          <w:t>Immunisation@health.vic.gov.au</w:t>
        </w:r>
      </w:hyperlink>
    </w:p>
    <w:p w14:paraId="0CADA678" w14:textId="77777777" w:rsidR="001478C9" w:rsidRPr="00581CA4" w:rsidRDefault="001478C9" w:rsidP="001478C9">
      <w:pPr>
        <w:pStyle w:val="DHHSaccessibilitypara"/>
        <w:rPr>
          <w:rFonts w:cs="Arial"/>
          <w:sz w:val="20"/>
          <w:szCs w:val="20"/>
        </w:rPr>
      </w:pPr>
    </w:p>
    <w:tbl>
      <w:tblPr>
        <w:tblStyle w:val="TableGrid"/>
        <w:tblW w:w="0" w:type="auto"/>
        <w:tblCellMar>
          <w:bottom w:w="108" w:type="dxa"/>
        </w:tblCellMar>
        <w:tblLook w:val="0600" w:firstRow="0" w:lastRow="0" w:firstColumn="0" w:lastColumn="0" w:noHBand="1" w:noVBand="1"/>
      </w:tblPr>
      <w:tblGrid>
        <w:gridCol w:w="10194"/>
      </w:tblGrid>
      <w:tr w:rsidR="001478C9" w14:paraId="074F18C4" w14:textId="77777777" w:rsidTr="7E925187">
        <w:tc>
          <w:tcPr>
            <w:tcW w:w="10194" w:type="dxa"/>
          </w:tcPr>
          <w:p w14:paraId="7CD80CCD" w14:textId="77777777" w:rsidR="001478C9" w:rsidRPr="0055119B" w:rsidRDefault="001478C9" w:rsidP="002B7183">
            <w:pPr>
              <w:pStyle w:val="Accessibilitypara"/>
            </w:pPr>
            <w:bookmarkStart w:id="1" w:name="_Hlk37240926"/>
            <w:r>
              <w:t xml:space="preserve">To receive this document in another format, email the Immunisation Unit </w:t>
            </w:r>
            <w:hyperlink r:id="rId24">
              <w:r w:rsidRPr="06A9FC78">
                <w:rPr>
                  <w:rStyle w:val="Hyperlink"/>
                </w:rPr>
                <w:t>immunisation@health.vic.gov.au</w:t>
              </w:r>
            </w:hyperlink>
            <w:r>
              <w:t xml:space="preserve"> </w:t>
            </w:r>
          </w:p>
          <w:p w14:paraId="0770120E" w14:textId="77777777" w:rsidR="001478C9" w:rsidRPr="0055119B" w:rsidRDefault="001478C9" w:rsidP="002B7183">
            <w:pPr>
              <w:pStyle w:val="Imprint"/>
            </w:pPr>
            <w:r w:rsidRPr="0055119B">
              <w:t>Authorised and published by the Victorian Government, 1 Treasury Place, Melbourne.</w:t>
            </w:r>
          </w:p>
          <w:p w14:paraId="7171670B" w14:textId="1E5793EB" w:rsidR="001478C9" w:rsidRPr="0055119B" w:rsidRDefault="001478C9" w:rsidP="002B7183">
            <w:pPr>
              <w:pStyle w:val="Imprint"/>
            </w:pPr>
            <w:r>
              <w:t xml:space="preserve">© </w:t>
            </w:r>
            <w:r w:rsidRPr="7E925187">
              <w:rPr>
                <w:rFonts w:eastAsia="Arial" w:cs="Arial"/>
              </w:rPr>
              <w:t xml:space="preserve">State of Victoria, Australia, </w:t>
            </w:r>
            <w:r>
              <w:t xml:space="preserve">Department of Health, </w:t>
            </w:r>
            <w:r w:rsidR="65BB7607">
              <w:t>October</w:t>
            </w:r>
            <w:r>
              <w:t xml:space="preserve"> 2022.</w:t>
            </w:r>
          </w:p>
          <w:p w14:paraId="268B0789" w14:textId="77777777" w:rsidR="001478C9" w:rsidRPr="0055119B" w:rsidRDefault="001478C9" w:rsidP="002B7183">
            <w:pPr>
              <w:pStyle w:val="Imprint"/>
            </w:pPr>
            <w:r w:rsidRPr="0055119B">
              <w:t xml:space="preserve">Available at </w:t>
            </w:r>
            <w:hyperlink r:id="rId25" w:history="1">
              <w:r w:rsidRPr="00F16B68">
                <w:rPr>
                  <w:rStyle w:val="Hyperlink"/>
                </w:rPr>
                <w:t>Nurse immunisers</w:t>
              </w:r>
            </w:hyperlink>
            <w:r w:rsidRPr="00F16B68">
              <w:t xml:space="preserve"> </w:t>
            </w:r>
            <w:r w:rsidRPr="0055119B">
              <w:t>&lt;</w:t>
            </w:r>
            <w:r w:rsidRPr="00F6281A">
              <w:rPr>
                <w:color w:val="004C97"/>
              </w:rPr>
              <w:t>https://www.health.vic.gov.au/immunisation/nurse-immunisers</w:t>
            </w:r>
            <w:r w:rsidRPr="0055119B">
              <w:t>&gt;</w:t>
            </w:r>
          </w:p>
          <w:p w14:paraId="3EACD408" w14:textId="77777777" w:rsidR="001478C9" w:rsidRDefault="001478C9" w:rsidP="002B7183">
            <w:pPr>
              <w:pStyle w:val="Imprint"/>
            </w:pPr>
          </w:p>
        </w:tc>
      </w:tr>
      <w:bookmarkEnd w:id="1"/>
    </w:tbl>
    <w:p w14:paraId="0075D33A" w14:textId="77777777" w:rsidR="001478C9" w:rsidRDefault="001478C9" w:rsidP="001478C9">
      <w:pPr>
        <w:pStyle w:val="Body"/>
      </w:pPr>
    </w:p>
    <w:p w14:paraId="3EACD13E" w14:textId="77777777" w:rsidR="001478C9" w:rsidRDefault="001478C9"/>
    <w:sectPr w:rsidR="001478C9" w:rsidSect="002B7183">
      <w:footerReference w:type="even" r:id="rId26"/>
      <w:footerReference w:type="default" r:id="rId27"/>
      <w:footerReference w:type="firs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49BF" w14:textId="77777777" w:rsidR="00156577" w:rsidRDefault="00156577" w:rsidP="001478C9">
      <w:pPr>
        <w:spacing w:after="0" w:line="240" w:lineRule="auto"/>
      </w:pPr>
      <w:r>
        <w:separator/>
      </w:r>
    </w:p>
  </w:endnote>
  <w:endnote w:type="continuationSeparator" w:id="0">
    <w:p w14:paraId="76CADA71" w14:textId="77777777" w:rsidR="00156577" w:rsidRDefault="00156577" w:rsidP="001478C9">
      <w:pPr>
        <w:spacing w:after="0" w:line="240" w:lineRule="auto"/>
      </w:pPr>
      <w:r>
        <w:continuationSeparator/>
      </w:r>
    </w:p>
  </w:endnote>
  <w:endnote w:type="continuationNotice" w:id="1">
    <w:p w14:paraId="11F5AB67" w14:textId="77777777" w:rsidR="00156577" w:rsidRDefault="00156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46C1" w14:textId="00FB7DB0" w:rsidR="001478C9" w:rsidRDefault="001478C9">
    <w:pPr>
      <w:pStyle w:val="Footer"/>
    </w:pPr>
    <w:r>
      <w:rPr>
        <w:noProof/>
      </w:rPr>
      <mc:AlternateContent>
        <mc:Choice Requires="wps">
          <w:drawing>
            <wp:anchor distT="0" distB="0" distL="0" distR="0" simplePos="0" relativeHeight="251658242" behindDoc="0" locked="0" layoutInCell="1" allowOverlap="1" wp14:anchorId="4B1182B5" wp14:editId="103BF5EA">
              <wp:simplePos x="635" y="635"/>
              <wp:positionH relativeFrom="column">
                <wp:align>center</wp:align>
              </wp:positionH>
              <wp:positionV relativeFrom="paragraph">
                <wp:posOffset>635</wp:posOffset>
              </wp:positionV>
              <wp:extent cx="443865" cy="443865"/>
              <wp:effectExtent l="0" t="0" r="7620" b="1143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A4861" w14:textId="10D79712" w:rsidR="001478C9" w:rsidRPr="001478C9" w:rsidRDefault="001478C9">
                          <w:pPr>
                            <w:rPr>
                              <w:rFonts w:ascii="Arial Black" w:eastAsia="Arial Black" w:hAnsi="Arial Black" w:cs="Arial Black"/>
                              <w:noProof/>
                              <w:color w:val="E4100E"/>
                              <w:sz w:val="20"/>
                            </w:rPr>
                          </w:pPr>
                          <w:r w:rsidRPr="001478C9">
                            <w:rPr>
                              <w:rFonts w:ascii="Arial Black" w:eastAsia="Arial Black" w:hAnsi="Arial Black" w:cs="Arial Black"/>
                              <w:noProof/>
                              <w:color w:val="E4100E"/>
                              <w:sz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2B3EE6C">
            <v:shapetype id="_x0000_t202" coordsize="21600,21600" o:spt="202" path="m,l,21600r21600,l21600,xe" w14:anchorId="4B1182B5">
              <v:stroke joinstyle="miter"/>
              <v:path gradientshapeok="t" o:connecttype="rect"/>
            </v:shapetype>
            <v:shape id="Text Box 4"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1478C9" w:rsidR="001478C9" w:rsidRDefault="001478C9" w14:paraId="74CC57DE" w14:textId="10D79712">
                    <w:pPr>
                      <w:rPr>
                        <w:rFonts w:ascii="Arial Black" w:hAnsi="Arial Black" w:eastAsia="Arial Black" w:cs="Arial Black"/>
                        <w:noProof/>
                        <w:color w:val="E4100E"/>
                        <w:sz w:val="20"/>
                      </w:rPr>
                    </w:pPr>
                    <w:r w:rsidRPr="001478C9">
                      <w:rPr>
                        <w:rFonts w:ascii="Arial Black" w:hAnsi="Arial Black" w:eastAsia="Arial Black" w:cs="Arial Black"/>
                        <w:noProof/>
                        <w:color w:val="E4100E"/>
                        <w:sz w:val="20"/>
                      </w:rPr>
                      <w:t>OFFICIAL: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9223" w14:textId="62F5BBA7" w:rsidR="001478C9" w:rsidRPr="00F65AA9" w:rsidRDefault="001478C9" w:rsidP="002B7183">
    <w:pPr>
      <w:pStyle w:val="Footer"/>
    </w:pPr>
    <w:r>
      <w:rPr>
        <w:noProof/>
        <w:lang w:eastAsia="en-AU"/>
      </w:rPr>
      <mc:AlternateContent>
        <mc:Choice Requires="wps">
          <w:drawing>
            <wp:anchor distT="0" distB="0" distL="0" distR="0" simplePos="0" relativeHeight="251658243" behindDoc="0" locked="0" layoutInCell="1" allowOverlap="1" wp14:anchorId="082CE983" wp14:editId="6039001E">
              <wp:simplePos x="542925" y="9820275"/>
              <wp:positionH relativeFrom="column">
                <wp:align>center</wp:align>
              </wp:positionH>
              <wp:positionV relativeFrom="paragraph">
                <wp:posOffset>635</wp:posOffset>
              </wp:positionV>
              <wp:extent cx="443865" cy="443865"/>
              <wp:effectExtent l="0" t="0" r="7620" b="11430"/>
              <wp:wrapSquare wrapText="bothSides"/>
              <wp:docPr id="9" name="Text Box 9"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A5FC01" w14:textId="19C18F80" w:rsidR="001478C9" w:rsidRPr="001478C9" w:rsidRDefault="001478C9">
                          <w:pPr>
                            <w:rPr>
                              <w:rFonts w:ascii="Arial Black" w:eastAsia="Arial Black" w:hAnsi="Arial Black" w:cs="Arial Black"/>
                              <w:noProof/>
                              <w:color w:val="E4100E"/>
                              <w:sz w:val="20"/>
                            </w:rPr>
                          </w:pPr>
                          <w:r w:rsidRPr="001478C9">
                            <w:rPr>
                              <w:rFonts w:ascii="Arial Black" w:eastAsia="Arial Black" w:hAnsi="Arial Black" w:cs="Arial Black"/>
                              <w:noProof/>
                              <w:color w:val="E4100E"/>
                              <w:sz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pic="http://schemas.openxmlformats.org/drawingml/2006/picture" xmlns:aclsh="http://schemas.microsoft.com/office/drawing/2020/classificationShape" xmlns:a="http://schemas.openxmlformats.org/drawingml/2006/main">
          <w:pict w14:anchorId="1036616A">
            <v:shapetype id="_x0000_t202" coordsize="21600,21600" o:spt="202" path="m,l,21600r21600,l21600,xe" w14:anchorId="082CE983">
              <v:stroke joinstyle="miter"/>
              <v:path gradientshapeok="t" o:connecttype="rect"/>
            </v:shapetype>
            <v:shape id="Text Box 9"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1478C9" w:rsidR="001478C9" w:rsidRDefault="001478C9" w14:paraId="7D3F3EE7" w14:textId="19C18F80">
                    <w:pPr>
                      <w:rPr>
                        <w:rFonts w:ascii="Arial Black" w:hAnsi="Arial Black" w:eastAsia="Arial Black" w:cs="Arial Black"/>
                        <w:noProof/>
                        <w:color w:val="E4100E"/>
                        <w:sz w:val="20"/>
                      </w:rPr>
                    </w:pPr>
                    <w:r w:rsidRPr="001478C9">
                      <w:rPr>
                        <w:rFonts w:ascii="Arial Black" w:hAnsi="Arial Black" w:eastAsia="Arial Black" w:cs="Arial Black"/>
                        <w:noProof/>
                        <w:color w:val="E4100E"/>
                        <w:sz w:val="20"/>
                      </w:rPr>
                      <w:t>OFFICIAL: Sensitive</w:t>
                    </w:r>
                  </w:p>
                </w:txbxContent>
              </v:textbox>
              <w10:wrap type="square"/>
            </v:shape>
          </w:pict>
        </mc:Fallback>
      </mc:AlternateContent>
    </w:r>
    <w:r>
      <w:rPr>
        <w:noProof/>
        <w:lang w:eastAsia="en-AU"/>
      </w:rPr>
      <w:drawing>
        <wp:anchor distT="0" distB="0" distL="114300" distR="114300" simplePos="0" relativeHeight="251658240" behindDoc="1" locked="1" layoutInCell="1" allowOverlap="1" wp14:anchorId="19C80C49" wp14:editId="2A8C051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5227" w14:textId="43AF9EE3" w:rsidR="001478C9" w:rsidRDefault="001478C9">
    <w:pPr>
      <w:pStyle w:val="Footer"/>
    </w:pPr>
    <w:r>
      <w:rPr>
        <w:noProof/>
      </w:rPr>
      <mc:AlternateContent>
        <mc:Choice Requires="wps">
          <w:drawing>
            <wp:anchor distT="0" distB="0" distL="0" distR="0" simplePos="0" relativeHeight="251658241" behindDoc="0" locked="0" layoutInCell="1" allowOverlap="1" wp14:anchorId="436F5204" wp14:editId="55FA29C3">
              <wp:simplePos x="635" y="635"/>
              <wp:positionH relativeFrom="column">
                <wp:align>center</wp:align>
              </wp:positionH>
              <wp:positionV relativeFrom="paragraph">
                <wp:posOffset>635</wp:posOffset>
              </wp:positionV>
              <wp:extent cx="443865" cy="443865"/>
              <wp:effectExtent l="0" t="0" r="7620" b="11430"/>
              <wp:wrapSquare wrapText="bothSides"/>
              <wp:docPr id="1" name="Text Box 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6761C" w14:textId="648DD63A" w:rsidR="001478C9" w:rsidRPr="001478C9" w:rsidRDefault="001478C9">
                          <w:pPr>
                            <w:rPr>
                              <w:rFonts w:ascii="Arial Black" w:eastAsia="Arial Black" w:hAnsi="Arial Black" w:cs="Arial Black"/>
                              <w:noProof/>
                              <w:color w:val="E4100E"/>
                              <w:sz w:val="20"/>
                            </w:rPr>
                          </w:pPr>
                          <w:r w:rsidRPr="001478C9">
                            <w:rPr>
                              <w:rFonts w:ascii="Arial Black" w:eastAsia="Arial Black" w:hAnsi="Arial Black" w:cs="Arial Black"/>
                              <w:noProof/>
                              <w:color w:val="E4100E"/>
                              <w:sz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79F9E983">
            <v:shapetype id="_x0000_t202" coordsize="21600,21600" o:spt="202" path="m,l,21600r21600,l21600,xe" w14:anchorId="436F5204">
              <v:stroke joinstyle="miter"/>
              <v:path gradientshapeok="t" o:connecttype="rect"/>
            </v:shapetype>
            <v:shape id="Text Box 1"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1478C9" w:rsidR="001478C9" w:rsidRDefault="001478C9" w14:paraId="2A236F6B" w14:textId="648DD63A">
                    <w:pPr>
                      <w:rPr>
                        <w:rFonts w:ascii="Arial Black" w:hAnsi="Arial Black" w:eastAsia="Arial Black" w:cs="Arial Black"/>
                        <w:noProof/>
                        <w:color w:val="E4100E"/>
                        <w:sz w:val="20"/>
                      </w:rPr>
                    </w:pPr>
                    <w:r w:rsidRPr="001478C9">
                      <w:rPr>
                        <w:rFonts w:ascii="Arial Black" w:hAnsi="Arial Black" w:eastAsia="Arial Black" w:cs="Arial Black"/>
                        <w:noProof/>
                        <w:color w:val="E4100E"/>
                        <w:sz w:val="20"/>
                      </w:rPr>
                      <w:t>OFFICIAL: 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14C8" w14:textId="08913A28" w:rsidR="001478C9" w:rsidRDefault="001478C9">
    <w:pPr>
      <w:pStyle w:val="Footer"/>
    </w:pPr>
    <w:r>
      <w:rPr>
        <w:noProof/>
      </w:rPr>
      <mc:AlternateContent>
        <mc:Choice Requires="wps">
          <w:drawing>
            <wp:anchor distT="0" distB="0" distL="0" distR="0" simplePos="0" relativeHeight="251658245" behindDoc="0" locked="0" layoutInCell="1" allowOverlap="1" wp14:anchorId="4670C7AE" wp14:editId="37B5D053">
              <wp:simplePos x="635" y="635"/>
              <wp:positionH relativeFrom="column">
                <wp:align>center</wp:align>
              </wp:positionH>
              <wp:positionV relativeFrom="paragraph">
                <wp:posOffset>635</wp:posOffset>
              </wp:positionV>
              <wp:extent cx="443865" cy="443865"/>
              <wp:effectExtent l="0" t="0" r="7620" b="11430"/>
              <wp:wrapSquare wrapText="bothSides"/>
              <wp:docPr id="11"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3F9BA" w14:textId="77501B26" w:rsidR="001478C9" w:rsidRPr="001478C9" w:rsidRDefault="001478C9">
                          <w:pPr>
                            <w:rPr>
                              <w:rFonts w:ascii="Arial Black" w:eastAsia="Arial Black" w:hAnsi="Arial Black" w:cs="Arial Black"/>
                              <w:noProof/>
                              <w:color w:val="E4100E"/>
                              <w:sz w:val="20"/>
                            </w:rPr>
                          </w:pPr>
                          <w:r w:rsidRPr="001478C9">
                            <w:rPr>
                              <w:rFonts w:ascii="Arial Black" w:eastAsia="Arial Black" w:hAnsi="Arial Black" w:cs="Arial Black"/>
                              <w:noProof/>
                              <w:color w:val="E4100E"/>
                              <w:sz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71D1A062">
            <v:shapetype id="_x0000_t202" coordsize="21600,21600" o:spt="202" path="m,l,21600r21600,l21600,xe" w14:anchorId="4670C7AE">
              <v:stroke joinstyle="miter"/>
              <v:path gradientshapeok="t" o:connecttype="rect"/>
            </v:shapetype>
            <v:shape id="Text Box 11"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1478C9" w:rsidR="001478C9" w:rsidRDefault="001478C9" w14:paraId="14FB6478" w14:textId="77501B26">
                    <w:pPr>
                      <w:rPr>
                        <w:rFonts w:ascii="Arial Black" w:hAnsi="Arial Black" w:eastAsia="Arial Black" w:cs="Arial Black"/>
                        <w:noProof/>
                        <w:color w:val="E4100E"/>
                        <w:sz w:val="20"/>
                      </w:rPr>
                    </w:pPr>
                    <w:r w:rsidRPr="001478C9">
                      <w:rPr>
                        <w:rFonts w:ascii="Arial Black" w:hAnsi="Arial Black" w:eastAsia="Arial Black" w:cs="Arial Black"/>
                        <w:noProof/>
                        <w:color w:val="E4100E"/>
                        <w:sz w:val="20"/>
                      </w:rPr>
                      <w:t>OFFICIAL: 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0C84" w14:textId="5A806E5A" w:rsidR="002B7183" w:rsidRPr="00F65AA9" w:rsidRDefault="001478C9" w:rsidP="002B7183">
    <w:pPr>
      <w:pStyle w:val="Footer"/>
    </w:pPr>
    <w:r>
      <w:rPr>
        <w:noProof/>
      </w:rPr>
      <mc:AlternateContent>
        <mc:Choice Requires="wps">
          <w:drawing>
            <wp:anchor distT="0" distB="0" distL="0" distR="0" simplePos="0" relativeHeight="251658246" behindDoc="0" locked="0" layoutInCell="1" allowOverlap="1" wp14:anchorId="0C165D19" wp14:editId="341A9063">
              <wp:simplePos x="635" y="635"/>
              <wp:positionH relativeFrom="column">
                <wp:align>center</wp:align>
              </wp:positionH>
              <wp:positionV relativeFrom="paragraph">
                <wp:posOffset>635</wp:posOffset>
              </wp:positionV>
              <wp:extent cx="443865" cy="443865"/>
              <wp:effectExtent l="0" t="0" r="7620" b="11430"/>
              <wp:wrapSquare wrapText="bothSides"/>
              <wp:docPr id="12" name="Text Box 1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3FF16" w14:textId="5DCDD618" w:rsidR="001478C9" w:rsidRPr="001478C9" w:rsidRDefault="001478C9">
                          <w:pPr>
                            <w:rPr>
                              <w:rFonts w:ascii="Arial Black" w:eastAsia="Arial Black" w:hAnsi="Arial Black" w:cs="Arial Black"/>
                              <w:noProof/>
                              <w:color w:val="E4100E"/>
                              <w:sz w:val="20"/>
                            </w:rPr>
                          </w:pPr>
                          <w:r w:rsidRPr="001478C9">
                            <w:rPr>
                              <w:rFonts w:ascii="Arial Black" w:eastAsia="Arial Black" w:hAnsi="Arial Black" w:cs="Arial Black"/>
                              <w:noProof/>
                              <w:color w:val="E4100E"/>
                              <w:sz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B4C712B">
            <v:shapetype id="_x0000_t202" coordsize="21600,21600" o:spt="202" path="m,l,21600r21600,l21600,xe" w14:anchorId="0C165D19">
              <v:stroke joinstyle="miter"/>
              <v:path gradientshapeok="t" o:connecttype="rect"/>
            </v:shapetype>
            <v:shape id="Text Box 12"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1478C9" w:rsidR="001478C9" w:rsidRDefault="001478C9" w14:paraId="4AB80159" w14:textId="5DCDD618">
                    <w:pPr>
                      <w:rPr>
                        <w:rFonts w:ascii="Arial Black" w:hAnsi="Arial Black" w:eastAsia="Arial Black" w:cs="Arial Black"/>
                        <w:noProof/>
                        <w:color w:val="E4100E"/>
                        <w:sz w:val="20"/>
                      </w:rPr>
                    </w:pPr>
                    <w:r w:rsidRPr="001478C9">
                      <w:rPr>
                        <w:rFonts w:ascii="Arial Black" w:hAnsi="Arial Black" w:eastAsia="Arial Black" w:cs="Arial Black"/>
                        <w:noProof/>
                        <w:color w:val="E4100E"/>
                        <w:sz w:val="20"/>
                      </w:rPr>
                      <w:t>OFFICIAL: Sensitive</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503C" w14:textId="4CCE746F" w:rsidR="001478C9" w:rsidRDefault="001478C9">
    <w:pPr>
      <w:pStyle w:val="Footer"/>
    </w:pPr>
    <w:r>
      <w:rPr>
        <w:noProof/>
      </w:rPr>
      <mc:AlternateContent>
        <mc:Choice Requires="wps">
          <w:drawing>
            <wp:anchor distT="0" distB="0" distL="0" distR="0" simplePos="0" relativeHeight="251658244" behindDoc="0" locked="0" layoutInCell="1" allowOverlap="1" wp14:anchorId="2755ACD4" wp14:editId="1DFB4950">
              <wp:simplePos x="635" y="635"/>
              <wp:positionH relativeFrom="column">
                <wp:align>center</wp:align>
              </wp:positionH>
              <wp:positionV relativeFrom="paragraph">
                <wp:posOffset>635</wp:posOffset>
              </wp:positionV>
              <wp:extent cx="443865" cy="443865"/>
              <wp:effectExtent l="0" t="0" r="7620" b="11430"/>
              <wp:wrapSquare wrapText="bothSides"/>
              <wp:docPr id="10"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03760" w14:textId="27F91EB1" w:rsidR="001478C9" w:rsidRPr="001478C9" w:rsidRDefault="001478C9">
                          <w:pPr>
                            <w:rPr>
                              <w:rFonts w:ascii="Arial Black" w:eastAsia="Arial Black" w:hAnsi="Arial Black" w:cs="Arial Black"/>
                              <w:noProof/>
                              <w:color w:val="E4100E"/>
                              <w:sz w:val="20"/>
                            </w:rPr>
                          </w:pPr>
                          <w:r w:rsidRPr="001478C9">
                            <w:rPr>
                              <w:rFonts w:ascii="Arial Black" w:eastAsia="Arial Black" w:hAnsi="Arial Black" w:cs="Arial Black"/>
                              <w:noProof/>
                              <w:color w:val="E4100E"/>
                              <w:sz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8847737">
            <v:shapetype id="_x0000_t202" coordsize="21600,21600" o:spt="202" path="m,l,21600r21600,l21600,xe" w14:anchorId="2755ACD4">
              <v:stroke joinstyle="miter"/>
              <v:path gradientshapeok="t" o:connecttype="rect"/>
            </v:shapetype>
            <v:shape id="Text Box 10"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1478C9" w:rsidR="001478C9" w:rsidRDefault="001478C9" w14:paraId="19983DBB" w14:textId="27F91EB1">
                    <w:pPr>
                      <w:rPr>
                        <w:rFonts w:ascii="Arial Black" w:hAnsi="Arial Black" w:eastAsia="Arial Black" w:cs="Arial Black"/>
                        <w:noProof/>
                        <w:color w:val="E4100E"/>
                        <w:sz w:val="20"/>
                      </w:rPr>
                    </w:pPr>
                    <w:r w:rsidRPr="001478C9">
                      <w:rPr>
                        <w:rFonts w:ascii="Arial Black" w:hAnsi="Arial Black" w:eastAsia="Arial Black" w:cs="Arial Black"/>
                        <w:noProof/>
                        <w:color w:val="E4100E"/>
                        <w:sz w:val="20"/>
                      </w:rPr>
                      <w:t>OFFICIAL: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399F" w14:textId="77777777" w:rsidR="00156577" w:rsidRDefault="00156577" w:rsidP="001478C9">
      <w:pPr>
        <w:spacing w:after="0" w:line="240" w:lineRule="auto"/>
      </w:pPr>
      <w:r>
        <w:separator/>
      </w:r>
    </w:p>
  </w:footnote>
  <w:footnote w:type="continuationSeparator" w:id="0">
    <w:p w14:paraId="098CC2FC" w14:textId="77777777" w:rsidR="00156577" w:rsidRDefault="00156577" w:rsidP="001478C9">
      <w:pPr>
        <w:spacing w:after="0" w:line="240" w:lineRule="auto"/>
      </w:pPr>
      <w:r>
        <w:continuationSeparator/>
      </w:r>
    </w:p>
  </w:footnote>
  <w:footnote w:type="continuationNotice" w:id="1">
    <w:p w14:paraId="21895357" w14:textId="77777777" w:rsidR="00156577" w:rsidRDefault="00156577">
      <w:pPr>
        <w:spacing w:after="0" w:line="240" w:lineRule="auto"/>
      </w:pPr>
    </w:p>
  </w:footnote>
  <w:footnote w:id="2">
    <w:p w14:paraId="432EF26C" w14:textId="38E8D139" w:rsidR="00AE541B" w:rsidRPr="00AE541B" w:rsidRDefault="00AE541B" w:rsidP="00AE541B">
      <w:pPr>
        <w:rPr>
          <w:rFonts w:eastAsia="Arial" w:cs="Arial"/>
          <w:color w:val="000000" w:themeColor="text1"/>
          <w:sz w:val="18"/>
          <w:szCs w:val="18"/>
        </w:rPr>
      </w:pPr>
      <w:r>
        <w:rPr>
          <w:rStyle w:val="FootnoteReference"/>
        </w:rPr>
        <w:footnoteRef/>
      </w:r>
      <w:r>
        <w:t xml:space="preserve"> </w:t>
      </w:r>
      <w:hyperlink r:id="rId1">
        <w:r w:rsidRPr="4F4D4F19">
          <w:rPr>
            <w:rStyle w:val="Hyperlink"/>
            <w:rFonts w:eastAsia="Arial" w:cs="Arial"/>
            <w:sz w:val="18"/>
            <w:szCs w:val="18"/>
          </w:rPr>
          <w:t>Monkeypox (MPX) | Australian Government Department of Health and Aged Care</w:t>
        </w:r>
      </w:hyperlink>
    </w:p>
  </w:footnote>
  <w:footnote w:id="3">
    <w:p w14:paraId="077FDEE2" w14:textId="429E84D0" w:rsidR="004474EC" w:rsidRDefault="004474EC">
      <w:pPr>
        <w:pStyle w:val="FootnoteText"/>
      </w:pPr>
      <w:r>
        <w:rPr>
          <w:rStyle w:val="FootnoteReference"/>
        </w:rPr>
        <w:footnoteRef/>
      </w:r>
      <w:r>
        <w:t xml:space="preserve"> </w:t>
      </w:r>
      <w:hyperlink r:id="rId2">
        <w:r w:rsidR="001A243C" w:rsidRPr="001A243C">
          <w:rPr>
            <w:rStyle w:val="Hyperlink"/>
            <w:rFonts w:eastAsia="Arial"/>
            <w:szCs w:val="18"/>
          </w:rPr>
          <w:t>https://www.health.vic.gov.au/infectious-diseases/monkeypox</w:t>
        </w:r>
      </w:hyperlink>
      <w:r w:rsidR="001A243C">
        <w:rPr>
          <w:rStyle w:val="normaltextrun"/>
          <w:color w:val="000000"/>
          <w:sz w:val="21"/>
          <w:shd w:val="clear" w:color="auto" w:fill="FFFFFF"/>
        </w:rPr>
        <w:t xml:space="preserve"> </w:t>
      </w:r>
    </w:p>
  </w:footnote>
  <w:footnote w:id="4">
    <w:p w14:paraId="5E096EA3" w14:textId="77777777" w:rsidR="006669C8" w:rsidRDefault="006669C8" w:rsidP="006669C8">
      <w:pPr>
        <w:pStyle w:val="FootnoteText"/>
      </w:pPr>
      <w:r>
        <w:rPr>
          <w:rStyle w:val="FootnoteReference"/>
        </w:rPr>
        <w:footnoteRef/>
      </w:r>
      <w:r>
        <w:t xml:space="preserve"> Victorian monkeypox vaccination program guidelines, available at </w:t>
      </w:r>
      <w:hyperlink r:id="rId3" w:history="1">
        <w:r w:rsidRPr="00F85D45">
          <w:rPr>
            <w:rStyle w:val="Hyperlink"/>
          </w:rPr>
          <w:t>https://www.health.vic.gov.au/infectious-diseases/monkeypox</w:t>
        </w:r>
      </w:hyperlink>
      <w:r w:rsidRPr="00F85D45">
        <w:t>.</w:t>
      </w:r>
    </w:p>
  </w:footnote>
  <w:footnote w:id="5">
    <w:p w14:paraId="7E43DABB" w14:textId="77777777" w:rsidR="00540C60" w:rsidRPr="00B4201A" w:rsidRDefault="00540C60" w:rsidP="00540C60">
      <w:pPr>
        <w:pStyle w:val="FootnoteText"/>
      </w:pPr>
      <w:r>
        <w:rPr>
          <w:rStyle w:val="FootnoteReference"/>
        </w:rPr>
        <w:footnoteRef/>
      </w:r>
      <w:r>
        <w:t xml:space="preserve"> </w:t>
      </w:r>
      <w:r w:rsidRPr="00A3601A">
        <w:t xml:space="preserve">Available from: </w:t>
      </w:r>
      <w:hyperlink r:id="rId4" w:history="1">
        <w:r w:rsidRPr="00A3601A">
          <w:rPr>
            <w:rStyle w:val="Hyperlink"/>
          </w:rPr>
          <w:t>https://www.health.vic.gov.au/infectious-diseases/monkeypox</w:t>
        </w:r>
      </w:hyperlink>
      <w:r>
        <w:t xml:space="preserve"> </w:t>
      </w:r>
    </w:p>
  </w:footnote>
  <w:footnote w:id="6">
    <w:p w14:paraId="0C37E395" w14:textId="77777777" w:rsidR="001478C9" w:rsidRDefault="001478C9" w:rsidP="001478C9">
      <w:pPr>
        <w:pStyle w:val="FootnoteText"/>
      </w:pPr>
      <w:r>
        <w:rPr>
          <w:rStyle w:val="FootnoteReference"/>
        </w:rPr>
        <w:footnoteRef/>
      </w:r>
      <w:r>
        <w:t xml:space="preserve"> Available at: </w:t>
      </w:r>
      <w:hyperlink r:id="rId5" w:history="1">
        <w:r w:rsidRPr="00975AB2">
          <w:rPr>
            <w:rStyle w:val="Hyperlink"/>
          </w:rPr>
          <w:t>https://immunisationhandbook.health.gov.au/vaccination-procedures/preparing-for-vaccination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349D" w14:textId="77777777" w:rsidR="001478C9" w:rsidRDefault="00147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D7E" w14:textId="77777777" w:rsidR="001478C9" w:rsidRDefault="001478C9" w:rsidP="002B7183">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0D87" w14:textId="77777777" w:rsidR="001478C9" w:rsidRDefault="00147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C9"/>
    <w:rsid w:val="0002161B"/>
    <w:rsid w:val="00064DE7"/>
    <w:rsid w:val="00086E14"/>
    <w:rsid w:val="00092E58"/>
    <w:rsid w:val="000D6E14"/>
    <w:rsid w:val="00121972"/>
    <w:rsid w:val="001478C9"/>
    <w:rsid w:val="00156577"/>
    <w:rsid w:val="0019167F"/>
    <w:rsid w:val="001A02D9"/>
    <w:rsid w:val="001A243C"/>
    <w:rsid w:val="001A277A"/>
    <w:rsid w:val="001B5DCA"/>
    <w:rsid w:val="001D2CFA"/>
    <w:rsid w:val="001E78F6"/>
    <w:rsid w:val="001F5FBD"/>
    <w:rsid w:val="001F7204"/>
    <w:rsid w:val="002847AC"/>
    <w:rsid w:val="00292552"/>
    <w:rsid w:val="002A25AB"/>
    <w:rsid w:val="002A7310"/>
    <w:rsid w:val="002B7183"/>
    <w:rsid w:val="002F5B1E"/>
    <w:rsid w:val="002F5DF0"/>
    <w:rsid w:val="00335D42"/>
    <w:rsid w:val="00351BD2"/>
    <w:rsid w:val="003634E0"/>
    <w:rsid w:val="003852AC"/>
    <w:rsid w:val="00394712"/>
    <w:rsid w:val="00395588"/>
    <w:rsid w:val="003B3A07"/>
    <w:rsid w:val="003D20DD"/>
    <w:rsid w:val="004029B6"/>
    <w:rsid w:val="004142CB"/>
    <w:rsid w:val="00424117"/>
    <w:rsid w:val="0042660A"/>
    <w:rsid w:val="00437CA3"/>
    <w:rsid w:val="004408DB"/>
    <w:rsid w:val="004423EE"/>
    <w:rsid w:val="004474EC"/>
    <w:rsid w:val="00471AB8"/>
    <w:rsid w:val="004B5AEB"/>
    <w:rsid w:val="004C4380"/>
    <w:rsid w:val="004F5493"/>
    <w:rsid w:val="00524030"/>
    <w:rsid w:val="005351AD"/>
    <w:rsid w:val="00540C60"/>
    <w:rsid w:val="00551748"/>
    <w:rsid w:val="00554EC9"/>
    <w:rsid w:val="00575C0A"/>
    <w:rsid w:val="005A0FB8"/>
    <w:rsid w:val="005E028F"/>
    <w:rsid w:val="00644D9B"/>
    <w:rsid w:val="006669C8"/>
    <w:rsid w:val="00673080"/>
    <w:rsid w:val="00680D7A"/>
    <w:rsid w:val="006A3C9C"/>
    <w:rsid w:val="006B4763"/>
    <w:rsid w:val="006E4722"/>
    <w:rsid w:val="00711236"/>
    <w:rsid w:val="007261D9"/>
    <w:rsid w:val="00745491"/>
    <w:rsid w:val="007A3704"/>
    <w:rsid w:val="007B43CB"/>
    <w:rsid w:val="007C37BB"/>
    <w:rsid w:val="007C7943"/>
    <w:rsid w:val="008020A8"/>
    <w:rsid w:val="00816338"/>
    <w:rsid w:val="008242E0"/>
    <w:rsid w:val="008635AB"/>
    <w:rsid w:val="00863F79"/>
    <w:rsid w:val="00870D68"/>
    <w:rsid w:val="0088229C"/>
    <w:rsid w:val="008A3F4C"/>
    <w:rsid w:val="008E6B39"/>
    <w:rsid w:val="00907169"/>
    <w:rsid w:val="00920363"/>
    <w:rsid w:val="00934E4D"/>
    <w:rsid w:val="00983157"/>
    <w:rsid w:val="009B0D24"/>
    <w:rsid w:val="009F7823"/>
    <w:rsid w:val="00A44560"/>
    <w:rsid w:val="00A458DF"/>
    <w:rsid w:val="00A7604A"/>
    <w:rsid w:val="00AA089F"/>
    <w:rsid w:val="00AA53CD"/>
    <w:rsid w:val="00AB6F6B"/>
    <w:rsid w:val="00AC0F34"/>
    <w:rsid w:val="00AE541B"/>
    <w:rsid w:val="00B3022D"/>
    <w:rsid w:val="00B466A9"/>
    <w:rsid w:val="00B5568D"/>
    <w:rsid w:val="00B81ED3"/>
    <w:rsid w:val="00BA104B"/>
    <w:rsid w:val="00C029EA"/>
    <w:rsid w:val="00C22967"/>
    <w:rsid w:val="00C66251"/>
    <w:rsid w:val="00C8471E"/>
    <w:rsid w:val="00C94AF5"/>
    <w:rsid w:val="00CB3C0F"/>
    <w:rsid w:val="00DD2DE3"/>
    <w:rsid w:val="00DD6722"/>
    <w:rsid w:val="00DE0F5C"/>
    <w:rsid w:val="00DE1A21"/>
    <w:rsid w:val="00DE56C0"/>
    <w:rsid w:val="00DE7E4A"/>
    <w:rsid w:val="00DF691C"/>
    <w:rsid w:val="00E32E5E"/>
    <w:rsid w:val="00E77087"/>
    <w:rsid w:val="00EB78FD"/>
    <w:rsid w:val="00EC547C"/>
    <w:rsid w:val="00ED0ADD"/>
    <w:rsid w:val="00F46614"/>
    <w:rsid w:val="00F517E9"/>
    <w:rsid w:val="00F65E69"/>
    <w:rsid w:val="00F94FF2"/>
    <w:rsid w:val="00FB2824"/>
    <w:rsid w:val="00FF1E25"/>
    <w:rsid w:val="00FF72A4"/>
    <w:rsid w:val="03B49A4C"/>
    <w:rsid w:val="059677FD"/>
    <w:rsid w:val="05DB6EEC"/>
    <w:rsid w:val="06EF020B"/>
    <w:rsid w:val="07E1FCD7"/>
    <w:rsid w:val="0873B914"/>
    <w:rsid w:val="09728528"/>
    <w:rsid w:val="0B7DC4DC"/>
    <w:rsid w:val="0B8B003E"/>
    <w:rsid w:val="0C1F24B1"/>
    <w:rsid w:val="0C812F0F"/>
    <w:rsid w:val="0CEB1E6C"/>
    <w:rsid w:val="0D6B552D"/>
    <w:rsid w:val="0D6C9FD5"/>
    <w:rsid w:val="10B92476"/>
    <w:rsid w:val="11C2441A"/>
    <w:rsid w:val="124FEEC7"/>
    <w:rsid w:val="126553C5"/>
    <w:rsid w:val="15BC1131"/>
    <w:rsid w:val="15DFF934"/>
    <w:rsid w:val="16B92F21"/>
    <w:rsid w:val="18085F1F"/>
    <w:rsid w:val="18AE238C"/>
    <w:rsid w:val="19C9872C"/>
    <w:rsid w:val="1AE1C2A3"/>
    <w:rsid w:val="1BA035E7"/>
    <w:rsid w:val="2313C02A"/>
    <w:rsid w:val="245820E8"/>
    <w:rsid w:val="278E5658"/>
    <w:rsid w:val="28E88E04"/>
    <w:rsid w:val="2A30844A"/>
    <w:rsid w:val="2A562B9F"/>
    <w:rsid w:val="2A982FDB"/>
    <w:rsid w:val="2DABFCBF"/>
    <w:rsid w:val="2EDAC0BD"/>
    <w:rsid w:val="2FED26C3"/>
    <w:rsid w:val="30D2DE95"/>
    <w:rsid w:val="311DC24A"/>
    <w:rsid w:val="31D6F153"/>
    <w:rsid w:val="355DA199"/>
    <w:rsid w:val="358A9F1B"/>
    <w:rsid w:val="361C14DD"/>
    <w:rsid w:val="365DE3A3"/>
    <w:rsid w:val="37614DD6"/>
    <w:rsid w:val="3792B95F"/>
    <w:rsid w:val="384A23E6"/>
    <w:rsid w:val="390E2738"/>
    <w:rsid w:val="3BABB5AC"/>
    <w:rsid w:val="3D79A965"/>
    <w:rsid w:val="3F285322"/>
    <w:rsid w:val="3FE826D6"/>
    <w:rsid w:val="400DAF8E"/>
    <w:rsid w:val="403A086F"/>
    <w:rsid w:val="42FFC1E9"/>
    <w:rsid w:val="446F170F"/>
    <w:rsid w:val="4944D862"/>
    <w:rsid w:val="49514A98"/>
    <w:rsid w:val="4AA8EC3F"/>
    <w:rsid w:val="4F4D4F19"/>
    <w:rsid w:val="5029CEB3"/>
    <w:rsid w:val="51A20887"/>
    <w:rsid w:val="51A853D6"/>
    <w:rsid w:val="51C0FE29"/>
    <w:rsid w:val="53255B1D"/>
    <w:rsid w:val="539FDE18"/>
    <w:rsid w:val="56176D78"/>
    <w:rsid w:val="574762CB"/>
    <w:rsid w:val="58114A0B"/>
    <w:rsid w:val="5B147BBD"/>
    <w:rsid w:val="5B306397"/>
    <w:rsid w:val="5B403B80"/>
    <w:rsid w:val="5C13D069"/>
    <w:rsid w:val="5D23F4CF"/>
    <w:rsid w:val="5DCE8E1B"/>
    <w:rsid w:val="5ECBDC48"/>
    <w:rsid w:val="60D755CB"/>
    <w:rsid w:val="6185EEB1"/>
    <w:rsid w:val="61EFDE0E"/>
    <w:rsid w:val="624461F5"/>
    <w:rsid w:val="63001D0B"/>
    <w:rsid w:val="64DCAC1D"/>
    <w:rsid w:val="65BB7607"/>
    <w:rsid w:val="65DB7831"/>
    <w:rsid w:val="672BB0FE"/>
    <w:rsid w:val="69A28A27"/>
    <w:rsid w:val="69ED8C4B"/>
    <w:rsid w:val="6BC43B06"/>
    <w:rsid w:val="6CA97EA7"/>
    <w:rsid w:val="6CD8D118"/>
    <w:rsid w:val="70902445"/>
    <w:rsid w:val="716D654E"/>
    <w:rsid w:val="71AB87E5"/>
    <w:rsid w:val="71D88567"/>
    <w:rsid w:val="7269FB29"/>
    <w:rsid w:val="72D6DD32"/>
    <w:rsid w:val="7358E5A5"/>
    <w:rsid w:val="749D9A40"/>
    <w:rsid w:val="76F3CBAB"/>
    <w:rsid w:val="784E1FDF"/>
    <w:rsid w:val="7A54F445"/>
    <w:rsid w:val="7B4ACF2D"/>
    <w:rsid w:val="7B5AC6EF"/>
    <w:rsid w:val="7C2ECB29"/>
    <w:rsid w:val="7E1D7351"/>
    <w:rsid w:val="7E925187"/>
    <w:rsid w:val="7EF3E002"/>
    <w:rsid w:val="7EF57F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6BD0"/>
  <w15:chartTrackingRefBased/>
  <w15:docId w15:val="{43EC8097-BEA3-48AE-94B4-1EFDD27F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478C9"/>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1478C9"/>
    <w:pPr>
      <w:keepNext/>
      <w:keepLines/>
      <w:spacing w:before="320" w:after="200" w:line="440" w:lineRule="atLeast"/>
      <w:outlineLvl w:val="0"/>
    </w:pPr>
    <w:rPr>
      <w:rFonts w:ascii="Arial" w:eastAsia="MS Gothic" w:hAnsi="Arial" w:cs="Arial"/>
      <w:bCs/>
      <w:color w:val="C5511A"/>
      <w:kern w:val="32"/>
      <w:sz w:val="40"/>
      <w:szCs w:val="40"/>
    </w:rPr>
  </w:style>
  <w:style w:type="paragraph" w:styleId="Heading3">
    <w:name w:val="heading 3"/>
    <w:next w:val="Body"/>
    <w:link w:val="Heading3Char"/>
    <w:uiPriority w:val="1"/>
    <w:qFormat/>
    <w:rsid w:val="001478C9"/>
    <w:pPr>
      <w:keepNext/>
      <w:keepLines/>
      <w:spacing w:before="280" w:after="120" w:line="310" w:lineRule="atLeast"/>
      <w:outlineLvl w:val="2"/>
    </w:pPr>
    <w:rPr>
      <w:rFonts w:ascii="Arial" w:eastAsia="MS Gothic" w:hAnsi="Arial" w:cs="Times New Roman"/>
      <w:bCs/>
      <w:color w:val="53565A"/>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78C9"/>
    <w:rPr>
      <w:rFonts w:ascii="Arial" w:eastAsia="MS Gothic" w:hAnsi="Arial" w:cs="Arial"/>
      <w:bCs/>
      <w:color w:val="C5511A"/>
      <w:kern w:val="32"/>
      <w:sz w:val="40"/>
      <w:szCs w:val="40"/>
    </w:rPr>
  </w:style>
  <w:style w:type="character" w:customStyle="1" w:styleId="Heading3Char">
    <w:name w:val="Heading 3 Char"/>
    <w:basedOn w:val="DefaultParagraphFont"/>
    <w:link w:val="Heading3"/>
    <w:uiPriority w:val="1"/>
    <w:rsid w:val="001478C9"/>
    <w:rPr>
      <w:rFonts w:ascii="Arial" w:eastAsia="MS Gothic" w:hAnsi="Arial" w:cs="Times New Roman"/>
      <w:bCs/>
      <w:color w:val="53565A"/>
      <w:sz w:val="27"/>
      <w:szCs w:val="26"/>
    </w:rPr>
  </w:style>
  <w:style w:type="paragraph" w:customStyle="1" w:styleId="Body">
    <w:name w:val="Body"/>
    <w:link w:val="BodyChar"/>
    <w:qFormat/>
    <w:rsid w:val="001478C9"/>
    <w:pPr>
      <w:spacing w:after="120" w:line="280" w:lineRule="atLeast"/>
    </w:pPr>
    <w:rPr>
      <w:rFonts w:ascii="Arial" w:eastAsia="Times" w:hAnsi="Arial" w:cs="Times New Roman"/>
      <w:sz w:val="21"/>
      <w:szCs w:val="20"/>
    </w:rPr>
  </w:style>
  <w:style w:type="paragraph" w:styleId="Header">
    <w:name w:val="header"/>
    <w:basedOn w:val="Normal"/>
    <w:link w:val="HeaderChar"/>
    <w:uiPriority w:val="10"/>
    <w:rsid w:val="001478C9"/>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1478C9"/>
    <w:rPr>
      <w:rFonts w:ascii="Arial" w:eastAsia="Times New Roman" w:hAnsi="Arial" w:cs="Arial"/>
      <w:b/>
      <w:color w:val="53565A"/>
      <w:sz w:val="18"/>
      <w:szCs w:val="18"/>
    </w:rPr>
  </w:style>
  <w:style w:type="paragraph" w:styleId="Footer">
    <w:name w:val="footer"/>
    <w:link w:val="FooterChar"/>
    <w:uiPriority w:val="8"/>
    <w:rsid w:val="001478C9"/>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1478C9"/>
    <w:rPr>
      <w:rFonts w:ascii="Arial" w:eastAsia="Times New Roman" w:hAnsi="Arial" w:cs="Arial"/>
      <w:sz w:val="20"/>
      <w:szCs w:val="18"/>
    </w:rPr>
  </w:style>
  <w:style w:type="table" w:styleId="TableGrid">
    <w:name w:val="Table Grid"/>
    <w:basedOn w:val="TableNormal"/>
    <w:rsid w:val="001478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firstpage">
    <w:name w:val="Section break first page"/>
    <w:basedOn w:val="Normal"/>
    <w:uiPriority w:val="5"/>
    <w:rsid w:val="001478C9"/>
    <w:pPr>
      <w:spacing w:after="0" w:line="240" w:lineRule="auto"/>
    </w:pPr>
    <w:rPr>
      <w:rFonts w:eastAsia="Times"/>
      <w:noProof/>
      <w:sz w:val="12"/>
    </w:rPr>
  </w:style>
  <w:style w:type="paragraph" w:customStyle="1" w:styleId="Documenttitle">
    <w:name w:val="Document title"/>
    <w:uiPriority w:val="8"/>
    <w:rsid w:val="001478C9"/>
    <w:pPr>
      <w:spacing w:after="240" w:line="560" w:lineRule="atLeast"/>
    </w:pPr>
    <w:rPr>
      <w:rFonts w:ascii="Arial" w:eastAsia="Times New Roman" w:hAnsi="Arial" w:cs="Times New Roman"/>
      <w:b/>
      <w:color w:val="C5511A"/>
      <w:sz w:val="48"/>
      <w:szCs w:val="50"/>
    </w:rPr>
  </w:style>
  <w:style w:type="character" w:styleId="FootnoteReference">
    <w:name w:val="footnote reference"/>
    <w:uiPriority w:val="99"/>
    <w:rsid w:val="001478C9"/>
    <w:rPr>
      <w:vertAlign w:val="superscript"/>
    </w:rPr>
  </w:style>
  <w:style w:type="paragraph" w:customStyle="1" w:styleId="Accessibilitypara">
    <w:name w:val="Accessibility para"/>
    <w:uiPriority w:val="8"/>
    <w:rsid w:val="001478C9"/>
    <w:pPr>
      <w:spacing w:before="240" w:after="200" w:line="300" w:lineRule="atLeast"/>
    </w:pPr>
    <w:rPr>
      <w:rFonts w:ascii="Arial" w:eastAsia="Times" w:hAnsi="Arial" w:cs="Times New Roman"/>
      <w:sz w:val="24"/>
      <w:szCs w:val="19"/>
    </w:rPr>
  </w:style>
  <w:style w:type="character" w:styleId="Hyperlink">
    <w:name w:val="Hyperlink"/>
    <w:uiPriority w:val="99"/>
    <w:rsid w:val="001478C9"/>
    <w:rPr>
      <w:color w:val="004C97"/>
      <w:u w:val="dotted"/>
    </w:rPr>
  </w:style>
  <w:style w:type="paragraph" w:customStyle="1" w:styleId="Documentsubtitle">
    <w:name w:val="Document subtitle"/>
    <w:uiPriority w:val="8"/>
    <w:rsid w:val="001478C9"/>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1478C9"/>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1478C9"/>
    <w:rPr>
      <w:rFonts w:ascii="Arial" w:eastAsia="MS Gothic" w:hAnsi="Arial" w:cs="Arial"/>
      <w:sz w:val="18"/>
      <w:szCs w:val="16"/>
    </w:rPr>
  </w:style>
  <w:style w:type="character" w:customStyle="1" w:styleId="BodyChar">
    <w:name w:val="Body Char"/>
    <w:basedOn w:val="DefaultParagraphFont"/>
    <w:link w:val="Body"/>
    <w:rsid w:val="001478C9"/>
    <w:rPr>
      <w:rFonts w:ascii="Arial" w:eastAsia="Times" w:hAnsi="Arial" w:cs="Times New Roman"/>
      <w:sz w:val="21"/>
      <w:szCs w:val="20"/>
    </w:rPr>
  </w:style>
  <w:style w:type="paragraph" w:customStyle="1" w:styleId="Bannermarking">
    <w:name w:val="Banner marking"/>
    <w:basedOn w:val="Body"/>
    <w:uiPriority w:val="11"/>
    <w:rsid w:val="001478C9"/>
    <w:pPr>
      <w:spacing w:after="0"/>
    </w:pPr>
    <w:rPr>
      <w:b/>
      <w:bCs/>
      <w:color w:val="000000" w:themeColor="text1"/>
    </w:rPr>
  </w:style>
  <w:style w:type="paragraph" w:customStyle="1" w:styleId="Imprint">
    <w:name w:val="Imprint"/>
    <w:basedOn w:val="Body"/>
    <w:uiPriority w:val="11"/>
    <w:rsid w:val="001478C9"/>
    <w:pPr>
      <w:spacing w:after="60" w:line="270" w:lineRule="atLeast"/>
    </w:pPr>
    <w:rPr>
      <w:color w:val="000000" w:themeColor="text1"/>
      <w:sz w:val="20"/>
    </w:rPr>
  </w:style>
  <w:style w:type="character" w:customStyle="1" w:styleId="normaltextrun">
    <w:name w:val="normaltextrun"/>
    <w:basedOn w:val="DefaultParagraphFont"/>
    <w:rsid w:val="001478C9"/>
  </w:style>
  <w:style w:type="paragraph" w:customStyle="1" w:styleId="DHHSbody">
    <w:name w:val="DHHS body"/>
    <w:link w:val="DHHSbodyChar"/>
    <w:qFormat/>
    <w:rsid w:val="001478C9"/>
    <w:pPr>
      <w:spacing w:after="120" w:line="270" w:lineRule="atLeast"/>
    </w:pPr>
    <w:rPr>
      <w:rFonts w:ascii="Arial" w:eastAsia="Times" w:hAnsi="Arial" w:cs="Times New Roman"/>
      <w:sz w:val="20"/>
      <w:szCs w:val="20"/>
    </w:rPr>
  </w:style>
  <w:style w:type="character" w:customStyle="1" w:styleId="DHHSbodyChar">
    <w:name w:val="DHHS body Char"/>
    <w:link w:val="DHHSbody"/>
    <w:rsid w:val="001478C9"/>
    <w:rPr>
      <w:rFonts w:ascii="Arial" w:eastAsia="Times" w:hAnsi="Arial" w:cs="Times New Roman"/>
      <w:sz w:val="20"/>
      <w:szCs w:val="20"/>
    </w:rPr>
  </w:style>
  <w:style w:type="paragraph" w:customStyle="1" w:styleId="DHHSaccessibilitypara">
    <w:name w:val="DHHS accessibility para"/>
    <w:uiPriority w:val="8"/>
    <w:rsid w:val="001478C9"/>
    <w:pPr>
      <w:spacing w:after="200" w:line="300" w:lineRule="atLeast"/>
    </w:pPr>
    <w:rPr>
      <w:rFonts w:ascii="Arial" w:eastAsia="Times" w:hAnsi="Arial" w:cs="Times New Roman"/>
      <w:sz w:val="24"/>
      <w:szCs w:val="19"/>
    </w:rPr>
  </w:style>
  <w:style w:type="paragraph" w:styleId="CommentText">
    <w:name w:val="annotation text"/>
    <w:basedOn w:val="Normal"/>
    <w:link w:val="CommentTextChar"/>
    <w:uiPriority w:val="99"/>
    <w:semiHidden/>
    <w:unhideWhenUsed/>
    <w:rsid w:val="00AA089F"/>
    <w:pPr>
      <w:spacing w:line="240" w:lineRule="auto"/>
    </w:pPr>
    <w:rPr>
      <w:sz w:val="20"/>
    </w:rPr>
  </w:style>
  <w:style w:type="character" w:customStyle="1" w:styleId="CommentTextChar">
    <w:name w:val="Comment Text Char"/>
    <w:basedOn w:val="DefaultParagraphFont"/>
    <w:link w:val="CommentText"/>
    <w:uiPriority w:val="99"/>
    <w:semiHidden/>
    <w:rsid w:val="00AA089F"/>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AA089F"/>
    <w:rPr>
      <w:sz w:val="16"/>
      <w:szCs w:val="16"/>
    </w:rPr>
  </w:style>
  <w:style w:type="character" w:customStyle="1" w:styleId="eop">
    <w:name w:val="eop"/>
    <w:basedOn w:val="DefaultParagraphFont"/>
    <w:rsid w:val="00AA089F"/>
  </w:style>
  <w:style w:type="character" w:styleId="UnresolvedMention">
    <w:name w:val="Unresolved Mention"/>
    <w:basedOn w:val="DefaultParagraphFont"/>
    <w:uiPriority w:val="99"/>
    <w:semiHidden/>
    <w:unhideWhenUsed/>
    <w:rsid w:val="00F46614"/>
    <w:rPr>
      <w:color w:val="605E5C"/>
      <w:shd w:val="clear" w:color="auto" w:fill="E1DFDD"/>
    </w:rPr>
  </w:style>
  <w:style w:type="paragraph" w:customStyle="1" w:styleId="paragraph">
    <w:name w:val="paragraph"/>
    <w:basedOn w:val="Normal"/>
    <w:rsid w:val="004B5AEB"/>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ealth.vic.gov.au/infectious-diseases/monkeypo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vic.gov.au/immunisation/programs-of-study"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gazette.vic.gov.au/gazette/Gazettes2022/GG2022S518.pdf" TargetMode="External"/><Relationship Id="rId25" Type="http://schemas.openxmlformats.org/officeDocument/2006/relationships/hyperlink" Target="https://www.health.vic.gov.au/immunisation/nurse-immunise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immunisation/nurse-immunisers-approved-client-grou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immunisation@health.vic.gov.au"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Immunisation@health.vic.gov.au" TargetMode="External"/><Relationship Id="rId28"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yperlink" Target="https://www.health.vic.gov.au/infectious-diseases/monkeypo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betahealth.govcms.gov.au/news-and-events/news/the-digital-australian-immunisation-handbook" TargetMode="Externa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infectious-diseases/monkeypox" TargetMode="External"/><Relationship Id="rId2" Type="http://schemas.openxmlformats.org/officeDocument/2006/relationships/hyperlink" Target="https://www.health.vic.gov.au/infectious-diseases/monkeypox" TargetMode="External"/><Relationship Id="rId1" Type="http://schemas.openxmlformats.org/officeDocument/2006/relationships/hyperlink" Target="https://www.health.gov.au/diseases/monkeypox-mpx" TargetMode="External"/><Relationship Id="rId5" Type="http://schemas.openxmlformats.org/officeDocument/2006/relationships/hyperlink" Target="https://immunisationhandbook.health.gov.au/vaccination-procedures/preparing-for-vaccination" TargetMode="External"/><Relationship Id="rId4" Type="http://schemas.openxmlformats.org/officeDocument/2006/relationships/hyperlink" Target="https://www.health.vic.gov.au/infectious-diseases/monkey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6" ma:contentTypeDescription="Create a new document." ma:contentTypeScope="" ma:versionID="8c3fa1d9a59858c0e012a9ba4dd88a28">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9E349-7B0F-4BEC-B88B-1245BC40B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FDDE6-7A88-45D6-A8F3-8A1B971925DE}">
  <ds:schemaRefs>
    <ds:schemaRef ds:uri="http://schemas.microsoft.com/sharepoint/v3/contenttype/forms"/>
  </ds:schemaRefs>
</ds:datastoreItem>
</file>

<file path=customXml/itemProps3.xml><?xml version="1.0" encoding="utf-8"?>
<ds:datastoreItem xmlns:ds="http://schemas.openxmlformats.org/officeDocument/2006/customXml" ds:itemID="{0C1972F9-0584-4D1A-8814-CCA82C768010}">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1059</Words>
  <Characters>6037</Characters>
  <Application>Microsoft Office Word</Application>
  <DocSecurity>4</DocSecurity>
  <Lines>50</Lines>
  <Paragraphs>14</Paragraphs>
  <ScaleCrop>false</ScaleCrop>
  <Company/>
  <LinksUpToDate>false</LinksUpToDate>
  <CharactersWithSpaces>7082</CharactersWithSpaces>
  <SharedDoc>false</SharedDoc>
  <HLinks>
    <vt:vector size="84" baseType="variant">
      <vt:variant>
        <vt:i4>6684786</vt:i4>
      </vt:variant>
      <vt:variant>
        <vt:i4>27</vt:i4>
      </vt:variant>
      <vt:variant>
        <vt:i4>0</vt:i4>
      </vt:variant>
      <vt:variant>
        <vt:i4>5</vt:i4>
      </vt:variant>
      <vt:variant>
        <vt:lpwstr>https://www.health.vic.gov.au/immunisation/nurse-immunisers</vt:lpwstr>
      </vt:variant>
      <vt:variant>
        <vt:lpwstr/>
      </vt:variant>
      <vt:variant>
        <vt:i4>2359304</vt:i4>
      </vt:variant>
      <vt:variant>
        <vt:i4>24</vt:i4>
      </vt:variant>
      <vt:variant>
        <vt:i4>0</vt:i4>
      </vt:variant>
      <vt:variant>
        <vt:i4>5</vt:i4>
      </vt:variant>
      <vt:variant>
        <vt:lpwstr>mailto:immunisation@health.vic.gov.au</vt:lpwstr>
      </vt:variant>
      <vt:variant>
        <vt:lpwstr/>
      </vt:variant>
      <vt:variant>
        <vt:i4>2359304</vt:i4>
      </vt:variant>
      <vt:variant>
        <vt:i4>21</vt:i4>
      </vt:variant>
      <vt:variant>
        <vt:i4>0</vt:i4>
      </vt:variant>
      <vt:variant>
        <vt:i4>5</vt:i4>
      </vt:variant>
      <vt:variant>
        <vt:lpwstr>mailto:Immunisation@health.vic.gov.au</vt:lpwstr>
      </vt:variant>
      <vt:variant>
        <vt:lpwstr/>
      </vt:variant>
      <vt:variant>
        <vt:i4>7864365</vt:i4>
      </vt:variant>
      <vt:variant>
        <vt:i4>18</vt:i4>
      </vt:variant>
      <vt:variant>
        <vt:i4>0</vt:i4>
      </vt:variant>
      <vt:variant>
        <vt:i4>5</vt:i4>
      </vt:variant>
      <vt:variant>
        <vt:lpwstr>https://betahealth.govcms.gov.au/news-and-events/news/the-digital-australian-immunisation-handbook</vt:lpwstr>
      </vt:variant>
      <vt:variant>
        <vt:lpwstr/>
      </vt:variant>
      <vt:variant>
        <vt:i4>4194328</vt:i4>
      </vt:variant>
      <vt:variant>
        <vt:i4>15</vt:i4>
      </vt:variant>
      <vt:variant>
        <vt:i4>0</vt:i4>
      </vt:variant>
      <vt:variant>
        <vt:i4>5</vt:i4>
      </vt:variant>
      <vt:variant>
        <vt:lpwstr>https://www.health.vic.gov.au/immunisation/programs-of-study</vt:lpwstr>
      </vt:variant>
      <vt:variant>
        <vt:lpwstr/>
      </vt:variant>
      <vt:variant>
        <vt:i4>6684722</vt:i4>
      </vt:variant>
      <vt:variant>
        <vt:i4>12</vt:i4>
      </vt:variant>
      <vt:variant>
        <vt:i4>0</vt:i4>
      </vt:variant>
      <vt:variant>
        <vt:i4>5</vt:i4>
      </vt:variant>
      <vt:variant>
        <vt:lpwstr>https://www.health.vic.gov.au/immunisation/nurse-immunisers-approved-client-groups</vt:lpwstr>
      </vt:variant>
      <vt:variant>
        <vt:lpwstr/>
      </vt:variant>
      <vt:variant>
        <vt:i4>3014695</vt:i4>
      </vt:variant>
      <vt:variant>
        <vt:i4>9</vt:i4>
      </vt:variant>
      <vt:variant>
        <vt:i4>0</vt:i4>
      </vt:variant>
      <vt:variant>
        <vt:i4>5</vt:i4>
      </vt:variant>
      <vt:variant>
        <vt:lpwstr>https://www.health.vic.gov.au/infectious-diseases/monkeypox</vt:lpwstr>
      </vt:variant>
      <vt:variant>
        <vt:lpwstr/>
      </vt:variant>
      <vt:variant>
        <vt:i4>3014695</vt:i4>
      </vt:variant>
      <vt:variant>
        <vt:i4>6</vt:i4>
      </vt:variant>
      <vt:variant>
        <vt:i4>0</vt:i4>
      </vt:variant>
      <vt:variant>
        <vt:i4>5</vt:i4>
      </vt:variant>
      <vt:variant>
        <vt:lpwstr>https://www.health.vic.gov.au/infectious-diseases/monkeypox</vt:lpwstr>
      </vt:variant>
      <vt:variant>
        <vt:lpwstr/>
      </vt:variant>
      <vt:variant>
        <vt:i4>6029386</vt:i4>
      </vt:variant>
      <vt:variant>
        <vt:i4>3</vt:i4>
      </vt:variant>
      <vt:variant>
        <vt:i4>0</vt:i4>
      </vt:variant>
      <vt:variant>
        <vt:i4>5</vt:i4>
      </vt:variant>
      <vt:variant>
        <vt:lpwstr>http://www.gazette.vic.gov.au/gazette/Gazettes2022/GG2022S518.pdf</vt:lpwstr>
      </vt:variant>
      <vt:variant>
        <vt:lpwstr/>
      </vt:variant>
      <vt:variant>
        <vt:i4>3735661</vt:i4>
      </vt:variant>
      <vt:variant>
        <vt:i4>12</vt:i4>
      </vt:variant>
      <vt:variant>
        <vt:i4>0</vt:i4>
      </vt:variant>
      <vt:variant>
        <vt:i4>5</vt:i4>
      </vt:variant>
      <vt:variant>
        <vt:lpwstr>https://immunisationhandbook.health.gov.au/vaccination-procedures/preparing-for-vaccination</vt:lpwstr>
      </vt:variant>
      <vt:variant>
        <vt:lpwstr/>
      </vt:variant>
      <vt:variant>
        <vt:i4>3014695</vt:i4>
      </vt:variant>
      <vt:variant>
        <vt:i4>9</vt:i4>
      </vt:variant>
      <vt:variant>
        <vt:i4>0</vt:i4>
      </vt:variant>
      <vt:variant>
        <vt:i4>5</vt:i4>
      </vt:variant>
      <vt:variant>
        <vt:lpwstr>https://www.health.vic.gov.au/infectious-diseases/monkeypox</vt:lpwstr>
      </vt:variant>
      <vt:variant>
        <vt:lpwstr/>
      </vt:variant>
      <vt:variant>
        <vt:i4>3014695</vt:i4>
      </vt:variant>
      <vt:variant>
        <vt:i4>6</vt:i4>
      </vt:variant>
      <vt:variant>
        <vt:i4>0</vt:i4>
      </vt:variant>
      <vt:variant>
        <vt:i4>5</vt:i4>
      </vt:variant>
      <vt:variant>
        <vt:lpwstr>https://www.health.vic.gov.au/infectious-diseases/monkeypox</vt:lpwstr>
      </vt:variant>
      <vt:variant>
        <vt:lpwstr/>
      </vt:variant>
      <vt:variant>
        <vt:i4>3014695</vt:i4>
      </vt:variant>
      <vt:variant>
        <vt:i4>3</vt:i4>
      </vt:variant>
      <vt:variant>
        <vt:i4>0</vt:i4>
      </vt:variant>
      <vt:variant>
        <vt:i4>5</vt:i4>
      </vt:variant>
      <vt:variant>
        <vt:lpwstr>https://www.health.vic.gov.au/infectious-diseases/monkeypox</vt:lpwstr>
      </vt:variant>
      <vt:variant>
        <vt:lpwstr/>
      </vt:variant>
      <vt:variant>
        <vt:i4>65620</vt:i4>
      </vt:variant>
      <vt:variant>
        <vt:i4>0</vt:i4>
      </vt:variant>
      <vt:variant>
        <vt:i4>0</vt:i4>
      </vt:variant>
      <vt:variant>
        <vt:i4>5</vt:i4>
      </vt:variant>
      <vt:variant>
        <vt:lpwstr>https://www.health.gov.au/diseases/monkeypox-mpx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Hooper (Health)</dc:creator>
  <cp:keywords/>
  <dc:description/>
  <cp:lastModifiedBy>Emma Scott (Health)</cp:lastModifiedBy>
  <cp:revision>67</cp:revision>
  <dcterms:created xsi:type="dcterms:W3CDTF">2022-10-01T16:58:00Z</dcterms:created>
  <dcterms:modified xsi:type="dcterms:W3CDTF">2022-10-03T23:36:00Z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1,4,9,a,b,c</vt:lpwstr>
  </property>
  <property fmtid="{D5CDD505-2E9C-101B-9397-08002B2CF9AE}" pid="3" name="ClassificationContentMarkingFooterFontProps">
    <vt:lpwstr>#e4100e,10,Arial Black</vt:lpwstr>
  </property>
  <property fmtid="{D5CDD505-2E9C-101B-9397-08002B2CF9AE}" pid="4" name="ClassificationContentMarkingFooterText">
    <vt:lpwstr>OFFICIAL: Sensitive</vt:lpwstr>
  </property>
  <property fmtid="{D5CDD505-2E9C-101B-9397-08002B2CF9AE}" pid="5" name="MSIP_Label_f6c7d016-c0e8-4bc1-9071-158a5ecbe94b_Enabled">
    <vt:lpwstr>true</vt:lpwstr>
  </property>
  <property fmtid="{D5CDD505-2E9C-101B-9397-08002B2CF9AE}" pid="6" name="MSIP_Label_f6c7d016-c0e8-4bc1-9071-158a5ecbe94b_SetDate">
    <vt:lpwstr>2022-09-30T06:58:35Z</vt:lpwstr>
  </property>
  <property fmtid="{D5CDD505-2E9C-101B-9397-08002B2CF9AE}" pid="7" name="MSIP_Label_f6c7d016-c0e8-4bc1-9071-158a5ecbe94b_Method">
    <vt:lpwstr>Privileged</vt:lpwstr>
  </property>
  <property fmtid="{D5CDD505-2E9C-101B-9397-08002B2CF9AE}" pid="8" name="MSIP_Label_f6c7d016-c0e8-4bc1-9071-158a5ecbe94b_Name">
    <vt:lpwstr>f6c7d016-c0e8-4bc1-9071-158a5ecbe94b</vt:lpwstr>
  </property>
  <property fmtid="{D5CDD505-2E9C-101B-9397-08002B2CF9AE}" pid="9" name="MSIP_Label_f6c7d016-c0e8-4bc1-9071-158a5ecbe94b_SiteId">
    <vt:lpwstr>c0e0601f-0fac-449c-9c88-a104c4eb9f28</vt:lpwstr>
  </property>
  <property fmtid="{D5CDD505-2E9C-101B-9397-08002B2CF9AE}" pid="10" name="MSIP_Label_f6c7d016-c0e8-4bc1-9071-158a5ecbe94b_ActionId">
    <vt:lpwstr>529475ae-644f-4069-a0db-89d15951ad68</vt:lpwstr>
  </property>
  <property fmtid="{D5CDD505-2E9C-101B-9397-08002B2CF9AE}" pid="11" name="MSIP_Label_f6c7d016-c0e8-4bc1-9071-158a5ecbe94b_ContentBits">
    <vt:lpwstr>2</vt:lpwstr>
  </property>
  <property fmtid="{D5CDD505-2E9C-101B-9397-08002B2CF9AE}" pid="12" name="ContentTypeId">
    <vt:lpwstr>0x010100A2DFF03779B5A84C9EDCC583EFC503D8</vt:lpwstr>
  </property>
  <property fmtid="{D5CDD505-2E9C-101B-9397-08002B2CF9AE}" pid="13" name="MediaServiceImageTags">
    <vt:lpwstr/>
  </property>
</Properties>
</file>