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2301"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4FF62B74" wp14:editId="31EDD36A">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p w14:paraId="3124E0C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4"/>
      </w:tblGrid>
      <w:tr w:rsidR="0037736A" w:rsidRPr="0037736A" w14:paraId="499FDDF6" w14:textId="77777777" w:rsidTr="00386778">
        <w:trPr>
          <w:trHeight w:val="381"/>
        </w:trPr>
        <w:tc>
          <w:tcPr>
            <w:tcW w:w="10344" w:type="dxa"/>
          </w:tcPr>
          <w:p w14:paraId="5C08688D" w14:textId="77777777" w:rsidR="0037736A" w:rsidRPr="0037736A" w:rsidRDefault="0037736A" w:rsidP="0037736A">
            <w:pPr>
              <w:spacing w:after="240" w:line="240" w:lineRule="auto"/>
              <w:rPr>
                <w:b/>
                <w:bCs/>
                <w:sz w:val="40"/>
                <w:szCs w:val="40"/>
              </w:rPr>
            </w:pPr>
            <w:r w:rsidRPr="0037736A">
              <w:rPr>
                <w:b/>
                <w:bCs/>
                <w:sz w:val="40"/>
                <w:szCs w:val="40"/>
              </w:rPr>
              <w:t>Forensic AOD Client Definition Policy</w:t>
            </w:r>
          </w:p>
        </w:tc>
      </w:tr>
      <w:tr w:rsidR="0037736A" w:rsidRPr="0037736A" w14:paraId="14F60330" w14:textId="77777777" w:rsidTr="00386778">
        <w:trPr>
          <w:trHeight w:val="131"/>
        </w:trPr>
        <w:tc>
          <w:tcPr>
            <w:tcW w:w="10344" w:type="dxa"/>
          </w:tcPr>
          <w:p w14:paraId="1513000F" w14:textId="3F913252" w:rsidR="0037736A" w:rsidRPr="0037736A" w:rsidRDefault="0037736A" w:rsidP="0037736A">
            <w:pPr>
              <w:spacing w:after="0" w:line="240" w:lineRule="auto"/>
              <w:rPr>
                <w:b/>
                <w:bCs/>
                <w:sz w:val="28"/>
                <w:szCs w:val="28"/>
              </w:rPr>
            </w:pPr>
            <w:r w:rsidRPr="0037736A">
              <w:rPr>
                <w:b/>
                <w:bCs/>
                <w:sz w:val="28"/>
                <w:szCs w:val="28"/>
              </w:rPr>
              <w:t>202</w:t>
            </w:r>
            <w:r w:rsidR="007D61A2">
              <w:rPr>
                <w:b/>
                <w:bCs/>
                <w:sz w:val="28"/>
                <w:szCs w:val="28"/>
              </w:rPr>
              <w:t>2</w:t>
            </w:r>
            <w:r w:rsidRPr="0037736A">
              <w:rPr>
                <w:b/>
                <w:bCs/>
                <w:sz w:val="28"/>
                <w:szCs w:val="28"/>
              </w:rPr>
              <w:t>-2</w:t>
            </w:r>
            <w:r w:rsidR="007D61A2">
              <w:rPr>
                <w:b/>
                <w:bCs/>
                <w:sz w:val="28"/>
                <w:szCs w:val="28"/>
              </w:rPr>
              <w:t>3</w:t>
            </w:r>
          </w:p>
        </w:tc>
      </w:tr>
    </w:tbl>
    <w:p w14:paraId="3CE503B5" w14:textId="77777777" w:rsidR="0037736A" w:rsidRPr="0037736A" w:rsidRDefault="0037736A" w:rsidP="0037736A">
      <w:pPr>
        <w:spacing w:after="400" w:line="240" w:lineRule="auto"/>
        <w:rPr>
          <w:sz w:val="20"/>
        </w:rPr>
        <w:sectPr w:rsidR="0037736A" w:rsidRPr="0037736A" w:rsidSect="0037736A">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567" w:right="851" w:bottom="1418" w:left="851" w:header="510" w:footer="510" w:gutter="0"/>
          <w:cols w:space="708"/>
          <w:docGrid w:linePitch="360"/>
        </w:sectPr>
      </w:pPr>
    </w:p>
    <w:sdt>
      <w:sdtPr>
        <w:rPr>
          <w:rFonts w:ascii="Cambria" w:hAnsi="Cambria"/>
          <w:color w:val="943634" w:themeColor="accent2" w:themeShade="BF"/>
          <w:sz w:val="20"/>
          <w:shd w:val="clear" w:color="auto" w:fill="E6E6E6"/>
        </w:rPr>
        <w:id w:val="-1901894474"/>
        <w:docPartObj>
          <w:docPartGallery w:val="Table of Contents"/>
          <w:docPartUnique/>
        </w:docPartObj>
      </w:sdtPr>
      <w:sdtEndPr>
        <w:rPr>
          <w:b/>
          <w:bCs/>
          <w:noProof/>
          <w:color w:val="auto"/>
        </w:rPr>
      </w:sdtEndPr>
      <w:sdtContent>
        <w:p w14:paraId="38CC043B" w14:textId="77777777" w:rsidR="0037736A" w:rsidRPr="0037736A" w:rsidRDefault="0037736A" w:rsidP="0037736A">
          <w:pPr>
            <w:keepNext/>
            <w:keepLines/>
            <w:spacing w:after="0" w:line="259" w:lineRule="auto"/>
            <w:rPr>
              <w:rFonts w:eastAsia="MS Gothic" w:cs="Arial"/>
              <w:bCs/>
              <w:color w:val="943634" w:themeColor="accent2" w:themeShade="BF"/>
              <w:kern w:val="32"/>
              <w:sz w:val="36"/>
              <w:szCs w:val="40"/>
              <w:lang w:val="en-US"/>
            </w:rPr>
          </w:pPr>
          <w:r w:rsidRPr="0037736A">
            <w:rPr>
              <w:rFonts w:eastAsia="MS Gothic" w:cs="Arial"/>
              <w:bCs/>
              <w:color w:val="943634" w:themeColor="accent2" w:themeShade="BF"/>
              <w:kern w:val="32"/>
              <w:sz w:val="36"/>
              <w:szCs w:val="40"/>
              <w:lang w:val="en-US"/>
            </w:rPr>
            <w:t>Contents</w:t>
          </w:r>
        </w:p>
        <w:p w14:paraId="05CB1E3C" w14:textId="77777777" w:rsidR="0037736A" w:rsidRPr="0037736A" w:rsidRDefault="0037736A" w:rsidP="0037736A">
          <w:pPr>
            <w:keepNext/>
            <w:keepLines/>
            <w:tabs>
              <w:tab w:val="right" w:leader="dot" w:pos="10206"/>
            </w:tabs>
            <w:spacing w:before="160" w:after="60" w:line="270" w:lineRule="atLeast"/>
            <w:rPr>
              <w:rFonts w:asciiTheme="minorHAnsi" w:eastAsiaTheme="minorEastAsia" w:hAnsiTheme="minorHAnsi" w:cstheme="minorBidi"/>
              <w:noProof/>
              <w:sz w:val="22"/>
              <w:szCs w:val="22"/>
              <w:lang w:eastAsia="en-AU"/>
            </w:rPr>
          </w:pPr>
          <w:r w:rsidRPr="0037736A">
            <w:rPr>
              <w:b/>
              <w:noProof/>
              <w:color w:val="2B579A"/>
              <w:sz w:val="20"/>
              <w:shd w:val="clear" w:color="auto" w:fill="E6E6E6"/>
            </w:rPr>
            <w:fldChar w:fldCharType="begin"/>
          </w:r>
          <w:r w:rsidRPr="0037736A">
            <w:rPr>
              <w:b/>
              <w:noProof/>
              <w:sz w:val="20"/>
            </w:rPr>
            <w:instrText xml:space="preserve"> TOC \o "1-3" \h \z \u </w:instrText>
          </w:r>
          <w:r w:rsidRPr="0037736A">
            <w:rPr>
              <w:b/>
              <w:noProof/>
              <w:color w:val="2B579A"/>
              <w:sz w:val="20"/>
              <w:shd w:val="clear" w:color="auto" w:fill="E6E6E6"/>
            </w:rPr>
            <w:fldChar w:fldCharType="separate"/>
          </w:r>
          <w:hyperlink w:anchor="_Toc42697965" w:history="1">
            <w:r w:rsidRPr="0037736A">
              <w:rPr>
                <w:b/>
                <w:noProof/>
                <w:color w:val="0072CE"/>
                <w:sz w:val="20"/>
                <w:u w:val="dotted"/>
              </w:rPr>
              <w:t>About this document</w:t>
            </w:r>
            <w:r w:rsidRPr="0037736A">
              <w:rPr>
                <w:b/>
                <w:noProof/>
                <w:webHidden/>
                <w:sz w:val="20"/>
              </w:rPr>
              <w:tab/>
            </w:r>
            <w:r w:rsidRPr="0037736A">
              <w:rPr>
                <w:b/>
                <w:noProof/>
                <w:webHidden/>
                <w:color w:val="2B579A"/>
                <w:sz w:val="20"/>
                <w:shd w:val="clear" w:color="auto" w:fill="E6E6E6"/>
              </w:rPr>
              <w:fldChar w:fldCharType="begin"/>
            </w:r>
            <w:r w:rsidRPr="0037736A">
              <w:rPr>
                <w:b/>
                <w:noProof/>
                <w:webHidden/>
                <w:sz w:val="20"/>
              </w:rPr>
              <w:instrText xml:space="preserve"> PAGEREF _Toc42697965 \h </w:instrText>
            </w:r>
            <w:r w:rsidRPr="0037736A">
              <w:rPr>
                <w:b/>
                <w:noProof/>
                <w:webHidden/>
                <w:color w:val="2B579A"/>
                <w:sz w:val="20"/>
                <w:shd w:val="clear" w:color="auto" w:fill="E6E6E6"/>
              </w:rPr>
            </w:r>
            <w:r w:rsidRPr="0037736A">
              <w:rPr>
                <w:b/>
                <w:noProof/>
                <w:webHidden/>
                <w:color w:val="2B579A"/>
                <w:sz w:val="20"/>
                <w:shd w:val="clear" w:color="auto" w:fill="E6E6E6"/>
              </w:rPr>
              <w:fldChar w:fldCharType="separate"/>
            </w:r>
            <w:r w:rsidRPr="0037736A">
              <w:rPr>
                <w:b/>
                <w:noProof/>
                <w:webHidden/>
                <w:sz w:val="20"/>
              </w:rPr>
              <w:t>1</w:t>
            </w:r>
            <w:r w:rsidRPr="0037736A">
              <w:rPr>
                <w:b/>
                <w:noProof/>
                <w:webHidden/>
                <w:color w:val="2B579A"/>
                <w:sz w:val="20"/>
                <w:shd w:val="clear" w:color="auto" w:fill="E6E6E6"/>
              </w:rPr>
              <w:fldChar w:fldCharType="end"/>
            </w:r>
          </w:hyperlink>
        </w:p>
        <w:p w14:paraId="5C538C42" w14:textId="77777777" w:rsidR="0037736A" w:rsidRPr="0037736A" w:rsidRDefault="00450104" w:rsidP="0037736A">
          <w:pPr>
            <w:keepNext/>
            <w:keepLines/>
            <w:tabs>
              <w:tab w:val="right" w:leader="dot" w:pos="10206"/>
            </w:tabs>
            <w:spacing w:after="60" w:line="270" w:lineRule="atLeast"/>
            <w:rPr>
              <w:rFonts w:asciiTheme="minorHAnsi" w:eastAsiaTheme="minorEastAsia" w:hAnsiTheme="minorHAnsi" w:cstheme="minorBidi"/>
              <w:noProof/>
              <w:sz w:val="22"/>
              <w:szCs w:val="22"/>
              <w:lang w:eastAsia="en-AU"/>
            </w:rPr>
          </w:pPr>
          <w:hyperlink w:anchor="_Toc42697966" w:history="1">
            <w:r w:rsidR="0037736A" w:rsidRPr="0037736A">
              <w:rPr>
                <w:noProof/>
                <w:color w:val="0072CE"/>
                <w:sz w:val="20"/>
                <w:u w:val="dotted"/>
              </w:rPr>
              <w:t>Defining characteristics of a forensic AOD client</w:t>
            </w:r>
            <w:r w:rsidR="0037736A" w:rsidRPr="0037736A">
              <w:rPr>
                <w:noProof/>
                <w:webHidden/>
                <w:sz w:val="20"/>
              </w:rPr>
              <w:tab/>
            </w:r>
            <w:r w:rsidR="0037736A" w:rsidRPr="0037736A">
              <w:rPr>
                <w:noProof/>
                <w:webHidden/>
                <w:color w:val="2B579A"/>
                <w:sz w:val="20"/>
                <w:shd w:val="clear" w:color="auto" w:fill="E6E6E6"/>
              </w:rPr>
              <w:fldChar w:fldCharType="begin"/>
            </w:r>
            <w:r w:rsidR="0037736A" w:rsidRPr="0037736A">
              <w:rPr>
                <w:noProof/>
                <w:webHidden/>
                <w:sz w:val="20"/>
              </w:rPr>
              <w:instrText xml:space="preserve"> PAGEREF _Toc42697966 \h </w:instrText>
            </w:r>
            <w:r w:rsidR="0037736A" w:rsidRPr="0037736A">
              <w:rPr>
                <w:noProof/>
                <w:webHidden/>
                <w:color w:val="2B579A"/>
                <w:sz w:val="20"/>
                <w:shd w:val="clear" w:color="auto" w:fill="E6E6E6"/>
              </w:rPr>
            </w:r>
            <w:r w:rsidR="0037736A" w:rsidRPr="0037736A">
              <w:rPr>
                <w:noProof/>
                <w:webHidden/>
                <w:color w:val="2B579A"/>
                <w:sz w:val="20"/>
                <w:shd w:val="clear" w:color="auto" w:fill="E6E6E6"/>
              </w:rPr>
              <w:fldChar w:fldCharType="separate"/>
            </w:r>
            <w:r w:rsidR="0037736A" w:rsidRPr="0037736A">
              <w:rPr>
                <w:noProof/>
                <w:webHidden/>
                <w:sz w:val="20"/>
              </w:rPr>
              <w:t>1</w:t>
            </w:r>
            <w:r w:rsidR="0037736A" w:rsidRPr="0037736A">
              <w:rPr>
                <w:noProof/>
                <w:webHidden/>
                <w:color w:val="2B579A"/>
                <w:sz w:val="20"/>
                <w:shd w:val="clear" w:color="auto" w:fill="E6E6E6"/>
              </w:rPr>
              <w:fldChar w:fldCharType="end"/>
            </w:r>
          </w:hyperlink>
        </w:p>
        <w:p w14:paraId="0C389D1E" w14:textId="77777777" w:rsidR="0037736A" w:rsidRPr="0037736A" w:rsidRDefault="00450104" w:rsidP="0037736A">
          <w:pPr>
            <w:keepNext/>
            <w:keepLines/>
            <w:tabs>
              <w:tab w:val="right" w:leader="dot" w:pos="10206"/>
            </w:tabs>
            <w:spacing w:after="60" w:line="270" w:lineRule="atLeast"/>
            <w:rPr>
              <w:rFonts w:asciiTheme="minorHAnsi" w:eastAsiaTheme="minorEastAsia" w:hAnsiTheme="minorHAnsi" w:cstheme="minorBidi"/>
              <w:noProof/>
              <w:sz w:val="22"/>
              <w:szCs w:val="22"/>
              <w:lang w:eastAsia="en-AU"/>
            </w:rPr>
          </w:pPr>
          <w:hyperlink w:anchor="_Toc42697967" w:history="1">
            <w:r w:rsidR="0037736A" w:rsidRPr="0037736A">
              <w:rPr>
                <w:noProof/>
                <w:color w:val="0072CE"/>
                <w:sz w:val="20"/>
                <w:u w:val="dotted"/>
              </w:rPr>
              <w:t>Accepted forensic client types</w:t>
            </w:r>
            <w:r w:rsidR="0037736A" w:rsidRPr="0037736A">
              <w:rPr>
                <w:noProof/>
                <w:webHidden/>
                <w:sz w:val="20"/>
              </w:rPr>
              <w:tab/>
            </w:r>
            <w:r w:rsidR="0037736A" w:rsidRPr="0037736A">
              <w:rPr>
                <w:noProof/>
                <w:webHidden/>
                <w:color w:val="2B579A"/>
                <w:sz w:val="20"/>
                <w:shd w:val="clear" w:color="auto" w:fill="E6E6E6"/>
              </w:rPr>
              <w:fldChar w:fldCharType="begin"/>
            </w:r>
            <w:r w:rsidR="0037736A" w:rsidRPr="0037736A">
              <w:rPr>
                <w:noProof/>
                <w:webHidden/>
                <w:sz w:val="20"/>
              </w:rPr>
              <w:instrText xml:space="preserve"> PAGEREF _Toc42697967 \h </w:instrText>
            </w:r>
            <w:r w:rsidR="0037736A" w:rsidRPr="0037736A">
              <w:rPr>
                <w:noProof/>
                <w:webHidden/>
                <w:color w:val="2B579A"/>
                <w:sz w:val="20"/>
                <w:shd w:val="clear" w:color="auto" w:fill="E6E6E6"/>
              </w:rPr>
            </w:r>
            <w:r w:rsidR="0037736A" w:rsidRPr="0037736A">
              <w:rPr>
                <w:noProof/>
                <w:webHidden/>
                <w:color w:val="2B579A"/>
                <w:sz w:val="20"/>
                <w:shd w:val="clear" w:color="auto" w:fill="E6E6E6"/>
              </w:rPr>
              <w:fldChar w:fldCharType="separate"/>
            </w:r>
            <w:r w:rsidR="0037736A" w:rsidRPr="0037736A">
              <w:rPr>
                <w:noProof/>
                <w:webHidden/>
                <w:sz w:val="20"/>
              </w:rPr>
              <w:t>2</w:t>
            </w:r>
            <w:r w:rsidR="0037736A" w:rsidRPr="0037736A">
              <w:rPr>
                <w:noProof/>
                <w:webHidden/>
                <w:color w:val="2B579A"/>
                <w:sz w:val="20"/>
                <w:shd w:val="clear" w:color="auto" w:fill="E6E6E6"/>
              </w:rPr>
              <w:fldChar w:fldCharType="end"/>
            </w:r>
          </w:hyperlink>
        </w:p>
        <w:p w14:paraId="72F032E8" w14:textId="77777777" w:rsidR="0037736A" w:rsidRPr="0037736A" w:rsidRDefault="00450104" w:rsidP="0037736A">
          <w:pPr>
            <w:keepLines/>
            <w:tabs>
              <w:tab w:val="left" w:pos="851"/>
              <w:tab w:val="right" w:leader="dot" w:pos="10206"/>
            </w:tabs>
            <w:spacing w:after="60" w:line="270" w:lineRule="atLeast"/>
            <w:ind w:left="284"/>
            <w:rPr>
              <w:rFonts w:asciiTheme="minorHAnsi" w:eastAsiaTheme="minorEastAsia" w:hAnsiTheme="minorHAnsi" w:cstheme="minorBidi"/>
              <w:noProof/>
              <w:sz w:val="22"/>
              <w:szCs w:val="22"/>
              <w:lang w:eastAsia="en-AU"/>
            </w:rPr>
          </w:pPr>
          <w:hyperlink w:anchor="_Toc42697968" w:history="1">
            <w:r w:rsidR="0037736A" w:rsidRPr="0037736A">
              <w:rPr>
                <w:rFonts w:cs="Arial"/>
                <w:noProof/>
                <w:color w:val="0072CE"/>
                <w:sz w:val="20"/>
                <w:u w:val="dotted"/>
              </w:rPr>
              <w:t>1.</w:t>
            </w:r>
            <w:r w:rsidR="0037736A" w:rsidRPr="0037736A">
              <w:rPr>
                <w:rFonts w:asciiTheme="minorHAnsi" w:eastAsiaTheme="minorEastAsia" w:hAnsiTheme="minorHAnsi" w:cstheme="minorBidi"/>
                <w:noProof/>
                <w:sz w:val="22"/>
                <w:szCs w:val="22"/>
                <w:lang w:eastAsia="en-AU"/>
              </w:rPr>
              <w:tab/>
            </w:r>
            <w:r w:rsidR="0037736A" w:rsidRPr="0037736A">
              <w:rPr>
                <w:rFonts w:cs="Arial"/>
                <w:noProof/>
                <w:color w:val="0072CE"/>
                <w:sz w:val="20"/>
                <w:u w:val="dotted"/>
              </w:rPr>
              <w:t>ACSO COATS clients</w:t>
            </w:r>
            <w:r w:rsidR="0037736A" w:rsidRPr="0037736A">
              <w:rPr>
                <w:rFonts w:cs="Arial"/>
                <w:noProof/>
                <w:webHidden/>
                <w:sz w:val="20"/>
              </w:rPr>
              <w:tab/>
            </w:r>
            <w:r w:rsidR="0037736A" w:rsidRPr="0037736A">
              <w:rPr>
                <w:rFonts w:cs="Arial"/>
                <w:noProof/>
                <w:webHidden/>
                <w:color w:val="2B579A"/>
                <w:sz w:val="20"/>
                <w:shd w:val="clear" w:color="auto" w:fill="E6E6E6"/>
              </w:rPr>
              <w:fldChar w:fldCharType="begin"/>
            </w:r>
            <w:r w:rsidR="0037736A" w:rsidRPr="0037736A">
              <w:rPr>
                <w:rFonts w:cs="Arial"/>
                <w:noProof/>
                <w:webHidden/>
                <w:sz w:val="20"/>
              </w:rPr>
              <w:instrText xml:space="preserve"> PAGEREF _Toc42697968 \h </w:instrText>
            </w:r>
            <w:r w:rsidR="0037736A" w:rsidRPr="0037736A">
              <w:rPr>
                <w:rFonts w:cs="Arial"/>
                <w:noProof/>
                <w:webHidden/>
                <w:color w:val="2B579A"/>
                <w:sz w:val="20"/>
                <w:shd w:val="clear" w:color="auto" w:fill="E6E6E6"/>
              </w:rPr>
            </w:r>
            <w:r w:rsidR="0037736A" w:rsidRPr="0037736A">
              <w:rPr>
                <w:rFonts w:cs="Arial"/>
                <w:noProof/>
                <w:webHidden/>
                <w:color w:val="2B579A"/>
                <w:sz w:val="20"/>
                <w:shd w:val="clear" w:color="auto" w:fill="E6E6E6"/>
              </w:rPr>
              <w:fldChar w:fldCharType="separate"/>
            </w:r>
            <w:r w:rsidR="0037736A" w:rsidRPr="0037736A">
              <w:rPr>
                <w:rFonts w:cs="Arial"/>
                <w:noProof/>
                <w:webHidden/>
                <w:sz w:val="20"/>
              </w:rPr>
              <w:t>2</w:t>
            </w:r>
            <w:r w:rsidR="0037736A" w:rsidRPr="0037736A">
              <w:rPr>
                <w:rFonts w:cs="Arial"/>
                <w:noProof/>
                <w:webHidden/>
                <w:color w:val="2B579A"/>
                <w:sz w:val="20"/>
                <w:shd w:val="clear" w:color="auto" w:fill="E6E6E6"/>
              </w:rPr>
              <w:fldChar w:fldCharType="end"/>
            </w:r>
          </w:hyperlink>
        </w:p>
        <w:p w14:paraId="03DDD22A" w14:textId="77777777" w:rsidR="0037736A" w:rsidRPr="0037736A" w:rsidRDefault="00450104" w:rsidP="0037736A">
          <w:pPr>
            <w:keepLines/>
            <w:tabs>
              <w:tab w:val="left" w:pos="851"/>
              <w:tab w:val="right" w:leader="dot" w:pos="10206"/>
            </w:tabs>
            <w:spacing w:after="60" w:line="270" w:lineRule="atLeast"/>
            <w:ind w:left="284"/>
            <w:rPr>
              <w:rFonts w:asciiTheme="minorHAnsi" w:eastAsiaTheme="minorEastAsia" w:hAnsiTheme="minorHAnsi" w:cstheme="minorBidi"/>
              <w:noProof/>
              <w:sz w:val="22"/>
              <w:szCs w:val="22"/>
              <w:lang w:eastAsia="en-AU"/>
            </w:rPr>
          </w:pPr>
          <w:hyperlink w:anchor="_Toc42697969" w:history="1">
            <w:r w:rsidR="0037736A" w:rsidRPr="0037736A">
              <w:rPr>
                <w:rFonts w:cs="Arial"/>
                <w:noProof/>
                <w:color w:val="0072CE"/>
                <w:sz w:val="20"/>
                <w:u w:val="dotted"/>
              </w:rPr>
              <w:t>2.</w:t>
            </w:r>
            <w:r w:rsidR="0037736A" w:rsidRPr="0037736A">
              <w:rPr>
                <w:rFonts w:asciiTheme="minorHAnsi" w:eastAsiaTheme="minorEastAsia" w:hAnsiTheme="minorHAnsi" w:cstheme="minorBidi"/>
                <w:noProof/>
                <w:sz w:val="22"/>
                <w:szCs w:val="22"/>
                <w:lang w:eastAsia="en-AU"/>
              </w:rPr>
              <w:tab/>
            </w:r>
            <w:r w:rsidR="0037736A" w:rsidRPr="0037736A">
              <w:rPr>
                <w:rFonts w:cs="Arial"/>
                <w:noProof/>
                <w:color w:val="0072CE"/>
                <w:sz w:val="20"/>
                <w:u w:val="dotted"/>
              </w:rPr>
              <w:t>Youth Justice referral clients</w:t>
            </w:r>
            <w:r w:rsidR="0037736A" w:rsidRPr="0037736A">
              <w:rPr>
                <w:rFonts w:cs="Arial"/>
                <w:noProof/>
                <w:webHidden/>
                <w:sz w:val="20"/>
              </w:rPr>
              <w:tab/>
            </w:r>
            <w:r w:rsidR="0037736A" w:rsidRPr="0037736A">
              <w:rPr>
                <w:rFonts w:cs="Arial"/>
                <w:noProof/>
                <w:webHidden/>
                <w:color w:val="2B579A"/>
                <w:sz w:val="20"/>
                <w:shd w:val="clear" w:color="auto" w:fill="E6E6E6"/>
              </w:rPr>
              <w:fldChar w:fldCharType="begin"/>
            </w:r>
            <w:r w:rsidR="0037736A" w:rsidRPr="0037736A">
              <w:rPr>
                <w:rFonts w:cs="Arial"/>
                <w:noProof/>
                <w:webHidden/>
                <w:sz w:val="20"/>
              </w:rPr>
              <w:instrText xml:space="preserve"> PAGEREF _Toc42697969 \h </w:instrText>
            </w:r>
            <w:r w:rsidR="0037736A" w:rsidRPr="0037736A">
              <w:rPr>
                <w:rFonts w:cs="Arial"/>
                <w:noProof/>
                <w:webHidden/>
                <w:color w:val="2B579A"/>
                <w:sz w:val="20"/>
                <w:shd w:val="clear" w:color="auto" w:fill="E6E6E6"/>
              </w:rPr>
            </w:r>
            <w:r w:rsidR="0037736A" w:rsidRPr="0037736A">
              <w:rPr>
                <w:rFonts w:cs="Arial"/>
                <w:noProof/>
                <w:webHidden/>
                <w:color w:val="2B579A"/>
                <w:sz w:val="20"/>
                <w:shd w:val="clear" w:color="auto" w:fill="E6E6E6"/>
              </w:rPr>
              <w:fldChar w:fldCharType="separate"/>
            </w:r>
            <w:r w:rsidR="0037736A" w:rsidRPr="0037736A">
              <w:rPr>
                <w:rFonts w:cs="Arial"/>
                <w:noProof/>
                <w:webHidden/>
                <w:sz w:val="20"/>
              </w:rPr>
              <w:t>2</w:t>
            </w:r>
            <w:r w:rsidR="0037736A" w:rsidRPr="0037736A">
              <w:rPr>
                <w:rFonts w:cs="Arial"/>
                <w:noProof/>
                <w:webHidden/>
                <w:color w:val="2B579A"/>
                <w:sz w:val="20"/>
                <w:shd w:val="clear" w:color="auto" w:fill="E6E6E6"/>
              </w:rPr>
              <w:fldChar w:fldCharType="end"/>
            </w:r>
          </w:hyperlink>
        </w:p>
        <w:p w14:paraId="6FD44DAD" w14:textId="77777777" w:rsidR="0037736A" w:rsidRPr="0037736A" w:rsidRDefault="00450104" w:rsidP="0037736A">
          <w:pPr>
            <w:keepLines/>
            <w:tabs>
              <w:tab w:val="left" w:pos="851"/>
              <w:tab w:val="right" w:leader="dot" w:pos="10206"/>
            </w:tabs>
            <w:spacing w:after="60" w:line="270" w:lineRule="atLeast"/>
            <w:ind w:left="284"/>
            <w:rPr>
              <w:rFonts w:asciiTheme="minorHAnsi" w:eastAsiaTheme="minorEastAsia" w:hAnsiTheme="minorHAnsi" w:cstheme="minorBidi"/>
              <w:noProof/>
              <w:sz w:val="22"/>
              <w:szCs w:val="22"/>
              <w:lang w:eastAsia="en-AU"/>
            </w:rPr>
          </w:pPr>
          <w:hyperlink w:anchor="_Toc42697970" w:history="1">
            <w:r w:rsidR="0037736A" w:rsidRPr="0037736A">
              <w:rPr>
                <w:rFonts w:cs="Arial"/>
                <w:noProof/>
                <w:color w:val="0072CE"/>
                <w:sz w:val="20"/>
                <w:u w:val="dotted"/>
              </w:rPr>
              <w:t>3.</w:t>
            </w:r>
            <w:r w:rsidR="0037736A" w:rsidRPr="0037736A">
              <w:rPr>
                <w:rFonts w:asciiTheme="minorHAnsi" w:eastAsiaTheme="minorEastAsia" w:hAnsiTheme="minorHAnsi" w:cstheme="minorBidi"/>
                <w:noProof/>
                <w:sz w:val="22"/>
                <w:szCs w:val="22"/>
                <w:lang w:eastAsia="en-AU"/>
              </w:rPr>
              <w:tab/>
            </w:r>
            <w:r w:rsidR="0037736A" w:rsidRPr="0037736A">
              <w:rPr>
                <w:rFonts w:cs="Arial"/>
                <w:noProof/>
                <w:color w:val="0072CE"/>
                <w:sz w:val="20"/>
                <w:u w:val="dotted"/>
              </w:rPr>
              <w:t>Other diversion referral clients</w:t>
            </w:r>
            <w:r w:rsidR="0037736A" w:rsidRPr="0037736A">
              <w:rPr>
                <w:rFonts w:cs="Arial"/>
                <w:noProof/>
                <w:webHidden/>
                <w:sz w:val="20"/>
              </w:rPr>
              <w:tab/>
            </w:r>
            <w:r w:rsidR="0037736A" w:rsidRPr="0037736A">
              <w:rPr>
                <w:rFonts w:cs="Arial"/>
                <w:noProof/>
                <w:webHidden/>
                <w:color w:val="2B579A"/>
                <w:sz w:val="20"/>
                <w:shd w:val="clear" w:color="auto" w:fill="E6E6E6"/>
              </w:rPr>
              <w:fldChar w:fldCharType="begin"/>
            </w:r>
            <w:r w:rsidR="0037736A" w:rsidRPr="0037736A">
              <w:rPr>
                <w:rFonts w:cs="Arial"/>
                <w:noProof/>
                <w:webHidden/>
                <w:sz w:val="20"/>
              </w:rPr>
              <w:instrText xml:space="preserve"> PAGEREF _Toc42697970 \h </w:instrText>
            </w:r>
            <w:r w:rsidR="0037736A" w:rsidRPr="0037736A">
              <w:rPr>
                <w:rFonts w:cs="Arial"/>
                <w:noProof/>
                <w:webHidden/>
                <w:color w:val="2B579A"/>
                <w:sz w:val="20"/>
                <w:shd w:val="clear" w:color="auto" w:fill="E6E6E6"/>
              </w:rPr>
            </w:r>
            <w:r w:rsidR="0037736A" w:rsidRPr="0037736A">
              <w:rPr>
                <w:rFonts w:cs="Arial"/>
                <w:noProof/>
                <w:webHidden/>
                <w:color w:val="2B579A"/>
                <w:sz w:val="20"/>
                <w:shd w:val="clear" w:color="auto" w:fill="E6E6E6"/>
              </w:rPr>
              <w:fldChar w:fldCharType="separate"/>
            </w:r>
            <w:r w:rsidR="0037736A" w:rsidRPr="0037736A">
              <w:rPr>
                <w:rFonts w:cs="Arial"/>
                <w:noProof/>
                <w:webHidden/>
                <w:sz w:val="20"/>
              </w:rPr>
              <w:t>2</w:t>
            </w:r>
            <w:r w:rsidR="0037736A" w:rsidRPr="0037736A">
              <w:rPr>
                <w:rFonts w:cs="Arial"/>
                <w:noProof/>
                <w:webHidden/>
                <w:color w:val="2B579A"/>
                <w:sz w:val="20"/>
                <w:shd w:val="clear" w:color="auto" w:fill="E6E6E6"/>
              </w:rPr>
              <w:fldChar w:fldCharType="end"/>
            </w:r>
          </w:hyperlink>
        </w:p>
        <w:p w14:paraId="3EB4DD6F" w14:textId="77777777" w:rsidR="0037736A" w:rsidRPr="0037736A" w:rsidRDefault="00450104" w:rsidP="0037736A">
          <w:pPr>
            <w:keepNext/>
            <w:keepLines/>
            <w:tabs>
              <w:tab w:val="right" w:leader="dot" w:pos="10206"/>
            </w:tabs>
            <w:spacing w:after="60" w:line="270" w:lineRule="atLeast"/>
            <w:rPr>
              <w:rFonts w:asciiTheme="minorHAnsi" w:eastAsiaTheme="minorEastAsia" w:hAnsiTheme="minorHAnsi" w:cstheme="minorBidi"/>
              <w:noProof/>
              <w:sz w:val="22"/>
              <w:szCs w:val="22"/>
              <w:lang w:eastAsia="en-AU"/>
            </w:rPr>
          </w:pPr>
          <w:hyperlink w:anchor="_Toc42697971" w:history="1">
            <w:r w:rsidR="0037736A" w:rsidRPr="0037736A">
              <w:rPr>
                <w:noProof/>
                <w:color w:val="0072CE"/>
                <w:sz w:val="20"/>
                <w:u w:val="dotted"/>
              </w:rPr>
              <w:t>Excluded clients</w:t>
            </w:r>
            <w:r w:rsidR="0037736A" w:rsidRPr="0037736A">
              <w:rPr>
                <w:noProof/>
                <w:webHidden/>
                <w:sz w:val="20"/>
              </w:rPr>
              <w:tab/>
            </w:r>
            <w:r w:rsidR="0037736A" w:rsidRPr="0037736A">
              <w:rPr>
                <w:noProof/>
                <w:webHidden/>
                <w:color w:val="2B579A"/>
                <w:sz w:val="20"/>
                <w:shd w:val="clear" w:color="auto" w:fill="E6E6E6"/>
              </w:rPr>
              <w:fldChar w:fldCharType="begin"/>
            </w:r>
            <w:r w:rsidR="0037736A" w:rsidRPr="0037736A">
              <w:rPr>
                <w:noProof/>
                <w:webHidden/>
                <w:sz w:val="20"/>
              </w:rPr>
              <w:instrText xml:space="preserve"> PAGEREF _Toc42697971 \h </w:instrText>
            </w:r>
            <w:r w:rsidR="0037736A" w:rsidRPr="0037736A">
              <w:rPr>
                <w:noProof/>
                <w:webHidden/>
                <w:color w:val="2B579A"/>
                <w:sz w:val="20"/>
                <w:shd w:val="clear" w:color="auto" w:fill="E6E6E6"/>
              </w:rPr>
            </w:r>
            <w:r w:rsidR="0037736A" w:rsidRPr="0037736A">
              <w:rPr>
                <w:noProof/>
                <w:webHidden/>
                <w:color w:val="2B579A"/>
                <w:sz w:val="20"/>
                <w:shd w:val="clear" w:color="auto" w:fill="E6E6E6"/>
              </w:rPr>
              <w:fldChar w:fldCharType="separate"/>
            </w:r>
            <w:r w:rsidR="0037736A" w:rsidRPr="0037736A">
              <w:rPr>
                <w:noProof/>
                <w:webHidden/>
                <w:sz w:val="20"/>
              </w:rPr>
              <w:t>2</w:t>
            </w:r>
            <w:r w:rsidR="0037736A" w:rsidRPr="0037736A">
              <w:rPr>
                <w:noProof/>
                <w:webHidden/>
                <w:color w:val="2B579A"/>
                <w:sz w:val="20"/>
                <w:shd w:val="clear" w:color="auto" w:fill="E6E6E6"/>
              </w:rPr>
              <w:fldChar w:fldCharType="end"/>
            </w:r>
          </w:hyperlink>
        </w:p>
        <w:p w14:paraId="3B9FC144" w14:textId="77777777" w:rsidR="0037736A" w:rsidRPr="0037736A" w:rsidRDefault="00450104" w:rsidP="0037736A">
          <w:pPr>
            <w:keepNext/>
            <w:keepLines/>
            <w:tabs>
              <w:tab w:val="right" w:leader="dot" w:pos="10206"/>
            </w:tabs>
            <w:spacing w:after="60" w:line="270" w:lineRule="atLeast"/>
            <w:rPr>
              <w:rFonts w:asciiTheme="minorHAnsi" w:eastAsiaTheme="minorEastAsia" w:hAnsiTheme="minorHAnsi" w:cstheme="minorBidi"/>
              <w:noProof/>
              <w:sz w:val="22"/>
              <w:szCs w:val="22"/>
              <w:lang w:eastAsia="en-AU"/>
            </w:rPr>
          </w:pPr>
          <w:hyperlink w:anchor="_Toc42697972" w:history="1">
            <w:r w:rsidR="0037736A" w:rsidRPr="0037736A">
              <w:rPr>
                <w:noProof/>
                <w:color w:val="0072CE"/>
                <w:sz w:val="20"/>
                <w:u w:val="dotted"/>
              </w:rPr>
              <w:t>Reporting forensic service delivery in the VADC</w:t>
            </w:r>
            <w:r w:rsidR="0037736A" w:rsidRPr="0037736A">
              <w:rPr>
                <w:noProof/>
                <w:webHidden/>
                <w:sz w:val="20"/>
              </w:rPr>
              <w:tab/>
            </w:r>
            <w:r w:rsidR="0037736A" w:rsidRPr="0037736A">
              <w:rPr>
                <w:noProof/>
                <w:webHidden/>
                <w:color w:val="2B579A"/>
                <w:sz w:val="20"/>
                <w:shd w:val="clear" w:color="auto" w:fill="E6E6E6"/>
              </w:rPr>
              <w:fldChar w:fldCharType="begin"/>
            </w:r>
            <w:r w:rsidR="0037736A" w:rsidRPr="0037736A">
              <w:rPr>
                <w:noProof/>
                <w:webHidden/>
                <w:sz w:val="20"/>
              </w:rPr>
              <w:instrText xml:space="preserve"> PAGEREF _Toc42697972 \h </w:instrText>
            </w:r>
            <w:r w:rsidR="0037736A" w:rsidRPr="0037736A">
              <w:rPr>
                <w:noProof/>
                <w:webHidden/>
                <w:color w:val="2B579A"/>
                <w:sz w:val="20"/>
                <w:shd w:val="clear" w:color="auto" w:fill="E6E6E6"/>
              </w:rPr>
            </w:r>
            <w:r w:rsidR="0037736A" w:rsidRPr="0037736A">
              <w:rPr>
                <w:noProof/>
                <w:webHidden/>
                <w:color w:val="2B579A"/>
                <w:sz w:val="20"/>
                <w:shd w:val="clear" w:color="auto" w:fill="E6E6E6"/>
              </w:rPr>
              <w:fldChar w:fldCharType="separate"/>
            </w:r>
            <w:r w:rsidR="0037736A" w:rsidRPr="0037736A">
              <w:rPr>
                <w:noProof/>
                <w:webHidden/>
                <w:sz w:val="20"/>
              </w:rPr>
              <w:t>3</w:t>
            </w:r>
            <w:r w:rsidR="0037736A" w:rsidRPr="0037736A">
              <w:rPr>
                <w:noProof/>
                <w:webHidden/>
                <w:color w:val="2B579A"/>
                <w:sz w:val="20"/>
                <w:shd w:val="clear" w:color="auto" w:fill="E6E6E6"/>
              </w:rPr>
              <w:fldChar w:fldCharType="end"/>
            </w:r>
          </w:hyperlink>
        </w:p>
        <w:p w14:paraId="7AC634A7" w14:textId="77777777" w:rsidR="0037736A" w:rsidRPr="0037736A" w:rsidRDefault="00450104" w:rsidP="0037736A">
          <w:pPr>
            <w:keepNext/>
            <w:keepLines/>
            <w:tabs>
              <w:tab w:val="right" w:leader="dot" w:pos="10206"/>
            </w:tabs>
            <w:spacing w:after="60" w:line="270" w:lineRule="atLeast"/>
            <w:rPr>
              <w:rFonts w:asciiTheme="minorHAnsi" w:eastAsiaTheme="minorEastAsia" w:hAnsiTheme="minorHAnsi" w:cstheme="minorBidi"/>
              <w:noProof/>
              <w:sz w:val="22"/>
              <w:szCs w:val="22"/>
              <w:lang w:eastAsia="en-AU"/>
            </w:rPr>
          </w:pPr>
          <w:hyperlink w:anchor="_Toc42697973" w:history="1">
            <w:r w:rsidR="0037736A" w:rsidRPr="0037736A">
              <w:rPr>
                <w:noProof/>
                <w:color w:val="0072CE"/>
                <w:sz w:val="20"/>
                <w:u w:val="dotted"/>
              </w:rPr>
              <w:t>Obtaining an ACSO identifier code</w:t>
            </w:r>
            <w:r w:rsidR="0037736A" w:rsidRPr="0037736A">
              <w:rPr>
                <w:noProof/>
                <w:webHidden/>
                <w:sz w:val="20"/>
              </w:rPr>
              <w:tab/>
            </w:r>
            <w:r w:rsidR="0037736A" w:rsidRPr="0037736A">
              <w:rPr>
                <w:noProof/>
                <w:webHidden/>
                <w:color w:val="2B579A"/>
                <w:sz w:val="20"/>
                <w:shd w:val="clear" w:color="auto" w:fill="E6E6E6"/>
              </w:rPr>
              <w:fldChar w:fldCharType="begin"/>
            </w:r>
            <w:r w:rsidR="0037736A" w:rsidRPr="0037736A">
              <w:rPr>
                <w:noProof/>
                <w:webHidden/>
                <w:sz w:val="20"/>
              </w:rPr>
              <w:instrText xml:space="preserve"> PAGEREF _Toc42697973 \h </w:instrText>
            </w:r>
            <w:r w:rsidR="0037736A" w:rsidRPr="0037736A">
              <w:rPr>
                <w:noProof/>
                <w:webHidden/>
                <w:color w:val="2B579A"/>
                <w:sz w:val="20"/>
                <w:shd w:val="clear" w:color="auto" w:fill="E6E6E6"/>
              </w:rPr>
            </w:r>
            <w:r w:rsidR="0037736A" w:rsidRPr="0037736A">
              <w:rPr>
                <w:noProof/>
                <w:webHidden/>
                <w:color w:val="2B579A"/>
                <w:sz w:val="20"/>
                <w:shd w:val="clear" w:color="auto" w:fill="E6E6E6"/>
              </w:rPr>
              <w:fldChar w:fldCharType="separate"/>
            </w:r>
            <w:r w:rsidR="0037736A" w:rsidRPr="0037736A">
              <w:rPr>
                <w:noProof/>
                <w:webHidden/>
                <w:sz w:val="20"/>
              </w:rPr>
              <w:t>3</w:t>
            </w:r>
            <w:r w:rsidR="0037736A" w:rsidRPr="0037736A">
              <w:rPr>
                <w:noProof/>
                <w:webHidden/>
                <w:color w:val="2B579A"/>
                <w:sz w:val="20"/>
                <w:shd w:val="clear" w:color="auto" w:fill="E6E6E6"/>
              </w:rPr>
              <w:fldChar w:fldCharType="end"/>
            </w:r>
          </w:hyperlink>
        </w:p>
        <w:p w14:paraId="20DEDA8A" w14:textId="77777777" w:rsidR="0037736A" w:rsidRPr="0037736A" w:rsidRDefault="00450104" w:rsidP="0037736A">
          <w:pPr>
            <w:keepNext/>
            <w:keepLines/>
            <w:tabs>
              <w:tab w:val="right" w:leader="dot" w:pos="10206"/>
            </w:tabs>
            <w:spacing w:after="60" w:line="270" w:lineRule="atLeast"/>
            <w:rPr>
              <w:rFonts w:asciiTheme="minorHAnsi" w:eastAsiaTheme="minorEastAsia" w:hAnsiTheme="minorHAnsi" w:cstheme="minorBidi"/>
              <w:noProof/>
              <w:sz w:val="22"/>
              <w:szCs w:val="22"/>
              <w:lang w:eastAsia="en-AU"/>
            </w:rPr>
          </w:pPr>
          <w:hyperlink w:anchor="_Toc42697974" w:history="1">
            <w:r w:rsidR="0037736A" w:rsidRPr="0037736A">
              <w:rPr>
                <w:noProof/>
                <w:color w:val="0072CE"/>
                <w:sz w:val="20"/>
                <w:u w:val="dotted"/>
              </w:rPr>
              <w:t>Review of forensic client definition policy for 2021-22</w:t>
            </w:r>
            <w:r w:rsidR="0037736A" w:rsidRPr="0037736A">
              <w:rPr>
                <w:noProof/>
                <w:webHidden/>
                <w:sz w:val="20"/>
              </w:rPr>
              <w:tab/>
            </w:r>
            <w:r w:rsidR="0037736A" w:rsidRPr="0037736A">
              <w:rPr>
                <w:noProof/>
                <w:webHidden/>
                <w:color w:val="2B579A"/>
                <w:sz w:val="20"/>
                <w:shd w:val="clear" w:color="auto" w:fill="E6E6E6"/>
              </w:rPr>
              <w:fldChar w:fldCharType="begin"/>
            </w:r>
            <w:r w:rsidR="0037736A" w:rsidRPr="0037736A">
              <w:rPr>
                <w:noProof/>
                <w:webHidden/>
                <w:sz w:val="20"/>
              </w:rPr>
              <w:instrText xml:space="preserve"> PAGEREF _Toc42697974 \h </w:instrText>
            </w:r>
            <w:r w:rsidR="0037736A" w:rsidRPr="0037736A">
              <w:rPr>
                <w:noProof/>
                <w:webHidden/>
                <w:color w:val="2B579A"/>
                <w:sz w:val="20"/>
                <w:shd w:val="clear" w:color="auto" w:fill="E6E6E6"/>
              </w:rPr>
            </w:r>
            <w:r w:rsidR="0037736A" w:rsidRPr="0037736A">
              <w:rPr>
                <w:noProof/>
                <w:webHidden/>
                <w:color w:val="2B579A"/>
                <w:sz w:val="20"/>
                <w:shd w:val="clear" w:color="auto" w:fill="E6E6E6"/>
              </w:rPr>
              <w:fldChar w:fldCharType="separate"/>
            </w:r>
            <w:r w:rsidR="0037736A" w:rsidRPr="0037736A">
              <w:rPr>
                <w:noProof/>
                <w:webHidden/>
                <w:sz w:val="20"/>
              </w:rPr>
              <w:t>3</w:t>
            </w:r>
            <w:r w:rsidR="0037736A" w:rsidRPr="0037736A">
              <w:rPr>
                <w:noProof/>
                <w:webHidden/>
                <w:color w:val="2B579A"/>
                <w:sz w:val="20"/>
                <w:shd w:val="clear" w:color="auto" w:fill="E6E6E6"/>
              </w:rPr>
              <w:fldChar w:fldCharType="end"/>
            </w:r>
          </w:hyperlink>
        </w:p>
        <w:p w14:paraId="20729AF4" w14:textId="77777777" w:rsidR="0037736A" w:rsidRPr="0037736A" w:rsidRDefault="0037736A" w:rsidP="0037736A">
          <w:pPr>
            <w:spacing w:after="0" w:line="240" w:lineRule="auto"/>
            <w:rPr>
              <w:rFonts w:ascii="Cambria" w:hAnsi="Cambria"/>
              <w:sz w:val="20"/>
            </w:rPr>
          </w:pPr>
          <w:r w:rsidRPr="0037736A">
            <w:rPr>
              <w:rFonts w:ascii="Cambria" w:hAnsi="Cambria"/>
              <w:b/>
              <w:bCs/>
              <w:noProof/>
              <w:color w:val="2B579A"/>
              <w:sz w:val="20"/>
              <w:shd w:val="clear" w:color="auto" w:fill="E6E6E6"/>
            </w:rPr>
            <w:fldChar w:fldCharType="end"/>
          </w:r>
        </w:p>
      </w:sdtContent>
    </w:sdt>
    <w:p w14:paraId="67AF4CAB" w14:textId="77777777" w:rsidR="0037736A" w:rsidRPr="0037736A" w:rsidRDefault="0037736A" w:rsidP="0037736A">
      <w:pPr>
        <w:keepNext/>
        <w:keepLines/>
        <w:spacing w:before="320" w:after="200" w:line="440" w:lineRule="atLeast"/>
        <w:outlineLvl w:val="0"/>
        <w:rPr>
          <w:rFonts w:eastAsia="MS Gothic" w:cs="Arial"/>
          <w:bCs/>
          <w:color w:val="943634" w:themeColor="accent2" w:themeShade="BF"/>
          <w:kern w:val="32"/>
          <w:sz w:val="36"/>
          <w:szCs w:val="40"/>
        </w:rPr>
      </w:pPr>
      <w:bookmarkStart w:id="0" w:name="_Toc42697965"/>
      <w:r w:rsidRPr="0037736A">
        <w:rPr>
          <w:rFonts w:eastAsia="MS Gothic" w:cs="Arial"/>
          <w:bCs/>
          <w:color w:val="943634" w:themeColor="accent2" w:themeShade="BF"/>
          <w:kern w:val="32"/>
          <w:sz w:val="36"/>
          <w:szCs w:val="40"/>
        </w:rPr>
        <w:t>About this document</w:t>
      </w:r>
      <w:bookmarkEnd w:id="0"/>
    </w:p>
    <w:p w14:paraId="4B1D27A5" w14:textId="77B5D268" w:rsidR="0037736A" w:rsidRPr="0037736A" w:rsidRDefault="0037736A" w:rsidP="0037736A">
      <w:pPr>
        <w:spacing w:line="270" w:lineRule="atLeast"/>
        <w:rPr>
          <w:sz w:val="20"/>
        </w:rPr>
      </w:pPr>
      <w:r w:rsidRPr="0037736A">
        <w:rPr>
          <w:sz w:val="20"/>
        </w:rPr>
        <w:t>This policy sets out how the department determines which clients accessing alcohol and other drug (AOD) treatment services meet the definition for a forensic client in 202</w:t>
      </w:r>
      <w:r w:rsidR="00BE69BB">
        <w:rPr>
          <w:sz w:val="20"/>
        </w:rPr>
        <w:t>2</w:t>
      </w:r>
      <w:r w:rsidRPr="0037736A">
        <w:rPr>
          <w:sz w:val="20"/>
        </w:rPr>
        <w:t>–2</w:t>
      </w:r>
      <w:r w:rsidR="00BE69BB">
        <w:rPr>
          <w:sz w:val="20"/>
        </w:rPr>
        <w:t>3</w:t>
      </w:r>
      <w:r w:rsidRPr="0037736A">
        <w:rPr>
          <w:sz w:val="20"/>
        </w:rPr>
        <w:t xml:space="preserve">. This policy applies to service providers funded using Drug Treatment Activity Units (DTAU) and Episodes of Care (EOC). </w:t>
      </w:r>
    </w:p>
    <w:p w14:paraId="3886B185" w14:textId="77777777" w:rsidR="0037736A" w:rsidRPr="0037736A" w:rsidRDefault="0037736A" w:rsidP="0037736A">
      <w:pPr>
        <w:spacing w:line="270" w:lineRule="atLeast"/>
        <w:rPr>
          <w:sz w:val="20"/>
        </w:rPr>
      </w:pPr>
      <w:r w:rsidRPr="0037736A">
        <w:rPr>
          <w:sz w:val="20"/>
        </w:rPr>
        <w:t xml:space="preserve">Services delivered to forensic clients funded by DTAU attract a 15% weighting and will contribute to a service provider’s forensic client performance target. Forensic clients who are also Aboriginal will receive the higher weighting for Aboriginal clients of 30%. Where there is no forensic target, providers may be eligible for Fee For Service for activities delivered. </w:t>
      </w:r>
    </w:p>
    <w:p w14:paraId="22550739" w14:textId="77777777" w:rsidR="0037736A" w:rsidRPr="0037736A" w:rsidRDefault="0037736A" w:rsidP="0037736A">
      <w:pPr>
        <w:spacing w:line="270" w:lineRule="atLeast"/>
        <w:rPr>
          <w:sz w:val="20"/>
        </w:rPr>
      </w:pPr>
      <w:r w:rsidRPr="0037736A">
        <w:rPr>
          <w:sz w:val="20"/>
        </w:rPr>
        <w:t xml:space="preserve">For more information about forensic funding see The AOD Program Guidelines, Part 3, Section 5.3, available at </w:t>
      </w:r>
      <w:hyperlink r:id="rId24" w:history="1">
        <w:r w:rsidRPr="0037736A">
          <w:rPr>
            <w:color w:val="0072CE"/>
            <w:sz w:val="20"/>
            <w:u w:val="dotted"/>
          </w:rPr>
          <w:t>https://www2.health.vic.gov.au/alcohol-and-drugs/aod-service-standards-guidelines/aod-program-guidelines</w:t>
        </w:r>
      </w:hyperlink>
      <w:r w:rsidRPr="0037736A">
        <w:rPr>
          <w:sz w:val="20"/>
        </w:rPr>
        <w:t xml:space="preserve"> </w:t>
      </w:r>
    </w:p>
    <w:p w14:paraId="3302C942" w14:textId="77777777" w:rsidR="0037736A" w:rsidRPr="0037736A" w:rsidRDefault="0037736A" w:rsidP="0037736A">
      <w:pPr>
        <w:keepNext/>
        <w:keepLines/>
        <w:spacing w:before="240" w:after="90" w:line="320" w:lineRule="atLeast"/>
        <w:outlineLvl w:val="1"/>
        <w:rPr>
          <w:b/>
          <w:color w:val="943634" w:themeColor="accent2" w:themeShade="BF"/>
          <w:sz w:val="28"/>
          <w:szCs w:val="28"/>
        </w:rPr>
      </w:pPr>
      <w:bookmarkStart w:id="1" w:name="_Toc42697966"/>
      <w:r w:rsidRPr="0037736A">
        <w:rPr>
          <w:b/>
          <w:color w:val="943634" w:themeColor="accent2" w:themeShade="BF"/>
          <w:sz w:val="28"/>
          <w:szCs w:val="28"/>
        </w:rPr>
        <w:t>Defining characteristics of a forensic AOD client</w:t>
      </w:r>
      <w:bookmarkEnd w:id="1"/>
    </w:p>
    <w:p w14:paraId="0CEFC19F" w14:textId="77777777" w:rsidR="0037736A" w:rsidRPr="0037736A" w:rsidRDefault="0037736A" w:rsidP="0037736A">
      <w:pPr>
        <w:spacing w:line="270" w:lineRule="atLeast"/>
        <w:rPr>
          <w:rFonts w:eastAsia="Times"/>
          <w:sz w:val="20"/>
        </w:rPr>
      </w:pPr>
      <w:r w:rsidRPr="0037736A">
        <w:rPr>
          <w:rFonts w:eastAsia="Times"/>
          <w:sz w:val="20"/>
        </w:rPr>
        <w:t>Forensic clients are people who access AOD treatment as a result of their contact with the criminal justice system. Most forensic clients are mandated to attend treatment as a condition of their order or diversion. However, some are referred voluntarily via ’Other Diversion’ pathways.</w:t>
      </w:r>
    </w:p>
    <w:p w14:paraId="64E39FAA" w14:textId="77777777" w:rsidR="0037736A" w:rsidRPr="0037736A" w:rsidRDefault="0037736A" w:rsidP="0037736A">
      <w:pPr>
        <w:spacing w:line="270" w:lineRule="atLeast"/>
        <w:rPr>
          <w:rFonts w:eastAsia="Times"/>
          <w:sz w:val="20"/>
        </w:rPr>
      </w:pPr>
      <w:r w:rsidRPr="0037736A">
        <w:rPr>
          <w:rFonts w:eastAsia="Times"/>
          <w:sz w:val="20"/>
        </w:rPr>
        <w:t>The department considers a forensic client as having one or more of the following defining characteristics:</w:t>
      </w:r>
    </w:p>
    <w:p w14:paraId="0B7131B9" w14:textId="0195E6C1" w:rsidR="0037736A" w:rsidRPr="0037736A" w:rsidRDefault="0037736A" w:rsidP="0037736A">
      <w:pPr>
        <w:numPr>
          <w:ilvl w:val="0"/>
          <w:numId w:val="40"/>
        </w:numPr>
        <w:spacing w:after="40" w:line="270" w:lineRule="atLeast"/>
        <w:ind w:left="644"/>
        <w:rPr>
          <w:rFonts w:eastAsia="Times"/>
          <w:sz w:val="20"/>
          <w:lang w:eastAsia="en-AU"/>
        </w:rPr>
      </w:pPr>
      <w:r w:rsidRPr="0037736A">
        <w:rPr>
          <w:rFonts w:eastAsia="Times"/>
          <w:sz w:val="20"/>
          <w:lang w:eastAsia="en-AU"/>
        </w:rPr>
        <w:t>Client has judicial direction to undertake assessment/</w:t>
      </w:r>
      <w:r w:rsidR="00BA4BB2" w:rsidRPr="0037736A">
        <w:rPr>
          <w:rFonts w:eastAsia="Times"/>
          <w:sz w:val="20"/>
          <w:lang w:eastAsia="en-AU"/>
        </w:rPr>
        <w:t>treatment.</w:t>
      </w:r>
    </w:p>
    <w:p w14:paraId="108D4E71" w14:textId="7535CC58" w:rsidR="0037736A" w:rsidRPr="0037736A" w:rsidRDefault="0037736A" w:rsidP="0037736A">
      <w:pPr>
        <w:numPr>
          <w:ilvl w:val="0"/>
          <w:numId w:val="40"/>
        </w:numPr>
        <w:spacing w:after="40" w:line="270" w:lineRule="atLeast"/>
        <w:ind w:left="644"/>
        <w:rPr>
          <w:rFonts w:eastAsia="Times"/>
          <w:sz w:val="20"/>
          <w:lang w:eastAsia="en-AU"/>
        </w:rPr>
      </w:pPr>
      <w:r w:rsidRPr="0037736A">
        <w:rPr>
          <w:rFonts w:eastAsia="Times"/>
          <w:sz w:val="20"/>
          <w:lang w:eastAsia="en-AU"/>
        </w:rPr>
        <w:t xml:space="preserve">Clients assigned a Justice Case </w:t>
      </w:r>
      <w:r w:rsidR="00BA4BB2" w:rsidRPr="0037736A">
        <w:rPr>
          <w:rFonts w:eastAsia="Times"/>
          <w:sz w:val="20"/>
          <w:lang w:eastAsia="en-AU"/>
        </w:rPr>
        <w:t>Manager.</w:t>
      </w:r>
    </w:p>
    <w:p w14:paraId="1806FC6D" w14:textId="19C15286" w:rsidR="0037736A" w:rsidRPr="0037736A" w:rsidRDefault="0037736A" w:rsidP="0037736A">
      <w:pPr>
        <w:numPr>
          <w:ilvl w:val="0"/>
          <w:numId w:val="40"/>
        </w:numPr>
        <w:spacing w:after="40" w:line="270" w:lineRule="atLeast"/>
        <w:ind w:left="644"/>
        <w:rPr>
          <w:rFonts w:eastAsia="Times"/>
          <w:sz w:val="20"/>
          <w:lang w:eastAsia="en-AU"/>
        </w:rPr>
      </w:pPr>
      <w:r w:rsidRPr="0037736A">
        <w:rPr>
          <w:rFonts w:eastAsia="Times"/>
          <w:sz w:val="20"/>
          <w:lang w:eastAsia="en-AU"/>
        </w:rPr>
        <w:t xml:space="preserve">Clients receiving treatment as a diversion from the criminal justice </w:t>
      </w:r>
      <w:r w:rsidR="00BA4BB2" w:rsidRPr="0037736A">
        <w:rPr>
          <w:rFonts w:eastAsia="Times"/>
          <w:sz w:val="20"/>
          <w:lang w:eastAsia="en-AU"/>
        </w:rPr>
        <w:t>system.</w:t>
      </w:r>
    </w:p>
    <w:p w14:paraId="5F0E9DFD" w14:textId="77777777" w:rsidR="0037736A" w:rsidRPr="0037736A" w:rsidRDefault="0037736A" w:rsidP="0037736A">
      <w:pPr>
        <w:numPr>
          <w:ilvl w:val="0"/>
          <w:numId w:val="40"/>
        </w:numPr>
        <w:spacing w:after="40" w:line="270" w:lineRule="atLeast"/>
        <w:ind w:left="644"/>
        <w:rPr>
          <w:rFonts w:eastAsia="Times"/>
          <w:sz w:val="20"/>
          <w:lang w:eastAsia="en-AU"/>
        </w:rPr>
      </w:pPr>
      <w:r w:rsidRPr="0037736A">
        <w:rPr>
          <w:rFonts w:eastAsia="Times"/>
          <w:sz w:val="20"/>
          <w:lang w:eastAsia="en-AU"/>
        </w:rPr>
        <w:t xml:space="preserve">Clients with an ACSO COATS </w:t>
      </w:r>
      <w:r w:rsidRPr="0037736A">
        <w:rPr>
          <w:rFonts w:eastAsia="Times"/>
          <w:sz w:val="20"/>
        </w:rPr>
        <w:t xml:space="preserve">identifier code </w:t>
      </w:r>
      <w:r w:rsidRPr="0037736A">
        <w:rPr>
          <w:rFonts w:eastAsia="Times"/>
          <w:sz w:val="20"/>
          <w:lang w:eastAsia="en-AU"/>
        </w:rPr>
        <w:t>/ in Penelope / has a TCA; and/or</w:t>
      </w:r>
    </w:p>
    <w:p w14:paraId="4ECFDC2F" w14:textId="53CB0240" w:rsidR="0037736A" w:rsidRPr="0037736A" w:rsidRDefault="0037736A" w:rsidP="0037736A">
      <w:pPr>
        <w:numPr>
          <w:ilvl w:val="0"/>
          <w:numId w:val="40"/>
        </w:numPr>
        <w:spacing w:after="40" w:line="270" w:lineRule="atLeast"/>
        <w:ind w:left="644"/>
        <w:rPr>
          <w:rFonts w:ascii="Cambria" w:eastAsia="Times" w:hAnsi="Cambria"/>
          <w:sz w:val="20"/>
        </w:rPr>
      </w:pPr>
      <w:r w:rsidRPr="0037736A">
        <w:rPr>
          <w:rFonts w:eastAsia="Times"/>
          <w:sz w:val="20"/>
          <w:lang w:eastAsia="en-AU"/>
        </w:rPr>
        <w:t xml:space="preserve">Clients with current or future matters </w:t>
      </w:r>
      <w:r w:rsidR="00F17B92">
        <w:rPr>
          <w:rFonts w:eastAsia="Times"/>
          <w:sz w:val="20"/>
          <w:lang w:eastAsia="en-AU"/>
        </w:rPr>
        <w:t xml:space="preserve">in the criminal justice system </w:t>
      </w:r>
      <w:r w:rsidRPr="0037736A">
        <w:rPr>
          <w:rFonts w:eastAsia="Times"/>
          <w:sz w:val="20"/>
          <w:lang w:eastAsia="en-AU"/>
        </w:rPr>
        <w:t xml:space="preserve">(i.e. </w:t>
      </w:r>
      <w:r w:rsidR="00F17B92">
        <w:rPr>
          <w:rFonts w:eastAsia="Times"/>
          <w:sz w:val="20"/>
          <w:lang w:eastAsia="en-AU"/>
        </w:rPr>
        <w:t xml:space="preserve">must have a </w:t>
      </w:r>
      <w:r w:rsidRPr="0037736A">
        <w:rPr>
          <w:rFonts w:eastAsia="Times"/>
          <w:sz w:val="20"/>
          <w:lang w:eastAsia="en-AU"/>
        </w:rPr>
        <w:t>court date pending, rather than past involvement) </w:t>
      </w:r>
    </w:p>
    <w:p w14:paraId="173ED8C9" w14:textId="77777777" w:rsidR="0037736A" w:rsidRPr="0037736A" w:rsidRDefault="0037736A" w:rsidP="0037736A">
      <w:pPr>
        <w:keepNext/>
        <w:keepLines/>
        <w:spacing w:before="240" w:after="90" w:line="320" w:lineRule="atLeast"/>
        <w:outlineLvl w:val="1"/>
        <w:rPr>
          <w:b/>
          <w:color w:val="943634" w:themeColor="accent2" w:themeShade="BF"/>
          <w:sz w:val="28"/>
          <w:szCs w:val="28"/>
        </w:rPr>
      </w:pPr>
      <w:bookmarkStart w:id="2" w:name="_Toc42697967"/>
      <w:r w:rsidRPr="0037736A">
        <w:rPr>
          <w:b/>
          <w:color w:val="943634" w:themeColor="accent2" w:themeShade="BF"/>
          <w:sz w:val="28"/>
          <w:szCs w:val="28"/>
        </w:rPr>
        <w:lastRenderedPageBreak/>
        <w:t>Accepted forensic client types</w:t>
      </w:r>
      <w:bookmarkEnd w:id="2"/>
    </w:p>
    <w:p w14:paraId="610F4519" w14:textId="77777777" w:rsidR="0037736A" w:rsidRPr="0037736A" w:rsidRDefault="0037736A" w:rsidP="0037736A">
      <w:pPr>
        <w:keepNext/>
        <w:keepLines/>
        <w:numPr>
          <w:ilvl w:val="0"/>
          <w:numId w:val="44"/>
        </w:numPr>
        <w:spacing w:before="280" w:after="0" w:line="240" w:lineRule="auto"/>
        <w:ind w:left="360"/>
        <w:outlineLvl w:val="2"/>
        <w:rPr>
          <w:rFonts w:eastAsia="MS Gothic"/>
          <w:b/>
          <w:bCs/>
          <w:sz w:val="24"/>
          <w:szCs w:val="26"/>
        </w:rPr>
      </w:pPr>
      <w:bookmarkStart w:id="3" w:name="_Toc42697968"/>
      <w:r w:rsidRPr="0037736A">
        <w:rPr>
          <w:rFonts w:eastAsia="MS Gothic"/>
          <w:b/>
          <w:bCs/>
          <w:sz w:val="24"/>
          <w:szCs w:val="26"/>
        </w:rPr>
        <w:t>ACSO COATS clients</w:t>
      </w:r>
      <w:bookmarkEnd w:id="3"/>
    </w:p>
    <w:p w14:paraId="21DAC51F" w14:textId="77777777" w:rsidR="0037736A" w:rsidRPr="0037736A" w:rsidRDefault="0037736A" w:rsidP="0037736A">
      <w:pPr>
        <w:spacing w:line="270" w:lineRule="atLeast"/>
        <w:rPr>
          <w:rFonts w:ascii="Helvetica" w:eastAsia="Times" w:hAnsi="Helvetica" w:cs="Helvetica"/>
          <w:sz w:val="20"/>
          <w:shd w:val="clear" w:color="auto" w:fill="FFFFFF"/>
        </w:rPr>
      </w:pPr>
      <w:r w:rsidRPr="0037736A">
        <w:rPr>
          <w:rFonts w:ascii="Helvetica" w:eastAsia="Times" w:hAnsi="Helvetica" w:cs="Helvetica"/>
          <w:sz w:val="20"/>
          <w:shd w:val="clear" w:color="auto" w:fill="FFFFFF"/>
        </w:rPr>
        <w:t xml:space="preserve">The Australian Community Support Organisation’s (ACSO) Community Offenders Advice and Treatment Service (COATS) undertakes the majority of forensic intake and assessment services for forensic clients. </w:t>
      </w:r>
    </w:p>
    <w:p w14:paraId="60C90576" w14:textId="77777777" w:rsidR="0037736A" w:rsidRPr="0037736A" w:rsidRDefault="0037736A" w:rsidP="0037736A">
      <w:pPr>
        <w:spacing w:line="270" w:lineRule="atLeast"/>
        <w:rPr>
          <w:rFonts w:eastAsia="Times"/>
          <w:sz w:val="20"/>
        </w:rPr>
      </w:pPr>
      <w:r w:rsidRPr="0037736A">
        <w:rPr>
          <w:rFonts w:eastAsia="Times"/>
          <w:sz w:val="20"/>
        </w:rPr>
        <w:t>The following client types assessed by ACSO meet the department’s definition for a forensic client:</w:t>
      </w:r>
    </w:p>
    <w:p w14:paraId="1AE3597C" w14:textId="77777777" w:rsidR="0037736A" w:rsidRPr="0037736A" w:rsidRDefault="0037736A" w:rsidP="0037736A">
      <w:pPr>
        <w:numPr>
          <w:ilvl w:val="0"/>
          <w:numId w:val="40"/>
        </w:numPr>
        <w:spacing w:after="40" w:line="270" w:lineRule="atLeast"/>
        <w:ind w:left="644"/>
        <w:rPr>
          <w:rFonts w:eastAsia="Times"/>
          <w:sz w:val="20"/>
        </w:rPr>
      </w:pPr>
      <w:r w:rsidRPr="0037736A">
        <w:rPr>
          <w:rFonts w:eastAsia="Times"/>
          <w:sz w:val="20"/>
        </w:rPr>
        <w:t>Clients on Community Corrections Orders (CCO), including those on a combined CCO/imprisonment order, and those on parole; </w:t>
      </w:r>
      <w:bookmarkStart w:id="4" w:name="_Hlk42172519"/>
      <w:bookmarkEnd w:id="4"/>
      <w:r w:rsidRPr="0037736A">
        <w:rPr>
          <w:rFonts w:eastAsia="Times"/>
          <w:sz w:val="20"/>
        </w:rPr>
        <w:t>and</w:t>
      </w:r>
    </w:p>
    <w:p w14:paraId="1EECA6D1" w14:textId="77777777" w:rsidR="0037736A" w:rsidRPr="0037736A" w:rsidRDefault="0037736A" w:rsidP="0037736A">
      <w:pPr>
        <w:numPr>
          <w:ilvl w:val="0"/>
          <w:numId w:val="40"/>
        </w:numPr>
        <w:spacing w:after="40" w:line="270" w:lineRule="atLeast"/>
        <w:ind w:left="644"/>
        <w:rPr>
          <w:rFonts w:eastAsia="Times"/>
          <w:sz w:val="20"/>
        </w:rPr>
      </w:pPr>
      <w:r w:rsidRPr="0037736A">
        <w:rPr>
          <w:rFonts w:eastAsia="Times"/>
          <w:sz w:val="20"/>
        </w:rPr>
        <w:t>StepOut program participants.</w:t>
      </w:r>
    </w:p>
    <w:p w14:paraId="77C85F50" w14:textId="77777777" w:rsidR="0037736A" w:rsidRPr="0037736A" w:rsidRDefault="0037736A" w:rsidP="0037736A">
      <w:pPr>
        <w:keepNext/>
        <w:keepLines/>
        <w:numPr>
          <w:ilvl w:val="0"/>
          <w:numId w:val="44"/>
        </w:numPr>
        <w:spacing w:before="280" w:after="0" w:line="240" w:lineRule="auto"/>
        <w:ind w:left="360"/>
        <w:outlineLvl w:val="2"/>
        <w:rPr>
          <w:rFonts w:eastAsia="MS Gothic"/>
          <w:b/>
          <w:bCs/>
          <w:sz w:val="24"/>
          <w:szCs w:val="26"/>
        </w:rPr>
      </w:pPr>
      <w:bookmarkStart w:id="5" w:name="_Toc42697969"/>
      <w:r w:rsidRPr="0037736A">
        <w:rPr>
          <w:rFonts w:eastAsia="MS Gothic"/>
          <w:b/>
          <w:bCs/>
          <w:sz w:val="24"/>
          <w:szCs w:val="26"/>
        </w:rPr>
        <w:t>Youth Justice referral clients</w:t>
      </w:r>
      <w:bookmarkEnd w:id="5"/>
    </w:p>
    <w:p w14:paraId="5CFD7387" w14:textId="77777777" w:rsidR="0037736A" w:rsidRPr="0037736A" w:rsidRDefault="0037736A" w:rsidP="0037736A">
      <w:pPr>
        <w:spacing w:line="270" w:lineRule="atLeast"/>
        <w:rPr>
          <w:rFonts w:eastAsia="Times"/>
          <w:sz w:val="20"/>
        </w:rPr>
      </w:pPr>
      <w:r w:rsidRPr="0037736A">
        <w:rPr>
          <w:rFonts w:eastAsia="Times"/>
          <w:sz w:val="20"/>
        </w:rPr>
        <w:t xml:space="preserve">Clients on </w:t>
      </w:r>
      <w:r w:rsidRPr="0037736A">
        <w:rPr>
          <w:rFonts w:ascii="Helvetica" w:eastAsia="Times" w:hAnsi="Helvetica" w:cs="Helvetica"/>
          <w:sz w:val="20"/>
          <w:shd w:val="clear" w:color="auto" w:fill="FFFFFF"/>
        </w:rPr>
        <w:t xml:space="preserve">Youth Justice Community Based Orders </w:t>
      </w:r>
      <w:r w:rsidRPr="0037736A">
        <w:rPr>
          <w:rFonts w:eastAsia="Times"/>
          <w:sz w:val="20"/>
        </w:rPr>
        <w:t>meet the department’s definition for a forensic client.</w:t>
      </w:r>
    </w:p>
    <w:p w14:paraId="0245D870" w14:textId="77777777" w:rsidR="0037736A" w:rsidRPr="0037736A" w:rsidRDefault="0037736A" w:rsidP="0037736A">
      <w:pPr>
        <w:keepNext/>
        <w:keepLines/>
        <w:numPr>
          <w:ilvl w:val="0"/>
          <w:numId w:val="44"/>
        </w:numPr>
        <w:spacing w:before="280" w:after="0" w:line="240" w:lineRule="auto"/>
        <w:ind w:left="360"/>
        <w:outlineLvl w:val="2"/>
        <w:rPr>
          <w:rFonts w:eastAsia="MS Gothic"/>
          <w:b/>
          <w:bCs/>
          <w:sz w:val="24"/>
          <w:szCs w:val="26"/>
        </w:rPr>
      </w:pPr>
      <w:r w:rsidRPr="0037736A">
        <w:rPr>
          <w:rFonts w:eastAsia="MS Gothic"/>
          <w:b/>
          <w:bCs/>
          <w:sz w:val="24"/>
          <w:szCs w:val="26"/>
        </w:rPr>
        <w:t>Court diversion programs</w:t>
      </w:r>
    </w:p>
    <w:p w14:paraId="4C8D04B9" w14:textId="77777777" w:rsidR="0037736A" w:rsidRPr="0037736A" w:rsidRDefault="0037736A" w:rsidP="0037736A">
      <w:pPr>
        <w:spacing w:line="270" w:lineRule="atLeast"/>
        <w:rPr>
          <w:rFonts w:eastAsia="Times"/>
          <w:sz w:val="20"/>
        </w:rPr>
      </w:pPr>
      <w:r w:rsidRPr="0037736A">
        <w:rPr>
          <w:rFonts w:eastAsia="Times"/>
          <w:sz w:val="20"/>
        </w:rPr>
        <w:t xml:space="preserve">Including Drug Court, Court Integrated Services Program (CISP), CISP Remand Outreach Program (CROP), Court Referral and Evaluation for Drug Intervention and Treatment (CREDIT) and Bail Support Program, Neighbourhood Justice Centre, Assessment and Referral Court (ARC) List. </w:t>
      </w:r>
    </w:p>
    <w:p w14:paraId="58FB045A" w14:textId="77777777" w:rsidR="0037736A" w:rsidRPr="0037736A" w:rsidRDefault="0037736A" w:rsidP="0037736A">
      <w:pPr>
        <w:keepNext/>
        <w:keepLines/>
        <w:numPr>
          <w:ilvl w:val="0"/>
          <w:numId w:val="44"/>
        </w:numPr>
        <w:spacing w:before="280" w:after="0" w:line="240" w:lineRule="auto"/>
        <w:ind w:left="360"/>
        <w:outlineLvl w:val="2"/>
        <w:rPr>
          <w:rFonts w:eastAsia="MS Gothic"/>
          <w:b/>
          <w:bCs/>
          <w:sz w:val="24"/>
          <w:szCs w:val="26"/>
        </w:rPr>
      </w:pPr>
      <w:r w:rsidRPr="0037736A">
        <w:rPr>
          <w:rFonts w:eastAsia="MS Gothic"/>
          <w:b/>
          <w:bCs/>
          <w:sz w:val="24"/>
          <w:szCs w:val="26"/>
        </w:rPr>
        <w:t>Police diversion</w:t>
      </w:r>
    </w:p>
    <w:p w14:paraId="30E2C4B1" w14:textId="77777777" w:rsidR="0037736A" w:rsidRPr="0037736A" w:rsidRDefault="0037736A" w:rsidP="0037736A">
      <w:pPr>
        <w:spacing w:line="270" w:lineRule="atLeast"/>
        <w:rPr>
          <w:rFonts w:eastAsia="Times"/>
          <w:sz w:val="20"/>
        </w:rPr>
      </w:pPr>
      <w:r w:rsidRPr="0037736A">
        <w:rPr>
          <w:rFonts w:eastAsia="Times"/>
          <w:sz w:val="20"/>
        </w:rPr>
        <w:t>Referral from Victoria Police, including Drug Diversion Assessment Line (DDAL). </w:t>
      </w:r>
    </w:p>
    <w:p w14:paraId="06A08588" w14:textId="77777777" w:rsidR="0037736A" w:rsidRPr="0037736A" w:rsidRDefault="0037736A" w:rsidP="0037736A">
      <w:pPr>
        <w:keepNext/>
        <w:keepLines/>
        <w:numPr>
          <w:ilvl w:val="0"/>
          <w:numId w:val="44"/>
        </w:numPr>
        <w:spacing w:before="280" w:after="0" w:line="240" w:lineRule="auto"/>
        <w:ind w:left="360"/>
        <w:outlineLvl w:val="2"/>
        <w:rPr>
          <w:rFonts w:eastAsia="MS Gothic"/>
          <w:b/>
          <w:bCs/>
          <w:sz w:val="24"/>
          <w:szCs w:val="26"/>
        </w:rPr>
      </w:pPr>
      <w:bookmarkStart w:id="6" w:name="_Toc42697970"/>
      <w:r w:rsidRPr="0037736A">
        <w:rPr>
          <w:rFonts w:eastAsia="MS Gothic"/>
          <w:b/>
          <w:bCs/>
          <w:sz w:val="24"/>
          <w:szCs w:val="26"/>
        </w:rPr>
        <w:t>‘Other Diversion’ referral clients</w:t>
      </w:r>
      <w:bookmarkEnd w:id="6"/>
    </w:p>
    <w:p w14:paraId="572F73F8" w14:textId="77777777" w:rsidR="0037736A" w:rsidRPr="0037736A" w:rsidRDefault="0037736A" w:rsidP="0037736A">
      <w:pPr>
        <w:spacing w:line="270" w:lineRule="atLeast"/>
        <w:rPr>
          <w:rFonts w:eastAsia="Times"/>
          <w:sz w:val="20"/>
        </w:rPr>
      </w:pPr>
      <w:r w:rsidRPr="0037736A">
        <w:rPr>
          <w:rFonts w:eastAsia="Times"/>
          <w:sz w:val="20"/>
        </w:rPr>
        <w:t xml:space="preserve">Catchment-based intake services provide intake, assessment and brief intervention services for voluntary diversion clients. These clients are voluntary as they are not mandated to attend AOD treatment. </w:t>
      </w:r>
    </w:p>
    <w:p w14:paraId="5280C876" w14:textId="77777777" w:rsidR="0037736A" w:rsidRPr="0037736A" w:rsidRDefault="0037736A" w:rsidP="0037736A">
      <w:pPr>
        <w:spacing w:line="270" w:lineRule="atLeast"/>
        <w:rPr>
          <w:rFonts w:eastAsia="Times"/>
          <w:sz w:val="20"/>
        </w:rPr>
      </w:pPr>
      <w:r w:rsidRPr="0037736A">
        <w:rPr>
          <w:rFonts w:eastAsia="Times"/>
          <w:sz w:val="20"/>
        </w:rPr>
        <w:t>‘Other Diversion’ clients will meet the department’s definition for forensic client if they:</w:t>
      </w:r>
    </w:p>
    <w:p w14:paraId="319728C4" w14:textId="77777777" w:rsidR="0037736A" w:rsidRPr="0037736A" w:rsidRDefault="0037736A" w:rsidP="0037736A">
      <w:pPr>
        <w:numPr>
          <w:ilvl w:val="0"/>
          <w:numId w:val="43"/>
        </w:numPr>
        <w:spacing w:after="0" w:line="270" w:lineRule="atLeast"/>
        <w:ind w:left="360"/>
        <w:rPr>
          <w:rFonts w:eastAsia="Times"/>
          <w:sz w:val="20"/>
        </w:rPr>
      </w:pPr>
      <w:r w:rsidRPr="0037736A">
        <w:rPr>
          <w:rFonts w:eastAsia="Times"/>
          <w:sz w:val="20"/>
        </w:rPr>
        <w:t xml:space="preserve">are </w:t>
      </w:r>
      <w:r w:rsidRPr="0037736A">
        <w:rPr>
          <w:rFonts w:eastAsia="Times"/>
          <w:sz w:val="20"/>
          <w:u w:val="single"/>
        </w:rPr>
        <w:t>not on an existing order</w:t>
      </w:r>
      <w:r w:rsidRPr="0037736A">
        <w:rPr>
          <w:rFonts w:eastAsia="Times"/>
          <w:sz w:val="20"/>
        </w:rPr>
        <w:t xml:space="preserve"> with Department of Justice and Community Safety or caution from Victoria Police; AND</w:t>
      </w:r>
    </w:p>
    <w:p w14:paraId="0F03AF23" w14:textId="77777777" w:rsidR="0037736A" w:rsidRPr="0037736A" w:rsidRDefault="0037736A" w:rsidP="0037736A">
      <w:pPr>
        <w:numPr>
          <w:ilvl w:val="0"/>
          <w:numId w:val="43"/>
        </w:numPr>
        <w:spacing w:after="0" w:line="270" w:lineRule="atLeast"/>
        <w:ind w:left="360"/>
        <w:rPr>
          <w:rFonts w:eastAsia="Times"/>
          <w:sz w:val="20"/>
        </w:rPr>
      </w:pPr>
      <w:r w:rsidRPr="0037736A">
        <w:rPr>
          <w:rFonts w:eastAsia="Times"/>
          <w:sz w:val="20"/>
        </w:rPr>
        <w:t>are referred to assessment and treatment by any of the following diversion referral sources:</w:t>
      </w:r>
    </w:p>
    <w:p w14:paraId="1B629394" w14:textId="14E8A95D" w:rsidR="0037736A" w:rsidRPr="0037736A" w:rsidRDefault="0037736A" w:rsidP="0037736A">
      <w:pPr>
        <w:numPr>
          <w:ilvl w:val="0"/>
          <w:numId w:val="40"/>
        </w:numPr>
        <w:spacing w:after="0" w:line="270" w:lineRule="atLeast"/>
        <w:ind w:left="641"/>
        <w:rPr>
          <w:rFonts w:eastAsia="Times"/>
          <w:sz w:val="20"/>
        </w:rPr>
      </w:pPr>
      <w:r w:rsidRPr="0037736A">
        <w:rPr>
          <w:rFonts w:eastAsia="Times"/>
          <w:sz w:val="20"/>
        </w:rPr>
        <w:t xml:space="preserve">Koori </w:t>
      </w:r>
      <w:r w:rsidR="00CB67BA" w:rsidRPr="0037736A">
        <w:rPr>
          <w:rFonts w:eastAsia="Times"/>
          <w:sz w:val="20"/>
        </w:rPr>
        <w:t>Court.</w:t>
      </w:r>
    </w:p>
    <w:p w14:paraId="2FC461A5" w14:textId="77777777" w:rsidR="0037736A" w:rsidRPr="0037736A" w:rsidRDefault="0037736A" w:rsidP="0037736A">
      <w:pPr>
        <w:numPr>
          <w:ilvl w:val="0"/>
          <w:numId w:val="40"/>
        </w:numPr>
        <w:spacing w:after="0" w:line="270" w:lineRule="atLeast"/>
        <w:ind w:left="641"/>
        <w:rPr>
          <w:rFonts w:eastAsia="Times"/>
          <w:sz w:val="20"/>
        </w:rPr>
      </w:pPr>
      <w:r w:rsidRPr="0037736A">
        <w:rPr>
          <w:rFonts w:eastAsia="Times"/>
          <w:sz w:val="20"/>
        </w:rPr>
        <w:t>Magistrates Court (not including the formal Court Diversion programs listed above);</w:t>
      </w:r>
    </w:p>
    <w:p w14:paraId="1BE2B85B" w14:textId="3CB61A78" w:rsidR="0037736A" w:rsidRPr="0037736A" w:rsidRDefault="0037736A" w:rsidP="0037736A">
      <w:pPr>
        <w:numPr>
          <w:ilvl w:val="0"/>
          <w:numId w:val="40"/>
        </w:numPr>
        <w:spacing w:after="0" w:line="270" w:lineRule="atLeast"/>
        <w:ind w:left="641"/>
        <w:rPr>
          <w:rFonts w:eastAsia="Times"/>
          <w:sz w:val="20"/>
        </w:rPr>
      </w:pPr>
      <w:r w:rsidRPr="0037736A">
        <w:rPr>
          <w:rFonts w:eastAsia="Times"/>
          <w:sz w:val="20"/>
        </w:rPr>
        <w:t>County </w:t>
      </w:r>
      <w:r w:rsidR="00CB67BA" w:rsidRPr="0037736A">
        <w:rPr>
          <w:rFonts w:eastAsia="Times"/>
          <w:sz w:val="20"/>
        </w:rPr>
        <w:t>Court.</w:t>
      </w:r>
    </w:p>
    <w:p w14:paraId="63C7447D" w14:textId="31224496" w:rsidR="0037736A" w:rsidRPr="0037736A" w:rsidRDefault="0037736A" w:rsidP="0037736A">
      <w:pPr>
        <w:numPr>
          <w:ilvl w:val="0"/>
          <w:numId w:val="40"/>
        </w:numPr>
        <w:spacing w:after="0" w:line="270" w:lineRule="atLeast"/>
        <w:ind w:left="641"/>
        <w:rPr>
          <w:rFonts w:eastAsia="Times"/>
          <w:sz w:val="20"/>
        </w:rPr>
      </w:pPr>
      <w:r w:rsidRPr="0037736A">
        <w:rPr>
          <w:rFonts w:eastAsia="Times"/>
          <w:sz w:val="20"/>
        </w:rPr>
        <w:t xml:space="preserve">Family </w:t>
      </w:r>
      <w:r w:rsidR="00CB67BA" w:rsidRPr="0037736A">
        <w:rPr>
          <w:rFonts w:eastAsia="Times"/>
          <w:sz w:val="20"/>
        </w:rPr>
        <w:t>Court.</w:t>
      </w:r>
    </w:p>
    <w:p w14:paraId="6E9B498C" w14:textId="0AAE03EA" w:rsidR="0037736A" w:rsidRPr="0037736A" w:rsidRDefault="0037736A" w:rsidP="0037736A">
      <w:pPr>
        <w:numPr>
          <w:ilvl w:val="0"/>
          <w:numId w:val="40"/>
        </w:numPr>
        <w:spacing w:after="0" w:line="270" w:lineRule="atLeast"/>
        <w:ind w:left="641"/>
        <w:rPr>
          <w:rFonts w:eastAsia="Times"/>
          <w:sz w:val="20"/>
        </w:rPr>
      </w:pPr>
      <w:r w:rsidRPr="0037736A">
        <w:rPr>
          <w:rFonts w:eastAsia="Times"/>
          <w:sz w:val="20"/>
        </w:rPr>
        <w:t xml:space="preserve">Drink and Drug Driver </w:t>
      </w:r>
      <w:r w:rsidR="00CB67BA" w:rsidRPr="0037736A">
        <w:rPr>
          <w:rFonts w:eastAsia="Times"/>
          <w:sz w:val="20"/>
        </w:rPr>
        <w:t>programs.</w:t>
      </w:r>
    </w:p>
    <w:p w14:paraId="56616D67" w14:textId="50D8DE2E" w:rsidR="0037736A" w:rsidRPr="0037736A" w:rsidRDefault="0037736A" w:rsidP="0037736A">
      <w:pPr>
        <w:numPr>
          <w:ilvl w:val="0"/>
          <w:numId w:val="40"/>
        </w:numPr>
        <w:spacing w:after="0" w:line="270" w:lineRule="atLeast"/>
        <w:ind w:left="641"/>
        <w:rPr>
          <w:rFonts w:eastAsia="Times"/>
          <w:sz w:val="20"/>
        </w:rPr>
      </w:pPr>
      <w:r w:rsidRPr="0037736A">
        <w:rPr>
          <w:rFonts w:eastAsia="Times"/>
          <w:sz w:val="20"/>
        </w:rPr>
        <w:t xml:space="preserve">Child Protection </w:t>
      </w:r>
      <w:r w:rsidR="00CB67BA" w:rsidRPr="0037736A">
        <w:rPr>
          <w:rFonts w:eastAsia="Times"/>
          <w:sz w:val="20"/>
        </w:rPr>
        <w:t>Services.</w:t>
      </w:r>
    </w:p>
    <w:p w14:paraId="72AEF7D5" w14:textId="2AD07111" w:rsidR="0037736A" w:rsidRPr="0037736A" w:rsidRDefault="0037736A" w:rsidP="0037736A">
      <w:pPr>
        <w:numPr>
          <w:ilvl w:val="0"/>
          <w:numId w:val="40"/>
        </w:numPr>
        <w:spacing w:after="0" w:line="270" w:lineRule="atLeast"/>
        <w:ind w:left="641"/>
        <w:rPr>
          <w:rFonts w:eastAsia="Times"/>
          <w:sz w:val="20"/>
        </w:rPr>
      </w:pPr>
      <w:r w:rsidRPr="0037736A">
        <w:rPr>
          <w:rFonts w:eastAsia="Times"/>
          <w:sz w:val="20"/>
        </w:rPr>
        <w:t xml:space="preserve">Referral from Custodial Health Alcohol and Drug </w:t>
      </w:r>
      <w:r w:rsidR="00CB67BA" w:rsidRPr="0037736A">
        <w:rPr>
          <w:rFonts w:eastAsia="Times"/>
          <w:sz w:val="20"/>
        </w:rPr>
        <w:t>Nurse.</w:t>
      </w:r>
    </w:p>
    <w:p w14:paraId="3D66AA67" w14:textId="198E514D" w:rsidR="0037736A" w:rsidRPr="0037736A" w:rsidRDefault="0037736A" w:rsidP="0037736A">
      <w:pPr>
        <w:numPr>
          <w:ilvl w:val="0"/>
          <w:numId w:val="40"/>
        </w:numPr>
        <w:spacing w:after="0" w:line="270" w:lineRule="atLeast"/>
        <w:ind w:left="641"/>
        <w:rPr>
          <w:rFonts w:eastAsia="Times"/>
          <w:sz w:val="20"/>
        </w:rPr>
      </w:pPr>
      <w:bookmarkStart w:id="7" w:name="_Hlk42173084"/>
      <w:r w:rsidRPr="0037736A">
        <w:rPr>
          <w:rFonts w:eastAsia="Times"/>
          <w:sz w:val="20"/>
        </w:rPr>
        <w:t xml:space="preserve">Referral from </w:t>
      </w:r>
      <w:r w:rsidR="00CB67BA" w:rsidRPr="0037736A">
        <w:rPr>
          <w:rFonts w:eastAsia="Times"/>
          <w:sz w:val="20"/>
        </w:rPr>
        <w:t>solicitor.</w:t>
      </w:r>
      <w:r w:rsidRPr="0037736A">
        <w:rPr>
          <w:rFonts w:eastAsia="Times"/>
          <w:sz w:val="20"/>
        </w:rPr>
        <w:t>  </w:t>
      </w:r>
    </w:p>
    <w:p w14:paraId="26A40D5B" w14:textId="03D1AC53" w:rsidR="0037736A" w:rsidRPr="0037736A" w:rsidRDefault="0037736A" w:rsidP="0037736A">
      <w:pPr>
        <w:numPr>
          <w:ilvl w:val="0"/>
          <w:numId w:val="40"/>
        </w:numPr>
        <w:spacing w:after="0" w:line="270" w:lineRule="atLeast"/>
        <w:ind w:left="641"/>
        <w:rPr>
          <w:rFonts w:eastAsia="Times"/>
          <w:sz w:val="20"/>
        </w:rPr>
      </w:pPr>
      <w:r w:rsidRPr="0037736A">
        <w:rPr>
          <w:rFonts w:eastAsia="Times"/>
          <w:sz w:val="20"/>
        </w:rPr>
        <w:t xml:space="preserve">Victoria </w:t>
      </w:r>
      <w:r w:rsidR="00CB67BA" w:rsidRPr="0037736A">
        <w:rPr>
          <w:rFonts w:eastAsia="Times"/>
          <w:sz w:val="20"/>
        </w:rPr>
        <w:t>Police.</w:t>
      </w:r>
      <w:r w:rsidRPr="0037736A">
        <w:rPr>
          <w:rFonts w:eastAsia="Times"/>
          <w:sz w:val="20"/>
        </w:rPr>
        <w:t xml:space="preserve"> </w:t>
      </w:r>
    </w:p>
    <w:bookmarkEnd w:id="7"/>
    <w:p w14:paraId="7EA13106" w14:textId="0FA9C3D0" w:rsidR="0037736A" w:rsidRPr="0037736A" w:rsidRDefault="0037736A" w:rsidP="0037736A">
      <w:pPr>
        <w:numPr>
          <w:ilvl w:val="0"/>
          <w:numId w:val="40"/>
        </w:numPr>
        <w:spacing w:after="0" w:line="270" w:lineRule="atLeast"/>
        <w:ind w:left="641"/>
        <w:rPr>
          <w:rFonts w:eastAsia="Times"/>
          <w:sz w:val="20"/>
        </w:rPr>
      </w:pPr>
      <w:r w:rsidRPr="0037736A">
        <w:rPr>
          <w:rFonts w:eastAsia="Times"/>
          <w:sz w:val="20"/>
        </w:rPr>
        <w:t xml:space="preserve">Referral from Salvation Army Prison </w:t>
      </w:r>
      <w:r w:rsidR="00CB67BA" w:rsidRPr="0037736A">
        <w:rPr>
          <w:rFonts w:eastAsia="Times"/>
          <w:sz w:val="20"/>
        </w:rPr>
        <w:t>Chaplain.</w:t>
      </w:r>
    </w:p>
    <w:p w14:paraId="08E2B2A3" w14:textId="77777777" w:rsidR="0037736A" w:rsidRPr="0037736A" w:rsidRDefault="0037736A" w:rsidP="0037736A">
      <w:pPr>
        <w:numPr>
          <w:ilvl w:val="0"/>
          <w:numId w:val="40"/>
        </w:numPr>
        <w:spacing w:after="0" w:line="270" w:lineRule="atLeast"/>
        <w:ind w:left="641"/>
        <w:rPr>
          <w:rFonts w:eastAsia="Times"/>
          <w:sz w:val="20"/>
        </w:rPr>
      </w:pPr>
      <w:r w:rsidRPr="0037736A">
        <w:rPr>
          <w:rFonts w:eastAsia="Times"/>
          <w:sz w:val="20"/>
        </w:rPr>
        <w:t xml:space="preserve">Self-referral, only in cases where </w:t>
      </w:r>
      <w:r w:rsidRPr="0037736A">
        <w:rPr>
          <w:rFonts w:eastAsia="Times"/>
          <w:sz w:val="20"/>
          <w:u w:val="single"/>
        </w:rPr>
        <w:t>the client meets the defining characteristics for a forensic AOD client</w:t>
      </w:r>
      <w:r w:rsidRPr="0037736A">
        <w:rPr>
          <w:rFonts w:eastAsia="Times"/>
          <w:sz w:val="20"/>
        </w:rPr>
        <w:t xml:space="preserve"> as stated in this policy.</w:t>
      </w:r>
    </w:p>
    <w:p w14:paraId="7BEBC9A3" w14:textId="77777777" w:rsidR="0037736A" w:rsidRPr="0037736A" w:rsidRDefault="0037736A" w:rsidP="0037736A">
      <w:pPr>
        <w:keepNext/>
        <w:keepLines/>
        <w:spacing w:before="240" w:after="90" w:line="320" w:lineRule="atLeast"/>
        <w:outlineLvl w:val="1"/>
        <w:rPr>
          <w:b/>
          <w:color w:val="943634" w:themeColor="accent2" w:themeShade="BF"/>
          <w:sz w:val="28"/>
          <w:szCs w:val="28"/>
        </w:rPr>
      </w:pPr>
      <w:bookmarkStart w:id="8" w:name="_Toc42697971"/>
      <w:r w:rsidRPr="0037736A">
        <w:rPr>
          <w:b/>
          <w:color w:val="943634" w:themeColor="accent2" w:themeShade="BF"/>
          <w:sz w:val="28"/>
          <w:szCs w:val="28"/>
        </w:rPr>
        <w:t>Excluded clients</w:t>
      </w:r>
      <w:bookmarkEnd w:id="8"/>
    </w:p>
    <w:p w14:paraId="1FA37BC9" w14:textId="77777777" w:rsidR="0037736A" w:rsidRPr="0037736A" w:rsidRDefault="0037736A" w:rsidP="0037736A">
      <w:pPr>
        <w:spacing w:line="270" w:lineRule="atLeast"/>
        <w:rPr>
          <w:rFonts w:eastAsia="Times"/>
          <w:sz w:val="20"/>
        </w:rPr>
      </w:pPr>
      <w:r w:rsidRPr="0037736A">
        <w:rPr>
          <w:rFonts w:eastAsia="Times"/>
          <w:sz w:val="20"/>
        </w:rPr>
        <w:t>The following clients are excluded from the forensic client definition unless they have met the any of the acceptance criteria listed above:</w:t>
      </w:r>
    </w:p>
    <w:p w14:paraId="6DD80F02" w14:textId="6F82C709" w:rsidR="00F17B92" w:rsidRPr="0037736A" w:rsidRDefault="0037736A" w:rsidP="0037736A">
      <w:pPr>
        <w:numPr>
          <w:ilvl w:val="0"/>
          <w:numId w:val="40"/>
        </w:numPr>
        <w:spacing w:after="40" w:line="270" w:lineRule="atLeast"/>
        <w:ind w:left="644"/>
        <w:rPr>
          <w:rFonts w:eastAsia="Times"/>
          <w:sz w:val="20"/>
          <w:lang w:eastAsia="en-AU"/>
        </w:rPr>
      </w:pPr>
      <w:r w:rsidRPr="0037736A">
        <w:rPr>
          <w:rFonts w:eastAsia="Times"/>
          <w:sz w:val="20"/>
          <w:lang w:eastAsia="en-AU"/>
        </w:rPr>
        <w:t>Clients with a Family Reunification Order.</w:t>
      </w:r>
    </w:p>
    <w:p w14:paraId="25D91638" w14:textId="77777777" w:rsidR="0037736A" w:rsidRPr="0037736A" w:rsidRDefault="0037736A" w:rsidP="0037736A">
      <w:pPr>
        <w:numPr>
          <w:ilvl w:val="0"/>
          <w:numId w:val="40"/>
        </w:numPr>
        <w:spacing w:after="40" w:line="270" w:lineRule="atLeast"/>
        <w:ind w:left="644"/>
        <w:rPr>
          <w:rFonts w:eastAsia="Times"/>
          <w:sz w:val="20"/>
          <w:lang w:eastAsia="en-AU"/>
        </w:rPr>
      </w:pPr>
      <w:r w:rsidRPr="0037736A">
        <w:rPr>
          <w:rFonts w:eastAsia="Times"/>
          <w:sz w:val="20"/>
          <w:lang w:eastAsia="en-AU"/>
        </w:rPr>
        <w:t>Clients who are only on an Intervention Order*.</w:t>
      </w:r>
    </w:p>
    <w:p w14:paraId="1436390A" w14:textId="77777777" w:rsidR="0037736A" w:rsidRPr="0037736A" w:rsidRDefault="0037736A" w:rsidP="0037736A">
      <w:pPr>
        <w:spacing w:after="40" w:line="270" w:lineRule="atLeast"/>
        <w:rPr>
          <w:rFonts w:eastAsia="Times"/>
          <w:sz w:val="16"/>
          <w:szCs w:val="16"/>
          <w:lang w:eastAsia="en-AU"/>
        </w:rPr>
      </w:pPr>
      <w:r w:rsidRPr="007D61A2">
        <w:rPr>
          <w:rFonts w:eastAsia="Times"/>
          <w:sz w:val="16"/>
          <w:szCs w:val="16"/>
          <w:vertAlign w:val="superscript"/>
          <w:lang w:eastAsia="en-AU"/>
        </w:rPr>
        <w:t xml:space="preserve">* </w:t>
      </w:r>
      <w:r w:rsidRPr="007D61A2">
        <w:rPr>
          <w:rFonts w:eastAsia="Times"/>
          <w:sz w:val="16"/>
          <w:szCs w:val="16"/>
          <w:lang w:eastAsia="en-AU"/>
        </w:rPr>
        <w:t>This does not include: Child Protection Orders or Child Protection Prohibitions; Court orders by the Family Court of Australia including Parenting Orders, an order made after a hearing by a judicial officer, or an order made after parties who have reached their own agreement</w:t>
      </w:r>
      <w:r w:rsidRPr="0037736A">
        <w:rPr>
          <w:rFonts w:eastAsia="Times"/>
          <w:sz w:val="16"/>
          <w:szCs w:val="16"/>
          <w:lang w:eastAsia="en-AU"/>
        </w:rPr>
        <w:t xml:space="preserve"> </w:t>
      </w:r>
      <w:r w:rsidRPr="007D61A2">
        <w:rPr>
          <w:rFonts w:eastAsia="Times"/>
          <w:sz w:val="16"/>
          <w:szCs w:val="16"/>
          <w:lang w:eastAsia="en-AU"/>
        </w:rPr>
        <w:lastRenderedPageBreak/>
        <w:t>have applied to a court for consent orders; Family violence intervention order or Interim intervention order issued against the client by a local Magistrates Court.</w:t>
      </w:r>
      <w:r w:rsidRPr="0037736A">
        <w:rPr>
          <w:rFonts w:eastAsia="Times"/>
          <w:sz w:val="16"/>
          <w:szCs w:val="16"/>
          <w:lang w:eastAsia="en-AU"/>
        </w:rPr>
        <w:t> </w:t>
      </w:r>
    </w:p>
    <w:p w14:paraId="7F36EE2D" w14:textId="77777777" w:rsidR="0037736A" w:rsidRPr="0037736A" w:rsidRDefault="0037736A" w:rsidP="0037736A">
      <w:pPr>
        <w:keepNext/>
        <w:keepLines/>
        <w:spacing w:before="240" w:after="90" w:line="320" w:lineRule="atLeast"/>
        <w:outlineLvl w:val="1"/>
        <w:rPr>
          <w:b/>
          <w:color w:val="943634" w:themeColor="accent2" w:themeShade="BF"/>
          <w:sz w:val="28"/>
          <w:szCs w:val="28"/>
        </w:rPr>
      </w:pPr>
      <w:bookmarkStart w:id="9" w:name="_Toc42697972"/>
      <w:r w:rsidRPr="0037736A">
        <w:rPr>
          <w:b/>
          <w:color w:val="943634" w:themeColor="accent2" w:themeShade="BF"/>
          <w:sz w:val="28"/>
          <w:szCs w:val="28"/>
        </w:rPr>
        <w:t>Reporting forensic service delivery in the VADC</w:t>
      </w:r>
      <w:bookmarkEnd w:id="9"/>
    </w:p>
    <w:p w14:paraId="795C215D" w14:textId="77777777" w:rsidR="0037736A" w:rsidRPr="0037736A" w:rsidRDefault="0037736A" w:rsidP="0037736A">
      <w:pPr>
        <w:spacing w:line="270" w:lineRule="atLeast"/>
        <w:rPr>
          <w:rFonts w:eastAsia="Times"/>
          <w:sz w:val="20"/>
        </w:rPr>
      </w:pPr>
      <w:r w:rsidRPr="0037736A">
        <w:rPr>
          <w:rFonts w:eastAsia="Times"/>
          <w:sz w:val="20"/>
        </w:rPr>
        <w:t>Service providers are to report forensic service activity to the department via the VADC. This is in addition to submitting Treatment Completion Advice (TCA) to ACSO COATS within 6-months from the date the TCA was opened.</w:t>
      </w:r>
    </w:p>
    <w:p w14:paraId="5E78F813" w14:textId="77777777" w:rsidR="0037736A" w:rsidRPr="0037736A" w:rsidRDefault="0037736A" w:rsidP="0037736A">
      <w:pPr>
        <w:spacing w:line="270" w:lineRule="atLeast"/>
        <w:rPr>
          <w:rFonts w:eastAsia="Times"/>
          <w:sz w:val="20"/>
        </w:rPr>
      </w:pPr>
      <w:r w:rsidRPr="0037736A">
        <w:rPr>
          <w:rFonts w:eastAsia="Times"/>
          <w:sz w:val="20"/>
        </w:rPr>
        <w:t xml:space="preserve">As per the </w:t>
      </w:r>
      <w:r w:rsidRPr="0037736A">
        <w:rPr>
          <w:rFonts w:eastAsia="Times"/>
          <w:i/>
          <w:iCs/>
          <w:sz w:val="20"/>
          <w:lang w:eastAsia="en-AU"/>
        </w:rPr>
        <w:t>DTAU Derivation Rules 2021-22</w:t>
      </w:r>
      <w:r w:rsidRPr="0037736A">
        <w:rPr>
          <w:rFonts w:eastAsia="Times"/>
          <w:sz w:val="20"/>
          <w:lang w:eastAsia="en-AU"/>
        </w:rPr>
        <w:t xml:space="preserve"> and the </w:t>
      </w:r>
      <w:r w:rsidRPr="0037736A">
        <w:rPr>
          <w:rFonts w:eastAsia="Times"/>
          <w:i/>
          <w:iCs/>
          <w:sz w:val="20"/>
          <w:lang w:eastAsia="en-AU"/>
        </w:rPr>
        <w:t xml:space="preserve">EOC and COT Derivation Rules 2021-22, </w:t>
      </w:r>
      <w:r w:rsidRPr="0037736A">
        <w:rPr>
          <w:rFonts w:eastAsia="Times"/>
          <w:sz w:val="20"/>
          <w:lang w:eastAsia="en-AU"/>
        </w:rPr>
        <w:t>t</w:t>
      </w:r>
      <w:r w:rsidRPr="0037736A">
        <w:rPr>
          <w:rFonts w:eastAsia="Times"/>
          <w:sz w:val="20"/>
        </w:rPr>
        <w:t>he department will identify activity delivered to forensic clients using the following means:</w:t>
      </w:r>
    </w:p>
    <w:p w14:paraId="61D1E484" w14:textId="77777777" w:rsidR="0037736A" w:rsidRPr="0037736A" w:rsidRDefault="0037736A" w:rsidP="0037736A">
      <w:pPr>
        <w:numPr>
          <w:ilvl w:val="0"/>
          <w:numId w:val="42"/>
        </w:numPr>
        <w:spacing w:after="40" w:line="270" w:lineRule="atLeast"/>
        <w:ind w:left="284"/>
        <w:rPr>
          <w:rFonts w:eastAsia="Times"/>
          <w:sz w:val="20"/>
          <w:lang w:eastAsia="en-AU"/>
        </w:rPr>
      </w:pPr>
      <w:r w:rsidRPr="0037736A">
        <w:rPr>
          <w:rFonts w:eastAsia="Times"/>
          <w:b/>
          <w:bCs/>
          <w:sz w:val="20"/>
        </w:rPr>
        <w:t>ACSO COATS identifier code</w:t>
      </w:r>
    </w:p>
    <w:p w14:paraId="4C388035" w14:textId="77777777" w:rsidR="0037736A" w:rsidRPr="0037736A" w:rsidRDefault="0037736A" w:rsidP="0037736A">
      <w:pPr>
        <w:spacing w:after="40" w:line="270" w:lineRule="atLeast"/>
        <w:ind w:left="284"/>
        <w:rPr>
          <w:rFonts w:eastAsia="Times"/>
          <w:sz w:val="20"/>
          <w:lang w:eastAsia="en-AU"/>
        </w:rPr>
      </w:pPr>
      <w:r w:rsidRPr="0037736A">
        <w:rPr>
          <w:rFonts w:eastAsia="Times"/>
          <w:sz w:val="20"/>
        </w:rPr>
        <w:t xml:space="preserve">Any service events reported with the client’s ACSO COATS identifier code (see </w:t>
      </w:r>
      <w:r w:rsidRPr="0037736A">
        <w:rPr>
          <w:rFonts w:eastAsia="Times"/>
          <w:i/>
          <w:iCs/>
          <w:sz w:val="20"/>
        </w:rPr>
        <w:t xml:space="preserve">5.7.1 </w:t>
      </w:r>
      <w:bookmarkStart w:id="10" w:name="_Toc525122777"/>
      <w:bookmarkStart w:id="11" w:name="_Toc21959763"/>
      <w:r w:rsidRPr="0037736A">
        <w:rPr>
          <w:rFonts w:eastAsia="Times"/>
          <w:i/>
          <w:iCs/>
          <w:sz w:val="20"/>
          <w:lang w:eastAsia="en-AU"/>
        </w:rPr>
        <w:t>Referral—ACSO identifier – N(7)</w:t>
      </w:r>
      <w:bookmarkEnd w:id="10"/>
      <w:bookmarkEnd w:id="11"/>
      <w:r w:rsidRPr="0037736A">
        <w:rPr>
          <w:rFonts w:eastAsia="Times"/>
          <w:sz w:val="20"/>
          <w:lang w:eastAsia="en-AU"/>
        </w:rPr>
        <w:t xml:space="preserve"> in the </w:t>
      </w:r>
      <w:r w:rsidRPr="0037736A">
        <w:rPr>
          <w:rFonts w:eastAsia="Times"/>
          <w:i/>
          <w:iCs/>
          <w:sz w:val="20"/>
          <w:lang w:eastAsia="en-AU"/>
        </w:rPr>
        <w:t>VADC Data Specification 2021-22</w:t>
      </w:r>
      <w:r w:rsidRPr="0037736A">
        <w:rPr>
          <w:rFonts w:eastAsia="Times"/>
          <w:sz w:val="20"/>
          <w:lang w:eastAsia="en-AU"/>
        </w:rPr>
        <w:t xml:space="preserve">) AND that have a referral direction value </w:t>
      </w:r>
      <w:r w:rsidRPr="0037736A">
        <w:rPr>
          <w:rFonts w:eastAsia="Times"/>
          <w:i/>
          <w:iCs/>
          <w:sz w:val="20"/>
          <w:lang w:eastAsia="en-AU"/>
        </w:rPr>
        <w:t>1 – Referral IN</w:t>
      </w:r>
      <w:r w:rsidRPr="0037736A">
        <w:rPr>
          <w:rFonts w:eastAsia="Times"/>
          <w:sz w:val="20"/>
          <w:lang w:eastAsia="en-AU"/>
        </w:rPr>
        <w:t>; OR</w:t>
      </w:r>
    </w:p>
    <w:p w14:paraId="2E9B4C71" w14:textId="77777777" w:rsidR="0037736A" w:rsidRPr="0037736A" w:rsidRDefault="0037736A" w:rsidP="0037736A">
      <w:pPr>
        <w:numPr>
          <w:ilvl w:val="0"/>
          <w:numId w:val="42"/>
        </w:numPr>
        <w:spacing w:after="40" w:line="270" w:lineRule="atLeast"/>
        <w:ind w:left="284"/>
        <w:rPr>
          <w:rFonts w:eastAsia="Times"/>
          <w:b/>
          <w:bCs/>
          <w:sz w:val="20"/>
          <w:lang w:eastAsia="en-AU"/>
        </w:rPr>
      </w:pPr>
      <w:r w:rsidRPr="0037736A">
        <w:rPr>
          <w:rFonts w:eastAsia="Times"/>
          <w:b/>
          <w:bCs/>
          <w:sz w:val="20"/>
          <w:lang w:eastAsia="en-AU"/>
        </w:rPr>
        <w:t>Forensic funding source code</w:t>
      </w:r>
    </w:p>
    <w:p w14:paraId="16D06711" w14:textId="77777777" w:rsidR="0037736A" w:rsidRPr="0037736A" w:rsidRDefault="0037736A" w:rsidP="0037736A">
      <w:pPr>
        <w:spacing w:after="40" w:line="270" w:lineRule="atLeast"/>
        <w:ind w:left="284"/>
        <w:rPr>
          <w:rFonts w:eastAsia="Times"/>
          <w:sz w:val="20"/>
          <w:lang w:eastAsia="en-AU"/>
        </w:rPr>
      </w:pPr>
      <w:r w:rsidRPr="0037736A">
        <w:rPr>
          <w:rFonts w:eastAsia="Times"/>
          <w:sz w:val="20"/>
          <w:lang w:eastAsia="en-AU"/>
        </w:rPr>
        <w:t>Any service events reported with one of the following funding source codes:</w:t>
      </w:r>
    </w:p>
    <w:p w14:paraId="540EACC0" w14:textId="77777777" w:rsidR="0037736A" w:rsidRPr="0037736A" w:rsidRDefault="0037736A" w:rsidP="0037736A">
      <w:pPr>
        <w:numPr>
          <w:ilvl w:val="1"/>
          <w:numId w:val="40"/>
        </w:numPr>
        <w:spacing w:after="40" w:line="270" w:lineRule="atLeast"/>
        <w:rPr>
          <w:rFonts w:eastAsia="Times"/>
          <w:sz w:val="20"/>
        </w:rPr>
      </w:pPr>
      <w:r w:rsidRPr="0037736A">
        <w:rPr>
          <w:rFonts w:eastAsia="Times"/>
          <w:sz w:val="20"/>
        </w:rPr>
        <w:t>102 – Drug Diversion Appointment Line;</w:t>
      </w:r>
    </w:p>
    <w:p w14:paraId="520616B8" w14:textId="77777777" w:rsidR="0037736A" w:rsidRPr="0037736A" w:rsidRDefault="0037736A" w:rsidP="0037736A">
      <w:pPr>
        <w:numPr>
          <w:ilvl w:val="1"/>
          <w:numId w:val="40"/>
        </w:numPr>
        <w:spacing w:after="40" w:line="270" w:lineRule="atLeast"/>
        <w:rPr>
          <w:rFonts w:eastAsia="Times"/>
          <w:sz w:val="20"/>
        </w:rPr>
      </w:pPr>
      <w:r w:rsidRPr="0037736A">
        <w:rPr>
          <w:rFonts w:eastAsia="Times"/>
          <w:sz w:val="20"/>
        </w:rPr>
        <w:t>109 – Low risk offender program;</w:t>
      </w:r>
    </w:p>
    <w:p w14:paraId="4EA269EF" w14:textId="77777777" w:rsidR="0037736A" w:rsidRPr="0037736A" w:rsidRDefault="0037736A" w:rsidP="0037736A">
      <w:pPr>
        <w:numPr>
          <w:ilvl w:val="1"/>
          <w:numId w:val="40"/>
        </w:numPr>
        <w:spacing w:after="40" w:line="270" w:lineRule="atLeast"/>
        <w:rPr>
          <w:rFonts w:eastAsia="Times"/>
          <w:sz w:val="20"/>
        </w:rPr>
      </w:pPr>
      <w:r w:rsidRPr="0037736A">
        <w:rPr>
          <w:rFonts w:eastAsia="Times"/>
          <w:sz w:val="20"/>
        </w:rPr>
        <w:t>112 – 8-hour individual offender;</w:t>
      </w:r>
    </w:p>
    <w:p w14:paraId="47C6CE8A" w14:textId="77777777" w:rsidR="0037736A" w:rsidRPr="0037736A" w:rsidRDefault="0037736A" w:rsidP="0037736A">
      <w:pPr>
        <w:numPr>
          <w:ilvl w:val="1"/>
          <w:numId w:val="40"/>
        </w:numPr>
        <w:spacing w:after="40" w:line="270" w:lineRule="atLeast"/>
        <w:rPr>
          <w:rFonts w:eastAsia="Times"/>
          <w:sz w:val="20"/>
        </w:rPr>
      </w:pPr>
      <w:r w:rsidRPr="0037736A">
        <w:rPr>
          <w:rFonts w:eastAsia="Times"/>
          <w:sz w:val="20"/>
        </w:rPr>
        <w:t>113 – 15-hour individual offender;</w:t>
      </w:r>
    </w:p>
    <w:p w14:paraId="30EE605F" w14:textId="77777777" w:rsidR="0037736A" w:rsidRPr="0037736A" w:rsidRDefault="0037736A" w:rsidP="0037736A">
      <w:pPr>
        <w:numPr>
          <w:ilvl w:val="1"/>
          <w:numId w:val="40"/>
        </w:numPr>
        <w:spacing w:after="40" w:line="270" w:lineRule="atLeast"/>
        <w:rPr>
          <w:rFonts w:eastAsia="Times"/>
          <w:sz w:val="20"/>
        </w:rPr>
      </w:pPr>
      <w:r w:rsidRPr="0037736A">
        <w:rPr>
          <w:rFonts w:eastAsia="Times"/>
          <w:sz w:val="20"/>
        </w:rPr>
        <w:t>114 – 24-hour group offender; OR</w:t>
      </w:r>
    </w:p>
    <w:p w14:paraId="43F3E6FE" w14:textId="011151AA" w:rsidR="0037736A" w:rsidRPr="0037736A" w:rsidRDefault="0037736A" w:rsidP="7243D1AD">
      <w:pPr>
        <w:numPr>
          <w:ilvl w:val="1"/>
          <w:numId w:val="40"/>
        </w:numPr>
        <w:spacing w:after="0" w:line="270" w:lineRule="atLeast"/>
        <w:ind w:left="567" w:firstLine="564"/>
        <w:rPr>
          <w:rFonts w:eastAsia="Times"/>
          <w:sz w:val="20"/>
          <w:lang w:eastAsia="en-AU"/>
        </w:rPr>
      </w:pPr>
      <w:r w:rsidRPr="7243D1AD">
        <w:rPr>
          <w:rFonts w:eastAsia="Times"/>
          <w:sz w:val="20"/>
        </w:rPr>
        <w:t xml:space="preserve"> 115 – 48-hour group offender.</w:t>
      </w:r>
    </w:p>
    <w:p w14:paraId="5734581E" w14:textId="1E19F7BC" w:rsidR="7243D1AD" w:rsidRDefault="7243D1AD" w:rsidP="7243D1AD">
      <w:pPr>
        <w:spacing w:after="0" w:line="270" w:lineRule="atLeast"/>
        <w:ind w:left="771"/>
        <w:rPr>
          <w:rFonts w:eastAsia="Times"/>
          <w:szCs w:val="21"/>
          <w:lang w:eastAsia="en-AU"/>
        </w:rPr>
      </w:pPr>
    </w:p>
    <w:p w14:paraId="7EF166E0" w14:textId="77777777" w:rsidR="0037736A" w:rsidRPr="0037736A" w:rsidRDefault="0037736A" w:rsidP="0037736A">
      <w:pPr>
        <w:spacing w:line="270" w:lineRule="atLeast"/>
        <w:rPr>
          <w:rFonts w:eastAsia="Times"/>
          <w:sz w:val="20"/>
        </w:rPr>
      </w:pPr>
      <w:r w:rsidRPr="0037736A">
        <w:rPr>
          <w:rFonts w:eastAsia="Times"/>
          <w:sz w:val="20"/>
        </w:rPr>
        <w:t xml:space="preserve">Refer to the </w:t>
      </w:r>
      <w:r w:rsidRPr="0037736A">
        <w:rPr>
          <w:rFonts w:eastAsia="Times"/>
          <w:i/>
          <w:iCs/>
          <w:sz w:val="20"/>
          <w:lang w:eastAsia="en-AU"/>
        </w:rPr>
        <w:t>VADC Data Specification 2021-22</w:t>
      </w:r>
      <w:r w:rsidRPr="0037736A">
        <w:rPr>
          <w:rFonts w:eastAsia="Times"/>
          <w:sz w:val="20"/>
          <w:lang w:eastAsia="en-AU"/>
        </w:rPr>
        <w:t xml:space="preserve"> for further instruction about how to report forensic service activity.</w:t>
      </w:r>
    </w:p>
    <w:p w14:paraId="0E049FF5" w14:textId="77777777" w:rsidR="0037736A" w:rsidRPr="0037736A" w:rsidRDefault="0037736A" w:rsidP="0037736A">
      <w:pPr>
        <w:keepNext/>
        <w:keepLines/>
        <w:spacing w:before="240" w:after="90" w:line="320" w:lineRule="atLeast"/>
        <w:outlineLvl w:val="1"/>
        <w:rPr>
          <w:b/>
          <w:color w:val="943634" w:themeColor="accent2" w:themeShade="BF"/>
          <w:sz w:val="28"/>
          <w:szCs w:val="28"/>
        </w:rPr>
      </w:pPr>
      <w:bookmarkStart w:id="12" w:name="_Toc42683188"/>
      <w:bookmarkStart w:id="13" w:name="_Toc42697973"/>
      <w:r w:rsidRPr="0037736A">
        <w:rPr>
          <w:b/>
          <w:color w:val="943634" w:themeColor="accent2" w:themeShade="BF"/>
          <w:sz w:val="28"/>
          <w:szCs w:val="28"/>
        </w:rPr>
        <w:t>Obtaining an ACSO COATS identifier code</w:t>
      </w:r>
      <w:bookmarkEnd w:id="12"/>
      <w:bookmarkEnd w:id="13"/>
    </w:p>
    <w:p w14:paraId="627921CA" w14:textId="77777777" w:rsidR="0037736A" w:rsidRPr="0037736A" w:rsidRDefault="0037736A" w:rsidP="0037736A">
      <w:pPr>
        <w:spacing w:line="270" w:lineRule="atLeast"/>
        <w:rPr>
          <w:b/>
          <w:bCs/>
          <w:sz w:val="20"/>
        </w:rPr>
      </w:pPr>
      <w:r w:rsidRPr="0037736A">
        <w:rPr>
          <w:b/>
          <w:bCs/>
          <w:sz w:val="20"/>
        </w:rPr>
        <w:t>ACSO COATS clients</w:t>
      </w:r>
    </w:p>
    <w:p w14:paraId="5C122D87" w14:textId="77777777" w:rsidR="0037736A" w:rsidRPr="0037736A" w:rsidRDefault="0037736A" w:rsidP="0037736A">
      <w:pPr>
        <w:spacing w:line="270" w:lineRule="atLeast"/>
        <w:rPr>
          <w:sz w:val="20"/>
        </w:rPr>
      </w:pPr>
      <w:r w:rsidRPr="0037736A">
        <w:rPr>
          <w:sz w:val="20"/>
        </w:rPr>
        <w:t xml:space="preserve">Clients that are assessed by ACSO COATS and referred to a service provider for treatment will have an existing service file and ACSO COATS identifier code in Penelope – ACSO’s client management software. </w:t>
      </w:r>
    </w:p>
    <w:p w14:paraId="40698A81" w14:textId="77777777" w:rsidR="0037736A" w:rsidRPr="0037736A" w:rsidRDefault="0037736A" w:rsidP="0037736A">
      <w:pPr>
        <w:spacing w:line="270" w:lineRule="atLeast"/>
        <w:rPr>
          <w:rFonts w:ascii="Helvetica" w:eastAsia="Times" w:hAnsi="Helvetica" w:cs="Helvetica"/>
          <w:b/>
          <w:bCs/>
          <w:sz w:val="20"/>
          <w:shd w:val="clear" w:color="auto" w:fill="FFFFFF"/>
        </w:rPr>
      </w:pPr>
      <w:r w:rsidRPr="0037736A">
        <w:rPr>
          <w:rFonts w:ascii="Helvetica" w:eastAsia="Times" w:hAnsi="Helvetica" w:cs="Helvetica"/>
          <w:b/>
          <w:bCs/>
          <w:sz w:val="20"/>
          <w:shd w:val="clear" w:color="auto" w:fill="FFFFFF"/>
        </w:rPr>
        <w:t>Court Bail Programs</w:t>
      </w:r>
    </w:p>
    <w:p w14:paraId="2BF3575F" w14:textId="77777777" w:rsidR="0037736A" w:rsidRPr="0037736A" w:rsidRDefault="0037736A" w:rsidP="0037736A">
      <w:pPr>
        <w:spacing w:line="270" w:lineRule="atLeast"/>
        <w:rPr>
          <w:rFonts w:ascii="Helvetica" w:eastAsia="Times" w:hAnsi="Helvetica" w:cs="Helvetica"/>
          <w:b/>
          <w:bCs/>
          <w:sz w:val="20"/>
          <w:shd w:val="clear" w:color="auto" w:fill="FFFFFF"/>
        </w:rPr>
      </w:pPr>
      <w:r w:rsidRPr="0037736A">
        <w:rPr>
          <w:rFonts w:eastAsia="Times"/>
          <w:sz w:val="20"/>
        </w:rPr>
        <w:t>Clients that are referred by ACSO COATS on behalf of Court Services Victoria’s Court Bail Programs (CISP, CREDIT, ARC, NJC, CROP) will have an existing service file and ACSO COATS identifier code in Penelope.</w:t>
      </w:r>
    </w:p>
    <w:p w14:paraId="316BAF8E" w14:textId="77777777" w:rsidR="0037736A" w:rsidRPr="0037736A" w:rsidRDefault="0037736A" w:rsidP="0037736A">
      <w:pPr>
        <w:spacing w:line="270" w:lineRule="atLeast"/>
        <w:rPr>
          <w:rFonts w:ascii="Helvetica" w:eastAsia="Times" w:hAnsi="Helvetica" w:cs="Helvetica"/>
          <w:b/>
          <w:bCs/>
          <w:sz w:val="20"/>
          <w:shd w:val="clear" w:color="auto" w:fill="FFFFFF"/>
        </w:rPr>
      </w:pPr>
      <w:r w:rsidRPr="0037736A">
        <w:rPr>
          <w:rFonts w:ascii="Helvetica" w:eastAsia="Times" w:hAnsi="Helvetica" w:cs="Helvetica"/>
          <w:b/>
          <w:bCs/>
          <w:sz w:val="20"/>
          <w:shd w:val="clear" w:color="auto" w:fill="FFFFFF"/>
        </w:rPr>
        <w:t>Drug Diversion Assessment Line DDAL</w:t>
      </w:r>
    </w:p>
    <w:p w14:paraId="0B3A9E79" w14:textId="77777777" w:rsidR="0037736A" w:rsidRPr="0037736A" w:rsidRDefault="0037736A" w:rsidP="0037736A">
      <w:pPr>
        <w:spacing w:line="270" w:lineRule="atLeast"/>
        <w:rPr>
          <w:rFonts w:ascii="Helvetica" w:eastAsia="Times" w:hAnsi="Helvetica" w:cs="Helvetica"/>
          <w:b/>
          <w:bCs/>
          <w:sz w:val="20"/>
          <w:shd w:val="clear" w:color="auto" w:fill="FFFFFF"/>
        </w:rPr>
      </w:pPr>
      <w:r w:rsidRPr="0037736A">
        <w:rPr>
          <w:rFonts w:eastAsia="Times"/>
          <w:sz w:val="20"/>
        </w:rPr>
        <w:t>Clients that are referred by Turning Point for DDAL will have a service file and ACSO COATS identifier created in Penelope prior to the date of the appointment.</w:t>
      </w:r>
    </w:p>
    <w:p w14:paraId="62DE5129" w14:textId="77777777" w:rsidR="0037736A" w:rsidRPr="0037736A" w:rsidRDefault="0037736A" w:rsidP="0037736A">
      <w:pPr>
        <w:spacing w:line="270" w:lineRule="atLeast"/>
        <w:rPr>
          <w:rFonts w:ascii="Helvetica" w:eastAsia="Times" w:hAnsi="Helvetica" w:cs="Helvetica"/>
          <w:b/>
          <w:bCs/>
          <w:sz w:val="20"/>
          <w:shd w:val="clear" w:color="auto" w:fill="FFFFFF"/>
        </w:rPr>
      </w:pPr>
      <w:r w:rsidRPr="0037736A">
        <w:rPr>
          <w:rFonts w:ascii="Helvetica" w:eastAsia="Times" w:hAnsi="Helvetica" w:cs="Helvetica"/>
          <w:b/>
          <w:bCs/>
          <w:sz w:val="20"/>
          <w:shd w:val="clear" w:color="auto" w:fill="FFFFFF"/>
        </w:rPr>
        <w:t xml:space="preserve">Youth Justice clients </w:t>
      </w:r>
    </w:p>
    <w:p w14:paraId="05DC7D7F" w14:textId="3F0C8778" w:rsidR="0037736A" w:rsidRPr="0023543A" w:rsidRDefault="0037736A" w:rsidP="0023543A">
      <w:pPr>
        <w:rPr>
          <w:rFonts w:ascii="Calibri" w:hAnsi="Calibri"/>
          <w:sz w:val="22"/>
        </w:rPr>
      </w:pPr>
      <w:r w:rsidRPr="0037736A">
        <w:rPr>
          <w:rFonts w:ascii="Helvetica" w:eastAsia="Times" w:hAnsi="Helvetica" w:cs="Helvetica"/>
          <w:sz w:val="20"/>
          <w:shd w:val="clear" w:color="auto" w:fill="FFFFFF"/>
        </w:rPr>
        <w:t xml:space="preserve">Youth Justice Case managers will refer clients on a Youth Justice Community Based Order </w:t>
      </w:r>
      <w:r w:rsidRPr="0037736A">
        <w:rPr>
          <w:rFonts w:eastAsia="Times"/>
          <w:sz w:val="20"/>
        </w:rPr>
        <w:t>directly to a service provider for assessment. They are also required to notify ACSO COATS of the appointment details via the Youth Justice Referral Form (</w:t>
      </w:r>
      <w:hyperlink r:id="rId25" w:history="1">
        <w:r w:rsidR="0023543A">
          <w:rPr>
            <w:rStyle w:val="Hyperlink"/>
            <w:color w:val="0000FF"/>
          </w:rPr>
          <w:t>Professional Referrals | ACSO</w:t>
        </w:r>
      </w:hyperlink>
      <w:r w:rsidRPr="0037736A">
        <w:rPr>
          <w:rFonts w:eastAsia="Times"/>
          <w:sz w:val="20"/>
        </w:rPr>
        <w:t xml:space="preserve">). Once this occurs, a service file and an ACSO identifier will be created in Penelope. </w:t>
      </w:r>
    </w:p>
    <w:p w14:paraId="76C71E51" w14:textId="77777777" w:rsidR="0037736A" w:rsidRPr="0037736A" w:rsidRDefault="0037736A" w:rsidP="0037736A">
      <w:pPr>
        <w:spacing w:line="270" w:lineRule="atLeast"/>
        <w:rPr>
          <w:rFonts w:ascii="Helvetica" w:eastAsia="Times" w:hAnsi="Helvetica" w:cs="Helvetica"/>
          <w:sz w:val="20"/>
          <w:shd w:val="clear" w:color="auto" w:fill="FFFFFF"/>
        </w:rPr>
      </w:pPr>
      <w:r w:rsidRPr="0037736A">
        <w:rPr>
          <w:rFonts w:eastAsia="Times"/>
          <w:sz w:val="20"/>
        </w:rPr>
        <w:t>A service file and ACSO identifier will also be created for any subsequent treatment appointments once the assessment has occurred and the respective TCA is returned to ACSO COATS.</w:t>
      </w:r>
    </w:p>
    <w:p w14:paraId="4FE2F792" w14:textId="77777777" w:rsidR="0037736A" w:rsidRPr="0037736A" w:rsidRDefault="0037736A" w:rsidP="0037736A">
      <w:pPr>
        <w:spacing w:line="270" w:lineRule="atLeast"/>
        <w:rPr>
          <w:rFonts w:ascii="Helvetica" w:eastAsia="Times" w:hAnsi="Helvetica" w:cs="Helvetica"/>
          <w:b/>
          <w:bCs/>
          <w:sz w:val="20"/>
          <w:shd w:val="clear" w:color="auto" w:fill="FFFFFF"/>
        </w:rPr>
      </w:pPr>
      <w:r w:rsidRPr="0037736A">
        <w:rPr>
          <w:rFonts w:ascii="Helvetica" w:eastAsia="Times" w:hAnsi="Helvetica" w:cs="Helvetica"/>
          <w:b/>
          <w:bCs/>
          <w:sz w:val="20"/>
          <w:shd w:val="clear" w:color="auto" w:fill="FFFFFF"/>
        </w:rPr>
        <w:t>‘Other Diversion’ referral clients</w:t>
      </w:r>
    </w:p>
    <w:p w14:paraId="5140767A" w14:textId="4B6104AE" w:rsidR="0037736A" w:rsidRPr="0023543A" w:rsidRDefault="0037736A" w:rsidP="0023543A">
      <w:pPr>
        <w:rPr>
          <w:rFonts w:ascii="Calibri" w:hAnsi="Calibri"/>
          <w:sz w:val="22"/>
        </w:rPr>
      </w:pPr>
      <w:r w:rsidRPr="0037736A">
        <w:rPr>
          <w:sz w:val="20"/>
        </w:rPr>
        <w:t xml:space="preserve">If the client is not referred by ACSO COATS (i.e. is an ‘Other Diversion’ referral), the service provider will need to apply to ACSO COATS to have a service file and identifier code created. For information about obtaining an ACSO COATS identifier code for other diversion referrals, visit </w:t>
      </w:r>
      <w:hyperlink r:id="rId26" w:history="1">
        <w:r w:rsidR="0023543A">
          <w:rPr>
            <w:rStyle w:val="Hyperlink"/>
            <w:color w:val="0000FF"/>
          </w:rPr>
          <w:t>Professional Referrals | ACSO</w:t>
        </w:r>
      </w:hyperlink>
    </w:p>
    <w:p w14:paraId="310E0960" w14:textId="4AD9766A" w:rsidR="0037736A" w:rsidRPr="0037736A" w:rsidRDefault="0037736A" w:rsidP="0037736A">
      <w:pPr>
        <w:keepNext/>
        <w:keepLines/>
        <w:spacing w:before="240" w:after="90" w:line="320" w:lineRule="atLeast"/>
        <w:outlineLvl w:val="1"/>
        <w:rPr>
          <w:rFonts w:eastAsia="MS Gothic"/>
          <w:b/>
          <w:color w:val="943634" w:themeColor="accent2" w:themeShade="BF"/>
          <w:sz w:val="28"/>
          <w:szCs w:val="28"/>
        </w:rPr>
      </w:pPr>
      <w:bookmarkStart w:id="14" w:name="_Toc42697974"/>
      <w:r w:rsidRPr="0037736A">
        <w:rPr>
          <w:b/>
          <w:color w:val="943634" w:themeColor="accent2" w:themeShade="BF"/>
          <w:sz w:val="28"/>
          <w:szCs w:val="28"/>
        </w:rPr>
        <w:lastRenderedPageBreak/>
        <w:t>Review of forensic client definition policy for 202</w:t>
      </w:r>
      <w:r w:rsidR="007D61A2">
        <w:rPr>
          <w:b/>
          <w:color w:val="943634" w:themeColor="accent2" w:themeShade="BF"/>
          <w:sz w:val="28"/>
          <w:szCs w:val="28"/>
        </w:rPr>
        <w:t>2</w:t>
      </w:r>
      <w:r w:rsidRPr="0037736A">
        <w:rPr>
          <w:b/>
          <w:color w:val="943634" w:themeColor="accent2" w:themeShade="BF"/>
          <w:sz w:val="28"/>
          <w:szCs w:val="28"/>
        </w:rPr>
        <w:t>–2</w:t>
      </w:r>
      <w:r w:rsidR="007D61A2">
        <w:rPr>
          <w:b/>
          <w:color w:val="943634" w:themeColor="accent2" w:themeShade="BF"/>
          <w:sz w:val="28"/>
          <w:szCs w:val="28"/>
        </w:rPr>
        <w:t>3</w:t>
      </w:r>
      <w:bookmarkEnd w:id="14"/>
    </w:p>
    <w:p w14:paraId="028A86AA" w14:textId="60CFF2AC" w:rsidR="0037736A" w:rsidRPr="0037736A" w:rsidRDefault="007D61A2" w:rsidP="0037736A">
      <w:pPr>
        <w:spacing w:line="270" w:lineRule="atLeast"/>
        <w:rPr>
          <w:rFonts w:eastAsia="Times"/>
          <w:sz w:val="20"/>
        </w:rPr>
      </w:pPr>
      <w:r>
        <w:rPr>
          <w:rFonts w:eastAsia="Times"/>
          <w:sz w:val="20"/>
        </w:rPr>
        <w:t>The r</w:t>
      </w:r>
      <w:r w:rsidR="0037736A" w:rsidRPr="0037736A">
        <w:rPr>
          <w:rFonts w:eastAsia="Times"/>
          <w:sz w:val="20"/>
        </w:rPr>
        <w:t xml:space="preserve">eview of </w:t>
      </w:r>
      <w:r>
        <w:rPr>
          <w:rFonts w:eastAsia="Times"/>
          <w:sz w:val="20"/>
        </w:rPr>
        <w:t xml:space="preserve">the </w:t>
      </w:r>
      <w:r w:rsidR="0037736A" w:rsidRPr="0037736A">
        <w:rPr>
          <w:rFonts w:eastAsia="Times"/>
          <w:sz w:val="20"/>
        </w:rPr>
        <w:t xml:space="preserve">forensic client definition policy planned to take place </w:t>
      </w:r>
      <w:r>
        <w:rPr>
          <w:rFonts w:eastAsia="Times"/>
          <w:sz w:val="20"/>
        </w:rPr>
        <w:t>over the last two years</w:t>
      </w:r>
      <w:r w:rsidR="0037736A" w:rsidRPr="0037736A">
        <w:rPr>
          <w:rFonts w:eastAsia="Times"/>
          <w:sz w:val="20"/>
        </w:rPr>
        <w:t xml:space="preserve"> was placed on hold due to the prioritisation of work relating to the COVID-19 pandemic and forensic demand issues. To ensure the future sustainability of forensic AOD service delivery, this review </w:t>
      </w:r>
      <w:r>
        <w:rPr>
          <w:rFonts w:eastAsia="Times"/>
          <w:sz w:val="20"/>
        </w:rPr>
        <w:t xml:space="preserve">has recommenced and </w:t>
      </w:r>
      <w:r w:rsidR="0037736A" w:rsidRPr="0037736A">
        <w:rPr>
          <w:rFonts w:eastAsia="Times"/>
          <w:sz w:val="20"/>
        </w:rPr>
        <w:t>will be reconsidered in conjunction with relevant stakeholders across the Justice system in the context of Mental Health Royal Commission recommendations.</w:t>
      </w:r>
    </w:p>
    <w:p w14:paraId="175CD29F" w14:textId="77777777" w:rsidR="0037736A" w:rsidRPr="0037736A" w:rsidRDefault="0037736A" w:rsidP="0037736A">
      <w:pPr>
        <w:spacing w:line="270" w:lineRule="atLeast"/>
        <w:rPr>
          <w:sz w:val="20"/>
        </w:rPr>
        <w:sectPr w:rsidR="0037736A" w:rsidRPr="0037736A" w:rsidSect="00F01E5F">
          <w:headerReference w:type="even" r:id="rId27"/>
          <w:headerReference w:type="default" r:id="rId28"/>
          <w:footerReference w:type="default" r:id="rId29"/>
          <w:headerReference w:type="first" r:id="rId30"/>
          <w:type w:val="continuous"/>
          <w:pgSz w:w="11906" w:h="16838" w:code="9"/>
          <w:pgMar w:top="1418" w:right="851" w:bottom="1134" w:left="851" w:header="567" w:footer="510" w:gutter="0"/>
          <w:cols w:space="340"/>
          <w:titlePg/>
          <w:docGrid w:linePitch="360"/>
        </w:sectPr>
      </w:pPr>
    </w:p>
    <w:tbl>
      <w:tblPr>
        <w:tblW w:w="10017" w:type="dxa"/>
        <w:tblCellMar>
          <w:top w:w="113" w:type="dxa"/>
          <w:bottom w:w="57" w:type="dxa"/>
        </w:tblCellMar>
        <w:tblLook w:val="0600" w:firstRow="0" w:lastRow="0" w:firstColumn="0" w:lastColumn="0" w:noHBand="1" w:noVBand="1"/>
      </w:tblPr>
      <w:tblGrid>
        <w:gridCol w:w="10017"/>
      </w:tblGrid>
      <w:tr w:rsidR="0037736A" w:rsidRPr="0037736A" w14:paraId="44C125C6" w14:textId="77777777" w:rsidTr="00386778">
        <w:trPr>
          <w:cantSplit/>
          <w:trHeight w:val="2395"/>
        </w:trPr>
        <w:tc>
          <w:tcPr>
            <w:tcW w:w="5000" w:type="pct"/>
            <w:tcBorders>
              <w:top w:val="single" w:sz="4" w:space="0" w:color="auto"/>
              <w:left w:val="single" w:sz="4" w:space="0" w:color="auto"/>
              <w:bottom w:val="single" w:sz="4" w:space="0" w:color="auto"/>
              <w:right w:val="single" w:sz="4" w:space="0" w:color="auto"/>
            </w:tcBorders>
            <w:vAlign w:val="bottom"/>
          </w:tcPr>
          <w:p w14:paraId="5F08CD58" w14:textId="0B3E695A" w:rsidR="0037736A" w:rsidRPr="0037736A" w:rsidRDefault="0037736A" w:rsidP="0037736A">
            <w:pPr>
              <w:spacing w:after="200" w:line="300" w:lineRule="atLeast"/>
              <w:rPr>
                <w:rFonts w:eastAsia="Times" w:cs="Arial"/>
                <w:color w:val="D50032"/>
                <w:sz w:val="24"/>
                <w:szCs w:val="19"/>
              </w:rPr>
            </w:pPr>
            <w:r w:rsidRPr="0037736A">
              <w:rPr>
                <w:rFonts w:eastAsia="Times" w:cs="Arial"/>
                <w:sz w:val="24"/>
                <w:szCs w:val="19"/>
              </w:rPr>
              <w:lastRenderedPageBreak/>
              <w:t xml:space="preserve">To receive this publication in an accessible format phone 03 9096 0302, using the National Relay Service 13 36 77 if required, </w:t>
            </w:r>
            <w:r w:rsidRPr="0037736A">
              <w:rPr>
                <w:rFonts w:eastAsia="Times" w:cs="Arial"/>
                <w:sz w:val="24"/>
                <w:szCs w:val="19"/>
              </w:rPr>
              <w:br/>
              <w:t xml:space="preserve">or email </w:t>
            </w:r>
            <w:r w:rsidR="0023543A">
              <w:rPr>
                <w:rFonts w:eastAsia="Times" w:cs="Arial"/>
                <w:sz w:val="24"/>
                <w:szCs w:val="19"/>
              </w:rPr>
              <w:t>Mental Health and AOD System Management</w:t>
            </w:r>
            <w:r w:rsidRPr="0037736A">
              <w:rPr>
                <w:rFonts w:eastAsia="Times" w:cs="Arial"/>
                <w:sz w:val="24"/>
                <w:szCs w:val="19"/>
              </w:rPr>
              <w:t xml:space="preserve"> Team &lt;</w:t>
            </w:r>
            <w:hyperlink r:id="rId31" w:history="1">
              <w:r w:rsidR="0023543A" w:rsidRPr="000F05DC">
                <w:rPr>
                  <w:rStyle w:val="Hyperlink"/>
                  <w:rFonts w:eastAsia="Times" w:cs="Arial"/>
                  <w:sz w:val="24"/>
                  <w:szCs w:val="19"/>
                </w:rPr>
                <w:t>aod.enquiries@health.vic.gov.au</w:t>
              </w:r>
            </w:hyperlink>
            <w:r w:rsidRPr="0037736A">
              <w:rPr>
                <w:rFonts w:eastAsia="Times" w:cs="Arial"/>
                <w:sz w:val="24"/>
                <w:szCs w:val="19"/>
              </w:rPr>
              <w:t>&gt;.</w:t>
            </w:r>
          </w:p>
          <w:p w14:paraId="6FBA808F" w14:textId="77777777" w:rsidR="0037736A" w:rsidRPr="0037736A" w:rsidRDefault="0037736A" w:rsidP="0037736A">
            <w:pPr>
              <w:spacing w:line="270" w:lineRule="atLeast"/>
              <w:rPr>
                <w:rFonts w:eastAsia="Times" w:cs="Arial"/>
                <w:sz w:val="20"/>
              </w:rPr>
            </w:pPr>
            <w:r w:rsidRPr="0037736A">
              <w:rPr>
                <w:rFonts w:eastAsia="Times" w:cs="Arial"/>
                <w:sz w:val="20"/>
              </w:rPr>
              <w:t>Authorised and published by the Victorian Government, 1 Treasury Place, Melbourne.</w:t>
            </w:r>
          </w:p>
          <w:p w14:paraId="60E2D4C0" w14:textId="12DBDFC0" w:rsidR="0037736A" w:rsidRPr="0037736A" w:rsidRDefault="0037736A" w:rsidP="0037736A">
            <w:pPr>
              <w:spacing w:line="270" w:lineRule="atLeast"/>
              <w:rPr>
                <w:rFonts w:eastAsia="Times" w:cs="Arial"/>
                <w:sz w:val="20"/>
              </w:rPr>
            </w:pPr>
            <w:r w:rsidRPr="0037736A">
              <w:rPr>
                <w:rFonts w:eastAsia="Times" w:cs="Arial"/>
                <w:sz w:val="20"/>
              </w:rPr>
              <w:t xml:space="preserve">© State of Victoria, Department of Health and Human Services </w:t>
            </w:r>
            <w:r w:rsidR="00946F66">
              <w:rPr>
                <w:rFonts w:eastAsia="Times" w:cs="Arial"/>
                <w:sz w:val="20"/>
              </w:rPr>
              <w:t>September</w:t>
            </w:r>
            <w:r w:rsidRPr="0037736A">
              <w:rPr>
                <w:rFonts w:eastAsia="Times" w:cs="Arial"/>
                <w:sz w:val="20"/>
              </w:rPr>
              <w:t xml:space="preserve"> 202</w:t>
            </w:r>
            <w:r w:rsidR="0023543A">
              <w:rPr>
                <w:rFonts w:eastAsia="Times" w:cs="Arial"/>
                <w:sz w:val="20"/>
              </w:rPr>
              <w:t>2</w:t>
            </w:r>
            <w:r w:rsidRPr="0037736A">
              <w:rPr>
                <w:rFonts w:eastAsia="Times" w:cs="Arial"/>
                <w:sz w:val="20"/>
              </w:rPr>
              <w:t>.</w:t>
            </w:r>
          </w:p>
          <w:p w14:paraId="7908ABAE" w14:textId="77777777" w:rsidR="0037736A" w:rsidRPr="0037736A" w:rsidRDefault="0037736A" w:rsidP="0037736A">
            <w:pPr>
              <w:spacing w:line="270" w:lineRule="atLeast"/>
              <w:rPr>
                <w:rFonts w:eastAsia="Times" w:cs="Arial"/>
                <w:sz w:val="20"/>
              </w:rPr>
            </w:pPr>
            <w:r w:rsidRPr="0037736A">
              <w:rPr>
                <w:rFonts w:eastAsia="Times" w:cs="Arial"/>
                <w:sz w:val="20"/>
              </w:rPr>
              <w:t>In this document, ‘Aboriginal’ refers to both Aboriginal and Torres Strait Islander people. ‘Indigenous’ or ‘Koori/Koorie’ is retained when part of the title of a report, program or quotation.</w:t>
            </w:r>
          </w:p>
          <w:p w14:paraId="5CAF1B8F" w14:textId="77777777" w:rsidR="0037736A" w:rsidRPr="0037736A" w:rsidRDefault="0037736A" w:rsidP="0037736A">
            <w:pPr>
              <w:spacing w:line="270" w:lineRule="atLeast"/>
              <w:rPr>
                <w:rFonts w:eastAsia="MS Gothic" w:cs="Arial"/>
                <w:color w:val="0072CE"/>
                <w:sz w:val="20"/>
                <w:u w:val="dotted"/>
              </w:rPr>
            </w:pPr>
            <w:r w:rsidRPr="0037736A">
              <w:rPr>
                <w:rFonts w:eastAsia="Times" w:cs="Arial"/>
                <w:sz w:val="20"/>
              </w:rPr>
              <w:t xml:space="preserve">Available at </w:t>
            </w:r>
            <w:r w:rsidRPr="0037736A">
              <w:rPr>
                <w:rFonts w:cs="Arial"/>
                <w:sz w:val="20"/>
              </w:rPr>
              <w:t>https://www2.health.vic.gov.au/alcohol-and-drugs/aod-treatment-services/forensic-aod-services</w:t>
            </w:r>
          </w:p>
        </w:tc>
      </w:tr>
    </w:tbl>
    <w:p w14:paraId="40D2FB31" w14:textId="77777777" w:rsidR="0037736A" w:rsidRPr="0037736A" w:rsidRDefault="0037736A" w:rsidP="0037736A">
      <w:pPr>
        <w:spacing w:line="270" w:lineRule="atLeast"/>
        <w:rPr>
          <w:rFonts w:eastAsia="Times"/>
          <w:sz w:val="20"/>
        </w:rPr>
      </w:pPr>
    </w:p>
    <w:p w14:paraId="78FB4D9B" w14:textId="77777777" w:rsidR="0037736A" w:rsidRPr="0037736A" w:rsidRDefault="0037736A" w:rsidP="0037736A">
      <w:pPr>
        <w:spacing w:line="270" w:lineRule="atLeast"/>
        <w:rPr>
          <w:rFonts w:eastAsia="Times"/>
          <w:sz w:val="20"/>
        </w:rPr>
      </w:pPr>
    </w:p>
    <w:p w14:paraId="5BDD2619" w14:textId="77777777" w:rsidR="0037736A" w:rsidRPr="0037736A" w:rsidRDefault="0037736A" w:rsidP="0037736A">
      <w:pPr>
        <w:spacing w:line="270" w:lineRule="atLeast"/>
        <w:rPr>
          <w:rFonts w:eastAsia="Times"/>
          <w:sz w:val="20"/>
        </w:rPr>
      </w:pPr>
    </w:p>
    <w:p w14:paraId="4A0C2BB9" w14:textId="66E1D73D" w:rsidR="00162CA9" w:rsidRPr="00D113D4" w:rsidRDefault="00162CA9" w:rsidP="0037736A">
      <w:pPr>
        <w:pStyle w:val="Body"/>
        <w:rPr>
          <w:b/>
          <w:bCs/>
          <w:color w:val="87189D"/>
        </w:rPr>
      </w:pPr>
    </w:p>
    <w:sectPr w:rsidR="00162CA9" w:rsidRPr="00D113D4" w:rsidSect="00647D54">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8B29" w14:textId="77777777" w:rsidR="0037736A" w:rsidRDefault="0037736A">
      <w:r>
        <w:separator/>
      </w:r>
    </w:p>
  </w:endnote>
  <w:endnote w:type="continuationSeparator" w:id="0">
    <w:p w14:paraId="6F019AB2" w14:textId="77777777" w:rsidR="0037736A" w:rsidRDefault="0037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FD4D" w14:textId="77777777" w:rsidR="00450104" w:rsidRDefault="00450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AF68" w14:textId="1C973896" w:rsidR="00E261B3" w:rsidRPr="00F65AA9" w:rsidRDefault="007D61A2" w:rsidP="00F84FA0">
    <w:pPr>
      <w:pStyle w:val="Footer"/>
    </w:pPr>
    <w:r>
      <w:rPr>
        <w:noProof/>
      </w:rPr>
      <mc:AlternateContent>
        <mc:Choice Requires="wps">
          <w:drawing>
            <wp:anchor distT="0" distB="0" distL="114300" distR="114300" simplePos="0" relativeHeight="251677696" behindDoc="0" locked="0" layoutInCell="0" allowOverlap="1" wp14:anchorId="023B960E" wp14:editId="4EA56191">
              <wp:simplePos x="0" y="0"/>
              <wp:positionH relativeFrom="page">
                <wp:posOffset>0</wp:posOffset>
              </wp:positionH>
              <wp:positionV relativeFrom="page">
                <wp:posOffset>10189845</wp:posOffset>
              </wp:positionV>
              <wp:extent cx="7560310" cy="311785"/>
              <wp:effectExtent l="0" t="0" r="0" b="12065"/>
              <wp:wrapNone/>
              <wp:docPr id="12" name="MSIPCMdc6f435f966cf34786f84bd3"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FDD41" w14:textId="746DC85C" w:rsidR="0037736A" w:rsidRPr="0037736A" w:rsidRDefault="0037736A" w:rsidP="0037736A">
                          <w:pPr>
                            <w:spacing w:after="0"/>
                            <w:jc w:val="center"/>
                            <w:rPr>
                              <w:rFonts w:ascii="Arial Black" w:hAnsi="Arial Black"/>
                              <w:color w:val="000000"/>
                              <w:sz w:val="20"/>
                            </w:rPr>
                          </w:pPr>
                          <w:r w:rsidRPr="003773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3B960E" id="_x0000_t202" coordsize="21600,21600" o:spt="202" path="m,l,21600r21600,l21600,xe">
              <v:stroke joinstyle="miter"/>
              <v:path gradientshapeok="t" o:connecttype="rect"/>
            </v:shapetype>
            <v:shape id="MSIPCMdc6f435f966cf34786f84bd3" o:spid="_x0000_s1026" type="#_x0000_t202" alt="{&quot;HashCode&quot;:904758361,&quot;Height&quot;:841.0,&quot;Width&quot;:595.0,&quot;Placement&quot;:&quot;Footer&quot;,&quot;Index&quot;:&quot;Primary&quot;,&quot;Section&quot;:3,&quot;Top&quot;:0.0,&quot;Left&quot;:0.0}" style="position:absolute;margin-left:0;margin-top:802.35pt;width:595.3pt;height:24.5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B3FDD41" w14:textId="746DC85C" w:rsidR="0037736A" w:rsidRPr="0037736A" w:rsidRDefault="0037736A" w:rsidP="0037736A">
                    <w:pPr>
                      <w:spacing w:after="0"/>
                      <w:jc w:val="center"/>
                      <w:rPr>
                        <w:rFonts w:ascii="Arial Black" w:hAnsi="Arial Black"/>
                        <w:color w:val="000000"/>
                        <w:sz w:val="20"/>
                      </w:rPr>
                    </w:pPr>
                    <w:r w:rsidRPr="0037736A">
                      <w:rPr>
                        <w:rFonts w:ascii="Arial Black" w:hAnsi="Arial Black"/>
                        <w:color w:val="000000"/>
                        <w:sz w:val="20"/>
                      </w:rPr>
                      <w:t>OFFICIAL</w:t>
                    </w:r>
                  </w:p>
                </w:txbxContent>
              </v:textbox>
              <w10:wrap anchorx="page" anchory="page"/>
            </v:shape>
          </w:pict>
        </mc:Fallback>
      </mc:AlternateContent>
    </w:r>
    <w:r w:rsidR="00315BD8">
      <w:rPr>
        <w:noProof/>
        <w:lang w:eastAsia="en-AU"/>
      </w:rPr>
      <w:drawing>
        <wp:anchor distT="0" distB="0" distL="114300" distR="114300" simplePos="0" relativeHeight="251667456" behindDoc="1" locked="0" layoutInCell="1" allowOverlap="1" wp14:anchorId="1EA82BC3" wp14:editId="5BF3C514">
          <wp:simplePos x="0" y="0"/>
          <wp:positionH relativeFrom="page">
            <wp:posOffset>12049</wp:posOffset>
          </wp:positionH>
          <wp:positionV relativeFrom="paragraph">
            <wp:posOffset>-99695</wp:posOffset>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46976" behindDoc="0" locked="0" layoutInCell="0" allowOverlap="1" wp14:anchorId="05716292" wp14:editId="55CFB50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4F2F7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05716292" id="MSIPCMc3054336811d08b680b9289e"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4697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14F2F7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1F61" w14:textId="77777777" w:rsidR="00E261B3" w:rsidRDefault="00E261B3">
    <w:pPr>
      <w:pStyle w:val="Footer"/>
    </w:pPr>
    <w:r>
      <w:rPr>
        <w:noProof/>
      </w:rPr>
      <mc:AlternateContent>
        <mc:Choice Requires="wps">
          <w:drawing>
            <wp:anchor distT="0" distB="0" distL="114300" distR="114300" simplePos="1" relativeHeight="251657216" behindDoc="0" locked="0" layoutInCell="0" allowOverlap="1" wp14:anchorId="312539D8" wp14:editId="7C28D92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0FAD8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2539D8"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80FAD8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CBA1" w14:textId="77777777" w:rsidR="0037736A" w:rsidRDefault="003773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40EF" w14:textId="6A3DC483" w:rsidR="0037736A" w:rsidRPr="00F65AA9" w:rsidRDefault="0037736A" w:rsidP="0051568D">
    <w:pPr>
      <w:pStyle w:val="DHHSfooter"/>
    </w:pPr>
    <w:r>
      <w:rPr>
        <w:noProof/>
        <w:color w:val="2B579A"/>
        <w:shd w:val="clear" w:color="auto" w:fill="E6E6E6"/>
        <w:lang w:eastAsia="en-AU"/>
      </w:rPr>
      <w:drawing>
        <wp:anchor distT="0" distB="0" distL="114300" distR="114300" simplePos="0" relativeHeight="251676160" behindDoc="0" locked="1" layoutInCell="0" allowOverlap="1" wp14:anchorId="17907E11" wp14:editId="1D410A13">
          <wp:simplePos x="0" y="0"/>
          <wp:positionH relativeFrom="page">
            <wp:posOffset>0</wp:posOffset>
          </wp:positionH>
          <wp:positionV relativeFrom="page">
            <wp:posOffset>9901555</wp:posOffset>
          </wp:positionV>
          <wp:extent cx="7561580" cy="791210"/>
          <wp:effectExtent l="0" t="0" r="1270" b="8890"/>
          <wp:wrapNone/>
          <wp:docPr id="8" name="Picture 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A37B" w14:textId="04EE21DE" w:rsidR="0037736A" w:rsidRDefault="0037736A">
    <w:pPr>
      <w:pStyle w:val="Footer"/>
    </w:pPr>
    <w:r>
      <w:rPr>
        <w:noProof/>
      </w:rPr>
      <mc:AlternateContent>
        <mc:Choice Requires="wps">
          <w:drawing>
            <wp:anchor distT="0" distB="0" distL="114300" distR="114300" simplePos="1" relativeHeight="251681280" behindDoc="0" locked="0" layoutInCell="0" allowOverlap="1" wp14:anchorId="3E9600BD" wp14:editId="46A2BC4B">
              <wp:simplePos x="0" y="10189687"/>
              <wp:positionH relativeFrom="page">
                <wp:posOffset>0</wp:posOffset>
              </wp:positionH>
              <wp:positionV relativeFrom="page">
                <wp:posOffset>10189210</wp:posOffset>
              </wp:positionV>
              <wp:extent cx="7560310" cy="311785"/>
              <wp:effectExtent l="0" t="0" r="0" b="12065"/>
              <wp:wrapNone/>
              <wp:docPr id="11" name="MSIPCMa9674fb1b40c84ee1e392940"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0CC00C" w14:textId="34065FA9" w:rsidR="0037736A" w:rsidRPr="0037736A" w:rsidRDefault="0037736A" w:rsidP="0037736A">
                          <w:pPr>
                            <w:spacing w:after="0"/>
                            <w:jc w:val="center"/>
                            <w:rPr>
                              <w:rFonts w:ascii="Arial Black" w:hAnsi="Arial Black"/>
                              <w:color w:val="000000"/>
                              <w:sz w:val="20"/>
                            </w:rPr>
                          </w:pPr>
                          <w:r w:rsidRPr="003773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9600BD" id="_x0000_t202" coordsize="21600,21600" o:spt="202" path="m,l,21600r21600,l21600,xe">
              <v:stroke joinstyle="miter"/>
              <v:path gradientshapeok="t" o:connecttype="rect"/>
            </v:shapetype>
            <v:shape id="MSIPCMa9674fb1b40c84ee1e392940" o:spid="_x0000_s1029" type="#_x0000_t202" alt="{&quot;HashCode&quot;:904758361,&quot;Height&quot;:841.0,&quot;Width&quot;:595.0,&quot;Placement&quot;:&quot;Footer&quot;,&quot;Index&quot;:&quot;FirstPage&quot;,&quot;Section&quot;:2,&quot;Top&quot;:0.0,&quot;Left&quot;:0.0}" style="position:absolute;margin-left:0;margin-top:802.3pt;width:595.3pt;height:24.55pt;z-index:251681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70CC00C" w14:textId="34065FA9" w:rsidR="0037736A" w:rsidRPr="0037736A" w:rsidRDefault="0037736A" w:rsidP="0037736A">
                    <w:pPr>
                      <w:spacing w:after="0"/>
                      <w:jc w:val="center"/>
                      <w:rPr>
                        <w:rFonts w:ascii="Arial Black" w:hAnsi="Arial Black"/>
                        <w:color w:val="000000"/>
                        <w:sz w:val="20"/>
                      </w:rPr>
                    </w:pPr>
                    <w:r w:rsidRPr="0037736A">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3C91" w14:textId="4CCB2F6F" w:rsidR="0037736A" w:rsidRPr="00A11421" w:rsidRDefault="0037736A" w:rsidP="0051568D">
    <w:pPr>
      <w:pStyle w:val="DHHSfooter"/>
    </w:pPr>
    <w:r>
      <w:rPr>
        <w:noProof/>
      </w:rPr>
      <mc:AlternateContent>
        <mc:Choice Requires="wps">
          <w:drawing>
            <wp:anchor distT="0" distB="0" distL="114300" distR="114300" simplePos="0" relativeHeight="251679232" behindDoc="0" locked="0" layoutInCell="0" allowOverlap="1" wp14:anchorId="74184BD2" wp14:editId="7CD06124">
              <wp:simplePos x="0" y="0"/>
              <wp:positionH relativeFrom="page">
                <wp:posOffset>0</wp:posOffset>
              </wp:positionH>
              <wp:positionV relativeFrom="page">
                <wp:posOffset>10189845</wp:posOffset>
              </wp:positionV>
              <wp:extent cx="7560310" cy="311785"/>
              <wp:effectExtent l="0" t="0" r="0" b="12065"/>
              <wp:wrapNone/>
              <wp:docPr id="9" name="MSIPCMfdd946539683d211e717fa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21109" w14:textId="77777777" w:rsidR="0037736A" w:rsidRPr="00F645A8" w:rsidRDefault="0037736A" w:rsidP="0037736A">
                          <w:pPr>
                            <w:spacing w:after="0"/>
                            <w:jc w:val="center"/>
                            <w:rPr>
                              <w:rFonts w:ascii="Arial Black" w:hAnsi="Arial Black"/>
                              <w:color w:val="000000"/>
                            </w:rPr>
                          </w:pPr>
                          <w:r w:rsidRPr="00F645A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84BD2" id="_x0000_t202" coordsize="21600,21600" o:spt="202" path="m,l,21600r21600,l21600,xe">
              <v:stroke joinstyle="miter"/>
              <v:path gradientshapeok="t" o:connecttype="rect"/>
            </v:shapetype>
            <v:shape id="MSIPCMfdd946539683d211e717fa9a" o:spid="_x0000_s1030" type="#_x0000_t202" alt="{&quot;HashCode&quot;:904758361,&quot;Height&quot;:841.0,&quot;Width&quot;:595.0,&quot;Placement&quot;:&quot;Footer&quot;,&quot;Index&quot;:&quot;Primary&quot;,&quot;Section&quot;:2,&quot;Top&quot;:0.0,&quot;Left&quot;:0.0}" style="position:absolute;margin-left:0;margin-top:802.35pt;width:595.3pt;height:24.5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01821109" w14:textId="77777777" w:rsidR="0037736A" w:rsidRPr="00F645A8" w:rsidRDefault="0037736A" w:rsidP="0037736A">
                    <w:pPr>
                      <w:spacing w:after="0"/>
                      <w:jc w:val="center"/>
                      <w:rPr>
                        <w:rFonts w:ascii="Arial Black" w:hAnsi="Arial Black"/>
                        <w:color w:val="000000"/>
                      </w:rPr>
                    </w:pPr>
                    <w:r w:rsidRPr="00F645A8">
                      <w:rPr>
                        <w:rFonts w:ascii="Arial Black" w:hAnsi="Arial Black"/>
                        <w:color w:val="000000"/>
                      </w:rPr>
                      <w:t>OFFICIAL</w:t>
                    </w:r>
                  </w:p>
                </w:txbxContent>
              </v:textbox>
              <w10:wrap anchorx="page" anchory="page"/>
            </v:shape>
          </w:pict>
        </mc:Fallback>
      </mc:AlternateContent>
    </w:r>
    <w:r>
      <w:t>Forensic client definition policy – 202</w:t>
    </w:r>
    <w:r w:rsidR="00CB67BA">
      <w:t>2</w:t>
    </w:r>
    <w:r>
      <w:t>-2</w:t>
    </w:r>
    <w:r w:rsidR="00CB67BA">
      <w:t>3</w:t>
    </w:r>
    <w:r>
      <w:ptab w:relativeTo="margin" w:alignment="right" w:leader="none"/>
    </w:r>
    <w:r w:rsidRPr="00A11421">
      <w:rPr>
        <w:color w:val="2B579A"/>
        <w:shd w:val="clear" w:color="auto" w:fill="E6E6E6"/>
      </w:rPr>
      <w:fldChar w:fldCharType="begin"/>
    </w:r>
    <w:r w:rsidRPr="00A11421">
      <w:instrText xml:space="preserve"> PAGE </w:instrText>
    </w:r>
    <w:r w:rsidRPr="00A11421">
      <w:rPr>
        <w:color w:val="2B579A"/>
        <w:shd w:val="clear" w:color="auto" w:fill="E6E6E6"/>
      </w:rPr>
      <w:fldChar w:fldCharType="separate"/>
    </w:r>
    <w:r>
      <w:rPr>
        <w:noProof/>
      </w:rPr>
      <w:t>2</w:t>
    </w:r>
    <w:r w:rsidRPr="00A11421">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03FD" w14:textId="77777777" w:rsidR="0037736A" w:rsidRDefault="0037736A" w:rsidP="002862F1">
      <w:pPr>
        <w:spacing w:before="120"/>
      </w:pPr>
      <w:r>
        <w:separator/>
      </w:r>
    </w:p>
  </w:footnote>
  <w:footnote w:type="continuationSeparator" w:id="0">
    <w:p w14:paraId="5E0A1A59" w14:textId="77777777" w:rsidR="0037736A" w:rsidRDefault="00377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1C86" w14:textId="77777777" w:rsidR="00450104" w:rsidRDefault="00450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EBC5"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E4D2" w14:textId="77777777" w:rsidR="00450104" w:rsidRDefault="004501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46D4" w14:textId="77777777" w:rsidR="0037736A" w:rsidRDefault="003773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39C6" w14:textId="77777777" w:rsidR="0037736A" w:rsidRDefault="0037736A">
    <w:pPr>
      <w:pStyle w:val="Header"/>
    </w:pPr>
    <w:r>
      <w:rPr>
        <w:noProof/>
      </w:rPr>
      <w:drawing>
        <wp:anchor distT="0" distB="0" distL="114300" distR="114300" simplePos="0" relativeHeight="251680256" behindDoc="1" locked="1" layoutInCell="1" allowOverlap="1" wp14:anchorId="3314127E" wp14:editId="24164AEF">
          <wp:simplePos x="0" y="0"/>
          <wp:positionH relativeFrom="page">
            <wp:posOffset>5080</wp:posOffset>
          </wp:positionH>
          <wp:positionV relativeFrom="page">
            <wp:posOffset>18415</wp:posOffset>
          </wp:positionV>
          <wp:extent cx="7557770" cy="1727835"/>
          <wp:effectExtent l="0" t="0" r="5080" b="571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7770" cy="172783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645C" w14:textId="77777777" w:rsidR="0037736A" w:rsidRDefault="003773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9679" w14:textId="77777777" w:rsidR="0037736A" w:rsidRDefault="0037736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42FF" w14:textId="77777777" w:rsidR="0037736A" w:rsidRPr="0051568D" w:rsidRDefault="0037736A" w:rsidP="0051568D">
    <w:pPr>
      <w:pStyle w:val="DHHS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C120" w14:textId="77777777" w:rsidR="0037736A" w:rsidRDefault="00377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6ED2489"/>
    <w:multiLevelType w:val="hybridMultilevel"/>
    <w:tmpl w:val="49F47E86"/>
    <w:lvl w:ilvl="0" w:tplc="4CF838C0">
      <w:start w:val="1"/>
      <w:numFmt w:val="upp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363C67"/>
    <w:multiLevelType w:val="hybridMultilevel"/>
    <w:tmpl w:val="32288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E831758"/>
    <w:multiLevelType w:val="multilevel"/>
    <w:tmpl w:val="05084FEC"/>
    <w:lvl w:ilvl="0">
      <w:start w:val="1"/>
      <w:numFmt w:val="decimal"/>
      <w:lvlText w:val="%1."/>
      <w:lvlJc w:val="left"/>
      <w:pPr>
        <w:ind w:left="644" w:hanging="284"/>
      </w:pPr>
      <w:rPr>
        <w:rFonts w:hint="default"/>
        <w:b/>
        <w:bCs/>
      </w:rPr>
    </w:lvl>
    <w:lvl w:ilvl="1">
      <w:start w:val="1"/>
      <w:numFmt w:val="bullet"/>
      <w:lvlRestart w:val="0"/>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6C2730"/>
    <w:multiLevelType w:val="hybridMultilevel"/>
    <w:tmpl w:val="73FAD5F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702EFA8E" w:tentative="1">
      <w:start w:val="1"/>
      <w:numFmt w:val="lowerRoman"/>
      <w:lvlText w:val="%3."/>
      <w:lvlJc w:val="right"/>
      <w:pPr>
        <w:ind w:left="1800" w:hanging="180"/>
      </w:pPr>
      <w:rPr>
        <w:rFonts w:hint="default"/>
      </w:rPr>
    </w:lvl>
    <w:lvl w:ilvl="3" w:tplc="B762BE80" w:tentative="1">
      <w:start w:val="1"/>
      <w:numFmt w:val="decimal"/>
      <w:lvlText w:val="%4."/>
      <w:lvlJc w:val="left"/>
      <w:pPr>
        <w:ind w:left="2520" w:hanging="360"/>
      </w:pPr>
      <w:rPr>
        <w:rFonts w:hint="default"/>
      </w:rPr>
    </w:lvl>
    <w:lvl w:ilvl="4" w:tplc="DD189D1C" w:tentative="1">
      <w:start w:val="1"/>
      <w:numFmt w:val="lowerLetter"/>
      <w:lvlText w:val="%5."/>
      <w:lvlJc w:val="left"/>
      <w:pPr>
        <w:ind w:left="3240" w:hanging="360"/>
      </w:pPr>
      <w:rPr>
        <w:rFonts w:hint="default"/>
      </w:rPr>
    </w:lvl>
    <w:lvl w:ilvl="5" w:tplc="ACF6CDF0" w:tentative="1">
      <w:start w:val="1"/>
      <w:numFmt w:val="lowerRoman"/>
      <w:lvlText w:val="%6."/>
      <w:lvlJc w:val="right"/>
      <w:pPr>
        <w:ind w:left="3960" w:hanging="180"/>
      </w:pPr>
      <w:rPr>
        <w:rFonts w:hint="default"/>
      </w:rPr>
    </w:lvl>
    <w:lvl w:ilvl="6" w:tplc="E7C0303E" w:tentative="1">
      <w:start w:val="1"/>
      <w:numFmt w:val="decimal"/>
      <w:lvlText w:val="%7."/>
      <w:lvlJc w:val="left"/>
      <w:pPr>
        <w:ind w:left="4680" w:hanging="360"/>
      </w:pPr>
      <w:rPr>
        <w:rFonts w:hint="default"/>
      </w:rPr>
    </w:lvl>
    <w:lvl w:ilvl="7" w:tplc="319C9F58" w:tentative="1">
      <w:start w:val="1"/>
      <w:numFmt w:val="lowerLetter"/>
      <w:lvlText w:val="%8."/>
      <w:lvlJc w:val="left"/>
      <w:pPr>
        <w:ind w:left="5400" w:hanging="360"/>
      </w:pPr>
      <w:rPr>
        <w:rFonts w:hint="default"/>
      </w:rPr>
    </w:lvl>
    <w:lvl w:ilvl="8" w:tplc="71765CFE" w:tentative="1">
      <w:start w:val="1"/>
      <w:numFmt w:val="lowerRoman"/>
      <w:lvlText w:val="%9."/>
      <w:lvlJc w:val="right"/>
      <w:pPr>
        <w:ind w:left="6120" w:hanging="180"/>
      </w:pPr>
      <w:rPr>
        <w:rFont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1B74E48"/>
    <w:multiLevelType w:val="hybridMultilevel"/>
    <w:tmpl w:val="32A2DA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0"/>
  </w:num>
  <w:num w:numId="25">
    <w:abstractNumId w:val="26"/>
  </w:num>
  <w:num w:numId="26">
    <w:abstractNumId w:val="21"/>
  </w:num>
  <w:num w:numId="27">
    <w:abstractNumId w:val="11"/>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7"/>
  </w:num>
  <w:num w:numId="42">
    <w:abstractNumId w:val="24"/>
  </w:num>
  <w:num w:numId="43">
    <w:abstractNumId w:val="15"/>
  </w:num>
  <w:num w:numId="44">
    <w:abstractNumId w:val="29"/>
  </w:num>
  <w:num w:numId="4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6A"/>
    <w:rsid w:val="00000719"/>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0F54"/>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6C03"/>
    <w:rsid w:val="00220C04"/>
    <w:rsid w:val="0022278D"/>
    <w:rsid w:val="0022701F"/>
    <w:rsid w:val="00227C68"/>
    <w:rsid w:val="002333F5"/>
    <w:rsid w:val="00233724"/>
    <w:rsid w:val="0023543A"/>
    <w:rsid w:val="002365B4"/>
    <w:rsid w:val="00240625"/>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5BE"/>
    <w:rsid w:val="00351B36"/>
    <w:rsid w:val="00357B4E"/>
    <w:rsid w:val="003716FD"/>
    <w:rsid w:val="0037204B"/>
    <w:rsid w:val="003744CF"/>
    <w:rsid w:val="00374717"/>
    <w:rsid w:val="0037676C"/>
    <w:rsid w:val="0037736A"/>
    <w:rsid w:val="00381043"/>
    <w:rsid w:val="003829E5"/>
    <w:rsid w:val="00386109"/>
    <w:rsid w:val="00386944"/>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02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48F9"/>
    <w:rsid w:val="00414D4A"/>
    <w:rsid w:val="0042084E"/>
    <w:rsid w:val="00421EEF"/>
    <w:rsid w:val="00424D65"/>
    <w:rsid w:val="00442C6C"/>
    <w:rsid w:val="00443CBE"/>
    <w:rsid w:val="00443E8A"/>
    <w:rsid w:val="004441BC"/>
    <w:rsid w:val="004468B4"/>
    <w:rsid w:val="0045010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5E97"/>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A7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93"/>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EC2"/>
    <w:rsid w:val="00752B28"/>
    <w:rsid w:val="007541A9"/>
    <w:rsid w:val="00754E36"/>
    <w:rsid w:val="00763139"/>
    <w:rsid w:val="007649C6"/>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61A2"/>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5FAF"/>
    <w:rsid w:val="00841AA9"/>
    <w:rsid w:val="00846276"/>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338F"/>
    <w:rsid w:val="00937BD9"/>
    <w:rsid w:val="00946F66"/>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4125"/>
    <w:rsid w:val="00A44882"/>
    <w:rsid w:val="00A45125"/>
    <w:rsid w:val="00A54715"/>
    <w:rsid w:val="00A6061C"/>
    <w:rsid w:val="00A62D44"/>
    <w:rsid w:val="00A67263"/>
    <w:rsid w:val="00A7161C"/>
    <w:rsid w:val="00A77AA3"/>
    <w:rsid w:val="00A8236D"/>
    <w:rsid w:val="00A854EB"/>
    <w:rsid w:val="00A872E5"/>
    <w:rsid w:val="00A87A9C"/>
    <w:rsid w:val="00A91406"/>
    <w:rsid w:val="00A95DA2"/>
    <w:rsid w:val="00A96E65"/>
    <w:rsid w:val="00A97C72"/>
    <w:rsid w:val="00AA268E"/>
    <w:rsid w:val="00AA310B"/>
    <w:rsid w:val="00AA63D4"/>
    <w:rsid w:val="00AB06CB"/>
    <w:rsid w:val="00AB06E8"/>
    <w:rsid w:val="00AB1CD3"/>
    <w:rsid w:val="00AB352F"/>
    <w:rsid w:val="00AC274B"/>
    <w:rsid w:val="00AC4764"/>
    <w:rsid w:val="00AC6A6A"/>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50BC"/>
    <w:rsid w:val="00B9714C"/>
    <w:rsid w:val="00BA29AD"/>
    <w:rsid w:val="00BA33CF"/>
    <w:rsid w:val="00BA3F8D"/>
    <w:rsid w:val="00BA4BB2"/>
    <w:rsid w:val="00BB7A10"/>
    <w:rsid w:val="00BC1261"/>
    <w:rsid w:val="00BC3E8F"/>
    <w:rsid w:val="00BC60BE"/>
    <w:rsid w:val="00BC7468"/>
    <w:rsid w:val="00BC7D4F"/>
    <w:rsid w:val="00BC7ED7"/>
    <w:rsid w:val="00BD2850"/>
    <w:rsid w:val="00BE28D2"/>
    <w:rsid w:val="00BE4A64"/>
    <w:rsid w:val="00BE5E43"/>
    <w:rsid w:val="00BE69BB"/>
    <w:rsid w:val="00BF2E28"/>
    <w:rsid w:val="00BF557D"/>
    <w:rsid w:val="00BF7F58"/>
    <w:rsid w:val="00C01381"/>
    <w:rsid w:val="00C01AB1"/>
    <w:rsid w:val="00C026A0"/>
    <w:rsid w:val="00C060A1"/>
    <w:rsid w:val="00C06137"/>
    <w:rsid w:val="00C079B8"/>
    <w:rsid w:val="00C10037"/>
    <w:rsid w:val="00C123EA"/>
    <w:rsid w:val="00C12A49"/>
    <w:rsid w:val="00C133EE"/>
    <w:rsid w:val="00C149D0"/>
    <w:rsid w:val="00C26588"/>
    <w:rsid w:val="00C27DE9"/>
    <w:rsid w:val="00C32989"/>
    <w:rsid w:val="00C33388"/>
    <w:rsid w:val="00C35484"/>
    <w:rsid w:val="00C40477"/>
    <w:rsid w:val="00C4173A"/>
    <w:rsid w:val="00C50DED"/>
    <w:rsid w:val="00C602FF"/>
    <w:rsid w:val="00C61174"/>
    <w:rsid w:val="00C6148F"/>
    <w:rsid w:val="00C621B1"/>
    <w:rsid w:val="00C62F7A"/>
    <w:rsid w:val="00C63B9C"/>
    <w:rsid w:val="00C6682F"/>
    <w:rsid w:val="00C67BF4"/>
    <w:rsid w:val="00C7275E"/>
    <w:rsid w:val="00C74C5D"/>
    <w:rsid w:val="00C863C4"/>
    <w:rsid w:val="00C917DF"/>
    <w:rsid w:val="00C920EA"/>
    <w:rsid w:val="00C93C3E"/>
    <w:rsid w:val="00CA12E3"/>
    <w:rsid w:val="00CA1476"/>
    <w:rsid w:val="00CA6611"/>
    <w:rsid w:val="00CA6AE6"/>
    <w:rsid w:val="00CA782F"/>
    <w:rsid w:val="00CB187B"/>
    <w:rsid w:val="00CB2835"/>
    <w:rsid w:val="00CB3285"/>
    <w:rsid w:val="00CB4500"/>
    <w:rsid w:val="00CB67BA"/>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13D4"/>
    <w:rsid w:val="00D17B72"/>
    <w:rsid w:val="00D3185C"/>
    <w:rsid w:val="00D3205F"/>
    <w:rsid w:val="00D3318E"/>
    <w:rsid w:val="00D33E72"/>
    <w:rsid w:val="00D35BD6"/>
    <w:rsid w:val="00D361B5"/>
    <w:rsid w:val="00D370C2"/>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556"/>
    <w:rsid w:val="00F01E5F"/>
    <w:rsid w:val="00F024F3"/>
    <w:rsid w:val="00F02ABA"/>
    <w:rsid w:val="00F0437A"/>
    <w:rsid w:val="00F0713C"/>
    <w:rsid w:val="00F101B8"/>
    <w:rsid w:val="00F11037"/>
    <w:rsid w:val="00F16F1B"/>
    <w:rsid w:val="00F17B92"/>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F7D"/>
    <w:rsid w:val="00FF54DF"/>
    <w:rsid w:val="00FF6D9D"/>
    <w:rsid w:val="00FF7DD5"/>
    <w:rsid w:val="7243D1A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CBFED49"/>
  <w15:docId w15:val="{E28F1404-9DE6-4FFF-A333-D521C2C3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link w:val="FooterChar"/>
    <w:uiPriority w:val="99"/>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paragraph">
    <w:name w:val="paragraph"/>
    <w:basedOn w:val="Normal"/>
    <w:rsid w:val="00F01556"/>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F01556"/>
  </w:style>
  <w:style w:type="character" w:customStyle="1" w:styleId="eop">
    <w:name w:val="eop"/>
    <w:basedOn w:val="DefaultParagraphFont"/>
    <w:rsid w:val="00F01556"/>
  </w:style>
  <w:style w:type="paragraph" w:customStyle="1" w:styleId="DHHSbullet1">
    <w:name w:val="DHHS bullet 1"/>
    <w:basedOn w:val="Normal"/>
    <w:qFormat/>
    <w:rsid w:val="0037736A"/>
    <w:pPr>
      <w:spacing w:after="40" w:line="270" w:lineRule="atLeast"/>
      <w:ind w:left="644" w:hanging="284"/>
    </w:pPr>
    <w:rPr>
      <w:rFonts w:eastAsia="Times"/>
      <w:sz w:val="20"/>
    </w:rPr>
  </w:style>
  <w:style w:type="paragraph" w:customStyle="1" w:styleId="DHHSbullet2">
    <w:name w:val="DHHS bullet 2"/>
    <w:basedOn w:val="Normal"/>
    <w:uiPriority w:val="2"/>
    <w:qFormat/>
    <w:rsid w:val="0037736A"/>
    <w:pPr>
      <w:spacing w:after="40" w:line="270" w:lineRule="atLeast"/>
      <w:ind w:left="927" w:hanging="283"/>
    </w:pPr>
    <w:rPr>
      <w:rFonts w:eastAsia="Times"/>
      <w:sz w:val="20"/>
    </w:rPr>
  </w:style>
  <w:style w:type="numbering" w:customStyle="1" w:styleId="ZZBullets1">
    <w:name w:val="ZZ Bullets1"/>
    <w:rsid w:val="0037736A"/>
  </w:style>
  <w:style w:type="paragraph" w:customStyle="1" w:styleId="DHHSfooter">
    <w:name w:val="DHHS footer"/>
    <w:uiPriority w:val="11"/>
    <w:rsid w:val="0037736A"/>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37736A"/>
  </w:style>
  <w:style w:type="character" w:customStyle="1" w:styleId="FooterChar">
    <w:name w:val="Footer Char"/>
    <w:basedOn w:val="DefaultParagraphFont"/>
    <w:link w:val="Footer"/>
    <w:uiPriority w:val="99"/>
    <w:rsid w:val="007D61A2"/>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81450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2691370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1320457">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acso.org.au/referrals/"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cso.org.au/referral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alcohol-and-drugs/aod-service-standards-guidelines/aod-program-guidelin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mailto:aod.enqui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4" ma:contentTypeDescription="" ma:contentTypeScope="" ma:versionID="659ab1394b4325a302dd7a02f205972a">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02366b30647ceee82f0515b01e238ca8"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098f23-3ca6-4eec-8c4e-6f77ceae2d9e">
      <UserInfo>
        <DisplayName>Megan Boland (Health)</DisplayName>
        <AccountId>90</AccountId>
        <AccountType/>
      </UserInfo>
      <UserInfo>
        <DisplayName>Gary Morris (Health)</DisplayName>
        <AccountId>13</AccountId>
        <AccountType/>
      </UserInfo>
      <UserInfo>
        <DisplayName>VADC Data (Health)</DisplayName>
        <AccountId>107</AccountId>
        <AccountType/>
      </UserInfo>
    </SharedWithUsers>
    <RequestID xmlns="131e7afd-8cb4-4255-a884-cbcde2747e4c" xsi:nil="true"/>
    <CBSFileName xmlns="59098f23-3ca6-4eec-8c4e-6f77ceae2d9e">Attachment 1 Forensic AOD client definition policy 2022-23</CBSFileName>
    <CBSDocType xmlns="59098f23-3ca6-4eec-8c4e-6f77ceae2d9e" xsi:nil="true"/>
    <IconOverlay xmlns="http://schemas.microsoft.com/sharepoint/v4" xsi:nil="true"/>
    <RecordStatus xmlns="4e6cfa50-9814-4036-b2f8-54bb7ef1e7f8" xsi:nil="true"/>
    <TaxCatchAll xmlns="5ce0f2b5-5be5-4508-bce9-d7011ece0659"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B787E-3EDE-4BFD-82EB-2B9E68FBE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4e6cfa50-9814-4036-b2f8-54bb7ef1e7f8"/>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9098f23-3ca6-4eec-8c4e-6f77ceae2d9e"/>
    <ds:schemaRef ds:uri="5ce0f2b5-5be5-4508-bce9-d7011ece0659"/>
    <ds:schemaRef ds:uri="9bb0acc9-d7bd-4cdf-ad2b-ac1699117d04"/>
    <ds:schemaRef ds:uri="http://purl.org/dc/elements/1.1/"/>
    <ds:schemaRef ds:uri="http://schemas.microsoft.com/office/2006/metadata/properties"/>
    <ds:schemaRef ds:uri="131e7afd-8cb4-4255-a884-cbcde2747e4c"/>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1315</Words>
  <Characters>8456</Characters>
  <Application>Microsoft Office Word</Application>
  <DocSecurity>0</DocSecurity>
  <Lines>70</Lines>
  <Paragraphs>19</Paragraphs>
  <ScaleCrop>false</ScaleCrop>
  <Company>Victoria State Government, Department of Health</Company>
  <LinksUpToDate>false</LinksUpToDate>
  <CharactersWithSpaces>9752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meeting agenda template</dc:title>
  <dc:subject>DH meeting agenda template</dc:subject>
  <dc:creator>Alison M White (DHHS)</dc:creator>
  <cp:keywords>DH; Department of Health; meeting; agenda; template</cp:keywords>
  <cp:lastModifiedBy>Melissa Lonsdale</cp:lastModifiedBy>
  <cp:revision>5</cp:revision>
  <cp:lastPrinted>2020-03-30T03:28:00Z</cp:lastPrinted>
  <dcterms:created xsi:type="dcterms:W3CDTF">2022-09-06T05:36:00Z</dcterms:created>
  <dcterms:modified xsi:type="dcterms:W3CDTF">2022-09-06T05:48:00Z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2022-09-06T05:48:08Z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d978b8c6-c747-49a0-8f65-7d80d6e058cc</vt:lpwstr>
  </property>
  <property fmtid="{D5CDD505-2E9C-101B-9397-08002B2CF9AE}" pid="12" name="MSIP_Label_43e64453-338c-4f93-8a4d-0039a0a41f2a_ContentBits">
    <vt:lpwstr>2</vt:lpwstr>
  </property>
</Properties>
</file>