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98BF4" w14:textId="77777777" w:rsidR="0074696E" w:rsidRPr="00D0397F" w:rsidRDefault="00904AB4" w:rsidP="00EC40D5">
      <w:pPr>
        <w:pStyle w:val="Sectionbreakfirstpage"/>
      </w:pPr>
      <w:r w:rsidRPr="00D0397F">
        <w:drawing>
          <wp:anchor distT="0" distB="0" distL="114300" distR="114300" simplePos="0" relativeHeight="251658240" behindDoc="1" locked="1" layoutInCell="1" allowOverlap="0" wp14:anchorId="40B5EBB2" wp14:editId="1E1FEEDF">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0E6AC36B" w14:textId="77777777" w:rsidR="00A62D44" w:rsidRPr="00D0397F" w:rsidRDefault="00A62D44" w:rsidP="00EC40D5">
      <w:pPr>
        <w:pStyle w:val="Sectionbreakfirstpage"/>
        <w:sectPr w:rsidR="00A62D44" w:rsidRPr="00D0397F"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D0397F" w14:paraId="5C308CFD" w14:textId="77777777" w:rsidTr="00B07FF7">
        <w:trPr>
          <w:trHeight w:val="622"/>
        </w:trPr>
        <w:tc>
          <w:tcPr>
            <w:tcW w:w="10348" w:type="dxa"/>
            <w:tcMar>
              <w:top w:w="1531" w:type="dxa"/>
              <w:left w:w="0" w:type="dxa"/>
              <w:right w:w="0" w:type="dxa"/>
            </w:tcMar>
          </w:tcPr>
          <w:p w14:paraId="30D7A70E" w14:textId="77C6CEF2" w:rsidR="003B5733" w:rsidRPr="00D0397F" w:rsidRDefault="00E7720E" w:rsidP="003B5733">
            <w:pPr>
              <w:pStyle w:val="Documenttitle"/>
            </w:pPr>
            <w:r>
              <w:t>The Alfred’s h</w:t>
            </w:r>
            <w:r w:rsidR="004D587B" w:rsidRPr="004D587B">
              <w:t>igh</w:t>
            </w:r>
            <w:r w:rsidR="002674DC">
              <w:t>-</w:t>
            </w:r>
            <w:r w:rsidR="004D587B" w:rsidRPr="004D587B">
              <w:t>quality end-of-trip facilities</w:t>
            </w:r>
          </w:p>
        </w:tc>
      </w:tr>
      <w:tr w:rsidR="003B5733" w:rsidRPr="00D0397F" w14:paraId="374209AB" w14:textId="77777777" w:rsidTr="00B07FF7">
        <w:tc>
          <w:tcPr>
            <w:tcW w:w="10348" w:type="dxa"/>
          </w:tcPr>
          <w:p w14:paraId="4D9DBBFF" w14:textId="20FE2309" w:rsidR="003B5733" w:rsidRPr="00D0397F" w:rsidRDefault="0095285F" w:rsidP="005F44C0">
            <w:pPr>
              <w:pStyle w:val="Documentsubtitle"/>
            </w:pPr>
            <w:r>
              <w:t>4</w:t>
            </w:r>
            <w:r w:rsidR="005D1FDD" w:rsidRPr="00D0397F">
              <w:t>.</w:t>
            </w:r>
            <w:r w:rsidR="00825817">
              <w:t>4</w:t>
            </w:r>
            <w:r w:rsidR="00CF268D" w:rsidRPr="00D0397F">
              <w:t xml:space="preserve"> – Sustainable </w:t>
            </w:r>
            <w:r w:rsidR="00FB3D0D" w:rsidRPr="00D0397F">
              <w:t>transport in health care</w:t>
            </w:r>
          </w:p>
        </w:tc>
      </w:tr>
      <w:tr w:rsidR="003B5733" w:rsidRPr="00D0397F" w14:paraId="05B176CC" w14:textId="77777777" w:rsidTr="00B07FF7">
        <w:tc>
          <w:tcPr>
            <w:tcW w:w="10348" w:type="dxa"/>
          </w:tcPr>
          <w:p w14:paraId="7B79AB67" w14:textId="5EA599FB" w:rsidR="003B5733" w:rsidRPr="00D0397F" w:rsidRDefault="003B5733" w:rsidP="001E5058">
            <w:pPr>
              <w:pStyle w:val="Bannermarking"/>
            </w:pPr>
          </w:p>
        </w:tc>
      </w:tr>
    </w:tbl>
    <w:p w14:paraId="042724A3" w14:textId="77777777" w:rsidR="00AD784C" w:rsidRPr="00D0397F" w:rsidRDefault="00AD784C" w:rsidP="002365B4">
      <w:pPr>
        <w:pStyle w:val="TOCheadingfactsheet"/>
      </w:pPr>
      <w:r w:rsidRPr="00D0397F">
        <w:t>Contents</w:t>
      </w:r>
    </w:p>
    <w:p w14:paraId="4EBA40F9" w14:textId="6DD7AA02" w:rsidR="00E7720E" w:rsidRDefault="00AD784C">
      <w:pPr>
        <w:pStyle w:val="TOC1"/>
        <w:rPr>
          <w:rFonts w:asciiTheme="minorHAnsi" w:eastAsiaTheme="minorEastAsia" w:hAnsiTheme="minorHAnsi" w:cstheme="minorBidi"/>
          <w:b w:val="0"/>
          <w:sz w:val="24"/>
          <w:szCs w:val="24"/>
          <w:lang w:eastAsia="en-GB"/>
        </w:rPr>
      </w:pPr>
      <w:r w:rsidRPr="00D0397F">
        <w:fldChar w:fldCharType="begin"/>
      </w:r>
      <w:r w:rsidRPr="00D0397F">
        <w:instrText xml:space="preserve"> TOC \h \z \t "Heading 1,1,Heading 2,2" </w:instrText>
      </w:r>
      <w:r w:rsidRPr="00D0397F">
        <w:fldChar w:fldCharType="separate"/>
      </w:r>
      <w:hyperlink w:anchor="_Toc104382959" w:history="1">
        <w:r w:rsidR="00E7720E" w:rsidRPr="0095421F">
          <w:rPr>
            <w:rStyle w:val="Hyperlink"/>
          </w:rPr>
          <w:t>Case study</w:t>
        </w:r>
        <w:r w:rsidR="00E7720E">
          <w:rPr>
            <w:webHidden/>
          </w:rPr>
          <w:tab/>
        </w:r>
        <w:r w:rsidR="00E7720E">
          <w:rPr>
            <w:webHidden/>
          </w:rPr>
          <w:fldChar w:fldCharType="begin"/>
        </w:r>
        <w:r w:rsidR="00E7720E">
          <w:rPr>
            <w:webHidden/>
          </w:rPr>
          <w:instrText xml:space="preserve"> PAGEREF _Toc104382959 \h </w:instrText>
        </w:r>
        <w:r w:rsidR="00E7720E">
          <w:rPr>
            <w:webHidden/>
          </w:rPr>
        </w:r>
        <w:r w:rsidR="00E7720E">
          <w:rPr>
            <w:webHidden/>
          </w:rPr>
          <w:fldChar w:fldCharType="separate"/>
        </w:r>
        <w:r w:rsidR="00E7720E">
          <w:rPr>
            <w:webHidden/>
          </w:rPr>
          <w:t>1</w:t>
        </w:r>
        <w:r w:rsidR="00E7720E">
          <w:rPr>
            <w:webHidden/>
          </w:rPr>
          <w:fldChar w:fldCharType="end"/>
        </w:r>
      </w:hyperlink>
    </w:p>
    <w:p w14:paraId="5A5B6E1E" w14:textId="7BDCF68E" w:rsidR="00E7720E" w:rsidRDefault="00290AB7">
      <w:pPr>
        <w:pStyle w:val="TOC1"/>
        <w:rPr>
          <w:rFonts w:asciiTheme="minorHAnsi" w:eastAsiaTheme="minorEastAsia" w:hAnsiTheme="minorHAnsi" w:cstheme="minorBidi"/>
          <w:b w:val="0"/>
          <w:sz w:val="24"/>
          <w:szCs w:val="24"/>
          <w:lang w:eastAsia="en-GB"/>
        </w:rPr>
      </w:pPr>
      <w:hyperlink w:anchor="_Toc104382960" w:history="1">
        <w:r w:rsidR="00E7720E" w:rsidRPr="0095421F">
          <w:rPr>
            <w:rStyle w:val="Hyperlink"/>
          </w:rPr>
          <w:t>Highlights</w:t>
        </w:r>
        <w:r w:rsidR="00E7720E">
          <w:rPr>
            <w:webHidden/>
          </w:rPr>
          <w:tab/>
        </w:r>
        <w:r w:rsidR="00E7720E">
          <w:rPr>
            <w:webHidden/>
          </w:rPr>
          <w:fldChar w:fldCharType="begin"/>
        </w:r>
        <w:r w:rsidR="00E7720E">
          <w:rPr>
            <w:webHidden/>
          </w:rPr>
          <w:instrText xml:space="preserve"> PAGEREF _Toc104382960 \h </w:instrText>
        </w:r>
        <w:r w:rsidR="00E7720E">
          <w:rPr>
            <w:webHidden/>
          </w:rPr>
        </w:r>
        <w:r w:rsidR="00E7720E">
          <w:rPr>
            <w:webHidden/>
          </w:rPr>
          <w:fldChar w:fldCharType="separate"/>
        </w:r>
        <w:r w:rsidR="00E7720E">
          <w:rPr>
            <w:webHidden/>
          </w:rPr>
          <w:t>3</w:t>
        </w:r>
        <w:r w:rsidR="00E7720E">
          <w:rPr>
            <w:webHidden/>
          </w:rPr>
          <w:fldChar w:fldCharType="end"/>
        </w:r>
      </w:hyperlink>
    </w:p>
    <w:p w14:paraId="1D8C2CF5" w14:textId="31BC3A98" w:rsidR="007173CA" w:rsidRPr="00D0397F" w:rsidRDefault="00AD784C" w:rsidP="00D079AA">
      <w:pPr>
        <w:pStyle w:val="Body"/>
      </w:pPr>
      <w:r w:rsidRPr="00D0397F">
        <w:fldChar w:fldCharType="end"/>
      </w:r>
    </w:p>
    <w:p w14:paraId="25A57086" w14:textId="77777777" w:rsidR="00580394" w:rsidRPr="00D0397F" w:rsidRDefault="00580394" w:rsidP="007173CA">
      <w:pPr>
        <w:pStyle w:val="Body"/>
        <w:sectPr w:rsidR="00580394" w:rsidRPr="00D0397F" w:rsidSect="00E62622">
          <w:headerReference w:type="default" r:id="rId18"/>
          <w:type w:val="continuous"/>
          <w:pgSz w:w="11906" w:h="16838" w:code="9"/>
          <w:pgMar w:top="1418" w:right="851" w:bottom="1418" w:left="851" w:header="851" w:footer="851" w:gutter="0"/>
          <w:cols w:space="340"/>
          <w:titlePg/>
          <w:docGrid w:linePitch="360"/>
        </w:sectPr>
      </w:pPr>
    </w:p>
    <w:p w14:paraId="3BB380F5" w14:textId="77777777" w:rsidR="004D587B" w:rsidRDefault="004D587B" w:rsidP="004D587B">
      <w:pPr>
        <w:pStyle w:val="Heading1"/>
      </w:pPr>
      <w:bookmarkStart w:id="0" w:name="_Toc104382959"/>
      <w:r>
        <w:t>Case study</w:t>
      </w:r>
      <w:bookmarkEnd w:id="0"/>
    </w:p>
    <w:p w14:paraId="3F1F661C" w14:textId="15C89FC8" w:rsidR="001C2D27" w:rsidRDefault="004D587B" w:rsidP="004D587B">
      <w:pPr>
        <w:pStyle w:val="Body"/>
      </w:pPr>
      <w:r>
        <w:t>As one of Melbourne’s largest hospitals, The Alfred has parking pressures</w:t>
      </w:r>
      <w:r w:rsidR="001C2D27">
        <w:t xml:space="preserve"> –</w:t>
      </w:r>
      <w:r>
        <w:t xml:space="preserve"> not only for staff who drive but also for people who ride.</w:t>
      </w:r>
    </w:p>
    <w:p w14:paraId="692A52BC" w14:textId="315180B8" w:rsidR="004D587B" w:rsidRDefault="004D587B" w:rsidP="004D587B">
      <w:pPr>
        <w:pStyle w:val="Body"/>
      </w:pPr>
      <w:r>
        <w:t>Back in 2014, bikes cluttering walkways and chained to railings w</w:t>
      </w:r>
      <w:r w:rsidR="001C2D27">
        <w:t>ere</w:t>
      </w:r>
      <w:r>
        <w:t xml:space="preserve"> becoming a potential work safety and access issue. This was the impetus to transform the hospital’s existing bike parking into award-winning end</w:t>
      </w:r>
      <w:r w:rsidR="001C2D27">
        <w:t>-</w:t>
      </w:r>
      <w:r>
        <w:t>of</w:t>
      </w:r>
      <w:r w:rsidR="001C2D27">
        <w:t>-</w:t>
      </w:r>
      <w:r>
        <w:t>trip</w:t>
      </w:r>
      <w:r w:rsidR="001C2D27">
        <w:t xml:space="preserve"> </w:t>
      </w:r>
      <w:r>
        <w:t>facilities.</w:t>
      </w:r>
    </w:p>
    <w:p w14:paraId="12CEF048" w14:textId="1EC3CF77" w:rsidR="004D587B" w:rsidRDefault="004D587B" w:rsidP="004D587B">
      <w:pPr>
        <w:pStyle w:val="Body"/>
      </w:pPr>
      <w:r>
        <w:t xml:space="preserve">A survey of people who </w:t>
      </w:r>
      <w:r w:rsidR="001C2D27">
        <w:t xml:space="preserve">were </w:t>
      </w:r>
      <w:r>
        <w:t>currently r</w:t>
      </w:r>
      <w:r w:rsidR="001C2D27">
        <w:t>iding</w:t>
      </w:r>
      <w:r>
        <w:t xml:space="preserve"> collected valuable data on the demand for riding to work, as well as riders’ needs. This helped support a business case that was developed and approved over 18 months.</w:t>
      </w:r>
    </w:p>
    <w:p w14:paraId="0B0E2FB7" w14:textId="2FFF6E72" w:rsidR="004D587B" w:rsidRDefault="004D587B" w:rsidP="004D587B">
      <w:pPr>
        <w:pStyle w:val="Body"/>
      </w:pPr>
      <w:r>
        <w:t>Upgrading facilities is a significant capital cost. However, The Alfred’s executive supported the compelling case that improving staff health and wellbeing</w:t>
      </w:r>
      <w:r w:rsidR="001C2D27">
        <w:t>,</w:t>
      </w:r>
      <w:r>
        <w:t xml:space="preserve"> and reducing car parking pressures by encouraging more people to ride would outweigh these costs.</w:t>
      </w:r>
    </w:p>
    <w:p w14:paraId="4424E146" w14:textId="42E463F0" w:rsidR="0095285F" w:rsidRDefault="004D587B" w:rsidP="004D587B">
      <w:pPr>
        <w:pStyle w:val="Body"/>
      </w:pPr>
      <w:r>
        <w:t>An architect was appointed to design the facility to ensure it was high quality and made best use of the space. 19 car spaces were converted to 300 bike spaces, 237 lockers</w:t>
      </w:r>
      <w:r w:rsidR="001C2D27">
        <w:t>,</w:t>
      </w:r>
      <w:r>
        <w:t xml:space="preserve"> and showers and change facilities</w:t>
      </w:r>
      <w:r w:rsidR="001C2D27">
        <w:t xml:space="preserve"> –</w:t>
      </w:r>
      <w:r>
        <w:t xml:space="preserve"> all in the one location.</w:t>
      </w:r>
    </w:p>
    <w:p w14:paraId="1D620431" w14:textId="5AAB28C0" w:rsidR="001C2D27" w:rsidRDefault="004D587B" w:rsidP="004D587B">
      <w:pPr>
        <w:pStyle w:val="Body"/>
      </w:pPr>
      <w:r w:rsidRPr="004D587B">
        <w:t xml:space="preserve">A huge mural </w:t>
      </w:r>
      <w:r w:rsidR="001C2D27">
        <w:t xml:space="preserve">of a bicycle </w:t>
      </w:r>
      <w:r w:rsidRPr="004D587B">
        <w:t>makes it obvious where to enter the end</w:t>
      </w:r>
      <w:r w:rsidR="001C2D27">
        <w:t>-</w:t>
      </w:r>
      <w:r w:rsidRPr="004D587B">
        <w:t>of</w:t>
      </w:r>
      <w:r w:rsidR="001C2D27">
        <w:t>-</w:t>
      </w:r>
      <w:r w:rsidRPr="004D587B">
        <w:t>trip facility. Access is completely separate from cars, which makes it easier for both riders and drivers.</w:t>
      </w:r>
    </w:p>
    <w:p w14:paraId="2DD4B3CC" w14:textId="75F5DBFC" w:rsidR="00147D96" w:rsidRDefault="00147D96" w:rsidP="006E6F7F">
      <w:pPr>
        <w:pStyle w:val="Figurecaption"/>
      </w:pPr>
      <w:r>
        <w:lastRenderedPageBreak/>
        <w:t xml:space="preserve">Figure </w:t>
      </w:r>
      <w:fldSimple w:instr=" SEQ Figure \* ARABIC ">
        <w:r w:rsidR="00E7720E">
          <w:rPr>
            <w:noProof/>
          </w:rPr>
          <w:t>1</w:t>
        </w:r>
      </w:fldSimple>
      <w:r>
        <w:t>: Entrance to The Alfred's end-of-trip facilities</w:t>
      </w:r>
    </w:p>
    <w:p w14:paraId="5976EF99" w14:textId="75F5DBFC" w:rsidR="001C2D27" w:rsidRDefault="001C2D27" w:rsidP="004D587B">
      <w:pPr>
        <w:pStyle w:val="Body"/>
      </w:pPr>
      <w:r>
        <w:rPr>
          <w:noProof/>
        </w:rPr>
        <w:drawing>
          <wp:inline distT="0" distB="0" distL="0" distR="0" wp14:anchorId="15D2A145" wp14:editId="23585537">
            <wp:extent cx="4743202" cy="3175200"/>
            <wp:effectExtent l="0" t="0" r="0" b="0"/>
            <wp:docPr id="1" name="Picture 1" descr="The entrance to the end-of-trip facilities, the silhouette of a bicycle had been painted over a gradient background of light to darker green (around 4 storey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entrance to the end-of-trip facilities, the silhouette of a bicycle had been painted over a gradient background of light to darker green (around 4 storeys high)"/>
                    <pic:cNvPicPr/>
                  </pic:nvPicPr>
                  <pic:blipFill>
                    <a:blip r:embed="rId19"/>
                    <a:stretch>
                      <a:fillRect/>
                    </a:stretch>
                  </pic:blipFill>
                  <pic:spPr>
                    <a:xfrm>
                      <a:off x="0" y="0"/>
                      <a:ext cx="4743202" cy="3175200"/>
                    </a:xfrm>
                    <a:prstGeom prst="rect">
                      <a:avLst/>
                    </a:prstGeom>
                  </pic:spPr>
                </pic:pic>
              </a:graphicData>
            </a:graphic>
          </wp:inline>
        </w:drawing>
      </w:r>
    </w:p>
    <w:p w14:paraId="47C3387A" w14:textId="5ADE79A2" w:rsidR="004D587B" w:rsidRDefault="004D587B" w:rsidP="006E6F7F">
      <w:pPr>
        <w:pStyle w:val="Bodyaftertablefigure"/>
      </w:pPr>
      <w:r w:rsidRPr="004D587B">
        <w:t xml:space="preserve">It is also </w:t>
      </w:r>
      <w:proofErr w:type="gramStart"/>
      <w:r w:rsidRPr="004D587B">
        <w:t>secure</w:t>
      </w:r>
      <w:proofErr w:type="gramEnd"/>
      <w:r w:rsidRPr="004D587B">
        <w:t xml:space="preserve"> and all users are registered. Its location near the car park office provides useful oversight and makes it feel safer for riders.</w:t>
      </w:r>
    </w:p>
    <w:p w14:paraId="3D774B69" w14:textId="23ED2A13" w:rsidR="004D587B" w:rsidRDefault="004D587B" w:rsidP="004D587B">
      <w:pPr>
        <w:pStyle w:val="Body"/>
      </w:pPr>
      <w:r w:rsidRPr="004D587B">
        <w:t xml:space="preserve">Everyone who applies for parking fills out the same form, whether </w:t>
      </w:r>
      <w:r w:rsidR="00147D96">
        <w:t>they</w:t>
      </w:r>
      <w:r w:rsidR="00147D96" w:rsidRPr="004D587B">
        <w:t xml:space="preserve"> </w:t>
      </w:r>
      <w:r w:rsidRPr="004D587B">
        <w:t>want a car park or a secure bike rack. This makes the option to ride visible to all staff.</w:t>
      </w:r>
    </w:p>
    <w:p w14:paraId="17800D9F" w14:textId="62DDC41B" w:rsidR="004D587B" w:rsidRDefault="004D587B" w:rsidP="004D587B">
      <w:pPr>
        <w:pStyle w:val="Body"/>
      </w:pPr>
      <w:r w:rsidRPr="004D587B">
        <w:t xml:space="preserve">People pay to use the facility – </w:t>
      </w:r>
      <w:r w:rsidR="0021777D">
        <w:t>one dollar</w:t>
      </w:r>
      <w:r w:rsidRPr="004D587B">
        <w:t xml:space="preserve"> a week for entry and </w:t>
      </w:r>
      <w:r w:rsidR="0021777D">
        <w:t>three to four dollars</w:t>
      </w:r>
      <w:r w:rsidRPr="004D587B">
        <w:t xml:space="preserve"> for a locker. In exchange their bike is secure and dry, they have a towel service, shampoo and hairdryers and plenty of space to store their clothes. And a great way to end their ride into work.</w:t>
      </w:r>
    </w:p>
    <w:p w14:paraId="447E183C" w14:textId="0A220F92" w:rsidR="004D587B" w:rsidRDefault="004D587B" w:rsidP="0021777D">
      <w:pPr>
        <w:pStyle w:val="Bodyaftertablefigure"/>
      </w:pPr>
      <w:r w:rsidRPr="004D587B">
        <w:t xml:space="preserve">Converting 19 car spaces into bike parking now </w:t>
      </w:r>
      <w:r w:rsidR="0021777D">
        <w:t>gives</w:t>
      </w:r>
      <w:r w:rsidR="0021777D" w:rsidRPr="004D587B">
        <w:t xml:space="preserve"> over 600 registered users </w:t>
      </w:r>
      <w:r w:rsidRPr="004D587B">
        <w:t>secure parking and lockers.</w:t>
      </w:r>
    </w:p>
    <w:p w14:paraId="6B7CD822" w14:textId="77777777" w:rsidR="00825817" w:rsidRDefault="00825817" w:rsidP="00825817">
      <w:pPr>
        <w:pStyle w:val="Figurecaption"/>
      </w:pPr>
      <w:r>
        <w:t xml:space="preserve">Figure </w:t>
      </w:r>
      <w:fldSimple w:instr=" SEQ Figure \* ARABIC ">
        <w:r>
          <w:rPr>
            <w:noProof/>
          </w:rPr>
          <w:t>2</w:t>
        </w:r>
      </w:fldSimple>
      <w:r>
        <w:t>: Outside the shower and changing facilities</w:t>
      </w:r>
    </w:p>
    <w:p w14:paraId="2F7C8E28" w14:textId="77777777" w:rsidR="00825817" w:rsidRDefault="00825817" w:rsidP="00825817">
      <w:pPr>
        <w:pStyle w:val="Body"/>
      </w:pPr>
      <w:r>
        <w:rPr>
          <w:noProof/>
        </w:rPr>
        <w:drawing>
          <wp:inline distT="0" distB="0" distL="0" distR="0" wp14:anchorId="58666D78" wp14:editId="6C8285BC">
            <wp:extent cx="4741545" cy="3121518"/>
            <wp:effectExtent l="0" t="0" r="0" b="3175"/>
            <wp:docPr id="8" name="Picture 8" descr="Entrance to the bathroom and showers, separated into male and female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ntrance to the bathroom and showers, separated into male and female facilities"/>
                    <pic:cNvPicPr/>
                  </pic:nvPicPr>
                  <pic:blipFill>
                    <a:blip r:embed="rId20"/>
                    <a:stretch>
                      <a:fillRect/>
                    </a:stretch>
                  </pic:blipFill>
                  <pic:spPr>
                    <a:xfrm>
                      <a:off x="0" y="0"/>
                      <a:ext cx="4798164" cy="3158792"/>
                    </a:xfrm>
                    <a:prstGeom prst="rect">
                      <a:avLst/>
                    </a:prstGeom>
                  </pic:spPr>
                </pic:pic>
              </a:graphicData>
            </a:graphic>
          </wp:inline>
        </w:drawing>
      </w:r>
    </w:p>
    <w:p w14:paraId="2403E0B3" w14:textId="77777777" w:rsidR="004D587B" w:rsidRDefault="004D587B" w:rsidP="004D587B">
      <w:pPr>
        <w:pStyle w:val="Heading1"/>
      </w:pPr>
      <w:bookmarkStart w:id="1" w:name="_Toc104382960"/>
      <w:r>
        <w:lastRenderedPageBreak/>
        <w:t>Highlights</w:t>
      </w:r>
      <w:bookmarkEnd w:id="1"/>
    </w:p>
    <w:p w14:paraId="2B1EC6AF" w14:textId="55A743EB" w:rsidR="004D587B" w:rsidRDefault="004D587B" w:rsidP="004D587B">
      <w:pPr>
        <w:pStyle w:val="Bullet1"/>
      </w:pPr>
      <w:r>
        <w:t>Fee for service – pre-tax charges for parking and lockers go back into operational costs and to procure more lockers</w:t>
      </w:r>
    </w:p>
    <w:p w14:paraId="60883A98" w14:textId="73C6A8F7" w:rsidR="004D587B" w:rsidRDefault="004D587B" w:rsidP="004D587B">
      <w:pPr>
        <w:pStyle w:val="Bullet1"/>
      </w:pPr>
      <w:r w:rsidRPr="004D587B">
        <w:t>Co-payment approach builds ownership and ensures high-demand lockers are being used</w:t>
      </w:r>
    </w:p>
    <w:p w14:paraId="47B88ED5" w14:textId="0CE56212" w:rsidR="004D587B" w:rsidRDefault="004D587B" w:rsidP="004D587B">
      <w:pPr>
        <w:pStyle w:val="Bullet1"/>
      </w:pPr>
      <w:r>
        <w:t>Registered access makes the facility secure</w:t>
      </w:r>
    </w:p>
    <w:p w14:paraId="0E4C50DD" w14:textId="56EFFBE5" w:rsidR="004D587B" w:rsidRDefault="004D587B" w:rsidP="004D587B">
      <w:pPr>
        <w:pStyle w:val="Bullet1"/>
      </w:pPr>
      <w:r>
        <w:t>Easy application process makes it a visible option for all staff</w:t>
      </w:r>
    </w:p>
    <w:p w14:paraId="20C6DEEA" w14:textId="4F9F523D" w:rsidR="004D587B" w:rsidRDefault="004D587B" w:rsidP="004D587B">
      <w:pPr>
        <w:pStyle w:val="Bullet1"/>
      </w:pPr>
      <w:r>
        <w:t xml:space="preserve">High quality facilities make it an attractive, feasible, and effortless option for staff to undertake active travel to and from work </w:t>
      </w:r>
    </w:p>
    <w:p w14:paraId="274CFE26" w14:textId="2E22C408" w:rsidR="004D587B" w:rsidRDefault="004D587B" w:rsidP="004D587B">
      <w:pPr>
        <w:pStyle w:val="Bullet1"/>
      </w:pPr>
      <w:r>
        <w:t xml:space="preserve">Regular evaluation from staff </w:t>
      </w:r>
      <w:proofErr w:type="gramStart"/>
      <w:r>
        <w:t>show</w:t>
      </w:r>
      <w:proofErr w:type="gramEnd"/>
      <w:r>
        <w:t xml:space="preserve"> high levels of satisfaction</w:t>
      </w:r>
    </w:p>
    <w:p w14:paraId="78E4EF4A" w14:textId="5787A1D7" w:rsidR="00147D96" w:rsidRDefault="00147D96" w:rsidP="006E6F7F">
      <w:pPr>
        <w:pStyle w:val="Figurecaption"/>
      </w:pPr>
      <w:r>
        <w:t xml:space="preserve">Figure </w:t>
      </w:r>
      <w:fldSimple w:instr=" SEQ Figure \* ARABIC ">
        <w:r w:rsidR="00E7720E">
          <w:rPr>
            <w:noProof/>
          </w:rPr>
          <w:t>3</w:t>
        </w:r>
      </w:fldSimple>
      <w:r>
        <w:t>: Secure bike racks</w:t>
      </w:r>
    </w:p>
    <w:p w14:paraId="2C8CDE9B" w14:textId="6AAC8341" w:rsidR="00147D96" w:rsidRDefault="00147D96" w:rsidP="003202B3">
      <w:pPr>
        <w:pStyle w:val="Body"/>
      </w:pPr>
      <w:r>
        <w:rPr>
          <w:noProof/>
        </w:rPr>
        <w:drawing>
          <wp:inline distT="0" distB="0" distL="0" distR="0" wp14:anchorId="77345569" wp14:editId="0590B5BE">
            <wp:extent cx="4745729" cy="3157200"/>
            <wp:effectExtent l="0" t="0" r="4445" b="5715"/>
            <wp:docPr id="4" name="Picture 4" descr="A red bicycle hangs vertically on a bicycle rack at The Alf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bicycle hangs vertically on a bicycle rack at The Alfred"/>
                    <pic:cNvPicPr/>
                  </pic:nvPicPr>
                  <pic:blipFill>
                    <a:blip r:embed="rId21"/>
                    <a:stretch>
                      <a:fillRect/>
                    </a:stretch>
                  </pic:blipFill>
                  <pic:spPr>
                    <a:xfrm>
                      <a:off x="0" y="0"/>
                      <a:ext cx="4745729" cy="3157200"/>
                    </a:xfrm>
                    <a:prstGeom prst="rect">
                      <a:avLst/>
                    </a:prstGeom>
                  </pic:spPr>
                </pic:pic>
              </a:graphicData>
            </a:graphic>
          </wp:inline>
        </w:drawing>
      </w:r>
    </w:p>
    <w:p w14:paraId="6B43A8C6" w14:textId="58C22EDE" w:rsidR="00501D42" w:rsidRPr="00D0397F" w:rsidRDefault="00501D42" w:rsidP="003202B3">
      <w:pPr>
        <w:pStyle w:val="Body"/>
      </w:pPr>
      <w:r w:rsidRPr="00D0397F">
        <w:br w:type="page"/>
      </w:r>
    </w:p>
    <w:p w14:paraId="4AF1ED62" w14:textId="77777777" w:rsidR="00290AB7" w:rsidRDefault="00290AB7" w:rsidP="00290AB7">
      <w:pPr>
        <w:pStyle w:val="Accessibilitypara"/>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lastRenderedPageBreak/>
        <w:t xml:space="preserve">To receive this document in another format, phone </w:t>
      </w:r>
      <w:r>
        <w:rPr>
          <w:rFonts w:eastAsia="Arial" w:cs="Arial"/>
          <w:color w:val="000000" w:themeColor="text1"/>
          <w:szCs w:val="24"/>
        </w:rPr>
        <w:t>9595 2898,</w:t>
      </w:r>
      <w:r>
        <w:rPr>
          <w:rFonts w:eastAsia="Arial" w:cs="Arial"/>
          <w:szCs w:val="24"/>
        </w:rPr>
        <w:t xml:space="preserve"> </w:t>
      </w:r>
      <w:r>
        <w:t xml:space="preserve">using the National Relay Service 13 36 77 if required, or </w:t>
      </w:r>
      <w:hyperlink r:id="rId22" w:history="1">
        <w:r>
          <w:rPr>
            <w:rStyle w:val="Hyperlink"/>
            <w:rFonts w:eastAsia="Arial" w:cs="Arial"/>
            <w:szCs w:val="24"/>
          </w:rPr>
          <w:t>email sustainability</w:t>
        </w:r>
      </w:hyperlink>
      <w:r>
        <w:rPr>
          <w:rFonts w:eastAsia="Arial" w:cs="Arial"/>
          <w:color w:val="004C97"/>
          <w:szCs w:val="24"/>
        </w:rPr>
        <w:t xml:space="preserve"> </w:t>
      </w:r>
      <w:r>
        <w:rPr>
          <w:rFonts w:eastAsia="Arial" w:cs="Arial"/>
          <w:szCs w:val="24"/>
        </w:rPr>
        <w:t>&lt;sustainability@health.vic.gov.au&gt;.</w:t>
      </w:r>
    </w:p>
    <w:p w14:paraId="3E2C9E65" w14:textId="77777777" w:rsidR="00290AB7" w:rsidRDefault="00290AB7" w:rsidP="00290AB7">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t>Authorised and published by the Victorian Government, 1 Treasury Place, Melbourne.</w:t>
      </w:r>
    </w:p>
    <w:p w14:paraId="50C561B5" w14:textId="77777777" w:rsidR="00290AB7" w:rsidRDefault="00290AB7" w:rsidP="00290AB7">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rPr>
          <w:rFonts w:eastAsia="Arial" w:cs="Arial"/>
        </w:rPr>
      </w:pPr>
      <w:r>
        <w:t xml:space="preserve">© State of Victoria, Australia, Department of Health, </w:t>
      </w:r>
      <w:r>
        <w:rPr>
          <w:rStyle w:val="BodyChar"/>
        </w:rPr>
        <w:t>August 2022</w:t>
      </w:r>
      <w:r>
        <w:rPr>
          <w:rFonts w:eastAsia="Arial" w:cs="Arial"/>
        </w:rPr>
        <w:t>.</w:t>
      </w:r>
    </w:p>
    <w:p w14:paraId="3F422E80" w14:textId="77777777" w:rsidR="00290AB7" w:rsidRDefault="00290AB7" w:rsidP="00290AB7">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t>Refer to</w:t>
      </w:r>
      <w:r>
        <w:rPr>
          <w:rFonts w:eastAsia="Arial" w:cs="Arial"/>
        </w:rPr>
        <w:t xml:space="preserve"> the main reference document</w:t>
      </w:r>
      <w:r>
        <w:rPr>
          <w:rFonts w:eastAsia="Arial" w:cs="Arial"/>
          <w:b/>
          <w:bCs/>
        </w:rPr>
        <w:t xml:space="preserve"> ISBN </w:t>
      </w:r>
      <w:r>
        <w:rPr>
          <w:rFonts w:eastAsia="Arial" w:cs="Arial"/>
        </w:rPr>
        <w:t xml:space="preserve">978-1-76096-951-6 </w:t>
      </w:r>
      <w:r>
        <w:rPr>
          <w:rFonts w:eastAsia="Arial" w:cs="Arial"/>
          <w:b/>
          <w:bCs/>
        </w:rPr>
        <w:t>(pdf/online/MS word)</w:t>
      </w:r>
    </w:p>
    <w:p w14:paraId="68FEC4DB" w14:textId="77777777" w:rsidR="00290AB7" w:rsidRDefault="00290AB7" w:rsidP="00290AB7">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rPr>
          <w:rFonts w:eastAsia="Arial" w:cs="Arial"/>
        </w:rPr>
        <w:t xml:space="preserve">Available at </w:t>
      </w:r>
      <w:hyperlink r:id="rId23" w:history="1">
        <w:r>
          <w:rPr>
            <w:rStyle w:val="Hyperlink"/>
            <w:rFonts w:eastAsia="Arial" w:cs="Arial"/>
          </w:rPr>
          <w:t>Department of Health website</w:t>
        </w:r>
      </w:hyperlink>
      <w:r>
        <w:rPr>
          <w:rFonts w:eastAsia="Arial" w:cs="Arial"/>
        </w:rPr>
        <w:t xml:space="preserve"> &lt;</w:t>
      </w:r>
      <w:r>
        <w:rPr>
          <w:rFonts w:eastAsia="Arial" w:cs="Arial"/>
          <w:sz w:val="21"/>
          <w:szCs w:val="21"/>
        </w:rPr>
        <w:t>www.health.vic.gov.au/sustainability</w:t>
      </w:r>
      <w:r>
        <w:t>&gt;</w:t>
      </w:r>
    </w:p>
    <w:p w14:paraId="56096008" w14:textId="77777777" w:rsidR="00162CA9" w:rsidRPr="00D0397F" w:rsidRDefault="00162CA9" w:rsidP="00162CA9">
      <w:pPr>
        <w:pStyle w:val="Body"/>
      </w:pPr>
    </w:p>
    <w:sectPr w:rsidR="00162CA9" w:rsidRPr="00D0397F" w:rsidSect="00E62622">
      <w:footerReference w:type="default" r:id="rId24"/>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5CD7B" w14:textId="77777777" w:rsidR="004F5615" w:rsidRDefault="004F5615">
      <w:r>
        <w:separator/>
      </w:r>
    </w:p>
  </w:endnote>
  <w:endnote w:type="continuationSeparator" w:id="0">
    <w:p w14:paraId="37A0B8BF" w14:textId="77777777" w:rsidR="004F5615" w:rsidRDefault="004F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F19CB" w14:textId="77777777" w:rsidR="00C30C17" w:rsidRDefault="00C30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D6C2" w14:textId="56E3EFD6" w:rsidR="00E261B3" w:rsidRPr="00F65AA9" w:rsidRDefault="0072251A" w:rsidP="00F84FA0">
    <w:pPr>
      <w:pStyle w:val="Footer"/>
    </w:pPr>
    <w:r>
      <w:rPr>
        <w:noProof/>
        <w:lang w:eastAsia="en-AU"/>
      </w:rPr>
      <w:drawing>
        <wp:anchor distT="0" distB="0" distL="114300" distR="114300" simplePos="0" relativeHeight="251671040" behindDoc="1" locked="1" layoutInCell="1" allowOverlap="1" wp14:anchorId="031622BF" wp14:editId="033FB901">
          <wp:simplePos x="542260" y="9324753"/>
          <wp:positionH relativeFrom="page">
            <wp:align>left</wp:align>
          </wp:positionH>
          <wp:positionV relativeFrom="page">
            <wp:align>bottom</wp:align>
          </wp:positionV>
          <wp:extent cx="7560000" cy="964800"/>
          <wp:effectExtent l="0" t="0" r="3175" b="6985"/>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4F00" w14:textId="2C658E7B" w:rsidR="00E261B3" w:rsidRDefault="00E261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AC6C" w14:textId="3163C73F"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5C71F" w14:textId="77777777" w:rsidR="004F5615" w:rsidRDefault="004F5615" w:rsidP="002862F1">
      <w:pPr>
        <w:spacing w:before="120"/>
      </w:pPr>
      <w:r>
        <w:separator/>
      </w:r>
    </w:p>
  </w:footnote>
  <w:footnote w:type="continuationSeparator" w:id="0">
    <w:p w14:paraId="545E63B9" w14:textId="77777777" w:rsidR="004F5615" w:rsidRDefault="004F5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BD9C" w14:textId="77777777" w:rsidR="00C30C17" w:rsidRDefault="00C30C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A0CB" w14:textId="1B32370F"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3867" w14:textId="77777777" w:rsidR="00C30C17" w:rsidRDefault="00C30C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134D" w14:textId="34932275" w:rsidR="00E261B3" w:rsidRPr="0051568D" w:rsidRDefault="00825817" w:rsidP="0011701A">
    <w:pPr>
      <w:pStyle w:val="Header"/>
    </w:pPr>
    <w:r w:rsidRPr="00825817">
      <w:t xml:space="preserve">The Alfred’s </w:t>
    </w:r>
    <w:r w:rsidR="002674DC" w:rsidRPr="00825817">
      <w:t>high-quality</w:t>
    </w:r>
    <w:r w:rsidRPr="00825817">
      <w:t xml:space="preserve"> end-of-trip </w:t>
    </w:r>
    <w:proofErr w:type="gramStart"/>
    <w:r w:rsidRPr="00825817">
      <w:t>facilities</w:t>
    </w:r>
    <w:r w:rsidRPr="00825817" w:rsidDel="00825817">
      <w:t xml:space="preserve"> </w:t>
    </w:r>
    <w:r w:rsidR="00FB3D0D">
      <w:t>:</w:t>
    </w:r>
    <w:proofErr w:type="gramEnd"/>
    <w:r w:rsidR="00FB3D0D">
      <w:t xml:space="preserve"> </w:t>
    </w:r>
    <w:r w:rsidR="0095285F">
      <w:t>4</w:t>
    </w:r>
    <w:r w:rsidR="008A7273">
      <w:t>.</w:t>
    </w:r>
    <w:r>
      <w:t>4</w:t>
    </w:r>
    <w:r w:rsidR="00FB3D0D" w:rsidRPr="00FB3D0D">
      <w:t xml:space="preserve"> – Sustainable transport in health care</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6C67BB0"/>
    <w:multiLevelType w:val="hybridMultilevel"/>
    <w:tmpl w:val="B0449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F37154"/>
    <w:multiLevelType w:val="hybridMultilevel"/>
    <w:tmpl w:val="0828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8D43DB"/>
    <w:multiLevelType w:val="multilevel"/>
    <w:tmpl w:val="1D06E7FE"/>
    <w:numStyleLink w:val="ZZNumbersdigit"/>
  </w:abstractNum>
  <w:abstractNum w:abstractNumId="16"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35675C8"/>
    <w:multiLevelType w:val="hybridMultilevel"/>
    <w:tmpl w:val="AE34ABCC"/>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22"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8F44683"/>
    <w:multiLevelType w:val="hybridMultilevel"/>
    <w:tmpl w:val="A2983EFE"/>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26"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8"/>
  </w:num>
  <w:num w:numId="9">
    <w:abstractNumId w:val="23"/>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9"/>
  </w:num>
  <w:num w:numId="25">
    <w:abstractNumId w:val="27"/>
  </w:num>
  <w:num w:numId="26">
    <w:abstractNumId w:val="22"/>
  </w:num>
  <w:num w:numId="27">
    <w:abstractNumId w:val="11"/>
  </w:num>
  <w:num w:numId="28">
    <w:abstractNumId w:val="3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21"/>
  </w:num>
  <w:num w:numId="42">
    <w:abstractNumId w:val="25"/>
  </w:num>
  <w:num w:numId="4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BD7"/>
    <w:rsid w:val="00000719"/>
    <w:rsid w:val="00003403"/>
    <w:rsid w:val="00005347"/>
    <w:rsid w:val="000072B6"/>
    <w:rsid w:val="0001021B"/>
    <w:rsid w:val="00011D89"/>
    <w:rsid w:val="000154FD"/>
    <w:rsid w:val="00016FBF"/>
    <w:rsid w:val="00022271"/>
    <w:rsid w:val="000235E8"/>
    <w:rsid w:val="00024D89"/>
    <w:rsid w:val="000250B6"/>
    <w:rsid w:val="00033D81"/>
    <w:rsid w:val="00037366"/>
    <w:rsid w:val="00041BF0"/>
    <w:rsid w:val="00042C8A"/>
    <w:rsid w:val="000444E0"/>
    <w:rsid w:val="0004536B"/>
    <w:rsid w:val="00046B68"/>
    <w:rsid w:val="000527DD"/>
    <w:rsid w:val="00052B28"/>
    <w:rsid w:val="000578B2"/>
    <w:rsid w:val="00060959"/>
    <w:rsid w:val="00060C8F"/>
    <w:rsid w:val="0006298A"/>
    <w:rsid w:val="000663CD"/>
    <w:rsid w:val="000733FE"/>
    <w:rsid w:val="00073976"/>
    <w:rsid w:val="00074219"/>
    <w:rsid w:val="00074ED5"/>
    <w:rsid w:val="000835C6"/>
    <w:rsid w:val="0008508E"/>
    <w:rsid w:val="000851BD"/>
    <w:rsid w:val="00087951"/>
    <w:rsid w:val="0009113B"/>
    <w:rsid w:val="00093402"/>
    <w:rsid w:val="00094DA3"/>
    <w:rsid w:val="0009698B"/>
    <w:rsid w:val="00096CD1"/>
    <w:rsid w:val="000A012C"/>
    <w:rsid w:val="000A0EB9"/>
    <w:rsid w:val="000A186C"/>
    <w:rsid w:val="000A1EA4"/>
    <w:rsid w:val="000A2476"/>
    <w:rsid w:val="000A641A"/>
    <w:rsid w:val="000B3EDB"/>
    <w:rsid w:val="000B543D"/>
    <w:rsid w:val="000B55F9"/>
    <w:rsid w:val="000B5BF7"/>
    <w:rsid w:val="000B6BC8"/>
    <w:rsid w:val="000B71FB"/>
    <w:rsid w:val="000C0303"/>
    <w:rsid w:val="000C42EA"/>
    <w:rsid w:val="000C4546"/>
    <w:rsid w:val="000D1242"/>
    <w:rsid w:val="000D48E6"/>
    <w:rsid w:val="000E0970"/>
    <w:rsid w:val="000E16EF"/>
    <w:rsid w:val="000E1910"/>
    <w:rsid w:val="000E3CC7"/>
    <w:rsid w:val="000E6BD4"/>
    <w:rsid w:val="000E6D6D"/>
    <w:rsid w:val="000F1F1E"/>
    <w:rsid w:val="000F2259"/>
    <w:rsid w:val="000F2DDA"/>
    <w:rsid w:val="000F5213"/>
    <w:rsid w:val="00101001"/>
    <w:rsid w:val="00103276"/>
    <w:rsid w:val="0010392D"/>
    <w:rsid w:val="00104096"/>
    <w:rsid w:val="0010447F"/>
    <w:rsid w:val="00104FE3"/>
    <w:rsid w:val="0010714F"/>
    <w:rsid w:val="001120C5"/>
    <w:rsid w:val="0011701A"/>
    <w:rsid w:val="00120BD3"/>
    <w:rsid w:val="00120FE2"/>
    <w:rsid w:val="00122FEA"/>
    <w:rsid w:val="001232BD"/>
    <w:rsid w:val="00124ED5"/>
    <w:rsid w:val="001276FA"/>
    <w:rsid w:val="0014255B"/>
    <w:rsid w:val="001447B3"/>
    <w:rsid w:val="00147D96"/>
    <w:rsid w:val="00152073"/>
    <w:rsid w:val="00154E2D"/>
    <w:rsid w:val="00156598"/>
    <w:rsid w:val="001603E5"/>
    <w:rsid w:val="00161939"/>
    <w:rsid w:val="00161AA0"/>
    <w:rsid w:val="00161D2E"/>
    <w:rsid w:val="00161F3E"/>
    <w:rsid w:val="00162093"/>
    <w:rsid w:val="00162CA9"/>
    <w:rsid w:val="00165459"/>
    <w:rsid w:val="00165A57"/>
    <w:rsid w:val="00170637"/>
    <w:rsid w:val="001712C2"/>
    <w:rsid w:val="00172BAF"/>
    <w:rsid w:val="001771DD"/>
    <w:rsid w:val="00177995"/>
    <w:rsid w:val="00177A8C"/>
    <w:rsid w:val="00186B33"/>
    <w:rsid w:val="00192F9D"/>
    <w:rsid w:val="00196EB8"/>
    <w:rsid w:val="00196EFB"/>
    <w:rsid w:val="001979FF"/>
    <w:rsid w:val="00197B17"/>
    <w:rsid w:val="001A1950"/>
    <w:rsid w:val="001A1C54"/>
    <w:rsid w:val="001A3ACE"/>
    <w:rsid w:val="001B058F"/>
    <w:rsid w:val="001B48FF"/>
    <w:rsid w:val="001B738B"/>
    <w:rsid w:val="001C09DB"/>
    <w:rsid w:val="001C277E"/>
    <w:rsid w:val="001C2A72"/>
    <w:rsid w:val="001C2D27"/>
    <w:rsid w:val="001C31B7"/>
    <w:rsid w:val="001D098B"/>
    <w:rsid w:val="001D0B75"/>
    <w:rsid w:val="001D2553"/>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1777D"/>
    <w:rsid w:val="00220C04"/>
    <w:rsid w:val="0022278D"/>
    <w:rsid w:val="0022701F"/>
    <w:rsid w:val="00227C68"/>
    <w:rsid w:val="002333F5"/>
    <w:rsid w:val="00233724"/>
    <w:rsid w:val="002365B4"/>
    <w:rsid w:val="002409C5"/>
    <w:rsid w:val="002432E1"/>
    <w:rsid w:val="00246207"/>
    <w:rsid w:val="00246C5E"/>
    <w:rsid w:val="00250960"/>
    <w:rsid w:val="00251343"/>
    <w:rsid w:val="002536A4"/>
    <w:rsid w:val="00254F58"/>
    <w:rsid w:val="002576EE"/>
    <w:rsid w:val="002620BC"/>
    <w:rsid w:val="00262802"/>
    <w:rsid w:val="00263A90"/>
    <w:rsid w:val="00263C1F"/>
    <w:rsid w:val="0026408B"/>
    <w:rsid w:val="00265653"/>
    <w:rsid w:val="002674DC"/>
    <w:rsid w:val="00267C3E"/>
    <w:rsid w:val="002709BB"/>
    <w:rsid w:val="0027113F"/>
    <w:rsid w:val="00273BAC"/>
    <w:rsid w:val="002763B3"/>
    <w:rsid w:val="002802E3"/>
    <w:rsid w:val="00280748"/>
    <w:rsid w:val="0028213D"/>
    <w:rsid w:val="002862F1"/>
    <w:rsid w:val="00290AB7"/>
    <w:rsid w:val="00291373"/>
    <w:rsid w:val="0029597D"/>
    <w:rsid w:val="002962C3"/>
    <w:rsid w:val="0029752B"/>
    <w:rsid w:val="002A0A9C"/>
    <w:rsid w:val="002A483C"/>
    <w:rsid w:val="002A5397"/>
    <w:rsid w:val="002B0C7C"/>
    <w:rsid w:val="002B1729"/>
    <w:rsid w:val="002B36C7"/>
    <w:rsid w:val="002B4DD4"/>
    <w:rsid w:val="002B5277"/>
    <w:rsid w:val="002B5375"/>
    <w:rsid w:val="002B6BE5"/>
    <w:rsid w:val="002B77C1"/>
    <w:rsid w:val="002C0ED7"/>
    <w:rsid w:val="002C2728"/>
    <w:rsid w:val="002D1E0D"/>
    <w:rsid w:val="002D5006"/>
    <w:rsid w:val="002E01D0"/>
    <w:rsid w:val="002E161D"/>
    <w:rsid w:val="002E3100"/>
    <w:rsid w:val="002E6C95"/>
    <w:rsid w:val="002E7C36"/>
    <w:rsid w:val="002F0107"/>
    <w:rsid w:val="002F3D32"/>
    <w:rsid w:val="002F5F31"/>
    <w:rsid w:val="002F5F46"/>
    <w:rsid w:val="00302216"/>
    <w:rsid w:val="00303E53"/>
    <w:rsid w:val="00305CC1"/>
    <w:rsid w:val="00306E5F"/>
    <w:rsid w:val="00307E14"/>
    <w:rsid w:val="00314054"/>
    <w:rsid w:val="00315BD8"/>
    <w:rsid w:val="00316F27"/>
    <w:rsid w:val="003202B3"/>
    <w:rsid w:val="003214F1"/>
    <w:rsid w:val="00322E4B"/>
    <w:rsid w:val="00327870"/>
    <w:rsid w:val="0033259D"/>
    <w:rsid w:val="003333D2"/>
    <w:rsid w:val="003406C6"/>
    <w:rsid w:val="003418CC"/>
    <w:rsid w:val="003459BD"/>
    <w:rsid w:val="003466EC"/>
    <w:rsid w:val="00350D38"/>
    <w:rsid w:val="00351B36"/>
    <w:rsid w:val="00357B4E"/>
    <w:rsid w:val="0036423F"/>
    <w:rsid w:val="0036621E"/>
    <w:rsid w:val="003716FD"/>
    <w:rsid w:val="0037204B"/>
    <w:rsid w:val="00373890"/>
    <w:rsid w:val="003744CF"/>
    <w:rsid w:val="00374717"/>
    <w:rsid w:val="0037676C"/>
    <w:rsid w:val="00381043"/>
    <w:rsid w:val="003829E5"/>
    <w:rsid w:val="00386109"/>
    <w:rsid w:val="00386944"/>
    <w:rsid w:val="00387225"/>
    <w:rsid w:val="0039386A"/>
    <w:rsid w:val="003956CC"/>
    <w:rsid w:val="00395C9A"/>
    <w:rsid w:val="003A0853"/>
    <w:rsid w:val="003A1283"/>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06F0"/>
    <w:rsid w:val="003E375C"/>
    <w:rsid w:val="003E4086"/>
    <w:rsid w:val="003E639E"/>
    <w:rsid w:val="003E71E5"/>
    <w:rsid w:val="003F0445"/>
    <w:rsid w:val="003F0CF0"/>
    <w:rsid w:val="003F14B1"/>
    <w:rsid w:val="003F2B20"/>
    <w:rsid w:val="003F3289"/>
    <w:rsid w:val="003F5591"/>
    <w:rsid w:val="003F5852"/>
    <w:rsid w:val="003F5CB9"/>
    <w:rsid w:val="004013C7"/>
    <w:rsid w:val="00401FCF"/>
    <w:rsid w:val="0040248F"/>
    <w:rsid w:val="004026C4"/>
    <w:rsid w:val="00406285"/>
    <w:rsid w:val="004112C6"/>
    <w:rsid w:val="004148F9"/>
    <w:rsid w:val="00414D4A"/>
    <w:rsid w:val="0042084E"/>
    <w:rsid w:val="00421EEF"/>
    <w:rsid w:val="00424D65"/>
    <w:rsid w:val="00442C6C"/>
    <w:rsid w:val="00443CBE"/>
    <w:rsid w:val="00443E8A"/>
    <w:rsid w:val="004441BC"/>
    <w:rsid w:val="004468B4"/>
    <w:rsid w:val="0045230A"/>
    <w:rsid w:val="00454413"/>
    <w:rsid w:val="00454AD0"/>
    <w:rsid w:val="00457337"/>
    <w:rsid w:val="00462E3D"/>
    <w:rsid w:val="00466E79"/>
    <w:rsid w:val="00470D7D"/>
    <w:rsid w:val="0047372D"/>
    <w:rsid w:val="00473BA3"/>
    <w:rsid w:val="004743DD"/>
    <w:rsid w:val="00474CEA"/>
    <w:rsid w:val="00483968"/>
    <w:rsid w:val="00484F86"/>
    <w:rsid w:val="00490746"/>
    <w:rsid w:val="00490852"/>
    <w:rsid w:val="00491C9C"/>
    <w:rsid w:val="00491E82"/>
    <w:rsid w:val="00492F30"/>
    <w:rsid w:val="00493BEF"/>
    <w:rsid w:val="004946F4"/>
    <w:rsid w:val="0049487E"/>
    <w:rsid w:val="004A160D"/>
    <w:rsid w:val="004A3E81"/>
    <w:rsid w:val="004A4195"/>
    <w:rsid w:val="004A45BA"/>
    <w:rsid w:val="004A5C62"/>
    <w:rsid w:val="004A5CE5"/>
    <w:rsid w:val="004A707D"/>
    <w:rsid w:val="004C5541"/>
    <w:rsid w:val="004C6EEE"/>
    <w:rsid w:val="004C702B"/>
    <w:rsid w:val="004D0033"/>
    <w:rsid w:val="004D016B"/>
    <w:rsid w:val="004D16FB"/>
    <w:rsid w:val="004D1B22"/>
    <w:rsid w:val="004D23CC"/>
    <w:rsid w:val="004D36F2"/>
    <w:rsid w:val="004D587B"/>
    <w:rsid w:val="004E1106"/>
    <w:rsid w:val="004E138F"/>
    <w:rsid w:val="004E4649"/>
    <w:rsid w:val="004E5C2B"/>
    <w:rsid w:val="004F00DD"/>
    <w:rsid w:val="004F2133"/>
    <w:rsid w:val="004F4D39"/>
    <w:rsid w:val="004F5398"/>
    <w:rsid w:val="004F55F1"/>
    <w:rsid w:val="004F5615"/>
    <w:rsid w:val="004F6936"/>
    <w:rsid w:val="00501AC6"/>
    <w:rsid w:val="00501D42"/>
    <w:rsid w:val="00503DC6"/>
    <w:rsid w:val="00506F5D"/>
    <w:rsid w:val="00510C37"/>
    <w:rsid w:val="005126D0"/>
    <w:rsid w:val="0051568D"/>
    <w:rsid w:val="00526AC7"/>
    <w:rsid w:val="00526C15"/>
    <w:rsid w:val="00536395"/>
    <w:rsid w:val="00536499"/>
    <w:rsid w:val="00543903"/>
    <w:rsid w:val="00543F11"/>
    <w:rsid w:val="00546305"/>
    <w:rsid w:val="00546B21"/>
    <w:rsid w:val="00547A95"/>
    <w:rsid w:val="0055119B"/>
    <w:rsid w:val="005548B5"/>
    <w:rsid w:val="00554C28"/>
    <w:rsid w:val="00565CDF"/>
    <w:rsid w:val="00572031"/>
    <w:rsid w:val="00572282"/>
    <w:rsid w:val="00573CE3"/>
    <w:rsid w:val="00576E84"/>
    <w:rsid w:val="00580394"/>
    <w:rsid w:val="005809CD"/>
    <w:rsid w:val="00582B8C"/>
    <w:rsid w:val="00584006"/>
    <w:rsid w:val="0058757E"/>
    <w:rsid w:val="00596A4B"/>
    <w:rsid w:val="00597507"/>
    <w:rsid w:val="005A479D"/>
    <w:rsid w:val="005B0F9A"/>
    <w:rsid w:val="005B1C6D"/>
    <w:rsid w:val="005B21B6"/>
    <w:rsid w:val="005B3A08"/>
    <w:rsid w:val="005B7214"/>
    <w:rsid w:val="005B7A63"/>
    <w:rsid w:val="005C0955"/>
    <w:rsid w:val="005C358A"/>
    <w:rsid w:val="005C49DA"/>
    <w:rsid w:val="005C50F3"/>
    <w:rsid w:val="005C54B5"/>
    <w:rsid w:val="005C5D80"/>
    <w:rsid w:val="005C5D91"/>
    <w:rsid w:val="005D07B8"/>
    <w:rsid w:val="005D1FDD"/>
    <w:rsid w:val="005D46FE"/>
    <w:rsid w:val="005D6597"/>
    <w:rsid w:val="005E14E7"/>
    <w:rsid w:val="005E26A3"/>
    <w:rsid w:val="005E2ECB"/>
    <w:rsid w:val="005E447E"/>
    <w:rsid w:val="005E4FD1"/>
    <w:rsid w:val="005F0775"/>
    <w:rsid w:val="005F0CF5"/>
    <w:rsid w:val="005F21EB"/>
    <w:rsid w:val="00605908"/>
    <w:rsid w:val="00610D7C"/>
    <w:rsid w:val="00613414"/>
    <w:rsid w:val="00615991"/>
    <w:rsid w:val="00620154"/>
    <w:rsid w:val="0062408D"/>
    <w:rsid w:val="006240CC"/>
    <w:rsid w:val="00624940"/>
    <w:rsid w:val="006254F8"/>
    <w:rsid w:val="00627DA7"/>
    <w:rsid w:val="00630DA4"/>
    <w:rsid w:val="00632597"/>
    <w:rsid w:val="006358B4"/>
    <w:rsid w:val="00640EB1"/>
    <w:rsid w:val="006419AA"/>
    <w:rsid w:val="00644609"/>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7574"/>
    <w:rsid w:val="00682524"/>
    <w:rsid w:val="0068454C"/>
    <w:rsid w:val="00691B62"/>
    <w:rsid w:val="006933B5"/>
    <w:rsid w:val="00693D14"/>
    <w:rsid w:val="00696F27"/>
    <w:rsid w:val="006A18C2"/>
    <w:rsid w:val="006A3383"/>
    <w:rsid w:val="006B077C"/>
    <w:rsid w:val="006B31E4"/>
    <w:rsid w:val="006B6803"/>
    <w:rsid w:val="006C37BA"/>
    <w:rsid w:val="006D0F16"/>
    <w:rsid w:val="006D2A3F"/>
    <w:rsid w:val="006D2FBC"/>
    <w:rsid w:val="006E0541"/>
    <w:rsid w:val="006E138B"/>
    <w:rsid w:val="006E2483"/>
    <w:rsid w:val="006E6F7F"/>
    <w:rsid w:val="006F0330"/>
    <w:rsid w:val="006F1FDC"/>
    <w:rsid w:val="006F6B8C"/>
    <w:rsid w:val="007013EF"/>
    <w:rsid w:val="007055BD"/>
    <w:rsid w:val="007173CA"/>
    <w:rsid w:val="007216AA"/>
    <w:rsid w:val="00721AB5"/>
    <w:rsid w:val="00721CFB"/>
    <w:rsid w:val="00721DEF"/>
    <w:rsid w:val="0072251A"/>
    <w:rsid w:val="00724A43"/>
    <w:rsid w:val="007273AC"/>
    <w:rsid w:val="007275C3"/>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3137"/>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D2A"/>
    <w:rsid w:val="007D2FB6"/>
    <w:rsid w:val="007D49EB"/>
    <w:rsid w:val="007D533D"/>
    <w:rsid w:val="007D5E1C"/>
    <w:rsid w:val="007D7CB9"/>
    <w:rsid w:val="007E0DE2"/>
    <w:rsid w:val="007E1227"/>
    <w:rsid w:val="007E1E71"/>
    <w:rsid w:val="007E3B98"/>
    <w:rsid w:val="007E417A"/>
    <w:rsid w:val="007F31B6"/>
    <w:rsid w:val="007F546C"/>
    <w:rsid w:val="007F625F"/>
    <w:rsid w:val="007F665E"/>
    <w:rsid w:val="00800412"/>
    <w:rsid w:val="00804545"/>
    <w:rsid w:val="0080587B"/>
    <w:rsid w:val="00806468"/>
    <w:rsid w:val="008119CA"/>
    <w:rsid w:val="008130C4"/>
    <w:rsid w:val="0081460E"/>
    <w:rsid w:val="008155F0"/>
    <w:rsid w:val="00816735"/>
    <w:rsid w:val="00820141"/>
    <w:rsid w:val="00820E0C"/>
    <w:rsid w:val="008213F0"/>
    <w:rsid w:val="00823275"/>
    <w:rsid w:val="0082366F"/>
    <w:rsid w:val="00825817"/>
    <w:rsid w:val="00825E66"/>
    <w:rsid w:val="008338A2"/>
    <w:rsid w:val="00835FAF"/>
    <w:rsid w:val="00841AA9"/>
    <w:rsid w:val="00842A2A"/>
    <w:rsid w:val="00844A79"/>
    <w:rsid w:val="008474FE"/>
    <w:rsid w:val="00853EE4"/>
    <w:rsid w:val="00855535"/>
    <w:rsid w:val="00855920"/>
    <w:rsid w:val="00857C5A"/>
    <w:rsid w:val="0086255E"/>
    <w:rsid w:val="008633F0"/>
    <w:rsid w:val="008666D0"/>
    <w:rsid w:val="00867D9D"/>
    <w:rsid w:val="00872E0A"/>
    <w:rsid w:val="00873594"/>
    <w:rsid w:val="00875285"/>
    <w:rsid w:val="008836A8"/>
    <w:rsid w:val="00884B62"/>
    <w:rsid w:val="0088529C"/>
    <w:rsid w:val="00887903"/>
    <w:rsid w:val="0089270A"/>
    <w:rsid w:val="00893AF6"/>
    <w:rsid w:val="00894BC4"/>
    <w:rsid w:val="008A28A8"/>
    <w:rsid w:val="008A5B32"/>
    <w:rsid w:val="008A7273"/>
    <w:rsid w:val="008B2EE4"/>
    <w:rsid w:val="008B4D3D"/>
    <w:rsid w:val="008B57C7"/>
    <w:rsid w:val="008C2F92"/>
    <w:rsid w:val="008C3697"/>
    <w:rsid w:val="008C5557"/>
    <w:rsid w:val="008C589D"/>
    <w:rsid w:val="008C6D51"/>
    <w:rsid w:val="008D2846"/>
    <w:rsid w:val="008D4236"/>
    <w:rsid w:val="008D462F"/>
    <w:rsid w:val="008D6DCF"/>
    <w:rsid w:val="008E1CC4"/>
    <w:rsid w:val="008E3DE9"/>
    <w:rsid w:val="008E4376"/>
    <w:rsid w:val="008E7A0A"/>
    <w:rsid w:val="008E7B49"/>
    <w:rsid w:val="008F59F6"/>
    <w:rsid w:val="00900719"/>
    <w:rsid w:val="009017AC"/>
    <w:rsid w:val="00902A9A"/>
    <w:rsid w:val="00904A1C"/>
    <w:rsid w:val="00904AB4"/>
    <w:rsid w:val="00905030"/>
    <w:rsid w:val="00906490"/>
    <w:rsid w:val="009064E0"/>
    <w:rsid w:val="009111B2"/>
    <w:rsid w:val="009151F5"/>
    <w:rsid w:val="009212EE"/>
    <w:rsid w:val="009220CA"/>
    <w:rsid w:val="00924AE1"/>
    <w:rsid w:val="009269B1"/>
    <w:rsid w:val="0092724D"/>
    <w:rsid w:val="009272B3"/>
    <w:rsid w:val="00930B16"/>
    <w:rsid w:val="009315BE"/>
    <w:rsid w:val="0093338F"/>
    <w:rsid w:val="00937BD9"/>
    <w:rsid w:val="00945BD7"/>
    <w:rsid w:val="00950E2C"/>
    <w:rsid w:val="00951D50"/>
    <w:rsid w:val="009525EB"/>
    <w:rsid w:val="0095285F"/>
    <w:rsid w:val="0095470B"/>
    <w:rsid w:val="00954874"/>
    <w:rsid w:val="0095615A"/>
    <w:rsid w:val="00961400"/>
    <w:rsid w:val="00963646"/>
    <w:rsid w:val="0096632D"/>
    <w:rsid w:val="0096755B"/>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C5E77"/>
    <w:rsid w:val="009C7A7E"/>
    <w:rsid w:val="009D02E8"/>
    <w:rsid w:val="009D3303"/>
    <w:rsid w:val="009D46D1"/>
    <w:rsid w:val="009D51D0"/>
    <w:rsid w:val="009D70A4"/>
    <w:rsid w:val="009D7B14"/>
    <w:rsid w:val="009E08D1"/>
    <w:rsid w:val="009E1B95"/>
    <w:rsid w:val="009E496F"/>
    <w:rsid w:val="009E4B0D"/>
    <w:rsid w:val="009E5250"/>
    <w:rsid w:val="009E7F92"/>
    <w:rsid w:val="009F02A3"/>
    <w:rsid w:val="009F2F27"/>
    <w:rsid w:val="009F34AA"/>
    <w:rsid w:val="009F6BCB"/>
    <w:rsid w:val="009F789F"/>
    <w:rsid w:val="009F7B78"/>
    <w:rsid w:val="009F7C7C"/>
    <w:rsid w:val="00A0057A"/>
    <w:rsid w:val="00A02FA1"/>
    <w:rsid w:val="00A04CCE"/>
    <w:rsid w:val="00A07421"/>
    <w:rsid w:val="00A0776B"/>
    <w:rsid w:val="00A10FB9"/>
    <w:rsid w:val="00A11421"/>
    <w:rsid w:val="00A1389F"/>
    <w:rsid w:val="00A14BCF"/>
    <w:rsid w:val="00A157B1"/>
    <w:rsid w:val="00A22229"/>
    <w:rsid w:val="00A24442"/>
    <w:rsid w:val="00A330BB"/>
    <w:rsid w:val="00A44882"/>
    <w:rsid w:val="00A45125"/>
    <w:rsid w:val="00A54715"/>
    <w:rsid w:val="00A6061C"/>
    <w:rsid w:val="00A62D44"/>
    <w:rsid w:val="00A67263"/>
    <w:rsid w:val="00A7161C"/>
    <w:rsid w:val="00A77AA3"/>
    <w:rsid w:val="00A8236D"/>
    <w:rsid w:val="00A854EB"/>
    <w:rsid w:val="00A872E5"/>
    <w:rsid w:val="00A91406"/>
    <w:rsid w:val="00A96E65"/>
    <w:rsid w:val="00A97C72"/>
    <w:rsid w:val="00AA268E"/>
    <w:rsid w:val="00AA310B"/>
    <w:rsid w:val="00AA63D4"/>
    <w:rsid w:val="00AB06E8"/>
    <w:rsid w:val="00AB1CD3"/>
    <w:rsid w:val="00AB352F"/>
    <w:rsid w:val="00AC274B"/>
    <w:rsid w:val="00AC4764"/>
    <w:rsid w:val="00AC6D36"/>
    <w:rsid w:val="00AD0CBA"/>
    <w:rsid w:val="00AD177A"/>
    <w:rsid w:val="00AD2087"/>
    <w:rsid w:val="00AD26E2"/>
    <w:rsid w:val="00AD5942"/>
    <w:rsid w:val="00AD784C"/>
    <w:rsid w:val="00AE0FE7"/>
    <w:rsid w:val="00AE126A"/>
    <w:rsid w:val="00AE1BAE"/>
    <w:rsid w:val="00AE3005"/>
    <w:rsid w:val="00AE3BD5"/>
    <w:rsid w:val="00AE4BE7"/>
    <w:rsid w:val="00AE50B4"/>
    <w:rsid w:val="00AE59A0"/>
    <w:rsid w:val="00AE6551"/>
    <w:rsid w:val="00AF0C57"/>
    <w:rsid w:val="00AF176D"/>
    <w:rsid w:val="00AF26F3"/>
    <w:rsid w:val="00AF5F04"/>
    <w:rsid w:val="00AF7DF1"/>
    <w:rsid w:val="00B00672"/>
    <w:rsid w:val="00B007E5"/>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13B4"/>
    <w:rsid w:val="00B326B7"/>
    <w:rsid w:val="00B3588E"/>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26AD"/>
    <w:rsid w:val="00B94CD5"/>
    <w:rsid w:val="00B950BC"/>
    <w:rsid w:val="00B9714C"/>
    <w:rsid w:val="00BA0327"/>
    <w:rsid w:val="00BA29AD"/>
    <w:rsid w:val="00BA33CF"/>
    <w:rsid w:val="00BA3F8D"/>
    <w:rsid w:val="00BB7A10"/>
    <w:rsid w:val="00BC25BF"/>
    <w:rsid w:val="00BC3E8F"/>
    <w:rsid w:val="00BC60BE"/>
    <w:rsid w:val="00BC7468"/>
    <w:rsid w:val="00BC7D4F"/>
    <w:rsid w:val="00BC7ED7"/>
    <w:rsid w:val="00BD2850"/>
    <w:rsid w:val="00BE28D2"/>
    <w:rsid w:val="00BE4A64"/>
    <w:rsid w:val="00BE5E43"/>
    <w:rsid w:val="00BF30B2"/>
    <w:rsid w:val="00BF3421"/>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0C17"/>
    <w:rsid w:val="00C32989"/>
    <w:rsid w:val="00C33388"/>
    <w:rsid w:val="00C35484"/>
    <w:rsid w:val="00C4173A"/>
    <w:rsid w:val="00C47166"/>
    <w:rsid w:val="00C50DED"/>
    <w:rsid w:val="00C602FF"/>
    <w:rsid w:val="00C61174"/>
    <w:rsid w:val="00C6148F"/>
    <w:rsid w:val="00C621B1"/>
    <w:rsid w:val="00C62F7A"/>
    <w:rsid w:val="00C63B9C"/>
    <w:rsid w:val="00C6682F"/>
    <w:rsid w:val="00C67BF4"/>
    <w:rsid w:val="00C7275E"/>
    <w:rsid w:val="00C74C5D"/>
    <w:rsid w:val="00C863C4"/>
    <w:rsid w:val="00C8746D"/>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3476"/>
    <w:rsid w:val="00CD64DF"/>
    <w:rsid w:val="00CD7CCA"/>
    <w:rsid w:val="00CE225F"/>
    <w:rsid w:val="00CE4CBC"/>
    <w:rsid w:val="00CF268D"/>
    <w:rsid w:val="00CF27FC"/>
    <w:rsid w:val="00CF2F50"/>
    <w:rsid w:val="00CF6198"/>
    <w:rsid w:val="00D02919"/>
    <w:rsid w:val="00D0397F"/>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606D"/>
    <w:rsid w:val="00D46C92"/>
    <w:rsid w:val="00D50B9C"/>
    <w:rsid w:val="00D52D73"/>
    <w:rsid w:val="00D52E58"/>
    <w:rsid w:val="00D56B20"/>
    <w:rsid w:val="00D578B3"/>
    <w:rsid w:val="00D618F4"/>
    <w:rsid w:val="00D714CC"/>
    <w:rsid w:val="00D75EA7"/>
    <w:rsid w:val="00D80224"/>
    <w:rsid w:val="00D81ADF"/>
    <w:rsid w:val="00D81F21"/>
    <w:rsid w:val="00D864F2"/>
    <w:rsid w:val="00D92F95"/>
    <w:rsid w:val="00D943F8"/>
    <w:rsid w:val="00D95470"/>
    <w:rsid w:val="00D96B55"/>
    <w:rsid w:val="00DA2619"/>
    <w:rsid w:val="00DA4239"/>
    <w:rsid w:val="00DA65DE"/>
    <w:rsid w:val="00DB0B61"/>
    <w:rsid w:val="00DB1474"/>
    <w:rsid w:val="00DB2962"/>
    <w:rsid w:val="00DB4F93"/>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6B75"/>
    <w:rsid w:val="00E11332"/>
    <w:rsid w:val="00E11352"/>
    <w:rsid w:val="00E170DC"/>
    <w:rsid w:val="00E17502"/>
    <w:rsid w:val="00E17546"/>
    <w:rsid w:val="00E210B5"/>
    <w:rsid w:val="00E261B3"/>
    <w:rsid w:val="00E26818"/>
    <w:rsid w:val="00E27FFC"/>
    <w:rsid w:val="00E30B15"/>
    <w:rsid w:val="00E33237"/>
    <w:rsid w:val="00E357F7"/>
    <w:rsid w:val="00E36AFE"/>
    <w:rsid w:val="00E40181"/>
    <w:rsid w:val="00E51C82"/>
    <w:rsid w:val="00E54950"/>
    <w:rsid w:val="00E56A01"/>
    <w:rsid w:val="00E62622"/>
    <w:rsid w:val="00E629A1"/>
    <w:rsid w:val="00E65442"/>
    <w:rsid w:val="00E6794C"/>
    <w:rsid w:val="00E67D9B"/>
    <w:rsid w:val="00E71591"/>
    <w:rsid w:val="00E71CEB"/>
    <w:rsid w:val="00E7474F"/>
    <w:rsid w:val="00E7720E"/>
    <w:rsid w:val="00E80DE3"/>
    <w:rsid w:val="00E82C0A"/>
    <w:rsid w:val="00E82C55"/>
    <w:rsid w:val="00E8787E"/>
    <w:rsid w:val="00E91599"/>
    <w:rsid w:val="00E92AC3"/>
    <w:rsid w:val="00EA0BFA"/>
    <w:rsid w:val="00EA1360"/>
    <w:rsid w:val="00EA2F6A"/>
    <w:rsid w:val="00EB00E0"/>
    <w:rsid w:val="00EB3BCF"/>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050E6"/>
    <w:rsid w:val="00F101B8"/>
    <w:rsid w:val="00F10783"/>
    <w:rsid w:val="00F11037"/>
    <w:rsid w:val="00F16F1B"/>
    <w:rsid w:val="00F250A9"/>
    <w:rsid w:val="00F267AF"/>
    <w:rsid w:val="00F30FF4"/>
    <w:rsid w:val="00F3122E"/>
    <w:rsid w:val="00F32368"/>
    <w:rsid w:val="00F331AD"/>
    <w:rsid w:val="00F33EB7"/>
    <w:rsid w:val="00F35287"/>
    <w:rsid w:val="00F40A70"/>
    <w:rsid w:val="00F411C3"/>
    <w:rsid w:val="00F41322"/>
    <w:rsid w:val="00F43A37"/>
    <w:rsid w:val="00F43E86"/>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67D01"/>
    <w:rsid w:val="00F712D8"/>
    <w:rsid w:val="00F72C2C"/>
    <w:rsid w:val="00F76CAB"/>
    <w:rsid w:val="00F772C6"/>
    <w:rsid w:val="00F815B5"/>
    <w:rsid w:val="00F81DD4"/>
    <w:rsid w:val="00F84FA0"/>
    <w:rsid w:val="00F85195"/>
    <w:rsid w:val="00F868E3"/>
    <w:rsid w:val="00F938BA"/>
    <w:rsid w:val="00F97919"/>
    <w:rsid w:val="00F97D22"/>
    <w:rsid w:val="00FA15BB"/>
    <w:rsid w:val="00FA2C46"/>
    <w:rsid w:val="00FA3525"/>
    <w:rsid w:val="00FA5A53"/>
    <w:rsid w:val="00FB2551"/>
    <w:rsid w:val="00FB3D0D"/>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3B97114"/>
  <w15:docId w15:val="{20A8EB6B-FF6E-464F-A5DA-C385E1A0D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39386A"/>
    <w:pPr>
      <w:spacing w:before="80" w:after="60"/>
    </w:pPr>
    <w:rPr>
      <w:rFonts w:ascii="Arial" w:hAnsi="Arial"/>
      <w:b/>
      <w:color w:val="000000" w:themeColor="text1"/>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Caption">
    <w:name w:val="caption"/>
    <w:basedOn w:val="Normal"/>
    <w:next w:val="Normal"/>
    <w:uiPriority w:val="35"/>
    <w:unhideWhenUsed/>
    <w:qFormat/>
    <w:rsid w:val="00FA15BB"/>
    <w:pPr>
      <w:spacing w:after="200" w:line="240" w:lineRule="auto"/>
    </w:pPr>
    <w:rPr>
      <w:i/>
      <w:iCs/>
      <w:color w:val="1F497D" w:themeColor="text2"/>
      <w:sz w:val="18"/>
      <w:szCs w:val="18"/>
    </w:rPr>
  </w:style>
  <w:style w:type="table" w:customStyle="1" w:styleId="Bluetable">
    <w:name w:val="Blue table"/>
    <w:basedOn w:val="TableNormal"/>
    <w:next w:val="TableGrid"/>
    <w:uiPriority w:val="39"/>
    <w:rsid w:val="008A7273"/>
    <w:rPr>
      <w:rFonts w:ascii="Arial" w:eastAsia="Segoe UI" w:hAnsi="Arial"/>
      <w:sz w:val="17"/>
      <w:szCs w:val="22"/>
      <w:lang w:val="en-US" w:eastAsia="en-US"/>
    </w:rPr>
    <w:tblPr>
      <w:tblStyleRowBandSize w:val="1"/>
      <w:tblInd w:w="0" w:type="nil"/>
      <w:tblBorders>
        <w:bottom w:val="single" w:sz="4" w:space="0" w:color="E6E6E1"/>
        <w:right w:val="single" w:sz="4" w:space="0" w:color="E6E6E1"/>
        <w:insideH w:val="single" w:sz="4" w:space="0" w:color="E6E6E1"/>
        <w:insideV w:val="single" w:sz="4" w:space="0" w:color="E6E6E1"/>
      </w:tblBorders>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24" w:space="0" w:color="004EA8"/>
          <w:left w:val="nil"/>
          <w:bottom w:val="nil"/>
          <w:right w:val="nil"/>
          <w:insideH w:val="nil"/>
          <w:insideV w:val="nil"/>
          <w:tl2br w:val="nil"/>
          <w:tr2bl w:val="nil"/>
        </w:tcBorders>
        <w:shd w:val="clear" w:color="auto" w:fill="E6E6E1"/>
      </w:tcPr>
    </w:tblStylePr>
    <w:tblStylePr w:type="lastRow">
      <w:rPr>
        <w:b/>
      </w:rPr>
      <w:tblPr/>
      <w:tcPr>
        <w:tcBorders>
          <w:top w:val="single" w:sz="12" w:space="0" w:color="004EA8"/>
        </w:tcBorders>
      </w:tcPr>
    </w:tblStylePr>
    <w:tblStylePr w:type="firstCol">
      <w:tblPr/>
      <w:tcPr>
        <w:shd w:val="clear" w:color="auto" w:fill="F2F2F2" w:themeFill="background1" w:themeFillShade="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paragraph" w:styleId="ListParagraph">
    <w:name w:val="List Paragraph"/>
    <w:basedOn w:val="Normal"/>
    <w:uiPriority w:val="34"/>
    <w:qFormat/>
    <w:rsid w:val="008A7273"/>
    <w:pPr>
      <w:spacing w:after="0" w:line="240" w:lineRule="auto"/>
      <w:ind w:left="720"/>
      <w:contextualSpacing/>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276432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3804402">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health.vic.gov.au/sustainability" TargetMode="Externa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sustainability@health.vic.gov.au?subject=Sustainable%20transport%20in%20hospital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283bbd-cbd3-4545-9aa6-8cdecb1b4ebf">
      <Terms xmlns="http://schemas.microsoft.com/office/infopath/2007/PartnerControls"/>
    </lcf76f155ced4ddcb4097134ff3c332f>
    <TaxCatchAll xmlns="5ce0f2b5-5be5-4508-bce9-d7011ece0659" xsi:nil="true"/>
    <_Flow_SignoffStatus xmlns="44283bbd-cbd3-4545-9aa6-8cdecb1b4eb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6" ma:contentTypeDescription="Create a new document." ma:contentTypeScope="" ma:versionID="c135b602621b36bf59f088c497e2f766">
  <xsd:schema xmlns:xsd="http://www.w3.org/2001/XMLSchema" xmlns:xs="http://www.w3.org/2001/XMLSchema" xmlns:p="http://schemas.microsoft.com/office/2006/metadata/properties" xmlns:ns2="44283bbd-cbd3-4545-9aa6-8cdecb1b4ebf" xmlns:ns3="22b2a996-90f2-4093-9cfd-0e684e15c3cd" xmlns:ns4="5ce0f2b5-5be5-4508-bce9-d7011ece0659" targetNamespace="http://schemas.microsoft.com/office/2006/metadata/properties" ma:root="true" ma:fieldsID="150d94c8c9b49c2a5171ae81b862833d" ns2:_="" ns3:_="" ns4:_="">
    <xsd:import namespace="44283bbd-cbd3-4545-9aa6-8cdecb1b4ebf"/>
    <xsd:import namespace="22b2a996-90f2-4093-9cfd-0e684e15c3c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b0fc4fd-9a05-4d4c-8cfe-1bbd270d97cd}" ma:internalName="TaxCatchAll" ma:showField="CatchAllData" ma:web="22b2a996-90f2-4093-9cfd-0e684e15c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infopath/2007/PartnerControls"/>
    <ds:schemaRef ds:uri="http://purl.org/dc/elements/1.1/"/>
    <ds:schemaRef ds:uri="http://www.w3.org/XML/1998/namespace"/>
    <ds:schemaRef ds:uri="22b2a996-90f2-4093-9cfd-0e684e15c3cd"/>
    <ds:schemaRef ds:uri="http://schemas.microsoft.com/office/2006/metadata/properties"/>
    <ds:schemaRef ds:uri="http://purl.org/dc/terms/"/>
    <ds:schemaRef ds:uri="44283bbd-cbd3-4545-9aa6-8cdecb1b4ebf"/>
    <ds:schemaRef ds:uri="http://schemas.microsoft.com/office/2006/documentManagement/types"/>
    <ds:schemaRef ds:uri="http://schemas.openxmlformats.org/package/2006/metadata/core-properties"/>
    <ds:schemaRef ds:uri="5ce0f2b5-5be5-4508-bce9-d7011ece0659"/>
    <ds:schemaRef ds:uri="http://purl.org/dc/dcmitype/"/>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1C926D22-FDC0-4AA0-9B1A-77F0B215D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510</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The Alfred’s high quality end-of-trip facilities</vt:lpstr>
    </vt:vector>
  </TitlesOfParts>
  <Manager/>
  <Company>Victoria State Government, Department of Health</Company>
  <LinksUpToDate>false</LinksUpToDate>
  <CharactersWithSpaces>3650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Alfred’s high-quality end-of-trip facilities</dc:title>
  <dc:subject>Sustainable transport in health care</dc:subject>
  <dc:creator>Environment team</dc:creator>
  <cp:keywords>hospital; travel; plan; staff travel survey; end-of-trip facilities; case study</cp:keywords>
  <dc:description/>
  <cp:lastModifiedBy>Sarah Bending (Health)</cp:lastModifiedBy>
  <cp:revision>5</cp:revision>
  <cp:lastPrinted>2022-05-25T04:55:00Z</cp:lastPrinted>
  <dcterms:created xsi:type="dcterms:W3CDTF">2022-07-27T07:09:00Z</dcterms:created>
  <dcterms:modified xsi:type="dcterms:W3CDTF">2022-07-28T07:43:00Z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0x0101004AB4EBACB09F7943AE9007C90CB29198</vt:lpwstr>
  </property>
  <property fmtid="{D5CDD505-2E9C-101B-9397-08002B2CF9AE}" pid="4" name="version">
    <vt:lpwstr>v5 12032021</vt:lpwstr>
  </property>
  <property fmtid="{D5CDD505-2E9C-101B-9397-08002B2CF9AE}" pid="5" name="MSIP_Label_efdf5488-3066-4b6c-8fea-9472b8a1f34c_Enabled">
    <vt:lpwstr>true</vt:lpwstr>
  </property>
  <property fmtid="{D5CDD505-2E9C-101B-9397-08002B2CF9AE}" pid="6" name="MSIP_Label_efdf5488-3066-4b6c-8fea-9472b8a1f34c_SetDate">
    <vt:lpwstr>2022-07-28T07:11:06Z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e9764ede-73e5-4235-bb14-e60d3618377d</vt:lpwstr>
  </property>
  <property fmtid="{D5CDD505-2E9C-101B-9397-08002B2CF9AE}" pid="11" name="MSIP_Label_efdf5488-3066-4b6c-8fea-9472b8a1f34c_ContentBits">
    <vt:lpwstr>0</vt:lpwstr>
  </property>
  <property fmtid="{D5CDD505-2E9C-101B-9397-08002B2CF9AE}" pid="12" name="MediaServiceImageTags">
    <vt:lpwstr/>
  </property>
</Properties>
</file>