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C702C" w14:textId="77777777" w:rsidR="00F3042C" w:rsidRDefault="00F3042C" w:rsidP="00EC40D5">
      <w:pPr>
        <w:pStyle w:val="Sectionbreakfirstpage"/>
      </w:pPr>
    </w:p>
    <w:p w14:paraId="67B80DD1" w14:textId="77777777" w:rsidR="00F3042C" w:rsidRDefault="00F3042C" w:rsidP="00EC40D5">
      <w:pPr>
        <w:pStyle w:val="Sectionbreakfirstpage"/>
      </w:pPr>
    </w:p>
    <w:p w14:paraId="1AF6EFDB" w14:textId="77777777" w:rsidR="00F3042C" w:rsidRDefault="00F3042C" w:rsidP="00EC40D5">
      <w:pPr>
        <w:pStyle w:val="Sectionbreakfirstpage"/>
      </w:pPr>
    </w:p>
    <w:p w14:paraId="0E5C71BD" w14:textId="77777777" w:rsidR="00A62D44" w:rsidRPr="004C6EEE" w:rsidRDefault="0001677A"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1" wp14:anchorId="377F6264" wp14:editId="2CEE6095">
            <wp:simplePos x="0" y="0"/>
            <wp:positionH relativeFrom="page">
              <wp:align>left</wp:align>
            </wp:positionH>
            <wp:positionV relativeFrom="page">
              <wp:align>top</wp:align>
            </wp:positionV>
            <wp:extent cx="7559675" cy="1419225"/>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a:ext>
                      </a:extLst>
                    </a:blip>
                    <a:srcRect/>
                    <a:stretch/>
                  </pic:blipFill>
                  <pic:spPr bwMode="auto">
                    <a:xfrm>
                      <a:off x="0" y="0"/>
                      <a:ext cx="7559675" cy="14192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841696" w14:textId="77777777" w:rsidR="00F3042C" w:rsidRDefault="00F3042C" w:rsidP="00F3042C">
      <w:pPr>
        <w:pStyle w:val="Heading3"/>
        <w:spacing w:before="120" w:after="0"/>
      </w:pPr>
    </w:p>
    <w:p w14:paraId="65633170" w14:textId="77777777" w:rsidR="00DE5B09" w:rsidRDefault="00DE5B09" w:rsidP="00DE5B09">
      <w:pPr>
        <w:keepNext/>
        <w:keepLines/>
        <w:spacing w:after="90" w:line="320" w:lineRule="atLeast"/>
        <w:outlineLvl w:val="1"/>
        <w:rPr>
          <w:b/>
          <w:color w:val="DA372E"/>
          <w:sz w:val="28"/>
          <w:szCs w:val="28"/>
        </w:rPr>
      </w:pPr>
    </w:p>
    <w:p w14:paraId="296C7154" w14:textId="77777777" w:rsidR="00DE5B09" w:rsidRPr="00E738BB" w:rsidRDefault="00DE5B09" w:rsidP="00DE5B09">
      <w:pPr>
        <w:keepNext/>
        <w:keepLines/>
        <w:spacing w:after="90" w:line="320" w:lineRule="atLeast"/>
        <w:outlineLvl w:val="1"/>
        <w:rPr>
          <w:b/>
          <w:color w:val="C00000"/>
          <w:sz w:val="28"/>
          <w:szCs w:val="28"/>
        </w:rPr>
      </w:pPr>
      <w:r w:rsidRPr="00E738BB">
        <w:rPr>
          <w:b/>
          <w:color w:val="C00000"/>
          <w:sz w:val="28"/>
          <w:szCs w:val="28"/>
        </w:rPr>
        <w:t>Travelling overseas with subcutaneous immunoglobulin (SCIg) – medical/nurse coordinator considerations</w:t>
      </w:r>
    </w:p>
    <w:p w14:paraId="40445C9C" w14:textId="77777777" w:rsidR="00DE5B09" w:rsidRDefault="00DE5B09" w:rsidP="00DE5B09">
      <w:pPr>
        <w:spacing w:after="0" w:line="240" w:lineRule="auto"/>
        <w:jc w:val="center"/>
        <w:rPr>
          <w:rFonts w:cs="Arial"/>
          <w:sz w:val="20"/>
        </w:rPr>
      </w:pPr>
    </w:p>
    <w:p w14:paraId="19A1B640" w14:textId="77777777" w:rsidR="00DE5B09" w:rsidRPr="003D5254" w:rsidRDefault="00DE5B09" w:rsidP="00DE5B09">
      <w:pPr>
        <w:spacing w:after="0" w:line="240" w:lineRule="auto"/>
        <w:jc w:val="center"/>
        <w:rPr>
          <w:rFonts w:cs="Arial"/>
          <w:sz w:val="20"/>
        </w:rPr>
      </w:pPr>
      <w:r w:rsidRPr="003D5254">
        <w:rPr>
          <w:rFonts w:cs="Arial"/>
          <w:sz w:val="20"/>
        </w:rPr>
        <w:t xml:space="preserve">More detailed information regarding “Supply of Blood and Blood Related Products for use by Australian Residents Temporarily Overseas” is available at the National Blood Authority (NBA) website: </w:t>
      </w:r>
      <w:hyperlink r:id="rId15" w:history="1">
        <w:r w:rsidRPr="003D5254">
          <w:rPr>
            <w:rFonts w:cs="Arial"/>
            <w:color w:val="0000FF" w:themeColor="hyperlink"/>
            <w:sz w:val="20"/>
            <w:u w:val="single"/>
          </w:rPr>
          <w:t>https://www.blood.gov.au/system/files/documents/overseas-use-factsheet.pdf</w:t>
        </w:r>
      </w:hyperlink>
    </w:p>
    <w:p w14:paraId="6BD9661A" w14:textId="4D6DF6CD" w:rsidR="00DE5B09" w:rsidRPr="00DF33A0" w:rsidRDefault="003C1517" w:rsidP="00455772">
      <w:pPr>
        <w:jc w:val="center"/>
        <w:rPr>
          <w:rFonts w:cs="Arial"/>
          <w:sz w:val="20"/>
        </w:rPr>
      </w:pPr>
      <w:r w:rsidRPr="003C1517">
        <w:rPr>
          <w:rFonts w:cs="Arial"/>
          <w:sz w:val="20"/>
        </w:rPr>
        <w:t>If required</w:t>
      </w:r>
      <w:r>
        <w:rPr>
          <w:rFonts w:cs="Arial"/>
          <w:sz w:val="20"/>
        </w:rPr>
        <w:t>,</w:t>
      </w:r>
      <w:r w:rsidRPr="003C1517">
        <w:rPr>
          <w:rFonts w:cs="Arial"/>
          <w:sz w:val="20"/>
        </w:rPr>
        <w:t xml:space="preserve"> contact </w:t>
      </w:r>
      <w:r w:rsidR="00DF33A0">
        <w:rPr>
          <w:rFonts w:cs="Arial"/>
          <w:sz w:val="20"/>
        </w:rPr>
        <w:t xml:space="preserve">Australian Red Cross Lifeblood (ARCL) at </w:t>
      </w:r>
      <w:hyperlink r:id="rId16" w:history="1">
        <w:r w:rsidR="00DF33A0" w:rsidRPr="00455772">
          <w:rPr>
            <w:rStyle w:val="Hyperlink"/>
            <w:rFonts w:cs="Arial"/>
            <w:sz w:val="20"/>
            <w:shd w:val="clear" w:color="auto" w:fill="FFFFFF"/>
          </w:rPr>
          <w:t>csradmintransfusionsupportaus@redcrossblood.org.au</w:t>
        </w:r>
      </w:hyperlink>
      <w:r w:rsidR="00DE5B09" w:rsidRPr="003C1517">
        <w:rPr>
          <w:rFonts w:cs="Arial"/>
          <w:sz w:val="20"/>
        </w:rPr>
        <w:t xml:space="preserve"> for assistance</w:t>
      </w:r>
      <w:r w:rsidRPr="00DF33A0">
        <w:rPr>
          <w:rFonts w:cs="Arial"/>
          <w:sz w:val="20"/>
        </w:rPr>
        <w:t>.</w:t>
      </w:r>
    </w:p>
    <w:p w14:paraId="36FE9ED1" w14:textId="77777777" w:rsidR="00DE5B09" w:rsidRPr="003D5254" w:rsidRDefault="00DE5B09" w:rsidP="00DE5B09">
      <w:pPr>
        <w:keepNext/>
        <w:keepLines/>
        <w:numPr>
          <w:ilvl w:val="0"/>
          <w:numId w:val="41"/>
        </w:numPr>
        <w:spacing w:before="240" w:after="0" w:line="240" w:lineRule="atLeast"/>
        <w:outlineLvl w:val="3"/>
        <w:rPr>
          <w:rFonts w:eastAsia="MS Mincho"/>
          <w:b/>
          <w:bCs/>
          <w:sz w:val="20"/>
        </w:rPr>
      </w:pPr>
      <w:r w:rsidRPr="003D5254">
        <w:rPr>
          <w:rFonts w:eastAsia="MS Mincho"/>
          <w:b/>
          <w:bCs/>
          <w:sz w:val="20"/>
        </w:rPr>
        <w:t>Current authorisation for SCIg in BloodSTAR:</w:t>
      </w:r>
    </w:p>
    <w:p w14:paraId="611F8001" w14:textId="77777777" w:rsidR="00DE5B09" w:rsidRPr="003D5254" w:rsidRDefault="00DE5B09" w:rsidP="00DE5B09">
      <w:pPr>
        <w:numPr>
          <w:ilvl w:val="1"/>
          <w:numId w:val="40"/>
        </w:numPr>
        <w:spacing w:after="200" w:line="276" w:lineRule="auto"/>
        <w:contextualSpacing/>
        <w:rPr>
          <w:rFonts w:cs="Arial"/>
          <w:sz w:val="20"/>
        </w:rPr>
      </w:pPr>
      <w:r w:rsidRPr="003D5254">
        <w:rPr>
          <w:rFonts w:cs="Arial"/>
          <w:sz w:val="20"/>
        </w:rPr>
        <w:t>Consider an infusion of IVIg prior to travel and upon return to avoid the need to take any product overseas – depending on length of travel and clinical condition</w:t>
      </w:r>
    </w:p>
    <w:p w14:paraId="107E9C87" w14:textId="77777777" w:rsidR="00DE5B09" w:rsidRPr="003D5254" w:rsidRDefault="00DE5B09" w:rsidP="00DE5B09">
      <w:pPr>
        <w:numPr>
          <w:ilvl w:val="1"/>
          <w:numId w:val="40"/>
        </w:numPr>
        <w:spacing w:after="200" w:line="276" w:lineRule="auto"/>
        <w:contextualSpacing/>
        <w:rPr>
          <w:rFonts w:cs="Arial"/>
          <w:sz w:val="20"/>
        </w:rPr>
      </w:pPr>
      <w:r w:rsidRPr="003D5254">
        <w:rPr>
          <w:rFonts w:cs="Arial"/>
          <w:sz w:val="20"/>
        </w:rPr>
        <w:t>The patient must have a current authorisation for SCIg in BloodSTAR</w:t>
      </w:r>
    </w:p>
    <w:p w14:paraId="6447ABAD" w14:textId="77777777" w:rsidR="00DE5B09" w:rsidRPr="003D5254" w:rsidRDefault="00DE5B09" w:rsidP="00DE5B09">
      <w:pPr>
        <w:numPr>
          <w:ilvl w:val="1"/>
          <w:numId w:val="40"/>
        </w:numPr>
        <w:spacing w:after="200" w:line="276" w:lineRule="auto"/>
        <w:contextualSpacing/>
        <w:rPr>
          <w:rFonts w:cs="Arial"/>
          <w:sz w:val="20"/>
        </w:rPr>
      </w:pPr>
      <w:r w:rsidRPr="003D5254">
        <w:rPr>
          <w:rFonts w:cs="Arial"/>
          <w:sz w:val="20"/>
        </w:rPr>
        <w:t>The authorisation must be valid for the full duration of intended travel</w:t>
      </w:r>
    </w:p>
    <w:p w14:paraId="2C91F460" w14:textId="24A09321" w:rsidR="00DE5B09" w:rsidRPr="003D5254" w:rsidRDefault="008F3EC4" w:rsidP="00DE5B09">
      <w:pPr>
        <w:numPr>
          <w:ilvl w:val="1"/>
          <w:numId w:val="40"/>
        </w:numPr>
        <w:spacing w:after="0" w:line="276" w:lineRule="auto"/>
        <w:ind w:left="1434" w:hanging="357"/>
        <w:contextualSpacing/>
        <w:rPr>
          <w:rFonts w:cs="Arial"/>
          <w:sz w:val="20"/>
        </w:rPr>
      </w:pPr>
      <w:r>
        <w:rPr>
          <w:rFonts w:cs="Arial"/>
          <w:sz w:val="20"/>
        </w:rPr>
        <w:t>P</w:t>
      </w:r>
      <w:r w:rsidR="00DE5B09" w:rsidRPr="003D5254">
        <w:rPr>
          <w:rFonts w:cs="Arial"/>
          <w:sz w:val="20"/>
        </w:rPr>
        <w:t xml:space="preserve">atients receiving EVOGAM </w:t>
      </w:r>
      <w:r>
        <w:rPr>
          <w:rFonts w:cs="Arial"/>
          <w:sz w:val="20"/>
        </w:rPr>
        <w:t>will be</w:t>
      </w:r>
      <w:r w:rsidR="00DE5B09" w:rsidRPr="003D5254">
        <w:rPr>
          <w:rFonts w:cs="Arial"/>
          <w:sz w:val="20"/>
        </w:rPr>
        <w:t xml:space="preserve"> transitioned to HIZENTRA or CUVITRU prior to departure </w:t>
      </w:r>
    </w:p>
    <w:p w14:paraId="7658C942" w14:textId="77777777" w:rsidR="00DE5B09" w:rsidRPr="003D5254" w:rsidRDefault="00DE5B09" w:rsidP="00DE5B09">
      <w:pPr>
        <w:keepNext/>
        <w:keepLines/>
        <w:numPr>
          <w:ilvl w:val="0"/>
          <w:numId w:val="41"/>
        </w:numPr>
        <w:spacing w:after="0" w:line="240" w:lineRule="atLeast"/>
        <w:outlineLvl w:val="3"/>
        <w:rPr>
          <w:rFonts w:eastAsia="MS Mincho"/>
          <w:b/>
          <w:bCs/>
          <w:sz w:val="20"/>
        </w:rPr>
      </w:pPr>
      <w:r w:rsidRPr="003D5254">
        <w:rPr>
          <w:rFonts w:eastAsia="MS Mincho"/>
          <w:b/>
          <w:bCs/>
          <w:sz w:val="20"/>
        </w:rPr>
        <w:t>Documentation required:</w:t>
      </w:r>
    </w:p>
    <w:p w14:paraId="472DE6A2" w14:textId="482335DC" w:rsidR="00DE5B09" w:rsidRPr="003D5254" w:rsidRDefault="00DE5B09" w:rsidP="00DE5B09">
      <w:pPr>
        <w:spacing w:after="0" w:line="276" w:lineRule="auto"/>
        <w:ind w:firstLine="720"/>
        <w:contextualSpacing/>
        <w:rPr>
          <w:rFonts w:cs="Arial"/>
          <w:sz w:val="20"/>
        </w:rPr>
      </w:pPr>
      <w:r w:rsidRPr="003D5254">
        <w:rPr>
          <w:rFonts w:cs="Arial"/>
          <w:sz w:val="20"/>
        </w:rPr>
        <w:t>Complete the below documents in full and email to</w:t>
      </w:r>
      <w:r w:rsidR="00F01E71">
        <w:rPr>
          <w:rFonts w:cs="Arial"/>
          <w:sz w:val="20"/>
        </w:rPr>
        <w:t xml:space="preserve"> </w:t>
      </w:r>
      <w:hyperlink r:id="rId17" w:history="1">
        <w:r w:rsidR="00F01E71" w:rsidRPr="008335EE">
          <w:rPr>
            <w:rStyle w:val="Hyperlink"/>
            <w:rFonts w:cs="Arial"/>
            <w:sz w:val="20"/>
            <w:shd w:val="clear" w:color="auto" w:fill="FFFFFF"/>
          </w:rPr>
          <w:t>csradmintransfusionsupportaus@redcrossblood.org.au</w:t>
        </w:r>
      </w:hyperlink>
      <w:r w:rsidRPr="003D5254">
        <w:rPr>
          <w:rFonts w:cs="Arial"/>
          <w:sz w:val="20"/>
        </w:rPr>
        <w:t>:</w:t>
      </w:r>
    </w:p>
    <w:p w14:paraId="46F59FDB" w14:textId="77777777" w:rsidR="00DE5B09" w:rsidRPr="003D5254" w:rsidRDefault="00DE5B09" w:rsidP="00DE5B09">
      <w:pPr>
        <w:numPr>
          <w:ilvl w:val="1"/>
          <w:numId w:val="40"/>
        </w:numPr>
        <w:spacing w:after="200" w:line="276" w:lineRule="auto"/>
        <w:contextualSpacing/>
        <w:rPr>
          <w:rFonts w:cs="Arial"/>
          <w:sz w:val="20"/>
        </w:rPr>
      </w:pPr>
      <w:r w:rsidRPr="003D5254">
        <w:rPr>
          <w:rFonts w:cs="Arial"/>
          <w:sz w:val="20"/>
        </w:rPr>
        <w:t xml:space="preserve">Copy of the patient’s passport </w:t>
      </w:r>
    </w:p>
    <w:p w14:paraId="0FCAF252" w14:textId="7E5C0455" w:rsidR="00532D93" w:rsidRPr="00532D93" w:rsidRDefault="00DE5B09" w:rsidP="00532D93">
      <w:pPr>
        <w:numPr>
          <w:ilvl w:val="1"/>
          <w:numId w:val="40"/>
        </w:numPr>
        <w:spacing w:after="200" w:line="276" w:lineRule="auto"/>
        <w:contextualSpacing/>
        <w:rPr>
          <w:rFonts w:cs="Arial"/>
          <w:sz w:val="20"/>
        </w:rPr>
      </w:pPr>
      <w:r w:rsidRPr="003D5254">
        <w:rPr>
          <w:rFonts w:cs="Arial"/>
          <w:sz w:val="20"/>
        </w:rPr>
        <w:t>Copy of the patient’s flight itinerary – (departure and return flight details are required)</w:t>
      </w:r>
    </w:p>
    <w:p w14:paraId="6F4C7C7E" w14:textId="77777777" w:rsidR="00DE5B09" w:rsidRPr="003D5254" w:rsidRDefault="00E738BB" w:rsidP="00DE5B09">
      <w:pPr>
        <w:numPr>
          <w:ilvl w:val="1"/>
          <w:numId w:val="40"/>
        </w:numPr>
        <w:spacing w:after="200" w:line="276" w:lineRule="auto"/>
        <w:contextualSpacing/>
        <w:rPr>
          <w:rFonts w:cs="Arial"/>
          <w:sz w:val="20"/>
        </w:rPr>
      </w:pPr>
      <w:hyperlink r:id="rId18" w:history="1">
        <w:r w:rsidR="00DE5B09" w:rsidRPr="003D5254">
          <w:rPr>
            <w:rFonts w:cs="Arial"/>
            <w:color w:val="0000FF" w:themeColor="hyperlink"/>
            <w:sz w:val="20"/>
            <w:u w:val="single"/>
          </w:rPr>
          <w:t>Request for Approval of Supply of Blood or Blood Products for Use Overseas</w:t>
        </w:r>
      </w:hyperlink>
    </w:p>
    <w:p w14:paraId="6450E4E8" w14:textId="77777777" w:rsidR="00DE5B09" w:rsidRPr="003D5254" w:rsidRDefault="00E738BB" w:rsidP="00DE5B09">
      <w:pPr>
        <w:numPr>
          <w:ilvl w:val="1"/>
          <w:numId w:val="40"/>
        </w:numPr>
        <w:spacing w:after="200" w:line="276" w:lineRule="auto"/>
        <w:contextualSpacing/>
        <w:rPr>
          <w:rFonts w:cs="Arial"/>
          <w:sz w:val="20"/>
        </w:rPr>
      </w:pPr>
      <w:hyperlink r:id="rId19" w:history="1">
        <w:r w:rsidR="00DE5B09" w:rsidRPr="003D5254">
          <w:rPr>
            <w:rFonts w:cs="Arial"/>
            <w:color w:val="0000FF" w:themeColor="hyperlink"/>
            <w:sz w:val="20"/>
            <w:u w:val="single"/>
          </w:rPr>
          <w:t>Australian Treating Clinician Form</w:t>
        </w:r>
      </w:hyperlink>
    </w:p>
    <w:p w14:paraId="0E6A914B" w14:textId="270A23C5" w:rsidR="00DE5B09" w:rsidRPr="003D5254" w:rsidRDefault="00DE5B09" w:rsidP="00DE5B09">
      <w:pPr>
        <w:numPr>
          <w:ilvl w:val="1"/>
          <w:numId w:val="40"/>
        </w:numPr>
        <w:spacing w:after="0" w:line="276" w:lineRule="auto"/>
        <w:ind w:left="1434" w:hanging="357"/>
        <w:rPr>
          <w:rFonts w:cs="Arial"/>
          <w:sz w:val="20"/>
        </w:rPr>
      </w:pPr>
      <w:r w:rsidRPr="003D5254">
        <w:rPr>
          <w:rFonts w:cs="Arial"/>
          <w:sz w:val="20"/>
        </w:rPr>
        <w:t>All completed documents must be received</w:t>
      </w:r>
      <w:r w:rsidR="00DF33A0">
        <w:rPr>
          <w:rFonts w:cs="Arial"/>
          <w:sz w:val="20"/>
        </w:rPr>
        <w:t xml:space="preserve"> by ARCL</w:t>
      </w:r>
      <w:r w:rsidRPr="003D5254">
        <w:rPr>
          <w:rFonts w:cs="Arial"/>
          <w:sz w:val="20"/>
        </w:rPr>
        <w:t xml:space="preserve"> </w:t>
      </w:r>
      <w:r w:rsidR="0041001C">
        <w:rPr>
          <w:rFonts w:cs="Arial"/>
          <w:sz w:val="20"/>
        </w:rPr>
        <w:t xml:space="preserve">as far in advance as possible and </w:t>
      </w:r>
      <w:r w:rsidRPr="003D5254">
        <w:rPr>
          <w:rFonts w:cs="Arial"/>
          <w:sz w:val="20"/>
        </w:rPr>
        <w:t>at least 4 weeks prior to departure date</w:t>
      </w:r>
    </w:p>
    <w:p w14:paraId="2954AB23" w14:textId="77777777" w:rsidR="00DE5B09" w:rsidRPr="003D5254" w:rsidRDefault="00DE5B09" w:rsidP="00DE5B09">
      <w:pPr>
        <w:keepNext/>
        <w:keepLines/>
        <w:numPr>
          <w:ilvl w:val="0"/>
          <w:numId w:val="41"/>
        </w:numPr>
        <w:spacing w:after="0" w:line="240" w:lineRule="atLeast"/>
        <w:outlineLvl w:val="3"/>
        <w:rPr>
          <w:rFonts w:eastAsia="MS Mincho" w:cs="Arial"/>
          <w:b/>
          <w:bCs/>
          <w:sz w:val="20"/>
        </w:rPr>
      </w:pPr>
      <w:r w:rsidRPr="003D5254">
        <w:rPr>
          <w:rFonts w:eastAsia="MS Mincho" w:cs="Arial"/>
          <w:b/>
          <w:bCs/>
          <w:sz w:val="20"/>
        </w:rPr>
        <w:t xml:space="preserve">Therapeutic Goods Administration (TGA) Export permit: </w:t>
      </w:r>
    </w:p>
    <w:p w14:paraId="30361CBB" w14:textId="7A23FBC5" w:rsidR="00DE5B09" w:rsidRPr="003D5254" w:rsidRDefault="00DE5B09" w:rsidP="00DE5B09">
      <w:pPr>
        <w:numPr>
          <w:ilvl w:val="1"/>
          <w:numId w:val="40"/>
        </w:numPr>
        <w:spacing w:after="0" w:line="276" w:lineRule="auto"/>
        <w:ind w:left="1434" w:hanging="357"/>
        <w:contextualSpacing/>
        <w:rPr>
          <w:rFonts w:cs="Arial"/>
          <w:sz w:val="20"/>
        </w:rPr>
      </w:pPr>
      <w:r w:rsidRPr="003D5254">
        <w:rPr>
          <w:rFonts w:cs="Arial"/>
          <w:sz w:val="20"/>
        </w:rPr>
        <w:t>The documentation provided to</w:t>
      </w:r>
      <w:r w:rsidR="00F01E71">
        <w:rPr>
          <w:rFonts w:cs="Arial"/>
          <w:sz w:val="20"/>
        </w:rPr>
        <w:t xml:space="preserve"> </w:t>
      </w:r>
      <w:r w:rsidR="00DF33A0">
        <w:rPr>
          <w:rFonts w:cs="Arial"/>
          <w:sz w:val="20"/>
        </w:rPr>
        <w:t>ARCL</w:t>
      </w:r>
      <w:r w:rsidRPr="003D5254">
        <w:rPr>
          <w:rFonts w:cs="Arial"/>
          <w:sz w:val="20"/>
        </w:rPr>
        <w:t xml:space="preserve"> will be forwarded to the TGA to obtain an Export permit for the product – this permit is required for the patient to travel with SCIg</w:t>
      </w:r>
    </w:p>
    <w:p w14:paraId="26F9028F" w14:textId="77777777" w:rsidR="00DE5B09" w:rsidRPr="003D5254" w:rsidRDefault="00DE5B09" w:rsidP="00DE5B09">
      <w:pPr>
        <w:keepNext/>
        <w:keepLines/>
        <w:numPr>
          <w:ilvl w:val="0"/>
          <w:numId w:val="41"/>
        </w:numPr>
        <w:spacing w:after="0" w:line="240" w:lineRule="atLeast"/>
        <w:outlineLvl w:val="3"/>
        <w:rPr>
          <w:rFonts w:eastAsia="MS Mincho" w:cs="Arial"/>
          <w:b/>
          <w:bCs/>
          <w:sz w:val="20"/>
        </w:rPr>
      </w:pPr>
      <w:r w:rsidRPr="003D5254">
        <w:rPr>
          <w:rFonts w:eastAsia="MS Mincho" w:cs="Arial"/>
          <w:b/>
          <w:bCs/>
          <w:sz w:val="20"/>
        </w:rPr>
        <w:t>Patient letter - prepare a letter for the patient including:</w:t>
      </w:r>
    </w:p>
    <w:p w14:paraId="39E3EC82" w14:textId="77777777" w:rsidR="00DE5B09" w:rsidRPr="003D5254" w:rsidRDefault="00DE5B09" w:rsidP="00DE5B09">
      <w:pPr>
        <w:numPr>
          <w:ilvl w:val="0"/>
          <w:numId w:val="42"/>
        </w:numPr>
        <w:spacing w:after="0" w:line="276" w:lineRule="auto"/>
        <w:contextualSpacing/>
        <w:rPr>
          <w:rFonts w:cs="Arial"/>
          <w:sz w:val="20"/>
        </w:rPr>
      </w:pPr>
      <w:r w:rsidRPr="003D5254">
        <w:rPr>
          <w:rFonts w:cs="Arial"/>
          <w:sz w:val="20"/>
        </w:rPr>
        <w:t>Treating doctor details</w:t>
      </w:r>
    </w:p>
    <w:p w14:paraId="77F518C8" w14:textId="77777777" w:rsidR="00DE5B09" w:rsidRPr="003D5254" w:rsidRDefault="00DE5B09" w:rsidP="00DE5B09">
      <w:pPr>
        <w:numPr>
          <w:ilvl w:val="0"/>
          <w:numId w:val="42"/>
        </w:numPr>
        <w:spacing w:after="200" w:line="276" w:lineRule="auto"/>
        <w:contextualSpacing/>
        <w:rPr>
          <w:rFonts w:cs="Arial"/>
          <w:sz w:val="20"/>
        </w:rPr>
      </w:pPr>
      <w:r w:rsidRPr="003D5254">
        <w:rPr>
          <w:rFonts w:cs="Arial"/>
          <w:sz w:val="20"/>
        </w:rPr>
        <w:t>Diagnosis</w:t>
      </w:r>
    </w:p>
    <w:p w14:paraId="10C49D88" w14:textId="77777777" w:rsidR="00DE5B09" w:rsidRPr="003D5254" w:rsidRDefault="00DE5B09" w:rsidP="00DE5B09">
      <w:pPr>
        <w:numPr>
          <w:ilvl w:val="0"/>
          <w:numId w:val="42"/>
        </w:numPr>
        <w:spacing w:before="240" w:after="200" w:line="276" w:lineRule="auto"/>
        <w:contextualSpacing/>
        <w:rPr>
          <w:rFonts w:cs="Arial"/>
          <w:sz w:val="20"/>
        </w:rPr>
      </w:pPr>
      <w:r w:rsidRPr="003D5254">
        <w:rPr>
          <w:rFonts w:cs="Arial"/>
          <w:sz w:val="20"/>
        </w:rPr>
        <w:t>Reason SCIg required</w:t>
      </w:r>
    </w:p>
    <w:p w14:paraId="61DC1B08" w14:textId="77777777" w:rsidR="00DE5B09" w:rsidRPr="003D5254" w:rsidRDefault="00DE5B09" w:rsidP="00DE5B09">
      <w:pPr>
        <w:numPr>
          <w:ilvl w:val="1"/>
          <w:numId w:val="40"/>
        </w:numPr>
        <w:spacing w:before="240" w:after="0" w:line="276" w:lineRule="auto"/>
        <w:ind w:left="1434" w:hanging="357"/>
        <w:contextualSpacing/>
        <w:rPr>
          <w:rFonts w:cs="Arial"/>
          <w:sz w:val="20"/>
        </w:rPr>
      </w:pPr>
      <w:r w:rsidRPr="003D5254">
        <w:rPr>
          <w:rFonts w:cs="Arial"/>
          <w:sz w:val="20"/>
        </w:rPr>
        <w:t xml:space="preserve">Dose and product </w:t>
      </w:r>
    </w:p>
    <w:p w14:paraId="5405FDB0" w14:textId="77777777" w:rsidR="00DE5B09" w:rsidRPr="003D5254" w:rsidRDefault="00DE5B09" w:rsidP="00DE5B09">
      <w:pPr>
        <w:keepNext/>
        <w:keepLines/>
        <w:numPr>
          <w:ilvl w:val="0"/>
          <w:numId w:val="41"/>
        </w:numPr>
        <w:spacing w:after="0" w:line="240" w:lineRule="atLeast"/>
        <w:outlineLvl w:val="3"/>
        <w:rPr>
          <w:rFonts w:eastAsia="MS Mincho" w:cs="Arial"/>
          <w:b/>
          <w:bCs/>
          <w:sz w:val="20"/>
        </w:rPr>
      </w:pPr>
      <w:r w:rsidRPr="003D5254">
        <w:rPr>
          <w:rFonts w:eastAsia="MS Mincho" w:cs="Arial"/>
          <w:b/>
          <w:bCs/>
          <w:sz w:val="20"/>
        </w:rPr>
        <w:t>Ordering the product:</w:t>
      </w:r>
    </w:p>
    <w:p w14:paraId="0BB21196" w14:textId="77777777" w:rsidR="00E738BB" w:rsidRDefault="00DE5B09" w:rsidP="00E738BB">
      <w:pPr>
        <w:numPr>
          <w:ilvl w:val="1"/>
          <w:numId w:val="40"/>
        </w:numPr>
        <w:spacing w:after="0" w:line="276" w:lineRule="auto"/>
        <w:contextualSpacing/>
        <w:rPr>
          <w:rFonts w:cs="Arial"/>
          <w:sz w:val="20"/>
        </w:rPr>
      </w:pPr>
      <w:r w:rsidRPr="003D5254">
        <w:rPr>
          <w:rFonts w:cs="Arial"/>
          <w:sz w:val="20"/>
        </w:rPr>
        <w:t>You will need to inform the dispenser that a special order is required</w:t>
      </w:r>
    </w:p>
    <w:p w14:paraId="6676460B" w14:textId="77777777" w:rsidR="00E738BB" w:rsidRDefault="00DE5B09" w:rsidP="00E738BB">
      <w:pPr>
        <w:numPr>
          <w:ilvl w:val="1"/>
          <w:numId w:val="40"/>
        </w:numPr>
        <w:spacing w:after="0" w:line="276" w:lineRule="auto"/>
        <w:contextualSpacing/>
        <w:rPr>
          <w:rFonts w:cs="Arial"/>
          <w:sz w:val="20"/>
        </w:rPr>
      </w:pPr>
      <w:r w:rsidRPr="00FC1C63">
        <w:rPr>
          <w:rFonts w:cs="Arial"/>
          <w:sz w:val="20"/>
        </w:rPr>
        <w:t>The amount of product required for the journey will need to be requested via BloodNet</w:t>
      </w:r>
      <w:r w:rsidR="00E738BB">
        <w:rPr>
          <w:rFonts w:cs="Arial"/>
          <w:sz w:val="20"/>
        </w:rPr>
        <w:t xml:space="preserve"> </w:t>
      </w:r>
      <w:r w:rsidRPr="00FC1C63">
        <w:rPr>
          <w:rFonts w:cs="Arial"/>
          <w:sz w:val="20"/>
        </w:rPr>
        <w:t>“Please pack for international travel” must be annotated in the comments field</w:t>
      </w:r>
    </w:p>
    <w:p w14:paraId="4A742B69" w14:textId="77777777" w:rsidR="00E738BB" w:rsidRDefault="00DE5B09" w:rsidP="00E738BB">
      <w:pPr>
        <w:numPr>
          <w:ilvl w:val="1"/>
          <w:numId w:val="40"/>
        </w:numPr>
        <w:spacing w:after="0" w:line="276" w:lineRule="auto"/>
        <w:contextualSpacing/>
        <w:rPr>
          <w:rFonts w:cs="Arial"/>
          <w:sz w:val="20"/>
        </w:rPr>
      </w:pPr>
      <w:r w:rsidRPr="00FC1C63">
        <w:rPr>
          <w:rFonts w:cs="Arial"/>
          <w:sz w:val="20"/>
        </w:rPr>
        <w:t>It is advised that the product is collected as close to departure date as feasible – either the morning of travel (if time permitting), or the business day prior to departure</w:t>
      </w:r>
    </w:p>
    <w:p w14:paraId="4F03CAC6" w14:textId="77777777" w:rsidR="00E738BB" w:rsidRDefault="00DE5B09" w:rsidP="00E738BB">
      <w:pPr>
        <w:numPr>
          <w:ilvl w:val="1"/>
          <w:numId w:val="40"/>
        </w:numPr>
        <w:spacing w:after="0" w:line="276" w:lineRule="auto"/>
        <w:contextualSpacing/>
        <w:rPr>
          <w:rFonts w:cs="Arial"/>
          <w:sz w:val="20"/>
        </w:rPr>
      </w:pPr>
      <w:r w:rsidRPr="00FC1C63">
        <w:rPr>
          <w:rFonts w:cs="Arial"/>
          <w:sz w:val="20"/>
        </w:rPr>
        <w:t>The product will be packed for travel, the shipper will be sealed and have a copy of the TGA Export permit attached to the outside</w:t>
      </w:r>
    </w:p>
    <w:p w14:paraId="3B2CFDA1" w14:textId="4E522F4D" w:rsidR="00DE5B09" w:rsidRPr="00FC1C63" w:rsidRDefault="00DE5B09" w:rsidP="00E738BB">
      <w:pPr>
        <w:numPr>
          <w:ilvl w:val="1"/>
          <w:numId w:val="40"/>
        </w:numPr>
        <w:spacing w:after="0" w:line="276" w:lineRule="auto"/>
        <w:contextualSpacing/>
        <w:rPr>
          <w:rFonts w:cs="Arial"/>
          <w:sz w:val="20"/>
        </w:rPr>
      </w:pPr>
      <w:r w:rsidRPr="00FC1C63">
        <w:rPr>
          <w:rFonts w:cs="Arial"/>
          <w:sz w:val="20"/>
        </w:rPr>
        <w:t>More than 1 shipper may be required depending on the amount of product required</w:t>
      </w:r>
      <w:r w:rsidR="00E738BB">
        <w:rPr>
          <w:rFonts w:cs="Arial"/>
          <w:sz w:val="20"/>
        </w:rPr>
        <w:t>.</w:t>
      </w:r>
    </w:p>
    <w:p w14:paraId="480ADD55" w14:textId="77777777" w:rsidR="00DE5B09" w:rsidRPr="003D5254" w:rsidRDefault="00DE5B09" w:rsidP="00DE5B09">
      <w:pPr>
        <w:spacing w:before="240" w:after="200" w:line="276" w:lineRule="auto"/>
        <w:ind w:left="1560"/>
        <w:contextualSpacing/>
        <w:rPr>
          <w:rFonts w:cs="Arial"/>
          <w:sz w:val="20"/>
        </w:rPr>
      </w:pPr>
    </w:p>
    <w:p w14:paraId="63D9E988" w14:textId="77777777" w:rsidR="00DE5B09" w:rsidRDefault="00DE5B09" w:rsidP="00DE5B09">
      <w:pPr>
        <w:spacing w:after="0" w:line="240" w:lineRule="auto"/>
        <w:jc w:val="center"/>
        <w:rPr>
          <w:rFonts w:cs="Arial"/>
          <w:b/>
          <w:color w:val="FF0000"/>
          <w:sz w:val="24"/>
        </w:rPr>
      </w:pPr>
    </w:p>
    <w:p w14:paraId="34EB64C2" w14:textId="0EF7E51F" w:rsidR="00B406DE" w:rsidRPr="00FD62C8" w:rsidRDefault="00DE5B09" w:rsidP="00FD62C8">
      <w:pPr>
        <w:spacing w:after="0" w:line="240" w:lineRule="auto"/>
        <w:jc w:val="center"/>
        <w:rPr>
          <w:rFonts w:cs="Arial"/>
          <w:sz w:val="24"/>
        </w:rPr>
      </w:pPr>
      <w:r w:rsidRPr="003D5254">
        <w:rPr>
          <w:rFonts w:cs="Arial"/>
          <w:b/>
          <w:color w:val="FF0000"/>
          <w:sz w:val="24"/>
        </w:rPr>
        <w:t xml:space="preserve">The shipper </w:t>
      </w:r>
      <w:r w:rsidRPr="003D5254">
        <w:rPr>
          <w:rFonts w:cs="Arial"/>
          <w:b/>
          <w:color w:val="FF0000"/>
          <w:sz w:val="24"/>
          <w:u w:val="single"/>
        </w:rPr>
        <w:t>MUST NOT</w:t>
      </w:r>
      <w:r w:rsidRPr="003D5254">
        <w:rPr>
          <w:rFonts w:cs="Arial"/>
          <w:b/>
          <w:color w:val="FF0000"/>
          <w:sz w:val="24"/>
        </w:rPr>
        <w:t xml:space="preserve"> be opened – if it appears to have been opened the airline may not permit the patient to board the aircraft with the product.</w:t>
      </w:r>
    </w:p>
    <w:p w14:paraId="45853141" w14:textId="77777777" w:rsidR="00B406DE" w:rsidRPr="00B406DE" w:rsidRDefault="00B406DE" w:rsidP="00B406DE">
      <w:pPr>
        <w:pStyle w:val="Body"/>
      </w:pPr>
    </w:p>
    <w:p w14:paraId="21BF6F18" w14:textId="77777777" w:rsidR="00DE5B09" w:rsidRDefault="00DE5B09" w:rsidP="00DE5B09">
      <w:pPr>
        <w:keepNext/>
        <w:keepLines/>
        <w:spacing w:after="90" w:line="320" w:lineRule="atLeast"/>
        <w:outlineLvl w:val="1"/>
        <w:rPr>
          <w:rFonts w:cs="Arial"/>
          <w:b/>
          <w:color w:val="DA372E"/>
          <w:sz w:val="28"/>
          <w:szCs w:val="28"/>
        </w:rPr>
      </w:pPr>
      <w:r w:rsidRPr="003D5254">
        <w:rPr>
          <w:rFonts w:cs="Arial"/>
          <w:b/>
          <w:color w:val="DA372E"/>
          <w:sz w:val="28"/>
          <w:szCs w:val="28"/>
        </w:rPr>
        <w:lastRenderedPageBreak/>
        <w:t xml:space="preserve">Travelling overseas with subcutaneous immunoglobulin (SCIg) – </w:t>
      </w:r>
    </w:p>
    <w:p w14:paraId="4815B573" w14:textId="77777777" w:rsidR="00DE5B09" w:rsidRDefault="00DE5B09" w:rsidP="00DE5B09">
      <w:pPr>
        <w:keepNext/>
        <w:keepLines/>
        <w:spacing w:after="90" w:line="320" w:lineRule="atLeast"/>
        <w:outlineLvl w:val="1"/>
        <w:rPr>
          <w:rFonts w:cs="Arial"/>
          <w:b/>
          <w:color w:val="DA372E"/>
          <w:sz w:val="28"/>
          <w:szCs w:val="28"/>
        </w:rPr>
      </w:pPr>
      <w:r w:rsidRPr="003D5254">
        <w:rPr>
          <w:rFonts w:cs="Arial"/>
          <w:b/>
          <w:color w:val="DA372E"/>
          <w:sz w:val="28"/>
          <w:szCs w:val="28"/>
        </w:rPr>
        <w:t>patient considerations</w:t>
      </w:r>
    </w:p>
    <w:p w14:paraId="03DECC6E" w14:textId="77777777" w:rsidR="00DE5B09" w:rsidRPr="003D5254" w:rsidRDefault="00DE5B09" w:rsidP="00DE5B09">
      <w:pPr>
        <w:keepNext/>
        <w:keepLines/>
        <w:spacing w:after="90" w:line="320" w:lineRule="atLeast"/>
        <w:outlineLvl w:val="1"/>
        <w:rPr>
          <w:rFonts w:cs="Arial"/>
          <w:b/>
          <w:color w:val="DA372E"/>
          <w:sz w:val="28"/>
          <w:szCs w:val="28"/>
        </w:rPr>
      </w:pPr>
    </w:p>
    <w:p w14:paraId="15554EA9" w14:textId="77777777" w:rsidR="00DE5B09" w:rsidRPr="003D5254" w:rsidRDefault="00DE5B09" w:rsidP="00DE5B09">
      <w:pPr>
        <w:keepNext/>
        <w:keepLines/>
        <w:numPr>
          <w:ilvl w:val="0"/>
          <w:numId w:val="45"/>
        </w:numPr>
        <w:spacing w:after="0" w:line="240" w:lineRule="atLeast"/>
        <w:ind w:left="714" w:hanging="357"/>
        <w:outlineLvl w:val="3"/>
        <w:rPr>
          <w:rFonts w:eastAsia="MS Mincho" w:cs="Arial"/>
          <w:b/>
          <w:bCs/>
          <w:sz w:val="20"/>
        </w:rPr>
      </w:pPr>
      <w:r w:rsidRPr="003D5254">
        <w:rPr>
          <w:rFonts w:eastAsia="MS Mincho" w:cs="Arial"/>
          <w:b/>
          <w:bCs/>
          <w:sz w:val="20"/>
        </w:rPr>
        <w:t>Confirm travel details:</w:t>
      </w:r>
    </w:p>
    <w:p w14:paraId="04B773CD" w14:textId="77777777" w:rsidR="00DE5B09" w:rsidRPr="003D5254" w:rsidRDefault="00DE5B09" w:rsidP="00DE5B09">
      <w:pPr>
        <w:numPr>
          <w:ilvl w:val="1"/>
          <w:numId w:val="43"/>
        </w:numPr>
        <w:spacing w:after="200" w:line="276" w:lineRule="auto"/>
        <w:contextualSpacing/>
        <w:rPr>
          <w:rFonts w:cs="Arial"/>
          <w:sz w:val="20"/>
        </w:rPr>
      </w:pPr>
      <w:r w:rsidRPr="003D5254">
        <w:rPr>
          <w:rFonts w:cs="Arial"/>
          <w:sz w:val="20"/>
        </w:rPr>
        <w:t>Duration of travel</w:t>
      </w:r>
    </w:p>
    <w:p w14:paraId="5EE8AD81" w14:textId="33ECEEC3" w:rsidR="00DE5B09" w:rsidRPr="00884668" w:rsidRDefault="00DE5B09" w:rsidP="00884668">
      <w:pPr>
        <w:numPr>
          <w:ilvl w:val="1"/>
          <w:numId w:val="43"/>
        </w:numPr>
        <w:spacing w:before="120" w:after="0" w:line="276" w:lineRule="auto"/>
        <w:ind w:left="1434" w:hanging="357"/>
        <w:contextualSpacing/>
        <w:rPr>
          <w:rFonts w:eastAsia="MS Mincho" w:cs="Arial"/>
          <w:b/>
          <w:bCs/>
          <w:sz w:val="20"/>
        </w:rPr>
      </w:pPr>
      <w:r w:rsidRPr="003D5254">
        <w:rPr>
          <w:rFonts w:cs="Arial"/>
          <w:sz w:val="20"/>
        </w:rPr>
        <w:t>Number of doses required for time away</w:t>
      </w:r>
    </w:p>
    <w:p w14:paraId="1F552201" w14:textId="4A3A41EC" w:rsidR="00DE5B09" w:rsidRPr="003D5254" w:rsidRDefault="00DE5B09" w:rsidP="00DE5B09">
      <w:pPr>
        <w:numPr>
          <w:ilvl w:val="0"/>
          <w:numId w:val="45"/>
        </w:numPr>
        <w:spacing w:before="120" w:after="0" w:line="276" w:lineRule="auto"/>
        <w:ind w:left="714" w:hanging="357"/>
        <w:contextualSpacing/>
        <w:rPr>
          <w:rFonts w:cs="Arial"/>
          <w:sz w:val="20"/>
        </w:rPr>
      </w:pPr>
      <w:r w:rsidRPr="003D5254">
        <w:rPr>
          <w:rFonts w:eastAsia="MS Mincho" w:cs="Arial"/>
          <w:b/>
          <w:bCs/>
          <w:sz w:val="20"/>
        </w:rPr>
        <w:t>Only HIZENTRA and CUVITRU can be taken overseas</w:t>
      </w:r>
      <w:r w:rsidRPr="003D5254">
        <w:rPr>
          <w:rFonts w:cs="Arial"/>
          <w:sz w:val="20"/>
        </w:rPr>
        <w:t xml:space="preserve"> – if you </w:t>
      </w:r>
      <w:r w:rsidR="00D048B1">
        <w:rPr>
          <w:rFonts w:cs="Arial"/>
          <w:sz w:val="20"/>
        </w:rPr>
        <w:t>administer</w:t>
      </w:r>
      <w:r w:rsidRPr="003D5254">
        <w:rPr>
          <w:rFonts w:cs="Arial"/>
          <w:sz w:val="20"/>
        </w:rPr>
        <w:t xml:space="preserve"> EVOGAM you will need to change to Hizentra or Cuvitru prior to travel, to ensure no adverse reactions/tolerance. The treating doctor will need to request a change of product in BloodSTAR. (</w:t>
      </w:r>
      <w:hyperlink r:id="rId20" w:history="1">
        <w:r w:rsidRPr="003D5254">
          <w:rPr>
            <w:rFonts w:cs="Arial"/>
            <w:color w:val="0000FF" w:themeColor="hyperlink"/>
            <w:sz w:val="20"/>
            <w:u w:val="single"/>
          </w:rPr>
          <w:t>www.blood.gov.au</w:t>
        </w:r>
      </w:hyperlink>
      <w:r w:rsidRPr="003D5254">
        <w:rPr>
          <w:rFonts w:cs="Arial"/>
          <w:sz w:val="20"/>
        </w:rPr>
        <w:t>)</w:t>
      </w:r>
    </w:p>
    <w:p w14:paraId="200648AC" w14:textId="77777777" w:rsidR="00DE5B09" w:rsidRPr="003D5254" w:rsidRDefault="00DE5B09" w:rsidP="00DE5B09">
      <w:pPr>
        <w:keepNext/>
        <w:keepLines/>
        <w:numPr>
          <w:ilvl w:val="0"/>
          <w:numId w:val="45"/>
        </w:numPr>
        <w:spacing w:after="0" w:line="240" w:lineRule="atLeast"/>
        <w:ind w:left="714" w:hanging="357"/>
        <w:outlineLvl w:val="3"/>
        <w:rPr>
          <w:rFonts w:eastAsia="MS Mincho" w:cs="Arial"/>
          <w:b/>
          <w:bCs/>
          <w:sz w:val="20"/>
        </w:rPr>
      </w:pPr>
      <w:r w:rsidRPr="003D5254">
        <w:rPr>
          <w:rFonts w:eastAsia="MS Mincho" w:cs="Arial"/>
          <w:b/>
          <w:bCs/>
          <w:sz w:val="20"/>
        </w:rPr>
        <w:t>Consumables required for duration of travel – ensure you have enough stock prior to travel date</w:t>
      </w:r>
    </w:p>
    <w:p w14:paraId="2C1EACD4" w14:textId="77777777" w:rsidR="00DE5B09" w:rsidRPr="003D5254" w:rsidRDefault="00DE5B09" w:rsidP="00DE5B09">
      <w:pPr>
        <w:keepNext/>
        <w:keepLines/>
        <w:numPr>
          <w:ilvl w:val="0"/>
          <w:numId w:val="45"/>
        </w:numPr>
        <w:spacing w:after="0" w:line="240" w:lineRule="atLeast"/>
        <w:ind w:left="714" w:hanging="357"/>
        <w:outlineLvl w:val="3"/>
        <w:rPr>
          <w:rFonts w:eastAsia="MS Mincho" w:cs="Arial"/>
          <w:b/>
          <w:bCs/>
          <w:sz w:val="20"/>
        </w:rPr>
      </w:pPr>
      <w:r w:rsidRPr="003D5254">
        <w:rPr>
          <w:rFonts w:eastAsia="MS Mincho" w:cs="Arial"/>
          <w:b/>
          <w:bCs/>
          <w:sz w:val="20"/>
        </w:rPr>
        <w:t>Letter to take with you from your treating doctor including:</w:t>
      </w:r>
    </w:p>
    <w:p w14:paraId="2FD8F94A" w14:textId="77777777" w:rsidR="00DE5B09" w:rsidRPr="003D5254" w:rsidRDefault="00DE5B09" w:rsidP="00DE5B09">
      <w:pPr>
        <w:numPr>
          <w:ilvl w:val="0"/>
          <w:numId w:val="44"/>
        </w:numPr>
        <w:spacing w:after="200" w:line="276" w:lineRule="auto"/>
        <w:contextualSpacing/>
        <w:rPr>
          <w:rFonts w:cs="Arial"/>
          <w:sz w:val="20"/>
        </w:rPr>
      </w:pPr>
      <w:r w:rsidRPr="003D5254">
        <w:rPr>
          <w:rFonts w:cs="Arial"/>
          <w:sz w:val="20"/>
        </w:rPr>
        <w:t>Treating Doctors’ details</w:t>
      </w:r>
    </w:p>
    <w:p w14:paraId="31E04F2B" w14:textId="77777777" w:rsidR="00DE5B09" w:rsidRPr="003D5254" w:rsidRDefault="00DE5B09" w:rsidP="00DE5B09">
      <w:pPr>
        <w:numPr>
          <w:ilvl w:val="0"/>
          <w:numId w:val="44"/>
        </w:numPr>
        <w:spacing w:after="200" w:line="276" w:lineRule="auto"/>
        <w:contextualSpacing/>
        <w:rPr>
          <w:rFonts w:cs="Arial"/>
          <w:sz w:val="20"/>
        </w:rPr>
      </w:pPr>
      <w:r w:rsidRPr="003D5254">
        <w:rPr>
          <w:rFonts w:cs="Arial"/>
          <w:sz w:val="20"/>
        </w:rPr>
        <w:t>Diagnosis</w:t>
      </w:r>
    </w:p>
    <w:p w14:paraId="054A02CF" w14:textId="77777777" w:rsidR="00DE5B09" w:rsidRPr="003D5254" w:rsidRDefault="00DE5B09" w:rsidP="00DE5B09">
      <w:pPr>
        <w:numPr>
          <w:ilvl w:val="0"/>
          <w:numId w:val="44"/>
        </w:numPr>
        <w:spacing w:after="200" w:line="276" w:lineRule="auto"/>
        <w:contextualSpacing/>
        <w:rPr>
          <w:rFonts w:cs="Arial"/>
          <w:sz w:val="20"/>
        </w:rPr>
      </w:pPr>
      <w:r w:rsidRPr="003D5254">
        <w:rPr>
          <w:rFonts w:cs="Arial"/>
          <w:sz w:val="20"/>
        </w:rPr>
        <w:t>Reason SCIg required</w:t>
      </w:r>
    </w:p>
    <w:p w14:paraId="035A7F0B" w14:textId="77777777" w:rsidR="00DE5B09" w:rsidRPr="003D5254" w:rsidRDefault="00DE5B09" w:rsidP="00DE5B09">
      <w:pPr>
        <w:numPr>
          <w:ilvl w:val="0"/>
          <w:numId w:val="44"/>
        </w:numPr>
        <w:spacing w:after="0" w:line="276" w:lineRule="auto"/>
        <w:ind w:left="1434" w:hanging="357"/>
        <w:contextualSpacing/>
        <w:rPr>
          <w:rFonts w:cs="Arial"/>
          <w:sz w:val="20"/>
        </w:rPr>
      </w:pPr>
      <w:r w:rsidRPr="003D5254">
        <w:rPr>
          <w:rFonts w:cs="Arial"/>
          <w:sz w:val="20"/>
        </w:rPr>
        <w:t>Dose and product</w:t>
      </w:r>
    </w:p>
    <w:p w14:paraId="41C8732E" w14:textId="77777777" w:rsidR="00DE5B09" w:rsidRPr="003D5254" w:rsidRDefault="00DE5B09" w:rsidP="00DE5B09">
      <w:pPr>
        <w:keepNext/>
        <w:keepLines/>
        <w:numPr>
          <w:ilvl w:val="0"/>
          <w:numId w:val="45"/>
        </w:numPr>
        <w:spacing w:after="0" w:line="240" w:lineRule="atLeast"/>
        <w:outlineLvl w:val="3"/>
        <w:rPr>
          <w:rFonts w:eastAsia="MS Mincho" w:cs="Arial"/>
          <w:b/>
          <w:bCs/>
          <w:sz w:val="20"/>
        </w:rPr>
      </w:pPr>
      <w:r w:rsidRPr="003D5254">
        <w:rPr>
          <w:rFonts w:eastAsia="MS Mincho" w:cs="Arial"/>
          <w:b/>
          <w:bCs/>
          <w:sz w:val="20"/>
        </w:rPr>
        <w:t>Contact the airline to ensure the shipper box can be taken as carry-on luggage and if there are any other conditions. (See below for shipper box dimensions)</w:t>
      </w:r>
    </w:p>
    <w:p w14:paraId="41F78FAA" w14:textId="7C3CA1BB" w:rsidR="00DE5B09" w:rsidRPr="003D5254" w:rsidRDefault="00DE5B09" w:rsidP="00DE5B09">
      <w:pPr>
        <w:keepNext/>
        <w:keepLines/>
        <w:numPr>
          <w:ilvl w:val="0"/>
          <w:numId w:val="45"/>
        </w:numPr>
        <w:spacing w:after="0" w:line="240" w:lineRule="atLeast"/>
        <w:outlineLvl w:val="3"/>
        <w:rPr>
          <w:rFonts w:eastAsia="MS Mincho" w:cs="Arial"/>
          <w:b/>
          <w:bCs/>
          <w:sz w:val="20"/>
        </w:rPr>
      </w:pPr>
      <w:r w:rsidRPr="003D5254">
        <w:rPr>
          <w:rFonts w:eastAsia="MS Mincho" w:cs="Arial"/>
          <w:b/>
          <w:bCs/>
          <w:sz w:val="20"/>
        </w:rPr>
        <w:t xml:space="preserve">Check with Customs/Embassy of your destination to see if an Import Permit is required – </w:t>
      </w:r>
      <w:r w:rsidR="00397CF5">
        <w:rPr>
          <w:rFonts w:eastAsia="MS Mincho" w:cs="Arial"/>
          <w:bCs/>
          <w:sz w:val="20"/>
        </w:rPr>
        <w:t>Australian Red Cross Lifeblood</w:t>
      </w:r>
      <w:r w:rsidRPr="003D5254">
        <w:rPr>
          <w:rFonts w:eastAsia="MS Mincho" w:cs="Arial"/>
          <w:bCs/>
          <w:sz w:val="20"/>
        </w:rPr>
        <w:t xml:space="preserve"> is not able to assist with the acquisition of Import Permits.</w:t>
      </w:r>
    </w:p>
    <w:p w14:paraId="514F526F" w14:textId="77777777" w:rsidR="00DE5B09" w:rsidRPr="003D5254" w:rsidRDefault="00DE5B09" w:rsidP="00DE5B09">
      <w:pPr>
        <w:numPr>
          <w:ilvl w:val="0"/>
          <w:numId w:val="45"/>
        </w:numPr>
        <w:spacing w:after="0" w:line="276" w:lineRule="auto"/>
        <w:ind w:left="714" w:hanging="357"/>
        <w:contextualSpacing/>
        <w:rPr>
          <w:rFonts w:cs="Arial"/>
          <w:sz w:val="20"/>
        </w:rPr>
      </w:pPr>
      <w:proofErr w:type="gramStart"/>
      <w:r w:rsidRPr="003D5254">
        <w:rPr>
          <w:rFonts w:eastAsia="MS Mincho" w:cs="Arial"/>
          <w:b/>
          <w:bCs/>
          <w:sz w:val="20"/>
        </w:rPr>
        <w:t>Make a plan</w:t>
      </w:r>
      <w:proofErr w:type="gramEnd"/>
      <w:r w:rsidRPr="003D5254">
        <w:rPr>
          <w:rFonts w:eastAsia="MS Mincho" w:cs="Arial"/>
          <w:b/>
          <w:bCs/>
          <w:sz w:val="20"/>
        </w:rPr>
        <w:t xml:space="preserve"> with your treating specialist in case you become unwell overseas</w:t>
      </w:r>
      <w:r w:rsidRPr="003D5254">
        <w:rPr>
          <w:rFonts w:cs="Arial"/>
          <w:sz w:val="20"/>
        </w:rPr>
        <w:t xml:space="preserve"> – Register with Department of Foreign Affairs and Trade (DFAT) via travel tab on website.  </w:t>
      </w:r>
      <w:hyperlink r:id="rId21" w:history="1">
        <w:r w:rsidRPr="003D5254">
          <w:rPr>
            <w:rFonts w:cs="Arial"/>
            <w:color w:val="0000FF" w:themeColor="hyperlink"/>
            <w:sz w:val="20"/>
            <w:u w:val="single"/>
          </w:rPr>
          <w:t>http://dfat.gov.au/pages/default.aspx</w:t>
        </w:r>
      </w:hyperlink>
    </w:p>
    <w:p w14:paraId="6B1A58D1" w14:textId="77777777" w:rsidR="00DE5B09" w:rsidRPr="003D5254" w:rsidRDefault="00DE5B09" w:rsidP="00DE5B09">
      <w:pPr>
        <w:keepNext/>
        <w:keepLines/>
        <w:numPr>
          <w:ilvl w:val="0"/>
          <w:numId w:val="45"/>
        </w:numPr>
        <w:spacing w:after="0" w:line="240" w:lineRule="atLeast"/>
        <w:outlineLvl w:val="3"/>
        <w:rPr>
          <w:rFonts w:eastAsia="MS Mincho" w:cs="Arial"/>
          <w:b/>
          <w:bCs/>
          <w:sz w:val="20"/>
        </w:rPr>
      </w:pPr>
      <w:r w:rsidRPr="003D5254">
        <w:rPr>
          <w:rFonts w:eastAsia="MS Mincho" w:cs="Arial"/>
          <w:b/>
          <w:bCs/>
          <w:sz w:val="20"/>
        </w:rPr>
        <w:t>Arrange collection of SCIg prior to travel. Generally, day of departure or 1 day prior, whichever is the most feasible based on time of flight, vicinity to hospital etc.</w:t>
      </w:r>
    </w:p>
    <w:p w14:paraId="6CCE4ABA" w14:textId="77777777" w:rsidR="00DE5B09" w:rsidRPr="003D5254" w:rsidRDefault="00DE5B09" w:rsidP="00DE5B09">
      <w:pPr>
        <w:numPr>
          <w:ilvl w:val="0"/>
          <w:numId w:val="45"/>
        </w:numPr>
        <w:spacing w:after="0" w:line="276" w:lineRule="auto"/>
        <w:contextualSpacing/>
        <w:rPr>
          <w:rFonts w:cs="Arial"/>
          <w:sz w:val="20"/>
        </w:rPr>
      </w:pPr>
      <w:r w:rsidRPr="003D5254">
        <w:rPr>
          <w:rFonts w:eastAsia="MS Mincho" w:cs="Arial"/>
          <w:b/>
          <w:bCs/>
          <w:color w:val="FF0000"/>
          <w:sz w:val="20"/>
        </w:rPr>
        <w:t>IMPORTANT – DO NOT OPEN</w:t>
      </w:r>
      <w:r w:rsidRPr="003D5254">
        <w:rPr>
          <w:rFonts w:cs="Arial"/>
          <w:color w:val="FF0000"/>
          <w:sz w:val="20"/>
        </w:rPr>
        <w:t xml:space="preserve"> </w:t>
      </w:r>
      <w:r w:rsidRPr="003D5254">
        <w:rPr>
          <w:rFonts w:cs="Arial"/>
          <w:sz w:val="20"/>
        </w:rPr>
        <w:t>or tamper with the shipper box – it will be packaged for flight and the airline may refuse to accept if any evidence of shipper being opened or tampered with. An Export permit will be attached to the top of the shipper box for easy customs access.</w:t>
      </w:r>
    </w:p>
    <w:p w14:paraId="4115A4B3" w14:textId="77777777" w:rsidR="00DE5B09" w:rsidRPr="003D5254" w:rsidRDefault="00DE5B09" w:rsidP="00DE5B09">
      <w:pPr>
        <w:spacing w:after="0" w:line="276" w:lineRule="auto"/>
        <w:ind w:left="720"/>
        <w:contextualSpacing/>
        <w:rPr>
          <w:rFonts w:cs="Arial"/>
          <w:sz w:val="20"/>
        </w:rPr>
      </w:pPr>
    </w:p>
    <w:p w14:paraId="765C4CDA" w14:textId="77777777" w:rsidR="00DE5B09" w:rsidRDefault="00DE5B09" w:rsidP="00455772">
      <w:pPr>
        <w:spacing w:after="0" w:line="240" w:lineRule="auto"/>
        <w:rPr>
          <w:rFonts w:cs="Arial"/>
          <w:b/>
          <w:color w:val="FF0000"/>
          <w:sz w:val="24"/>
        </w:rPr>
      </w:pPr>
    </w:p>
    <w:p w14:paraId="4DFD41A1" w14:textId="77777777" w:rsidR="00DE5B09" w:rsidRDefault="00DE5B09" w:rsidP="00DE5B09">
      <w:pPr>
        <w:spacing w:after="0" w:line="240" w:lineRule="auto"/>
        <w:jc w:val="center"/>
        <w:rPr>
          <w:rFonts w:cs="Arial"/>
          <w:b/>
          <w:color w:val="FF0000"/>
          <w:sz w:val="24"/>
        </w:rPr>
      </w:pPr>
      <w:r w:rsidRPr="003D5254">
        <w:rPr>
          <w:rFonts w:cs="Arial"/>
          <w:b/>
          <w:color w:val="FF0000"/>
          <w:sz w:val="24"/>
        </w:rPr>
        <w:t xml:space="preserve">The shipper </w:t>
      </w:r>
      <w:r w:rsidRPr="003D5254">
        <w:rPr>
          <w:rFonts w:cs="Arial"/>
          <w:b/>
          <w:color w:val="FF0000"/>
          <w:sz w:val="24"/>
          <w:u w:val="single"/>
        </w:rPr>
        <w:t>MUST NOT</w:t>
      </w:r>
      <w:r w:rsidRPr="003D5254">
        <w:rPr>
          <w:rFonts w:cs="Arial"/>
          <w:b/>
          <w:color w:val="FF0000"/>
          <w:sz w:val="24"/>
        </w:rPr>
        <w:t xml:space="preserve"> be opened – if it appears to have been opened the airline may not permit the patient to board the aircraft with the product.</w:t>
      </w:r>
    </w:p>
    <w:p w14:paraId="07CB8FD7" w14:textId="77777777" w:rsidR="00DE5B09" w:rsidRPr="00DE5B09" w:rsidRDefault="00DE5B09" w:rsidP="00DE5B09">
      <w:pPr>
        <w:spacing w:after="0" w:line="240" w:lineRule="auto"/>
        <w:rPr>
          <w:rFonts w:cs="Arial"/>
          <w:b/>
          <w:color w:val="FF0000"/>
          <w:sz w:val="24"/>
        </w:rPr>
      </w:pPr>
    </w:p>
    <w:tbl>
      <w:tblPr>
        <w:tblStyle w:val="TableGrid"/>
        <w:tblpPr w:leftFromText="180" w:rightFromText="180" w:vertAnchor="text" w:horzAnchor="margin" w:tblpY="181"/>
        <w:tblW w:w="9940" w:type="dxa"/>
        <w:tblBorders>
          <w:insideH w:val="none" w:sz="0" w:space="0" w:color="auto"/>
          <w:insideV w:val="none" w:sz="0" w:space="0" w:color="auto"/>
        </w:tblBorders>
        <w:tblLook w:val="04A0" w:firstRow="1" w:lastRow="0" w:firstColumn="1" w:lastColumn="0" w:noHBand="0" w:noVBand="1"/>
      </w:tblPr>
      <w:tblGrid>
        <w:gridCol w:w="3743"/>
        <w:gridCol w:w="304"/>
        <w:gridCol w:w="5893"/>
      </w:tblGrid>
      <w:tr w:rsidR="00DE5B09" w:rsidRPr="003D5254" w14:paraId="349936FD" w14:textId="77777777" w:rsidTr="000E5F05">
        <w:trPr>
          <w:trHeight w:val="3535"/>
        </w:trPr>
        <w:tc>
          <w:tcPr>
            <w:tcW w:w="3743" w:type="dxa"/>
            <w:tcBorders>
              <w:top w:val="single" w:sz="4" w:space="0" w:color="auto"/>
              <w:bottom w:val="single" w:sz="4" w:space="0" w:color="auto"/>
              <w:right w:val="nil"/>
            </w:tcBorders>
            <w:vAlign w:val="center"/>
          </w:tcPr>
          <w:p w14:paraId="2759D01F" w14:textId="77777777" w:rsidR="00DE5B09" w:rsidRPr="003D5254" w:rsidRDefault="00DE5B09" w:rsidP="000E5F05">
            <w:pPr>
              <w:spacing w:after="0" w:line="240" w:lineRule="auto"/>
              <w:rPr>
                <w:rFonts w:cs="Arial"/>
                <w:sz w:val="20"/>
              </w:rPr>
            </w:pPr>
            <w:r w:rsidRPr="003D5254">
              <w:rPr>
                <w:rFonts w:cs="Arial"/>
                <w:b/>
                <w:color w:val="FF0000"/>
                <w:sz w:val="20"/>
              </w:rPr>
              <w:t>Example of the shippers the product is packed in</w:t>
            </w:r>
            <w:r w:rsidRPr="003D5254">
              <w:rPr>
                <w:rFonts w:cs="Arial"/>
                <w:sz w:val="20"/>
              </w:rPr>
              <w:t>:</w:t>
            </w:r>
          </w:p>
          <w:p w14:paraId="3B9204C3" w14:textId="77777777" w:rsidR="00DE5B09" w:rsidRPr="003D5254" w:rsidRDefault="00DE5B09" w:rsidP="00DE5B09">
            <w:pPr>
              <w:numPr>
                <w:ilvl w:val="0"/>
                <w:numId w:val="46"/>
              </w:numPr>
              <w:spacing w:after="0" w:line="240" w:lineRule="auto"/>
              <w:rPr>
                <w:rFonts w:cs="Arial"/>
                <w:sz w:val="20"/>
              </w:rPr>
            </w:pPr>
            <w:r w:rsidRPr="003D5254">
              <w:rPr>
                <w:rFonts w:cs="Arial"/>
                <w:sz w:val="20"/>
              </w:rPr>
              <w:t>Large:   26 x 35 x 38cm</w:t>
            </w:r>
          </w:p>
          <w:p w14:paraId="6BCD7BF6" w14:textId="77777777" w:rsidR="00DE5B09" w:rsidRPr="003D5254" w:rsidRDefault="00DE5B09" w:rsidP="00DE5B09">
            <w:pPr>
              <w:numPr>
                <w:ilvl w:val="0"/>
                <w:numId w:val="46"/>
              </w:numPr>
              <w:spacing w:after="0" w:line="240" w:lineRule="auto"/>
              <w:rPr>
                <w:rFonts w:cs="Arial"/>
                <w:sz w:val="20"/>
              </w:rPr>
            </w:pPr>
            <w:r w:rsidRPr="003D5254">
              <w:rPr>
                <w:rFonts w:cs="Arial"/>
                <w:sz w:val="20"/>
              </w:rPr>
              <w:t>Small:   24 x 19 x 25cm</w:t>
            </w:r>
          </w:p>
          <w:p w14:paraId="45198560" w14:textId="77777777" w:rsidR="00DE5B09" w:rsidRPr="003D5254" w:rsidRDefault="00DE5B09" w:rsidP="000E5F05">
            <w:pPr>
              <w:spacing w:after="0" w:line="240" w:lineRule="auto"/>
              <w:rPr>
                <w:rFonts w:cs="Arial"/>
                <w:sz w:val="20"/>
              </w:rPr>
            </w:pPr>
          </w:p>
          <w:p w14:paraId="7F1E9B33" w14:textId="77777777" w:rsidR="00DE5B09" w:rsidRPr="003D5254" w:rsidRDefault="00DE5B09" w:rsidP="000E5F05">
            <w:pPr>
              <w:spacing w:after="0" w:line="240" w:lineRule="auto"/>
              <w:rPr>
                <w:rFonts w:cs="Arial"/>
                <w:sz w:val="20"/>
              </w:rPr>
            </w:pPr>
          </w:p>
          <w:p w14:paraId="5434DFDF" w14:textId="77777777" w:rsidR="00DE5B09" w:rsidRPr="003D5254" w:rsidRDefault="00DE5B09" w:rsidP="000E5F05">
            <w:pPr>
              <w:spacing w:after="0" w:line="240" w:lineRule="auto"/>
              <w:rPr>
                <w:rFonts w:cs="Arial"/>
                <w:sz w:val="20"/>
              </w:rPr>
            </w:pPr>
            <w:r w:rsidRPr="003D5254">
              <w:rPr>
                <w:rFonts w:cs="Arial"/>
                <w:sz w:val="20"/>
              </w:rPr>
              <w:t>The size and number of shippers required will depend on the amount of product requested.</w:t>
            </w:r>
          </w:p>
          <w:p w14:paraId="0B7D6108" w14:textId="77777777" w:rsidR="00DE5B09" w:rsidRPr="003D5254" w:rsidRDefault="00DE5B09" w:rsidP="000E5F05">
            <w:pPr>
              <w:keepNext/>
              <w:keepLines/>
              <w:spacing w:before="240" w:line="270" w:lineRule="exact"/>
              <w:rPr>
                <w:b/>
                <w:sz w:val="20"/>
              </w:rPr>
            </w:pPr>
            <w:r w:rsidRPr="003D5254">
              <w:rPr>
                <w:rFonts w:cs="Arial"/>
                <w:b/>
                <w:sz w:val="20"/>
              </w:rPr>
              <w:t>Each shipper is sealed with a copy of the TGA Export permit attached to the outside.</w:t>
            </w:r>
          </w:p>
        </w:tc>
        <w:tc>
          <w:tcPr>
            <w:tcW w:w="304" w:type="dxa"/>
            <w:tcBorders>
              <w:top w:val="single" w:sz="4" w:space="0" w:color="auto"/>
              <w:left w:val="nil"/>
              <w:bottom w:val="single" w:sz="4" w:space="0" w:color="auto"/>
            </w:tcBorders>
            <w:vAlign w:val="bottom"/>
          </w:tcPr>
          <w:p w14:paraId="64001C69" w14:textId="77777777" w:rsidR="00DE5B09" w:rsidRPr="003D5254" w:rsidRDefault="00DE5B09" w:rsidP="000E5F05">
            <w:pPr>
              <w:spacing w:line="270" w:lineRule="atLeast"/>
              <w:jc w:val="center"/>
              <w:rPr>
                <w:rFonts w:eastAsia="Times"/>
                <w:sz w:val="20"/>
              </w:rPr>
            </w:pPr>
          </w:p>
        </w:tc>
        <w:tc>
          <w:tcPr>
            <w:tcW w:w="5893" w:type="dxa"/>
            <w:tcBorders>
              <w:bottom w:val="single" w:sz="4" w:space="0" w:color="auto"/>
            </w:tcBorders>
            <w:vAlign w:val="center"/>
          </w:tcPr>
          <w:p w14:paraId="734EE44C" w14:textId="77777777" w:rsidR="00DE5B09" w:rsidRPr="003D5254" w:rsidRDefault="00DE5B09" w:rsidP="000E5F05">
            <w:pPr>
              <w:spacing w:line="270" w:lineRule="atLeast"/>
              <w:jc w:val="center"/>
              <w:rPr>
                <w:rFonts w:eastAsia="Times"/>
                <w:sz w:val="20"/>
              </w:rPr>
            </w:pPr>
            <w:r w:rsidRPr="003D5254">
              <w:rPr>
                <w:rFonts w:eastAsia="Times"/>
                <w:sz w:val="20"/>
              </w:rPr>
              <w:t xml:space="preserve">        </w:t>
            </w:r>
            <w:r w:rsidRPr="003D5254">
              <w:rPr>
                <w:rFonts w:eastAsia="Times"/>
                <w:noProof/>
                <w:sz w:val="20"/>
                <w:lang w:eastAsia="en-AU"/>
              </w:rPr>
              <w:drawing>
                <wp:inline distT="0" distB="0" distL="0" distR="0" wp14:anchorId="4FFC0E31" wp14:editId="13B95461">
                  <wp:extent cx="3145536" cy="2357766"/>
                  <wp:effectExtent l="0" t="0" r="0" b="4445"/>
                  <wp:docPr id="1" name="Picture 1" descr="C:\Users\smcardle\Pictures\Camera Roll\IMG_18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cardle\Pictures\Camera Roll\IMG_1872.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86059" cy="2388140"/>
                          </a:xfrm>
                          <a:prstGeom prst="rect">
                            <a:avLst/>
                          </a:prstGeom>
                          <a:noFill/>
                          <a:ln>
                            <a:noFill/>
                          </a:ln>
                        </pic:spPr>
                      </pic:pic>
                    </a:graphicData>
                  </a:graphic>
                </wp:inline>
              </w:drawing>
            </w:r>
          </w:p>
        </w:tc>
      </w:tr>
    </w:tbl>
    <w:p w14:paraId="74DF59A7" w14:textId="77777777" w:rsidR="00DE5B09" w:rsidRPr="00DE5B09" w:rsidRDefault="00DE5B09" w:rsidP="00DE5B09">
      <w:pPr>
        <w:pStyle w:val="Body"/>
      </w:pPr>
    </w:p>
    <w:sectPr w:rsidR="00DE5B09" w:rsidRPr="00DE5B09" w:rsidSect="0001677A">
      <w:footerReference w:type="default" r:id="rId23"/>
      <w:type w:val="continuous"/>
      <w:pgSz w:w="11906" w:h="16838" w:code="9"/>
      <w:pgMar w:top="1418" w:right="851" w:bottom="1985"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5E5AC" w14:textId="77777777" w:rsidR="00C54584" w:rsidRDefault="00C54584">
      <w:r>
        <w:separator/>
      </w:r>
    </w:p>
  </w:endnote>
  <w:endnote w:type="continuationSeparator" w:id="0">
    <w:p w14:paraId="1A401F32" w14:textId="77777777" w:rsidR="00C54584" w:rsidRDefault="00C54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2F3D5" w14:textId="77777777" w:rsidR="00E261B3" w:rsidRPr="00F65AA9" w:rsidRDefault="0001677A" w:rsidP="00F84FA0">
    <w:pPr>
      <w:pStyle w:val="Footer"/>
    </w:pPr>
    <w:r>
      <w:rPr>
        <w:noProof/>
        <w:lang w:eastAsia="en-AU"/>
      </w:rPr>
      <w:drawing>
        <wp:anchor distT="0" distB="0" distL="114300" distR="114300" simplePos="0" relativeHeight="251676160" behindDoc="1" locked="1" layoutInCell="1" allowOverlap="1" wp14:anchorId="174B4587" wp14:editId="3DB709DC">
          <wp:simplePos x="0" y="0"/>
          <wp:positionH relativeFrom="page">
            <wp:posOffset>0</wp:posOffset>
          </wp:positionH>
          <wp:positionV relativeFrom="page">
            <wp:posOffset>9536430</wp:posOffset>
          </wp:positionV>
          <wp:extent cx="7559675" cy="1156335"/>
          <wp:effectExtent l="0" t="0" r="0" b="0"/>
          <wp:wrapNone/>
          <wp:docPr id="4" name="Picture 4"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ictoria State Government&#10;Australian Red Cross&#10;Blood Matters"/>
                  <pic:cNvPicPr/>
                </pic:nvPicPr>
                <pic:blipFill rotWithShape="1">
                  <a:blip r:embed="rId1"/>
                  <a:srcRect t="89176"/>
                  <a:stretch/>
                </pic:blipFill>
                <pic:spPr bwMode="auto">
                  <a:xfrm>
                    <a:off x="0" y="0"/>
                    <a:ext cx="7559675" cy="1156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32021124" wp14:editId="14587237">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2909F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021124"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082909F8"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B550D" w14:textId="77777777" w:rsidR="00E261B3" w:rsidRDefault="00E261B3">
    <w:pPr>
      <w:pStyle w:val="Footer"/>
    </w:pPr>
    <w:r>
      <w:rPr>
        <w:noProof/>
      </w:rPr>
      <mc:AlternateContent>
        <mc:Choice Requires="wps">
          <w:drawing>
            <wp:anchor distT="0" distB="0" distL="114300" distR="114300" simplePos="0" relativeHeight="251670016" behindDoc="0" locked="0" layoutInCell="0" allowOverlap="1" wp14:anchorId="20225D2F" wp14:editId="615D863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6F46C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0225D2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4E6F46C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0824A" w14:textId="77777777" w:rsidR="00373890" w:rsidRPr="00F65AA9" w:rsidRDefault="0001677A" w:rsidP="00F84FA0">
    <w:pPr>
      <w:pStyle w:val="Footer"/>
    </w:pPr>
    <w:r>
      <w:rPr>
        <w:noProof/>
        <w:lang w:eastAsia="en-AU"/>
      </w:rPr>
      <w:drawing>
        <wp:anchor distT="0" distB="0" distL="114300" distR="114300" simplePos="0" relativeHeight="251678208" behindDoc="1" locked="1" layoutInCell="1" allowOverlap="1" wp14:anchorId="5BF24039" wp14:editId="7796A18C">
          <wp:simplePos x="0" y="0"/>
          <wp:positionH relativeFrom="page">
            <wp:align>left</wp:align>
          </wp:positionH>
          <wp:positionV relativeFrom="page">
            <wp:align>bottom</wp:align>
          </wp:positionV>
          <wp:extent cx="7560000" cy="1155600"/>
          <wp:effectExtent l="0" t="0" r="0" b="0"/>
          <wp:wrapNone/>
          <wp:docPr id="12" name="Picture 12" descr="Victoria State Government&#10;Australian Red Cross&#10;Blood Mat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10;Australian Red Cross&#10;Blood Matters"/>
                  <pic:cNvPicPr/>
                </pic:nvPicPr>
                <pic:blipFill rotWithShape="1">
                  <a:blip r:embed="rId1"/>
                  <a:srcRect t="89176"/>
                  <a:stretch/>
                </pic:blipFill>
                <pic:spPr bwMode="auto">
                  <a:xfrm>
                    <a:off x="0" y="0"/>
                    <a:ext cx="7560000" cy="115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07FF7">
      <w:rPr>
        <w:noProof/>
      </w:rPr>
      <mc:AlternateContent>
        <mc:Choice Requires="wps">
          <w:drawing>
            <wp:anchor distT="0" distB="0" distL="114300" distR="114300" simplePos="0" relativeHeight="251675136" behindDoc="0" locked="0" layoutInCell="0" allowOverlap="1" wp14:anchorId="68C065B4" wp14:editId="380A8F52">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6C61C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C065B4"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2E6C61C8"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6DA44" w14:textId="77777777" w:rsidR="00C54584" w:rsidRDefault="00C54584" w:rsidP="002862F1">
      <w:pPr>
        <w:spacing w:before="120"/>
      </w:pPr>
      <w:r>
        <w:separator/>
      </w:r>
    </w:p>
  </w:footnote>
  <w:footnote w:type="continuationSeparator" w:id="0">
    <w:p w14:paraId="659D0446" w14:textId="77777777" w:rsidR="00C54584" w:rsidRDefault="00C54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FE64"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7EE31B1"/>
    <w:multiLevelType w:val="hybridMultilevel"/>
    <w:tmpl w:val="1ECCE2C6"/>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23E6BBC"/>
    <w:multiLevelType w:val="hybridMultilevel"/>
    <w:tmpl w:val="A09AC7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0"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479859CD"/>
    <w:multiLevelType w:val="hybridMultilevel"/>
    <w:tmpl w:val="961C39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6711E3"/>
    <w:multiLevelType w:val="hybridMultilevel"/>
    <w:tmpl w:val="B2063468"/>
    <w:lvl w:ilvl="0" w:tplc="0C09000F">
      <w:start w:val="1"/>
      <w:numFmt w:val="decimal"/>
      <w:lvlText w:val="%1."/>
      <w:lvlJc w:val="left"/>
      <w:pPr>
        <w:ind w:left="644" w:hanging="360"/>
      </w:pPr>
      <w:rPr>
        <w:rFonts w:hint="default"/>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58A46020"/>
    <w:multiLevelType w:val="hybridMultilevel"/>
    <w:tmpl w:val="89E6B3F8"/>
    <w:lvl w:ilvl="0" w:tplc="12024156">
      <w:start w:val="1"/>
      <w:numFmt w:val="decimal"/>
      <w:lvlText w:val="%1."/>
      <w:lvlJc w:val="left"/>
      <w:pPr>
        <w:ind w:left="720" w:hanging="360"/>
      </w:pPr>
      <w:rPr>
        <w:rFonts w:hint="default"/>
        <w:b/>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8"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0" w15:restartNumberingAfterBreak="0">
    <w:nsid w:val="726C5CF8"/>
    <w:multiLevelType w:val="hybridMultilevel"/>
    <w:tmpl w:val="BE94CD4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BD15765"/>
    <w:multiLevelType w:val="hybridMultilevel"/>
    <w:tmpl w:val="139CC410"/>
    <w:lvl w:ilvl="0" w:tplc="0C090001">
      <w:start w:val="1"/>
      <w:numFmt w:val="bullet"/>
      <w:lvlText w:val=""/>
      <w:lvlJc w:val="left"/>
      <w:pPr>
        <w:ind w:left="1440" w:hanging="360"/>
      </w:pPr>
      <w:rPr>
        <w:rFonts w:ascii="Symbol" w:hAnsi="Symbol" w:hint="default"/>
      </w:rPr>
    </w:lvl>
    <w:lvl w:ilvl="1" w:tplc="0C090001">
      <w:start w:val="1"/>
      <w:numFmt w:val="bullet"/>
      <w:lvlText w:val=""/>
      <w:lvlJc w:val="left"/>
      <w:pPr>
        <w:ind w:left="2160" w:hanging="360"/>
      </w:pPr>
      <w:rPr>
        <w:rFonts w:ascii="Symbol" w:hAnsi="Symbol" w:hint="default"/>
      </w:rPr>
    </w:lvl>
    <w:lvl w:ilvl="2" w:tplc="0C090001">
      <w:start w:val="1"/>
      <w:numFmt w:val="bullet"/>
      <w:lvlText w:val=""/>
      <w:lvlJc w:val="left"/>
      <w:pPr>
        <w:ind w:left="2880" w:hanging="180"/>
      </w:pPr>
      <w:rPr>
        <w:rFonts w:ascii="Symbol" w:hAnsi="Symbol"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16cid:durableId="34741909">
    <w:abstractNumId w:val="10"/>
  </w:num>
  <w:num w:numId="2" w16cid:durableId="135613675">
    <w:abstractNumId w:val="19"/>
  </w:num>
  <w:num w:numId="3" w16cid:durableId="115942646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31006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947640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293936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9976679">
    <w:abstractNumId w:val="25"/>
  </w:num>
  <w:num w:numId="8" w16cid:durableId="705298870">
    <w:abstractNumId w:val="18"/>
  </w:num>
  <w:num w:numId="9" w16cid:durableId="441417307">
    <w:abstractNumId w:val="24"/>
  </w:num>
  <w:num w:numId="10" w16cid:durableId="1810212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50684463">
    <w:abstractNumId w:val="27"/>
  </w:num>
  <w:num w:numId="12" w16cid:durableId="6416185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73900572">
    <w:abstractNumId w:val="20"/>
  </w:num>
  <w:num w:numId="14" w16cid:durableId="5501174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603500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414296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1093316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80041294">
    <w:abstractNumId w:val="29"/>
  </w:num>
  <w:num w:numId="19" w16cid:durableId="62523437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93345727">
    <w:abstractNumId w:val="14"/>
  </w:num>
  <w:num w:numId="21" w16cid:durableId="1650477813">
    <w:abstractNumId w:val="12"/>
  </w:num>
  <w:num w:numId="22" w16cid:durableId="19330816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65325262">
    <w:abstractNumId w:val="16"/>
  </w:num>
  <w:num w:numId="24" w16cid:durableId="1381445003">
    <w:abstractNumId w:val="31"/>
  </w:num>
  <w:num w:numId="25" w16cid:durableId="1548638898">
    <w:abstractNumId w:val="28"/>
  </w:num>
  <w:num w:numId="26" w16cid:durableId="1803382950">
    <w:abstractNumId w:val="22"/>
  </w:num>
  <w:num w:numId="27" w16cid:durableId="284774584">
    <w:abstractNumId w:val="11"/>
  </w:num>
  <w:num w:numId="28" w16cid:durableId="1415394475">
    <w:abstractNumId w:val="32"/>
  </w:num>
  <w:num w:numId="29" w16cid:durableId="442261201">
    <w:abstractNumId w:val="9"/>
  </w:num>
  <w:num w:numId="30" w16cid:durableId="21059444">
    <w:abstractNumId w:val="7"/>
  </w:num>
  <w:num w:numId="31" w16cid:durableId="498082444">
    <w:abstractNumId w:val="6"/>
  </w:num>
  <w:num w:numId="32" w16cid:durableId="642471894">
    <w:abstractNumId w:val="5"/>
  </w:num>
  <w:num w:numId="33" w16cid:durableId="49617671">
    <w:abstractNumId w:val="4"/>
  </w:num>
  <w:num w:numId="34" w16cid:durableId="22748743">
    <w:abstractNumId w:val="8"/>
  </w:num>
  <w:num w:numId="35" w16cid:durableId="1654869005">
    <w:abstractNumId w:val="3"/>
  </w:num>
  <w:num w:numId="36" w16cid:durableId="1826313750">
    <w:abstractNumId w:val="2"/>
  </w:num>
  <w:num w:numId="37" w16cid:durableId="602306648">
    <w:abstractNumId w:val="1"/>
  </w:num>
  <w:num w:numId="38" w16cid:durableId="1933121830">
    <w:abstractNumId w:val="0"/>
  </w:num>
  <w:num w:numId="39" w16cid:durableId="9801869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93733092">
    <w:abstractNumId w:val="15"/>
  </w:num>
  <w:num w:numId="41" w16cid:durableId="682173808">
    <w:abstractNumId w:val="17"/>
  </w:num>
  <w:num w:numId="42" w16cid:durableId="1916669771">
    <w:abstractNumId w:val="33"/>
  </w:num>
  <w:num w:numId="43" w16cid:durableId="432895703">
    <w:abstractNumId w:val="23"/>
  </w:num>
  <w:num w:numId="44" w16cid:durableId="937103768">
    <w:abstractNumId w:val="30"/>
  </w:num>
  <w:num w:numId="45" w16cid:durableId="256449733">
    <w:abstractNumId w:val="26"/>
  </w:num>
  <w:num w:numId="46" w16cid:durableId="75362681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584"/>
    <w:rsid w:val="00000719"/>
    <w:rsid w:val="00003403"/>
    <w:rsid w:val="00005347"/>
    <w:rsid w:val="000072B6"/>
    <w:rsid w:val="0001021B"/>
    <w:rsid w:val="00011D89"/>
    <w:rsid w:val="000154FD"/>
    <w:rsid w:val="0001677A"/>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374F"/>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5D05"/>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4B5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3A67"/>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97CF5"/>
    <w:rsid w:val="003A0853"/>
    <w:rsid w:val="003A6B67"/>
    <w:rsid w:val="003B13B6"/>
    <w:rsid w:val="003B15E6"/>
    <w:rsid w:val="003B408A"/>
    <w:rsid w:val="003B5733"/>
    <w:rsid w:val="003C08A2"/>
    <w:rsid w:val="003C1517"/>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001C"/>
    <w:rsid w:val="004112C6"/>
    <w:rsid w:val="004148F9"/>
    <w:rsid w:val="00414D4A"/>
    <w:rsid w:val="0042084E"/>
    <w:rsid w:val="00421EEF"/>
    <w:rsid w:val="00424D65"/>
    <w:rsid w:val="00442C6C"/>
    <w:rsid w:val="00443CBE"/>
    <w:rsid w:val="00443E8A"/>
    <w:rsid w:val="004441BC"/>
    <w:rsid w:val="004468B4"/>
    <w:rsid w:val="0045230A"/>
    <w:rsid w:val="00454AD0"/>
    <w:rsid w:val="00455772"/>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508"/>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2D93"/>
    <w:rsid w:val="00536395"/>
    <w:rsid w:val="00536499"/>
    <w:rsid w:val="00543903"/>
    <w:rsid w:val="00543F11"/>
    <w:rsid w:val="00546305"/>
    <w:rsid w:val="00547A95"/>
    <w:rsid w:val="0055119B"/>
    <w:rsid w:val="005548B5"/>
    <w:rsid w:val="00570043"/>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4634"/>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33D8"/>
    <w:rsid w:val="00785677"/>
    <w:rsid w:val="00786F16"/>
    <w:rsid w:val="00791BD7"/>
    <w:rsid w:val="007933F7"/>
    <w:rsid w:val="00796E20"/>
    <w:rsid w:val="007974E3"/>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2C3E"/>
    <w:rsid w:val="008633F0"/>
    <w:rsid w:val="00867D9D"/>
    <w:rsid w:val="00872E0A"/>
    <w:rsid w:val="00873594"/>
    <w:rsid w:val="00875285"/>
    <w:rsid w:val="00884668"/>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C7CB1"/>
    <w:rsid w:val="008D2846"/>
    <w:rsid w:val="008D4236"/>
    <w:rsid w:val="008D462F"/>
    <w:rsid w:val="008D6DCF"/>
    <w:rsid w:val="008E3DE9"/>
    <w:rsid w:val="008E4376"/>
    <w:rsid w:val="008E7A0A"/>
    <w:rsid w:val="008E7B49"/>
    <w:rsid w:val="008F3EC4"/>
    <w:rsid w:val="008F59F6"/>
    <w:rsid w:val="008F737C"/>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977F7"/>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0421"/>
    <w:rsid w:val="00A8236D"/>
    <w:rsid w:val="00A854EB"/>
    <w:rsid w:val="00A872E5"/>
    <w:rsid w:val="00A91406"/>
    <w:rsid w:val="00A96E65"/>
    <w:rsid w:val="00A97C72"/>
    <w:rsid w:val="00AA268E"/>
    <w:rsid w:val="00AA310B"/>
    <w:rsid w:val="00AA4703"/>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201B"/>
    <w:rsid w:val="00B13851"/>
    <w:rsid w:val="00B13B1C"/>
    <w:rsid w:val="00B14780"/>
    <w:rsid w:val="00B21F90"/>
    <w:rsid w:val="00B22291"/>
    <w:rsid w:val="00B23F9A"/>
    <w:rsid w:val="00B2417B"/>
    <w:rsid w:val="00B24E6F"/>
    <w:rsid w:val="00B26CB5"/>
    <w:rsid w:val="00B2752E"/>
    <w:rsid w:val="00B307CC"/>
    <w:rsid w:val="00B326B7"/>
    <w:rsid w:val="00B3588E"/>
    <w:rsid w:val="00B406D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0533"/>
    <w:rsid w:val="00BB7A10"/>
    <w:rsid w:val="00BC3586"/>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4584"/>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8B1"/>
    <w:rsid w:val="00D04C61"/>
    <w:rsid w:val="00D05B8D"/>
    <w:rsid w:val="00D065A2"/>
    <w:rsid w:val="00D079AA"/>
    <w:rsid w:val="00D07F00"/>
    <w:rsid w:val="00D1130F"/>
    <w:rsid w:val="00D11D30"/>
    <w:rsid w:val="00D17B72"/>
    <w:rsid w:val="00D3185C"/>
    <w:rsid w:val="00D3205F"/>
    <w:rsid w:val="00D3318E"/>
    <w:rsid w:val="00D33E72"/>
    <w:rsid w:val="00D35BD6"/>
    <w:rsid w:val="00D361B5"/>
    <w:rsid w:val="00D374FA"/>
    <w:rsid w:val="00D405AC"/>
    <w:rsid w:val="00D411A2"/>
    <w:rsid w:val="00D4606D"/>
    <w:rsid w:val="00D46C92"/>
    <w:rsid w:val="00D50B9C"/>
    <w:rsid w:val="00D52D73"/>
    <w:rsid w:val="00D52E58"/>
    <w:rsid w:val="00D56B20"/>
    <w:rsid w:val="00D578B3"/>
    <w:rsid w:val="00D60661"/>
    <w:rsid w:val="00D618F4"/>
    <w:rsid w:val="00D6261F"/>
    <w:rsid w:val="00D714CC"/>
    <w:rsid w:val="00D75EA7"/>
    <w:rsid w:val="00D77DAD"/>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5B09"/>
    <w:rsid w:val="00DE6028"/>
    <w:rsid w:val="00DE78A3"/>
    <w:rsid w:val="00DF1A71"/>
    <w:rsid w:val="00DF33A0"/>
    <w:rsid w:val="00DF50FC"/>
    <w:rsid w:val="00DF68C7"/>
    <w:rsid w:val="00DF731A"/>
    <w:rsid w:val="00E06B75"/>
    <w:rsid w:val="00E079DC"/>
    <w:rsid w:val="00E11332"/>
    <w:rsid w:val="00E11352"/>
    <w:rsid w:val="00E170DC"/>
    <w:rsid w:val="00E17546"/>
    <w:rsid w:val="00E210B5"/>
    <w:rsid w:val="00E261B3"/>
    <w:rsid w:val="00E26818"/>
    <w:rsid w:val="00E27FFC"/>
    <w:rsid w:val="00E30B15"/>
    <w:rsid w:val="00E33237"/>
    <w:rsid w:val="00E40181"/>
    <w:rsid w:val="00E545A2"/>
    <w:rsid w:val="00E54950"/>
    <w:rsid w:val="00E56A01"/>
    <w:rsid w:val="00E62622"/>
    <w:rsid w:val="00E629A1"/>
    <w:rsid w:val="00E660F4"/>
    <w:rsid w:val="00E6794C"/>
    <w:rsid w:val="00E71591"/>
    <w:rsid w:val="00E71CEB"/>
    <w:rsid w:val="00E738B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1E71"/>
    <w:rsid w:val="00F024F3"/>
    <w:rsid w:val="00F02ABA"/>
    <w:rsid w:val="00F0437A"/>
    <w:rsid w:val="00F101B8"/>
    <w:rsid w:val="00F11037"/>
    <w:rsid w:val="00F16F1B"/>
    <w:rsid w:val="00F250A9"/>
    <w:rsid w:val="00F267AF"/>
    <w:rsid w:val="00F3042C"/>
    <w:rsid w:val="00F30FF4"/>
    <w:rsid w:val="00F3122E"/>
    <w:rsid w:val="00F32368"/>
    <w:rsid w:val="00F331AD"/>
    <w:rsid w:val="00F35287"/>
    <w:rsid w:val="00F40A70"/>
    <w:rsid w:val="00F43A37"/>
    <w:rsid w:val="00F451AB"/>
    <w:rsid w:val="00F4641B"/>
    <w:rsid w:val="00F46EB8"/>
    <w:rsid w:val="00F50B62"/>
    <w:rsid w:val="00F50CD1"/>
    <w:rsid w:val="00F511E4"/>
    <w:rsid w:val="00F52D09"/>
    <w:rsid w:val="00F52E08"/>
    <w:rsid w:val="00F53A66"/>
    <w:rsid w:val="00F53DDD"/>
    <w:rsid w:val="00F5462D"/>
    <w:rsid w:val="00F55B21"/>
    <w:rsid w:val="00F56EF6"/>
    <w:rsid w:val="00F60082"/>
    <w:rsid w:val="00F61A9F"/>
    <w:rsid w:val="00F61B5F"/>
    <w:rsid w:val="00F62248"/>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1C63"/>
    <w:rsid w:val="00FC252F"/>
    <w:rsid w:val="00FC395C"/>
    <w:rsid w:val="00FC5E8E"/>
    <w:rsid w:val="00FD3766"/>
    <w:rsid w:val="00FD47C4"/>
    <w:rsid w:val="00FD62C8"/>
    <w:rsid w:val="00FD722A"/>
    <w:rsid w:val="00FE2DCF"/>
    <w:rsid w:val="00FE3FA7"/>
    <w:rsid w:val="00FF188F"/>
    <w:rsid w:val="00FF2A4E"/>
    <w:rsid w:val="00FF2FCE"/>
    <w:rsid w:val="00FF4DE4"/>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029F23D9"/>
  <w15:docId w15:val="{7AD331B4-6F7E-4795-B2DC-872EF665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uiPriority="62"/>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E5B09"/>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table" w:styleId="LightGrid">
    <w:name w:val="Light Grid"/>
    <w:basedOn w:val="TableNormal"/>
    <w:uiPriority w:val="62"/>
    <w:rsid w:val="00BC3586"/>
    <w:rPr>
      <w:rFonts w:asciiTheme="minorHAnsi" w:eastAsiaTheme="minorHAnsi" w:hAnsiTheme="minorHAnsi" w:cstheme="minorBidi"/>
      <w:sz w:val="22"/>
      <w:szCs w:val="22"/>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25661573">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blood.gov.au/system/files/documents/request-for-approval-of-supply-of-blood-or-blood-products-for-use-overseas.pdf" TargetMode="External"/><Relationship Id="rId3" Type="http://schemas.openxmlformats.org/officeDocument/2006/relationships/customXml" Target="../customXml/item3.xml"/><Relationship Id="rId21" Type="http://schemas.openxmlformats.org/officeDocument/2006/relationships/hyperlink" Target="http://dfat.gov.au/pages/default.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sradmintransfusionsupportaus@redcrossblood.org.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csradmintransfusionsupportaus@redcrossblood.org.au" TargetMode="External"/><Relationship Id="rId20" Type="http://schemas.openxmlformats.org/officeDocument/2006/relationships/hyperlink" Target="http://www.blood.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blood.gov.au/system/files/documents/overseas-use-factsheet.pdf"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blood.gov.au/system/files/documents/overseas-use-clinical-approv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1\Branding%20and%20templates\New%20templates%20July%202021\Blood%20Matters%20DH%20red%20factshe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137D97FC92A942A017049E9EB7B09D" ma:contentTypeVersion="12" ma:contentTypeDescription="Create a new document." ma:contentTypeScope="" ma:versionID="9618c6a6c2898a566d2565e7427cbb8c">
  <xsd:schema xmlns:xsd="http://www.w3.org/2001/XMLSchema" xmlns:xs="http://www.w3.org/2001/XMLSchema" xmlns:p="http://schemas.microsoft.com/office/2006/metadata/properties" xmlns:ns3="f9efe166-4f28-4f85-8235-ea2c89133434" xmlns:ns4="71bad440-a7e7-46c6-81bd-18ed54663c6a" targetNamespace="http://schemas.microsoft.com/office/2006/metadata/properties" ma:root="true" ma:fieldsID="49924251371fb218720dfabd226ca6a3" ns3:_="" ns4:_="">
    <xsd:import namespace="f9efe166-4f28-4f85-8235-ea2c89133434"/>
    <xsd:import namespace="71bad440-a7e7-46c6-81bd-18ed54663c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fe166-4f28-4f85-8235-ea2c89133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bad440-a7e7-46c6-81bd-18ed54663c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B39196-79CC-47DE-9FC2-C1E5F04FE0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fe166-4f28-4f85-8235-ea2c89133434"/>
    <ds:schemaRef ds:uri="71bad440-a7e7-46c6-81bd-18ed54663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71bad440-a7e7-46c6-81bd-18ed54663c6a"/>
    <ds:schemaRef ds:uri="http://schemas.microsoft.com/office/infopath/2007/PartnerControls"/>
    <ds:schemaRef ds:uri="http://schemas.microsoft.com/office/2006/documentManagement/types"/>
    <ds:schemaRef ds:uri="http://purl.org/dc/elements/1.1/"/>
    <ds:schemaRef ds:uri="http://schemas.microsoft.com/office/2006/metadata/properties"/>
    <ds:schemaRef ds:uri="f9efe166-4f28-4f85-8235-ea2c89133434"/>
    <ds:schemaRef ds:uri="http://www.w3.org/XML/1998/namespace"/>
    <ds:schemaRef ds:uri="http://purl.org/dc/dcmitype/"/>
  </ds:schemaRefs>
</ds:datastoreItem>
</file>

<file path=customXml/itemProps4.xml><?xml version="1.0" encoding="utf-8"?>
<ds:datastoreItem xmlns:ds="http://schemas.openxmlformats.org/officeDocument/2006/customXml" ds:itemID="{0416E403-E7BD-4B4C-8CFF-6E341D54CE05}">
  <ds:schemaRefs>
    <ds:schemaRef ds:uri="http://schemas.openxmlformats.org/officeDocument/2006/bibliography"/>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Template>
  <TotalTime>130</TotalTime>
  <Pages>2</Pages>
  <Words>739</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Blood Matters DH red factsheet</vt:lpstr>
    </vt:vector>
  </TitlesOfParts>
  <Manager/>
  <Company>Victoria State Government, Department of Health, Blood Matters</Company>
  <LinksUpToDate>false</LinksUpToDate>
  <CharactersWithSpaces>5246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Blood Matters DH red factsheet</dc:title>
  <dc:subject/>
  <dc:creator>Anne Graham</dc:creator>
  <cp:keywords/>
  <dc:description/>
  <cp:lastModifiedBy>Linley Bielby</cp:lastModifiedBy>
  <cp:revision>5</cp:revision>
  <cp:lastPrinted>2020-03-30T03:28:00Z</cp:lastPrinted>
  <dcterms:created xsi:type="dcterms:W3CDTF">2022-08-22T04:55:00Z</dcterms:created>
  <dcterms:modified xsi:type="dcterms:W3CDTF">2022-09-05T02:09:00Z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0x010100B4137D97FC92A942A017049E9EB7B09D</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2021-03-12T01:24:49Z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