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84F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71E35BE9" wp14:editId="3A49DCD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EC7980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339AE0" w14:textId="77777777" w:rsidTr="00B07FF7">
        <w:trPr>
          <w:trHeight w:val="622"/>
        </w:trPr>
        <w:tc>
          <w:tcPr>
            <w:tcW w:w="10348" w:type="dxa"/>
            <w:tcMar>
              <w:top w:w="1531" w:type="dxa"/>
              <w:left w:w="0" w:type="dxa"/>
              <w:right w:w="0" w:type="dxa"/>
            </w:tcMar>
          </w:tcPr>
          <w:p w14:paraId="5A212920" w14:textId="77777777" w:rsidR="003B5733" w:rsidRPr="003B5733" w:rsidRDefault="00F15514" w:rsidP="00AC6350">
            <w:pPr>
              <w:pStyle w:val="Documenttitle"/>
            </w:pPr>
            <w:r>
              <w:t>Veterinary practitioners</w:t>
            </w:r>
          </w:p>
        </w:tc>
      </w:tr>
      <w:tr w:rsidR="003B5733" w14:paraId="308BB55D" w14:textId="77777777" w:rsidTr="00B07FF7">
        <w:tc>
          <w:tcPr>
            <w:tcW w:w="10348" w:type="dxa"/>
          </w:tcPr>
          <w:p w14:paraId="67C94C94" w14:textId="77777777" w:rsidR="003B5733" w:rsidRPr="00A1389F" w:rsidRDefault="00F15514" w:rsidP="005F44C0">
            <w:pPr>
              <w:pStyle w:val="Documentsubtitle"/>
            </w:pPr>
            <w:r>
              <w:t>Key requirements in Victoria</w:t>
            </w:r>
          </w:p>
        </w:tc>
      </w:tr>
      <w:tr w:rsidR="003B5733" w14:paraId="3A1678A9" w14:textId="77777777" w:rsidTr="00B07FF7">
        <w:tc>
          <w:tcPr>
            <w:tcW w:w="10348" w:type="dxa"/>
          </w:tcPr>
          <w:p w14:paraId="7AB98454" w14:textId="77777777" w:rsidR="003B5733" w:rsidRPr="001E5058" w:rsidRDefault="003C4F6A" w:rsidP="001E5058">
            <w:pPr>
              <w:pStyle w:val="Bannermarking"/>
            </w:pPr>
            <w:fldSimple w:instr=" FILLIN  &quot;Type the protective marking&quot; \d OFFICIAL \o  \* MERGEFORMAT ">
              <w:r w:rsidR="0039011D">
                <w:t>OFFICIAL</w:t>
              </w:r>
            </w:fldSimple>
          </w:p>
        </w:tc>
      </w:tr>
    </w:tbl>
    <w:p w14:paraId="0B1FC5D6" w14:textId="77777777" w:rsidR="0039011D" w:rsidRDefault="0039011D" w:rsidP="00677E9B">
      <w:pPr>
        <w:pStyle w:val="Heading1"/>
      </w:pPr>
      <w:r w:rsidRPr="0039011D">
        <w:t>Introductory notes</w:t>
      </w:r>
    </w:p>
    <w:p w14:paraId="5CF55F6F" w14:textId="77777777" w:rsidR="00A52B74" w:rsidRDefault="00A52B74" w:rsidP="00A52B74">
      <w:pPr>
        <w:pStyle w:val="Body"/>
      </w:pPr>
      <w:bookmarkStart w:id="0" w:name="_Toc440566509"/>
      <w:r>
        <w:t xml:space="preserve">The legislation that defines lawful actions, in relation to scheduled poisons, is contained in the </w:t>
      </w:r>
      <w:r w:rsidRPr="00AD61F4">
        <w:rPr>
          <w:i/>
        </w:rPr>
        <w:t>Drugs Poisons and Controlled Substances Act 1981</w:t>
      </w:r>
      <w:r>
        <w:t xml:space="preserve"> (the Act) and the Drugs Poisons and Controlled Substances Regulations 2017 (the regulations). The regulations complement the Act by authorising actions that would otherwise be unlawful and define the outcomes required of lawful actions. For full details of legislative requirements, current versions of the Act and the regulations </w:t>
      </w:r>
      <w:r w:rsidRPr="00491546">
        <w:t>should be considered in concert and not read in isolation</w:t>
      </w:r>
      <w:r>
        <w:t xml:space="preserve">. These documents can be accessed at </w:t>
      </w:r>
      <w:bookmarkStart w:id="1" w:name="_Hlk31725183"/>
      <w:r>
        <w:fldChar w:fldCharType="begin"/>
      </w:r>
      <w:r>
        <w:instrText xml:space="preserve"> HYPERLINK "http://www.legislation.vic.gov.au/" </w:instrText>
      </w:r>
      <w:r>
        <w:fldChar w:fldCharType="separate"/>
      </w:r>
      <w:r w:rsidRPr="008463D5">
        <w:rPr>
          <w:rStyle w:val="Hyperlink"/>
        </w:rPr>
        <w:t>Victorian Law Today</w:t>
      </w:r>
      <w:r>
        <w:rPr>
          <w:rStyle w:val="Hyperlink"/>
        </w:rPr>
        <w:fldChar w:fldCharType="end"/>
      </w:r>
      <w:r>
        <w:t xml:space="preserve"> &lt;</w:t>
      </w:r>
      <w:r w:rsidRPr="008463D5">
        <w:t>http://www.legislation.vic.gov.au/</w:t>
      </w:r>
      <w:r>
        <w:t xml:space="preserve">&gt;.  </w:t>
      </w:r>
      <w:bookmarkEnd w:id="1"/>
      <w:r>
        <w:t>A link to the Poisons Standard, which contains details relating to poisons schedules plus labelling and packaging requirements</w:t>
      </w:r>
      <w:bookmarkStart w:id="2" w:name="_Hlk31725198"/>
      <w:r>
        <w:t xml:space="preserve">, can be found on the </w:t>
      </w:r>
      <w:hyperlink r:id="rId15" w:history="1">
        <w:r w:rsidRPr="008463D5">
          <w:rPr>
            <w:rStyle w:val="Hyperlink"/>
          </w:rPr>
          <w:t>Medicines and poisons webpage</w:t>
        </w:r>
      </w:hyperlink>
      <w:r>
        <w:t xml:space="preserve"> &lt;</w:t>
      </w:r>
      <w:r w:rsidRPr="008463D5">
        <w:t>http://www.health.vic.gov.au/dpcs</w:t>
      </w:r>
      <w:r>
        <w:t>&gt; on the Health.vic website.</w:t>
      </w:r>
      <w:bookmarkEnd w:id="2"/>
    </w:p>
    <w:p w14:paraId="4C5B041C" w14:textId="77777777" w:rsidR="00A52B74" w:rsidRDefault="00A52B74" w:rsidP="00A52B74">
      <w:pPr>
        <w:pStyle w:val="Body"/>
      </w:pPr>
      <w:r w:rsidRPr="00491546">
        <w:t xml:space="preserve">This document is one of a series prepared by </w:t>
      </w:r>
      <w:r>
        <w:t>Medicine</w:t>
      </w:r>
      <w:r w:rsidRPr="00491546">
        <w:t>s and Poisons Regulation (</w:t>
      </w:r>
      <w:r>
        <w:t>MPR</w:t>
      </w:r>
      <w:r w:rsidRPr="00491546">
        <w:t xml:space="preserve">) to assist </w:t>
      </w:r>
      <w:r w:rsidR="00F51BC0">
        <w:t>health</w:t>
      </w:r>
      <w:r>
        <w:t xml:space="preserve"> practitioners</w:t>
      </w:r>
      <w:r w:rsidRPr="00491546">
        <w:t xml:space="preserve"> understand legislative requirements that are applicable to </w:t>
      </w:r>
      <w:r>
        <w:t>them</w:t>
      </w:r>
      <w:r w:rsidRPr="00491546">
        <w:t>.</w:t>
      </w:r>
      <w:r>
        <w:t xml:space="preserve"> </w:t>
      </w:r>
      <w:r w:rsidRPr="0066428A">
        <w:t xml:space="preserve">Note: </w:t>
      </w:r>
      <w:r w:rsidR="00F51BC0">
        <w:t>Some</w:t>
      </w:r>
      <w:r w:rsidRPr="0066428A">
        <w:t xml:space="preserve"> document</w:t>
      </w:r>
      <w:r w:rsidR="00F51BC0">
        <w:t>s</w:t>
      </w:r>
      <w:r w:rsidRPr="0066428A">
        <w:t xml:space="preserve"> </w:t>
      </w:r>
      <w:r>
        <w:t>will</w:t>
      </w:r>
      <w:r w:rsidRPr="0066428A">
        <w:t xml:space="preserve"> </w:t>
      </w:r>
      <w:r>
        <w:t xml:space="preserve">focus </w:t>
      </w:r>
      <w:r w:rsidRPr="0066428A">
        <w:t xml:space="preserve">on information that is relevant to the majority of </w:t>
      </w:r>
      <w:r>
        <w:t xml:space="preserve">health practitioners and will </w:t>
      </w:r>
      <w:r w:rsidRPr="0066428A">
        <w:t xml:space="preserve">not </w:t>
      </w:r>
      <w:r>
        <w:t>address</w:t>
      </w:r>
      <w:r w:rsidRPr="0066428A">
        <w:t xml:space="preserve"> the many and varied options covered by the legislation</w:t>
      </w:r>
      <w:r w:rsidR="00F51BC0">
        <w:t xml:space="preserve">; </w:t>
      </w:r>
      <w:r w:rsidR="00F51BC0" w:rsidRPr="00F51BC0">
        <w:t xml:space="preserve">some (like this one) relate to specific types of practitioners. A </w:t>
      </w:r>
      <w:r w:rsidR="00C21364" w:rsidRPr="00F51BC0">
        <w:t>list</w:t>
      </w:r>
      <w:r w:rsidR="00F51BC0" w:rsidRPr="00F51BC0">
        <w:t xml:space="preserve"> of other documents is included towards the end of this document</w:t>
      </w:r>
      <w:r w:rsidRPr="00F51BC0">
        <w:t>.</w:t>
      </w:r>
      <w:r>
        <w:t xml:space="preserve"> </w:t>
      </w:r>
      <w:bookmarkStart w:id="3" w:name="_Hlk31725217"/>
      <w:r>
        <w:t xml:space="preserve">Refer to the </w:t>
      </w:r>
      <w:hyperlink r:id="rId16" w:history="1">
        <w:r w:rsidRPr="008463D5">
          <w:rPr>
            <w:rStyle w:val="Hyperlink"/>
          </w:rPr>
          <w:t>Medicines and poisons webpage</w:t>
        </w:r>
      </w:hyperlink>
      <w:r>
        <w:t xml:space="preserve"> &lt;</w:t>
      </w:r>
      <w:r w:rsidRPr="008463D5">
        <w:t>http://www.health.vic.gov.au/dpcs</w:t>
      </w:r>
      <w:r>
        <w:t>&gt; on the Health.vic website for other ‘D</w:t>
      </w:r>
      <w:r w:rsidRPr="0066428A">
        <w:t xml:space="preserve">ocuments </w:t>
      </w:r>
      <w:r>
        <w:t>to print or download’,.</w:t>
      </w:r>
    </w:p>
    <w:bookmarkEnd w:id="3"/>
    <w:p w14:paraId="5AB97765" w14:textId="77777777" w:rsidR="00A52B74" w:rsidRDefault="00A52B74" w:rsidP="00A52B74">
      <w:pPr>
        <w:pStyle w:val="Heading1"/>
      </w:pPr>
      <w:r w:rsidRPr="00914EEA">
        <w:t>Clarifying the meaning of key terms</w:t>
      </w:r>
      <w:bookmarkEnd w:id="0"/>
    </w:p>
    <w:p w14:paraId="182633A3" w14:textId="77777777" w:rsidR="00A52B74" w:rsidRDefault="00A52B74" w:rsidP="00A52B74">
      <w:pPr>
        <w:pStyle w:val="Body"/>
      </w:pPr>
      <w:r>
        <w:t>The following explanations are provided in relation to terms that are in common use or contained within the Act and regulations.</w:t>
      </w:r>
    </w:p>
    <w:p w14:paraId="0C97B4CE" w14:textId="77777777" w:rsidR="00A52B74" w:rsidRPr="00C37524" w:rsidRDefault="00A52B74" w:rsidP="00A52B74">
      <w:pPr>
        <w:pStyle w:val="Bullet1"/>
      </w:pPr>
      <w:r w:rsidRPr="00C37524">
        <w:t>‘</w:t>
      </w:r>
      <w:r w:rsidRPr="00C37524">
        <w:rPr>
          <w:b/>
        </w:rPr>
        <w:t>Administer</w:t>
      </w:r>
      <w:r w:rsidRPr="00C37524">
        <w:t xml:space="preserve">’ means to personally introduce a </w:t>
      </w:r>
      <w:r>
        <w:t>medicine</w:t>
      </w:r>
      <w:r w:rsidRPr="00C37524">
        <w:t xml:space="preserve"> to a</w:t>
      </w:r>
      <w:r>
        <w:t>n</w:t>
      </w:r>
      <w:r w:rsidRPr="00C37524">
        <w:t xml:space="preserve"> </w:t>
      </w:r>
      <w:r>
        <w:t>animal’s</w:t>
      </w:r>
      <w:r w:rsidRPr="00C37524">
        <w:t xml:space="preserve"> body or, in some cases, to personally supervise its introduction.</w:t>
      </w:r>
    </w:p>
    <w:p w14:paraId="33000C57" w14:textId="77777777" w:rsidR="00A52B74" w:rsidRDefault="00A52B74" w:rsidP="00A52B74">
      <w:pPr>
        <w:pStyle w:val="Bullet1"/>
      </w:pPr>
      <w:r>
        <w:t>‘</w:t>
      </w:r>
      <w:r>
        <w:rPr>
          <w:b/>
        </w:rPr>
        <w:t>Supply</w:t>
      </w:r>
      <w:r>
        <w:t>’ means to provide a medicine that is to be used or administered at a later time.</w:t>
      </w:r>
    </w:p>
    <w:p w14:paraId="23E646B7" w14:textId="77777777" w:rsidR="00A52B74" w:rsidRDefault="00A52B74" w:rsidP="00A52B74">
      <w:pPr>
        <w:pStyle w:val="Bullet1"/>
      </w:pPr>
      <w:r>
        <w:t>‘</w:t>
      </w:r>
      <w:r>
        <w:rPr>
          <w:b/>
        </w:rPr>
        <w:t>Dispense</w:t>
      </w:r>
      <w:r>
        <w:t xml:space="preserve">’ is a commonly used term that is </w:t>
      </w:r>
      <w:r>
        <w:rPr>
          <w:b/>
        </w:rPr>
        <w:t>not interchangeable</w:t>
      </w:r>
      <w:r>
        <w:t xml:space="preserve"> with ‘supply’. For example, a veterinary practitioner might dispense a prescription with the intention of supplying the medicine but the supply might not occur until a later time. To avoid misunderstandings, the terms ‘administer’ and ‘supply’ are used in the legislation.</w:t>
      </w:r>
    </w:p>
    <w:p w14:paraId="54339D8A" w14:textId="77777777" w:rsidR="00A52B74" w:rsidRDefault="00A52B74" w:rsidP="00A52B74">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5B2FA6C6" w14:textId="77777777" w:rsidR="00A52B74" w:rsidRDefault="00A52B74" w:rsidP="00A52B74">
      <w:pPr>
        <w:pStyle w:val="Bullet1"/>
      </w:pPr>
      <w:bookmarkStart w:id="4" w:name="_Hlk30595679"/>
      <w:r w:rsidRPr="00726D3B">
        <w:t>In Victoria, the term ‘</w:t>
      </w:r>
      <w:r w:rsidRPr="00726D3B">
        <w:rPr>
          <w:b/>
        </w:rPr>
        <w:t>drug of dependence</w:t>
      </w:r>
      <w:r w:rsidRPr="00726D3B">
        <w:t xml:space="preserve">’ is used to describe substances, listed in Schedule 11 to the Act, which are known to be subject to misuse and trafficking. </w:t>
      </w:r>
      <w:r>
        <w:t xml:space="preserve">Note: </w:t>
      </w:r>
      <w:r w:rsidRPr="00726D3B">
        <w:t>The term is not limited to Schedule 8 poisons as some Schedule 4 poisons (e.g. benzodiazepines</w:t>
      </w:r>
      <w:r>
        <w:t xml:space="preserve">, pseudoephedrine, testosterone and other </w:t>
      </w:r>
      <w:r>
        <w:lastRenderedPageBreak/>
        <w:t>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bookmarkEnd w:id="4"/>
    <w:p w14:paraId="4E1DEC7F" w14:textId="77777777" w:rsidR="00A52B74" w:rsidRDefault="00A52B74" w:rsidP="00A52B74">
      <w:pPr>
        <w:pStyle w:val="Heading1"/>
      </w:pPr>
      <w:r>
        <w:t>Authorisation of veterinary practitioners</w:t>
      </w:r>
    </w:p>
    <w:p w14:paraId="6D06938F" w14:textId="77777777" w:rsidR="00A52B74" w:rsidRPr="00A52B74" w:rsidRDefault="00A52B74" w:rsidP="00A52B74">
      <w:pPr>
        <w:pStyle w:val="Body"/>
      </w:pPr>
      <w:r w:rsidRPr="00A52B74">
        <w:t xml:space="preserve">Veterinary practitioners are authorised to obtain, possess, use or supply most drugs and poisons for the lawful practice of their profession (section 13 of the Act), i.e. for the veterinary treatment of animals under their care. </w:t>
      </w:r>
    </w:p>
    <w:p w14:paraId="3057C378" w14:textId="77777777" w:rsidR="00A52B74" w:rsidRPr="00A52B74" w:rsidRDefault="00A52B74" w:rsidP="00A52B74">
      <w:pPr>
        <w:pStyle w:val="Body"/>
      </w:pPr>
      <w:r w:rsidRPr="00A52B74">
        <w:t>A veterinary practitioner is not authorised to obtain medicines for personal use or for use by any other human (e.g. spouse or employees) or to sell or supply medicines or poisons by wholesale (including to other veterinary practitioners) – an activity for which a wholesale licence is required (section 23 of the Act).</w:t>
      </w:r>
    </w:p>
    <w:p w14:paraId="31F2A970" w14:textId="77777777" w:rsidR="00A52B74" w:rsidRPr="00A52B74" w:rsidRDefault="00A52B74" w:rsidP="00A52B74">
      <w:pPr>
        <w:pStyle w:val="Body"/>
      </w:pPr>
      <w:r w:rsidRPr="00F51BC0">
        <w:rPr>
          <w:b/>
        </w:rPr>
        <w:t>Note</w:t>
      </w:r>
      <w:r w:rsidRPr="00A52B74">
        <w:t>: Licensed wholesalers and pharmacists must only supply drugs to an authorised person. Suppliers’ records must therefore identify the authorised person (e.g. veterinary practitioner) by name, regardless of to whom an invoice for payment might be directed (e.g. veterinary clinic, service company).</w:t>
      </w:r>
    </w:p>
    <w:p w14:paraId="455AF52B" w14:textId="77777777" w:rsidR="00A52B74" w:rsidRPr="009B7E4E" w:rsidRDefault="00A52B74" w:rsidP="00A52B74">
      <w:pPr>
        <w:pStyle w:val="Heading1"/>
        <w:rPr>
          <w:lang w:val="it-IT"/>
        </w:rPr>
      </w:pPr>
      <w:r w:rsidRPr="009B7E4E">
        <w:rPr>
          <w:lang w:val="it-IT"/>
        </w:rPr>
        <w:t>Self-administration</w:t>
      </w:r>
    </w:p>
    <w:p w14:paraId="4D7C5766" w14:textId="77777777" w:rsidR="00A52B74" w:rsidRPr="009B7E4E" w:rsidRDefault="00A52B74" w:rsidP="00370BE8">
      <w:pPr>
        <w:pStyle w:val="Body"/>
      </w:pPr>
      <w:r w:rsidRPr="009B7E4E">
        <w:t xml:space="preserve">Self-administration of a Schedule 4 or Schedule 8 poison is </w:t>
      </w:r>
      <w:r w:rsidRPr="009B7E4E">
        <w:rPr>
          <w:b/>
          <w:bCs/>
        </w:rPr>
        <w:t xml:space="preserve">prohibited </w:t>
      </w:r>
      <w:r w:rsidRPr="009B7E4E">
        <w:t xml:space="preserve">unless the </w:t>
      </w:r>
      <w:r>
        <w:t>medicine</w:t>
      </w:r>
      <w:r w:rsidRPr="009B7E4E">
        <w:t xml:space="preserve"> has been lawfully prescribed </w:t>
      </w:r>
      <w:r w:rsidRPr="009B7E4E">
        <w:rPr>
          <w:b/>
        </w:rPr>
        <w:t>and</w:t>
      </w:r>
      <w:r w:rsidRPr="009B7E4E">
        <w:t xml:space="preserve"> supplied by a registered health practitioner (e.g. medical practitioner) or supplied by a pharmacist </w:t>
      </w:r>
      <w:r w:rsidRPr="00EF3A31">
        <w:t>on a prescription from a registered health practitioner (regulation 105).</w:t>
      </w:r>
      <w:r w:rsidRPr="009B7E4E">
        <w:t xml:space="preserve">  </w:t>
      </w:r>
    </w:p>
    <w:p w14:paraId="3631C9A9" w14:textId="77777777" w:rsidR="00A52B74" w:rsidRDefault="00A52B74" w:rsidP="00370BE8">
      <w:pPr>
        <w:pStyle w:val="Body"/>
        <w:rPr>
          <w:iCs/>
        </w:rPr>
      </w:pPr>
      <w:r w:rsidRPr="009B7E4E">
        <w:rPr>
          <w:b/>
        </w:rPr>
        <w:t>Note</w:t>
      </w:r>
      <w:r w:rsidRPr="009B7E4E">
        <w:t xml:space="preserve">: </w:t>
      </w:r>
      <w:r w:rsidRPr="009B7E4E">
        <w:rPr>
          <w:iCs/>
        </w:rPr>
        <w:t xml:space="preserve">This does </w:t>
      </w:r>
      <w:r w:rsidRPr="009B7E4E">
        <w:rPr>
          <w:b/>
          <w:bCs/>
          <w:iCs/>
        </w:rPr>
        <w:t>not</w:t>
      </w:r>
      <w:r w:rsidRPr="009B7E4E">
        <w:rPr>
          <w:iCs/>
        </w:rPr>
        <w:t xml:space="preserve"> mean that once a </w:t>
      </w:r>
      <w:r>
        <w:rPr>
          <w:iCs/>
        </w:rPr>
        <w:t>medicine</w:t>
      </w:r>
      <w:r w:rsidRPr="009B7E4E">
        <w:rPr>
          <w:iCs/>
        </w:rPr>
        <w:t xml:space="preserve"> is prescribed by a </w:t>
      </w:r>
      <w:r w:rsidRPr="009B7E4E">
        <w:t>registered health practitioner</w:t>
      </w:r>
      <w:r w:rsidRPr="009B7E4E">
        <w:rPr>
          <w:iCs/>
        </w:rPr>
        <w:t xml:space="preserve">, a </w:t>
      </w:r>
      <w:r>
        <w:rPr>
          <w:iCs/>
        </w:rPr>
        <w:t>veterinary practitioner</w:t>
      </w:r>
      <w:r w:rsidRPr="009B7E4E">
        <w:rPr>
          <w:iCs/>
        </w:rPr>
        <w:t xml:space="preserve"> may continue the treatment with </w:t>
      </w:r>
      <w:r>
        <w:rPr>
          <w:iCs/>
        </w:rPr>
        <w:t>medicine</w:t>
      </w:r>
      <w:r w:rsidRPr="009B7E4E">
        <w:rPr>
          <w:iCs/>
        </w:rPr>
        <w:t>s obtained from a wholesale supplier.</w:t>
      </w:r>
    </w:p>
    <w:p w14:paraId="2F12178F" w14:textId="77777777" w:rsidR="00370BE8" w:rsidRPr="00455EB7" w:rsidRDefault="00370BE8" w:rsidP="00370BE8">
      <w:pPr>
        <w:pStyle w:val="Heading1"/>
      </w:pPr>
      <w:r w:rsidRPr="00455EB7">
        <w:t xml:space="preserve">Prescribing </w:t>
      </w:r>
      <w:r>
        <w:t>or supplying S</w:t>
      </w:r>
      <w:r w:rsidRPr="00455EB7">
        <w:t xml:space="preserve">4 and </w:t>
      </w:r>
      <w:r>
        <w:t>S</w:t>
      </w:r>
      <w:r w:rsidRPr="00455EB7">
        <w:t>8 poisons</w:t>
      </w:r>
    </w:p>
    <w:p w14:paraId="641EA782" w14:textId="77777777" w:rsidR="00370BE8" w:rsidRDefault="00370BE8" w:rsidP="00370BE8">
      <w:pPr>
        <w:pStyle w:val="Body"/>
      </w:pPr>
      <w:r>
        <w:t>Veterinary practitioners</w:t>
      </w:r>
      <w:r w:rsidRPr="00455EB7">
        <w:t xml:space="preserve"> must </w:t>
      </w:r>
      <w:r w:rsidRPr="00455EB7">
        <w:rPr>
          <w:b/>
        </w:rPr>
        <w:t>not</w:t>
      </w:r>
      <w:r w:rsidRPr="00455EB7">
        <w:t xml:space="preserve"> prescribe or supply Schedule 4 </w:t>
      </w:r>
      <w:r>
        <w:t>or</w:t>
      </w:r>
      <w:r w:rsidRPr="00455EB7">
        <w:t xml:space="preserve"> Schedule 8 poisons other than for the </w:t>
      </w:r>
      <w:r>
        <w:rPr>
          <w:b/>
        </w:rPr>
        <w:t>veterinary</w:t>
      </w:r>
      <w:r w:rsidRPr="00455EB7">
        <w:rPr>
          <w:b/>
        </w:rPr>
        <w:t xml:space="preserve"> treatment </w:t>
      </w:r>
      <w:r w:rsidRPr="00455EB7">
        <w:t xml:space="preserve">of </w:t>
      </w:r>
      <w:r>
        <w:t>animals</w:t>
      </w:r>
      <w:r w:rsidRPr="00455EB7">
        <w:rPr>
          <w:b/>
        </w:rPr>
        <w:t xml:space="preserve"> under their care</w:t>
      </w:r>
      <w:r w:rsidRPr="00455EB7">
        <w:t xml:space="preserve"> and then only after taking </w:t>
      </w:r>
      <w:r w:rsidRPr="00505D1E">
        <w:rPr>
          <w:b/>
          <w:lang w:eastAsia="en-AU"/>
        </w:rPr>
        <w:t>all reasonable steps</w:t>
      </w:r>
      <w:r w:rsidRPr="00455EB7">
        <w:rPr>
          <w:lang w:eastAsia="en-AU"/>
        </w:rPr>
        <w:t xml:space="preserve"> to ensure that a </w:t>
      </w:r>
      <w:r w:rsidRPr="00EF3A31">
        <w:rPr>
          <w:lang w:eastAsia="en-AU"/>
        </w:rPr>
        <w:t>therapeutic need exists (regulations 19 and 38).</w:t>
      </w:r>
      <w:r w:rsidRPr="00455EB7">
        <w:t xml:space="preserve"> </w:t>
      </w:r>
    </w:p>
    <w:p w14:paraId="070D08E9" w14:textId="77777777" w:rsidR="00370BE8" w:rsidRDefault="00370BE8" w:rsidP="00370BE8">
      <w:pPr>
        <w:pStyle w:val="Body"/>
      </w:pPr>
      <w:r>
        <w:t xml:space="preserve">Guidelines, prepared by the Veterinary Practitioners Registration Board of Victoria, provide further clarification about what is meant by ‘under their care’. </w:t>
      </w:r>
    </w:p>
    <w:p w14:paraId="1A1B8E97" w14:textId="77777777" w:rsidR="00370BE8" w:rsidRPr="00370BE8" w:rsidRDefault="00370BE8" w:rsidP="00370BE8">
      <w:pPr>
        <w:pStyle w:val="Heading2"/>
      </w:pPr>
      <w:r w:rsidRPr="00370BE8">
        <w:t>‘Under their care’</w:t>
      </w:r>
    </w:p>
    <w:p w14:paraId="2E39F652" w14:textId="77777777" w:rsidR="00370BE8" w:rsidRDefault="00370BE8" w:rsidP="00370BE8">
      <w:pPr>
        <w:pStyle w:val="Body"/>
      </w:pPr>
      <w:r>
        <w:t xml:space="preserve">The Board’s guidelines indicate that, before an animal or herd could be considered to be under a practitioner's care, the following conditions should be met: </w:t>
      </w:r>
    </w:p>
    <w:p w14:paraId="00AB7BDD" w14:textId="77777777" w:rsidR="00370BE8" w:rsidRDefault="00370BE8" w:rsidP="00370BE8">
      <w:pPr>
        <w:pStyle w:val="Bullet1"/>
      </w:pPr>
      <w:r>
        <w:t xml:space="preserve">The practitioner must have been given responsibility for the health of the animal or herd in question by the owner or the owner's agent; </w:t>
      </w:r>
      <w:r w:rsidRPr="00F120A4">
        <w:rPr>
          <w:b/>
        </w:rPr>
        <w:t>and</w:t>
      </w:r>
      <w:r>
        <w:t xml:space="preserve"> </w:t>
      </w:r>
    </w:p>
    <w:p w14:paraId="4DBB791E" w14:textId="77777777" w:rsidR="00370BE8" w:rsidRDefault="00370BE8" w:rsidP="00370BE8">
      <w:pPr>
        <w:pStyle w:val="Bullet1"/>
      </w:pPr>
      <w:r>
        <w:t xml:space="preserve">The care of the animal or herd by the practitioner should be real and not merely nominal (i.e. there must be evidence of personally having contact with the animal/herd for diagnosis and treatment and of assuming responsibility for the diagnosis, treatment and outcome); </w:t>
      </w:r>
      <w:r w:rsidRPr="00F120A4">
        <w:rPr>
          <w:b/>
        </w:rPr>
        <w:t>and</w:t>
      </w:r>
      <w:r>
        <w:t xml:space="preserve"> </w:t>
      </w:r>
    </w:p>
    <w:p w14:paraId="2C2257B5" w14:textId="77777777" w:rsidR="00370BE8" w:rsidRDefault="00370BE8" w:rsidP="00370BE8">
      <w:pPr>
        <w:pStyle w:val="Bullet1"/>
      </w:pPr>
      <w:r>
        <w:t>The practitioner must have a thorough knowledge of the current health and treatment status of the animal or herd by having:</w:t>
      </w:r>
    </w:p>
    <w:p w14:paraId="3C8B7799" w14:textId="77777777" w:rsidR="00370BE8" w:rsidRPr="008E32F6" w:rsidRDefault="00370BE8" w:rsidP="00370BE8">
      <w:pPr>
        <w:pStyle w:val="Bullet2"/>
      </w:pPr>
      <w:r>
        <w:t>seen the</w:t>
      </w:r>
      <w:r w:rsidRPr="008E32F6">
        <w:t xml:space="preserve"> animal or herd for the purpose of diagnosis and establishing a therapeutic need immediately prior to supplying a </w:t>
      </w:r>
      <w:r>
        <w:t>medicine</w:t>
      </w:r>
      <w:r w:rsidRPr="008E32F6">
        <w:t xml:space="preserve">; </w:t>
      </w:r>
      <w:r w:rsidRPr="000D1FDD">
        <w:rPr>
          <w:b/>
        </w:rPr>
        <w:t>or</w:t>
      </w:r>
      <w:r w:rsidRPr="008E32F6">
        <w:t xml:space="preserve"> </w:t>
      </w:r>
    </w:p>
    <w:p w14:paraId="4D77EEF0" w14:textId="77777777" w:rsidR="00370BE8" w:rsidRDefault="00370BE8" w:rsidP="00370BE8">
      <w:pPr>
        <w:pStyle w:val="Bullet2"/>
      </w:pPr>
      <w:r w:rsidRPr="008E32F6">
        <w:lastRenderedPageBreak/>
        <w:t>visited the premises where the animal or herd is kept sufficiently often and recently enough to have acquired from, personal knowledge and inspection, an accurate picture of the current health state on that premises sufficient to enable the making of a diagnosis and to establish a therapeutic need.</w:t>
      </w:r>
    </w:p>
    <w:p w14:paraId="0D165C89" w14:textId="77777777" w:rsidR="00370BE8" w:rsidRDefault="00370BE8" w:rsidP="00370BE8">
      <w:pPr>
        <w:pStyle w:val="Heading2"/>
      </w:pPr>
      <w:r>
        <w:t>‘All reasonable steps’</w:t>
      </w:r>
    </w:p>
    <w:p w14:paraId="2DE8A41A" w14:textId="77777777" w:rsidR="00370BE8" w:rsidRDefault="00370BE8" w:rsidP="00370BE8">
      <w:pPr>
        <w:pStyle w:val="Body"/>
      </w:pPr>
      <w:r>
        <w:t>To understand the meaning and application of the important term ‘</w:t>
      </w:r>
      <w:r w:rsidRPr="008944AF">
        <w:rPr>
          <w:b/>
        </w:rPr>
        <w:t>all reasonable steps</w:t>
      </w:r>
      <w:r>
        <w:t xml:space="preserve">’, veterinary </w:t>
      </w:r>
      <w:r w:rsidRPr="007A1589">
        <w:t xml:space="preserve">practitioners are advised to read the corresponding health practitioner document on the </w:t>
      </w:r>
      <w:r>
        <w:t>MPR</w:t>
      </w:r>
      <w:r w:rsidRPr="007A1589">
        <w:t xml:space="preserve"> website: ‘</w:t>
      </w:r>
      <w:r w:rsidRPr="00982456">
        <w:rPr>
          <w:i/>
        </w:rPr>
        <w:t>All reasonable steps and other key terms</w:t>
      </w:r>
      <w:r>
        <w:t>’.</w:t>
      </w:r>
    </w:p>
    <w:p w14:paraId="50EC32FD" w14:textId="77777777" w:rsidR="00370BE8" w:rsidRPr="00370BE8" w:rsidRDefault="00370BE8" w:rsidP="00370BE8">
      <w:pPr>
        <w:pStyle w:val="Heading3"/>
      </w:pPr>
      <w:r w:rsidRPr="00370BE8">
        <w:t>Related issues</w:t>
      </w:r>
    </w:p>
    <w:p w14:paraId="106D00EF" w14:textId="77777777" w:rsidR="00370BE8" w:rsidRDefault="00370BE8" w:rsidP="00370BE8">
      <w:pPr>
        <w:pStyle w:val="Body"/>
      </w:pPr>
      <w:r>
        <w:t>Veterinary practitioners, who supply Schedule 4 and Schedule 8 poisons, may be required to demonstrate (through their records) that they have taken all reasonable steps to ensure a therapeutic need and that treated animals were ‘under their care’.</w:t>
      </w:r>
    </w:p>
    <w:p w14:paraId="40C98F51" w14:textId="77777777" w:rsidR="00370BE8" w:rsidRDefault="00370BE8" w:rsidP="00370BE8">
      <w:pPr>
        <w:pStyle w:val="Body"/>
      </w:pPr>
      <w:r>
        <w:t>With this in mind, veterinary practitioners should consider whether they are able to justify supplying veterinary medicines without having had recent interaction with a client or on the basis of a client’s capacity to assess and determine the therapeutic need of an animal.</w:t>
      </w:r>
    </w:p>
    <w:p w14:paraId="0F8BDCA3" w14:textId="77777777" w:rsidR="00370BE8" w:rsidRDefault="00370BE8" w:rsidP="00370BE8">
      <w:pPr>
        <w:pStyle w:val="Body"/>
      </w:pPr>
      <w:r>
        <w:t xml:space="preserve">Veterinary practitioners must not enter into arrangements whereby they serve merely as the suppliers of veterinary medicines who rely on clients or agents to fulfil the responsibilities of a registered veterinary practitioner. </w:t>
      </w:r>
    </w:p>
    <w:p w14:paraId="039C1443" w14:textId="77777777" w:rsidR="00370BE8" w:rsidRDefault="00370BE8" w:rsidP="00370BE8">
      <w:pPr>
        <w:pStyle w:val="Body"/>
      </w:pPr>
      <w:r>
        <w:t>The practice of supplying veterinary medicines to clients, directly or via an intermediary (e.g. an AI technician) is likely to be unlawful if veterinary practitioners fail to take all reasonable steps to ensure there is a therapeutic need; fail to satisfy the requirement of treating only animals under their care; fail to label containers or provide the written advice required by the legislation; or fail to accurately record transactions.</w:t>
      </w:r>
    </w:p>
    <w:p w14:paraId="15C206EA" w14:textId="77777777" w:rsidR="00370BE8" w:rsidRPr="00B03156" w:rsidRDefault="00370BE8" w:rsidP="00370BE8">
      <w:pPr>
        <w:pStyle w:val="Heading1"/>
      </w:pPr>
      <w:r>
        <w:t>Required components of prescriptions</w:t>
      </w:r>
    </w:p>
    <w:p w14:paraId="4F8FF7CE" w14:textId="77777777" w:rsidR="00370BE8" w:rsidRDefault="00370BE8" w:rsidP="00370BE8">
      <w:pPr>
        <w:pStyle w:val="Body"/>
      </w:pPr>
      <w:r>
        <w:t xml:space="preserve">Issuing a compliant computer-generated prescription is unlikely to be achieved by printing it with a word processor. The criteria for a lawful computer-generated prescription includes the requirement for the software to create and retain corresponding information. </w:t>
      </w:r>
      <w:r w:rsidR="008F65EA">
        <w:t>Most v</w:t>
      </w:r>
      <w:r>
        <w:t>eterinary practitioners</w:t>
      </w:r>
      <w:r w:rsidR="009B6A74">
        <w:t xml:space="preserve"> are likely to need to issue handwritten prescriptions to satisfy the legislation. </w:t>
      </w:r>
    </w:p>
    <w:p w14:paraId="61226789" w14:textId="77777777" w:rsidR="009B6A74" w:rsidRDefault="00370BE8" w:rsidP="00370BE8">
      <w:pPr>
        <w:pStyle w:val="Body"/>
      </w:pPr>
      <w:r w:rsidRPr="00B03156">
        <w:t xml:space="preserve">The </w:t>
      </w:r>
      <w:r w:rsidR="009B6A74">
        <w:t>legislative</w:t>
      </w:r>
      <w:r w:rsidRPr="00B03156">
        <w:t xml:space="preserve"> requirements for components of handwritten and computer-generated prescriptions are detailed and explained in the health practitioner document: ‘</w:t>
      </w:r>
      <w:r w:rsidR="009B6A74" w:rsidRPr="009B6A74">
        <w:rPr>
          <w:i/>
        </w:rPr>
        <w:t>Criteria for lawful prescriptions in Victoria</w:t>
      </w:r>
      <w:r w:rsidR="009B6A74">
        <w:t>’; it is one of the ‘Documents to print or download on the MPR website.</w:t>
      </w:r>
    </w:p>
    <w:p w14:paraId="7FEADA77" w14:textId="77777777" w:rsidR="00695359" w:rsidRPr="00D610D1" w:rsidRDefault="009B6A74" w:rsidP="00695359">
      <w:pPr>
        <w:pStyle w:val="Heading1"/>
      </w:pPr>
      <w:r>
        <w:t>Labelling</w:t>
      </w:r>
      <w:r w:rsidR="00695359" w:rsidRPr="00D610D1">
        <w:t xml:space="preserve"> </w:t>
      </w:r>
      <w:r>
        <w:t>dispensed medicines</w:t>
      </w:r>
    </w:p>
    <w:p w14:paraId="6FCC166A" w14:textId="77777777" w:rsidR="009B6A74" w:rsidRDefault="009B6A74" w:rsidP="009B6A74">
      <w:pPr>
        <w:pStyle w:val="Body"/>
      </w:pPr>
      <w:r>
        <w:t>Veterinary practitioners</w:t>
      </w:r>
      <w:r w:rsidRPr="007E0C35">
        <w:t xml:space="preserve"> are responsible for ensuring that </w:t>
      </w:r>
      <w:r>
        <w:t>each</w:t>
      </w:r>
      <w:r w:rsidRPr="007E0C35">
        <w:t xml:space="preserve"> container</w:t>
      </w:r>
      <w:r>
        <w:t xml:space="preserve"> of a medicine</w:t>
      </w:r>
      <w:r w:rsidRPr="007E0C35">
        <w:t xml:space="preserve"> is labelled in accordance with the specifications for ‘dispensed medicines’ contained in the Poisons Standard</w:t>
      </w:r>
      <w:r>
        <w:t xml:space="preserve"> (adopted under section 27A of the Act)</w:t>
      </w:r>
      <w:r w:rsidRPr="00A00904">
        <w:t xml:space="preserve"> </w:t>
      </w:r>
      <w:r w:rsidRPr="007E0C35">
        <w:t>plus the provisions of regulation 72 (where applicable).</w:t>
      </w:r>
      <w:r>
        <w:t xml:space="preserve"> </w:t>
      </w:r>
    </w:p>
    <w:p w14:paraId="0384E536" w14:textId="77777777" w:rsidR="009B6A74" w:rsidRDefault="009B6A74" w:rsidP="009B6A74">
      <w:pPr>
        <w:pStyle w:val="Body"/>
      </w:pPr>
      <w:r>
        <w:t>Although another person may assist a veterinary practitioner, in selecting or labelling a medicine; t</w:t>
      </w:r>
      <w:r w:rsidRPr="00B84D09">
        <w:t>h</w:t>
      </w:r>
      <w:r>
        <w:t xml:space="preserve">e </w:t>
      </w:r>
      <w:r w:rsidRPr="00B84D09">
        <w:t>responsibility</w:t>
      </w:r>
      <w:r>
        <w:t xml:space="preserve"> for ensuring that the correct medicine is selected and that it is correctly labelled </w:t>
      </w:r>
      <w:r w:rsidRPr="00B84D09">
        <w:rPr>
          <w:b/>
        </w:rPr>
        <w:t>cannot</w:t>
      </w:r>
      <w:r w:rsidRPr="00B84D09">
        <w:t xml:space="preserve"> be delegated to another person</w:t>
      </w:r>
      <w:r>
        <w:t>. Additionally, the veterinary practitioner must also be present for another person to lawfully have access to a Schedule 4 or Schedule 8 poison</w:t>
      </w:r>
      <w:r w:rsidRPr="00B84D09">
        <w:t>.</w:t>
      </w:r>
    </w:p>
    <w:p w14:paraId="1C59F01B" w14:textId="77777777" w:rsidR="009B6A74" w:rsidRPr="007E0C35" w:rsidRDefault="009B6A74" w:rsidP="009B6A74">
      <w:pPr>
        <w:pStyle w:val="Body"/>
      </w:pPr>
      <w:r>
        <w:lastRenderedPageBreak/>
        <w:t xml:space="preserve">For specific details, please refer to the Poisons Standard </w:t>
      </w:r>
      <w:r w:rsidRPr="00B84D09">
        <w:t>(Part 2 section1.5.6 plus Appendices L and K)</w:t>
      </w:r>
      <w:r>
        <w:t>; a</w:t>
      </w:r>
      <w:r w:rsidRPr="009B7444">
        <w:t xml:space="preserve"> link to </w:t>
      </w:r>
      <w:r>
        <w:t>the Poisons Standard</w:t>
      </w:r>
      <w:r w:rsidRPr="009B7444">
        <w:t xml:space="preserve"> is located </w:t>
      </w:r>
      <w:r>
        <w:t xml:space="preserve">on </w:t>
      </w:r>
      <w:r w:rsidRPr="009B7444">
        <w:t xml:space="preserve">the </w:t>
      </w:r>
      <w:hyperlink r:id="rId17" w:history="1">
        <w:r w:rsidRPr="008463D5">
          <w:rPr>
            <w:rStyle w:val="Hyperlink"/>
          </w:rPr>
          <w:t>Medicines and poisons webpage</w:t>
        </w:r>
      </w:hyperlink>
      <w:r>
        <w:t xml:space="preserve"> &lt;</w:t>
      </w:r>
      <w:r w:rsidRPr="008463D5">
        <w:t>http://www.health.vic.gov.au/dpcs</w:t>
      </w:r>
      <w:r>
        <w:t xml:space="preserve">&gt; in </w:t>
      </w:r>
      <w:r w:rsidRPr="009B7444">
        <w:t>the “Related sites” section.</w:t>
      </w:r>
      <w:r w:rsidRPr="007E0C35">
        <w:t xml:space="preserve"> </w:t>
      </w:r>
    </w:p>
    <w:p w14:paraId="415D0B15" w14:textId="77777777" w:rsidR="009B6A74" w:rsidRPr="00D610D1" w:rsidRDefault="009B6A74" w:rsidP="009B6A74">
      <w:pPr>
        <w:pStyle w:val="Body"/>
      </w:pPr>
      <w:r>
        <w:t>The r</w:t>
      </w:r>
      <w:r w:rsidRPr="00D610D1">
        <w:t xml:space="preserve">equired components of a label </w:t>
      </w:r>
      <w:r>
        <w:t>on medicines dispensed by health practitioners, which must not be less than 1.5 mm in size, include:</w:t>
      </w:r>
    </w:p>
    <w:p w14:paraId="297F0537" w14:textId="77777777" w:rsidR="009B6A74" w:rsidRPr="000D1E97" w:rsidRDefault="009B6A74" w:rsidP="009B6A74">
      <w:pPr>
        <w:pStyle w:val="Bullet1"/>
      </w:pPr>
      <w:r w:rsidRPr="000D1E97">
        <w:t xml:space="preserve">the </w:t>
      </w:r>
      <w:r>
        <w:t xml:space="preserve">approved </w:t>
      </w:r>
      <w:r w:rsidRPr="000D1E97">
        <w:t xml:space="preserve">name of the poison or controlled substance or </w:t>
      </w:r>
      <w:r>
        <w:t>a proprietary</w:t>
      </w:r>
      <w:r w:rsidRPr="000D1E97">
        <w:t xml:space="preserve"> name that unambiguously identifies the poison or controlled substance</w:t>
      </w:r>
      <w:r>
        <w:t xml:space="preserve"> plus the </w:t>
      </w:r>
      <w:r w:rsidRPr="000D1E97">
        <w:t xml:space="preserve">strength, form (e.g. </w:t>
      </w:r>
      <w:r>
        <w:t>tablets</w:t>
      </w:r>
      <w:r w:rsidRPr="000D1E97">
        <w:t>) and quantity</w:t>
      </w:r>
      <w:r>
        <w:t xml:space="preserve"> supplied</w:t>
      </w:r>
    </w:p>
    <w:p w14:paraId="08F7C7A1" w14:textId="77777777" w:rsidR="009B6A74" w:rsidRPr="000D1E97" w:rsidRDefault="009B6A74" w:rsidP="009B6A74">
      <w:pPr>
        <w:pStyle w:val="Bullet1"/>
      </w:pPr>
      <w:r w:rsidRPr="000D1E97">
        <w:t>the words “KEEP OUT OF REACH OF CHILDREN” in red on a white background</w:t>
      </w:r>
    </w:p>
    <w:p w14:paraId="24B22B41" w14:textId="77777777" w:rsidR="009B6A74" w:rsidRPr="000D1E97" w:rsidRDefault="009B6A74" w:rsidP="009B6A74">
      <w:pPr>
        <w:pStyle w:val="Bullet1"/>
      </w:pPr>
      <w:r w:rsidRPr="000D1E97">
        <w:t xml:space="preserve">if the </w:t>
      </w:r>
      <w:r>
        <w:t>medicine</w:t>
      </w:r>
      <w:r w:rsidRPr="000D1E97">
        <w:t xml:space="preserve"> is intended for external use only, the word “POISON”, or the words “FOR EXTERNAL USE ONLY”, in red on a white background</w:t>
      </w:r>
    </w:p>
    <w:p w14:paraId="62322631" w14:textId="77777777" w:rsidR="009B6A74" w:rsidRPr="009B7444" w:rsidRDefault="009B6A74" w:rsidP="009B6A74">
      <w:pPr>
        <w:pStyle w:val="Bullet1"/>
      </w:pPr>
      <w:r w:rsidRPr="000D1E97">
        <w:t>adequate directions for use</w:t>
      </w:r>
      <w:r>
        <w:t xml:space="preserve"> </w:t>
      </w:r>
      <w:r w:rsidRPr="009761F6">
        <w:rPr>
          <w:b/>
        </w:rPr>
        <w:t xml:space="preserve">unless </w:t>
      </w:r>
      <w:r>
        <w:t>the directions are complex and the practitioner has supplied separate written instructions</w:t>
      </w:r>
    </w:p>
    <w:p w14:paraId="38F00DE0" w14:textId="77777777" w:rsidR="009B6A74" w:rsidRDefault="009B6A74" w:rsidP="009B6A74">
      <w:pPr>
        <w:pStyle w:val="Bullet1"/>
      </w:pPr>
      <w:r w:rsidRPr="000D1E97">
        <w:t xml:space="preserve">the date on which </w:t>
      </w:r>
      <w:r>
        <w:t xml:space="preserve">supply is made or </w:t>
      </w:r>
      <w:r w:rsidRPr="000D1E97">
        <w:t xml:space="preserve">the </w:t>
      </w:r>
      <w:r>
        <w:t>dispensing</w:t>
      </w:r>
      <w:r w:rsidRPr="000D1E97">
        <w:t xml:space="preserve"> is recorded </w:t>
      </w:r>
      <w:r>
        <w:t>(unless that date is clear from the dispensing reference number)</w:t>
      </w:r>
    </w:p>
    <w:p w14:paraId="6C512FAD" w14:textId="77777777" w:rsidR="009B6A74" w:rsidRDefault="009B6A74" w:rsidP="009B6A74">
      <w:pPr>
        <w:pStyle w:val="Bullet2"/>
        <w:rPr>
          <w:lang w:eastAsia="en-AU"/>
        </w:rPr>
      </w:pPr>
      <w:r w:rsidRPr="00B95934">
        <w:rPr>
          <w:lang w:eastAsia="en-AU"/>
        </w:rPr>
        <w:t xml:space="preserve">It is recognised that </w:t>
      </w:r>
      <w:r w:rsidRPr="00520110">
        <w:rPr>
          <w:lang w:eastAsia="en-AU"/>
        </w:rPr>
        <w:t xml:space="preserve">date </w:t>
      </w:r>
      <w:r>
        <w:rPr>
          <w:lang w:eastAsia="en-AU"/>
        </w:rPr>
        <w:t>on which supply is made may differ from the date on which a medicine is dispensed in anticipation of later supplying the medicine.</w:t>
      </w:r>
    </w:p>
    <w:p w14:paraId="019EEFDF" w14:textId="77777777" w:rsidR="009B6A74" w:rsidRDefault="009B6A74" w:rsidP="009B6A74">
      <w:pPr>
        <w:pStyle w:val="Bullet1"/>
      </w:pPr>
      <w:r w:rsidRPr="000D1E97">
        <w:t>the name, address and telephone number of the practitioner</w:t>
      </w:r>
      <w:r>
        <w:t xml:space="preserve"> supplying the medicine</w:t>
      </w:r>
    </w:p>
    <w:p w14:paraId="4964E067" w14:textId="77777777" w:rsidR="009B6A74" w:rsidRPr="00E6743C" w:rsidRDefault="009B6A74" w:rsidP="009B6A74">
      <w:pPr>
        <w:pStyle w:val="Bullet1"/>
      </w:pPr>
      <w:r>
        <w:t>as</w:t>
      </w:r>
      <w:r w:rsidRPr="00E6743C">
        <w:t xml:space="preserve"> the poison is for the treatment of an </w:t>
      </w:r>
      <w:r w:rsidRPr="00181EB3">
        <w:rPr>
          <w:b/>
        </w:rPr>
        <w:t>animal</w:t>
      </w:r>
      <w:r w:rsidRPr="00E6743C">
        <w:t xml:space="preserve">, the label must include— </w:t>
      </w:r>
    </w:p>
    <w:p w14:paraId="3E01B792" w14:textId="77777777" w:rsidR="009B6A74" w:rsidRPr="00E6743C" w:rsidRDefault="009B6A74" w:rsidP="009B6A74">
      <w:pPr>
        <w:pStyle w:val="Bullet2"/>
      </w:pPr>
      <w:r>
        <w:t xml:space="preserve">the species, </w:t>
      </w:r>
      <w:r w:rsidRPr="00E6743C">
        <w:t xml:space="preserve">age, breed and sex of the animal; and </w:t>
      </w:r>
    </w:p>
    <w:p w14:paraId="62EC2D69" w14:textId="77777777" w:rsidR="009B6A74" w:rsidRDefault="009B6A74" w:rsidP="009B6A74">
      <w:pPr>
        <w:pStyle w:val="Bullet2"/>
      </w:pPr>
      <w:r w:rsidRPr="00E6743C">
        <w:t xml:space="preserve">the name of the person who owns or has custody or care of the animal </w:t>
      </w:r>
    </w:p>
    <w:p w14:paraId="1996F907" w14:textId="77777777" w:rsidR="009B6A74" w:rsidRDefault="009B6A74" w:rsidP="009B6A74">
      <w:pPr>
        <w:pStyle w:val="Bullet2"/>
      </w:pPr>
      <w:r w:rsidRPr="00040EAB">
        <w:t>the words “FOR ANIMAL TREATMENT ONLY”</w:t>
      </w:r>
    </w:p>
    <w:p w14:paraId="4FDC39E3" w14:textId="77777777" w:rsidR="009B6A74" w:rsidRDefault="009B6A74" w:rsidP="009B6A74">
      <w:pPr>
        <w:pStyle w:val="Bodyafterbullets"/>
      </w:pPr>
      <w:r w:rsidRPr="00455EB7">
        <w:rPr>
          <w:b/>
          <w:bCs/>
        </w:rPr>
        <w:t>Containers</w:t>
      </w:r>
      <w:r w:rsidRPr="00455EB7">
        <w:t xml:space="preserve"> must be impervious to the contents, sufficiently sturdy to prevent leakage and capable of being securely re-closed.</w:t>
      </w:r>
      <w:r>
        <w:t xml:space="preserve"> </w:t>
      </w:r>
      <w:r w:rsidRPr="00FA02EE">
        <w:t>Labels should be attached securely in a manner that does not obscure essential information on the container.</w:t>
      </w:r>
    </w:p>
    <w:p w14:paraId="4EA5AA15" w14:textId="77777777" w:rsidR="009B6A74" w:rsidRPr="00533116" w:rsidRDefault="009B6A74" w:rsidP="009B6A74">
      <w:pPr>
        <w:pStyle w:val="Heading2"/>
      </w:pPr>
      <w:r w:rsidRPr="00533116">
        <w:t xml:space="preserve">Treating flocks or herds </w:t>
      </w:r>
    </w:p>
    <w:p w14:paraId="447AC1B1" w14:textId="77777777" w:rsidR="009B6A74" w:rsidRDefault="009B6A74" w:rsidP="009B6A74">
      <w:pPr>
        <w:pStyle w:val="DHHSbody"/>
      </w:pPr>
      <w:r w:rsidRPr="009B6A74">
        <w:rPr>
          <w:rStyle w:val="BodyChar"/>
        </w:rPr>
        <w:t xml:space="preserve">The </w:t>
      </w:r>
      <w:r>
        <w:rPr>
          <w:rStyle w:val="BodyChar"/>
        </w:rPr>
        <w:t>r</w:t>
      </w:r>
      <w:r w:rsidRPr="009B6A74">
        <w:rPr>
          <w:rStyle w:val="BodyChar"/>
        </w:rPr>
        <w:t>egulations previously contained an exemption to labelling requirements where a veterinary practitioner supplied multiple containers for the treatment of flocks or herds of animals. This is no longer the case; the Agricultural and Veterinary Chemicals (Control of Use) Regulations require all containers to be labelled</w:t>
      </w:r>
      <w:r w:rsidRPr="00040EAB">
        <w:t>.</w:t>
      </w:r>
    </w:p>
    <w:p w14:paraId="346589E1" w14:textId="77777777" w:rsidR="00F51BC0" w:rsidRDefault="00F51BC0" w:rsidP="00F51BC0">
      <w:pPr>
        <w:pStyle w:val="Body"/>
      </w:pPr>
      <w:r w:rsidRPr="00F51BC0">
        <w:rPr>
          <w:b/>
        </w:rPr>
        <w:t>Note</w:t>
      </w:r>
      <w:r>
        <w:t xml:space="preserve">: Additional labelling requirements, for the treatment of </w:t>
      </w:r>
      <w:r w:rsidRPr="00FD078F">
        <w:t>food-producing animals</w:t>
      </w:r>
      <w:r>
        <w:t>, are included on page 6.</w:t>
      </w:r>
    </w:p>
    <w:p w14:paraId="366749C4" w14:textId="77777777" w:rsidR="009B6A74" w:rsidRPr="00E557FA" w:rsidRDefault="009B6A74" w:rsidP="009B6A74">
      <w:pPr>
        <w:pStyle w:val="Heading1"/>
      </w:pPr>
      <w:r w:rsidRPr="00E557FA">
        <w:t>Storage of Schedule 4 and Schedule 8 poisons</w:t>
      </w:r>
    </w:p>
    <w:p w14:paraId="3385B38E" w14:textId="77777777" w:rsidR="009B6A74" w:rsidRDefault="009B6A74" w:rsidP="009B6A74">
      <w:pPr>
        <w:pStyle w:val="Body"/>
      </w:pPr>
      <w:r w:rsidRPr="009B6A74">
        <w:t>The regulatory requirements for storage of Schedule 4 and Schedule 8 poisons are detailed and explained in the health practitioner document: ‘</w:t>
      </w:r>
      <w:r w:rsidRPr="009B6A74">
        <w:rPr>
          <w:i/>
        </w:rPr>
        <w:t>Possession and storage’</w:t>
      </w:r>
      <w:r w:rsidRPr="009B6A74">
        <w:t>.</w:t>
      </w:r>
    </w:p>
    <w:p w14:paraId="2B460FC6" w14:textId="77777777" w:rsidR="009B6A74" w:rsidRDefault="009B6A74" w:rsidP="009B6A74">
      <w:pPr>
        <w:pStyle w:val="Heading1"/>
      </w:pPr>
      <w:r w:rsidRPr="003C6D2C">
        <w:t>Records of transactions</w:t>
      </w:r>
    </w:p>
    <w:p w14:paraId="39D7F9D2" w14:textId="77777777" w:rsidR="009B6A74" w:rsidRDefault="009B6A74" w:rsidP="009B6A74">
      <w:pPr>
        <w:pStyle w:val="Body"/>
      </w:pPr>
      <w:r w:rsidRPr="009B6A74">
        <w:t>The regulatory requirements for recording administration and supply of scheduled poisons are detailed and explained in the health practitioner document: ‘</w:t>
      </w:r>
      <w:r w:rsidRPr="009B6A74">
        <w:rPr>
          <w:i/>
        </w:rPr>
        <w:t>Supply, administration and records</w:t>
      </w:r>
      <w:r w:rsidRPr="009B6A74">
        <w:t>’.</w:t>
      </w:r>
    </w:p>
    <w:p w14:paraId="2D97AD6E" w14:textId="77777777" w:rsidR="00F13B2E" w:rsidRDefault="00695359" w:rsidP="00CC0719">
      <w:pPr>
        <w:pStyle w:val="Body"/>
      </w:pPr>
      <w:r w:rsidRPr="00F13B2E">
        <w:rPr>
          <w:rStyle w:val="Heading3Char"/>
        </w:rPr>
        <w:t>Records for Schedule 8 poisons</w:t>
      </w:r>
      <w:r>
        <w:t xml:space="preserve"> must be in a form that shows the true and accurate balance remaining after each transaction and must be in a form that cannot be altered or deleted without detection.</w:t>
      </w:r>
    </w:p>
    <w:p w14:paraId="2EE51B05" w14:textId="77777777" w:rsidR="00F13B2E" w:rsidRDefault="00695359" w:rsidP="00F13B2E">
      <w:pPr>
        <w:pStyle w:val="Body"/>
      </w:pPr>
      <w:r w:rsidRPr="00CD2723">
        <w:rPr>
          <w:b/>
        </w:rPr>
        <w:t>Note</w:t>
      </w:r>
      <w:r>
        <w:t xml:space="preserve">: A computer spreadsheet is unlikely to comply with this requirement; so manual records or suitable (specifically designed) computer software will likely be required. </w:t>
      </w:r>
      <w:r w:rsidR="00F13B2E">
        <w:t xml:space="preserve">A bound book, with consecutively-numbered </w:t>
      </w:r>
      <w:r w:rsidR="00F13B2E">
        <w:lastRenderedPageBreak/>
        <w:t xml:space="preserve">pages, is a common option for health practitioners with limited transactions in Schedule 8 poisons. Loose-leaf pages do </w:t>
      </w:r>
      <w:r w:rsidR="00F13B2E" w:rsidRPr="00B95D70">
        <w:rPr>
          <w:b/>
        </w:rPr>
        <w:t>not</w:t>
      </w:r>
      <w:r w:rsidR="00F13B2E">
        <w:t xml:space="preserve"> satisfy the regulatory requirements. A drug register or administration book might be available from pharmaceutical wholesalers.  </w:t>
      </w:r>
    </w:p>
    <w:p w14:paraId="264A624A" w14:textId="77777777" w:rsidR="00695359" w:rsidRPr="00CC0719" w:rsidRDefault="00695359" w:rsidP="00CC0719">
      <w:pPr>
        <w:pStyle w:val="Body"/>
        <w:rPr>
          <w:b/>
        </w:rPr>
      </w:pPr>
      <w:r w:rsidRPr="00CC0719">
        <w:rPr>
          <w:b/>
        </w:rPr>
        <w:t xml:space="preserve">Note: </w:t>
      </w:r>
    </w:p>
    <w:p w14:paraId="0EA971B3" w14:textId="77777777" w:rsidR="00CC0719" w:rsidRDefault="00695359" w:rsidP="00CC0719">
      <w:pPr>
        <w:pStyle w:val="Bullet1"/>
      </w:pPr>
      <w:r w:rsidRPr="00A35F42">
        <w:t xml:space="preserve">The regulations do not specify a mandatory frequency of stock checks but to ensure a true and accurate balance is recorded, it may be necessary to confirm the stock on hand at the completion of a transaction, rather than assuming that a calculated balance is accurate. </w:t>
      </w:r>
    </w:p>
    <w:p w14:paraId="157B9814" w14:textId="77777777" w:rsidR="00695359" w:rsidRPr="00A35F42" w:rsidRDefault="00695359" w:rsidP="00CC0719">
      <w:pPr>
        <w:pStyle w:val="Bullet2"/>
      </w:pPr>
      <w:r w:rsidRPr="00A35F42">
        <w:t>Frequent stock checks are recommended, especially where more than one person has access to the Schedule 8 poisons.</w:t>
      </w:r>
    </w:p>
    <w:p w14:paraId="4185E5A5" w14:textId="77777777" w:rsidR="00695359" w:rsidRPr="00A35F42" w:rsidRDefault="008F65EA" w:rsidP="00CC0719">
      <w:pPr>
        <w:pStyle w:val="Bullet1"/>
      </w:pPr>
      <w:r>
        <w:t>A single</w:t>
      </w:r>
      <w:r w:rsidR="00695359" w:rsidRPr="00A35F42">
        <w:t xml:space="preserve"> Schedule 8 poisons register may be used to record transactions on behalf of multiple </w:t>
      </w:r>
      <w:r w:rsidR="00F13B2E">
        <w:t>veterinary practitioners</w:t>
      </w:r>
      <w:r w:rsidR="00695359" w:rsidRPr="00A35F42">
        <w:t xml:space="preserve"> using the same storage facility but, in some cases, to adequately account for all transactions (e.g. multiple </w:t>
      </w:r>
      <w:r w:rsidR="00F13B2E">
        <w:t>veterinary practitioners</w:t>
      </w:r>
      <w:r w:rsidR="00695359" w:rsidRPr="00A35F42">
        <w:t xml:space="preserve"> at the same clinic) each practitioner might need to maintain a separate register to account for Schedule 8 poisons supplied to him or her. </w:t>
      </w:r>
    </w:p>
    <w:p w14:paraId="48C7D57D" w14:textId="77777777" w:rsidR="00695359" w:rsidRPr="00A35F42" w:rsidRDefault="00695359" w:rsidP="00CC0719">
      <w:pPr>
        <w:pStyle w:val="Bullet2"/>
      </w:pPr>
      <w:r w:rsidRPr="00A35F42">
        <w:t>In either event, the Schedule 8 poison register (or registers) must account for all transactions including, for example, Schedule 8 poisons removed from and returned to the storage facility when the drug is transported for use in another place (e.g. doctors bag stock transported for house calls).</w:t>
      </w:r>
    </w:p>
    <w:p w14:paraId="3556017D" w14:textId="77777777" w:rsidR="00695359" w:rsidRPr="004112DA" w:rsidRDefault="00695359" w:rsidP="00F13B2E">
      <w:pPr>
        <w:pStyle w:val="Heading2"/>
      </w:pPr>
      <w:r>
        <w:t xml:space="preserve">Software </w:t>
      </w:r>
    </w:p>
    <w:p w14:paraId="3F83F386" w14:textId="77777777" w:rsidR="00695359" w:rsidRPr="004112DA" w:rsidRDefault="00695359" w:rsidP="00CC0719">
      <w:pPr>
        <w:pStyle w:val="Body"/>
      </w:pPr>
      <w:r w:rsidRPr="004112DA">
        <w:t xml:space="preserve">The Victorian Department of Health (DH) does </w:t>
      </w:r>
      <w:r w:rsidRPr="004112DA">
        <w:rPr>
          <w:b/>
        </w:rPr>
        <w:t>not</w:t>
      </w:r>
      <w:r w:rsidRPr="004112DA">
        <w:t xml:space="preserve"> approve software for use by health practitioners</w:t>
      </w:r>
      <w:r>
        <w:t>;</w:t>
      </w:r>
      <w:r w:rsidRPr="004112DA">
        <w:t xml:space="preserve"> there is no legislative provision to do so.</w:t>
      </w:r>
      <w:r>
        <w:t xml:space="preserve"> Accordingly, a</w:t>
      </w:r>
      <w:r w:rsidRPr="004112DA">
        <w:t xml:space="preserve">ny claims by a software supplier, that the </w:t>
      </w:r>
      <w:r>
        <w:t>department</w:t>
      </w:r>
      <w:r w:rsidRPr="004112DA">
        <w:t xml:space="preserve"> has approved its software for use in Victoria</w:t>
      </w:r>
      <w:r>
        <w:t>,</w:t>
      </w:r>
      <w:r w:rsidRPr="004112DA">
        <w:t xml:space="preserve"> are not correct.</w:t>
      </w:r>
    </w:p>
    <w:p w14:paraId="442230B9" w14:textId="77777777" w:rsidR="00695359" w:rsidRDefault="00695359" w:rsidP="00CC0719">
      <w:pPr>
        <w:pStyle w:val="Body"/>
      </w:pPr>
      <w:r w:rsidRPr="004112DA">
        <w:t>It is the responsibility of health practitioner</w:t>
      </w:r>
      <w:r>
        <w:t>s</w:t>
      </w:r>
      <w:r w:rsidRPr="004112DA">
        <w:t xml:space="preserve"> to comply with the provisions of the </w:t>
      </w:r>
      <w:r>
        <w:t>Act and r</w:t>
      </w:r>
      <w:r w:rsidRPr="004112DA">
        <w:t xml:space="preserve">egulations and to ensure that </w:t>
      </w:r>
      <w:r>
        <w:t xml:space="preserve">any </w:t>
      </w:r>
      <w:r w:rsidRPr="004112DA">
        <w:t xml:space="preserve">selected software enables them to do so. </w:t>
      </w:r>
      <w:r>
        <w:t>Therefore, i</w:t>
      </w:r>
      <w:r w:rsidRPr="004112DA">
        <w:t xml:space="preserve">t is advisable to seek confirmation, from prospective software suppliers, that software will enable the health practitioner to comply with the legislation </w:t>
      </w:r>
      <w:r w:rsidRPr="004112DA">
        <w:rPr>
          <w:b/>
        </w:rPr>
        <w:t>and</w:t>
      </w:r>
      <w:r w:rsidRPr="004112DA">
        <w:t xml:space="preserve"> that following the provided operating instructions will ensure compliance with the legislation. </w:t>
      </w:r>
    </w:p>
    <w:p w14:paraId="6EB40943" w14:textId="77777777" w:rsidR="00695359" w:rsidRPr="00C65824" w:rsidRDefault="00695359" w:rsidP="00F13B2E">
      <w:pPr>
        <w:pStyle w:val="Heading2"/>
      </w:pPr>
      <w:r w:rsidRPr="00C65824">
        <w:t>Passwords</w:t>
      </w:r>
    </w:p>
    <w:p w14:paraId="0BD44A4D" w14:textId="77777777" w:rsidR="00695359" w:rsidRDefault="00695359" w:rsidP="00CC0719">
      <w:pPr>
        <w:pStyle w:val="Body"/>
      </w:pPr>
      <w:r w:rsidRPr="00A8239A">
        <w:t xml:space="preserve">Health practitioners who record transactions electronically must take </w:t>
      </w:r>
      <w:r w:rsidRPr="00A8239A">
        <w:rPr>
          <w:b/>
        </w:rPr>
        <w:t>all reasonable steps</w:t>
      </w:r>
      <w:r w:rsidRPr="00A8239A">
        <w:t xml:space="preserve"> to ensure their personal access code for recording transactions in Schedule 8 poisons is not known or used by another person (regulation 109). In this case, ‘all reasonable steps’ would include selecting a password that could not be easily guessed by another person. </w:t>
      </w:r>
    </w:p>
    <w:p w14:paraId="6A33224B" w14:textId="77777777" w:rsidR="00695359" w:rsidRPr="00F85C95" w:rsidRDefault="00695359" w:rsidP="00695359">
      <w:pPr>
        <w:pStyle w:val="Heading1"/>
      </w:pPr>
      <w:r w:rsidRPr="00F85C95">
        <w:t>Destruction of Schedule 8 poisons</w:t>
      </w:r>
    </w:p>
    <w:p w14:paraId="46B78B89" w14:textId="77777777" w:rsidR="00695359" w:rsidRDefault="00695359" w:rsidP="00CC0719">
      <w:pPr>
        <w:pStyle w:val="Body"/>
      </w:pPr>
      <w:r w:rsidRPr="00F85C95">
        <w:t xml:space="preserve">Regulation 115 authorises </w:t>
      </w:r>
      <w:r w:rsidR="001C2239" w:rsidRPr="00F85C95">
        <w:t xml:space="preserve">veterinary practitioners </w:t>
      </w:r>
      <w:r w:rsidRPr="00F85C95">
        <w:t xml:space="preserve">to destroy a Schedule 8 poison in the presence of a witness who is a </w:t>
      </w:r>
      <w:r w:rsidR="001C2239" w:rsidRPr="00F85C95">
        <w:t>dentist, medical practitioner, nurse practitioner, pharmacist, veterinary practitioner</w:t>
      </w:r>
      <w:r w:rsidR="001C2239">
        <w:t>,</w:t>
      </w:r>
      <w:r w:rsidR="001C2239" w:rsidRPr="00F85C95">
        <w:t xml:space="preserve"> authorised midwi</w:t>
      </w:r>
      <w:r w:rsidR="001C2239">
        <w:t>fe</w:t>
      </w:r>
      <w:r w:rsidR="001C2239" w:rsidRPr="00F85C95">
        <w:t xml:space="preserve"> </w:t>
      </w:r>
      <w:r w:rsidRPr="00F85C95">
        <w:t xml:space="preserve">or a registered nurse or midwife. </w:t>
      </w:r>
    </w:p>
    <w:p w14:paraId="0A70DD04" w14:textId="77777777" w:rsidR="00F13B2E" w:rsidRPr="009B7E4E" w:rsidRDefault="00F13B2E" w:rsidP="00F13B2E">
      <w:pPr>
        <w:pStyle w:val="Heading1"/>
      </w:pPr>
      <w:r w:rsidRPr="009B7E4E">
        <w:t>Over-the-counter medicines</w:t>
      </w:r>
      <w:r>
        <w:t xml:space="preserve"> and poisons</w:t>
      </w:r>
    </w:p>
    <w:p w14:paraId="26DB988E" w14:textId="77777777" w:rsidR="00F13B2E" w:rsidRPr="00FD078F" w:rsidRDefault="00F13B2E" w:rsidP="00F13B2E">
      <w:pPr>
        <w:pStyle w:val="Body"/>
      </w:pPr>
      <w:r w:rsidRPr="00FD078F">
        <w:rPr>
          <w:b/>
        </w:rPr>
        <w:t>Schedule 2 and 3 poisons</w:t>
      </w:r>
      <w:r w:rsidRPr="00FD078F">
        <w:t xml:space="preserve"> (labelled Pharmacy Medicine or Pharmacist Only Medicine respectively) must only be supplied (in an open shop) by pharmacists. </w:t>
      </w:r>
    </w:p>
    <w:p w14:paraId="5178389B" w14:textId="77777777" w:rsidR="00F13B2E" w:rsidRDefault="00F13B2E" w:rsidP="00F13B2E">
      <w:pPr>
        <w:pStyle w:val="Body"/>
      </w:pPr>
      <w:r w:rsidRPr="00FD078F">
        <w:rPr>
          <w:b/>
        </w:rPr>
        <w:t>Veterinary practitioners</w:t>
      </w:r>
      <w:r w:rsidRPr="00FD078F">
        <w:t xml:space="preserve"> may use or supply Schedule 2 and Schedule 3 poisons in a similar manner to Schedule 4 poisons, i.e. for the treatment of animals under their care. However, Schedule 2 and Schedule 3 poisons must not be supplied for any other purpose or to any other person. To prevent inadvertent unlawful </w:t>
      </w:r>
      <w:r w:rsidRPr="00FD078F">
        <w:lastRenderedPageBreak/>
        <w:t xml:space="preserve">supply, it is recommended that Schedule 2 and Schedule 3 poisons are stored and handled in a manner similar to Schedule 4 poisons. </w:t>
      </w:r>
    </w:p>
    <w:p w14:paraId="0C2074EB" w14:textId="77777777" w:rsidR="00F13B2E" w:rsidRPr="00FD078F" w:rsidRDefault="00F13B2E" w:rsidP="00F13B2E">
      <w:pPr>
        <w:pStyle w:val="Body"/>
      </w:pPr>
      <w:r w:rsidRPr="00FD078F">
        <w:rPr>
          <w:rStyle w:val="DHHeading3Char"/>
          <w:sz w:val="20"/>
        </w:rPr>
        <w:t>Schedule 5 and 6 poisons</w:t>
      </w:r>
      <w:r w:rsidRPr="00FD078F">
        <w:t xml:space="preserve"> (</w:t>
      </w:r>
      <w:r w:rsidRPr="00FD078F">
        <w:rPr>
          <w:iCs/>
        </w:rPr>
        <w:t>labelled</w:t>
      </w:r>
      <w:r w:rsidRPr="00FD078F">
        <w:t xml:space="preserve"> </w:t>
      </w:r>
      <w:r w:rsidRPr="00FD078F">
        <w:rPr>
          <w:iCs/>
        </w:rPr>
        <w:t>Caution and Poison respectively</w:t>
      </w:r>
      <w:r w:rsidRPr="00FD078F">
        <w:t>) may be sold by retail in an open shop or the reception area of a veterinary practice in the manufacturers’ unopened primary packs.</w:t>
      </w:r>
    </w:p>
    <w:p w14:paraId="54321058" w14:textId="77777777" w:rsidR="00F13B2E" w:rsidRPr="00FD078F" w:rsidRDefault="00F13B2E" w:rsidP="00F13B2E">
      <w:pPr>
        <w:pStyle w:val="Body"/>
      </w:pPr>
      <w:r w:rsidRPr="00FD078F">
        <w:rPr>
          <w:rStyle w:val="DHHeading3Char"/>
          <w:sz w:val="20"/>
        </w:rPr>
        <w:t>Schedule 7 poisons</w:t>
      </w:r>
      <w:r w:rsidRPr="00FD078F">
        <w:t xml:space="preserve"> (labelled </w:t>
      </w:r>
      <w:r w:rsidRPr="00FD078F">
        <w:rPr>
          <w:iCs/>
        </w:rPr>
        <w:t>Dangerous Poison</w:t>
      </w:r>
      <w:r w:rsidRPr="00FD078F">
        <w:t xml:space="preserve">) must be stored in a manner that prevents public access and must be supplied only to persons </w:t>
      </w:r>
      <w:r w:rsidRPr="00FD078F">
        <w:rPr>
          <w:b/>
        </w:rPr>
        <w:t>at least 18 years of age</w:t>
      </w:r>
      <w:r w:rsidRPr="00FD078F">
        <w:t>, with full details of each transaction recorded (sections 38 and 40 of the Act).</w:t>
      </w:r>
    </w:p>
    <w:p w14:paraId="1FA9E9EB" w14:textId="77777777" w:rsidR="00695359" w:rsidRPr="00093AE1" w:rsidRDefault="00695359" w:rsidP="00695359">
      <w:pPr>
        <w:pStyle w:val="Heading1"/>
      </w:pPr>
      <w:r w:rsidRPr="00093AE1">
        <w:t>Matters to be reported to MPR and/or police</w:t>
      </w:r>
    </w:p>
    <w:p w14:paraId="547FB011" w14:textId="77777777" w:rsidR="00695359" w:rsidRDefault="00695359" w:rsidP="00695359">
      <w:pPr>
        <w:pStyle w:val="Body"/>
      </w:pPr>
      <w:r>
        <w:t xml:space="preserve">For information about matters to be reported </w:t>
      </w:r>
      <w:r w:rsidR="00F13B2E">
        <w:t xml:space="preserve">(e.g. scheduled poisons that are lost or stolen; unresolved discrepancies in Schedule 8 poisons) </w:t>
      </w:r>
      <w:r>
        <w:t>and how to submit reports, please refer to the document ‘</w:t>
      </w:r>
      <w:r w:rsidRPr="00F51BC0">
        <w:rPr>
          <w:i/>
        </w:rPr>
        <w:t xml:space="preserve">Possession and storage </w:t>
      </w:r>
      <w:r w:rsidR="00F51BC0" w:rsidRPr="00F51BC0">
        <w:rPr>
          <w:i/>
        </w:rPr>
        <w:t>(</w:t>
      </w:r>
      <w:r w:rsidRPr="00F51BC0">
        <w:rPr>
          <w:i/>
        </w:rPr>
        <w:t>Schedule 4 and 8 poisons</w:t>
      </w:r>
      <w:r w:rsidR="00F51BC0" w:rsidRPr="00F51BC0">
        <w:rPr>
          <w:i/>
        </w:rPr>
        <w:t>)</w:t>
      </w:r>
      <w:r>
        <w:t>’.</w:t>
      </w:r>
    </w:p>
    <w:p w14:paraId="419251E5" w14:textId="77777777" w:rsidR="00F13B2E" w:rsidRPr="00FD078F" w:rsidRDefault="00F13B2E" w:rsidP="00F13B2E">
      <w:pPr>
        <w:pStyle w:val="Heading1"/>
        <w:jc w:val="center"/>
      </w:pPr>
      <w:r w:rsidRPr="00FD078F">
        <w:t>Treating food-producing animals</w:t>
      </w:r>
    </w:p>
    <w:p w14:paraId="255C903D" w14:textId="77777777" w:rsidR="00F13B2E" w:rsidRPr="00FD078F" w:rsidRDefault="00F13B2E" w:rsidP="00F13B2E">
      <w:pPr>
        <w:pStyle w:val="Body"/>
      </w:pPr>
      <w:r w:rsidRPr="00FD078F">
        <w:t xml:space="preserve">The following section of this document </w:t>
      </w:r>
      <w:r>
        <w:t>was</w:t>
      </w:r>
      <w:r w:rsidRPr="00FD078F">
        <w:t xml:space="preserve"> prepared, following consultation with officers from the Department of Environment and Primary Industries, to assist veterinary practitioners who treat food-producing animals.</w:t>
      </w:r>
    </w:p>
    <w:p w14:paraId="6B164A07" w14:textId="6906EEF5" w:rsidR="00F13B2E" w:rsidRDefault="00F13B2E" w:rsidP="00F13B2E">
      <w:pPr>
        <w:pStyle w:val="Body"/>
      </w:pPr>
      <w:r w:rsidRPr="00FD078F">
        <w:t>The use of veterinary medicines in food producing animals is governed by the Agricultural and Veterinary Chemicals (Control of Use) Act 1992 and the Regulations of 20</w:t>
      </w:r>
      <w:r w:rsidR="003C4F6A">
        <w:t>1</w:t>
      </w:r>
      <w:r w:rsidRPr="00FD078F">
        <w:t>7. The importation, evaluation, registration and labelling of agricultural and veterinary chemical products up to the point of supply are governed by the Agricultural and Veterinary Chemical Code Act of Victoria 1994.</w:t>
      </w:r>
    </w:p>
    <w:p w14:paraId="5122CE87" w14:textId="77777777" w:rsidR="00F13B2E" w:rsidRPr="00FD078F" w:rsidRDefault="00F13B2E" w:rsidP="00F13B2E">
      <w:pPr>
        <w:pStyle w:val="Heading2"/>
        <w:rPr>
          <w:rFonts w:eastAsia="Times"/>
        </w:rPr>
      </w:pPr>
      <w:r>
        <w:t>Withholding periods and related requirements</w:t>
      </w:r>
    </w:p>
    <w:p w14:paraId="3F59DEBE" w14:textId="77777777" w:rsidR="00F13B2E" w:rsidRPr="00FD078F" w:rsidRDefault="00F13B2E" w:rsidP="00F13B2E">
      <w:pPr>
        <w:pStyle w:val="Body"/>
      </w:pPr>
      <w:r w:rsidRPr="00FD078F">
        <w:t xml:space="preserve">Veterinary practitioners who supply Schedule 4 poisons for the treatment of food-producing animals should ensure that they are familiar and comply with all relevant requirements of the Control of Use legislation including withholding periods, animal identification, advice notices and appropriate labelling. </w:t>
      </w:r>
      <w:r w:rsidRPr="00FD078F">
        <w:rPr>
          <w:color w:val="000000"/>
        </w:rPr>
        <w:t xml:space="preserve">Veterinary practitioners must also ensure that clients are aware of and are provided with documented information relating to </w:t>
      </w:r>
      <w:r w:rsidRPr="00FD078F">
        <w:t>Withholding Periods (WHP) and Export Slaughter Intervals where the information is available.</w:t>
      </w:r>
    </w:p>
    <w:p w14:paraId="75C306B9" w14:textId="77777777" w:rsidR="00F13B2E" w:rsidRDefault="00F13B2E" w:rsidP="00F13B2E">
      <w:pPr>
        <w:pStyle w:val="Body"/>
      </w:pPr>
      <w:r w:rsidRPr="00FD078F">
        <w:t xml:space="preserve">In addition to the requirements previously stated in this document, the labels on containers or advice notes for food-producing animals must identify the type (breed, age and sex) or identification number of the animals. The WHP for the species of animal or the statement ‘Nil Withholding Period’ must also be included. </w:t>
      </w:r>
    </w:p>
    <w:p w14:paraId="55E5D008" w14:textId="77777777" w:rsidR="00F13B2E" w:rsidRPr="00F13B2E" w:rsidRDefault="00F13B2E" w:rsidP="00F13B2E">
      <w:pPr>
        <w:pStyle w:val="Heading3"/>
      </w:pPr>
      <w:r w:rsidRPr="00F13B2E">
        <w:t>Unregistered products</w:t>
      </w:r>
    </w:p>
    <w:p w14:paraId="6C6AA13D" w14:textId="77777777" w:rsidR="00F13B2E" w:rsidRPr="00FD078F" w:rsidRDefault="00F13B2E" w:rsidP="00F13B2E">
      <w:pPr>
        <w:pStyle w:val="Body"/>
      </w:pPr>
      <w:r w:rsidRPr="00FD078F">
        <w:t xml:space="preserve">Veterinary practitioners providing off-label or unregistered treatments must also include the WHP on the label or advice note to ensure any drug residues are below the Maximum Residue Level (MRL) indicated on the Australian Pesticides and Veterinary Medicines Authority (APVMA) website for the particular drug in the particular animal or, if no MRL is available, that the WHP is sufficient to ensure there will be no residues present at the time an animal is slaughtered for food consumption. </w:t>
      </w:r>
    </w:p>
    <w:p w14:paraId="51B8954C" w14:textId="77777777" w:rsidR="00F13B2E" w:rsidRPr="00FD078F" w:rsidRDefault="00F13B2E" w:rsidP="00F13B2E">
      <w:pPr>
        <w:pStyle w:val="Bullet1"/>
      </w:pPr>
      <w:r>
        <w:t>Medicine</w:t>
      </w:r>
      <w:r w:rsidRPr="00FD078F">
        <w:t xml:space="preserve">s that have not been registered by the APVMA should only be used to treat single animals.  </w:t>
      </w:r>
    </w:p>
    <w:p w14:paraId="3144736E" w14:textId="77777777" w:rsidR="00F13B2E" w:rsidRPr="00FD078F" w:rsidRDefault="00F13B2E" w:rsidP="00F13B2E">
      <w:pPr>
        <w:pStyle w:val="Bullet1"/>
      </w:pPr>
      <w:r>
        <w:t>Medicines</w:t>
      </w:r>
      <w:r w:rsidRPr="00FD078F">
        <w:t xml:space="preserve"> that are labelled, </w:t>
      </w:r>
      <w:r>
        <w:t>“</w:t>
      </w:r>
      <w:r w:rsidRPr="00FD078F">
        <w:t>Do Not Use in Food Producing Animals</w:t>
      </w:r>
      <w:r>
        <w:t>”</w:t>
      </w:r>
      <w:r w:rsidRPr="00FD078F">
        <w:t>, must not be used - even for the treatment of single animals.</w:t>
      </w:r>
    </w:p>
    <w:p w14:paraId="2A0D0F3D" w14:textId="77777777" w:rsidR="00F13B2E" w:rsidRPr="00FD078F" w:rsidRDefault="00F13B2E" w:rsidP="00F13B2E">
      <w:pPr>
        <w:pStyle w:val="Bullet2"/>
        <w:rPr>
          <w:color w:val="0000FF"/>
        </w:rPr>
      </w:pPr>
      <w:r>
        <w:t>See t</w:t>
      </w:r>
      <w:r w:rsidRPr="00FD078F">
        <w:t xml:space="preserve">he </w:t>
      </w:r>
      <w:hyperlink r:id="rId18" w:history="1">
        <w:r w:rsidRPr="00245946">
          <w:rPr>
            <w:rStyle w:val="Hyperlink"/>
          </w:rPr>
          <w:t>APVMA pesticides and veterinary webpage</w:t>
        </w:r>
      </w:hyperlink>
      <w:r w:rsidRPr="00FD078F">
        <w:t xml:space="preserve"> </w:t>
      </w:r>
      <w:r>
        <w:t>&lt;</w:t>
      </w:r>
      <w:r w:rsidRPr="00245946">
        <w:t>http://apvma.gov.au/node/10806&gt;</w:t>
      </w:r>
      <w:r w:rsidRPr="00FD078F">
        <w:rPr>
          <w:color w:val="0000FF"/>
        </w:rPr>
        <w:t xml:space="preserve"> </w:t>
      </w:r>
    </w:p>
    <w:p w14:paraId="520E6D8D" w14:textId="77777777" w:rsidR="00F13B2E" w:rsidRPr="00F124B4" w:rsidRDefault="00F13B2E" w:rsidP="00F13B2E">
      <w:pPr>
        <w:pStyle w:val="Body"/>
      </w:pPr>
      <w:r w:rsidRPr="00F124B4">
        <w:lastRenderedPageBreak/>
        <w:t xml:space="preserve">For Additional </w:t>
      </w:r>
      <w:r w:rsidRPr="00FD078F">
        <w:t>requirements relating to the use of anabolic and androgenic steroids and other veterinary chemicals</w:t>
      </w:r>
      <w:r>
        <w:t>, see</w:t>
      </w:r>
      <w:r w:rsidRPr="00FD078F">
        <w:t xml:space="preserve"> the</w:t>
      </w:r>
      <w:r w:rsidRPr="00F124B4">
        <w:t xml:space="preserve"> </w:t>
      </w:r>
      <w:hyperlink r:id="rId19" w:history="1">
        <w:r w:rsidRPr="00F124B4">
          <w:rPr>
            <w:rStyle w:val="Hyperlink"/>
          </w:rPr>
          <w:t>Veterinary Chemicals page</w:t>
        </w:r>
      </w:hyperlink>
      <w:r>
        <w:t xml:space="preserve"> &lt;</w:t>
      </w:r>
      <w:hyperlink r:id="rId20" w:history="1">
        <w:r w:rsidRPr="00F124B4">
          <w:t>http://agriculture.vic.gov.au/agriculture/farm-management/chemicals/veterinary-chemicals</w:t>
        </w:r>
      </w:hyperlink>
      <w:r>
        <w:t>&gt; on the</w:t>
      </w:r>
      <w:r w:rsidRPr="00FD078F">
        <w:t xml:space="preserve"> </w:t>
      </w:r>
      <w:r>
        <w:t>Agriculture Victoria</w:t>
      </w:r>
      <w:r w:rsidRPr="00FD078F">
        <w:t xml:space="preserve"> </w:t>
      </w:r>
      <w:r>
        <w:t>website.</w:t>
      </w:r>
      <w:r w:rsidRPr="00F124B4">
        <w:t xml:space="preserve"> </w:t>
      </w:r>
    </w:p>
    <w:p w14:paraId="0E8DA4A0" w14:textId="77777777" w:rsidR="00F13B2E" w:rsidRPr="00FD078F" w:rsidRDefault="00F13B2E" w:rsidP="00F13B2E">
      <w:pPr>
        <w:pStyle w:val="Heading3"/>
      </w:pPr>
      <w:r w:rsidRPr="00FD078F">
        <w:t xml:space="preserve">Additional recording requirements </w:t>
      </w:r>
    </w:p>
    <w:p w14:paraId="6AF13EE7" w14:textId="77777777" w:rsidR="00F13B2E" w:rsidRDefault="00F13B2E" w:rsidP="00F13B2E">
      <w:pPr>
        <w:pStyle w:val="Body"/>
      </w:pPr>
      <w:r w:rsidRPr="00FD078F">
        <w:t>In addition to the requirements of the DPCS Regulations, veterinary practitioners are required to record the location of food-producing animals (i.e. the farm address and a shed and/or pen number for intensively housed animals), the amount of product supplied or used, the name, active constituent, concentration and form of unregistered products, the species of animal treated or to be treated and the withholding period information that is provided to the client.</w:t>
      </w:r>
    </w:p>
    <w:p w14:paraId="44070746" w14:textId="77777777" w:rsidR="00EE1E74" w:rsidRPr="00093AE1" w:rsidRDefault="00EE1E74" w:rsidP="00093AE1">
      <w:pPr>
        <w:pStyle w:val="Heading1"/>
      </w:pPr>
      <w:r w:rsidRPr="00093AE1">
        <w:t>For further information</w:t>
      </w:r>
    </w:p>
    <w:p w14:paraId="5CAEDCDF" w14:textId="77777777" w:rsidR="00EE1E74" w:rsidRPr="001F5244" w:rsidRDefault="00EE1E74" w:rsidP="00093AE1">
      <w:pPr>
        <w:pStyle w:val="Heading2"/>
      </w:pPr>
      <w:r w:rsidRPr="001F5244">
        <w:t>Department of Health (DH)</w:t>
      </w:r>
    </w:p>
    <w:p w14:paraId="3B5C4C0D" w14:textId="77777777" w:rsidR="00EE1E74" w:rsidRPr="00093AE1" w:rsidRDefault="00EE1E74" w:rsidP="00093AE1">
      <w:pPr>
        <w:pStyle w:val="Heading3"/>
      </w:pPr>
      <w:r w:rsidRPr="00093AE1">
        <w:t>Medicines and Poisons Regulation</w:t>
      </w:r>
    </w:p>
    <w:p w14:paraId="5EDE5DEC" w14:textId="77777777" w:rsidR="00EE1E74" w:rsidRPr="009D6145" w:rsidRDefault="00EE1E74" w:rsidP="00093AE1">
      <w:pPr>
        <w:pStyle w:val="Bodynospace"/>
      </w:pPr>
      <w:r w:rsidRPr="009D6145">
        <w:t>GPO Box 4057</w:t>
      </w:r>
    </w:p>
    <w:p w14:paraId="13C6005A" w14:textId="77777777" w:rsidR="00EE1E74" w:rsidRDefault="00EE1E74" w:rsidP="00093AE1">
      <w:pPr>
        <w:pStyle w:val="Bodynospace"/>
      </w:pPr>
      <w:r w:rsidRPr="009D6145">
        <w:t>Melbourne 3001</w:t>
      </w:r>
    </w:p>
    <w:p w14:paraId="2E083977" w14:textId="77777777" w:rsidR="00EE1E74" w:rsidRPr="006A4FEC" w:rsidRDefault="00EE1E74" w:rsidP="00093AE1">
      <w:pPr>
        <w:pStyle w:val="Bodynospace"/>
      </w:pPr>
      <w:r w:rsidRPr="006A4FEC">
        <w:t>Tel: 1300 364 545</w:t>
      </w:r>
    </w:p>
    <w:p w14:paraId="0C9149A0" w14:textId="77777777" w:rsidR="00EE1E74" w:rsidRPr="006A4FEC" w:rsidRDefault="00EE1E74" w:rsidP="00093AE1">
      <w:pPr>
        <w:pStyle w:val="Bodynospace"/>
      </w:pPr>
      <w:r w:rsidRPr="006A4FEC">
        <w:t>Fax: 1300 360 830</w:t>
      </w:r>
    </w:p>
    <w:p w14:paraId="3CC225DD" w14:textId="77777777" w:rsidR="009940E0" w:rsidRDefault="00EE1E74" w:rsidP="009940E0">
      <w:pPr>
        <w:pStyle w:val="Bodynospace"/>
      </w:pPr>
      <w:r w:rsidRPr="006A4FEC">
        <w:t xml:space="preserve">Email: </w:t>
      </w:r>
      <w:hyperlink r:id="rId21" w:history="1">
        <w:r w:rsidR="009940E0" w:rsidRPr="00B767B2">
          <w:rPr>
            <w:rStyle w:val="Hyperlink"/>
          </w:rPr>
          <w:t>dpcs@health.vic.gov.au</w:t>
        </w:r>
      </w:hyperlink>
    </w:p>
    <w:p w14:paraId="7F336599" w14:textId="77777777" w:rsidR="00EE1E74" w:rsidRDefault="00EE1E74" w:rsidP="009940E0">
      <w:pPr>
        <w:pStyle w:val="Bodynospace"/>
      </w:pPr>
      <w:r w:rsidRPr="006A4FEC">
        <w:t>Web: www2.health.vic.gov.au/dpcs</w:t>
      </w:r>
    </w:p>
    <w:p w14:paraId="71CDA85F" w14:textId="77777777" w:rsidR="009940E0" w:rsidRDefault="009940E0" w:rsidP="009940E0">
      <w:pPr>
        <w:pStyle w:val="Body"/>
        <w:rPr>
          <w:b/>
        </w:rPr>
      </w:pPr>
      <w:bookmarkStart w:id="5" w:name="_Hlk31204748"/>
    </w:p>
    <w:p w14:paraId="79C14636" w14:textId="77777777" w:rsidR="009940E0" w:rsidRPr="009940E0" w:rsidRDefault="009940E0" w:rsidP="009940E0">
      <w:pPr>
        <w:pStyle w:val="Bodynospace"/>
        <w:rPr>
          <w:b/>
        </w:rPr>
      </w:pPr>
      <w:r w:rsidRPr="009940E0">
        <w:rPr>
          <w:b/>
        </w:rPr>
        <w:t>For queries relating to the Act or regulations, please:</w:t>
      </w:r>
    </w:p>
    <w:p w14:paraId="06AF6FA5" w14:textId="77777777" w:rsidR="009940E0" w:rsidRDefault="009940E0" w:rsidP="009940E0">
      <w:pPr>
        <w:pStyle w:val="Bullet1"/>
      </w:pPr>
      <w:r>
        <w:t xml:space="preserve">refer to the ‘Documents to print or download’ that are available on the MPR website (see </w:t>
      </w:r>
      <w:r w:rsidR="00116C57">
        <w:t>below</w:t>
      </w:r>
      <w:r>
        <w:t>); or</w:t>
      </w:r>
    </w:p>
    <w:p w14:paraId="135AC152" w14:textId="77777777" w:rsidR="009940E0" w:rsidRDefault="009940E0" w:rsidP="009940E0">
      <w:pPr>
        <w:pStyle w:val="Bullet1"/>
      </w:pPr>
      <w:r>
        <w:t xml:space="preserve">if you are unable to address your query by referring to those documents, please forward your query via e-mail (to </w:t>
      </w:r>
      <w:hyperlink r:id="rId22" w:history="1">
        <w:r>
          <w:rPr>
            <w:rStyle w:val="Hyperlink"/>
            <w:rFonts w:eastAsia="Times New Roman" w:cs="Calibri"/>
            <w:spacing w:val="-3"/>
          </w:rPr>
          <w:t>dpcs@health.vic.gov.au</w:t>
        </w:r>
      </w:hyperlink>
      <w:r>
        <w:t>) and indicate, in the ‘Subject’ field, that your query is to be directed to:</w:t>
      </w:r>
    </w:p>
    <w:p w14:paraId="1BB718FE" w14:textId="77777777" w:rsidR="009940E0" w:rsidRDefault="009940E0" w:rsidP="009940E0">
      <w:pPr>
        <w:pStyle w:val="Bullet2"/>
      </w:pPr>
      <w:r>
        <w:t>The Health Practitioner Compliance team – for matters relating to compliance by veterinary practitioners</w:t>
      </w:r>
      <w:r w:rsidR="00F51BC0">
        <w:t xml:space="preserve"> </w:t>
      </w:r>
      <w:r>
        <w:t>and pharmacists.</w:t>
      </w:r>
      <w:bookmarkEnd w:id="5"/>
    </w:p>
    <w:p w14:paraId="5A469692" w14:textId="77777777" w:rsidR="00F51BC0" w:rsidRDefault="009940E0" w:rsidP="009940E0">
      <w:pPr>
        <w:pStyle w:val="Bullet2"/>
      </w:pPr>
      <w:r>
        <w:t xml:space="preserve">The Licence and Permit team – for matters relating to </w:t>
      </w:r>
      <w:r w:rsidR="00F51BC0">
        <w:t>licence holders (e.g. wholesalers and manufacturers).</w:t>
      </w:r>
    </w:p>
    <w:p w14:paraId="610B581F" w14:textId="77777777" w:rsidR="00EE1E74" w:rsidRPr="00093AE1" w:rsidRDefault="00EE1E74" w:rsidP="00093AE1">
      <w:pPr>
        <w:pStyle w:val="Heading2"/>
      </w:pPr>
      <w:r w:rsidRPr="00093AE1">
        <w:t>Documents to print or download from the MPR website</w:t>
      </w:r>
    </w:p>
    <w:p w14:paraId="0B408B7C" w14:textId="77777777" w:rsidR="00EE1E74" w:rsidRPr="007A6685" w:rsidRDefault="00EE1E74" w:rsidP="00093AE1">
      <w:pPr>
        <w:pStyle w:val="Body"/>
      </w:pPr>
      <w:r w:rsidRPr="007A6685">
        <w:t xml:space="preserve">The </w:t>
      </w:r>
      <w:hyperlink r:id="rId23" w:history="1">
        <w:r w:rsidRPr="008463D5">
          <w:rPr>
            <w:rStyle w:val="Hyperlink"/>
          </w:rPr>
          <w:t>Medicines and poisons webpage</w:t>
        </w:r>
      </w:hyperlink>
      <w:r>
        <w:t xml:space="preserve"> &lt;</w:t>
      </w:r>
      <w:r w:rsidRPr="008463D5">
        <w:t>http://www.health.vic.gov.au/dpcs</w:t>
      </w:r>
      <w:r>
        <w:t>&gt; on the Health.vic 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4633CEF1" w14:textId="77777777" w:rsidR="00EE1E74" w:rsidRPr="00025C10" w:rsidRDefault="00EE1E74" w:rsidP="00093AE1">
      <w:pPr>
        <w:pStyle w:val="Bullet1"/>
      </w:pPr>
      <w:r w:rsidRPr="00025C10">
        <w:t>Issues relating to multiple categories of health practitioner, including:</w:t>
      </w:r>
    </w:p>
    <w:p w14:paraId="4C96C48C" w14:textId="77777777" w:rsidR="00EE1E74" w:rsidRPr="007A6685" w:rsidRDefault="00EE1E74" w:rsidP="00093AE1">
      <w:pPr>
        <w:pStyle w:val="Bullet2"/>
      </w:pPr>
      <w:r w:rsidRPr="007A6685">
        <w:t xml:space="preserve">Possession and storage </w:t>
      </w:r>
    </w:p>
    <w:p w14:paraId="4EFF1643" w14:textId="77777777" w:rsidR="00EE1E74" w:rsidRPr="007A6685" w:rsidRDefault="00EE1E74" w:rsidP="00093AE1">
      <w:pPr>
        <w:pStyle w:val="Bullet2"/>
      </w:pPr>
      <w:r w:rsidRPr="007A6685">
        <w:t>Supply, administration and record</w:t>
      </w:r>
      <w:r w:rsidR="00CC0719">
        <w:t>ing</w:t>
      </w:r>
      <w:r w:rsidRPr="007A6685">
        <w:t xml:space="preserve"> </w:t>
      </w:r>
    </w:p>
    <w:p w14:paraId="2B05D54B" w14:textId="77777777" w:rsidR="00EE1E74" w:rsidRPr="007A6685" w:rsidRDefault="00EE1E74" w:rsidP="00093AE1">
      <w:pPr>
        <w:pStyle w:val="Bullet2"/>
      </w:pPr>
      <w:r w:rsidRPr="007A6685">
        <w:t xml:space="preserve">Prescribing </w:t>
      </w:r>
    </w:p>
    <w:p w14:paraId="19D466A1" w14:textId="77777777" w:rsidR="00EE1E74" w:rsidRPr="007A6685" w:rsidRDefault="00EE1E74" w:rsidP="00093AE1">
      <w:pPr>
        <w:pStyle w:val="Bullet2"/>
      </w:pPr>
      <w:r>
        <w:t>Criteria for lawful</w:t>
      </w:r>
      <w:r w:rsidRPr="007A6685">
        <w:t xml:space="preserve"> prescriptions</w:t>
      </w:r>
    </w:p>
    <w:p w14:paraId="0471F3CD" w14:textId="77777777" w:rsidR="00EE1E74" w:rsidRDefault="00EE1E74" w:rsidP="00093AE1">
      <w:pPr>
        <w:pStyle w:val="Bullet2"/>
      </w:pPr>
      <w:r>
        <w:t>All reasonable steps and other key terms</w:t>
      </w:r>
    </w:p>
    <w:p w14:paraId="22A2B3A0" w14:textId="77777777" w:rsidR="00EE1E74" w:rsidRPr="007A6685" w:rsidRDefault="00EE1E74" w:rsidP="00093AE1">
      <w:pPr>
        <w:pStyle w:val="Bullet2"/>
      </w:pPr>
      <w:r w:rsidRPr="007A6685">
        <w:t>Schedule 2 and 3 poisons</w:t>
      </w:r>
    </w:p>
    <w:p w14:paraId="56D1C4C9" w14:textId="77777777" w:rsidR="00EE1E74" w:rsidRPr="00025C10" w:rsidRDefault="00EE1E74" w:rsidP="00093AE1">
      <w:pPr>
        <w:pStyle w:val="Bullet1"/>
      </w:pPr>
      <w:r w:rsidRPr="00025C10">
        <w:lastRenderedPageBreak/>
        <w:t xml:space="preserve">Summaries </w:t>
      </w:r>
      <w:r>
        <w:t>that are specific</w:t>
      </w:r>
      <w:r w:rsidRPr="00025C10">
        <w:t xml:space="preserve"> to individual categories of health practitioner:</w:t>
      </w:r>
    </w:p>
    <w:p w14:paraId="48772DAF" w14:textId="77777777" w:rsidR="00EE1E74" w:rsidRDefault="00EE1E74" w:rsidP="00093AE1">
      <w:pPr>
        <w:pStyle w:val="Bullet2"/>
      </w:pPr>
      <w:r>
        <w:t>Medical practitioners</w:t>
      </w:r>
    </w:p>
    <w:p w14:paraId="1F20642C" w14:textId="77777777" w:rsidR="00EE1E74" w:rsidRDefault="00EE1E74" w:rsidP="00093AE1">
      <w:pPr>
        <w:pStyle w:val="Bullet2"/>
      </w:pPr>
      <w:r>
        <w:t>Pharmacists</w:t>
      </w:r>
    </w:p>
    <w:p w14:paraId="38AFBE68" w14:textId="77777777" w:rsidR="00EE1E74" w:rsidRDefault="00EE1E74" w:rsidP="00093AE1">
      <w:pPr>
        <w:pStyle w:val="Bullet2"/>
      </w:pPr>
      <w:r>
        <w:t>Nurses and midwives</w:t>
      </w:r>
    </w:p>
    <w:p w14:paraId="49286E21" w14:textId="77777777" w:rsidR="00EE1E74" w:rsidRDefault="00EE1E74" w:rsidP="00093AE1">
      <w:pPr>
        <w:pStyle w:val="Bullet2"/>
      </w:pPr>
      <w:r>
        <w:t>Veterinary practitioners</w:t>
      </w:r>
    </w:p>
    <w:p w14:paraId="2F15B35E" w14:textId="77777777" w:rsidR="00EE1E74" w:rsidRPr="00093AE1" w:rsidRDefault="00EE1E74" w:rsidP="00093AE1">
      <w:pPr>
        <w:pStyle w:val="Heading2"/>
      </w:pPr>
      <w:r w:rsidRPr="00093AE1">
        <w:t>Other possible sources of information</w:t>
      </w:r>
    </w:p>
    <w:p w14:paraId="6E8EECA5" w14:textId="77777777" w:rsidR="00F13B2E" w:rsidRPr="00F51BC0" w:rsidRDefault="00F13B2E" w:rsidP="008F65EA">
      <w:pPr>
        <w:pStyle w:val="Heading3"/>
      </w:pPr>
      <w:r w:rsidRPr="00F51BC0">
        <w:t>Veterinary Practitioners Registration Board of Victoria</w:t>
      </w:r>
    </w:p>
    <w:p w14:paraId="7C196B6D" w14:textId="77777777" w:rsidR="00F13B2E" w:rsidRDefault="00F13B2E" w:rsidP="00F51BC0">
      <w:pPr>
        <w:pStyle w:val="Body"/>
        <w:rPr>
          <w:rStyle w:val="Hyperlink"/>
        </w:rPr>
      </w:pPr>
      <w:r w:rsidRPr="00456AFD">
        <w:t xml:space="preserve">Web: </w:t>
      </w:r>
      <w:hyperlink r:id="rId24" w:history="1">
        <w:r w:rsidRPr="00456AFD">
          <w:rPr>
            <w:rStyle w:val="Hyperlink"/>
          </w:rPr>
          <w:t>www.vetboard.vic.gov.au</w:t>
        </w:r>
      </w:hyperlink>
    </w:p>
    <w:p w14:paraId="763B2D9B" w14:textId="7CA5D615" w:rsidR="00F13B2E" w:rsidRPr="00F51BC0" w:rsidRDefault="00F13B2E" w:rsidP="008F65EA">
      <w:pPr>
        <w:pStyle w:val="Heading3"/>
      </w:pPr>
      <w:r w:rsidRPr="00F51BC0">
        <w:t xml:space="preserve">Department of </w:t>
      </w:r>
      <w:r w:rsidR="00AD3434" w:rsidRPr="00AD3434">
        <w:t>Agriculture Victoria</w:t>
      </w:r>
    </w:p>
    <w:p w14:paraId="6BDA8545" w14:textId="3465D4A5" w:rsidR="00F13B2E" w:rsidRDefault="00F13B2E" w:rsidP="00F51BC0">
      <w:pPr>
        <w:pStyle w:val="Body"/>
        <w:rPr>
          <w:rStyle w:val="Hyperlink"/>
        </w:rPr>
      </w:pPr>
      <w:r w:rsidRPr="00456AFD">
        <w:t xml:space="preserve">Web: </w:t>
      </w:r>
      <w:hyperlink r:id="rId25" w:history="1">
        <w:r w:rsidR="00AD3434">
          <w:rPr>
            <w:rStyle w:val="Hyperlink"/>
          </w:rPr>
          <w:t>agriculture.vic.gov.au/chemicals</w:t>
        </w:r>
      </w:hyperlink>
    </w:p>
    <w:p w14:paraId="3937A1E7" w14:textId="77777777" w:rsidR="00F13B2E" w:rsidRDefault="00F13B2E" w:rsidP="00F51BC0">
      <w:pPr>
        <w:pStyle w:val="Body"/>
        <w:rPr>
          <w:rStyle w:val="Strong"/>
          <w:b w:val="0"/>
        </w:rPr>
      </w:pPr>
      <w:r w:rsidRPr="00F00140">
        <w:t xml:space="preserve">Phone </w:t>
      </w:r>
      <w:r w:rsidRPr="00F00140">
        <w:rPr>
          <w:rStyle w:val="Strong"/>
          <w:b w:val="0"/>
        </w:rPr>
        <w:t>136 186</w:t>
      </w:r>
    </w:p>
    <w:p w14:paraId="264ADBE2"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CA8E094" w14:textId="77777777" w:rsidTr="00EC40D5">
        <w:tc>
          <w:tcPr>
            <w:tcW w:w="10194" w:type="dxa"/>
          </w:tcPr>
          <w:p w14:paraId="20E23316" w14:textId="77777777" w:rsidR="00EE1E74" w:rsidRDefault="0055119B" w:rsidP="00E33237">
            <w:pPr>
              <w:pStyle w:val="Imprint"/>
              <w:rPr>
                <w:rStyle w:val="Hyperlink"/>
              </w:rPr>
            </w:pPr>
            <w:bookmarkStart w:id="6" w:name="_Hlk37240926"/>
            <w:r w:rsidRPr="0055119B">
              <w:t>To receive this document in another format</w:t>
            </w:r>
            <w:r>
              <w:t>,</w:t>
            </w:r>
            <w:r w:rsidRPr="0055119B">
              <w:t xml:space="preserve"> phone </w:t>
            </w:r>
            <w:r w:rsidR="00EE1E74">
              <w:t>1300 364 545</w:t>
            </w:r>
            <w:r w:rsidRPr="0055119B">
              <w:t xml:space="preserve">, using the National Relay Service 13 36 77 if required, or </w:t>
            </w:r>
            <w:hyperlink r:id="rId26" w:history="1">
              <w:r w:rsidR="00AD1982" w:rsidRPr="00A938C0">
                <w:rPr>
                  <w:rStyle w:val="Hyperlink"/>
                </w:rPr>
                <w:t>email dpcs@health.vic.gov.au</w:t>
              </w:r>
            </w:hyperlink>
          </w:p>
          <w:p w14:paraId="20CE9F7F" w14:textId="77777777" w:rsidR="0055119B" w:rsidRPr="0055119B" w:rsidRDefault="0055119B" w:rsidP="00E33237">
            <w:pPr>
              <w:pStyle w:val="Imprint"/>
            </w:pPr>
            <w:r w:rsidRPr="0055119B">
              <w:t>Authorised and published by the Victorian Government, 1 Treasury Place, Melbourne.</w:t>
            </w:r>
          </w:p>
          <w:p w14:paraId="31C99012" w14:textId="71C219EC" w:rsidR="0055119B" w:rsidRDefault="0055119B" w:rsidP="00E33237">
            <w:pPr>
              <w:pStyle w:val="Imprint"/>
            </w:pPr>
            <w:r w:rsidRPr="0055119B">
              <w:t xml:space="preserve">© State of Victoria, Australia, </w:t>
            </w:r>
            <w:r w:rsidR="001E2A36" w:rsidRPr="001E2A36">
              <w:t>Department of Health</w:t>
            </w:r>
            <w:r w:rsidRPr="0055119B">
              <w:t xml:space="preserve">, </w:t>
            </w:r>
            <w:r w:rsidR="0049667C">
              <w:t>July 2022</w:t>
            </w:r>
            <w:r w:rsidRPr="0055119B">
              <w:t>.</w:t>
            </w:r>
          </w:p>
        </w:tc>
      </w:tr>
      <w:bookmarkEnd w:id="6"/>
    </w:tbl>
    <w:p w14:paraId="15BC3FAC" w14:textId="77777777" w:rsidR="00162CA9" w:rsidRDefault="00162CA9" w:rsidP="00162CA9">
      <w:pPr>
        <w:pStyle w:val="Body"/>
      </w:pPr>
    </w:p>
    <w:sectPr w:rsidR="00162CA9" w:rsidSect="00E62622">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2594" w14:textId="77777777" w:rsidR="00F67A71" w:rsidRDefault="00F67A71">
      <w:r>
        <w:separator/>
      </w:r>
    </w:p>
  </w:endnote>
  <w:endnote w:type="continuationSeparator" w:id="0">
    <w:p w14:paraId="30F68E24" w14:textId="77777777" w:rsidR="00F67A71" w:rsidRDefault="00F6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0FD6"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0608F32" wp14:editId="736255F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87E428" wp14:editId="5E4891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B2994"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E609C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DHBZvgWAwAANQYAAA4AAAAAAAAAAAAAAAAA&#10;LgIAAGRycy9lMm9Eb2MueG1sUEsBAi0AFAAGAAgAAAAhAEgNXprfAAAACwEAAA8AAAAAAAAAAAAA&#10;AAAAcAUAAGRycy9kb3ducmV2LnhtbFBLBQYAAAAABAAEAPMAAAB8BgAAAAA=&#10;" o:allowincell="f" filled="f" stroked="f" strokeweight=".5pt">
              <v:textbox inset=",0,,0">
                <w:txbxContent>
                  <w:p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F0A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10A383A" wp14:editId="201BC56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9F8DD1"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aGFwMAAD4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" o:allowincell="f" filled="f" stroked="f" strokeweight=".5pt">
              <v:textbox inset=",0,,0">
                <w:txbxContent>
                  <w:p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472A" w14:textId="77777777" w:rsidR="00B427F0" w:rsidRPr="00F65AA9" w:rsidRDefault="00B427F0" w:rsidP="00B427F0">
    <w:pPr>
      <w:pStyle w:val="Footer"/>
    </w:pP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7184" behindDoc="0" locked="0" layoutInCell="0" allowOverlap="1" wp14:anchorId="64704945" wp14:editId="42B7C1E5">
              <wp:simplePos x="0" y="0"/>
              <wp:positionH relativeFrom="page">
                <wp:posOffset>0</wp:posOffset>
              </wp:positionH>
              <wp:positionV relativeFrom="page">
                <wp:posOffset>10189210</wp:posOffset>
              </wp:positionV>
              <wp:extent cx="7560310" cy="311785"/>
              <wp:effectExtent l="0" t="0" r="0" b="12065"/>
              <wp:wrapNone/>
              <wp:docPr id="3" name="MSIPCMb0c744cb9fecdab9d594b7c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0C523" w14:textId="77777777" w:rsidR="00B427F0" w:rsidRPr="00AD1982" w:rsidRDefault="00B427F0" w:rsidP="00B427F0">
                          <w:pPr>
                            <w:jc w:val="center"/>
                            <w:rPr>
                              <w:rFonts w:ascii="Arial Black" w:hAnsi="Arial Black"/>
                              <w:color w:val="000000"/>
                            </w:rPr>
                          </w:pPr>
                          <w:r w:rsidRPr="00AD198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ADED50" id="_x0000_t202" coordsize="21600,21600" o:spt="202" path="m,l,21600r21600,l21600,xe">
              <v:stroke joinstyle="miter"/>
              <v:path gradientshapeok="t" o:connecttype="rect"/>
            </v:shapetype>
            <v:shape id="MSIPCMb0c744cb9fecdab9d594b7cf"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16jdoBgDAAA8BgAADgAAAAAAAAAAAAAA&#10;AAAuAgAAZHJzL2Uyb0RvYy54bWxQSwECLQAUAAYACAAAACEASA1emt8AAAALAQAADwAAAAAAAAAA&#10;AAAAAAByBQAAZHJzL2Rvd25yZXYueG1sUEsFBgAAAAAEAAQA8wAAAH4GAAAAAA==&#10;" o:allowincell="f" filled="f" stroked="f" strokeweight=".5pt">
              <v:textbox inset=",0,,0">
                <w:txbxContent>
                  <w:p w:rsidR="00B427F0" w:rsidRPr="00AD1982" w:rsidRDefault="00B427F0" w:rsidP="00B427F0">
                    <w:pPr>
                      <w:jc w:val="center"/>
                      <w:rPr>
                        <w:rFonts w:ascii="Arial Black" w:hAnsi="Arial Black"/>
                        <w:color w:val="000000"/>
                      </w:rPr>
                    </w:pPr>
                    <w:r w:rsidRPr="00AD1982">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14:anchorId="1E964243" wp14:editId="0578D6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BB306" w14:textId="77777777" w:rsidR="00B427F0" w:rsidRPr="00B07FF7" w:rsidRDefault="00B427F0" w:rsidP="00B427F0">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B2CE6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" o:allowincell="f" filled="f" stroked="f" strokeweight=".5pt">
              <v:textbox inset=",0,,0">
                <w:txbxContent>
                  <w:p w:rsidR="00B427F0" w:rsidRPr="00B07FF7" w:rsidRDefault="00B427F0" w:rsidP="00B427F0">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CD49" w14:textId="77777777" w:rsidR="00F67A71" w:rsidRDefault="00F67A71" w:rsidP="002862F1">
      <w:pPr>
        <w:spacing w:before="120"/>
      </w:pPr>
      <w:r>
        <w:separator/>
      </w:r>
    </w:p>
  </w:footnote>
  <w:footnote w:type="continuationSeparator" w:id="0">
    <w:p w14:paraId="4F539F19" w14:textId="77777777" w:rsidR="00F67A71" w:rsidRDefault="00F6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5FDA" w14:textId="77777777" w:rsidR="00EC40D5" w:rsidRDefault="00F51BC0" w:rsidP="00792A79">
    <w:pPr>
      <w:pStyle w:val="Header"/>
    </w:pPr>
    <w:r>
      <w:t>Veterinary practitioners – key requirements in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53AA"/>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3AE1"/>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6C57"/>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E10"/>
    <w:rsid w:val="00186B33"/>
    <w:rsid w:val="00192F9D"/>
    <w:rsid w:val="00196EB8"/>
    <w:rsid w:val="00196EFB"/>
    <w:rsid w:val="001979FF"/>
    <w:rsid w:val="00197B17"/>
    <w:rsid w:val="001A1950"/>
    <w:rsid w:val="001A1C54"/>
    <w:rsid w:val="001A3ACE"/>
    <w:rsid w:val="001B058F"/>
    <w:rsid w:val="001B738B"/>
    <w:rsid w:val="001C09DB"/>
    <w:rsid w:val="001C2239"/>
    <w:rsid w:val="001C277E"/>
    <w:rsid w:val="001C2A72"/>
    <w:rsid w:val="001C31B7"/>
    <w:rsid w:val="001C6A7E"/>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320"/>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4DD3"/>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0BE8"/>
    <w:rsid w:val="003716FD"/>
    <w:rsid w:val="0037204B"/>
    <w:rsid w:val="0037306E"/>
    <w:rsid w:val="00373890"/>
    <w:rsid w:val="003744CF"/>
    <w:rsid w:val="00374717"/>
    <w:rsid w:val="00375A5C"/>
    <w:rsid w:val="0037676C"/>
    <w:rsid w:val="00381043"/>
    <w:rsid w:val="00381618"/>
    <w:rsid w:val="003829E5"/>
    <w:rsid w:val="00386109"/>
    <w:rsid w:val="00386944"/>
    <w:rsid w:val="00387225"/>
    <w:rsid w:val="0039011D"/>
    <w:rsid w:val="003956CC"/>
    <w:rsid w:val="00395C9A"/>
    <w:rsid w:val="003A0853"/>
    <w:rsid w:val="003A6B67"/>
    <w:rsid w:val="003B13B6"/>
    <w:rsid w:val="003B15E6"/>
    <w:rsid w:val="003B408A"/>
    <w:rsid w:val="003B5733"/>
    <w:rsid w:val="003C08A2"/>
    <w:rsid w:val="003C2045"/>
    <w:rsid w:val="003C43A1"/>
    <w:rsid w:val="003C4F6A"/>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90E"/>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667C"/>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646B"/>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4D0"/>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B077C"/>
    <w:rsid w:val="006B18D2"/>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A79"/>
    <w:rsid w:val="007933F7"/>
    <w:rsid w:val="00796E20"/>
    <w:rsid w:val="00797C32"/>
    <w:rsid w:val="007A11E8"/>
    <w:rsid w:val="007B0914"/>
    <w:rsid w:val="007B1374"/>
    <w:rsid w:val="007B32E5"/>
    <w:rsid w:val="007B3DB9"/>
    <w:rsid w:val="007B589F"/>
    <w:rsid w:val="007B6186"/>
    <w:rsid w:val="007B73BC"/>
    <w:rsid w:val="007B7D77"/>
    <w:rsid w:val="007C1838"/>
    <w:rsid w:val="007C20B9"/>
    <w:rsid w:val="007C23BC"/>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10D2"/>
    <w:rsid w:val="008F59F6"/>
    <w:rsid w:val="008F65EA"/>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0E0"/>
    <w:rsid w:val="00994386"/>
    <w:rsid w:val="009A13D8"/>
    <w:rsid w:val="009A279E"/>
    <w:rsid w:val="009A3015"/>
    <w:rsid w:val="009A3490"/>
    <w:rsid w:val="009B0A6F"/>
    <w:rsid w:val="009B0A94"/>
    <w:rsid w:val="009B28B3"/>
    <w:rsid w:val="009B2AE8"/>
    <w:rsid w:val="009B59E9"/>
    <w:rsid w:val="009B6A74"/>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2B74"/>
    <w:rsid w:val="00A54715"/>
    <w:rsid w:val="00A6061C"/>
    <w:rsid w:val="00A62D44"/>
    <w:rsid w:val="00A6448B"/>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350"/>
    <w:rsid w:val="00AC6D36"/>
    <w:rsid w:val="00AD0CBA"/>
    <w:rsid w:val="00AD177A"/>
    <w:rsid w:val="00AD1982"/>
    <w:rsid w:val="00AD2087"/>
    <w:rsid w:val="00AD26E2"/>
    <w:rsid w:val="00AD3434"/>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7F0"/>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1364"/>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3476"/>
    <w:rsid w:val="00CD64DF"/>
    <w:rsid w:val="00CE225F"/>
    <w:rsid w:val="00CE458B"/>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47D"/>
    <w:rsid w:val="00E40181"/>
    <w:rsid w:val="00E501E5"/>
    <w:rsid w:val="00E54950"/>
    <w:rsid w:val="00E56A01"/>
    <w:rsid w:val="00E62622"/>
    <w:rsid w:val="00E629A1"/>
    <w:rsid w:val="00E6794C"/>
    <w:rsid w:val="00E71591"/>
    <w:rsid w:val="00E71CEB"/>
    <w:rsid w:val="00E73122"/>
    <w:rsid w:val="00E7474F"/>
    <w:rsid w:val="00E80DE3"/>
    <w:rsid w:val="00E82C55"/>
    <w:rsid w:val="00E8787E"/>
    <w:rsid w:val="00E92AC3"/>
    <w:rsid w:val="00EA1360"/>
    <w:rsid w:val="00EA2F6A"/>
    <w:rsid w:val="00EA4F10"/>
    <w:rsid w:val="00EB00E0"/>
    <w:rsid w:val="00EB5763"/>
    <w:rsid w:val="00EC059F"/>
    <w:rsid w:val="00EC1F24"/>
    <w:rsid w:val="00EC22F6"/>
    <w:rsid w:val="00EC40D5"/>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3B2E"/>
    <w:rsid w:val="00F15514"/>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1BC0"/>
    <w:rsid w:val="00F52D09"/>
    <w:rsid w:val="00F52E08"/>
    <w:rsid w:val="00F53A66"/>
    <w:rsid w:val="00F53DDD"/>
    <w:rsid w:val="00F5462D"/>
    <w:rsid w:val="00F55B21"/>
    <w:rsid w:val="00F56EF6"/>
    <w:rsid w:val="00F60082"/>
    <w:rsid w:val="00F61A9F"/>
    <w:rsid w:val="00F61B5F"/>
    <w:rsid w:val="00F64696"/>
    <w:rsid w:val="00F65AA9"/>
    <w:rsid w:val="00F6768F"/>
    <w:rsid w:val="00F67A71"/>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DFF3CA"/>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3B2E"/>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ind w:left="227" w:hanging="227"/>
    </w:p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B427F0"/>
    <w:rPr>
      <w:rFonts w:ascii="Arial" w:hAnsi="Arial" w:cs="Arial"/>
      <w:szCs w:val="18"/>
      <w:lang w:eastAsia="en-US"/>
    </w:rPr>
  </w:style>
  <w:style w:type="paragraph" w:customStyle="1" w:styleId="DHHeading3">
    <w:name w:val="DH Heading 3"/>
    <w:basedOn w:val="Normal"/>
    <w:link w:val="DHHeading3Char"/>
    <w:rsid w:val="00F13B2E"/>
    <w:pPr>
      <w:spacing w:before="280" w:line="270" w:lineRule="exact"/>
    </w:pPr>
    <w:rPr>
      <w:b/>
      <w:bCs/>
      <w:sz w:val="24"/>
      <w:szCs w:val="24"/>
      <w:lang w:val="it-IT"/>
    </w:rPr>
  </w:style>
  <w:style w:type="character" w:customStyle="1" w:styleId="DHHeading3Char">
    <w:name w:val="DH Heading 3 Char"/>
    <w:link w:val="DHHeading3"/>
    <w:rsid w:val="00F13B2E"/>
    <w:rPr>
      <w:rFonts w:ascii="Arial" w:hAnsi="Arial"/>
      <w:b/>
      <w:bCs/>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360780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apvma.gov.au/node/10806" TargetMode="External"/><Relationship Id="rId26" Type="http://schemas.openxmlformats.org/officeDocument/2006/relationships/hyperlink" Target="mailto:email%20dpcs@health.vic.gov.au" TargetMode="External"/><Relationship Id="rId3" Type="http://schemas.openxmlformats.org/officeDocument/2006/relationships/customXml" Target="../customXml/item3.xml"/><Relationship Id="rId21" Type="http://schemas.openxmlformats.org/officeDocument/2006/relationships/hyperlink" Target="mailto:dpc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hyperlink" Target="https://agriculture.vic.gov.au/chemicals" TargetMode="Externa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http://agriculture.vic.gov.au/agriculture/farm-management/chemicals/veterinary-chemic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etboard.vic.gov.au" TargetMode="External"/><Relationship Id="rId5" Type="http://schemas.openxmlformats.org/officeDocument/2006/relationships/numbering" Target="numbering.xml"/><Relationship Id="rId15" Type="http://schemas.openxmlformats.org/officeDocument/2006/relationships/hyperlink" Target="http://www.health.vic.gov.au/dpcs" TargetMode="External"/><Relationship Id="rId23" Type="http://schemas.openxmlformats.org/officeDocument/2006/relationships/hyperlink" Target="http://www.health.vic.gov.au/dpc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griculture.vic.gov.au/agriculture/farm-management/chemicals/veterinary-chemic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pcs@health.vic.gov.au"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27C17-8C33-401D-8AEE-74E2131F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7</TotalTime>
  <Pages>8</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Veterinary practitioners - key requirements in Victoria</vt:lpstr>
    </vt:vector>
  </TitlesOfParts>
  <Manager/>
  <Company>Victoria State Government, Department of Health</Company>
  <LinksUpToDate>false</LinksUpToDate>
  <CharactersWithSpaces>22499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practitioners - key requirements in Victoria</dc:title>
  <dc:subject>Veterinary practitioners - key requirements in Victoria</dc:subject>
  <dc:creator>Medicines and Poisons Regulation branch</dc:creator>
  <cp:keywords>veterinary practitioner, food-producing animals</cp:keywords>
  <dc:description/>
  <cp:lastModifiedBy>Tyler McPherson (Health)</cp:lastModifiedBy>
  <cp:revision>4</cp:revision>
  <cp:lastPrinted>2020-03-30T03:28:00Z</cp:lastPrinted>
  <dcterms:created xsi:type="dcterms:W3CDTF">2022-06-20T01:15:00Z</dcterms:created>
  <dcterms:modified xsi:type="dcterms:W3CDTF">2022-07-04T02:07:00Z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2022-07-04T02:07:19Z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6dd1aeaf-5eaa-48ef-af5c-63923d08058f</vt:lpwstr>
  </property>
  <property fmtid="{D5CDD505-2E9C-101B-9397-08002B2CF9AE}" pid="11" name="MSIP_Label_43e64453-338c-4f93-8a4d-0039a0a41f2a_ContentBits">
    <vt:lpwstr>2</vt:lpwstr>
  </property>
</Properties>
</file>