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2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9299"/>
      </w:tblGrid>
      <w:tr w:rsidR="00EF5563" w:rsidRPr="00431F42" w14:paraId="2D20B411" w14:textId="77777777" w:rsidTr="00EF5563">
        <w:trPr>
          <w:cantSplit/>
        </w:trPr>
        <w:tc>
          <w:tcPr>
            <w:tcW w:w="0" w:type="auto"/>
            <w:tcMar>
              <w:top w:w="0" w:type="dxa"/>
              <w:left w:w="0" w:type="dxa"/>
              <w:right w:w="0" w:type="dxa"/>
            </w:tcMar>
          </w:tcPr>
          <w:p w14:paraId="3BDFE4B0" w14:textId="643A871A" w:rsidR="00F91D8F" w:rsidRDefault="00EF5563" w:rsidP="00EF5563">
            <w:pPr>
              <w:pStyle w:val="Documenttitle"/>
              <w:rPr>
                <w:color w:val="595959" w:themeColor="text1" w:themeTint="A6"/>
              </w:rPr>
            </w:pPr>
            <w:r w:rsidRPr="00456A0A">
              <w:rPr>
                <w:color w:val="595959" w:themeColor="text1" w:themeTint="A6"/>
              </w:rPr>
              <w:t xml:space="preserve">Victorian Integrated Non-Admitted Health </w:t>
            </w:r>
            <w:r w:rsidR="003B4209">
              <w:rPr>
                <w:color w:val="595959" w:themeColor="text1" w:themeTint="A6"/>
              </w:rPr>
              <w:t>M</w:t>
            </w:r>
            <w:r w:rsidRPr="00456A0A">
              <w:rPr>
                <w:color w:val="595959" w:themeColor="text1" w:themeTint="A6"/>
              </w:rPr>
              <w:t xml:space="preserve">inimum </w:t>
            </w:r>
            <w:r w:rsidR="003B4209">
              <w:rPr>
                <w:color w:val="595959" w:themeColor="text1" w:themeTint="A6"/>
              </w:rPr>
              <w:t>D</w:t>
            </w:r>
            <w:r w:rsidRPr="00456A0A">
              <w:rPr>
                <w:color w:val="595959" w:themeColor="text1" w:themeTint="A6"/>
              </w:rPr>
              <w:t>ata</w:t>
            </w:r>
            <w:r w:rsidR="00142B99">
              <w:rPr>
                <w:color w:val="595959" w:themeColor="text1" w:themeTint="A6"/>
              </w:rPr>
              <w:t xml:space="preserve"> S</w:t>
            </w:r>
            <w:r w:rsidRPr="00456A0A">
              <w:rPr>
                <w:color w:val="595959" w:themeColor="text1" w:themeTint="A6"/>
              </w:rPr>
              <w:t xml:space="preserve">et </w:t>
            </w:r>
            <w:r w:rsidR="003B4209" w:rsidRPr="00456A0A">
              <w:rPr>
                <w:color w:val="595959" w:themeColor="text1" w:themeTint="A6"/>
              </w:rPr>
              <w:t>(VINAH</w:t>
            </w:r>
            <w:r w:rsidR="003B4209">
              <w:rPr>
                <w:color w:val="595959" w:themeColor="text1" w:themeTint="A6"/>
              </w:rPr>
              <w:t xml:space="preserve"> MD</w:t>
            </w:r>
            <w:r w:rsidR="00142B99">
              <w:rPr>
                <w:color w:val="595959" w:themeColor="text1" w:themeTint="A6"/>
              </w:rPr>
              <w:t>S</w:t>
            </w:r>
            <w:r w:rsidR="003B4209" w:rsidRPr="00456A0A">
              <w:rPr>
                <w:color w:val="595959" w:themeColor="text1" w:themeTint="A6"/>
              </w:rPr>
              <w:t>)</w:t>
            </w:r>
            <w:r w:rsidR="003B4209">
              <w:rPr>
                <w:color w:val="595959" w:themeColor="text1" w:themeTint="A6"/>
              </w:rPr>
              <w:t xml:space="preserve"> </w:t>
            </w:r>
            <w:r w:rsidRPr="00456A0A">
              <w:rPr>
                <w:color w:val="595959" w:themeColor="text1" w:themeTint="A6"/>
              </w:rPr>
              <w:t>manual 202</w:t>
            </w:r>
            <w:r w:rsidR="00676B3F">
              <w:rPr>
                <w:color w:val="595959" w:themeColor="text1" w:themeTint="A6"/>
              </w:rPr>
              <w:t>2</w:t>
            </w:r>
            <w:r w:rsidRPr="00456A0A">
              <w:rPr>
                <w:color w:val="595959" w:themeColor="text1" w:themeTint="A6"/>
              </w:rPr>
              <w:t>-2</w:t>
            </w:r>
            <w:r w:rsidR="00676B3F">
              <w:rPr>
                <w:color w:val="595959" w:themeColor="text1" w:themeTint="A6"/>
              </w:rPr>
              <w:t>3</w:t>
            </w:r>
          </w:p>
          <w:p w14:paraId="3F6F551B" w14:textId="345DE316" w:rsidR="00EF5563" w:rsidRPr="00DF0847" w:rsidRDefault="00EF5563" w:rsidP="00EF5563">
            <w:pPr>
              <w:pStyle w:val="Documenttitle"/>
              <w:rPr>
                <w:color w:val="595959" w:themeColor="text1" w:themeTint="A6"/>
              </w:rPr>
            </w:pPr>
            <w:r w:rsidRPr="00456A0A">
              <w:rPr>
                <w:color w:val="595959" w:themeColor="text1" w:themeTint="A6"/>
              </w:rPr>
              <w:t>Section 2</w:t>
            </w:r>
            <w:r w:rsidR="004972C1" w:rsidRPr="00456A0A">
              <w:rPr>
                <w:color w:val="595959" w:themeColor="text1" w:themeTint="A6"/>
              </w:rPr>
              <w:t xml:space="preserve"> -</w:t>
            </w:r>
            <w:r w:rsidRPr="00456A0A">
              <w:rPr>
                <w:color w:val="595959" w:themeColor="text1" w:themeTint="A6"/>
              </w:rPr>
              <w:t xml:space="preserve"> Concepts and derived items</w:t>
            </w:r>
          </w:p>
        </w:tc>
      </w:tr>
      <w:tr w:rsidR="00EF5563" w:rsidRPr="00A1389F" w14:paraId="23E71A8F" w14:textId="77777777" w:rsidTr="00EF5563">
        <w:trPr>
          <w:cantSplit/>
        </w:trPr>
        <w:tc>
          <w:tcPr>
            <w:tcW w:w="0" w:type="auto"/>
          </w:tcPr>
          <w:p w14:paraId="5AA8C00C" w14:textId="5B8BCE87" w:rsidR="00EF5563" w:rsidRPr="002105B8" w:rsidRDefault="00EF5563" w:rsidP="00EF5563">
            <w:pPr>
              <w:pStyle w:val="Documentsubtitle"/>
              <w:rPr>
                <w:color w:val="000000" w:themeColor="text1"/>
              </w:rPr>
            </w:pPr>
            <w:r w:rsidRPr="002105B8">
              <w:rPr>
                <w:color w:val="000000" w:themeColor="text1"/>
              </w:rPr>
              <w:t>1</w:t>
            </w:r>
            <w:r w:rsidR="00676B3F">
              <w:rPr>
                <w:color w:val="000000" w:themeColor="text1"/>
              </w:rPr>
              <w:t>7</w:t>
            </w:r>
            <w:r w:rsidRPr="002105B8">
              <w:rPr>
                <w:color w:val="000000" w:themeColor="text1"/>
                <w:vertAlign w:val="superscript"/>
              </w:rPr>
              <w:t>th</w:t>
            </w:r>
            <w:r w:rsidRPr="002105B8">
              <w:rPr>
                <w:color w:val="000000" w:themeColor="text1"/>
              </w:rPr>
              <w:t xml:space="preserve"> edition, July 202</w:t>
            </w:r>
            <w:r w:rsidR="00676B3F">
              <w:rPr>
                <w:color w:val="000000" w:themeColor="text1"/>
              </w:rPr>
              <w:t>2</w:t>
            </w:r>
          </w:p>
          <w:p w14:paraId="16DC7E54" w14:textId="77777777" w:rsidR="00EF5563" w:rsidRPr="002105B8" w:rsidRDefault="00EF5563" w:rsidP="00EF5563">
            <w:pPr>
              <w:pStyle w:val="Documentsubtitle"/>
              <w:rPr>
                <w:color w:val="000000" w:themeColor="text1"/>
              </w:rPr>
            </w:pPr>
            <w:r w:rsidRPr="002105B8">
              <w:rPr>
                <w:color w:val="000000" w:themeColor="text1"/>
              </w:rPr>
              <w:t>Version 1.0</w:t>
            </w:r>
          </w:p>
        </w:tc>
      </w:tr>
    </w:tbl>
    <w:p w14:paraId="0AB0B803" w14:textId="367DC976" w:rsidR="00056EC4" w:rsidRPr="001F1906" w:rsidRDefault="00456A0A" w:rsidP="00056EC4">
      <w:pPr>
        <w:pStyle w:val="Body"/>
        <w:rPr>
          <w:rStyle w:val="DHHSreportsubtitleChar"/>
        </w:rPr>
      </w:pPr>
      <w:r w:rsidRPr="00456A0A">
        <w:rPr>
          <w:color w:val="595959" w:themeColor="text1" w:themeTint="A6"/>
          <w:sz w:val="28"/>
          <w:szCs w:val="28"/>
        </w:rPr>
        <w:fldChar w:fldCharType="begin"/>
      </w:r>
      <w:r w:rsidRPr="00456A0A">
        <w:rPr>
          <w:color w:val="595959" w:themeColor="text1" w:themeTint="A6"/>
          <w:sz w:val="28"/>
          <w:szCs w:val="28"/>
        </w:rPr>
        <w:instrText xml:space="preserve"> FILLIN  "Type the protective marking" \d OFFICIAL \o  \* MERGEFORMAT </w:instrText>
      </w:r>
      <w:r w:rsidRPr="00456A0A">
        <w:rPr>
          <w:color w:val="595959" w:themeColor="text1" w:themeTint="A6"/>
          <w:sz w:val="28"/>
          <w:szCs w:val="28"/>
        </w:rPr>
        <w:fldChar w:fldCharType="separate"/>
      </w:r>
      <w:r w:rsidRPr="00456A0A">
        <w:rPr>
          <w:color w:val="595959" w:themeColor="text1" w:themeTint="A6"/>
          <w:sz w:val="28"/>
          <w:szCs w:val="28"/>
        </w:rPr>
        <w:t>OFFICIAL</w:t>
      </w:r>
      <w:r w:rsidRPr="00456A0A">
        <w:rPr>
          <w:color w:val="595959" w:themeColor="text1" w:themeTint="A6"/>
          <w:sz w:val="28"/>
          <w:szCs w:val="28"/>
        </w:rPr>
        <w:fldChar w:fldCharType="end"/>
      </w:r>
      <w:r w:rsidR="00A97BD3" w:rsidRPr="001F1906">
        <w:rPr>
          <w:rStyle w:val="DHHSreportsubtitleChar"/>
          <w:noProof/>
        </w:rPr>
        <w:drawing>
          <wp:anchor distT="0" distB="0" distL="114300" distR="114300" simplePos="0" relativeHeight="251658240" behindDoc="1" locked="1" layoutInCell="1" allowOverlap="1" wp14:anchorId="6F313E99" wp14:editId="4F3B5942">
            <wp:simplePos x="0" y="0"/>
            <wp:positionH relativeFrom="page">
              <wp:posOffset>0</wp:posOffset>
            </wp:positionH>
            <wp:positionV relativeFrom="page">
              <wp:posOffset>0</wp:posOffset>
            </wp:positionV>
            <wp:extent cx="7560000" cy="10152000"/>
            <wp:effectExtent l="0" t="0" r="3175" b="1905"/>
            <wp:wrapNone/>
            <wp:docPr id="9" name="Picture 9"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Victoria State Government Department of Health"/>
                    <pic:cNvPicPr/>
                  </pic:nvPicPr>
                  <pic:blipFill>
                    <a:blip r:embed="rId11"/>
                    <a:stretch>
                      <a:fillRect/>
                    </a:stretch>
                  </pic:blipFill>
                  <pic:spPr>
                    <a:xfrm>
                      <a:off x="0" y="0"/>
                      <a:ext cx="7560000" cy="10152000"/>
                    </a:xfrm>
                    <a:prstGeom prst="rect">
                      <a:avLst/>
                    </a:prstGeom>
                  </pic:spPr>
                </pic:pic>
              </a:graphicData>
            </a:graphic>
            <wp14:sizeRelH relativeFrom="margin">
              <wp14:pctWidth>0</wp14:pctWidth>
            </wp14:sizeRelH>
            <wp14:sizeRelV relativeFrom="margin">
              <wp14:pctHeight>0</wp14:pctHeight>
            </wp14:sizeRelV>
          </wp:anchor>
        </w:drawing>
      </w:r>
    </w:p>
    <w:tbl>
      <w:tblPr>
        <w:tblStyle w:val="TableGrid"/>
        <w:tblW w:w="92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9299"/>
      </w:tblGrid>
      <w:tr w:rsidR="00430393" w14:paraId="5B223429" w14:textId="77777777" w:rsidTr="00431F42">
        <w:trPr>
          <w:cantSplit/>
        </w:trPr>
        <w:tc>
          <w:tcPr>
            <w:tcW w:w="0" w:type="auto"/>
          </w:tcPr>
          <w:p w14:paraId="2356FC85" w14:textId="01D3D422" w:rsidR="00430393" w:rsidRPr="00456A0A" w:rsidRDefault="00430393" w:rsidP="00430393">
            <w:pPr>
              <w:pStyle w:val="Bannermarking"/>
              <w:rPr>
                <w:color w:val="595959" w:themeColor="text1" w:themeTint="A6"/>
              </w:rPr>
            </w:pPr>
          </w:p>
        </w:tc>
      </w:tr>
    </w:tbl>
    <w:p w14:paraId="4A37EB6D" w14:textId="77777777" w:rsidR="00FE4081" w:rsidRDefault="00FE4081" w:rsidP="00FE4081">
      <w:pPr>
        <w:pStyle w:val="Body"/>
      </w:pPr>
    </w:p>
    <w:p w14:paraId="5E4F88F7" w14:textId="77777777" w:rsidR="00FE4081" w:rsidRPr="00FE4081" w:rsidRDefault="00FE4081" w:rsidP="00FE4081">
      <w:pPr>
        <w:pStyle w:val="Body"/>
        <w:sectPr w:rsidR="00FE4081" w:rsidRPr="00FE4081" w:rsidSect="002C5B7C">
          <w:headerReference w:type="even" r:id="rId12"/>
          <w:headerReference w:type="default" r:id="rId13"/>
          <w:footerReference w:type="even" r:id="rId14"/>
          <w:footerReference w:type="default" r:id="rId15"/>
          <w:headerReference w:type="first" r:id="rId16"/>
          <w:footerReference w:type="first" r:id="rId17"/>
          <w:type w:val="continuous"/>
          <w:pgSz w:w="11906" w:h="16838" w:code="9"/>
          <w:pgMar w:top="3969" w:right="1304" w:bottom="1418" w:left="1304" w:header="680" w:footer="851" w:gutter="0"/>
          <w:cols w:space="340"/>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9288"/>
      </w:tblGrid>
      <w:tr w:rsidR="009F2182" w14:paraId="4592A9A8" w14:textId="77777777" w:rsidTr="00562507">
        <w:trPr>
          <w:cantSplit/>
          <w:trHeight w:val="5103"/>
        </w:trPr>
        <w:tc>
          <w:tcPr>
            <w:tcW w:w="9288" w:type="dxa"/>
            <w:vAlign w:val="bottom"/>
          </w:tcPr>
          <w:p w14:paraId="6FE8A630" w14:textId="77777777" w:rsidR="00475109" w:rsidRDefault="00475109" w:rsidP="0044383F">
            <w:pPr>
              <w:spacing w:after="200" w:line="300" w:lineRule="atLeast"/>
              <w:rPr>
                <w:rFonts w:eastAsia="Times"/>
                <w:sz w:val="24"/>
                <w:szCs w:val="19"/>
              </w:rPr>
            </w:pPr>
          </w:p>
          <w:p w14:paraId="67FCEAB9" w14:textId="2AC007B7" w:rsidR="00475109" w:rsidRDefault="00475109" w:rsidP="0044383F">
            <w:pPr>
              <w:spacing w:after="200" w:line="300" w:lineRule="atLeast"/>
              <w:rPr>
                <w:rFonts w:eastAsia="Times"/>
                <w:sz w:val="24"/>
                <w:szCs w:val="19"/>
              </w:rPr>
            </w:pPr>
          </w:p>
          <w:p w14:paraId="23F4C209" w14:textId="7FC4A2D7" w:rsidR="00475109" w:rsidRDefault="00475109" w:rsidP="0044383F">
            <w:pPr>
              <w:spacing w:after="200" w:line="300" w:lineRule="atLeast"/>
              <w:rPr>
                <w:rFonts w:eastAsia="Times"/>
                <w:sz w:val="24"/>
                <w:szCs w:val="19"/>
              </w:rPr>
            </w:pPr>
          </w:p>
          <w:p w14:paraId="35A80E90" w14:textId="0B4378EA" w:rsidR="00475109" w:rsidRDefault="00475109" w:rsidP="0044383F">
            <w:pPr>
              <w:spacing w:after="200" w:line="300" w:lineRule="atLeast"/>
              <w:rPr>
                <w:rFonts w:eastAsia="Times"/>
                <w:sz w:val="24"/>
                <w:szCs w:val="19"/>
              </w:rPr>
            </w:pPr>
          </w:p>
          <w:p w14:paraId="3682713D" w14:textId="453F0EE5" w:rsidR="00475109" w:rsidRDefault="00475109" w:rsidP="0044383F">
            <w:pPr>
              <w:spacing w:after="200" w:line="300" w:lineRule="atLeast"/>
              <w:rPr>
                <w:rFonts w:eastAsia="Times"/>
                <w:sz w:val="24"/>
                <w:szCs w:val="19"/>
              </w:rPr>
            </w:pPr>
          </w:p>
          <w:p w14:paraId="1F2B49F3" w14:textId="5AC0B230" w:rsidR="00475109" w:rsidRDefault="00475109" w:rsidP="0044383F">
            <w:pPr>
              <w:spacing w:after="200" w:line="300" w:lineRule="atLeast"/>
              <w:rPr>
                <w:rFonts w:eastAsia="Times"/>
                <w:sz w:val="24"/>
                <w:szCs w:val="19"/>
              </w:rPr>
            </w:pPr>
          </w:p>
          <w:p w14:paraId="2D80BD25" w14:textId="3EE508E3" w:rsidR="00475109" w:rsidRDefault="00475109" w:rsidP="0044383F">
            <w:pPr>
              <w:spacing w:after="200" w:line="300" w:lineRule="atLeast"/>
              <w:rPr>
                <w:rFonts w:eastAsia="Times"/>
                <w:sz w:val="24"/>
                <w:szCs w:val="19"/>
              </w:rPr>
            </w:pPr>
          </w:p>
          <w:p w14:paraId="7392BB23" w14:textId="5F222347" w:rsidR="00475109" w:rsidRDefault="00475109" w:rsidP="0044383F">
            <w:pPr>
              <w:spacing w:after="200" w:line="300" w:lineRule="atLeast"/>
              <w:rPr>
                <w:rFonts w:eastAsia="Times"/>
                <w:sz w:val="24"/>
                <w:szCs w:val="19"/>
              </w:rPr>
            </w:pPr>
          </w:p>
          <w:p w14:paraId="3BB0347C" w14:textId="71DA3CC8" w:rsidR="00475109" w:rsidRDefault="00475109" w:rsidP="0044383F">
            <w:pPr>
              <w:spacing w:after="200" w:line="300" w:lineRule="atLeast"/>
              <w:rPr>
                <w:rFonts w:eastAsia="Times"/>
                <w:sz w:val="24"/>
                <w:szCs w:val="19"/>
              </w:rPr>
            </w:pPr>
          </w:p>
          <w:p w14:paraId="5C5AA649" w14:textId="1CAA3270" w:rsidR="00475109" w:rsidRDefault="00475109" w:rsidP="0044383F">
            <w:pPr>
              <w:spacing w:after="200" w:line="300" w:lineRule="atLeast"/>
              <w:rPr>
                <w:rFonts w:eastAsia="Times"/>
                <w:sz w:val="24"/>
                <w:szCs w:val="19"/>
              </w:rPr>
            </w:pPr>
          </w:p>
          <w:p w14:paraId="485DA617" w14:textId="4BB98B0F" w:rsidR="00475109" w:rsidRDefault="00475109" w:rsidP="0044383F">
            <w:pPr>
              <w:spacing w:after="200" w:line="300" w:lineRule="atLeast"/>
              <w:rPr>
                <w:rFonts w:eastAsia="Times"/>
                <w:sz w:val="24"/>
                <w:szCs w:val="19"/>
              </w:rPr>
            </w:pPr>
          </w:p>
          <w:p w14:paraId="28189BF6" w14:textId="5323FA38" w:rsidR="00475109" w:rsidRDefault="00475109" w:rsidP="0044383F">
            <w:pPr>
              <w:spacing w:after="200" w:line="300" w:lineRule="atLeast"/>
              <w:rPr>
                <w:rFonts w:eastAsia="Times"/>
                <w:sz w:val="24"/>
                <w:szCs w:val="19"/>
              </w:rPr>
            </w:pPr>
          </w:p>
          <w:p w14:paraId="7782F70E" w14:textId="764CC41A" w:rsidR="00475109" w:rsidRDefault="00475109" w:rsidP="0044383F">
            <w:pPr>
              <w:spacing w:after="200" w:line="300" w:lineRule="atLeast"/>
              <w:rPr>
                <w:rFonts w:eastAsia="Times"/>
                <w:sz w:val="24"/>
                <w:szCs w:val="19"/>
              </w:rPr>
            </w:pPr>
          </w:p>
          <w:p w14:paraId="7A0C0890" w14:textId="3AB1648A" w:rsidR="00475109" w:rsidRDefault="00475109" w:rsidP="0044383F">
            <w:pPr>
              <w:spacing w:after="200" w:line="300" w:lineRule="atLeast"/>
              <w:rPr>
                <w:rFonts w:eastAsia="Times"/>
                <w:sz w:val="24"/>
                <w:szCs w:val="19"/>
              </w:rPr>
            </w:pPr>
          </w:p>
          <w:p w14:paraId="426ACF16" w14:textId="77777777" w:rsidR="00475109" w:rsidRDefault="00475109" w:rsidP="0044383F">
            <w:pPr>
              <w:spacing w:after="200" w:line="300" w:lineRule="atLeast"/>
              <w:rPr>
                <w:rFonts w:eastAsia="Times"/>
                <w:sz w:val="24"/>
                <w:szCs w:val="19"/>
              </w:rPr>
            </w:pPr>
          </w:p>
          <w:p w14:paraId="773AEDC1" w14:textId="77777777" w:rsidR="00475109" w:rsidRDefault="00475109" w:rsidP="0044383F">
            <w:pPr>
              <w:spacing w:after="200" w:line="300" w:lineRule="atLeast"/>
              <w:rPr>
                <w:rFonts w:eastAsia="Times"/>
                <w:sz w:val="24"/>
                <w:szCs w:val="19"/>
              </w:rPr>
            </w:pPr>
          </w:p>
          <w:p w14:paraId="073B3542" w14:textId="4DF09CA1" w:rsidR="00E86F93" w:rsidRDefault="00E86F93" w:rsidP="00E86F93">
            <w:pPr>
              <w:spacing w:after="200" w:line="300" w:lineRule="atLeast"/>
              <w:rPr>
                <w:rFonts w:eastAsia="Times"/>
                <w:sz w:val="24"/>
                <w:szCs w:val="19"/>
              </w:rPr>
            </w:pPr>
            <w:bookmarkStart w:id="0" w:name="_Hlk67402020"/>
            <w:r>
              <w:rPr>
                <w:rFonts w:eastAsia="Times"/>
                <w:sz w:val="24"/>
                <w:szCs w:val="19"/>
              </w:rPr>
              <w:t xml:space="preserve">To receive this publication in an accessible format </w:t>
            </w:r>
            <w:hyperlink r:id="rId18" w:history="1">
              <w:r w:rsidRPr="00E44842">
                <w:rPr>
                  <w:rStyle w:val="Hyperlink"/>
                  <w:rFonts w:eastAsia="Times"/>
                  <w:sz w:val="24"/>
                  <w:szCs w:val="19"/>
                </w:rPr>
                <w:t>email HDSS helpdesk</w:t>
              </w:r>
            </w:hyperlink>
            <w:r>
              <w:rPr>
                <w:rFonts w:eastAsia="Times"/>
                <w:sz w:val="24"/>
                <w:szCs w:val="19"/>
              </w:rPr>
              <w:t xml:space="preserve"> &lt;hdss.helpdesk@</w:t>
            </w:r>
            <w:r w:rsidR="002105B8">
              <w:rPr>
                <w:rFonts w:eastAsia="Times"/>
                <w:sz w:val="24"/>
                <w:szCs w:val="19"/>
              </w:rPr>
              <w:t>health</w:t>
            </w:r>
            <w:r>
              <w:rPr>
                <w:rFonts w:eastAsia="Times"/>
                <w:sz w:val="24"/>
                <w:szCs w:val="19"/>
              </w:rPr>
              <w:t>.vic.gov.au&gt;.</w:t>
            </w:r>
          </w:p>
          <w:p w14:paraId="0576D635" w14:textId="77777777" w:rsidR="00E86F93" w:rsidRPr="0044383F" w:rsidRDefault="00E86F93" w:rsidP="00E86F93">
            <w:pPr>
              <w:pStyle w:val="DHHSbody"/>
              <w:rPr>
                <w:sz w:val="20"/>
              </w:rPr>
            </w:pPr>
            <w:r w:rsidRPr="0044383F">
              <w:rPr>
                <w:sz w:val="20"/>
              </w:rPr>
              <w:t>Authorised and published by the Victorian Government, 1 Treasury Place, Melbourne.</w:t>
            </w:r>
          </w:p>
          <w:p w14:paraId="3B046FB1" w14:textId="2EC0A0E2" w:rsidR="00E86F93" w:rsidRDefault="00E86F93" w:rsidP="00E86F93">
            <w:pPr>
              <w:pStyle w:val="DHHSbody"/>
              <w:rPr>
                <w:sz w:val="20"/>
              </w:rPr>
            </w:pPr>
            <w:r w:rsidRPr="0044383F">
              <w:rPr>
                <w:sz w:val="20"/>
              </w:rPr>
              <w:t>© State of Victoria, Australia, Department of Health</w:t>
            </w:r>
            <w:r w:rsidR="002D1515">
              <w:rPr>
                <w:sz w:val="20"/>
              </w:rPr>
              <w:t>,</w:t>
            </w:r>
            <w:r w:rsidRPr="0044383F">
              <w:rPr>
                <w:sz w:val="20"/>
              </w:rPr>
              <w:t xml:space="preserve"> July 202</w:t>
            </w:r>
            <w:r w:rsidR="00676B3F">
              <w:rPr>
                <w:sz w:val="20"/>
              </w:rPr>
              <w:t>2</w:t>
            </w:r>
            <w:r w:rsidRPr="0044383F">
              <w:rPr>
                <w:sz w:val="20"/>
              </w:rPr>
              <w:t>.</w:t>
            </w:r>
          </w:p>
          <w:p w14:paraId="343DBB3C" w14:textId="77777777" w:rsidR="00E86F93" w:rsidRPr="006B4CE2" w:rsidRDefault="00E86F93" w:rsidP="00E86F93">
            <w:pPr>
              <w:pStyle w:val="Imprint"/>
            </w:pPr>
            <w:r w:rsidRPr="006B4CE2">
              <w:t>Except where otherwise indicated, the images in this document show models and illustrative settings only, and do not necessarily depict actual services, facilities or recipients of services. This document may contain images of deceased Aboriginal and Torres Strait Islander peoples.</w:t>
            </w:r>
          </w:p>
          <w:p w14:paraId="3F44AFC8" w14:textId="77777777" w:rsidR="00E86F93" w:rsidRPr="006B4CE2" w:rsidRDefault="00E86F93" w:rsidP="00E86F93">
            <w:pPr>
              <w:pStyle w:val="Imprint"/>
            </w:pPr>
            <w:r w:rsidRPr="006B4CE2">
              <w:t>In this document, ‘Aboriginal’ refers to both Aboriginal and Torres Strait Islander people. ‘Indigenous’ or ‘Koori/Koorie’ is retained when part of the title of a report, program or quotation.</w:t>
            </w:r>
          </w:p>
          <w:p w14:paraId="49187455" w14:textId="77777777" w:rsidR="00E86F93" w:rsidRPr="0044383F" w:rsidRDefault="00E86F93" w:rsidP="00E86F93">
            <w:pPr>
              <w:pStyle w:val="DHHSbody"/>
              <w:rPr>
                <w:sz w:val="20"/>
              </w:rPr>
            </w:pPr>
          </w:p>
          <w:p w14:paraId="547261F2" w14:textId="51BA6EA5" w:rsidR="008D7BDD" w:rsidRPr="003F708A" w:rsidRDefault="008D7BDD" w:rsidP="008D7BDD">
            <w:pPr>
              <w:pStyle w:val="DHHSbody"/>
              <w:rPr>
                <w:rStyle w:val="DHHSbodyChar"/>
              </w:rPr>
            </w:pPr>
            <w:r w:rsidRPr="003F708A">
              <w:rPr>
                <w:rStyle w:val="FigurecaptionChar"/>
              </w:rPr>
              <w:t xml:space="preserve">ISBN </w:t>
            </w:r>
            <w:r w:rsidRPr="003F708A">
              <w:rPr>
                <w:rStyle w:val="DHHSbodyChar"/>
              </w:rPr>
              <w:t xml:space="preserve">978-1-76096-781-9 </w:t>
            </w:r>
            <w:r w:rsidRPr="003F708A">
              <w:rPr>
                <w:rStyle w:val="FigurecaptionChar"/>
              </w:rPr>
              <w:t>(pdf/online/MS word)</w:t>
            </w:r>
          </w:p>
          <w:p w14:paraId="3C21E6F1" w14:textId="23928A88" w:rsidR="00E86F93" w:rsidRPr="0044383F" w:rsidRDefault="00E86F93" w:rsidP="00E86F93">
            <w:pPr>
              <w:pStyle w:val="DHHSbody"/>
              <w:rPr>
                <w:rFonts w:cs="Arial"/>
                <w:sz w:val="20"/>
              </w:rPr>
            </w:pPr>
            <w:r w:rsidRPr="0044383F">
              <w:rPr>
                <w:sz w:val="20"/>
              </w:rPr>
              <w:t>Available at</w:t>
            </w:r>
            <w:r w:rsidR="0015017A">
              <w:rPr>
                <w:sz w:val="20"/>
              </w:rPr>
              <w:t xml:space="preserve"> the</w:t>
            </w:r>
            <w:r w:rsidRPr="0044383F">
              <w:rPr>
                <w:sz w:val="20"/>
              </w:rPr>
              <w:t xml:space="preserve"> </w:t>
            </w:r>
            <w:hyperlink r:id="rId19" w:history="1">
              <w:r w:rsidRPr="0044383F">
                <w:rPr>
                  <w:rFonts w:cs="Arial"/>
                  <w:color w:val="3366FF"/>
                  <w:sz w:val="20"/>
                  <w:u w:val="dotted"/>
                </w:rPr>
                <w:t>VINAH webpage</w:t>
              </w:r>
            </w:hyperlink>
            <w:r w:rsidRPr="0044383F">
              <w:rPr>
                <w:sz w:val="20"/>
              </w:rPr>
              <w:t xml:space="preserve"> &lt;</w:t>
            </w:r>
            <w:hyperlink r:id="rId20" w:history="1">
              <w:r w:rsidRPr="0044383F">
                <w:rPr>
                  <w:sz w:val="20"/>
                </w:rPr>
                <w:t>https://www2.health.vic.gov.au/hospitals-and-health-services/data-reporting/health-data-standards-systems/vinah</w:t>
              </w:r>
            </w:hyperlink>
            <w:bookmarkEnd w:id="0"/>
            <w:r w:rsidRPr="0044383F">
              <w:rPr>
                <w:sz w:val="20"/>
              </w:rPr>
              <w:t>&gt;</w:t>
            </w:r>
          </w:p>
          <w:p w14:paraId="60B2C73F" w14:textId="10A110A7" w:rsidR="009F2182" w:rsidRDefault="009F2182" w:rsidP="00E86F93">
            <w:pPr>
              <w:pStyle w:val="DHHSbody"/>
            </w:pPr>
          </w:p>
        </w:tc>
      </w:tr>
      <w:tr w:rsidR="0008204A" w14:paraId="1B6674D5" w14:textId="77777777" w:rsidTr="0008204A">
        <w:trPr>
          <w:cantSplit/>
        </w:trPr>
        <w:tc>
          <w:tcPr>
            <w:tcW w:w="9288" w:type="dxa"/>
          </w:tcPr>
          <w:p w14:paraId="26836FD8" w14:textId="77777777" w:rsidR="0008204A" w:rsidRPr="0055119B" w:rsidRDefault="0008204A" w:rsidP="0008204A">
            <w:pPr>
              <w:pStyle w:val="Body"/>
            </w:pPr>
          </w:p>
        </w:tc>
      </w:tr>
    </w:tbl>
    <w:p w14:paraId="449CCE2B" w14:textId="77777777" w:rsidR="0008204A" w:rsidRPr="0008204A" w:rsidRDefault="0008204A" w:rsidP="0008204A">
      <w:pPr>
        <w:pStyle w:val="Body"/>
      </w:pPr>
      <w:r w:rsidRPr="0008204A">
        <w:br w:type="page"/>
      </w:r>
    </w:p>
    <w:p w14:paraId="4E9E29B4" w14:textId="77777777" w:rsidR="00AD784C" w:rsidRPr="00B57329" w:rsidRDefault="00AD784C" w:rsidP="002365B4">
      <w:pPr>
        <w:pStyle w:val="TOCheadingreport"/>
      </w:pPr>
      <w:r w:rsidRPr="00B57329">
        <w:lastRenderedPageBreak/>
        <w:t>Contents</w:t>
      </w:r>
    </w:p>
    <w:p w14:paraId="21E6174B" w14:textId="68815723" w:rsidR="00E74E39" w:rsidRDefault="001355B8">
      <w:pPr>
        <w:pStyle w:val="TOC1"/>
        <w:rPr>
          <w:rFonts w:asciiTheme="minorHAnsi" w:eastAsiaTheme="minorEastAsia" w:hAnsiTheme="minorHAnsi" w:cstheme="minorBidi"/>
          <w:b w:val="0"/>
          <w:sz w:val="22"/>
          <w:szCs w:val="22"/>
          <w:lang w:eastAsia="en-AU"/>
        </w:rPr>
      </w:pPr>
      <w:r>
        <w:fldChar w:fldCharType="begin"/>
      </w:r>
      <w:r>
        <w:instrText xml:space="preserve"> TOC \h \z \t "Heading 1,1,Heading 2,2" </w:instrText>
      </w:r>
      <w:r>
        <w:fldChar w:fldCharType="separate"/>
      </w:r>
      <w:hyperlink w:anchor="_Toc101788750" w:history="1">
        <w:r w:rsidR="00E74E39" w:rsidRPr="00CE65D3">
          <w:rPr>
            <w:rStyle w:val="Hyperlink"/>
          </w:rPr>
          <w:t>Introduction</w:t>
        </w:r>
        <w:r w:rsidR="00E74E39">
          <w:rPr>
            <w:webHidden/>
          </w:rPr>
          <w:tab/>
        </w:r>
        <w:r w:rsidR="00E74E39">
          <w:rPr>
            <w:webHidden/>
          </w:rPr>
          <w:fldChar w:fldCharType="begin"/>
        </w:r>
        <w:r w:rsidR="00E74E39">
          <w:rPr>
            <w:webHidden/>
          </w:rPr>
          <w:instrText xml:space="preserve"> PAGEREF _Toc101788750 \h </w:instrText>
        </w:r>
        <w:r w:rsidR="00E74E39">
          <w:rPr>
            <w:webHidden/>
          </w:rPr>
        </w:r>
        <w:r w:rsidR="00E74E39">
          <w:rPr>
            <w:webHidden/>
          </w:rPr>
          <w:fldChar w:fldCharType="separate"/>
        </w:r>
        <w:r w:rsidR="00E74E39">
          <w:rPr>
            <w:webHidden/>
          </w:rPr>
          <w:t>5</w:t>
        </w:r>
        <w:r w:rsidR="00E74E39">
          <w:rPr>
            <w:webHidden/>
          </w:rPr>
          <w:fldChar w:fldCharType="end"/>
        </w:r>
      </w:hyperlink>
    </w:p>
    <w:p w14:paraId="131869EC" w14:textId="4E2BCC88" w:rsidR="00E74E39" w:rsidRDefault="007831F9">
      <w:pPr>
        <w:pStyle w:val="TOC1"/>
        <w:rPr>
          <w:rFonts w:asciiTheme="minorHAnsi" w:eastAsiaTheme="minorEastAsia" w:hAnsiTheme="minorHAnsi" w:cstheme="minorBidi"/>
          <w:b w:val="0"/>
          <w:sz w:val="22"/>
          <w:szCs w:val="22"/>
          <w:lang w:eastAsia="en-AU"/>
        </w:rPr>
      </w:pPr>
      <w:hyperlink w:anchor="_Toc101788751" w:history="1">
        <w:r w:rsidR="00E74E39" w:rsidRPr="00CE65D3">
          <w:rPr>
            <w:rStyle w:val="Hyperlink"/>
          </w:rPr>
          <w:t>Concepts</w:t>
        </w:r>
        <w:r w:rsidR="00E74E39">
          <w:rPr>
            <w:webHidden/>
          </w:rPr>
          <w:tab/>
        </w:r>
        <w:r w:rsidR="00E74E39">
          <w:rPr>
            <w:webHidden/>
          </w:rPr>
          <w:fldChar w:fldCharType="begin"/>
        </w:r>
        <w:r w:rsidR="00E74E39">
          <w:rPr>
            <w:webHidden/>
          </w:rPr>
          <w:instrText xml:space="preserve"> PAGEREF _Toc101788751 \h </w:instrText>
        </w:r>
        <w:r w:rsidR="00E74E39">
          <w:rPr>
            <w:webHidden/>
          </w:rPr>
        </w:r>
        <w:r w:rsidR="00E74E39">
          <w:rPr>
            <w:webHidden/>
          </w:rPr>
          <w:fldChar w:fldCharType="separate"/>
        </w:r>
        <w:r w:rsidR="00E74E39">
          <w:rPr>
            <w:webHidden/>
          </w:rPr>
          <w:t>5</w:t>
        </w:r>
        <w:r w:rsidR="00E74E39">
          <w:rPr>
            <w:webHidden/>
          </w:rPr>
          <w:fldChar w:fldCharType="end"/>
        </w:r>
      </w:hyperlink>
    </w:p>
    <w:p w14:paraId="2AA435C3" w14:textId="6C74B691" w:rsidR="00E74E39" w:rsidRDefault="007831F9">
      <w:pPr>
        <w:pStyle w:val="TOC2"/>
        <w:rPr>
          <w:rFonts w:asciiTheme="minorHAnsi" w:eastAsiaTheme="minorEastAsia" w:hAnsiTheme="minorHAnsi" w:cstheme="minorBidi"/>
          <w:sz w:val="22"/>
          <w:szCs w:val="22"/>
          <w:lang w:eastAsia="en-AU"/>
        </w:rPr>
      </w:pPr>
      <w:hyperlink w:anchor="_Toc101788752" w:history="1">
        <w:r w:rsidR="00E74E39" w:rsidRPr="00CE65D3">
          <w:rPr>
            <w:rStyle w:val="Hyperlink"/>
          </w:rPr>
          <w:t>Brokerage</w:t>
        </w:r>
        <w:r w:rsidR="00E74E39">
          <w:rPr>
            <w:webHidden/>
          </w:rPr>
          <w:tab/>
        </w:r>
        <w:r w:rsidR="00E74E39">
          <w:rPr>
            <w:webHidden/>
          </w:rPr>
          <w:fldChar w:fldCharType="begin"/>
        </w:r>
        <w:r w:rsidR="00E74E39">
          <w:rPr>
            <w:webHidden/>
          </w:rPr>
          <w:instrText xml:space="preserve"> PAGEREF _Toc101788752 \h </w:instrText>
        </w:r>
        <w:r w:rsidR="00E74E39">
          <w:rPr>
            <w:webHidden/>
          </w:rPr>
        </w:r>
        <w:r w:rsidR="00E74E39">
          <w:rPr>
            <w:webHidden/>
          </w:rPr>
          <w:fldChar w:fldCharType="separate"/>
        </w:r>
        <w:r w:rsidR="00E74E39">
          <w:rPr>
            <w:webHidden/>
          </w:rPr>
          <w:t>5</w:t>
        </w:r>
        <w:r w:rsidR="00E74E39">
          <w:rPr>
            <w:webHidden/>
          </w:rPr>
          <w:fldChar w:fldCharType="end"/>
        </w:r>
      </w:hyperlink>
    </w:p>
    <w:p w14:paraId="78AF4810" w14:textId="7CF325F4" w:rsidR="00E74E39" w:rsidRDefault="007831F9">
      <w:pPr>
        <w:pStyle w:val="TOC2"/>
        <w:rPr>
          <w:rFonts w:asciiTheme="minorHAnsi" w:eastAsiaTheme="minorEastAsia" w:hAnsiTheme="minorHAnsi" w:cstheme="minorBidi"/>
          <w:sz w:val="22"/>
          <w:szCs w:val="22"/>
          <w:lang w:eastAsia="en-AU"/>
        </w:rPr>
      </w:pPr>
      <w:hyperlink w:anchor="_Toc101788753" w:history="1">
        <w:r w:rsidR="00E74E39" w:rsidRPr="00CE65D3">
          <w:rPr>
            <w:rStyle w:val="Hyperlink"/>
          </w:rPr>
          <w:t>Campus</w:t>
        </w:r>
        <w:r w:rsidR="00E74E39">
          <w:rPr>
            <w:webHidden/>
          </w:rPr>
          <w:tab/>
        </w:r>
        <w:r w:rsidR="00E74E39">
          <w:rPr>
            <w:webHidden/>
          </w:rPr>
          <w:fldChar w:fldCharType="begin"/>
        </w:r>
        <w:r w:rsidR="00E74E39">
          <w:rPr>
            <w:webHidden/>
          </w:rPr>
          <w:instrText xml:space="preserve"> PAGEREF _Toc101788753 \h </w:instrText>
        </w:r>
        <w:r w:rsidR="00E74E39">
          <w:rPr>
            <w:webHidden/>
          </w:rPr>
        </w:r>
        <w:r w:rsidR="00E74E39">
          <w:rPr>
            <w:webHidden/>
          </w:rPr>
          <w:fldChar w:fldCharType="separate"/>
        </w:r>
        <w:r w:rsidR="00E74E39">
          <w:rPr>
            <w:webHidden/>
          </w:rPr>
          <w:t>5</w:t>
        </w:r>
        <w:r w:rsidR="00E74E39">
          <w:rPr>
            <w:webHidden/>
          </w:rPr>
          <w:fldChar w:fldCharType="end"/>
        </w:r>
      </w:hyperlink>
    </w:p>
    <w:p w14:paraId="776C7FED" w14:textId="12A44813" w:rsidR="00E74E39" w:rsidRDefault="007831F9">
      <w:pPr>
        <w:pStyle w:val="TOC2"/>
        <w:rPr>
          <w:rFonts w:asciiTheme="minorHAnsi" w:eastAsiaTheme="minorEastAsia" w:hAnsiTheme="minorHAnsi" w:cstheme="minorBidi"/>
          <w:sz w:val="22"/>
          <w:szCs w:val="22"/>
          <w:lang w:eastAsia="en-AU"/>
        </w:rPr>
      </w:pPr>
      <w:hyperlink w:anchor="_Toc101788754" w:history="1">
        <w:r w:rsidR="00E74E39" w:rsidRPr="00CE65D3">
          <w:rPr>
            <w:rStyle w:val="Hyperlink"/>
          </w:rPr>
          <w:t>Case</w:t>
        </w:r>
        <w:r w:rsidR="00E74E39">
          <w:rPr>
            <w:webHidden/>
          </w:rPr>
          <w:tab/>
        </w:r>
        <w:r w:rsidR="00E74E39">
          <w:rPr>
            <w:webHidden/>
          </w:rPr>
          <w:fldChar w:fldCharType="begin"/>
        </w:r>
        <w:r w:rsidR="00E74E39">
          <w:rPr>
            <w:webHidden/>
          </w:rPr>
          <w:instrText xml:space="preserve"> PAGEREF _Toc101788754 \h </w:instrText>
        </w:r>
        <w:r w:rsidR="00E74E39">
          <w:rPr>
            <w:webHidden/>
          </w:rPr>
        </w:r>
        <w:r w:rsidR="00E74E39">
          <w:rPr>
            <w:webHidden/>
          </w:rPr>
          <w:fldChar w:fldCharType="separate"/>
        </w:r>
        <w:r w:rsidR="00E74E39">
          <w:rPr>
            <w:webHidden/>
          </w:rPr>
          <w:t>6</w:t>
        </w:r>
        <w:r w:rsidR="00E74E39">
          <w:rPr>
            <w:webHidden/>
          </w:rPr>
          <w:fldChar w:fldCharType="end"/>
        </w:r>
      </w:hyperlink>
    </w:p>
    <w:p w14:paraId="18749984" w14:textId="50AFD6B3" w:rsidR="00E74E39" w:rsidRDefault="007831F9">
      <w:pPr>
        <w:pStyle w:val="TOC2"/>
        <w:rPr>
          <w:rFonts w:asciiTheme="minorHAnsi" w:eastAsiaTheme="minorEastAsia" w:hAnsiTheme="minorHAnsi" w:cstheme="minorBidi"/>
          <w:sz w:val="22"/>
          <w:szCs w:val="22"/>
          <w:lang w:eastAsia="en-AU"/>
        </w:rPr>
      </w:pPr>
      <w:hyperlink w:anchor="_Toc101788755" w:history="1">
        <w:r w:rsidR="00E74E39" w:rsidRPr="00CE65D3">
          <w:rPr>
            <w:rStyle w:val="Hyperlink"/>
          </w:rPr>
          <w:t>Contact</w:t>
        </w:r>
        <w:r w:rsidR="00E74E39">
          <w:rPr>
            <w:webHidden/>
          </w:rPr>
          <w:tab/>
        </w:r>
        <w:r w:rsidR="00E74E39">
          <w:rPr>
            <w:webHidden/>
          </w:rPr>
          <w:fldChar w:fldCharType="begin"/>
        </w:r>
        <w:r w:rsidR="00E74E39">
          <w:rPr>
            <w:webHidden/>
          </w:rPr>
          <w:instrText xml:space="preserve"> PAGEREF _Toc101788755 \h </w:instrText>
        </w:r>
        <w:r w:rsidR="00E74E39">
          <w:rPr>
            <w:webHidden/>
          </w:rPr>
        </w:r>
        <w:r w:rsidR="00E74E39">
          <w:rPr>
            <w:webHidden/>
          </w:rPr>
          <w:fldChar w:fldCharType="separate"/>
        </w:r>
        <w:r w:rsidR="00E74E39">
          <w:rPr>
            <w:webHidden/>
          </w:rPr>
          <w:t>7</w:t>
        </w:r>
        <w:r w:rsidR="00E74E39">
          <w:rPr>
            <w:webHidden/>
          </w:rPr>
          <w:fldChar w:fldCharType="end"/>
        </w:r>
      </w:hyperlink>
    </w:p>
    <w:p w14:paraId="4C321E84" w14:textId="0CBBEC28" w:rsidR="00E74E39" w:rsidRDefault="007831F9">
      <w:pPr>
        <w:pStyle w:val="TOC2"/>
        <w:rPr>
          <w:rFonts w:asciiTheme="minorHAnsi" w:eastAsiaTheme="minorEastAsia" w:hAnsiTheme="minorHAnsi" w:cstheme="minorBidi"/>
          <w:sz w:val="22"/>
          <w:szCs w:val="22"/>
          <w:lang w:eastAsia="en-AU"/>
        </w:rPr>
      </w:pPr>
      <w:hyperlink w:anchor="_Toc101788756" w:history="1">
        <w:r w:rsidR="00E74E39" w:rsidRPr="00CE65D3">
          <w:rPr>
            <w:rStyle w:val="Hyperlink"/>
          </w:rPr>
          <w:t>Conservative Management</w:t>
        </w:r>
        <w:r w:rsidR="00E74E39">
          <w:rPr>
            <w:webHidden/>
          </w:rPr>
          <w:tab/>
        </w:r>
        <w:r w:rsidR="00E74E39">
          <w:rPr>
            <w:webHidden/>
          </w:rPr>
          <w:fldChar w:fldCharType="begin"/>
        </w:r>
        <w:r w:rsidR="00E74E39">
          <w:rPr>
            <w:webHidden/>
          </w:rPr>
          <w:instrText xml:space="preserve"> PAGEREF _Toc101788756 \h </w:instrText>
        </w:r>
        <w:r w:rsidR="00E74E39">
          <w:rPr>
            <w:webHidden/>
          </w:rPr>
        </w:r>
        <w:r w:rsidR="00E74E39">
          <w:rPr>
            <w:webHidden/>
          </w:rPr>
          <w:fldChar w:fldCharType="separate"/>
        </w:r>
        <w:r w:rsidR="00E74E39">
          <w:rPr>
            <w:webHidden/>
          </w:rPr>
          <w:t>10</w:t>
        </w:r>
        <w:r w:rsidR="00E74E39">
          <w:rPr>
            <w:webHidden/>
          </w:rPr>
          <w:fldChar w:fldCharType="end"/>
        </w:r>
      </w:hyperlink>
    </w:p>
    <w:p w14:paraId="39C98552" w14:textId="68931DED" w:rsidR="00E74E39" w:rsidRDefault="007831F9">
      <w:pPr>
        <w:pStyle w:val="TOC2"/>
        <w:rPr>
          <w:rFonts w:asciiTheme="minorHAnsi" w:eastAsiaTheme="minorEastAsia" w:hAnsiTheme="minorHAnsi" w:cstheme="minorBidi"/>
          <w:sz w:val="22"/>
          <w:szCs w:val="22"/>
          <w:lang w:eastAsia="en-AU"/>
        </w:rPr>
      </w:pPr>
      <w:hyperlink w:anchor="_Toc101788757" w:history="1">
        <w:r w:rsidR="00E74E39" w:rsidRPr="00CE65D3">
          <w:rPr>
            <w:rStyle w:val="Hyperlink"/>
          </w:rPr>
          <w:t>Complex Care (FCP)</w:t>
        </w:r>
        <w:r w:rsidR="00E74E39">
          <w:rPr>
            <w:webHidden/>
          </w:rPr>
          <w:tab/>
        </w:r>
        <w:r w:rsidR="00E74E39">
          <w:rPr>
            <w:webHidden/>
          </w:rPr>
          <w:fldChar w:fldCharType="begin"/>
        </w:r>
        <w:r w:rsidR="00E74E39">
          <w:rPr>
            <w:webHidden/>
          </w:rPr>
          <w:instrText xml:space="preserve"> PAGEREF _Toc101788757 \h </w:instrText>
        </w:r>
        <w:r w:rsidR="00E74E39">
          <w:rPr>
            <w:webHidden/>
          </w:rPr>
        </w:r>
        <w:r w:rsidR="00E74E39">
          <w:rPr>
            <w:webHidden/>
          </w:rPr>
          <w:fldChar w:fldCharType="separate"/>
        </w:r>
        <w:r w:rsidR="00E74E39">
          <w:rPr>
            <w:webHidden/>
          </w:rPr>
          <w:t>11</w:t>
        </w:r>
        <w:r w:rsidR="00E74E39">
          <w:rPr>
            <w:webHidden/>
          </w:rPr>
          <w:fldChar w:fldCharType="end"/>
        </w:r>
      </w:hyperlink>
    </w:p>
    <w:p w14:paraId="030C6CB1" w14:textId="060C30B3" w:rsidR="00E74E39" w:rsidRDefault="007831F9">
      <w:pPr>
        <w:pStyle w:val="TOC2"/>
        <w:rPr>
          <w:rFonts w:asciiTheme="minorHAnsi" w:eastAsiaTheme="minorEastAsia" w:hAnsiTheme="minorHAnsi" w:cstheme="minorBidi"/>
          <w:sz w:val="22"/>
          <w:szCs w:val="22"/>
          <w:lang w:eastAsia="en-AU"/>
        </w:rPr>
      </w:pPr>
      <w:hyperlink w:anchor="_Toc101788758" w:history="1">
        <w:r w:rsidR="00E74E39" w:rsidRPr="00CE65D3">
          <w:rPr>
            <w:rStyle w:val="Hyperlink"/>
          </w:rPr>
          <w:t>Episode</w:t>
        </w:r>
        <w:r w:rsidR="00E74E39">
          <w:rPr>
            <w:webHidden/>
          </w:rPr>
          <w:tab/>
        </w:r>
        <w:r w:rsidR="00E74E39">
          <w:rPr>
            <w:webHidden/>
          </w:rPr>
          <w:fldChar w:fldCharType="begin"/>
        </w:r>
        <w:r w:rsidR="00E74E39">
          <w:rPr>
            <w:webHidden/>
          </w:rPr>
          <w:instrText xml:space="preserve"> PAGEREF _Toc101788758 \h </w:instrText>
        </w:r>
        <w:r w:rsidR="00E74E39">
          <w:rPr>
            <w:webHidden/>
          </w:rPr>
        </w:r>
        <w:r w:rsidR="00E74E39">
          <w:rPr>
            <w:webHidden/>
          </w:rPr>
          <w:fldChar w:fldCharType="separate"/>
        </w:r>
        <w:r w:rsidR="00E74E39">
          <w:rPr>
            <w:webHidden/>
          </w:rPr>
          <w:t>12</w:t>
        </w:r>
        <w:r w:rsidR="00E74E39">
          <w:rPr>
            <w:webHidden/>
          </w:rPr>
          <w:fldChar w:fldCharType="end"/>
        </w:r>
      </w:hyperlink>
    </w:p>
    <w:p w14:paraId="0EB263DF" w14:textId="3FD7CAC2" w:rsidR="00E74E39" w:rsidRDefault="007831F9">
      <w:pPr>
        <w:pStyle w:val="TOC2"/>
        <w:rPr>
          <w:rFonts w:asciiTheme="minorHAnsi" w:eastAsiaTheme="minorEastAsia" w:hAnsiTheme="minorHAnsi" w:cstheme="minorBidi"/>
          <w:sz w:val="22"/>
          <w:szCs w:val="22"/>
          <w:lang w:eastAsia="en-AU"/>
        </w:rPr>
      </w:pPr>
      <w:hyperlink w:anchor="_Toc101788759" w:history="1">
        <w:r w:rsidR="00E74E39" w:rsidRPr="00CE65D3">
          <w:rPr>
            <w:rStyle w:val="Hyperlink"/>
          </w:rPr>
          <w:t>Group sessions</w:t>
        </w:r>
        <w:r w:rsidR="00E74E39">
          <w:rPr>
            <w:webHidden/>
          </w:rPr>
          <w:tab/>
        </w:r>
        <w:r w:rsidR="00E74E39">
          <w:rPr>
            <w:webHidden/>
          </w:rPr>
          <w:fldChar w:fldCharType="begin"/>
        </w:r>
        <w:r w:rsidR="00E74E39">
          <w:rPr>
            <w:webHidden/>
          </w:rPr>
          <w:instrText xml:space="preserve"> PAGEREF _Toc101788759 \h </w:instrText>
        </w:r>
        <w:r w:rsidR="00E74E39">
          <w:rPr>
            <w:webHidden/>
          </w:rPr>
        </w:r>
        <w:r w:rsidR="00E74E39">
          <w:rPr>
            <w:webHidden/>
          </w:rPr>
          <w:fldChar w:fldCharType="separate"/>
        </w:r>
        <w:r w:rsidR="00E74E39">
          <w:rPr>
            <w:webHidden/>
          </w:rPr>
          <w:t>13</w:t>
        </w:r>
        <w:r w:rsidR="00E74E39">
          <w:rPr>
            <w:webHidden/>
          </w:rPr>
          <w:fldChar w:fldCharType="end"/>
        </w:r>
      </w:hyperlink>
    </w:p>
    <w:p w14:paraId="6CAE23E0" w14:textId="0B492796" w:rsidR="00E74E39" w:rsidRDefault="007831F9">
      <w:pPr>
        <w:pStyle w:val="TOC2"/>
        <w:rPr>
          <w:rFonts w:asciiTheme="minorHAnsi" w:eastAsiaTheme="minorEastAsia" w:hAnsiTheme="minorHAnsi" w:cstheme="minorBidi"/>
          <w:sz w:val="22"/>
          <w:szCs w:val="22"/>
          <w:lang w:eastAsia="en-AU"/>
        </w:rPr>
      </w:pPr>
      <w:hyperlink w:anchor="_Toc101788760" w:history="1">
        <w:r w:rsidR="00E74E39" w:rsidRPr="00CE65D3">
          <w:rPr>
            <w:rStyle w:val="Hyperlink"/>
          </w:rPr>
          <w:t>Home Based Dialysis (HBD)</w:t>
        </w:r>
        <w:r w:rsidR="00E74E39">
          <w:rPr>
            <w:webHidden/>
          </w:rPr>
          <w:tab/>
        </w:r>
        <w:r w:rsidR="00E74E39">
          <w:rPr>
            <w:webHidden/>
          </w:rPr>
          <w:fldChar w:fldCharType="begin"/>
        </w:r>
        <w:r w:rsidR="00E74E39">
          <w:rPr>
            <w:webHidden/>
          </w:rPr>
          <w:instrText xml:space="preserve"> PAGEREF _Toc101788760 \h </w:instrText>
        </w:r>
        <w:r w:rsidR="00E74E39">
          <w:rPr>
            <w:webHidden/>
          </w:rPr>
        </w:r>
        <w:r w:rsidR="00E74E39">
          <w:rPr>
            <w:webHidden/>
          </w:rPr>
          <w:fldChar w:fldCharType="separate"/>
        </w:r>
        <w:r w:rsidR="00E74E39">
          <w:rPr>
            <w:webHidden/>
          </w:rPr>
          <w:t>14</w:t>
        </w:r>
        <w:r w:rsidR="00E74E39">
          <w:rPr>
            <w:webHidden/>
          </w:rPr>
          <w:fldChar w:fldCharType="end"/>
        </w:r>
      </w:hyperlink>
    </w:p>
    <w:p w14:paraId="6FA32C40" w14:textId="1C798C8D" w:rsidR="00E74E39" w:rsidRDefault="007831F9">
      <w:pPr>
        <w:pStyle w:val="TOC2"/>
        <w:rPr>
          <w:rFonts w:asciiTheme="minorHAnsi" w:eastAsiaTheme="minorEastAsia" w:hAnsiTheme="minorHAnsi" w:cstheme="minorBidi"/>
          <w:sz w:val="22"/>
          <w:szCs w:val="22"/>
          <w:lang w:eastAsia="en-AU"/>
        </w:rPr>
      </w:pPr>
      <w:hyperlink w:anchor="_Toc101788761" w:history="1">
        <w:r w:rsidR="00E74E39" w:rsidRPr="00CE65D3">
          <w:rPr>
            <w:rStyle w:val="Hyperlink"/>
          </w:rPr>
          <w:t>Home Enteral Nutrition (HEN)</w:t>
        </w:r>
        <w:r w:rsidR="00E74E39">
          <w:rPr>
            <w:webHidden/>
          </w:rPr>
          <w:tab/>
        </w:r>
        <w:r w:rsidR="00E74E39">
          <w:rPr>
            <w:webHidden/>
          </w:rPr>
          <w:fldChar w:fldCharType="begin"/>
        </w:r>
        <w:r w:rsidR="00E74E39">
          <w:rPr>
            <w:webHidden/>
          </w:rPr>
          <w:instrText xml:space="preserve"> PAGEREF _Toc101788761 \h </w:instrText>
        </w:r>
        <w:r w:rsidR="00E74E39">
          <w:rPr>
            <w:webHidden/>
          </w:rPr>
        </w:r>
        <w:r w:rsidR="00E74E39">
          <w:rPr>
            <w:webHidden/>
          </w:rPr>
          <w:fldChar w:fldCharType="separate"/>
        </w:r>
        <w:r w:rsidR="00E74E39">
          <w:rPr>
            <w:webHidden/>
          </w:rPr>
          <w:t>14</w:t>
        </w:r>
        <w:r w:rsidR="00E74E39">
          <w:rPr>
            <w:webHidden/>
          </w:rPr>
          <w:fldChar w:fldCharType="end"/>
        </w:r>
      </w:hyperlink>
    </w:p>
    <w:p w14:paraId="61E59865" w14:textId="71B7692A" w:rsidR="00E74E39" w:rsidRDefault="007831F9">
      <w:pPr>
        <w:pStyle w:val="TOC2"/>
        <w:rPr>
          <w:rFonts w:asciiTheme="minorHAnsi" w:eastAsiaTheme="minorEastAsia" w:hAnsiTheme="minorHAnsi" w:cstheme="minorBidi"/>
          <w:sz w:val="22"/>
          <w:szCs w:val="22"/>
          <w:lang w:eastAsia="en-AU"/>
        </w:rPr>
      </w:pPr>
      <w:hyperlink w:anchor="_Toc101788762" w:history="1">
        <w:r w:rsidR="00E74E39" w:rsidRPr="00CE65D3">
          <w:rPr>
            <w:rStyle w:val="Hyperlink"/>
          </w:rPr>
          <w:t>Hospital Admission Risk Program (HARP)</w:t>
        </w:r>
        <w:r w:rsidR="00E74E39">
          <w:rPr>
            <w:webHidden/>
          </w:rPr>
          <w:tab/>
        </w:r>
        <w:r w:rsidR="00E74E39">
          <w:rPr>
            <w:webHidden/>
          </w:rPr>
          <w:fldChar w:fldCharType="begin"/>
        </w:r>
        <w:r w:rsidR="00E74E39">
          <w:rPr>
            <w:webHidden/>
          </w:rPr>
          <w:instrText xml:space="preserve"> PAGEREF _Toc101788762 \h </w:instrText>
        </w:r>
        <w:r w:rsidR="00E74E39">
          <w:rPr>
            <w:webHidden/>
          </w:rPr>
        </w:r>
        <w:r w:rsidR="00E74E39">
          <w:rPr>
            <w:webHidden/>
          </w:rPr>
          <w:fldChar w:fldCharType="separate"/>
        </w:r>
        <w:r w:rsidR="00E74E39">
          <w:rPr>
            <w:webHidden/>
          </w:rPr>
          <w:t>15</w:t>
        </w:r>
        <w:r w:rsidR="00E74E39">
          <w:rPr>
            <w:webHidden/>
          </w:rPr>
          <w:fldChar w:fldCharType="end"/>
        </w:r>
      </w:hyperlink>
    </w:p>
    <w:p w14:paraId="4014525A" w14:textId="1F186361" w:rsidR="00E74E39" w:rsidRDefault="007831F9">
      <w:pPr>
        <w:pStyle w:val="TOC2"/>
        <w:rPr>
          <w:rFonts w:asciiTheme="minorHAnsi" w:eastAsiaTheme="minorEastAsia" w:hAnsiTheme="minorHAnsi" w:cstheme="minorBidi"/>
          <w:sz w:val="22"/>
          <w:szCs w:val="22"/>
          <w:lang w:eastAsia="en-AU"/>
        </w:rPr>
      </w:pPr>
      <w:hyperlink w:anchor="_Toc101788763" w:history="1">
        <w:r w:rsidR="00E74E39" w:rsidRPr="00CE65D3">
          <w:rPr>
            <w:rStyle w:val="Hyperlink"/>
          </w:rPr>
          <w:t>Hospital Based Palliative Care Consultancy Team (HBPCCT)</w:t>
        </w:r>
        <w:r w:rsidR="00E74E39">
          <w:rPr>
            <w:webHidden/>
          </w:rPr>
          <w:tab/>
        </w:r>
        <w:r w:rsidR="00E74E39">
          <w:rPr>
            <w:webHidden/>
          </w:rPr>
          <w:fldChar w:fldCharType="begin"/>
        </w:r>
        <w:r w:rsidR="00E74E39">
          <w:rPr>
            <w:webHidden/>
          </w:rPr>
          <w:instrText xml:space="preserve"> PAGEREF _Toc101788763 \h </w:instrText>
        </w:r>
        <w:r w:rsidR="00E74E39">
          <w:rPr>
            <w:webHidden/>
          </w:rPr>
        </w:r>
        <w:r w:rsidR="00E74E39">
          <w:rPr>
            <w:webHidden/>
          </w:rPr>
          <w:fldChar w:fldCharType="separate"/>
        </w:r>
        <w:r w:rsidR="00E74E39">
          <w:rPr>
            <w:webHidden/>
          </w:rPr>
          <w:t>15</w:t>
        </w:r>
        <w:r w:rsidR="00E74E39">
          <w:rPr>
            <w:webHidden/>
          </w:rPr>
          <w:fldChar w:fldCharType="end"/>
        </w:r>
      </w:hyperlink>
    </w:p>
    <w:p w14:paraId="66A8239B" w14:textId="0CB0209F" w:rsidR="00E74E39" w:rsidRDefault="007831F9">
      <w:pPr>
        <w:pStyle w:val="TOC2"/>
        <w:rPr>
          <w:rFonts w:asciiTheme="minorHAnsi" w:eastAsiaTheme="minorEastAsia" w:hAnsiTheme="minorHAnsi" w:cstheme="minorBidi"/>
          <w:sz w:val="22"/>
          <w:szCs w:val="22"/>
          <w:lang w:eastAsia="en-AU"/>
        </w:rPr>
      </w:pPr>
      <w:hyperlink w:anchor="_Toc101788764" w:history="1">
        <w:r w:rsidR="00E74E39" w:rsidRPr="00CE65D3">
          <w:rPr>
            <w:rStyle w:val="Hyperlink"/>
          </w:rPr>
          <w:t>Medicare eligibility status</w:t>
        </w:r>
        <w:r w:rsidR="00E74E39">
          <w:rPr>
            <w:webHidden/>
          </w:rPr>
          <w:tab/>
        </w:r>
        <w:r w:rsidR="00E74E39">
          <w:rPr>
            <w:webHidden/>
          </w:rPr>
          <w:fldChar w:fldCharType="begin"/>
        </w:r>
        <w:r w:rsidR="00E74E39">
          <w:rPr>
            <w:webHidden/>
          </w:rPr>
          <w:instrText xml:space="preserve"> PAGEREF _Toc101788764 \h </w:instrText>
        </w:r>
        <w:r w:rsidR="00E74E39">
          <w:rPr>
            <w:webHidden/>
          </w:rPr>
        </w:r>
        <w:r w:rsidR="00E74E39">
          <w:rPr>
            <w:webHidden/>
          </w:rPr>
          <w:fldChar w:fldCharType="separate"/>
        </w:r>
        <w:r w:rsidR="00E74E39">
          <w:rPr>
            <w:webHidden/>
          </w:rPr>
          <w:t>16</w:t>
        </w:r>
        <w:r w:rsidR="00E74E39">
          <w:rPr>
            <w:webHidden/>
          </w:rPr>
          <w:fldChar w:fldCharType="end"/>
        </w:r>
      </w:hyperlink>
    </w:p>
    <w:p w14:paraId="5B6AD423" w14:textId="25BFA132" w:rsidR="00E74E39" w:rsidRDefault="007831F9">
      <w:pPr>
        <w:pStyle w:val="TOC2"/>
        <w:rPr>
          <w:rFonts w:asciiTheme="minorHAnsi" w:eastAsiaTheme="minorEastAsia" w:hAnsiTheme="minorHAnsi" w:cstheme="minorBidi"/>
          <w:sz w:val="22"/>
          <w:szCs w:val="22"/>
          <w:lang w:eastAsia="en-AU"/>
        </w:rPr>
      </w:pPr>
      <w:hyperlink w:anchor="_Toc101788765" w:history="1">
        <w:r w:rsidR="00E74E39" w:rsidRPr="00CE65D3">
          <w:rPr>
            <w:rStyle w:val="Hyperlink"/>
          </w:rPr>
          <w:t>Medi-Hotel</w:t>
        </w:r>
        <w:r w:rsidR="00E74E39">
          <w:rPr>
            <w:webHidden/>
          </w:rPr>
          <w:tab/>
        </w:r>
        <w:r w:rsidR="00E74E39">
          <w:rPr>
            <w:webHidden/>
          </w:rPr>
          <w:fldChar w:fldCharType="begin"/>
        </w:r>
        <w:r w:rsidR="00E74E39">
          <w:rPr>
            <w:webHidden/>
          </w:rPr>
          <w:instrText xml:space="preserve"> PAGEREF _Toc101788765 \h </w:instrText>
        </w:r>
        <w:r w:rsidR="00E74E39">
          <w:rPr>
            <w:webHidden/>
          </w:rPr>
        </w:r>
        <w:r w:rsidR="00E74E39">
          <w:rPr>
            <w:webHidden/>
          </w:rPr>
          <w:fldChar w:fldCharType="separate"/>
        </w:r>
        <w:r w:rsidR="00E74E39">
          <w:rPr>
            <w:webHidden/>
          </w:rPr>
          <w:t>16</w:t>
        </w:r>
        <w:r w:rsidR="00E74E39">
          <w:rPr>
            <w:webHidden/>
          </w:rPr>
          <w:fldChar w:fldCharType="end"/>
        </w:r>
      </w:hyperlink>
    </w:p>
    <w:p w14:paraId="2C5932F5" w14:textId="7D5471A5" w:rsidR="00E74E39" w:rsidRDefault="007831F9">
      <w:pPr>
        <w:pStyle w:val="TOC2"/>
        <w:rPr>
          <w:rFonts w:asciiTheme="minorHAnsi" w:eastAsiaTheme="minorEastAsia" w:hAnsiTheme="minorHAnsi" w:cstheme="minorBidi"/>
          <w:sz w:val="22"/>
          <w:szCs w:val="22"/>
          <w:lang w:eastAsia="en-AU"/>
        </w:rPr>
      </w:pPr>
      <w:hyperlink w:anchor="_Toc101788766" w:history="1">
        <w:r w:rsidR="00E74E39" w:rsidRPr="00CE65D3">
          <w:rPr>
            <w:rStyle w:val="Hyperlink"/>
          </w:rPr>
          <w:t>Palliative Care (PC)</w:t>
        </w:r>
        <w:r w:rsidR="00E74E39">
          <w:rPr>
            <w:webHidden/>
          </w:rPr>
          <w:tab/>
        </w:r>
        <w:r w:rsidR="00E74E39">
          <w:rPr>
            <w:webHidden/>
          </w:rPr>
          <w:fldChar w:fldCharType="begin"/>
        </w:r>
        <w:r w:rsidR="00E74E39">
          <w:rPr>
            <w:webHidden/>
          </w:rPr>
          <w:instrText xml:space="preserve"> PAGEREF _Toc101788766 \h </w:instrText>
        </w:r>
        <w:r w:rsidR="00E74E39">
          <w:rPr>
            <w:webHidden/>
          </w:rPr>
        </w:r>
        <w:r w:rsidR="00E74E39">
          <w:rPr>
            <w:webHidden/>
          </w:rPr>
          <w:fldChar w:fldCharType="separate"/>
        </w:r>
        <w:r w:rsidR="00E74E39">
          <w:rPr>
            <w:webHidden/>
          </w:rPr>
          <w:t>17</w:t>
        </w:r>
        <w:r w:rsidR="00E74E39">
          <w:rPr>
            <w:webHidden/>
          </w:rPr>
          <w:fldChar w:fldCharType="end"/>
        </w:r>
      </w:hyperlink>
    </w:p>
    <w:p w14:paraId="7504BE96" w14:textId="7AEC20E2" w:rsidR="00E74E39" w:rsidRDefault="007831F9">
      <w:pPr>
        <w:pStyle w:val="TOC2"/>
        <w:rPr>
          <w:rFonts w:asciiTheme="minorHAnsi" w:eastAsiaTheme="minorEastAsia" w:hAnsiTheme="minorHAnsi" w:cstheme="minorBidi"/>
          <w:sz w:val="22"/>
          <w:szCs w:val="22"/>
          <w:lang w:eastAsia="en-AU"/>
        </w:rPr>
      </w:pPr>
      <w:hyperlink w:anchor="_Toc101788767" w:history="1">
        <w:r w:rsidR="00E74E39" w:rsidRPr="00CE65D3">
          <w:rPr>
            <w:rStyle w:val="Hyperlink"/>
          </w:rPr>
          <w:t>Patient/Client</w:t>
        </w:r>
        <w:r w:rsidR="00E74E39">
          <w:rPr>
            <w:webHidden/>
          </w:rPr>
          <w:tab/>
        </w:r>
        <w:r w:rsidR="00E74E39">
          <w:rPr>
            <w:webHidden/>
          </w:rPr>
          <w:fldChar w:fldCharType="begin"/>
        </w:r>
        <w:r w:rsidR="00E74E39">
          <w:rPr>
            <w:webHidden/>
          </w:rPr>
          <w:instrText xml:space="preserve"> PAGEREF _Toc101788767 \h </w:instrText>
        </w:r>
        <w:r w:rsidR="00E74E39">
          <w:rPr>
            <w:webHidden/>
          </w:rPr>
        </w:r>
        <w:r w:rsidR="00E74E39">
          <w:rPr>
            <w:webHidden/>
          </w:rPr>
          <w:fldChar w:fldCharType="separate"/>
        </w:r>
        <w:r w:rsidR="00E74E39">
          <w:rPr>
            <w:webHidden/>
          </w:rPr>
          <w:t>18</w:t>
        </w:r>
        <w:r w:rsidR="00E74E39">
          <w:rPr>
            <w:webHidden/>
          </w:rPr>
          <w:fldChar w:fldCharType="end"/>
        </w:r>
      </w:hyperlink>
    </w:p>
    <w:p w14:paraId="52107BAC" w14:textId="3786DCC8" w:rsidR="00E74E39" w:rsidRDefault="007831F9">
      <w:pPr>
        <w:pStyle w:val="TOC2"/>
        <w:rPr>
          <w:rFonts w:asciiTheme="minorHAnsi" w:eastAsiaTheme="minorEastAsia" w:hAnsiTheme="minorHAnsi" w:cstheme="minorBidi"/>
          <w:sz w:val="22"/>
          <w:szCs w:val="22"/>
          <w:lang w:eastAsia="en-AU"/>
        </w:rPr>
      </w:pPr>
      <w:hyperlink w:anchor="_Toc101788768" w:history="1">
        <w:r w:rsidR="00E74E39" w:rsidRPr="00CE65D3">
          <w:rPr>
            <w:rStyle w:val="Hyperlink"/>
          </w:rPr>
          <w:t>Post Acute Care (PAC)</w:t>
        </w:r>
        <w:r w:rsidR="00E74E39">
          <w:rPr>
            <w:webHidden/>
          </w:rPr>
          <w:tab/>
        </w:r>
        <w:r w:rsidR="00E74E39">
          <w:rPr>
            <w:webHidden/>
          </w:rPr>
          <w:fldChar w:fldCharType="begin"/>
        </w:r>
        <w:r w:rsidR="00E74E39">
          <w:rPr>
            <w:webHidden/>
          </w:rPr>
          <w:instrText xml:space="preserve"> PAGEREF _Toc101788768 \h </w:instrText>
        </w:r>
        <w:r w:rsidR="00E74E39">
          <w:rPr>
            <w:webHidden/>
          </w:rPr>
        </w:r>
        <w:r w:rsidR="00E74E39">
          <w:rPr>
            <w:webHidden/>
          </w:rPr>
          <w:fldChar w:fldCharType="separate"/>
        </w:r>
        <w:r w:rsidR="00E74E39">
          <w:rPr>
            <w:webHidden/>
          </w:rPr>
          <w:t>18</w:t>
        </w:r>
        <w:r w:rsidR="00E74E39">
          <w:rPr>
            <w:webHidden/>
          </w:rPr>
          <w:fldChar w:fldCharType="end"/>
        </w:r>
      </w:hyperlink>
    </w:p>
    <w:p w14:paraId="5D656700" w14:textId="0FB7777B" w:rsidR="00E74E39" w:rsidRDefault="007831F9">
      <w:pPr>
        <w:pStyle w:val="TOC2"/>
        <w:rPr>
          <w:rFonts w:asciiTheme="minorHAnsi" w:eastAsiaTheme="minorEastAsia" w:hAnsiTheme="minorHAnsi" w:cstheme="minorBidi"/>
          <w:sz w:val="22"/>
          <w:szCs w:val="22"/>
          <w:lang w:eastAsia="en-AU"/>
        </w:rPr>
      </w:pPr>
      <w:hyperlink w:anchor="_Toc101788769" w:history="1">
        <w:r w:rsidR="00E74E39" w:rsidRPr="00CE65D3">
          <w:rPr>
            <w:rStyle w:val="Hyperlink"/>
          </w:rPr>
          <w:t>Program</w:t>
        </w:r>
        <w:r w:rsidR="00E74E39">
          <w:rPr>
            <w:webHidden/>
          </w:rPr>
          <w:tab/>
        </w:r>
        <w:r w:rsidR="00E74E39">
          <w:rPr>
            <w:webHidden/>
          </w:rPr>
          <w:fldChar w:fldCharType="begin"/>
        </w:r>
        <w:r w:rsidR="00E74E39">
          <w:rPr>
            <w:webHidden/>
          </w:rPr>
          <w:instrText xml:space="preserve"> PAGEREF _Toc101788769 \h </w:instrText>
        </w:r>
        <w:r w:rsidR="00E74E39">
          <w:rPr>
            <w:webHidden/>
          </w:rPr>
        </w:r>
        <w:r w:rsidR="00E74E39">
          <w:rPr>
            <w:webHidden/>
          </w:rPr>
          <w:fldChar w:fldCharType="separate"/>
        </w:r>
        <w:r w:rsidR="00E74E39">
          <w:rPr>
            <w:webHidden/>
          </w:rPr>
          <w:t>19</w:t>
        </w:r>
        <w:r w:rsidR="00E74E39">
          <w:rPr>
            <w:webHidden/>
          </w:rPr>
          <w:fldChar w:fldCharType="end"/>
        </w:r>
      </w:hyperlink>
    </w:p>
    <w:p w14:paraId="162D4BF6" w14:textId="3C1EF915" w:rsidR="00E74E39" w:rsidRDefault="007831F9">
      <w:pPr>
        <w:pStyle w:val="TOC2"/>
        <w:rPr>
          <w:rFonts w:asciiTheme="minorHAnsi" w:eastAsiaTheme="minorEastAsia" w:hAnsiTheme="minorHAnsi" w:cstheme="minorBidi"/>
          <w:sz w:val="22"/>
          <w:szCs w:val="22"/>
          <w:lang w:eastAsia="en-AU"/>
        </w:rPr>
      </w:pPr>
      <w:hyperlink w:anchor="_Toc101788770" w:history="1">
        <w:r w:rsidR="00E74E39" w:rsidRPr="00CE65D3">
          <w:rPr>
            <w:rStyle w:val="Hyperlink"/>
          </w:rPr>
          <w:t>Programs reporting to the VINAH MDS</w:t>
        </w:r>
        <w:r w:rsidR="00E74E39">
          <w:rPr>
            <w:webHidden/>
          </w:rPr>
          <w:tab/>
        </w:r>
        <w:r w:rsidR="00E74E39">
          <w:rPr>
            <w:webHidden/>
          </w:rPr>
          <w:fldChar w:fldCharType="begin"/>
        </w:r>
        <w:r w:rsidR="00E74E39">
          <w:rPr>
            <w:webHidden/>
          </w:rPr>
          <w:instrText xml:space="preserve"> PAGEREF _Toc101788770 \h </w:instrText>
        </w:r>
        <w:r w:rsidR="00E74E39">
          <w:rPr>
            <w:webHidden/>
          </w:rPr>
        </w:r>
        <w:r w:rsidR="00E74E39">
          <w:rPr>
            <w:webHidden/>
          </w:rPr>
          <w:fldChar w:fldCharType="separate"/>
        </w:r>
        <w:r w:rsidR="00E74E39">
          <w:rPr>
            <w:webHidden/>
          </w:rPr>
          <w:t>20</w:t>
        </w:r>
        <w:r w:rsidR="00E74E39">
          <w:rPr>
            <w:webHidden/>
          </w:rPr>
          <w:fldChar w:fldCharType="end"/>
        </w:r>
      </w:hyperlink>
    </w:p>
    <w:p w14:paraId="62C7D17D" w14:textId="0B7E3646" w:rsidR="00E74E39" w:rsidRDefault="007831F9">
      <w:pPr>
        <w:pStyle w:val="TOC2"/>
        <w:rPr>
          <w:rFonts w:asciiTheme="minorHAnsi" w:eastAsiaTheme="minorEastAsia" w:hAnsiTheme="minorHAnsi" w:cstheme="minorBidi"/>
          <w:sz w:val="22"/>
          <w:szCs w:val="22"/>
          <w:lang w:eastAsia="en-AU"/>
        </w:rPr>
      </w:pPr>
      <w:hyperlink w:anchor="_Toc101788771" w:history="1">
        <w:r w:rsidR="00E74E39" w:rsidRPr="00CE65D3">
          <w:rPr>
            <w:rStyle w:val="Hyperlink"/>
          </w:rPr>
          <w:t>Referral process</w:t>
        </w:r>
        <w:r w:rsidR="00E74E39">
          <w:rPr>
            <w:webHidden/>
          </w:rPr>
          <w:tab/>
        </w:r>
        <w:r w:rsidR="00E74E39">
          <w:rPr>
            <w:webHidden/>
          </w:rPr>
          <w:fldChar w:fldCharType="begin"/>
        </w:r>
        <w:r w:rsidR="00E74E39">
          <w:rPr>
            <w:webHidden/>
          </w:rPr>
          <w:instrText xml:space="preserve"> PAGEREF _Toc101788771 \h </w:instrText>
        </w:r>
        <w:r w:rsidR="00E74E39">
          <w:rPr>
            <w:webHidden/>
          </w:rPr>
        </w:r>
        <w:r w:rsidR="00E74E39">
          <w:rPr>
            <w:webHidden/>
          </w:rPr>
          <w:fldChar w:fldCharType="separate"/>
        </w:r>
        <w:r w:rsidR="00E74E39">
          <w:rPr>
            <w:webHidden/>
          </w:rPr>
          <w:t>21</w:t>
        </w:r>
        <w:r w:rsidR="00E74E39">
          <w:rPr>
            <w:webHidden/>
          </w:rPr>
          <w:fldChar w:fldCharType="end"/>
        </w:r>
      </w:hyperlink>
    </w:p>
    <w:p w14:paraId="26BCA04C" w14:textId="33E907C3" w:rsidR="00E74E39" w:rsidRDefault="007831F9">
      <w:pPr>
        <w:pStyle w:val="TOC2"/>
        <w:rPr>
          <w:rFonts w:asciiTheme="minorHAnsi" w:eastAsiaTheme="minorEastAsia" w:hAnsiTheme="minorHAnsi" w:cstheme="minorBidi"/>
          <w:sz w:val="22"/>
          <w:szCs w:val="22"/>
          <w:lang w:eastAsia="en-AU"/>
        </w:rPr>
      </w:pPr>
      <w:hyperlink w:anchor="_Toc101788772" w:history="1">
        <w:r w:rsidR="00E74E39" w:rsidRPr="00CE65D3">
          <w:rPr>
            <w:rStyle w:val="Hyperlink"/>
          </w:rPr>
          <w:t>Residential In-Reach (RIR)</w:t>
        </w:r>
        <w:r w:rsidR="00E74E39">
          <w:rPr>
            <w:webHidden/>
          </w:rPr>
          <w:tab/>
        </w:r>
        <w:r w:rsidR="00E74E39">
          <w:rPr>
            <w:webHidden/>
          </w:rPr>
          <w:fldChar w:fldCharType="begin"/>
        </w:r>
        <w:r w:rsidR="00E74E39">
          <w:rPr>
            <w:webHidden/>
          </w:rPr>
          <w:instrText xml:space="preserve"> PAGEREF _Toc101788772 \h </w:instrText>
        </w:r>
        <w:r w:rsidR="00E74E39">
          <w:rPr>
            <w:webHidden/>
          </w:rPr>
        </w:r>
        <w:r w:rsidR="00E74E39">
          <w:rPr>
            <w:webHidden/>
          </w:rPr>
          <w:fldChar w:fldCharType="separate"/>
        </w:r>
        <w:r w:rsidR="00E74E39">
          <w:rPr>
            <w:webHidden/>
          </w:rPr>
          <w:t>22</w:t>
        </w:r>
        <w:r w:rsidR="00E74E39">
          <w:rPr>
            <w:webHidden/>
          </w:rPr>
          <w:fldChar w:fldCharType="end"/>
        </w:r>
      </w:hyperlink>
    </w:p>
    <w:p w14:paraId="2D5E4F10" w14:textId="1C1E919E" w:rsidR="00E74E39" w:rsidRDefault="007831F9">
      <w:pPr>
        <w:pStyle w:val="TOC2"/>
        <w:rPr>
          <w:rFonts w:asciiTheme="minorHAnsi" w:eastAsiaTheme="minorEastAsia" w:hAnsiTheme="minorHAnsi" w:cstheme="minorBidi"/>
          <w:sz w:val="22"/>
          <w:szCs w:val="22"/>
          <w:lang w:eastAsia="en-AU"/>
        </w:rPr>
      </w:pPr>
      <w:hyperlink w:anchor="_Toc101788773" w:history="1">
        <w:r w:rsidR="00E74E39" w:rsidRPr="00CE65D3">
          <w:rPr>
            <w:rStyle w:val="Hyperlink"/>
          </w:rPr>
          <w:t>Specialist Clinics (Outpatients) (OP)</w:t>
        </w:r>
        <w:r w:rsidR="00E74E39">
          <w:rPr>
            <w:webHidden/>
          </w:rPr>
          <w:tab/>
        </w:r>
        <w:r w:rsidR="00E74E39">
          <w:rPr>
            <w:webHidden/>
          </w:rPr>
          <w:fldChar w:fldCharType="begin"/>
        </w:r>
        <w:r w:rsidR="00E74E39">
          <w:rPr>
            <w:webHidden/>
          </w:rPr>
          <w:instrText xml:space="preserve"> PAGEREF _Toc101788773 \h </w:instrText>
        </w:r>
        <w:r w:rsidR="00E74E39">
          <w:rPr>
            <w:webHidden/>
          </w:rPr>
        </w:r>
        <w:r w:rsidR="00E74E39">
          <w:rPr>
            <w:webHidden/>
          </w:rPr>
          <w:fldChar w:fldCharType="separate"/>
        </w:r>
        <w:r w:rsidR="00E74E39">
          <w:rPr>
            <w:webHidden/>
          </w:rPr>
          <w:t>22</w:t>
        </w:r>
        <w:r w:rsidR="00E74E39">
          <w:rPr>
            <w:webHidden/>
          </w:rPr>
          <w:fldChar w:fldCharType="end"/>
        </w:r>
      </w:hyperlink>
    </w:p>
    <w:p w14:paraId="160BEF48" w14:textId="376FB61D" w:rsidR="00E74E39" w:rsidRDefault="007831F9">
      <w:pPr>
        <w:pStyle w:val="TOC2"/>
        <w:rPr>
          <w:rFonts w:asciiTheme="minorHAnsi" w:eastAsiaTheme="minorEastAsia" w:hAnsiTheme="minorHAnsi" w:cstheme="minorBidi"/>
          <w:sz w:val="22"/>
          <w:szCs w:val="22"/>
          <w:lang w:eastAsia="en-AU"/>
        </w:rPr>
      </w:pPr>
      <w:hyperlink w:anchor="_Toc101788774" w:history="1">
        <w:r w:rsidR="00E74E39" w:rsidRPr="00CE65D3">
          <w:rPr>
            <w:rStyle w:val="Hyperlink"/>
          </w:rPr>
          <w:t>Stream</w:t>
        </w:r>
        <w:r w:rsidR="00E74E39">
          <w:rPr>
            <w:webHidden/>
          </w:rPr>
          <w:tab/>
        </w:r>
        <w:r w:rsidR="00E74E39">
          <w:rPr>
            <w:webHidden/>
          </w:rPr>
          <w:fldChar w:fldCharType="begin"/>
        </w:r>
        <w:r w:rsidR="00E74E39">
          <w:rPr>
            <w:webHidden/>
          </w:rPr>
          <w:instrText xml:space="preserve"> PAGEREF _Toc101788774 \h </w:instrText>
        </w:r>
        <w:r w:rsidR="00E74E39">
          <w:rPr>
            <w:webHidden/>
          </w:rPr>
        </w:r>
        <w:r w:rsidR="00E74E39">
          <w:rPr>
            <w:webHidden/>
          </w:rPr>
          <w:fldChar w:fldCharType="separate"/>
        </w:r>
        <w:r w:rsidR="00E74E39">
          <w:rPr>
            <w:webHidden/>
          </w:rPr>
          <w:t>24</w:t>
        </w:r>
        <w:r w:rsidR="00E74E39">
          <w:rPr>
            <w:webHidden/>
          </w:rPr>
          <w:fldChar w:fldCharType="end"/>
        </w:r>
      </w:hyperlink>
    </w:p>
    <w:p w14:paraId="62E76828" w14:textId="33F4FE40" w:rsidR="00E74E39" w:rsidRDefault="007831F9">
      <w:pPr>
        <w:pStyle w:val="TOC2"/>
        <w:rPr>
          <w:rFonts w:asciiTheme="minorHAnsi" w:eastAsiaTheme="minorEastAsia" w:hAnsiTheme="minorHAnsi" w:cstheme="minorBidi"/>
          <w:sz w:val="22"/>
          <w:szCs w:val="22"/>
          <w:lang w:eastAsia="en-AU"/>
        </w:rPr>
      </w:pPr>
      <w:hyperlink w:anchor="_Toc101788775" w:history="1">
        <w:r w:rsidR="00E74E39" w:rsidRPr="00CE65D3">
          <w:rPr>
            <w:rStyle w:val="Hyperlink"/>
          </w:rPr>
          <w:t>Subacute Ambulatory Care Services (SACS)</w:t>
        </w:r>
        <w:r w:rsidR="00E74E39">
          <w:rPr>
            <w:webHidden/>
          </w:rPr>
          <w:tab/>
        </w:r>
        <w:r w:rsidR="00E74E39">
          <w:rPr>
            <w:webHidden/>
          </w:rPr>
          <w:fldChar w:fldCharType="begin"/>
        </w:r>
        <w:r w:rsidR="00E74E39">
          <w:rPr>
            <w:webHidden/>
          </w:rPr>
          <w:instrText xml:space="preserve"> PAGEREF _Toc101788775 \h </w:instrText>
        </w:r>
        <w:r w:rsidR="00E74E39">
          <w:rPr>
            <w:webHidden/>
          </w:rPr>
        </w:r>
        <w:r w:rsidR="00E74E39">
          <w:rPr>
            <w:webHidden/>
          </w:rPr>
          <w:fldChar w:fldCharType="separate"/>
        </w:r>
        <w:r w:rsidR="00E74E39">
          <w:rPr>
            <w:webHidden/>
          </w:rPr>
          <w:t>24</w:t>
        </w:r>
        <w:r w:rsidR="00E74E39">
          <w:rPr>
            <w:webHidden/>
          </w:rPr>
          <w:fldChar w:fldCharType="end"/>
        </w:r>
      </w:hyperlink>
    </w:p>
    <w:p w14:paraId="6293BFEA" w14:textId="31ED5215" w:rsidR="00E74E39" w:rsidRDefault="007831F9">
      <w:pPr>
        <w:pStyle w:val="TOC2"/>
        <w:rPr>
          <w:rFonts w:asciiTheme="minorHAnsi" w:eastAsiaTheme="minorEastAsia" w:hAnsiTheme="minorHAnsi" w:cstheme="minorBidi"/>
          <w:sz w:val="22"/>
          <w:szCs w:val="22"/>
          <w:lang w:eastAsia="en-AU"/>
        </w:rPr>
      </w:pPr>
      <w:hyperlink w:anchor="_Toc101788776" w:history="1">
        <w:r w:rsidR="00E74E39" w:rsidRPr="00CE65D3">
          <w:rPr>
            <w:rStyle w:val="Hyperlink"/>
          </w:rPr>
          <w:t>Total Parenteral Nutrition (TPN)</w:t>
        </w:r>
        <w:r w:rsidR="00E74E39">
          <w:rPr>
            <w:webHidden/>
          </w:rPr>
          <w:tab/>
        </w:r>
        <w:r w:rsidR="00E74E39">
          <w:rPr>
            <w:webHidden/>
          </w:rPr>
          <w:fldChar w:fldCharType="begin"/>
        </w:r>
        <w:r w:rsidR="00E74E39">
          <w:rPr>
            <w:webHidden/>
          </w:rPr>
          <w:instrText xml:space="preserve"> PAGEREF _Toc101788776 \h </w:instrText>
        </w:r>
        <w:r w:rsidR="00E74E39">
          <w:rPr>
            <w:webHidden/>
          </w:rPr>
        </w:r>
        <w:r w:rsidR="00E74E39">
          <w:rPr>
            <w:webHidden/>
          </w:rPr>
          <w:fldChar w:fldCharType="separate"/>
        </w:r>
        <w:r w:rsidR="00E74E39">
          <w:rPr>
            <w:webHidden/>
          </w:rPr>
          <w:t>25</w:t>
        </w:r>
        <w:r w:rsidR="00E74E39">
          <w:rPr>
            <w:webHidden/>
          </w:rPr>
          <w:fldChar w:fldCharType="end"/>
        </w:r>
      </w:hyperlink>
    </w:p>
    <w:p w14:paraId="593657BC" w14:textId="4D048201" w:rsidR="00E74E39" w:rsidRDefault="007831F9">
      <w:pPr>
        <w:pStyle w:val="TOC2"/>
        <w:rPr>
          <w:rFonts w:asciiTheme="minorHAnsi" w:eastAsiaTheme="minorEastAsia" w:hAnsiTheme="minorHAnsi" w:cstheme="minorBidi"/>
          <w:sz w:val="22"/>
          <w:szCs w:val="22"/>
          <w:lang w:eastAsia="en-AU"/>
        </w:rPr>
      </w:pPr>
      <w:hyperlink w:anchor="_Toc101788777" w:history="1">
        <w:r w:rsidR="00E74E39" w:rsidRPr="00CE65D3">
          <w:rPr>
            <w:rStyle w:val="Hyperlink"/>
          </w:rPr>
          <w:t>Transition Care Program (TCP)</w:t>
        </w:r>
        <w:r w:rsidR="00E74E39">
          <w:rPr>
            <w:webHidden/>
          </w:rPr>
          <w:tab/>
        </w:r>
        <w:r w:rsidR="00E74E39">
          <w:rPr>
            <w:webHidden/>
          </w:rPr>
          <w:fldChar w:fldCharType="begin"/>
        </w:r>
        <w:r w:rsidR="00E74E39">
          <w:rPr>
            <w:webHidden/>
          </w:rPr>
          <w:instrText xml:space="preserve"> PAGEREF _Toc101788777 \h </w:instrText>
        </w:r>
        <w:r w:rsidR="00E74E39">
          <w:rPr>
            <w:webHidden/>
          </w:rPr>
        </w:r>
        <w:r w:rsidR="00E74E39">
          <w:rPr>
            <w:webHidden/>
          </w:rPr>
          <w:fldChar w:fldCharType="separate"/>
        </w:r>
        <w:r w:rsidR="00E74E39">
          <w:rPr>
            <w:webHidden/>
          </w:rPr>
          <w:t>26</w:t>
        </w:r>
        <w:r w:rsidR="00E74E39">
          <w:rPr>
            <w:webHidden/>
          </w:rPr>
          <w:fldChar w:fldCharType="end"/>
        </w:r>
      </w:hyperlink>
    </w:p>
    <w:p w14:paraId="14D0BE70" w14:textId="52283111" w:rsidR="00E74E39" w:rsidRDefault="007831F9">
      <w:pPr>
        <w:pStyle w:val="TOC2"/>
        <w:rPr>
          <w:rFonts w:asciiTheme="minorHAnsi" w:eastAsiaTheme="minorEastAsia" w:hAnsiTheme="minorHAnsi" w:cstheme="minorBidi"/>
          <w:sz w:val="22"/>
          <w:szCs w:val="22"/>
          <w:lang w:eastAsia="en-AU"/>
        </w:rPr>
      </w:pPr>
      <w:hyperlink w:anchor="_Toc101788778" w:history="1">
        <w:r w:rsidR="00E74E39" w:rsidRPr="00CE65D3">
          <w:rPr>
            <w:rStyle w:val="Hyperlink"/>
          </w:rPr>
          <w:t>Victorian Artificial Limb Program (VALP)</w:t>
        </w:r>
        <w:r w:rsidR="00E74E39">
          <w:rPr>
            <w:webHidden/>
          </w:rPr>
          <w:tab/>
        </w:r>
        <w:r w:rsidR="00E74E39">
          <w:rPr>
            <w:webHidden/>
          </w:rPr>
          <w:fldChar w:fldCharType="begin"/>
        </w:r>
        <w:r w:rsidR="00E74E39">
          <w:rPr>
            <w:webHidden/>
          </w:rPr>
          <w:instrText xml:space="preserve"> PAGEREF _Toc101788778 \h </w:instrText>
        </w:r>
        <w:r w:rsidR="00E74E39">
          <w:rPr>
            <w:webHidden/>
          </w:rPr>
        </w:r>
        <w:r w:rsidR="00E74E39">
          <w:rPr>
            <w:webHidden/>
          </w:rPr>
          <w:fldChar w:fldCharType="separate"/>
        </w:r>
        <w:r w:rsidR="00E74E39">
          <w:rPr>
            <w:webHidden/>
          </w:rPr>
          <w:t>27</w:t>
        </w:r>
        <w:r w:rsidR="00E74E39">
          <w:rPr>
            <w:webHidden/>
          </w:rPr>
          <w:fldChar w:fldCharType="end"/>
        </w:r>
      </w:hyperlink>
    </w:p>
    <w:p w14:paraId="27267AD2" w14:textId="4E217493" w:rsidR="00E74E39" w:rsidRDefault="007831F9">
      <w:pPr>
        <w:pStyle w:val="TOC2"/>
        <w:rPr>
          <w:rFonts w:asciiTheme="minorHAnsi" w:eastAsiaTheme="minorEastAsia" w:hAnsiTheme="minorHAnsi" w:cstheme="minorBidi"/>
          <w:sz w:val="22"/>
          <w:szCs w:val="22"/>
          <w:lang w:eastAsia="en-AU"/>
        </w:rPr>
      </w:pPr>
      <w:hyperlink w:anchor="_Toc101788779" w:history="1">
        <w:r w:rsidR="00E74E39" w:rsidRPr="00CE65D3">
          <w:rPr>
            <w:rStyle w:val="Hyperlink"/>
            <w:bCs/>
          </w:rPr>
          <w:t>Victorian HIV Service (VHS)</w:t>
        </w:r>
        <w:r w:rsidR="00E74E39">
          <w:rPr>
            <w:webHidden/>
          </w:rPr>
          <w:tab/>
        </w:r>
        <w:r w:rsidR="00E74E39">
          <w:rPr>
            <w:webHidden/>
          </w:rPr>
          <w:fldChar w:fldCharType="begin"/>
        </w:r>
        <w:r w:rsidR="00E74E39">
          <w:rPr>
            <w:webHidden/>
          </w:rPr>
          <w:instrText xml:space="preserve"> PAGEREF _Toc101788779 \h </w:instrText>
        </w:r>
        <w:r w:rsidR="00E74E39">
          <w:rPr>
            <w:webHidden/>
          </w:rPr>
        </w:r>
        <w:r w:rsidR="00E74E39">
          <w:rPr>
            <w:webHidden/>
          </w:rPr>
          <w:fldChar w:fldCharType="separate"/>
        </w:r>
        <w:r w:rsidR="00E74E39">
          <w:rPr>
            <w:webHidden/>
          </w:rPr>
          <w:t>27</w:t>
        </w:r>
        <w:r w:rsidR="00E74E39">
          <w:rPr>
            <w:webHidden/>
          </w:rPr>
          <w:fldChar w:fldCharType="end"/>
        </w:r>
      </w:hyperlink>
    </w:p>
    <w:p w14:paraId="0A42A39B" w14:textId="2BDC6178" w:rsidR="00E74E39" w:rsidRDefault="007831F9">
      <w:pPr>
        <w:pStyle w:val="TOC1"/>
        <w:rPr>
          <w:rFonts w:asciiTheme="minorHAnsi" w:eastAsiaTheme="minorEastAsia" w:hAnsiTheme="minorHAnsi" w:cstheme="minorBidi"/>
          <w:b w:val="0"/>
          <w:sz w:val="22"/>
          <w:szCs w:val="22"/>
          <w:lang w:eastAsia="en-AU"/>
        </w:rPr>
      </w:pPr>
      <w:hyperlink w:anchor="_Toc101788780" w:history="1">
        <w:r w:rsidR="00E74E39" w:rsidRPr="00CE65D3">
          <w:rPr>
            <w:rStyle w:val="Hyperlink"/>
          </w:rPr>
          <w:t>Derived items list</w:t>
        </w:r>
        <w:r w:rsidR="00E74E39">
          <w:rPr>
            <w:webHidden/>
          </w:rPr>
          <w:tab/>
        </w:r>
        <w:r w:rsidR="00E74E39">
          <w:rPr>
            <w:webHidden/>
          </w:rPr>
          <w:fldChar w:fldCharType="begin"/>
        </w:r>
        <w:r w:rsidR="00E74E39">
          <w:rPr>
            <w:webHidden/>
          </w:rPr>
          <w:instrText xml:space="preserve"> PAGEREF _Toc101788780 \h </w:instrText>
        </w:r>
        <w:r w:rsidR="00E74E39">
          <w:rPr>
            <w:webHidden/>
          </w:rPr>
        </w:r>
        <w:r w:rsidR="00E74E39">
          <w:rPr>
            <w:webHidden/>
          </w:rPr>
          <w:fldChar w:fldCharType="separate"/>
        </w:r>
        <w:r w:rsidR="00E74E39">
          <w:rPr>
            <w:webHidden/>
          </w:rPr>
          <w:t>28</w:t>
        </w:r>
        <w:r w:rsidR="00E74E39">
          <w:rPr>
            <w:webHidden/>
          </w:rPr>
          <w:fldChar w:fldCharType="end"/>
        </w:r>
      </w:hyperlink>
    </w:p>
    <w:p w14:paraId="398B3891" w14:textId="57F20067" w:rsidR="00E74E39" w:rsidRDefault="007831F9">
      <w:pPr>
        <w:pStyle w:val="TOC2"/>
        <w:rPr>
          <w:rFonts w:asciiTheme="minorHAnsi" w:eastAsiaTheme="minorEastAsia" w:hAnsiTheme="minorHAnsi" w:cstheme="minorBidi"/>
          <w:sz w:val="22"/>
          <w:szCs w:val="22"/>
          <w:lang w:eastAsia="en-AU"/>
        </w:rPr>
      </w:pPr>
      <w:hyperlink w:anchor="_Toc101788781" w:history="1">
        <w:r w:rsidR="00E74E39" w:rsidRPr="00CE65D3">
          <w:rPr>
            <w:rStyle w:val="Hyperlink"/>
          </w:rPr>
          <w:t>Age</w:t>
        </w:r>
        <w:r w:rsidR="00E74E39">
          <w:rPr>
            <w:webHidden/>
          </w:rPr>
          <w:tab/>
        </w:r>
        <w:r w:rsidR="00E74E39">
          <w:rPr>
            <w:webHidden/>
          </w:rPr>
          <w:fldChar w:fldCharType="begin"/>
        </w:r>
        <w:r w:rsidR="00E74E39">
          <w:rPr>
            <w:webHidden/>
          </w:rPr>
          <w:instrText xml:space="preserve"> PAGEREF _Toc101788781 \h </w:instrText>
        </w:r>
        <w:r w:rsidR="00E74E39">
          <w:rPr>
            <w:webHidden/>
          </w:rPr>
        </w:r>
        <w:r w:rsidR="00E74E39">
          <w:rPr>
            <w:webHidden/>
          </w:rPr>
          <w:fldChar w:fldCharType="separate"/>
        </w:r>
        <w:r w:rsidR="00E74E39">
          <w:rPr>
            <w:webHidden/>
          </w:rPr>
          <w:t>28</w:t>
        </w:r>
        <w:r w:rsidR="00E74E39">
          <w:rPr>
            <w:webHidden/>
          </w:rPr>
          <w:fldChar w:fldCharType="end"/>
        </w:r>
      </w:hyperlink>
    </w:p>
    <w:p w14:paraId="2D05E28D" w14:textId="4B4657F7" w:rsidR="00E74E39" w:rsidRDefault="007831F9">
      <w:pPr>
        <w:pStyle w:val="TOC2"/>
        <w:rPr>
          <w:rFonts w:asciiTheme="minorHAnsi" w:eastAsiaTheme="minorEastAsia" w:hAnsiTheme="minorHAnsi" w:cstheme="minorBidi"/>
          <w:sz w:val="22"/>
          <w:szCs w:val="22"/>
          <w:lang w:eastAsia="en-AU"/>
        </w:rPr>
      </w:pPr>
      <w:hyperlink w:anchor="_Toc101788782" w:history="1">
        <w:r w:rsidR="00E74E39" w:rsidRPr="00CE65D3">
          <w:rPr>
            <w:rStyle w:val="Hyperlink"/>
          </w:rPr>
          <w:t>Case end date</w:t>
        </w:r>
        <w:r w:rsidR="00E74E39">
          <w:rPr>
            <w:webHidden/>
          </w:rPr>
          <w:tab/>
        </w:r>
        <w:r w:rsidR="00E74E39">
          <w:rPr>
            <w:webHidden/>
          </w:rPr>
          <w:fldChar w:fldCharType="begin"/>
        </w:r>
        <w:r w:rsidR="00E74E39">
          <w:rPr>
            <w:webHidden/>
          </w:rPr>
          <w:instrText xml:space="preserve"> PAGEREF _Toc101788782 \h </w:instrText>
        </w:r>
        <w:r w:rsidR="00E74E39">
          <w:rPr>
            <w:webHidden/>
          </w:rPr>
        </w:r>
        <w:r w:rsidR="00E74E39">
          <w:rPr>
            <w:webHidden/>
          </w:rPr>
          <w:fldChar w:fldCharType="separate"/>
        </w:r>
        <w:r w:rsidR="00E74E39">
          <w:rPr>
            <w:webHidden/>
          </w:rPr>
          <w:t>28</w:t>
        </w:r>
        <w:r w:rsidR="00E74E39">
          <w:rPr>
            <w:webHidden/>
          </w:rPr>
          <w:fldChar w:fldCharType="end"/>
        </w:r>
      </w:hyperlink>
    </w:p>
    <w:p w14:paraId="55D106D3" w14:textId="217509FB" w:rsidR="00E74E39" w:rsidRDefault="007831F9">
      <w:pPr>
        <w:pStyle w:val="TOC2"/>
        <w:rPr>
          <w:rFonts w:asciiTheme="minorHAnsi" w:eastAsiaTheme="minorEastAsia" w:hAnsiTheme="minorHAnsi" w:cstheme="minorBidi"/>
          <w:sz w:val="22"/>
          <w:szCs w:val="22"/>
          <w:lang w:eastAsia="en-AU"/>
        </w:rPr>
      </w:pPr>
      <w:hyperlink w:anchor="_Toc101788783" w:history="1">
        <w:r w:rsidR="00E74E39" w:rsidRPr="00CE65D3">
          <w:rPr>
            <w:rStyle w:val="Hyperlink"/>
          </w:rPr>
          <w:t>Case start date</w:t>
        </w:r>
        <w:r w:rsidR="00E74E39">
          <w:rPr>
            <w:webHidden/>
          </w:rPr>
          <w:tab/>
        </w:r>
        <w:r w:rsidR="00E74E39">
          <w:rPr>
            <w:webHidden/>
          </w:rPr>
          <w:fldChar w:fldCharType="begin"/>
        </w:r>
        <w:r w:rsidR="00E74E39">
          <w:rPr>
            <w:webHidden/>
          </w:rPr>
          <w:instrText xml:space="preserve"> PAGEREF _Toc101788783 \h </w:instrText>
        </w:r>
        <w:r w:rsidR="00E74E39">
          <w:rPr>
            <w:webHidden/>
          </w:rPr>
        </w:r>
        <w:r w:rsidR="00E74E39">
          <w:rPr>
            <w:webHidden/>
          </w:rPr>
          <w:fldChar w:fldCharType="separate"/>
        </w:r>
        <w:r w:rsidR="00E74E39">
          <w:rPr>
            <w:webHidden/>
          </w:rPr>
          <w:t>29</w:t>
        </w:r>
        <w:r w:rsidR="00E74E39">
          <w:rPr>
            <w:webHidden/>
          </w:rPr>
          <w:fldChar w:fldCharType="end"/>
        </w:r>
      </w:hyperlink>
    </w:p>
    <w:p w14:paraId="4EFFB10E" w14:textId="2B2DEF54" w:rsidR="00E74E39" w:rsidRDefault="007831F9">
      <w:pPr>
        <w:pStyle w:val="TOC2"/>
        <w:rPr>
          <w:rFonts w:asciiTheme="minorHAnsi" w:eastAsiaTheme="minorEastAsia" w:hAnsiTheme="minorHAnsi" w:cstheme="minorBidi"/>
          <w:sz w:val="22"/>
          <w:szCs w:val="22"/>
          <w:lang w:eastAsia="en-AU"/>
        </w:rPr>
      </w:pPr>
      <w:hyperlink w:anchor="_Toc101788784" w:history="1">
        <w:r w:rsidR="00E74E39" w:rsidRPr="00CE65D3">
          <w:rPr>
            <w:rStyle w:val="Hyperlink"/>
          </w:rPr>
          <w:t>Contact count</w:t>
        </w:r>
        <w:r w:rsidR="00E74E39">
          <w:rPr>
            <w:webHidden/>
          </w:rPr>
          <w:tab/>
        </w:r>
        <w:r w:rsidR="00E74E39">
          <w:rPr>
            <w:webHidden/>
          </w:rPr>
          <w:fldChar w:fldCharType="begin"/>
        </w:r>
        <w:r w:rsidR="00E74E39">
          <w:rPr>
            <w:webHidden/>
          </w:rPr>
          <w:instrText xml:space="preserve"> PAGEREF _Toc101788784 \h </w:instrText>
        </w:r>
        <w:r w:rsidR="00E74E39">
          <w:rPr>
            <w:webHidden/>
          </w:rPr>
        </w:r>
        <w:r w:rsidR="00E74E39">
          <w:rPr>
            <w:webHidden/>
          </w:rPr>
          <w:fldChar w:fldCharType="separate"/>
        </w:r>
        <w:r w:rsidR="00E74E39">
          <w:rPr>
            <w:webHidden/>
          </w:rPr>
          <w:t>29</w:t>
        </w:r>
        <w:r w:rsidR="00E74E39">
          <w:rPr>
            <w:webHidden/>
          </w:rPr>
          <w:fldChar w:fldCharType="end"/>
        </w:r>
      </w:hyperlink>
    </w:p>
    <w:p w14:paraId="42384F36" w14:textId="7C16820E" w:rsidR="00E74E39" w:rsidRDefault="007831F9">
      <w:pPr>
        <w:pStyle w:val="TOC2"/>
        <w:rPr>
          <w:rFonts w:asciiTheme="minorHAnsi" w:eastAsiaTheme="minorEastAsia" w:hAnsiTheme="minorHAnsi" w:cstheme="minorBidi"/>
          <w:sz w:val="22"/>
          <w:szCs w:val="22"/>
          <w:lang w:eastAsia="en-AU"/>
        </w:rPr>
      </w:pPr>
      <w:hyperlink w:anchor="_Toc101788785" w:history="1">
        <w:r w:rsidR="00E74E39" w:rsidRPr="00CE65D3">
          <w:rPr>
            <w:rStyle w:val="Hyperlink"/>
          </w:rPr>
          <w:t>Contact duration</w:t>
        </w:r>
        <w:r w:rsidR="00E74E39">
          <w:rPr>
            <w:webHidden/>
          </w:rPr>
          <w:tab/>
        </w:r>
        <w:r w:rsidR="00E74E39">
          <w:rPr>
            <w:webHidden/>
          </w:rPr>
          <w:fldChar w:fldCharType="begin"/>
        </w:r>
        <w:r w:rsidR="00E74E39">
          <w:rPr>
            <w:webHidden/>
          </w:rPr>
          <w:instrText xml:space="preserve"> PAGEREF _Toc101788785 \h </w:instrText>
        </w:r>
        <w:r w:rsidR="00E74E39">
          <w:rPr>
            <w:webHidden/>
          </w:rPr>
        </w:r>
        <w:r w:rsidR="00E74E39">
          <w:rPr>
            <w:webHidden/>
          </w:rPr>
          <w:fldChar w:fldCharType="separate"/>
        </w:r>
        <w:r w:rsidR="00E74E39">
          <w:rPr>
            <w:webHidden/>
          </w:rPr>
          <w:t>29</w:t>
        </w:r>
        <w:r w:rsidR="00E74E39">
          <w:rPr>
            <w:webHidden/>
          </w:rPr>
          <w:fldChar w:fldCharType="end"/>
        </w:r>
      </w:hyperlink>
    </w:p>
    <w:p w14:paraId="05439E64" w14:textId="6E5B1CF9" w:rsidR="00E74E39" w:rsidRDefault="007831F9">
      <w:pPr>
        <w:pStyle w:val="TOC2"/>
        <w:rPr>
          <w:rFonts w:asciiTheme="minorHAnsi" w:eastAsiaTheme="minorEastAsia" w:hAnsiTheme="minorHAnsi" w:cstheme="minorBidi"/>
          <w:sz w:val="22"/>
          <w:szCs w:val="22"/>
          <w:lang w:eastAsia="en-AU"/>
        </w:rPr>
      </w:pPr>
      <w:hyperlink w:anchor="_Toc101788786" w:history="1">
        <w:r w:rsidR="00E74E39" w:rsidRPr="00CE65D3">
          <w:rPr>
            <w:rStyle w:val="Hyperlink"/>
          </w:rPr>
          <w:t>Group session count</w:t>
        </w:r>
        <w:r w:rsidR="00E74E39">
          <w:rPr>
            <w:webHidden/>
          </w:rPr>
          <w:tab/>
        </w:r>
        <w:r w:rsidR="00E74E39">
          <w:rPr>
            <w:webHidden/>
          </w:rPr>
          <w:fldChar w:fldCharType="begin"/>
        </w:r>
        <w:r w:rsidR="00E74E39">
          <w:rPr>
            <w:webHidden/>
          </w:rPr>
          <w:instrText xml:space="preserve"> PAGEREF _Toc101788786 \h </w:instrText>
        </w:r>
        <w:r w:rsidR="00E74E39">
          <w:rPr>
            <w:webHidden/>
          </w:rPr>
        </w:r>
        <w:r w:rsidR="00E74E39">
          <w:rPr>
            <w:webHidden/>
          </w:rPr>
          <w:fldChar w:fldCharType="separate"/>
        </w:r>
        <w:r w:rsidR="00E74E39">
          <w:rPr>
            <w:webHidden/>
          </w:rPr>
          <w:t>30</w:t>
        </w:r>
        <w:r w:rsidR="00E74E39">
          <w:rPr>
            <w:webHidden/>
          </w:rPr>
          <w:fldChar w:fldCharType="end"/>
        </w:r>
      </w:hyperlink>
    </w:p>
    <w:p w14:paraId="0E2018A8" w14:textId="50F86EAE" w:rsidR="00E74E39" w:rsidRDefault="007831F9">
      <w:pPr>
        <w:pStyle w:val="TOC2"/>
        <w:rPr>
          <w:rFonts w:asciiTheme="minorHAnsi" w:eastAsiaTheme="minorEastAsia" w:hAnsiTheme="minorHAnsi" w:cstheme="minorBidi"/>
          <w:sz w:val="22"/>
          <w:szCs w:val="22"/>
          <w:lang w:eastAsia="en-AU"/>
        </w:rPr>
      </w:pPr>
      <w:hyperlink w:anchor="_Toc101788787" w:history="1">
        <w:r w:rsidR="00E74E39" w:rsidRPr="00CE65D3">
          <w:rPr>
            <w:rStyle w:val="Hyperlink"/>
          </w:rPr>
          <w:t>Service events</w:t>
        </w:r>
        <w:r w:rsidR="00E74E39">
          <w:rPr>
            <w:webHidden/>
          </w:rPr>
          <w:tab/>
        </w:r>
        <w:r w:rsidR="00E74E39">
          <w:rPr>
            <w:webHidden/>
          </w:rPr>
          <w:fldChar w:fldCharType="begin"/>
        </w:r>
        <w:r w:rsidR="00E74E39">
          <w:rPr>
            <w:webHidden/>
          </w:rPr>
          <w:instrText xml:space="preserve"> PAGEREF _Toc101788787 \h </w:instrText>
        </w:r>
        <w:r w:rsidR="00E74E39">
          <w:rPr>
            <w:webHidden/>
          </w:rPr>
        </w:r>
        <w:r w:rsidR="00E74E39">
          <w:rPr>
            <w:webHidden/>
          </w:rPr>
          <w:fldChar w:fldCharType="separate"/>
        </w:r>
        <w:r w:rsidR="00E74E39">
          <w:rPr>
            <w:webHidden/>
          </w:rPr>
          <w:t>30</w:t>
        </w:r>
        <w:r w:rsidR="00E74E39">
          <w:rPr>
            <w:webHidden/>
          </w:rPr>
          <w:fldChar w:fldCharType="end"/>
        </w:r>
      </w:hyperlink>
    </w:p>
    <w:p w14:paraId="005E8C99" w14:textId="17886A6B" w:rsidR="00E74E39" w:rsidRDefault="007831F9">
      <w:pPr>
        <w:pStyle w:val="TOC1"/>
        <w:rPr>
          <w:rFonts w:asciiTheme="minorHAnsi" w:eastAsiaTheme="minorEastAsia" w:hAnsiTheme="minorHAnsi" w:cstheme="minorBidi"/>
          <w:b w:val="0"/>
          <w:sz w:val="22"/>
          <w:szCs w:val="22"/>
          <w:lang w:eastAsia="en-AU"/>
        </w:rPr>
      </w:pPr>
      <w:hyperlink w:anchor="_Toc101788788" w:history="1">
        <w:r w:rsidR="00E74E39" w:rsidRPr="00CE65D3">
          <w:rPr>
            <w:rStyle w:val="Hyperlink"/>
          </w:rPr>
          <w:t>Generic process diagrams</w:t>
        </w:r>
        <w:r w:rsidR="00E74E39">
          <w:rPr>
            <w:webHidden/>
          </w:rPr>
          <w:tab/>
        </w:r>
        <w:r w:rsidR="00E74E39">
          <w:rPr>
            <w:webHidden/>
          </w:rPr>
          <w:fldChar w:fldCharType="begin"/>
        </w:r>
        <w:r w:rsidR="00E74E39">
          <w:rPr>
            <w:webHidden/>
          </w:rPr>
          <w:instrText xml:space="preserve"> PAGEREF _Toc101788788 \h </w:instrText>
        </w:r>
        <w:r w:rsidR="00E74E39">
          <w:rPr>
            <w:webHidden/>
          </w:rPr>
        </w:r>
        <w:r w:rsidR="00E74E39">
          <w:rPr>
            <w:webHidden/>
          </w:rPr>
          <w:fldChar w:fldCharType="separate"/>
        </w:r>
        <w:r w:rsidR="00E74E39">
          <w:rPr>
            <w:webHidden/>
          </w:rPr>
          <w:t>32</w:t>
        </w:r>
        <w:r w:rsidR="00E74E39">
          <w:rPr>
            <w:webHidden/>
          </w:rPr>
          <w:fldChar w:fldCharType="end"/>
        </w:r>
      </w:hyperlink>
    </w:p>
    <w:p w14:paraId="46447976" w14:textId="22BECFC1" w:rsidR="00E74E39" w:rsidRDefault="007831F9">
      <w:pPr>
        <w:pStyle w:val="TOC2"/>
        <w:rPr>
          <w:rFonts w:asciiTheme="minorHAnsi" w:eastAsiaTheme="minorEastAsia" w:hAnsiTheme="minorHAnsi" w:cstheme="minorBidi"/>
          <w:sz w:val="22"/>
          <w:szCs w:val="22"/>
          <w:lang w:eastAsia="en-AU"/>
        </w:rPr>
      </w:pPr>
      <w:hyperlink w:anchor="_Toc101788789" w:history="1">
        <w:r w:rsidR="00E74E39" w:rsidRPr="00CE65D3">
          <w:rPr>
            <w:rStyle w:val="Hyperlink"/>
          </w:rPr>
          <w:t>Generic process (concepts only): One Episode per Case</w:t>
        </w:r>
        <w:r w:rsidR="00E74E39">
          <w:rPr>
            <w:webHidden/>
          </w:rPr>
          <w:tab/>
        </w:r>
        <w:r w:rsidR="00E74E39">
          <w:rPr>
            <w:webHidden/>
          </w:rPr>
          <w:fldChar w:fldCharType="begin"/>
        </w:r>
        <w:r w:rsidR="00E74E39">
          <w:rPr>
            <w:webHidden/>
          </w:rPr>
          <w:instrText xml:space="preserve"> PAGEREF _Toc101788789 \h </w:instrText>
        </w:r>
        <w:r w:rsidR="00E74E39">
          <w:rPr>
            <w:webHidden/>
          </w:rPr>
        </w:r>
        <w:r w:rsidR="00E74E39">
          <w:rPr>
            <w:webHidden/>
          </w:rPr>
          <w:fldChar w:fldCharType="separate"/>
        </w:r>
        <w:r w:rsidR="00E74E39">
          <w:rPr>
            <w:webHidden/>
          </w:rPr>
          <w:t>32</w:t>
        </w:r>
        <w:r w:rsidR="00E74E39">
          <w:rPr>
            <w:webHidden/>
          </w:rPr>
          <w:fldChar w:fldCharType="end"/>
        </w:r>
      </w:hyperlink>
    </w:p>
    <w:p w14:paraId="4BF48054" w14:textId="41291964" w:rsidR="00E74E39" w:rsidRDefault="007831F9">
      <w:pPr>
        <w:pStyle w:val="TOC2"/>
        <w:rPr>
          <w:rFonts w:asciiTheme="minorHAnsi" w:eastAsiaTheme="minorEastAsia" w:hAnsiTheme="minorHAnsi" w:cstheme="minorBidi"/>
          <w:sz w:val="22"/>
          <w:szCs w:val="22"/>
          <w:lang w:eastAsia="en-AU"/>
        </w:rPr>
      </w:pPr>
      <w:hyperlink w:anchor="_Toc101788790" w:history="1">
        <w:r w:rsidR="00E74E39" w:rsidRPr="00CE65D3">
          <w:rPr>
            <w:rStyle w:val="Hyperlink"/>
          </w:rPr>
          <w:t>Generic process (concepts and data elements): One Episode per Case</w:t>
        </w:r>
        <w:r w:rsidR="00E74E39">
          <w:rPr>
            <w:webHidden/>
          </w:rPr>
          <w:tab/>
        </w:r>
        <w:r w:rsidR="00E74E39">
          <w:rPr>
            <w:webHidden/>
          </w:rPr>
          <w:fldChar w:fldCharType="begin"/>
        </w:r>
        <w:r w:rsidR="00E74E39">
          <w:rPr>
            <w:webHidden/>
          </w:rPr>
          <w:instrText xml:space="preserve"> PAGEREF _Toc101788790 \h </w:instrText>
        </w:r>
        <w:r w:rsidR="00E74E39">
          <w:rPr>
            <w:webHidden/>
          </w:rPr>
        </w:r>
        <w:r w:rsidR="00E74E39">
          <w:rPr>
            <w:webHidden/>
          </w:rPr>
          <w:fldChar w:fldCharType="separate"/>
        </w:r>
        <w:r w:rsidR="00E74E39">
          <w:rPr>
            <w:webHidden/>
          </w:rPr>
          <w:t>33</w:t>
        </w:r>
        <w:r w:rsidR="00E74E39">
          <w:rPr>
            <w:webHidden/>
          </w:rPr>
          <w:fldChar w:fldCharType="end"/>
        </w:r>
      </w:hyperlink>
    </w:p>
    <w:p w14:paraId="7DEC0448" w14:textId="1FAD3915" w:rsidR="00E74E39" w:rsidRDefault="007831F9">
      <w:pPr>
        <w:pStyle w:val="TOC2"/>
        <w:rPr>
          <w:rFonts w:asciiTheme="minorHAnsi" w:eastAsiaTheme="minorEastAsia" w:hAnsiTheme="minorHAnsi" w:cstheme="minorBidi"/>
          <w:sz w:val="22"/>
          <w:szCs w:val="22"/>
          <w:lang w:eastAsia="en-AU"/>
        </w:rPr>
      </w:pPr>
      <w:hyperlink w:anchor="_Toc101788791" w:history="1">
        <w:r w:rsidR="00E74E39" w:rsidRPr="00CE65D3">
          <w:rPr>
            <w:rStyle w:val="Hyperlink"/>
          </w:rPr>
          <w:t>Generic process (concepts only): Two episodes per case</w:t>
        </w:r>
        <w:r w:rsidR="00E74E39">
          <w:rPr>
            <w:webHidden/>
          </w:rPr>
          <w:tab/>
        </w:r>
        <w:r w:rsidR="00E74E39">
          <w:rPr>
            <w:webHidden/>
          </w:rPr>
          <w:fldChar w:fldCharType="begin"/>
        </w:r>
        <w:r w:rsidR="00E74E39">
          <w:rPr>
            <w:webHidden/>
          </w:rPr>
          <w:instrText xml:space="preserve"> PAGEREF _Toc101788791 \h </w:instrText>
        </w:r>
        <w:r w:rsidR="00E74E39">
          <w:rPr>
            <w:webHidden/>
          </w:rPr>
        </w:r>
        <w:r w:rsidR="00E74E39">
          <w:rPr>
            <w:webHidden/>
          </w:rPr>
          <w:fldChar w:fldCharType="separate"/>
        </w:r>
        <w:r w:rsidR="00E74E39">
          <w:rPr>
            <w:webHidden/>
          </w:rPr>
          <w:t>34</w:t>
        </w:r>
        <w:r w:rsidR="00E74E39">
          <w:rPr>
            <w:webHidden/>
          </w:rPr>
          <w:fldChar w:fldCharType="end"/>
        </w:r>
      </w:hyperlink>
    </w:p>
    <w:p w14:paraId="626D4254" w14:textId="00B5A1A9" w:rsidR="00E74E39" w:rsidRDefault="007831F9">
      <w:pPr>
        <w:pStyle w:val="TOC2"/>
        <w:rPr>
          <w:rFonts w:asciiTheme="minorHAnsi" w:eastAsiaTheme="minorEastAsia" w:hAnsiTheme="minorHAnsi" w:cstheme="minorBidi"/>
          <w:sz w:val="22"/>
          <w:szCs w:val="22"/>
          <w:lang w:eastAsia="en-AU"/>
        </w:rPr>
      </w:pPr>
      <w:hyperlink w:anchor="_Toc101788792" w:history="1">
        <w:r w:rsidR="00E74E39" w:rsidRPr="00CE65D3">
          <w:rPr>
            <w:rStyle w:val="Hyperlink"/>
            <w:rFonts w:eastAsia="Times"/>
          </w:rPr>
          <w:t>Generic process (concepts and data elements): Two episodes per case</w:t>
        </w:r>
        <w:r w:rsidR="00E74E39">
          <w:rPr>
            <w:webHidden/>
          </w:rPr>
          <w:tab/>
        </w:r>
        <w:r w:rsidR="00E74E39">
          <w:rPr>
            <w:webHidden/>
          </w:rPr>
          <w:fldChar w:fldCharType="begin"/>
        </w:r>
        <w:r w:rsidR="00E74E39">
          <w:rPr>
            <w:webHidden/>
          </w:rPr>
          <w:instrText xml:space="preserve"> PAGEREF _Toc101788792 \h </w:instrText>
        </w:r>
        <w:r w:rsidR="00E74E39">
          <w:rPr>
            <w:webHidden/>
          </w:rPr>
        </w:r>
        <w:r w:rsidR="00E74E39">
          <w:rPr>
            <w:webHidden/>
          </w:rPr>
          <w:fldChar w:fldCharType="separate"/>
        </w:r>
        <w:r w:rsidR="00E74E39">
          <w:rPr>
            <w:webHidden/>
          </w:rPr>
          <w:t>35</w:t>
        </w:r>
        <w:r w:rsidR="00E74E39">
          <w:rPr>
            <w:webHidden/>
          </w:rPr>
          <w:fldChar w:fldCharType="end"/>
        </w:r>
      </w:hyperlink>
    </w:p>
    <w:p w14:paraId="14967A3E" w14:textId="0B75FDD9" w:rsidR="00E74E39" w:rsidRDefault="007831F9">
      <w:pPr>
        <w:pStyle w:val="TOC2"/>
        <w:rPr>
          <w:rFonts w:asciiTheme="minorHAnsi" w:eastAsiaTheme="minorEastAsia" w:hAnsiTheme="minorHAnsi" w:cstheme="minorBidi"/>
          <w:sz w:val="22"/>
          <w:szCs w:val="22"/>
          <w:lang w:eastAsia="en-AU"/>
        </w:rPr>
      </w:pPr>
      <w:hyperlink w:anchor="_Toc101788793" w:history="1">
        <w:r w:rsidR="00E74E39" w:rsidRPr="00CE65D3">
          <w:rPr>
            <w:rStyle w:val="Hyperlink"/>
          </w:rPr>
          <w:t>Generic process (concepts): Referral not resulting in an episode</w:t>
        </w:r>
        <w:r w:rsidR="00E74E39">
          <w:rPr>
            <w:webHidden/>
          </w:rPr>
          <w:tab/>
        </w:r>
        <w:r w:rsidR="00E74E39">
          <w:rPr>
            <w:webHidden/>
          </w:rPr>
          <w:fldChar w:fldCharType="begin"/>
        </w:r>
        <w:r w:rsidR="00E74E39">
          <w:rPr>
            <w:webHidden/>
          </w:rPr>
          <w:instrText xml:space="preserve"> PAGEREF _Toc101788793 \h </w:instrText>
        </w:r>
        <w:r w:rsidR="00E74E39">
          <w:rPr>
            <w:webHidden/>
          </w:rPr>
        </w:r>
        <w:r w:rsidR="00E74E39">
          <w:rPr>
            <w:webHidden/>
          </w:rPr>
          <w:fldChar w:fldCharType="separate"/>
        </w:r>
        <w:r w:rsidR="00E74E39">
          <w:rPr>
            <w:webHidden/>
          </w:rPr>
          <w:t>36</w:t>
        </w:r>
        <w:r w:rsidR="00E74E39">
          <w:rPr>
            <w:webHidden/>
          </w:rPr>
          <w:fldChar w:fldCharType="end"/>
        </w:r>
      </w:hyperlink>
    </w:p>
    <w:p w14:paraId="6BDC5B50" w14:textId="16E91518" w:rsidR="00E74E39" w:rsidRDefault="007831F9">
      <w:pPr>
        <w:pStyle w:val="TOC2"/>
        <w:rPr>
          <w:rFonts w:asciiTheme="minorHAnsi" w:eastAsiaTheme="minorEastAsia" w:hAnsiTheme="minorHAnsi" w:cstheme="minorBidi"/>
          <w:sz w:val="22"/>
          <w:szCs w:val="22"/>
          <w:lang w:eastAsia="en-AU"/>
        </w:rPr>
      </w:pPr>
      <w:hyperlink w:anchor="_Toc101788794" w:history="1">
        <w:r w:rsidR="00E74E39" w:rsidRPr="00CE65D3">
          <w:rPr>
            <w:rStyle w:val="Hyperlink"/>
          </w:rPr>
          <w:t>Generic process (contacts and data elements): Referral not resulting in an episode</w:t>
        </w:r>
        <w:r w:rsidR="00E74E39">
          <w:rPr>
            <w:webHidden/>
          </w:rPr>
          <w:tab/>
        </w:r>
        <w:r w:rsidR="00E74E39">
          <w:rPr>
            <w:webHidden/>
          </w:rPr>
          <w:fldChar w:fldCharType="begin"/>
        </w:r>
        <w:r w:rsidR="00E74E39">
          <w:rPr>
            <w:webHidden/>
          </w:rPr>
          <w:instrText xml:space="preserve"> PAGEREF _Toc101788794 \h </w:instrText>
        </w:r>
        <w:r w:rsidR="00E74E39">
          <w:rPr>
            <w:webHidden/>
          </w:rPr>
        </w:r>
        <w:r w:rsidR="00E74E39">
          <w:rPr>
            <w:webHidden/>
          </w:rPr>
          <w:fldChar w:fldCharType="separate"/>
        </w:r>
        <w:r w:rsidR="00E74E39">
          <w:rPr>
            <w:webHidden/>
          </w:rPr>
          <w:t>36</w:t>
        </w:r>
        <w:r w:rsidR="00E74E39">
          <w:rPr>
            <w:webHidden/>
          </w:rPr>
          <w:fldChar w:fldCharType="end"/>
        </w:r>
      </w:hyperlink>
    </w:p>
    <w:p w14:paraId="1585A54E" w14:textId="7FA7EE24" w:rsidR="00C05848" w:rsidRDefault="001355B8" w:rsidP="00C05848">
      <w:pPr>
        <w:pStyle w:val="TOC1"/>
      </w:pPr>
      <w:r>
        <w:fldChar w:fldCharType="end"/>
      </w:r>
    </w:p>
    <w:p w14:paraId="6FD7ADEC" w14:textId="7D3C1D1C" w:rsidR="00FB1F6E" w:rsidRDefault="00FB1F6E" w:rsidP="0091306F">
      <w:pPr>
        <w:pStyle w:val="Body"/>
      </w:pPr>
    </w:p>
    <w:p w14:paraId="40381C6A" w14:textId="77777777" w:rsidR="007173CA" w:rsidRDefault="007173CA" w:rsidP="00D079AA">
      <w:pPr>
        <w:pStyle w:val="Body"/>
      </w:pPr>
    </w:p>
    <w:p w14:paraId="43A6D4B7" w14:textId="77777777" w:rsidR="00580394" w:rsidRPr="00B519CD" w:rsidRDefault="00580394" w:rsidP="007173CA">
      <w:pPr>
        <w:pStyle w:val="Body"/>
        <w:sectPr w:rsidR="00580394" w:rsidRPr="00B519CD" w:rsidSect="002C5B7C">
          <w:footerReference w:type="default" r:id="rId21"/>
          <w:pgSz w:w="11906" w:h="16838" w:code="9"/>
          <w:pgMar w:top="1701" w:right="1304" w:bottom="1418" w:left="1304" w:header="680" w:footer="851" w:gutter="0"/>
          <w:cols w:space="340"/>
          <w:docGrid w:linePitch="360"/>
        </w:sectPr>
      </w:pPr>
    </w:p>
    <w:p w14:paraId="5DE49BC5" w14:textId="77777777" w:rsidR="0091306F" w:rsidRDefault="0091306F" w:rsidP="0091306F">
      <w:pPr>
        <w:pStyle w:val="Heading1"/>
      </w:pPr>
      <w:bookmarkStart w:id="1" w:name="_Toc67035556"/>
      <w:bookmarkStart w:id="2" w:name="_Toc101788750"/>
      <w:r w:rsidRPr="00E44842">
        <w:lastRenderedPageBreak/>
        <w:t>Introduction</w:t>
      </w:r>
      <w:bookmarkEnd w:id="1"/>
      <w:bookmarkEnd w:id="2"/>
    </w:p>
    <w:p w14:paraId="2638BF0B" w14:textId="4C2C2EC3" w:rsidR="0091306F" w:rsidRPr="00EB60C1" w:rsidRDefault="0091306F" w:rsidP="00EB60C1">
      <w:pPr>
        <w:pStyle w:val="Body"/>
      </w:pPr>
      <w:r w:rsidRPr="00EB60C1">
        <w:t xml:space="preserve">This section lists concept definitions relating to data items reported to </w:t>
      </w:r>
      <w:r w:rsidR="004C7C53">
        <w:t xml:space="preserve">the </w:t>
      </w:r>
      <w:r w:rsidRPr="00EB60C1">
        <w:t>VINAH</w:t>
      </w:r>
      <w:r w:rsidR="004C7C53">
        <w:t xml:space="preserve"> MD</w:t>
      </w:r>
      <w:r w:rsidR="00142B99">
        <w:t>S</w:t>
      </w:r>
      <w:r w:rsidRPr="00EB60C1">
        <w:t xml:space="preserve">, and in some cases provides a guide for their use. There is also a reference to </w:t>
      </w:r>
      <w:r w:rsidR="003B4209">
        <w:t xml:space="preserve">the </w:t>
      </w:r>
      <w:r w:rsidRPr="00EB60C1">
        <w:t xml:space="preserve">VINAH </w:t>
      </w:r>
      <w:r w:rsidR="003B4209">
        <w:t>MD</w:t>
      </w:r>
      <w:r w:rsidR="00142B99">
        <w:t>S</w:t>
      </w:r>
      <w:r w:rsidR="003B4209">
        <w:t xml:space="preserve"> </w:t>
      </w:r>
      <w:r w:rsidRPr="00EB60C1">
        <w:t>data items derived from data reported.</w:t>
      </w:r>
    </w:p>
    <w:p w14:paraId="6A05C0BE" w14:textId="560AC947" w:rsidR="0091306F" w:rsidRPr="00EB60C1" w:rsidRDefault="0091306F" w:rsidP="00EB60C1">
      <w:pPr>
        <w:pStyle w:val="Body"/>
      </w:pPr>
      <w:r w:rsidRPr="00EB60C1">
        <w:t xml:space="preserve">Detailed specifications for reporting data to </w:t>
      </w:r>
      <w:r w:rsidR="004C7C53">
        <w:t xml:space="preserve">the </w:t>
      </w:r>
      <w:r w:rsidRPr="00EB60C1">
        <w:t xml:space="preserve">VINAH </w:t>
      </w:r>
      <w:r w:rsidR="004C7C53">
        <w:t>MD</w:t>
      </w:r>
      <w:r w:rsidR="00142B99">
        <w:t>S</w:t>
      </w:r>
      <w:r w:rsidR="004C7C53">
        <w:t xml:space="preserve"> </w:t>
      </w:r>
      <w:r w:rsidRPr="00EB60C1">
        <w:t>are provided in Sections 3, 4 and 5 of this manual.</w:t>
      </w:r>
    </w:p>
    <w:p w14:paraId="79C01841" w14:textId="77777777" w:rsidR="0091306F" w:rsidRPr="00711B0C" w:rsidRDefault="0091306F" w:rsidP="0091306F">
      <w:pPr>
        <w:pStyle w:val="Heading1"/>
      </w:pPr>
      <w:bookmarkStart w:id="3" w:name="_Toc43198339"/>
      <w:bookmarkStart w:id="4" w:name="_Toc67035557"/>
      <w:bookmarkStart w:id="5" w:name="_Toc101788751"/>
      <w:r>
        <w:t>Concepts</w:t>
      </w:r>
      <w:bookmarkEnd w:id="3"/>
      <w:bookmarkEnd w:id="4"/>
      <w:bookmarkEnd w:id="5"/>
    </w:p>
    <w:p w14:paraId="596F70A5" w14:textId="77777777" w:rsidR="0091306F" w:rsidRDefault="0091306F" w:rsidP="0091306F">
      <w:pPr>
        <w:pStyle w:val="Heading2"/>
      </w:pPr>
      <w:bookmarkStart w:id="6" w:name="_Toc43198340"/>
      <w:bookmarkStart w:id="7" w:name="_Toc67035558"/>
      <w:bookmarkStart w:id="8" w:name="_Toc101788752"/>
      <w:r w:rsidRPr="008639B9">
        <w:t>Brokerage</w:t>
      </w:r>
      <w:bookmarkEnd w:id="6"/>
      <w:bookmarkEnd w:id="7"/>
      <w:bookmarkEnd w:id="8"/>
    </w:p>
    <w:tbl>
      <w:tblPr>
        <w:tblStyle w:val="TableGrid"/>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A0" w:firstRow="1" w:lastRow="0" w:firstColumn="1" w:lastColumn="0" w:noHBand="1" w:noVBand="1"/>
      </w:tblPr>
      <w:tblGrid>
        <w:gridCol w:w="1701"/>
        <w:gridCol w:w="7655"/>
      </w:tblGrid>
      <w:tr w:rsidR="007F35CF" w14:paraId="74992945" w14:textId="77777777" w:rsidTr="0091306F">
        <w:tc>
          <w:tcPr>
            <w:tcW w:w="1701" w:type="dxa"/>
          </w:tcPr>
          <w:p w14:paraId="23414DAC" w14:textId="77777777" w:rsidR="007F35CF" w:rsidRPr="00E873B3" w:rsidRDefault="007F35CF" w:rsidP="004A1E7B">
            <w:pPr>
              <w:pStyle w:val="DHHSbodynospace"/>
              <w:rPr>
                <w:rStyle w:val="Strong"/>
              </w:rPr>
            </w:pPr>
            <w:r w:rsidRPr="00E873B3">
              <w:rPr>
                <w:rStyle w:val="Strong"/>
              </w:rPr>
              <w:t>Definition</w:t>
            </w:r>
          </w:p>
        </w:tc>
        <w:tc>
          <w:tcPr>
            <w:tcW w:w="7655" w:type="dxa"/>
          </w:tcPr>
          <w:p w14:paraId="070A577A" w14:textId="76D88BD8" w:rsidR="007F35CF" w:rsidRDefault="007F35CF" w:rsidP="004A1E7B">
            <w:pPr>
              <w:pStyle w:val="DHHSbodynospace"/>
              <w:rPr>
                <w:szCs w:val="21"/>
              </w:rPr>
            </w:pPr>
            <w:r w:rsidRPr="000D64C9">
              <w:rPr>
                <w:szCs w:val="21"/>
              </w:rPr>
              <w:t xml:space="preserve">Brokerage occurs when an organisation that is funded by the </w:t>
            </w:r>
            <w:r w:rsidR="003B4209">
              <w:rPr>
                <w:szCs w:val="21"/>
              </w:rPr>
              <w:t>d</w:t>
            </w:r>
            <w:r w:rsidRPr="000D64C9">
              <w:rPr>
                <w:szCs w:val="21"/>
              </w:rPr>
              <w:t>epartment to deliver services that are in scope for VINAH</w:t>
            </w:r>
            <w:r w:rsidR="004C7C53">
              <w:rPr>
                <w:szCs w:val="21"/>
              </w:rPr>
              <w:t xml:space="preserve"> MD</w:t>
            </w:r>
            <w:r w:rsidR="00142B99">
              <w:rPr>
                <w:szCs w:val="21"/>
              </w:rPr>
              <w:t>S</w:t>
            </w:r>
            <w:r w:rsidRPr="000D64C9">
              <w:rPr>
                <w:szCs w:val="21"/>
              </w:rPr>
              <w:t xml:space="preserve"> reporting pays a third-party organisation, </w:t>
            </w:r>
            <w:r w:rsidRPr="002D1515">
              <w:rPr>
                <w:szCs w:val="21"/>
              </w:rPr>
              <w:t>that is not a public health service,</w:t>
            </w:r>
            <w:r w:rsidRPr="000D64C9">
              <w:rPr>
                <w:szCs w:val="21"/>
              </w:rPr>
              <w:t xml:space="preserve"> (sub-contracts) to assist with service delivery.</w:t>
            </w:r>
          </w:p>
          <w:p w14:paraId="09A4067A" w14:textId="63B08C7C" w:rsidR="004A1E7B" w:rsidRDefault="004A1E7B" w:rsidP="004A1E7B">
            <w:pPr>
              <w:pStyle w:val="DHHSbodynospace"/>
            </w:pPr>
          </w:p>
        </w:tc>
      </w:tr>
      <w:tr w:rsidR="007F35CF" w14:paraId="7B5F1795" w14:textId="77777777" w:rsidTr="0091306F">
        <w:tc>
          <w:tcPr>
            <w:tcW w:w="1701" w:type="dxa"/>
          </w:tcPr>
          <w:p w14:paraId="32D129B0" w14:textId="77777777" w:rsidR="007F35CF" w:rsidRPr="00E873B3" w:rsidRDefault="007F35CF" w:rsidP="004A1E7B">
            <w:pPr>
              <w:pStyle w:val="DHHSbodynospace"/>
              <w:rPr>
                <w:rStyle w:val="Strong"/>
              </w:rPr>
            </w:pPr>
            <w:r w:rsidRPr="00E873B3">
              <w:rPr>
                <w:rStyle w:val="Strong"/>
              </w:rPr>
              <w:t>Guide for use</w:t>
            </w:r>
          </w:p>
        </w:tc>
        <w:tc>
          <w:tcPr>
            <w:tcW w:w="7655" w:type="dxa"/>
          </w:tcPr>
          <w:p w14:paraId="3071174B" w14:textId="32CAA269" w:rsidR="007F35CF" w:rsidRDefault="007F35CF" w:rsidP="00A262D4">
            <w:pPr>
              <w:pStyle w:val="DHHSbodynospace"/>
              <w:spacing w:after="120"/>
              <w:rPr>
                <w:szCs w:val="21"/>
              </w:rPr>
            </w:pPr>
            <w:r w:rsidRPr="002D1515">
              <w:rPr>
                <w:szCs w:val="21"/>
              </w:rPr>
              <w:t xml:space="preserve">Brokered services for outpatients may be permitted in limited circumstances as guided by the </w:t>
            </w:r>
            <w:r w:rsidR="003B4209">
              <w:rPr>
                <w:szCs w:val="21"/>
              </w:rPr>
              <w:t>d</w:t>
            </w:r>
            <w:r w:rsidRPr="002D1515">
              <w:rPr>
                <w:szCs w:val="21"/>
              </w:rPr>
              <w:t>epartment. Activity provided under a brokered arrangement is reported by the health service paying for the service.</w:t>
            </w:r>
          </w:p>
          <w:p w14:paraId="7D976F9C" w14:textId="484C61FA" w:rsidR="007F35CF" w:rsidRDefault="007F35CF" w:rsidP="004A1E7B">
            <w:pPr>
              <w:pStyle w:val="DHHSbodynospace"/>
              <w:rPr>
                <w:szCs w:val="21"/>
              </w:rPr>
            </w:pPr>
            <w:r w:rsidRPr="000D64C9">
              <w:rPr>
                <w:szCs w:val="21"/>
              </w:rPr>
              <w:t>Organisations that report HARP activity and are:</w:t>
            </w:r>
          </w:p>
          <w:p w14:paraId="35A1ABEF" w14:textId="6EB19D7E" w:rsidR="007F35CF" w:rsidRDefault="007F35CF" w:rsidP="004A1E7B">
            <w:pPr>
              <w:pStyle w:val="DHHSbodynospace"/>
              <w:numPr>
                <w:ilvl w:val="0"/>
                <w:numId w:val="15"/>
              </w:numPr>
            </w:pPr>
            <w:r w:rsidRPr="000D64C9">
              <w:t xml:space="preserve">Part of a HARP </w:t>
            </w:r>
            <w:r w:rsidR="00A262D4">
              <w:t>s</w:t>
            </w:r>
            <w:r w:rsidRPr="000D64C9">
              <w:t xml:space="preserve">ervice </w:t>
            </w:r>
            <w:r w:rsidR="00A262D4">
              <w:t>a</w:t>
            </w:r>
            <w:r w:rsidRPr="000D64C9">
              <w:t xml:space="preserve">greement, should be identified individually in </w:t>
            </w:r>
            <w:r w:rsidR="003B4209">
              <w:t xml:space="preserve">the </w:t>
            </w:r>
            <w:r w:rsidRPr="000D64C9">
              <w:t>VINAH</w:t>
            </w:r>
            <w:r w:rsidR="003B4209">
              <w:t xml:space="preserve"> MD</w:t>
            </w:r>
            <w:r w:rsidR="00142B99">
              <w:t>S</w:t>
            </w:r>
            <w:r w:rsidRPr="000D64C9">
              <w:t>, and are not considered brokered services, even when the organisation is outside of a health service.</w:t>
            </w:r>
          </w:p>
          <w:p w14:paraId="164DB7D5" w14:textId="461A07E3" w:rsidR="007F35CF" w:rsidRDefault="007F35CF" w:rsidP="00A262D4">
            <w:pPr>
              <w:pStyle w:val="DHHSbodynospace"/>
              <w:numPr>
                <w:ilvl w:val="0"/>
                <w:numId w:val="15"/>
              </w:numPr>
              <w:spacing w:after="120"/>
              <w:ind w:left="357" w:hanging="357"/>
            </w:pPr>
            <w:r w:rsidRPr="000D64C9">
              <w:t xml:space="preserve">Not part of a HARP </w:t>
            </w:r>
            <w:r w:rsidR="00A262D4">
              <w:t>s</w:t>
            </w:r>
            <w:r w:rsidRPr="000D64C9">
              <w:t xml:space="preserve">ervice </w:t>
            </w:r>
            <w:r w:rsidR="00A262D4">
              <w:t>a</w:t>
            </w:r>
            <w:r w:rsidRPr="000D64C9">
              <w:t>greement, are considered brokered services.</w:t>
            </w:r>
          </w:p>
          <w:p w14:paraId="6A24E6DF" w14:textId="77777777" w:rsidR="007F35CF" w:rsidRDefault="007F35CF" w:rsidP="004A1E7B">
            <w:pPr>
              <w:pStyle w:val="DHHSbodynospace"/>
            </w:pPr>
            <w:r w:rsidRPr="000D64C9">
              <w:t>PAC, PC and SACS services will report brokered services</w:t>
            </w:r>
            <w:r w:rsidR="0015017A">
              <w:t>.</w:t>
            </w:r>
          </w:p>
          <w:p w14:paraId="70C97374" w14:textId="29B399ED" w:rsidR="004A1E7B" w:rsidRDefault="004A1E7B" w:rsidP="004A1E7B">
            <w:pPr>
              <w:pStyle w:val="DHHSbodynospace"/>
            </w:pPr>
          </w:p>
        </w:tc>
      </w:tr>
      <w:tr w:rsidR="007F35CF" w14:paraId="19C73DEB" w14:textId="77777777" w:rsidTr="0091306F">
        <w:tc>
          <w:tcPr>
            <w:tcW w:w="1701" w:type="dxa"/>
          </w:tcPr>
          <w:p w14:paraId="0A18A572" w14:textId="77777777" w:rsidR="007F35CF" w:rsidRPr="00E873B3" w:rsidRDefault="007F35CF" w:rsidP="004A1E7B">
            <w:pPr>
              <w:pStyle w:val="DHHSbodynospace"/>
              <w:rPr>
                <w:rStyle w:val="Strong"/>
              </w:rPr>
            </w:pPr>
            <w:r w:rsidRPr="00E873B3">
              <w:rPr>
                <w:rStyle w:val="Strong"/>
              </w:rPr>
              <w:t>Refer to</w:t>
            </w:r>
          </w:p>
        </w:tc>
        <w:tc>
          <w:tcPr>
            <w:tcW w:w="7655" w:type="dxa"/>
          </w:tcPr>
          <w:p w14:paraId="6E8FB2B2" w14:textId="77777777" w:rsidR="007F35CF" w:rsidRDefault="007F35CF" w:rsidP="004A1E7B">
            <w:pPr>
              <w:pStyle w:val="DHHSbodynospace"/>
            </w:pPr>
            <w:r w:rsidRPr="008639B9">
              <w:t>Section 3: Contact provider</w:t>
            </w:r>
          </w:p>
        </w:tc>
      </w:tr>
    </w:tbl>
    <w:p w14:paraId="0B9F1F8A" w14:textId="77777777" w:rsidR="0091306F" w:rsidRDefault="0091306F" w:rsidP="0091306F">
      <w:pPr>
        <w:pStyle w:val="Heading2"/>
      </w:pPr>
      <w:bookmarkStart w:id="9" w:name="_Toc43198341"/>
      <w:bookmarkStart w:id="10" w:name="_Toc67035559"/>
      <w:bookmarkStart w:id="11" w:name="_Toc101788753"/>
      <w:r w:rsidRPr="008639B9">
        <w:t>Campus</w:t>
      </w:r>
      <w:bookmarkEnd w:id="9"/>
      <w:bookmarkEnd w:id="10"/>
      <w:bookmarkEnd w:id="11"/>
    </w:p>
    <w:tbl>
      <w:tblPr>
        <w:tblStyle w:val="TableGrid"/>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A0" w:firstRow="1" w:lastRow="0" w:firstColumn="1" w:lastColumn="0" w:noHBand="1" w:noVBand="1"/>
      </w:tblPr>
      <w:tblGrid>
        <w:gridCol w:w="1701"/>
        <w:gridCol w:w="7655"/>
      </w:tblGrid>
      <w:tr w:rsidR="0091306F" w14:paraId="6226068B" w14:textId="77777777" w:rsidTr="0091306F">
        <w:tc>
          <w:tcPr>
            <w:tcW w:w="1701" w:type="dxa"/>
          </w:tcPr>
          <w:p w14:paraId="7289A954" w14:textId="77777777" w:rsidR="0091306F" w:rsidRPr="00EB60C1" w:rsidRDefault="0091306F" w:rsidP="00EB60C1">
            <w:pPr>
              <w:pStyle w:val="Tabletext"/>
              <w:rPr>
                <w:rStyle w:val="Strong"/>
              </w:rPr>
            </w:pPr>
            <w:r w:rsidRPr="00EB60C1">
              <w:rPr>
                <w:rStyle w:val="Strong"/>
              </w:rPr>
              <w:t>Definition</w:t>
            </w:r>
          </w:p>
        </w:tc>
        <w:tc>
          <w:tcPr>
            <w:tcW w:w="7655" w:type="dxa"/>
          </w:tcPr>
          <w:p w14:paraId="0EBBB572" w14:textId="77777777" w:rsidR="0091306F" w:rsidRDefault="0091306F" w:rsidP="0002232F">
            <w:pPr>
              <w:pStyle w:val="Tabletext"/>
            </w:pPr>
            <w:r w:rsidRPr="008639B9">
              <w:t>A physically distinct site owned or occupied by a public health service/hospital, where treatment and/or care is regularly provided to patients.</w:t>
            </w:r>
          </w:p>
          <w:p w14:paraId="2631DE33" w14:textId="43221CE7" w:rsidR="001355B8" w:rsidRDefault="001355B8" w:rsidP="0002232F">
            <w:pPr>
              <w:pStyle w:val="Tabletext"/>
            </w:pPr>
          </w:p>
        </w:tc>
      </w:tr>
      <w:tr w:rsidR="0091306F" w14:paraId="3EA5FC12" w14:textId="77777777" w:rsidTr="0091306F">
        <w:tc>
          <w:tcPr>
            <w:tcW w:w="1701" w:type="dxa"/>
          </w:tcPr>
          <w:p w14:paraId="2DF0E7D4" w14:textId="2396A9E4" w:rsidR="00E86F93" w:rsidRPr="00DF0847" w:rsidRDefault="0091306F" w:rsidP="00DF0847">
            <w:pPr>
              <w:pStyle w:val="Tabletext"/>
              <w:rPr>
                <w:b/>
                <w:bCs/>
              </w:rPr>
            </w:pPr>
            <w:r w:rsidRPr="00EB60C1">
              <w:rPr>
                <w:rStyle w:val="Strong"/>
              </w:rPr>
              <w:t>Guide for use</w:t>
            </w:r>
          </w:p>
          <w:p w14:paraId="67D5EF4A" w14:textId="64410886" w:rsidR="00E86F93" w:rsidRPr="00E86F93" w:rsidRDefault="00E86F93" w:rsidP="00E86F93">
            <w:pPr>
              <w:jc w:val="center"/>
            </w:pPr>
          </w:p>
        </w:tc>
        <w:tc>
          <w:tcPr>
            <w:tcW w:w="7655" w:type="dxa"/>
          </w:tcPr>
          <w:p w14:paraId="1549E033" w14:textId="77777777" w:rsidR="0091306F" w:rsidRDefault="0091306F" w:rsidP="0002232F">
            <w:pPr>
              <w:pStyle w:val="Tabletext"/>
            </w:pPr>
            <w:r>
              <w:t>For the purpose of reporting:</w:t>
            </w:r>
          </w:p>
          <w:p w14:paraId="4E2AB0BC" w14:textId="77777777" w:rsidR="0091306F" w:rsidRDefault="0091306F" w:rsidP="00A262D4">
            <w:pPr>
              <w:pStyle w:val="Tabletext"/>
              <w:numPr>
                <w:ilvl w:val="0"/>
                <w:numId w:val="16"/>
              </w:numPr>
            </w:pPr>
            <w:r>
              <w:t>A single campus hospital provides non-admitted patient services at one location only.</w:t>
            </w:r>
          </w:p>
          <w:p w14:paraId="56CAFC94" w14:textId="77777777" w:rsidR="0091306F" w:rsidRDefault="0091306F" w:rsidP="00A262D4">
            <w:pPr>
              <w:pStyle w:val="Tabletext"/>
              <w:numPr>
                <w:ilvl w:val="0"/>
                <w:numId w:val="16"/>
              </w:numPr>
            </w:pPr>
            <w:r>
              <w:t>Unless designated otherwise by the department, a multi-campus hospital has two or more locations providing admitted patient services, where the locations:</w:t>
            </w:r>
          </w:p>
          <w:p w14:paraId="4448A344" w14:textId="77777777" w:rsidR="0091306F" w:rsidRDefault="0091306F" w:rsidP="00A262D4">
            <w:pPr>
              <w:pStyle w:val="Tablebullet1"/>
              <w:numPr>
                <w:ilvl w:val="0"/>
                <w:numId w:val="17"/>
              </w:numPr>
            </w:pPr>
            <w:r>
              <w:t>are separated by land (other than public road) not owned, leased or used by that hospital</w:t>
            </w:r>
          </w:p>
          <w:p w14:paraId="31AC37F4" w14:textId="77777777" w:rsidR="0091306F" w:rsidRDefault="0091306F" w:rsidP="00A262D4">
            <w:pPr>
              <w:pStyle w:val="Tablebullet1"/>
              <w:numPr>
                <w:ilvl w:val="0"/>
                <w:numId w:val="17"/>
              </w:numPr>
            </w:pPr>
            <w:r>
              <w:t>have the same management at the public health service/hospital level</w:t>
            </w:r>
          </w:p>
          <w:p w14:paraId="36EB53B9" w14:textId="77777777" w:rsidR="0091306F" w:rsidRDefault="0091306F" w:rsidP="00A262D4">
            <w:pPr>
              <w:pStyle w:val="Tablebullet1"/>
              <w:numPr>
                <w:ilvl w:val="0"/>
                <w:numId w:val="17"/>
              </w:numPr>
            </w:pPr>
            <w:r>
              <w:lastRenderedPageBreak/>
              <w:t>each has overnight stay facilities. A separate location (see first dot point) providing day only services, such as a satellite dialysis unit, is considered to be part of a campus</w:t>
            </w:r>
          </w:p>
          <w:p w14:paraId="7CF7B001" w14:textId="28CD0428" w:rsidR="0091306F" w:rsidRDefault="0091306F" w:rsidP="00A262D4">
            <w:pPr>
              <w:pStyle w:val="Tablebullet1"/>
              <w:numPr>
                <w:ilvl w:val="0"/>
                <w:numId w:val="17"/>
              </w:numPr>
              <w:spacing w:after="120"/>
              <w:ind w:left="584"/>
            </w:pPr>
            <w:r>
              <w:t>are not private homes. Private homes where hospital services are provided are considered to be part of a campus.</w:t>
            </w:r>
          </w:p>
          <w:p w14:paraId="4528015C" w14:textId="4B6B7BF9" w:rsidR="0091306F" w:rsidRPr="00EB60C1" w:rsidRDefault="0091306F" w:rsidP="0002232F">
            <w:pPr>
              <w:pStyle w:val="Tabletext"/>
              <w:rPr>
                <w:rStyle w:val="Strong"/>
              </w:rPr>
            </w:pPr>
            <w:r w:rsidRPr="00EB60C1">
              <w:rPr>
                <w:rStyle w:val="Strong"/>
              </w:rPr>
              <w:t>Episode Campus Code</w:t>
            </w:r>
          </w:p>
          <w:p w14:paraId="2AC90EF3" w14:textId="77777777" w:rsidR="0091306F" w:rsidRPr="00B51C91" w:rsidRDefault="0091306F" w:rsidP="0002232F">
            <w:pPr>
              <w:pStyle w:val="Tabletext"/>
            </w:pPr>
            <w:r>
              <w:t xml:space="preserve">The campus responsible for delivering the service to the patient is described by the Episode Campus Code data element. The code list of campuses is found in Section 9 and the table identifier HL70115. The campus responsible for </w:t>
            </w:r>
            <w:r w:rsidRPr="00B51C91">
              <w:t>delivering the service may be the same as, or different to, the campus providing the service.</w:t>
            </w:r>
          </w:p>
          <w:p w14:paraId="7E4F42A9" w14:textId="77777777" w:rsidR="0091306F" w:rsidRPr="00EB60C1" w:rsidRDefault="0091306F" w:rsidP="0002232F">
            <w:pPr>
              <w:pStyle w:val="Tabletext"/>
              <w:rPr>
                <w:rStyle w:val="Strong"/>
              </w:rPr>
            </w:pPr>
            <w:r w:rsidRPr="00EB60C1">
              <w:rPr>
                <w:rStyle w:val="Strong"/>
              </w:rPr>
              <w:t>Contact Campus Code</w:t>
            </w:r>
          </w:p>
          <w:p w14:paraId="41BD4B0D" w14:textId="6FAD5F1C" w:rsidR="0091306F" w:rsidRPr="00471A0F" w:rsidRDefault="0091306F" w:rsidP="0002232F">
            <w:pPr>
              <w:pStyle w:val="Tabletext"/>
            </w:pPr>
            <w:r w:rsidRPr="00471A0F">
              <w:t>The campus where the contact was provided. The code list of campuses is found in Section 9 and the table identifier HL70115</w:t>
            </w:r>
          </w:p>
          <w:p w14:paraId="15F4FCBB" w14:textId="77777777" w:rsidR="0091306F" w:rsidRPr="00F60B08" w:rsidRDefault="0091306F" w:rsidP="0002232F">
            <w:pPr>
              <w:pStyle w:val="Tabletext"/>
              <w:rPr>
                <w:b/>
              </w:rPr>
            </w:pPr>
            <w:r w:rsidRPr="00F60B08">
              <w:rPr>
                <w:b/>
              </w:rPr>
              <w:t xml:space="preserve">Contact </w:t>
            </w:r>
            <w:r>
              <w:rPr>
                <w:b/>
              </w:rPr>
              <w:t>P</w:t>
            </w:r>
            <w:r w:rsidRPr="00F60B08">
              <w:rPr>
                <w:b/>
              </w:rPr>
              <w:t>rovider</w:t>
            </w:r>
          </w:p>
          <w:p w14:paraId="72903E97" w14:textId="7502C003" w:rsidR="0091306F" w:rsidRPr="002E4F40" w:rsidRDefault="0091306F" w:rsidP="0002232F">
            <w:pPr>
              <w:pStyle w:val="Tabletext"/>
            </w:pPr>
            <w:r w:rsidRPr="00F60B08">
              <w:t xml:space="preserve">A campus of a </w:t>
            </w:r>
            <w:r>
              <w:t>hospital or h</w:t>
            </w:r>
            <w:r w:rsidRPr="00F60B08">
              <w:t xml:space="preserve">ealth </w:t>
            </w:r>
            <w:r>
              <w:t>s</w:t>
            </w:r>
            <w:r w:rsidRPr="00F60B08">
              <w:t>ervice that provides the service to the patient is described by the Contact Provider data element. The code list of providers is found in Section 9 and is table identifier 990012.  A Contact Provider may also be an organisation which is not a campus of a health service or hospital.</w:t>
            </w:r>
          </w:p>
          <w:p w14:paraId="22BE0A96" w14:textId="77777777" w:rsidR="0091306F" w:rsidRPr="00EB60C1" w:rsidRDefault="0091306F" w:rsidP="0002232F">
            <w:pPr>
              <w:pStyle w:val="Tabletext"/>
              <w:rPr>
                <w:rStyle w:val="Strong"/>
              </w:rPr>
            </w:pPr>
            <w:r w:rsidRPr="00EB60C1">
              <w:rPr>
                <w:rStyle w:val="Strong"/>
              </w:rPr>
              <w:t>Local Identifier Assigning Authority</w:t>
            </w:r>
          </w:p>
          <w:p w14:paraId="3B238E51" w14:textId="13072C3D" w:rsidR="0091306F" w:rsidRDefault="0091306F" w:rsidP="0002232F">
            <w:pPr>
              <w:pStyle w:val="Tabletext"/>
              <w:rPr>
                <w:i/>
              </w:rPr>
            </w:pPr>
            <w:r w:rsidRPr="00F60B08">
              <w:t xml:space="preserve">A campus of a </w:t>
            </w:r>
            <w:r>
              <w:t>h</w:t>
            </w:r>
            <w:r w:rsidRPr="00F60B08">
              <w:t xml:space="preserve">ospital or </w:t>
            </w:r>
            <w:r>
              <w:t>h</w:t>
            </w:r>
            <w:r w:rsidRPr="00F60B08">
              <w:t xml:space="preserve">ealth </w:t>
            </w:r>
            <w:r>
              <w:t>s</w:t>
            </w:r>
            <w:r w:rsidRPr="00F60B08">
              <w:t xml:space="preserve">ervice that has assigned the Patient Identifier for the patient is described by the Local Identifier Assigning Authority (LAA) data element. The code list of LAA’s is found in Section 9 and is table identifier HL70300. </w:t>
            </w:r>
            <w:r w:rsidRPr="00B51C91">
              <w:rPr>
                <w:i/>
              </w:rPr>
              <w:t>Note:</w:t>
            </w:r>
            <w:r w:rsidRPr="00F60B08">
              <w:t xml:space="preserve"> </w:t>
            </w:r>
            <w:r w:rsidR="00061D44" w:rsidRPr="00061D44">
              <w:rPr>
                <w:i/>
                <w:iCs/>
              </w:rPr>
              <w:t>i</w:t>
            </w:r>
            <w:r w:rsidRPr="00B51C91">
              <w:rPr>
                <w:i/>
              </w:rPr>
              <w:t>f the Patient Identifier is common across the organisation, LAA can be reported as a code from the Organisation Identifier table.</w:t>
            </w:r>
          </w:p>
          <w:p w14:paraId="6FA8ED56" w14:textId="4881EB10" w:rsidR="00C202A7" w:rsidRDefault="00C202A7" w:rsidP="0002232F">
            <w:pPr>
              <w:pStyle w:val="Tabletext"/>
            </w:pPr>
          </w:p>
        </w:tc>
      </w:tr>
      <w:tr w:rsidR="0091306F" w14:paraId="6EE64EC7" w14:textId="77777777" w:rsidTr="0091306F">
        <w:tc>
          <w:tcPr>
            <w:tcW w:w="1701" w:type="dxa"/>
          </w:tcPr>
          <w:p w14:paraId="00C413E3" w14:textId="77777777" w:rsidR="0091306F" w:rsidRPr="00EB60C1" w:rsidRDefault="0091306F" w:rsidP="00EB60C1">
            <w:pPr>
              <w:pStyle w:val="Tabletext"/>
              <w:rPr>
                <w:rStyle w:val="Strong"/>
              </w:rPr>
            </w:pPr>
            <w:r w:rsidRPr="00EB60C1">
              <w:rPr>
                <w:rStyle w:val="Strong"/>
              </w:rPr>
              <w:lastRenderedPageBreak/>
              <w:t xml:space="preserve">Refer to </w:t>
            </w:r>
          </w:p>
        </w:tc>
        <w:tc>
          <w:tcPr>
            <w:tcW w:w="7655" w:type="dxa"/>
          </w:tcPr>
          <w:p w14:paraId="7D3B9AAB" w14:textId="77777777" w:rsidR="0091306F" w:rsidRDefault="0091306F" w:rsidP="0002232F">
            <w:pPr>
              <w:pStyle w:val="Tabletext"/>
            </w:pPr>
            <w:r>
              <w:t>Section 3: Contact provider</w:t>
            </w:r>
          </w:p>
          <w:p w14:paraId="72A97C98" w14:textId="77777777" w:rsidR="0091306F" w:rsidRDefault="0091306F" w:rsidP="0002232F">
            <w:pPr>
              <w:pStyle w:val="Tabletext"/>
            </w:pPr>
            <w:r>
              <w:t>Section 3: Episode campus code</w:t>
            </w:r>
          </w:p>
          <w:p w14:paraId="6B1DBCF1" w14:textId="77777777" w:rsidR="0091306F" w:rsidRDefault="0091306F" w:rsidP="0002232F">
            <w:pPr>
              <w:pStyle w:val="Tabletext"/>
            </w:pPr>
            <w:r>
              <w:t>Section 3: Local identifier assigning authority</w:t>
            </w:r>
          </w:p>
        </w:tc>
      </w:tr>
    </w:tbl>
    <w:p w14:paraId="1469116C" w14:textId="77777777" w:rsidR="0091306F" w:rsidRDefault="0091306F" w:rsidP="0091306F">
      <w:pPr>
        <w:pStyle w:val="Heading2"/>
      </w:pPr>
      <w:bookmarkStart w:id="12" w:name="_Toc43198342"/>
      <w:bookmarkStart w:id="13" w:name="_Toc67035560"/>
      <w:bookmarkStart w:id="14" w:name="_Toc101788754"/>
      <w:r>
        <w:t>Case</w:t>
      </w:r>
      <w:bookmarkEnd w:id="12"/>
      <w:bookmarkEnd w:id="13"/>
      <w:bookmarkEnd w:id="14"/>
    </w:p>
    <w:tbl>
      <w:tblPr>
        <w:tblStyle w:val="TableGrid"/>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A0" w:firstRow="1" w:lastRow="0" w:firstColumn="1" w:lastColumn="0" w:noHBand="1" w:noVBand="1"/>
      </w:tblPr>
      <w:tblGrid>
        <w:gridCol w:w="1701"/>
        <w:gridCol w:w="7655"/>
      </w:tblGrid>
      <w:tr w:rsidR="0091306F" w14:paraId="6ECA977C" w14:textId="77777777" w:rsidTr="0091306F">
        <w:tc>
          <w:tcPr>
            <w:tcW w:w="1701" w:type="dxa"/>
          </w:tcPr>
          <w:p w14:paraId="1DCE09B8" w14:textId="77777777" w:rsidR="0091306F" w:rsidRPr="00EB60C1" w:rsidRDefault="0091306F" w:rsidP="00EB60C1">
            <w:pPr>
              <w:pStyle w:val="Tabletext"/>
              <w:rPr>
                <w:rStyle w:val="Strong"/>
              </w:rPr>
            </w:pPr>
            <w:r w:rsidRPr="00EB60C1">
              <w:rPr>
                <w:rStyle w:val="Strong"/>
              </w:rPr>
              <w:t>Definition</w:t>
            </w:r>
          </w:p>
        </w:tc>
        <w:tc>
          <w:tcPr>
            <w:tcW w:w="7655" w:type="dxa"/>
          </w:tcPr>
          <w:p w14:paraId="04579524" w14:textId="77777777" w:rsidR="0091306F" w:rsidRDefault="0091306F" w:rsidP="00780FC1">
            <w:pPr>
              <w:pStyle w:val="Tabletext"/>
              <w:spacing w:after="0"/>
            </w:pPr>
            <w:r>
              <w:t>The case:</w:t>
            </w:r>
          </w:p>
          <w:p w14:paraId="2F012985" w14:textId="013A5007" w:rsidR="0091306F" w:rsidRPr="00995085" w:rsidRDefault="00FA7D6E" w:rsidP="00061D44">
            <w:pPr>
              <w:pStyle w:val="Tabletext"/>
              <w:numPr>
                <w:ilvl w:val="0"/>
                <w:numId w:val="19"/>
              </w:numPr>
              <w:spacing w:after="0"/>
            </w:pPr>
            <w:r>
              <w:t>i</w:t>
            </w:r>
            <w:r w:rsidR="0091306F" w:rsidRPr="00995085">
              <w:t>s opened when an organisation first accepts responsibility for a patient/client, which results in an episode starting</w:t>
            </w:r>
          </w:p>
          <w:p w14:paraId="5AA2A9EF" w14:textId="70F21B0A" w:rsidR="0091306F" w:rsidRPr="00995085" w:rsidRDefault="00FA7D6E" w:rsidP="00061D44">
            <w:pPr>
              <w:pStyle w:val="Tabletext"/>
              <w:numPr>
                <w:ilvl w:val="0"/>
                <w:numId w:val="19"/>
              </w:numPr>
              <w:spacing w:after="0"/>
            </w:pPr>
            <w:r>
              <w:t>w</w:t>
            </w:r>
            <w:r w:rsidR="0091306F" w:rsidRPr="00995085">
              <w:t>ill contain at least one episode, and may contain two or more episodes where they overlap with each other, or are broken in time only by a referral received prior to all episodes closing, which results in another program/stream accepting the patient/client</w:t>
            </w:r>
          </w:p>
          <w:p w14:paraId="2D5E0EC4" w14:textId="23FFCFAB" w:rsidR="0091306F" w:rsidRPr="00995085" w:rsidRDefault="00FA7D6E" w:rsidP="00061D44">
            <w:pPr>
              <w:pStyle w:val="Tabletext"/>
              <w:numPr>
                <w:ilvl w:val="0"/>
                <w:numId w:val="19"/>
              </w:numPr>
              <w:spacing w:after="0"/>
            </w:pPr>
            <w:r>
              <w:t>i</w:t>
            </w:r>
            <w:r w:rsidR="0091306F" w:rsidRPr="00995085">
              <w:t>s closed when the patient/client has no open episodes or referrals without outcomes.</w:t>
            </w:r>
          </w:p>
          <w:p w14:paraId="26C00AB0" w14:textId="1E3CBEE3" w:rsidR="003D33C7" w:rsidRDefault="0091306F" w:rsidP="00780FC1">
            <w:pPr>
              <w:pStyle w:val="Tabletext"/>
              <w:spacing w:after="0"/>
            </w:pPr>
            <w:r>
              <w:t>C</w:t>
            </w:r>
            <w:r w:rsidRPr="00995085">
              <w:t xml:space="preserve">ase data may be used for retrospective analysis of patterns of service </w:t>
            </w:r>
            <w:r w:rsidR="003D33C7" w:rsidRPr="00995085">
              <w:t>activity to contribute to policy development and service planning.</w:t>
            </w:r>
          </w:p>
          <w:p w14:paraId="3CC864AA" w14:textId="26B271AF" w:rsidR="004A1E7B" w:rsidRDefault="004A1E7B" w:rsidP="00780FC1">
            <w:pPr>
              <w:pStyle w:val="Tabletext"/>
              <w:spacing w:after="0"/>
            </w:pPr>
          </w:p>
        </w:tc>
      </w:tr>
      <w:tr w:rsidR="0091306F" w14:paraId="0CA503C5" w14:textId="77777777" w:rsidTr="0091306F">
        <w:tc>
          <w:tcPr>
            <w:tcW w:w="1701" w:type="dxa"/>
          </w:tcPr>
          <w:p w14:paraId="6D22660E" w14:textId="77777777" w:rsidR="0091306F" w:rsidRPr="00EB60C1" w:rsidRDefault="0091306F" w:rsidP="00EB60C1">
            <w:pPr>
              <w:pStyle w:val="Tabletext"/>
              <w:rPr>
                <w:rStyle w:val="Strong"/>
              </w:rPr>
            </w:pPr>
            <w:r w:rsidRPr="00EB60C1">
              <w:rPr>
                <w:rStyle w:val="Strong"/>
              </w:rPr>
              <w:t xml:space="preserve">Refer to </w:t>
            </w:r>
          </w:p>
        </w:tc>
        <w:tc>
          <w:tcPr>
            <w:tcW w:w="7655" w:type="dxa"/>
          </w:tcPr>
          <w:p w14:paraId="5BB22A95" w14:textId="77777777" w:rsidR="0091306F" w:rsidRPr="00D91962" w:rsidRDefault="0091306F" w:rsidP="00EB60C1">
            <w:pPr>
              <w:pStyle w:val="Tabletext"/>
            </w:pPr>
            <w:r>
              <w:t xml:space="preserve">Section 2: </w:t>
            </w:r>
            <w:r w:rsidRPr="00D91962">
              <w:t xml:space="preserve">Case </w:t>
            </w:r>
            <w:r>
              <w:t>end d</w:t>
            </w:r>
            <w:r w:rsidRPr="00D91962">
              <w:t>ate (</w:t>
            </w:r>
            <w:r>
              <w:t>d</w:t>
            </w:r>
            <w:r w:rsidRPr="00D91962">
              <w:t xml:space="preserve">erived </w:t>
            </w:r>
            <w:r>
              <w:t>e</w:t>
            </w:r>
            <w:r w:rsidRPr="00D91962">
              <w:t>lement)</w:t>
            </w:r>
          </w:p>
          <w:p w14:paraId="5D188DF0" w14:textId="77777777" w:rsidR="0091306F" w:rsidRPr="00D91962" w:rsidRDefault="0091306F" w:rsidP="00EB60C1">
            <w:pPr>
              <w:pStyle w:val="Tabletext"/>
            </w:pPr>
            <w:r w:rsidRPr="00D91962">
              <w:t xml:space="preserve">Section 2: Case </w:t>
            </w:r>
            <w:r>
              <w:t>s</w:t>
            </w:r>
            <w:r w:rsidRPr="00D91962">
              <w:t xml:space="preserve">tart </w:t>
            </w:r>
            <w:r>
              <w:t>d</w:t>
            </w:r>
            <w:r w:rsidRPr="00D91962">
              <w:t>ate (</w:t>
            </w:r>
            <w:r>
              <w:t>d</w:t>
            </w:r>
            <w:r w:rsidRPr="00D91962">
              <w:t xml:space="preserve">erived </w:t>
            </w:r>
            <w:r>
              <w:t>e</w:t>
            </w:r>
            <w:r w:rsidRPr="00D91962">
              <w:t>lement)</w:t>
            </w:r>
          </w:p>
          <w:p w14:paraId="120A1B0A" w14:textId="77777777" w:rsidR="0091306F" w:rsidRPr="00D91962" w:rsidRDefault="0091306F" w:rsidP="00EB60C1">
            <w:pPr>
              <w:pStyle w:val="Tabletext"/>
            </w:pPr>
            <w:r w:rsidRPr="00D91962">
              <w:t>Section 2: Episode</w:t>
            </w:r>
          </w:p>
          <w:p w14:paraId="28BC02DC" w14:textId="77777777" w:rsidR="0091306F" w:rsidRPr="00D91962" w:rsidRDefault="0091306F" w:rsidP="00EB60C1">
            <w:pPr>
              <w:pStyle w:val="Tabletext"/>
            </w:pPr>
            <w:r w:rsidRPr="00D91962">
              <w:lastRenderedPageBreak/>
              <w:t xml:space="preserve">Section 3: Episode </w:t>
            </w:r>
            <w:r>
              <w:t>end d</w:t>
            </w:r>
            <w:r w:rsidRPr="00D91962">
              <w:t>ate</w:t>
            </w:r>
          </w:p>
          <w:p w14:paraId="4FC67C8D" w14:textId="77777777" w:rsidR="0091306F" w:rsidRDefault="0091306F" w:rsidP="00EB60C1">
            <w:pPr>
              <w:pStyle w:val="Tabletext"/>
            </w:pPr>
            <w:r w:rsidRPr="00D91962">
              <w:t xml:space="preserve">Section 3: Episode </w:t>
            </w:r>
            <w:r>
              <w:t>s</w:t>
            </w:r>
            <w:r w:rsidRPr="00D91962">
              <w:t xml:space="preserve">tart </w:t>
            </w:r>
            <w:r>
              <w:t>d</w:t>
            </w:r>
            <w:r w:rsidRPr="00D91962">
              <w:t>ate</w:t>
            </w:r>
          </w:p>
        </w:tc>
      </w:tr>
    </w:tbl>
    <w:p w14:paraId="318E482D" w14:textId="77777777" w:rsidR="0091306F" w:rsidRDefault="0091306F" w:rsidP="0091306F">
      <w:pPr>
        <w:pStyle w:val="Heading2"/>
      </w:pPr>
      <w:bookmarkStart w:id="15" w:name="_Toc43198343"/>
      <w:bookmarkStart w:id="16" w:name="_Toc67035561"/>
      <w:bookmarkStart w:id="17" w:name="_Toc101788755"/>
      <w:r>
        <w:lastRenderedPageBreak/>
        <w:t>Contact</w:t>
      </w:r>
      <w:bookmarkEnd w:id="15"/>
      <w:bookmarkEnd w:id="16"/>
      <w:bookmarkEnd w:id="17"/>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A0" w:firstRow="1" w:lastRow="0" w:firstColumn="1" w:lastColumn="0" w:noHBand="1" w:noVBand="1"/>
      </w:tblPr>
      <w:tblGrid>
        <w:gridCol w:w="1701"/>
        <w:gridCol w:w="7587"/>
      </w:tblGrid>
      <w:tr w:rsidR="0091306F" w14:paraId="1F417E87" w14:textId="77777777" w:rsidTr="0091306F">
        <w:tc>
          <w:tcPr>
            <w:tcW w:w="1701" w:type="dxa"/>
          </w:tcPr>
          <w:p w14:paraId="3A73B53F" w14:textId="77777777" w:rsidR="0091306F" w:rsidRPr="00EB60C1" w:rsidRDefault="0091306F" w:rsidP="00EB60C1">
            <w:pPr>
              <w:pStyle w:val="Tabletext"/>
              <w:rPr>
                <w:rStyle w:val="Strong"/>
              </w:rPr>
            </w:pPr>
            <w:r w:rsidRPr="00EB60C1">
              <w:rPr>
                <w:rStyle w:val="Strong"/>
              </w:rPr>
              <w:t>Definition</w:t>
            </w:r>
          </w:p>
        </w:tc>
        <w:tc>
          <w:tcPr>
            <w:tcW w:w="7587" w:type="dxa"/>
          </w:tcPr>
          <w:p w14:paraId="33309DD3" w14:textId="1AF798B3" w:rsidR="0091306F" w:rsidRDefault="0091306F" w:rsidP="00EB60C1">
            <w:pPr>
              <w:pStyle w:val="Tabletext"/>
            </w:pPr>
            <w:r w:rsidRPr="00B706FE">
              <w:t>A contact between a patient/client or other relevant person (in scope), and a professional associated with a program reporting via the VINAH MD</w:t>
            </w:r>
            <w:r w:rsidR="00142B99">
              <w:t>S</w:t>
            </w:r>
            <w:r w:rsidRPr="00B706FE">
              <w:t xml:space="preserve"> that results in a dated entry being made in the patient/client record.</w:t>
            </w:r>
          </w:p>
          <w:p w14:paraId="03FD15FF" w14:textId="1B2400E2" w:rsidR="003F733E" w:rsidRDefault="003F733E" w:rsidP="004A1E7B">
            <w:pPr>
              <w:pStyle w:val="paragraph"/>
              <w:spacing w:before="0" w:beforeAutospacing="0" w:after="0" w:afterAutospacing="0"/>
              <w:textAlignment w:val="baseline"/>
            </w:pPr>
          </w:p>
        </w:tc>
      </w:tr>
      <w:tr w:rsidR="0091306F" w14:paraId="5A32A1A5" w14:textId="77777777" w:rsidTr="0091306F">
        <w:tc>
          <w:tcPr>
            <w:tcW w:w="1701" w:type="dxa"/>
          </w:tcPr>
          <w:p w14:paraId="2E9FBEEF" w14:textId="77777777" w:rsidR="0091306F" w:rsidRPr="00EB60C1" w:rsidRDefault="0091306F" w:rsidP="00EB60C1">
            <w:pPr>
              <w:pStyle w:val="Tabletext"/>
              <w:rPr>
                <w:rStyle w:val="Strong"/>
              </w:rPr>
            </w:pPr>
            <w:r w:rsidRPr="00EB60C1">
              <w:rPr>
                <w:rStyle w:val="Strong"/>
              </w:rPr>
              <w:t>Guide for use</w:t>
            </w:r>
          </w:p>
        </w:tc>
        <w:tc>
          <w:tcPr>
            <w:tcW w:w="7587" w:type="dxa"/>
          </w:tcPr>
          <w:p w14:paraId="416CB203" w14:textId="77777777" w:rsidR="0091306F" w:rsidRDefault="0091306F" w:rsidP="00EB60C1">
            <w:pPr>
              <w:pStyle w:val="Tabletext"/>
            </w:pPr>
            <w:r>
              <w:t>A contact must meet all of the following criteria:</w:t>
            </w:r>
          </w:p>
          <w:p w14:paraId="01F5F91B" w14:textId="77777777" w:rsidR="0091306F" w:rsidRDefault="0091306F" w:rsidP="00EB60C1">
            <w:pPr>
              <w:pStyle w:val="Tablebullet1"/>
            </w:pPr>
            <w:r>
              <w:t>Clinically significant in nature;</w:t>
            </w:r>
          </w:p>
          <w:p w14:paraId="54623662" w14:textId="27A9C1A7" w:rsidR="0091306F" w:rsidRDefault="0091306F" w:rsidP="00EB60C1">
            <w:pPr>
              <w:pStyle w:val="Tablebullet1"/>
            </w:pPr>
            <w:r>
              <w:t>Provided (or brokered) by an agency funded by a program area that requires reporting via the VINAH MD</w:t>
            </w:r>
            <w:r w:rsidR="00142B99">
              <w:t>S</w:t>
            </w:r>
            <w:r>
              <w:t>;</w:t>
            </w:r>
          </w:p>
          <w:p w14:paraId="56CD2292" w14:textId="77777777" w:rsidR="0091306F" w:rsidRDefault="0091306F" w:rsidP="00EB60C1">
            <w:pPr>
              <w:pStyle w:val="Tablebullet1"/>
            </w:pPr>
            <w:r>
              <w:t>For a patient/client who has provided consent (either implied or explicit);</w:t>
            </w:r>
          </w:p>
          <w:p w14:paraId="16B42B22" w14:textId="77777777" w:rsidR="0091306F" w:rsidRDefault="0091306F" w:rsidP="00EB60C1">
            <w:pPr>
              <w:pStyle w:val="Tablebullet1"/>
            </w:pPr>
            <w:r>
              <w:t>Requires a dated entry in the clinical record of the patient/client (or a reference to a clinical record held by the brokered service).</w:t>
            </w:r>
          </w:p>
          <w:p w14:paraId="18E78701" w14:textId="77777777" w:rsidR="0091306F" w:rsidRDefault="0091306F" w:rsidP="001F1906">
            <w:pPr>
              <w:pStyle w:val="DHHStablebullet1"/>
              <w:ind w:left="0" w:firstLine="0"/>
            </w:pPr>
            <w:r>
              <w:t>For some programs, the following criteria must also be met:</w:t>
            </w:r>
          </w:p>
          <w:p w14:paraId="0532E811" w14:textId="77777777" w:rsidR="0091306F" w:rsidRDefault="0091306F" w:rsidP="00EB60C1">
            <w:pPr>
              <w:pStyle w:val="Tablebullet1"/>
            </w:pPr>
            <w:r>
              <w:t>Have the patient/client directly participating, or</w:t>
            </w:r>
          </w:p>
          <w:p w14:paraId="0CFD7838" w14:textId="77777777" w:rsidR="0091306F" w:rsidRDefault="0091306F" w:rsidP="00EB60C1">
            <w:pPr>
              <w:pStyle w:val="Tablebullet1"/>
            </w:pPr>
            <w:r>
              <w:t>Have a patient/client’s family member/carer directly participating, or</w:t>
            </w:r>
          </w:p>
          <w:p w14:paraId="72F9BDFA" w14:textId="77777777" w:rsidR="0091306F" w:rsidRDefault="0091306F" w:rsidP="00EB60C1">
            <w:pPr>
              <w:pStyle w:val="Tablebullet1"/>
            </w:pPr>
            <w:r>
              <w:t>Other external healthcare professional directly participating.</w:t>
            </w:r>
          </w:p>
          <w:p w14:paraId="71FA2484" w14:textId="1C27B847" w:rsidR="0091306F" w:rsidRDefault="0091306F" w:rsidP="00EB60C1">
            <w:pPr>
              <w:pStyle w:val="Tabletext"/>
            </w:pPr>
            <w:r>
              <w:t xml:space="preserve">The availability of individual code values to a </w:t>
            </w:r>
            <w:r w:rsidR="00C114CE">
              <w:t>p</w:t>
            </w:r>
            <w:r>
              <w:t>rogram/</w:t>
            </w:r>
            <w:r w:rsidR="00C114CE">
              <w:t>s</w:t>
            </w:r>
            <w:r>
              <w:t xml:space="preserve">tream does not inherently mean that a contact that uses that code value is appropriate to be reported to </w:t>
            </w:r>
            <w:r w:rsidR="00C114CE">
              <w:t xml:space="preserve">the </w:t>
            </w:r>
            <w:r>
              <w:t>VINAH</w:t>
            </w:r>
            <w:r w:rsidR="00C114CE">
              <w:t xml:space="preserve"> MDS</w:t>
            </w:r>
            <w:r>
              <w:t>. For example, Contact Delivery Mode has a code for ‘Written’ modes of service delivery. In order to report a contact using this code, the contact must meet all of the criteria listed above or it cannot be reported as a direct contact.</w:t>
            </w:r>
          </w:p>
          <w:p w14:paraId="2457D02B" w14:textId="49BE7397" w:rsidR="0091306F" w:rsidRDefault="0091306F" w:rsidP="00EB60C1">
            <w:pPr>
              <w:pStyle w:val="Tabletext"/>
            </w:pPr>
            <w:r>
              <w:t xml:space="preserve">Contacts must be reported according to </w:t>
            </w:r>
            <w:r w:rsidR="00142B99">
              <w:t xml:space="preserve">the </w:t>
            </w:r>
            <w:r>
              <w:t xml:space="preserve">VINAH </w:t>
            </w:r>
            <w:r w:rsidR="00142B99">
              <w:t xml:space="preserve">MDS </w:t>
            </w:r>
            <w:r>
              <w:t xml:space="preserve">business rules, and within the scope of </w:t>
            </w:r>
            <w:r w:rsidR="00C114CE">
              <w:t xml:space="preserve">the </w:t>
            </w:r>
            <w:r>
              <w:t>VINAH</w:t>
            </w:r>
            <w:r w:rsidR="00C114CE">
              <w:t xml:space="preserve"> MDS</w:t>
            </w:r>
            <w:r>
              <w:t xml:space="preserve">, and not according to the end use of the data.  For example, the derivation of service events may be different for </w:t>
            </w:r>
            <w:r w:rsidR="00FA7D6E">
              <w:t>a</w:t>
            </w:r>
            <w:r>
              <w:t>ctivity</w:t>
            </w:r>
            <w:r w:rsidR="00C114CE">
              <w:t xml:space="preserve"> </w:t>
            </w:r>
            <w:r w:rsidR="00FA7D6E">
              <w:t>b</w:t>
            </w:r>
            <w:r>
              <w:t xml:space="preserve">ased </w:t>
            </w:r>
            <w:r w:rsidR="00FA7D6E">
              <w:t>f</w:t>
            </w:r>
            <w:r>
              <w:t xml:space="preserve">unding than for reporting purposes.  Therefore, services should ensure they report according to the definitions and business rules of </w:t>
            </w:r>
            <w:r w:rsidR="00C114CE">
              <w:t xml:space="preserve">the </w:t>
            </w:r>
            <w:r>
              <w:t xml:space="preserve">VINAH </w:t>
            </w:r>
            <w:r w:rsidR="00C114CE">
              <w:t xml:space="preserve">MDS </w:t>
            </w:r>
            <w:r>
              <w:t>and the department will derive data appropriately for the given purpose.</w:t>
            </w:r>
          </w:p>
          <w:p w14:paraId="57D9D0F8" w14:textId="7EF849F3" w:rsidR="003353CC" w:rsidRDefault="0091306F" w:rsidP="00EB60C1">
            <w:pPr>
              <w:pStyle w:val="Tabletext"/>
            </w:pPr>
            <w:r>
              <w:t xml:space="preserve">There are different types of </w:t>
            </w:r>
            <w:r w:rsidR="00FA7D6E">
              <w:t>c</w:t>
            </w:r>
            <w:r>
              <w:t xml:space="preserve">ontacts, and each program reporting via the VINAH MDS defines which types of </w:t>
            </w:r>
            <w:r w:rsidR="00FA7D6E">
              <w:t>c</w:t>
            </w:r>
            <w:r>
              <w:t>ontacts are to be reported for that program.  Each type of Contact is defined below.</w:t>
            </w:r>
          </w:p>
        </w:tc>
      </w:tr>
    </w:tbl>
    <w:p w14:paraId="6BB49213" w14:textId="77777777" w:rsidR="00444341" w:rsidRPr="001F1906" w:rsidRDefault="00444341" w:rsidP="00DF0847">
      <w:pPr>
        <w:pStyle w:val="Body"/>
        <w:rPr>
          <w:rStyle w:val="eop"/>
        </w:rPr>
      </w:pPr>
    </w:p>
    <w:p w14:paraId="6725F496" w14:textId="77777777" w:rsidR="00C202A7" w:rsidRDefault="00C202A7">
      <w:pPr>
        <w:spacing w:after="0" w:line="240" w:lineRule="auto"/>
        <w:rPr>
          <w:rStyle w:val="Strong"/>
          <w:b w:val="0"/>
        </w:rPr>
      </w:pPr>
      <w:r>
        <w:rPr>
          <w:rStyle w:val="Strong"/>
        </w:rPr>
        <w:br w:type="page"/>
      </w:r>
    </w:p>
    <w:p w14:paraId="1E161BC2" w14:textId="36251ACD" w:rsidR="0091306F" w:rsidRPr="00C202A7" w:rsidRDefault="0091306F" w:rsidP="00C202A7">
      <w:pPr>
        <w:pStyle w:val="DHHSfigurecaption"/>
        <w:rPr>
          <w:b w:val="0"/>
          <w:bCs/>
        </w:rPr>
      </w:pPr>
      <w:r w:rsidRPr="001F1906">
        <w:rPr>
          <w:rStyle w:val="Strong"/>
        </w:rPr>
        <w:lastRenderedPageBreak/>
        <w:t>Contact type and reporting requirements by program</w:t>
      </w:r>
    </w:p>
    <w:tbl>
      <w:tblPr>
        <w:tblStyle w:val="TableGrid"/>
        <w:tblW w:w="99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118"/>
        <w:gridCol w:w="425"/>
        <w:gridCol w:w="426"/>
        <w:gridCol w:w="425"/>
        <w:gridCol w:w="425"/>
        <w:gridCol w:w="425"/>
        <w:gridCol w:w="426"/>
        <w:gridCol w:w="425"/>
        <w:gridCol w:w="425"/>
        <w:gridCol w:w="425"/>
        <w:gridCol w:w="426"/>
        <w:gridCol w:w="425"/>
        <w:gridCol w:w="425"/>
        <w:gridCol w:w="425"/>
        <w:gridCol w:w="426"/>
        <w:gridCol w:w="426"/>
        <w:gridCol w:w="424"/>
      </w:tblGrid>
      <w:tr w:rsidR="00361A8E" w:rsidRPr="00D34E1F" w14:paraId="774179A8" w14:textId="77777777" w:rsidTr="00FD490E">
        <w:trPr>
          <w:cantSplit/>
          <w:trHeight w:val="952"/>
        </w:trPr>
        <w:tc>
          <w:tcPr>
            <w:tcW w:w="3118" w:type="dxa"/>
            <w:tcBorders>
              <w:top w:val="dashSmallGap" w:sz="4" w:space="0" w:color="auto"/>
              <w:left w:val="dashSmallGap" w:sz="4" w:space="0" w:color="auto"/>
              <w:bottom w:val="dashSmallGap" w:sz="4" w:space="0" w:color="auto"/>
              <w:right w:val="dashSmallGap" w:sz="4" w:space="0" w:color="auto"/>
            </w:tcBorders>
          </w:tcPr>
          <w:p w14:paraId="6CE78DF9" w14:textId="77777777" w:rsidR="00B66E12" w:rsidRPr="00FE01D7" w:rsidRDefault="00B66E12" w:rsidP="00FE01D7">
            <w:pPr>
              <w:jc w:val="center"/>
              <w:rPr>
                <w:sz w:val="17"/>
                <w:szCs w:val="18"/>
              </w:rPr>
            </w:pPr>
          </w:p>
          <w:p w14:paraId="0A3E8372" w14:textId="77777777" w:rsidR="00B66E12" w:rsidRPr="00FE01D7" w:rsidRDefault="00B66E12" w:rsidP="00FE01D7">
            <w:pPr>
              <w:jc w:val="center"/>
              <w:rPr>
                <w:sz w:val="17"/>
                <w:szCs w:val="18"/>
              </w:rPr>
            </w:pPr>
          </w:p>
          <w:p w14:paraId="1B4554CE" w14:textId="77777777" w:rsidR="00B66E12" w:rsidRPr="00FE01D7" w:rsidRDefault="00B66E12" w:rsidP="00FE01D7">
            <w:pPr>
              <w:jc w:val="center"/>
              <w:rPr>
                <w:sz w:val="17"/>
                <w:szCs w:val="18"/>
              </w:rPr>
            </w:pPr>
          </w:p>
          <w:p w14:paraId="4DD312A4" w14:textId="77777777" w:rsidR="00B66E12" w:rsidRDefault="00B66E12" w:rsidP="005B29E5">
            <w:pPr>
              <w:jc w:val="center"/>
              <w:rPr>
                <w:sz w:val="18"/>
                <w:szCs w:val="18"/>
              </w:rPr>
            </w:pPr>
            <w:r w:rsidRPr="00AC3F17">
              <w:rPr>
                <w:sz w:val="18"/>
                <w:szCs w:val="18"/>
              </w:rPr>
              <w:t>Contact type (service)</w:t>
            </w:r>
          </w:p>
          <w:p w14:paraId="357EF313" w14:textId="77777777" w:rsidR="00B66E12" w:rsidRPr="00D34E1F" w:rsidRDefault="00B66E12" w:rsidP="005B29E5">
            <w:pPr>
              <w:ind w:left="113" w:right="113"/>
              <w:rPr>
                <w:sz w:val="18"/>
                <w:szCs w:val="18"/>
              </w:rPr>
            </w:pPr>
          </w:p>
        </w:tc>
        <w:tc>
          <w:tcPr>
            <w:tcW w:w="425" w:type="dxa"/>
            <w:tcBorders>
              <w:top w:val="dashSmallGap" w:sz="4" w:space="0" w:color="auto"/>
              <w:left w:val="dashSmallGap" w:sz="4" w:space="0" w:color="auto"/>
              <w:bottom w:val="dashSmallGap" w:sz="4" w:space="0" w:color="auto"/>
              <w:right w:val="dashSmallGap" w:sz="4" w:space="0" w:color="auto"/>
            </w:tcBorders>
            <w:textDirection w:val="btLr"/>
          </w:tcPr>
          <w:p w14:paraId="623FDD0B" w14:textId="77777777" w:rsidR="00B66E12" w:rsidRPr="00D34E1F" w:rsidRDefault="00B66E12" w:rsidP="005B29E5">
            <w:pPr>
              <w:ind w:left="113" w:right="113"/>
              <w:rPr>
                <w:sz w:val="18"/>
                <w:szCs w:val="18"/>
              </w:rPr>
            </w:pPr>
            <w:r w:rsidRPr="00D34E1F">
              <w:rPr>
                <w:sz w:val="18"/>
                <w:szCs w:val="18"/>
              </w:rPr>
              <w:t>Palliative Care</w:t>
            </w:r>
          </w:p>
        </w:tc>
        <w:tc>
          <w:tcPr>
            <w:tcW w:w="426" w:type="dxa"/>
            <w:tcBorders>
              <w:top w:val="dashSmallGap" w:sz="4" w:space="0" w:color="auto"/>
              <w:left w:val="dashSmallGap" w:sz="4" w:space="0" w:color="auto"/>
              <w:bottom w:val="dashSmallGap" w:sz="4" w:space="0" w:color="auto"/>
              <w:right w:val="dashSmallGap" w:sz="4" w:space="0" w:color="auto"/>
            </w:tcBorders>
            <w:textDirection w:val="btLr"/>
          </w:tcPr>
          <w:p w14:paraId="470FD13A" w14:textId="77777777" w:rsidR="00B66E12" w:rsidRPr="00D34E1F" w:rsidRDefault="00B66E12" w:rsidP="005B29E5">
            <w:pPr>
              <w:ind w:left="113" w:right="113"/>
              <w:rPr>
                <w:sz w:val="18"/>
                <w:szCs w:val="18"/>
              </w:rPr>
            </w:pPr>
            <w:r w:rsidRPr="00D34E1F">
              <w:rPr>
                <w:sz w:val="18"/>
                <w:szCs w:val="18"/>
              </w:rPr>
              <w:t>FCP</w:t>
            </w:r>
          </w:p>
        </w:tc>
        <w:tc>
          <w:tcPr>
            <w:tcW w:w="425" w:type="dxa"/>
            <w:tcBorders>
              <w:top w:val="dashSmallGap" w:sz="4" w:space="0" w:color="auto"/>
              <w:left w:val="dashSmallGap" w:sz="4" w:space="0" w:color="auto"/>
              <w:bottom w:val="dashSmallGap" w:sz="4" w:space="0" w:color="auto"/>
              <w:right w:val="dashSmallGap" w:sz="4" w:space="0" w:color="auto"/>
            </w:tcBorders>
            <w:textDirection w:val="btLr"/>
          </w:tcPr>
          <w:p w14:paraId="44DA7CEE" w14:textId="77777777" w:rsidR="00B66E12" w:rsidRPr="00D34E1F" w:rsidRDefault="00B66E12" w:rsidP="005B29E5">
            <w:pPr>
              <w:ind w:left="113" w:right="113"/>
              <w:rPr>
                <w:sz w:val="18"/>
                <w:szCs w:val="18"/>
              </w:rPr>
            </w:pPr>
            <w:r w:rsidRPr="00D34E1F">
              <w:rPr>
                <w:sz w:val="18"/>
                <w:szCs w:val="18"/>
              </w:rPr>
              <w:t xml:space="preserve">HEN </w:t>
            </w:r>
          </w:p>
        </w:tc>
        <w:tc>
          <w:tcPr>
            <w:tcW w:w="425" w:type="dxa"/>
            <w:tcBorders>
              <w:top w:val="dashSmallGap" w:sz="4" w:space="0" w:color="auto"/>
              <w:left w:val="dashSmallGap" w:sz="4" w:space="0" w:color="auto"/>
              <w:bottom w:val="dashSmallGap" w:sz="4" w:space="0" w:color="auto"/>
              <w:right w:val="dashSmallGap" w:sz="4" w:space="0" w:color="auto"/>
            </w:tcBorders>
            <w:textDirection w:val="btLr"/>
          </w:tcPr>
          <w:p w14:paraId="0CF78EA8" w14:textId="77777777" w:rsidR="00B66E12" w:rsidRPr="00D34E1F" w:rsidRDefault="00B66E12" w:rsidP="005B29E5">
            <w:pPr>
              <w:ind w:left="113" w:right="113"/>
              <w:rPr>
                <w:sz w:val="18"/>
                <w:szCs w:val="18"/>
              </w:rPr>
            </w:pPr>
            <w:r w:rsidRPr="00D34E1F">
              <w:rPr>
                <w:sz w:val="18"/>
                <w:szCs w:val="18"/>
              </w:rPr>
              <w:t>HBD</w:t>
            </w:r>
          </w:p>
        </w:tc>
        <w:tc>
          <w:tcPr>
            <w:tcW w:w="425" w:type="dxa"/>
            <w:tcBorders>
              <w:top w:val="dashSmallGap" w:sz="4" w:space="0" w:color="auto"/>
              <w:left w:val="dashSmallGap" w:sz="4" w:space="0" w:color="auto"/>
              <w:bottom w:val="dashSmallGap" w:sz="4" w:space="0" w:color="auto"/>
              <w:right w:val="dashSmallGap" w:sz="4" w:space="0" w:color="auto"/>
            </w:tcBorders>
            <w:textDirection w:val="btLr"/>
          </w:tcPr>
          <w:p w14:paraId="10286E7E" w14:textId="77777777" w:rsidR="00B66E12" w:rsidRPr="00D34E1F" w:rsidRDefault="00B66E12" w:rsidP="005B29E5">
            <w:pPr>
              <w:ind w:left="113" w:right="113"/>
              <w:rPr>
                <w:sz w:val="18"/>
                <w:szCs w:val="18"/>
              </w:rPr>
            </w:pPr>
            <w:r w:rsidRPr="00D34E1F">
              <w:rPr>
                <w:sz w:val="18"/>
                <w:szCs w:val="18"/>
              </w:rPr>
              <w:t>HARP</w:t>
            </w:r>
          </w:p>
        </w:tc>
        <w:tc>
          <w:tcPr>
            <w:tcW w:w="426" w:type="dxa"/>
            <w:tcBorders>
              <w:top w:val="dashSmallGap" w:sz="4" w:space="0" w:color="auto"/>
              <w:left w:val="dashSmallGap" w:sz="4" w:space="0" w:color="auto"/>
              <w:bottom w:val="dashSmallGap" w:sz="4" w:space="0" w:color="auto"/>
              <w:right w:val="dashSmallGap" w:sz="4" w:space="0" w:color="auto"/>
            </w:tcBorders>
            <w:textDirection w:val="btLr"/>
          </w:tcPr>
          <w:p w14:paraId="7A2398BC" w14:textId="77777777" w:rsidR="00B66E12" w:rsidRPr="00D34E1F" w:rsidRDefault="00B66E12" w:rsidP="005B29E5">
            <w:pPr>
              <w:ind w:left="113" w:right="113"/>
              <w:rPr>
                <w:sz w:val="18"/>
                <w:szCs w:val="18"/>
              </w:rPr>
            </w:pPr>
            <w:r w:rsidRPr="00D34E1F">
              <w:rPr>
                <w:sz w:val="18"/>
                <w:szCs w:val="18"/>
              </w:rPr>
              <w:t>HBPCCT</w:t>
            </w:r>
          </w:p>
        </w:tc>
        <w:tc>
          <w:tcPr>
            <w:tcW w:w="425" w:type="dxa"/>
            <w:tcBorders>
              <w:top w:val="dashSmallGap" w:sz="4" w:space="0" w:color="auto"/>
              <w:left w:val="dashSmallGap" w:sz="4" w:space="0" w:color="auto"/>
              <w:bottom w:val="dashSmallGap" w:sz="4" w:space="0" w:color="auto"/>
              <w:right w:val="dashSmallGap" w:sz="4" w:space="0" w:color="auto"/>
            </w:tcBorders>
            <w:textDirection w:val="btLr"/>
          </w:tcPr>
          <w:p w14:paraId="42A750A5" w14:textId="77777777" w:rsidR="00B66E12" w:rsidRPr="00D34E1F" w:rsidRDefault="00B66E12" w:rsidP="005B29E5">
            <w:pPr>
              <w:ind w:left="113" w:right="113"/>
              <w:rPr>
                <w:sz w:val="18"/>
                <w:szCs w:val="18"/>
              </w:rPr>
            </w:pPr>
            <w:r w:rsidRPr="00D34E1F">
              <w:rPr>
                <w:sz w:val="18"/>
                <w:szCs w:val="18"/>
              </w:rPr>
              <w:t>Medi-Hotel</w:t>
            </w:r>
          </w:p>
        </w:tc>
        <w:tc>
          <w:tcPr>
            <w:tcW w:w="425" w:type="dxa"/>
            <w:tcBorders>
              <w:top w:val="dashSmallGap" w:sz="4" w:space="0" w:color="auto"/>
              <w:left w:val="dashSmallGap" w:sz="4" w:space="0" w:color="auto"/>
              <w:bottom w:val="dashSmallGap" w:sz="4" w:space="0" w:color="auto"/>
              <w:right w:val="dashSmallGap" w:sz="4" w:space="0" w:color="auto"/>
            </w:tcBorders>
            <w:textDirection w:val="btLr"/>
          </w:tcPr>
          <w:p w14:paraId="27CD9698" w14:textId="77777777" w:rsidR="00B66E12" w:rsidRPr="00D34E1F" w:rsidRDefault="00B66E12" w:rsidP="005B29E5">
            <w:pPr>
              <w:ind w:left="113" w:right="113"/>
              <w:rPr>
                <w:sz w:val="18"/>
                <w:szCs w:val="18"/>
              </w:rPr>
            </w:pPr>
            <w:r w:rsidRPr="00D34E1F">
              <w:rPr>
                <w:sz w:val="18"/>
                <w:szCs w:val="18"/>
              </w:rPr>
              <w:t>OP</w:t>
            </w:r>
          </w:p>
        </w:tc>
        <w:tc>
          <w:tcPr>
            <w:tcW w:w="425" w:type="dxa"/>
            <w:tcBorders>
              <w:top w:val="dashSmallGap" w:sz="4" w:space="0" w:color="auto"/>
              <w:left w:val="dashSmallGap" w:sz="4" w:space="0" w:color="auto"/>
              <w:bottom w:val="dashSmallGap" w:sz="4" w:space="0" w:color="auto"/>
              <w:right w:val="dashSmallGap" w:sz="4" w:space="0" w:color="auto"/>
            </w:tcBorders>
            <w:textDirection w:val="btLr"/>
          </w:tcPr>
          <w:p w14:paraId="15171818" w14:textId="77777777" w:rsidR="00B66E12" w:rsidRPr="00D34E1F" w:rsidRDefault="00B66E12" w:rsidP="005B29E5">
            <w:pPr>
              <w:ind w:left="113" w:right="113"/>
              <w:rPr>
                <w:sz w:val="18"/>
                <w:szCs w:val="18"/>
              </w:rPr>
            </w:pPr>
            <w:r w:rsidRPr="00D34E1F">
              <w:rPr>
                <w:sz w:val="18"/>
                <w:szCs w:val="18"/>
              </w:rPr>
              <w:t>PAC</w:t>
            </w:r>
          </w:p>
        </w:tc>
        <w:tc>
          <w:tcPr>
            <w:tcW w:w="426" w:type="dxa"/>
            <w:tcBorders>
              <w:top w:val="dashSmallGap" w:sz="4" w:space="0" w:color="auto"/>
              <w:left w:val="dashSmallGap" w:sz="4" w:space="0" w:color="auto"/>
              <w:bottom w:val="dashSmallGap" w:sz="4" w:space="0" w:color="auto"/>
              <w:right w:val="dashSmallGap" w:sz="4" w:space="0" w:color="auto"/>
            </w:tcBorders>
            <w:textDirection w:val="btLr"/>
          </w:tcPr>
          <w:p w14:paraId="32040026" w14:textId="77777777" w:rsidR="00B66E12" w:rsidRPr="00D34E1F" w:rsidRDefault="00B66E12" w:rsidP="005B29E5">
            <w:pPr>
              <w:ind w:left="113" w:right="113"/>
              <w:rPr>
                <w:sz w:val="18"/>
                <w:szCs w:val="18"/>
              </w:rPr>
            </w:pPr>
            <w:r w:rsidRPr="00D34E1F">
              <w:rPr>
                <w:sz w:val="18"/>
                <w:szCs w:val="18"/>
              </w:rPr>
              <w:t>RIR</w:t>
            </w:r>
          </w:p>
        </w:tc>
        <w:tc>
          <w:tcPr>
            <w:tcW w:w="425" w:type="dxa"/>
            <w:tcBorders>
              <w:top w:val="dashSmallGap" w:sz="4" w:space="0" w:color="auto"/>
              <w:left w:val="dashSmallGap" w:sz="4" w:space="0" w:color="auto"/>
              <w:bottom w:val="dashSmallGap" w:sz="4" w:space="0" w:color="auto"/>
              <w:right w:val="dashSmallGap" w:sz="4" w:space="0" w:color="auto"/>
            </w:tcBorders>
            <w:textDirection w:val="btLr"/>
          </w:tcPr>
          <w:p w14:paraId="5E868AD1" w14:textId="77777777" w:rsidR="00B66E12" w:rsidRPr="00D34E1F" w:rsidRDefault="00B66E12" w:rsidP="005B29E5">
            <w:pPr>
              <w:ind w:left="113" w:right="113"/>
              <w:rPr>
                <w:sz w:val="18"/>
                <w:szCs w:val="18"/>
              </w:rPr>
            </w:pPr>
            <w:r w:rsidRPr="00D34E1F">
              <w:rPr>
                <w:sz w:val="18"/>
                <w:szCs w:val="18"/>
              </w:rPr>
              <w:t>SACS</w:t>
            </w:r>
          </w:p>
        </w:tc>
        <w:tc>
          <w:tcPr>
            <w:tcW w:w="425" w:type="dxa"/>
            <w:tcBorders>
              <w:top w:val="dashSmallGap" w:sz="4" w:space="0" w:color="auto"/>
              <w:left w:val="dashSmallGap" w:sz="4" w:space="0" w:color="auto"/>
              <w:bottom w:val="dashSmallGap" w:sz="4" w:space="0" w:color="auto"/>
              <w:right w:val="dashSmallGap" w:sz="4" w:space="0" w:color="auto"/>
            </w:tcBorders>
            <w:textDirection w:val="btLr"/>
          </w:tcPr>
          <w:p w14:paraId="6A886C09" w14:textId="77777777" w:rsidR="00B66E12" w:rsidRPr="00D34E1F" w:rsidRDefault="00B66E12" w:rsidP="005B29E5">
            <w:pPr>
              <w:ind w:left="113" w:right="113"/>
              <w:rPr>
                <w:sz w:val="18"/>
                <w:szCs w:val="18"/>
              </w:rPr>
            </w:pPr>
            <w:r w:rsidRPr="00D34E1F">
              <w:rPr>
                <w:sz w:val="18"/>
                <w:szCs w:val="18"/>
              </w:rPr>
              <w:t>TPN</w:t>
            </w:r>
          </w:p>
        </w:tc>
        <w:tc>
          <w:tcPr>
            <w:tcW w:w="425" w:type="dxa"/>
            <w:tcBorders>
              <w:top w:val="dashSmallGap" w:sz="4" w:space="0" w:color="auto"/>
              <w:left w:val="dashSmallGap" w:sz="4" w:space="0" w:color="auto"/>
              <w:bottom w:val="dashSmallGap" w:sz="4" w:space="0" w:color="auto"/>
              <w:right w:val="dashSmallGap" w:sz="4" w:space="0" w:color="auto"/>
            </w:tcBorders>
            <w:textDirection w:val="btLr"/>
          </w:tcPr>
          <w:p w14:paraId="0EA575A1" w14:textId="77777777" w:rsidR="00B66E12" w:rsidRPr="00D34E1F" w:rsidRDefault="00B66E12" w:rsidP="005B29E5">
            <w:pPr>
              <w:ind w:left="113" w:right="113"/>
              <w:rPr>
                <w:sz w:val="18"/>
                <w:szCs w:val="18"/>
              </w:rPr>
            </w:pPr>
            <w:r w:rsidRPr="00D34E1F">
              <w:rPr>
                <w:sz w:val="18"/>
                <w:szCs w:val="18"/>
              </w:rPr>
              <w:t>TCP</w:t>
            </w:r>
          </w:p>
        </w:tc>
        <w:tc>
          <w:tcPr>
            <w:tcW w:w="426" w:type="dxa"/>
            <w:tcBorders>
              <w:top w:val="dashSmallGap" w:sz="4" w:space="0" w:color="auto"/>
              <w:left w:val="dashSmallGap" w:sz="4" w:space="0" w:color="auto"/>
              <w:bottom w:val="dashSmallGap" w:sz="4" w:space="0" w:color="auto"/>
              <w:right w:val="dashSmallGap" w:sz="4" w:space="0" w:color="auto"/>
            </w:tcBorders>
            <w:textDirection w:val="btLr"/>
          </w:tcPr>
          <w:p w14:paraId="7C9E6B97" w14:textId="77777777" w:rsidR="00B66E12" w:rsidRPr="00D34E1F" w:rsidRDefault="00B66E12" w:rsidP="005B29E5">
            <w:pPr>
              <w:ind w:left="113" w:right="113"/>
              <w:rPr>
                <w:sz w:val="18"/>
                <w:szCs w:val="18"/>
              </w:rPr>
            </w:pPr>
            <w:r w:rsidRPr="00D34E1F">
              <w:rPr>
                <w:sz w:val="18"/>
                <w:szCs w:val="18"/>
              </w:rPr>
              <w:t>VALP</w:t>
            </w:r>
          </w:p>
        </w:tc>
        <w:tc>
          <w:tcPr>
            <w:tcW w:w="426" w:type="dxa"/>
            <w:tcBorders>
              <w:top w:val="dashSmallGap" w:sz="4" w:space="0" w:color="auto"/>
              <w:left w:val="dashSmallGap" w:sz="4" w:space="0" w:color="auto"/>
              <w:bottom w:val="dashSmallGap" w:sz="4" w:space="0" w:color="auto"/>
              <w:right w:val="dashSmallGap" w:sz="4" w:space="0" w:color="auto"/>
            </w:tcBorders>
            <w:textDirection w:val="btLr"/>
          </w:tcPr>
          <w:p w14:paraId="64927258" w14:textId="77777777" w:rsidR="00B66E12" w:rsidRPr="00D34E1F" w:rsidRDefault="00B66E12" w:rsidP="005B29E5">
            <w:pPr>
              <w:ind w:left="113" w:right="113"/>
              <w:rPr>
                <w:sz w:val="18"/>
                <w:szCs w:val="18"/>
              </w:rPr>
            </w:pPr>
            <w:r w:rsidRPr="00D34E1F">
              <w:rPr>
                <w:sz w:val="18"/>
                <w:szCs w:val="18"/>
              </w:rPr>
              <w:t>VHS</w:t>
            </w:r>
          </w:p>
        </w:tc>
        <w:tc>
          <w:tcPr>
            <w:tcW w:w="424" w:type="dxa"/>
            <w:tcBorders>
              <w:top w:val="dashSmallGap" w:sz="4" w:space="0" w:color="auto"/>
              <w:left w:val="dashSmallGap" w:sz="4" w:space="0" w:color="auto"/>
              <w:bottom w:val="dashSmallGap" w:sz="4" w:space="0" w:color="auto"/>
              <w:right w:val="dashSmallGap" w:sz="4" w:space="0" w:color="auto"/>
            </w:tcBorders>
            <w:textDirection w:val="btLr"/>
          </w:tcPr>
          <w:p w14:paraId="613988C9" w14:textId="77777777" w:rsidR="00B66E12" w:rsidRPr="00D34E1F" w:rsidRDefault="00B66E12" w:rsidP="005B29E5">
            <w:pPr>
              <w:ind w:left="113" w:right="113"/>
              <w:rPr>
                <w:sz w:val="18"/>
                <w:szCs w:val="18"/>
              </w:rPr>
            </w:pPr>
            <w:r w:rsidRPr="00D34E1F">
              <w:rPr>
                <w:sz w:val="18"/>
                <w:szCs w:val="18"/>
              </w:rPr>
              <w:t>VRSS</w:t>
            </w:r>
          </w:p>
        </w:tc>
      </w:tr>
      <w:tr w:rsidR="00B66E12" w:rsidRPr="00D34E1F" w14:paraId="272292E3" w14:textId="77777777" w:rsidTr="00FD490E">
        <w:trPr>
          <w:cantSplit/>
          <w:trHeight w:val="58"/>
        </w:trPr>
        <w:tc>
          <w:tcPr>
            <w:tcW w:w="3118" w:type="dxa"/>
            <w:tcBorders>
              <w:top w:val="dashSmallGap" w:sz="4" w:space="0" w:color="auto"/>
              <w:left w:val="dashSmallGap" w:sz="4" w:space="0" w:color="auto"/>
              <w:bottom w:val="dashSmallGap" w:sz="4" w:space="0" w:color="auto"/>
              <w:right w:val="dashSmallGap" w:sz="4" w:space="0" w:color="auto"/>
            </w:tcBorders>
          </w:tcPr>
          <w:p w14:paraId="25E51ECA" w14:textId="77777777" w:rsidR="00B66E12" w:rsidRPr="00FD490E" w:rsidRDefault="00B66E12" w:rsidP="005B29E5">
            <w:pPr>
              <w:rPr>
                <w:b/>
                <w:bCs/>
                <w:sz w:val="18"/>
                <w:szCs w:val="18"/>
              </w:rPr>
            </w:pPr>
            <w:r w:rsidRPr="00FD490E">
              <w:rPr>
                <w:b/>
                <w:bCs/>
                <w:sz w:val="18"/>
                <w:szCs w:val="18"/>
              </w:rPr>
              <w:t>Direct</w:t>
            </w:r>
          </w:p>
        </w:tc>
        <w:tc>
          <w:tcPr>
            <w:tcW w:w="6804" w:type="dxa"/>
            <w:gridSpan w:val="16"/>
            <w:tcBorders>
              <w:top w:val="dashSmallGap" w:sz="4" w:space="0" w:color="auto"/>
              <w:left w:val="dashSmallGap" w:sz="4" w:space="0" w:color="auto"/>
              <w:bottom w:val="dashSmallGap" w:sz="4" w:space="0" w:color="auto"/>
              <w:right w:val="dashSmallGap" w:sz="4" w:space="0" w:color="auto"/>
            </w:tcBorders>
            <w:shd w:val="clear" w:color="auto" w:fill="D9D9D9" w:themeFill="background1" w:themeFillShade="D9"/>
          </w:tcPr>
          <w:p w14:paraId="61DAEF7E" w14:textId="77777777" w:rsidR="00B66E12" w:rsidRPr="00D34E1F" w:rsidRDefault="00B66E12" w:rsidP="005B29E5">
            <w:pPr>
              <w:rPr>
                <w:sz w:val="18"/>
                <w:szCs w:val="18"/>
              </w:rPr>
            </w:pPr>
          </w:p>
        </w:tc>
      </w:tr>
      <w:tr w:rsidR="00B66E12" w:rsidRPr="00D34E1F" w14:paraId="3CA98860" w14:textId="77777777" w:rsidTr="00FD490E">
        <w:trPr>
          <w:cantSplit/>
          <w:trHeight w:val="313"/>
        </w:trPr>
        <w:tc>
          <w:tcPr>
            <w:tcW w:w="3118" w:type="dxa"/>
            <w:tcBorders>
              <w:top w:val="dashSmallGap" w:sz="4" w:space="0" w:color="auto"/>
              <w:left w:val="dashSmallGap" w:sz="4" w:space="0" w:color="auto"/>
              <w:bottom w:val="dashSmallGap" w:sz="4" w:space="0" w:color="auto"/>
              <w:right w:val="dashSmallGap" w:sz="4" w:space="0" w:color="auto"/>
            </w:tcBorders>
          </w:tcPr>
          <w:p w14:paraId="7469C755" w14:textId="77777777" w:rsidR="00B66E12" w:rsidRPr="00FE01D7" w:rsidRDefault="00B66E12" w:rsidP="00B66E12">
            <w:pPr>
              <w:pStyle w:val="ListParagraph"/>
              <w:numPr>
                <w:ilvl w:val="0"/>
                <w:numId w:val="12"/>
              </w:numPr>
              <w:rPr>
                <w:rStyle w:val="DHHSheaderChar"/>
              </w:rPr>
            </w:pPr>
            <w:r w:rsidRPr="00FE01D7">
              <w:rPr>
                <w:rStyle w:val="DHHSheaderChar"/>
              </w:rPr>
              <w:t>Attended</w:t>
            </w:r>
          </w:p>
        </w:tc>
        <w:tc>
          <w:tcPr>
            <w:tcW w:w="6804" w:type="dxa"/>
            <w:gridSpan w:val="16"/>
            <w:tcBorders>
              <w:top w:val="dashSmallGap" w:sz="4" w:space="0" w:color="auto"/>
              <w:left w:val="dashSmallGap" w:sz="4" w:space="0" w:color="auto"/>
              <w:bottom w:val="dashSmallGap" w:sz="4" w:space="0" w:color="auto"/>
              <w:right w:val="dashSmallGap" w:sz="4" w:space="0" w:color="auto"/>
            </w:tcBorders>
          </w:tcPr>
          <w:p w14:paraId="191102EA" w14:textId="35137EB0" w:rsidR="00B66E12" w:rsidRPr="00B66E12" w:rsidRDefault="00444341" w:rsidP="00444341">
            <w:pPr>
              <w:rPr>
                <w:sz w:val="17"/>
                <w:szCs w:val="17"/>
              </w:rPr>
            </w:pPr>
            <w:r>
              <w:rPr>
                <w:sz w:val="17"/>
                <w:szCs w:val="17"/>
              </w:rPr>
              <w:tab/>
            </w:r>
            <w:r>
              <w:rPr>
                <w:sz w:val="17"/>
                <w:szCs w:val="17"/>
              </w:rPr>
              <w:tab/>
            </w:r>
            <w:r>
              <w:rPr>
                <w:sz w:val="17"/>
                <w:szCs w:val="17"/>
              </w:rPr>
              <w:tab/>
            </w:r>
            <w:r>
              <w:rPr>
                <w:sz w:val="17"/>
                <w:szCs w:val="17"/>
              </w:rPr>
              <w:tab/>
            </w:r>
            <w:r w:rsidR="00B66E12" w:rsidRPr="00B66E12">
              <w:rPr>
                <w:sz w:val="17"/>
                <w:szCs w:val="17"/>
              </w:rPr>
              <w:t>Y</w:t>
            </w:r>
          </w:p>
        </w:tc>
      </w:tr>
      <w:tr w:rsidR="00361A8E" w:rsidRPr="00D34E1F" w14:paraId="710782A3" w14:textId="77777777" w:rsidTr="00FD490E">
        <w:trPr>
          <w:cantSplit/>
          <w:trHeight w:val="313"/>
        </w:trPr>
        <w:tc>
          <w:tcPr>
            <w:tcW w:w="3118" w:type="dxa"/>
            <w:tcBorders>
              <w:top w:val="dashSmallGap" w:sz="4" w:space="0" w:color="auto"/>
              <w:left w:val="dashSmallGap" w:sz="4" w:space="0" w:color="auto"/>
              <w:bottom w:val="dashSmallGap" w:sz="4" w:space="0" w:color="auto"/>
              <w:right w:val="dashSmallGap" w:sz="4" w:space="0" w:color="auto"/>
            </w:tcBorders>
          </w:tcPr>
          <w:p w14:paraId="4EE19BA6" w14:textId="77777777" w:rsidR="00B66E12" w:rsidRPr="00FE01D7" w:rsidRDefault="00B66E12" w:rsidP="00B66E12">
            <w:pPr>
              <w:pStyle w:val="ListParagraph"/>
              <w:numPr>
                <w:ilvl w:val="0"/>
                <w:numId w:val="12"/>
              </w:numPr>
              <w:rPr>
                <w:rStyle w:val="DHHSheaderChar"/>
              </w:rPr>
            </w:pPr>
            <w:r w:rsidRPr="00FE01D7">
              <w:rPr>
                <w:rStyle w:val="DHHSheaderChar"/>
              </w:rPr>
              <w:t>Non-attended</w:t>
            </w:r>
          </w:p>
        </w:tc>
        <w:tc>
          <w:tcPr>
            <w:tcW w:w="425" w:type="dxa"/>
            <w:tcBorders>
              <w:top w:val="dashSmallGap" w:sz="4" w:space="0" w:color="auto"/>
              <w:left w:val="dashSmallGap" w:sz="4" w:space="0" w:color="auto"/>
              <w:bottom w:val="dashSmallGap" w:sz="4" w:space="0" w:color="auto"/>
              <w:right w:val="dashSmallGap" w:sz="4" w:space="0" w:color="auto"/>
            </w:tcBorders>
            <w:shd w:val="clear" w:color="auto" w:fill="D9D9D9" w:themeFill="background1" w:themeFillShade="D9"/>
          </w:tcPr>
          <w:p w14:paraId="401D01CD" w14:textId="77777777" w:rsidR="00B66E12" w:rsidRPr="001F1906" w:rsidRDefault="00B66E12" w:rsidP="001F1906">
            <w:pPr>
              <w:jc w:val="center"/>
              <w:rPr>
                <w:sz w:val="17"/>
                <w:szCs w:val="18"/>
              </w:rPr>
            </w:pPr>
          </w:p>
        </w:tc>
        <w:tc>
          <w:tcPr>
            <w:tcW w:w="6379" w:type="dxa"/>
            <w:gridSpan w:val="15"/>
            <w:tcBorders>
              <w:top w:val="dashSmallGap" w:sz="4" w:space="0" w:color="auto"/>
              <w:left w:val="dashSmallGap" w:sz="4" w:space="0" w:color="auto"/>
              <w:bottom w:val="dashSmallGap" w:sz="4" w:space="0" w:color="auto"/>
              <w:right w:val="dashSmallGap" w:sz="4" w:space="0" w:color="auto"/>
            </w:tcBorders>
          </w:tcPr>
          <w:p w14:paraId="33DAEECA" w14:textId="47EFF9A2" w:rsidR="00B66E12" w:rsidRPr="001F1906" w:rsidRDefault="00444341" w:rsidP="00361A8E">
            <w:pPr>
              <w:rPr>
                <w:sz w:val="16"/>
                <w:szCs w:val="17"/>
              </w:rPr>
            </w:pPr>
            <w:r>
              <w:rPr>
                <w:sz w:val="16"/>
                <w:szCs w:val="17"/>
              </w:rPr>
              <w:tab/>
            </w:r>
            <w:r>
              <w:rPr>
                <w:sz w:val="16"/>
                <w:szCs w:val="17"/>
              </w:rPr>
              <w:tab/>
            </w:r>
            <w:r>
              <w:rPr>
                <w:sz w:val="16"/>
                <w:szCs w:val="17"/>
              </w:rPr>
              <w:tab/>
            </w:r>
            <w:r w:rsidR="00B66E12" w:rsidRPr="001F1906">
              <w:rPr>
                <w:sz w:val="16"/>
                <w:szCs w:val="17"/>
              </w:rPr>
              <w:t>Y</w:t>
            </w:r>
          </w:p>
        </w:tc>
      </w:tr>
      <w:tr w:rsidR="000A22B5" w:rsidRPr="00D34E1F" w14:paraId="71C59BFF" w14:textId="77777777" w:rsidTr="0053742C">
        <w:trPr>
          <w:cantSplit/>
          <w:trHeight w:val="506"/>
        </w:trPr>
        <w:tc>
          <w:tcPr>
            <w:tcW w:w="3118" w:type="dxa"/>
            <w:tcBorders>
              <w:top w:val="dashSmallGap" w:sz="4" w:space="0" w:color="auto"/>
              <w:left w:val="dashSmallGap" w:sz="4" w:space="0" w:color="auto"/>
              <w:bottom w:val="dashSmallGap" w:sz="4" w:space="0" w:color="auto"/>
              <w:right w:val="dashSmallGap" w:sz="4" w:space="0" w:color="auto"/>
            </w:tcBorders>
          </w:tcPr>
          <w:p w14:paraId="40E16660" w14:textId="7C6E24C0" w:rsidR="000A22B5" w:rsidRPr="00FE01D7" w:rsidRDefault="000A22B5" w:rsidP="00B66E12">
            <w:pPr>
              <w:pStyle w:val="ListParagraph"/>
              <w:numPr>
                <w:ilvl w:val="0"/>
                <w:numId w:val="12"/>
              </w:numPr>
              <w:rPr>
                <w:rStyle w:val="DHHSheaderChar"/>
              </w:rPr>
            </w:pPr>
            <w:r w:rsidRPr="00FE01D7">
              <w:rPr>
                <w:rStyle w:val="DHHSheaderChar"/>
              </w:rPr>
              <w:t>Screening</w:t>
            </w:r>
          </w:p>
        </w:tc>
        <w:tc>
          <w:tcPr>
            <w:tcW w:w="425" w:type="dxa"/>
            <w:tcBorders>
              <w:top w:val="dashSmallGap" w:sz="4" w:space="0" w:color="auto"/>
              <w:left w:val="dashSmallGap" w:sz="4" w:space="0" w:color="auto"/>
              <w:bottom w:val="dashSmallGap" w:sz="4" w:space="0" w:color="auto"/>
              <w:right w:val="dashSmallGap" w:sz="4" w:space="0" w:color="auto"/>
            </w:tcBorders>
            <w:shd w:val="clear" w:color="auto" w:fill="auto"/>
          </w:tcPr>
          <w:p w14:paraId="22215402" w14:textId="2884CECA" w:rsidR="000A22B5" w:rsidRPr="001F1906" w:rsidRDefault="000A22B5" w:rsidP="001F1906">
            <w:pPr>
              <w:jc w:val="center"/>
              <w:rPr>
                <w:sz w:val="17"/>
                <w:szCs w:val="18"/>
              </w:rPr>
            </w:pPr>
            <w:r w:rsidRPr="001F1906">
              <w:rPr>
                <w:sz w:val="17"/>
                <w:szCs w:val="18"/>
              </w:rPr>
              <w:t>Y</w:t>
            </w:r>
          </w:p>
        </w:tc>
        <w:tc>
          <w:tcPr>
            <w:tcW w:w="6379" w:type="dxa"/>
            <w:gridSpan w:val="15"/>
            <w:tcBorders>
              <w:top w:val="dashSmallGap" w:sz="4" w:space="0" w:color="auto"/>
              <w:left w:val="dashSmallGap" w:sz="4" w:space="0" w:color="auto"/>
              <w:bottom w:val="dashSmallGap" w:sz="4" w:space="0" w:color="auto"/>
              <w:right w:val="dashSmallGap" w:sz="4" w:space="0" w:color="auto"/>
            </w:tcBorders>
            <w:shd w:val="clear" w:color="auto" w:fill="D9D9D9" w:themeFill="background1" w:themeFillShade="D9"/>
          </w:tcPr>
          <w:p w14:paraId="73A0901D" w14:textId="77777777" w:rsidR="000A22B5" w:rsidRDefault="000A22B5" w:rsidP="00361A8E">
            <w:pPr>
              <w:rPr>
                <w:sz w:val="17"/>
                <w:szCs w:val="17"/>
              </w:rPr>
            </w:pPr>
          </w:p>
        </w:tc>
      </w:tr>
      <w:tr w:rsidR="00FD490E" w:rsidRPr="00D34E1F" w14:paraId="00EB4182" w14:textId="77777777" w:rsidTr="00FD490E">
        <w:trPr>
          <w:cantSplit/>
          <w:trHeight w:val="313"/>
        </w:trPr>
        <w:tc>
          <w:tcPr>
            <w:tcW w:w="3118" w:type="dxa"/>
            <w:tcBorders>
              <w:top w:val="dashSmallGap" w:sz="4" w:space="0" w:color="auto"/>
              <w:left w:val="dashSmallGap" w:sz="4" w:space="0" w:color="auto"/>
              <w:bottom w:val="dashSmallGap" w:sz="4" w:space="0" w:color="auto"/>
              <w:right w:val="dashSmallGap" w:sz="4" w:space="0" w:color="auto"/>
            </w:tcBorders>
          </w:tcPr>
          <w:p w14:paraId="482B9D74" w14:textId="77777777" w:rsidR="00FD490E" w:rsidRPr="00FD490E" w:rsidRDefault="00FD490E" w:rsidP="005B29E5">
            <w:pPr>
              <w:rPr>
                <w:b/>
                <w:bCs/>
                <w:sz w:val="18"/>
                <w:szCs w:val="18"/>
              </w:rPr>
            </w:pPr>
            <w:r w:rsidRPr="00FD490E">
              <w:rPr>
                <w:b/>
                <w:bCs/>
                <w:sz w:val="18"/>
                <w:szCs w:val="18"/>
              </w:rPr>
              <w:t>Indirect</w:t>
            </w:r>
          </w:p>
        </w:tc>
        <w:tc>
          <w:tcPr>
            <w:tcW w:w="6804" w:type="dxa"/>
            <w:gridSpan w:val="16"/>
            <w:tcBorders>
              <w:top w:val="dashSmallGap" w:sz="4" w:space="0" w:color="auto"/>
              <w:left w:val="dashSmallGap" w:sz="4" w:space="0" w:color="auto"/>
              <w:bottom w:val="dashSmallGap" w:sz="4" w:space="0" w:color="auto"/>
              <w:right w:val="dashSmallGap" w:sz="4" w:space="0" w:color="auto"/>
            </w:tcBorders>
            <w:shd w:val="clear" w:color="auto" w:fill="D9D9D9" w:themeFill="background1" w:themeFillShade="D9"/>
          </w:tcPr>
          <w:p w14:paraId="6FFABB2B" w14:textId="29EC8D3F" w:rsidR="00FD490E" w:rsidRPr="00B66E12" w:rsidRDefault="00FD490E" w:rsidP="00B66E12">
            <w:pPr>
              <w:jc w:val="center"/>
              <w:rPr>
                <w:sz w:val="17"/>
                <w:szCs w:val="17"/>
              </w:rPr>
            </w:pPr>
          </w:p>
        </w:tc>
      </w:tr>
      <w:tr w:rsidR="00FD490E" w:rsidRPr="00D34E1F" w14:paraId="0B34D439" w14:textId="77777777" w:rsidTr="00FD490E">
        <w:trPr>
          <w:cantSplit/>
          <w:trHeight w:val="313"/>
        </w:trPr>
        <w:tc>
          <w:tcPr>
            <w:tcW w:w="3118" w:type="dxa"/>
            <w:tcBorders>
              <w:top w:val="dashSmallGap" w:sz="4" w:space="0" w:color="auto"/>
              <w:left w:val="dashSmallGap" w:sz="4" w:space="0" w:color="auto"/>
              <w:bottom w:val="dashSmallGap" w:sz="4" w:space="0" w:color="auto"/>
              <w:right w:val="dashSmallGap" w:sz="4" w:space="0" w:color="auto"/>
            </w:tcBorders>
          </w:tcPr>
          <w:p w14:paraId="0DD04AD3" w14:textId="50B5A787" w:rsidR="00FD490E" w:rsidRPr="00FE01D7" w:rsidRDefault="00FD490E" w:rsidP="00FD490E">
            <w:pPr>
              <w:pStyle w:val="ListParagraph"/>
              <w:numPr>
                <w:ilvl w:val="0"/>
                <w:numId w:val="12"/>
              </w:numPr>
              <w:rPr>
                <w:rStyle w:val="DHHSheaderChar"/>
              </w:rPr>
            </w:pPr>
            <w:r w:rsidRPr="00FE01D7">
              <w:rPr>
                <w:rStyle w:val="DHHSheaderChar"/>
              </w:rPr>
              <w:t>Indirect</w:t>
            </w:r>
          </w:p>
        </w:tc>
        <w:tc>
          <w:tcPr>
            <w:tcW w:w="425" w:type="dxa"/>
            <w:tcBorders>
              <w:top w:val="dashSmallGap" w:sz="4" w:space="0" w:color="auto"/>
              <w:left w:val="dashSmallGap" w:sz="4" w:space="0" w:color="auto"/>
              <w:bottom w:val="dashSmallGap" w:sz="4" w:space="0" w:color="auto"/>
              <w:right w:val="dashSmallGap" w:sz="4" w:space="0" w:color="auto"/>
            </w:tcBorders>
          </w:tcPr>
          <w:p w14:paraId="0AD34B22" w14:textId="7BBB2096" w:rsidR="00FD490E" w:rsidRPr="001F1906" w:rsidRDefault="00FD490E" w:rsidP="001F1906">
            <w:pPr>
              <w:jc w:val="center"/>
              <w:rPr>
                <w:sz w:val="17"/>
                <w:szCs w:val="18"/>
              </w:rPr>
            </w:pPr>
            <w:r w:rsidRPr="001F1906">
              <w:rPr>
                <w:sz w:val="17"/>
                <w:szCs w:val="18"/>
              </w:rPr>
              <w:t>Y</w:t>
            </w:r>
          </w:p>
        </w:tc>
        <w:tc>
          <w:tcPr>
            <w:tcW w:w="6379" w:type="dxa"/>
            <w:gridSpan w:val="15"/>
            <w:tcBorders>
              <w:top w:val="dashSmallGap" w:sz="4" w:space="0" w:color="auto"/>
              <w:left w:val="dashSmallGap" w:sz="4" w:space="0" w:color="auto"/>
              <w:bottom w:val="dashSmallGap" w:sz="4" w:space="0" w:color="auto"/>
              <w:right w:val="dashSmallGap" w:sz="4" w:space="0" w:color="auto"/>
            </w:tcBorders>
            <w:shd w:val="clear" w:color="auto" w:fill="D9D9D9" w:themeFill="background1" w:themeFillShade="D9"/>
          </w:tcPr>
          <w:p w14:paraId="66F61FF4" w14:textId="77777777" w:rsidR="00FD490E" w:rsidRPr="00B66E12" w:rsidRDefault="00FD490E" w:rsidP="00FD490E">
            <w:pPr>
              <w:jc w:val="center"/>
              <w:rPr>
                <w:sz w:val="17"/>
                <w:szCs w:val="17"/>
              </w:rPr>
            </w:pPr>
          </w:p>
        </w:tc>
      </w:tr>
      <w:tr w:rsidR="00FD490E" w:rsidRPr="00D34E1F" w14:paraId="2168908C" w14:textId="77777777" w:rsidTr="00FD490E">
        <w:trPr>
          <w:cantSplit/>
          <w:trHeight w:val="313"/>
        </w:trPr>
        <w:tc>
          <w:tcPr>
            <w:tcW w:w="3118" w:type="dxa"/>
            <w:tcBorders>
              <w:top w:val="dashSmallGap" w:sz="4" w:space="0" w:color="auto"/>
              <w:left w:val="dashSmallGap" w:sz="4" w:space="0" w:color="auto"/>
              <w:bottom w:val="dashSmallGap" w:sz="4" w:space="0" w:color="auto"/>
              <w:right w:val="dashSmallGap" w:sz="4" w:space="0" w:color="auto"/>
            </w:tcBorders>
          </w:tcPr>
          <w:p w14:paraId="5C3CC675" w14:textId="77777777" w:rsidR="00FD490E" w:rsidRPr="00FE01D7" w:rsidRDefault="00FD490E" w:rsidP="00FD490E">
            <w:pPr>
              <w:pStyle w:val="ListParagraph"/>
              <w:numPr>
                <w:ilvl w:val="0"/>
                <w:numId w:val="12"/>
              </w:numPr>
              <w:rPr>
                <w:rStyle w:val="DHHSheaderChar"/>
              </w:rPr>
            </w:pPr>
            <w:r w:rsidRPr="00FE01D7">
              <w:rPr>
                <w:rStyle w:val="DHHSheaderChar"/>
              </w:rPr>
              <w:t>Indirect-MDCC patient not present</w:t>
            </w:r>
          </w:p>
        </w:tc>
        <w:tc>
          <w:tcPr>
            <w:tcW w:w="425" w:type="dxa"/>
            <w:tcBorders>
              <w:top w:val="dashSmallGap" w:sz="4" w:space="0" w:color="auto"/>
              <w:left w:val="dashSmallGap" w:sz="4" w:space="0" w:color="auto"/>
              <w:bottom w:val="dashSmallGap" w:sz="4" w:space="0" w:color="auto"/>
              <w:right w:val="dashSmallGap" w:sz="4" w:space="0" w:color="auto"/>
            </w:tcBorders>
          </w:tcPr>
          <w:p w14:paraId="2296531E" w14:textId="41BD94AC" w:rsidR="00FD490E" w:rsidRPr="001F1906" w:rsidRDefault="00FD490E" w:rsidP="001F1906">
            <w:pPr>
              <w:jc w:val="center"/>
              <w:rPr>
                <w:sz w:val="17"/>
                <w:szCs w:val="18"/>
              </w:rPr>
            </w:pPr>
            <w:r w:rsidRPr="001F1906">
              <w:rPr>
                <w:sz w:val="17"/>
                <w:szCs w:val="18"/>
              </w:rPr>
              <w:t>Y</w:t>
            </w:r>
          </w:p>
        </w:tc>
        <w:tc>
          <w:tcPr>
            <w:tcW w:w="426" w:type="dxa"/>
            <w:tcBorders>
              <w:top w:val="dashSmallGap" w:sz="4" w:space="0" w:color="auto"/>
              <w:left w:val="dashSmallGap" w:sz="4" w:space="0" w:color="auto"/>
              <w:bottom w:val="dashSmallGap" w:sz="4" w:space="0" w:color="auto"/>
              <w:right w:val="dashSmallGap" w:sz="4" w:space="0" w:color="auto"/>
            </w:tcBorders>
          </w:tcPr>
          <w:p w14:paraId="7BFF7851" w14:textId="1C34CA12" w:rsidR="00FD490E" w:rsidRPr="00B66E12" w:rsidRDefault="00FD490E" w:rsidP="00FD490E">
            <w:pPr>
              <w:jc w:val="center"/>
              <w:rPr>
                <w:sz w:val="17"/>
                <w:szCs w:val="17"/>
              </w:rPr>
            </w:pPr>
            <w:r w:rsidRPr="00B66E12">
              <w:rPr>
                <w:sz w:val="17"/>
                <w:szCs w:val="17"/>
              </w:rPr>
              <w:t>Y</w:t>
            </w:r>
          </w:p>
        </w:tc>
        <w:tc>
          <w:tcPr>
            <w:tcW w:w="850" w:type="dxa"/>
            <w:gridSpan w:val="2"/>
            <w:tcBorders>
              <w:top w:val="dashSmallGap" w:sz="4" w:space="0" w:color="auto"/>
              <w:left w:val="dashSmallGap" w:sz="4" w:space="0" w:color="auto"/>
              <w:bottom w:val="dashSmallGap" w:sz="4" w:space="0" w:color="auto"/>
              <w:right w:val="dashSmallGap" w:sz="4" w:space="0" w:color="auto"/>
            </w:tcBorders>
            <w:shd w:val="clear" w:color="auto" w:fill="D9D9D9" w:themeFill="background1" w:themeFillShade="D9"/>
          </w:tcPr>
          <w:p w14:paraId="12B7B423" w14:textId="77777777" w:rsidR="00FD490E" w:rsidRPr="00B66E12" w:rsidRDefault="00FD490E" w:rsidP="00FD490E">
            <w:pPr>
              <w:jc w:val="center"/>
              <w:rPr>
                <w:sz w:val="17"/>
                <w:szCs w:val="17"/>
              </w:rPr>
            </w:pPr>
          </w:p>
        </w:tc>
        <w:tc>
          <w:tcPr>
            <w:tcW w:w="425" w:type="dxa"/>
            <w:tcBorders>
              <w:top w:val="dashSmallGap" w:sz="4" w:space="0" w:color="auto"/>
              <w:left w:val="dashSmallGap" w:sz="4" w:space="0" w:color="auto"/>
              <w:bottom w:val="dashSmallGap" w:sz="4" w:space="0" w:color="auto"/>
              <w:right w:val="dashSmallGap" w:sz="4" w:space="0" w:color="auto"/>
            </w:tcBorders>
          </w:tcPr>
          <w:p w14:paraId="2C866E2B" w14:textId="11BF20B1" w:rsidR="00FD490E" w:rsidRPr="00B66E12" w:rsidRDefault="00FD490E" w:rsidP="00FD490E">
            <w:pPr>
              <w:jc w:val="center"/>
              <w:rPr>
                <w:sz w:val="17"/>
                <w:szCs w:val="17"/>
              </w:rPr>
            </w:pPr>
            <w:r w:rsidRPr="00B66E12">
              <w:rPr>
                <w:sz w:val="17"/>
                <w:szCs w:val="17"/>
              </w:rPr>
              <w:t>Y</w:t>
            </w:r>
          </w:p>
        </w:tc>
        <w:tc>
          <w:tcPr>
            <w:tcW w:w="851" w:type="dxa"/>
            <w:gridSpan w:val="2"/>
            <w:tcBorders>
              <w:top w:val="dashSmallGap" w:sz="4" w:space="0" w:color="auto"/>
              <w:left w:val="dashSmallGap" w:sz="4" w:space="0" w:color="auto"/>
              <w:bottom w:val="dashSmallGap" w:sz="4" w:space="0" w:color="auto"/>
              <w:right w:val="dashSmallGap" w:sz="4" w:space="0" w:color="auto"/>
            </w:tcBorders>
            <w:shd w:val="clear" w:color="auto" w:fill="D9D9D9" w:themeFill="background1" w:themeFillShade="D9"/>
          </w:tcPr>
          <w:p w14:paraId="3C3D3E17" w14:textId="77777777" w:rsidR="00FD490E" w:rsidRPr="00B66E12" w:rsidRDefault="00FD490E" w:rsidP="00FD490E">
            <w:pPr>
              <w:jc w:val="center"/>
              <w:rPr>
                <w:sz w:val="17"/>
                <w:szCs w:val="17"/>
              </w:rPr>
            </w:pPr>
          </w:p>
        </w:tc>
        <w:tc>
          <w:tcPr>
            <w:tcW w:w="425" w:type="dxa"/>
            <w:tcBorders>
              <w:top w:val="dashSmallGap" w:sz="4" w:space="0" w:color="auto"/>
              <w:left w:val="dashSmallGap" w:sz="4" w:space="0" w:color="auto"/>
              <w:bottom w:val="dashSmallGap" w:sz="4" w:space="0" w:color="auto"/>
              <w:right w:val="dashSmallGap" w:sz="4" w:space="0" w:color="auto"/>
            </w:tcBorders>
          </w:tcPr>
          <w:p w14:paraId="1483C35D" w14:textId="351A72C2" w:rsidR="00FD490E" w:rsidRPr="00B66E12" w:rsidRDefault="00FD490E" w:rsidP="00FD490E">
            <w:pPr>
              <w:jc w:val="center"/>
              <w:rPr>
                <w:sz w:val="17"/>
                <w:szCs w:val="17"/>
              </w:rPr>
            </w:pPr>
            <w:r w:rsidRPr="00B66E12">
              <w:rPr>
                <w:sz w:val="17"/>
                <w:szCs w:val="17"/>
              </w:rPr>
              <w:t>Y</w:t>
            </w:r>
          </w:p>
        </w:tc>
        <w:tc>
          <w:tcPr>
            <w:tcW w:w="425" w:type="dxa"/>
            <w:tcBorders>
              <w:top w:val="dashSmallGap" w:sz="4" w:space="0" w:color="auto"/>
              <w:left w:val="dashSmallGap" w:sz="4" w:space="0" w:color="auto"/>
              <w:bottom w:val="dashSmallGap" w:sz="4" w:space="0" w:color="auto"/>
              <w:right w:val="dashSmallGap" w:sz="4" w:space="0" w:color="auto"/>
            </w:tcBorders>
          </w:tcPr>
          <w:p w14:paraId="1DEA7372" w14:textId="7757BDF5" w:rsidR="00FD490E" w:rsidRPr="00B66E12" w:rsidRDefault="00FD490E" w:rsidP="00FD490E">
            <w:pPr>
              <w:jc w:val="center"/>
              <w:rPr>
                <w:sz w:val="17"/>
                <w:szCs w:val="17"/>
              </w:rPr>
            </w:pPr>
            <w:r w:rsidRPr="00B66E12">
              <w:rPr>
                <w:sz w:val="17"/>
                <w:szCs w:val="17"/>
              </w:rPr>
              <w:t>Y</w:t>
            </w:r>
          </w:p>
        </w:tc>
        <w:tc>
          <w:tcPr>
            <w:tcW w:w="426" w:type="dxa"/>
            <w:tcBorders>
              <w:top w:val="dashSmallGap" w:sz="4" w:space="0" w:color="auto"/>
              <w:left w:val="dashSmallGap" w:sz="4" w:space="0" w:color="auto"/>
              <w:bottom w:val="dashSmallGap" w:sz="4" w:space="0" w:color="auto"/>
              <w:right w:val="dashSmallGap" w:sz="4" w:space="0" w:color="auto"/>
            </w:tcBorders>
          </w:tcPr>
          <w:p w14:paraId="465B99C8" w14:textId="5ACBE239" w:rsidR="00FD490E" w:rsidRPr="00B66E12" w:rsidRDefault="00FD490E" w:rsidP="00FD490E">
            <w:pPr>
              <w:jc w:val="center"/>
              <w:rPr>
                <w:sz w:val="17"/>
                <w:szCs w:val="17"/>
              </w:rPr>
            </w:pPr>
            <w:r w:rsidRPr="00B66E12">
              <w:rPr>
                <w:sz w:val="17"/>
                <w:szCs w:val="17"/>
              </w:rPr>
              <w:t>Y</w:t>
            </w:r>
          </w:p>
        </w:tc>
        <w:tc>
          <w:tcPr>
            <w:tcW w:w="425" w:type="dxa"/>
            <w:tcBorders>
              <w:top w:val="dashSmallGap" w:sz="4" w:space="0" w:color="auto"/>
              <w:left w:val="dashSmallGap" w:sz="4" w:space="0" w:color="auto"/>
              <w:bottom w:val="dashSmallGap" w:sz="4" w:space="0" w:color="auto"/>
              <w:right w:val="dashSmallGap" w:sz="4" w:space="0" w:color="auto"/>
            </w:tcBorders>
          </w:tcPr>
          <w:p w14:paraId="43275E6E" w14:textId="0FB5AF9E" w:rsidR="00FD490E" w:rsidRPr="00B66E12" w:rsidRDefault="00FD490E" w:rsidP="00FD490E">
            <w:pPr>
              <w:jc w:val="center"/>
              <w:rPr>
                <w:sz w:val="17"/>
                <w:szCs w:val="17"/>
              </w:rPr>
            </w:pPr>
            <w:r w:rsidRPr="00B66E12">
              <w:rPr>
                <w:sz w:val="17"/>
                <w:szCs w:val="17"/>
              </w:rPr>
              <w:t>Y</w:t>
            </w:r>
          </w:p>
        </w:tc>
        <w:tc>
          <w:tcPr>
            <w:tcW w:w="1702" w:type="dxa"/>
            <w:gridSpan w:val="4"/>
            <w:tcBorders>
              <w:top w:val="dashSmallGap" w:sz="4" w:space="0" w:color="auto"/>
              <w:left w:val="dashSmallGap" w:sz="4" w:space="0" w:color="auto"/>
              <w:bottom w:val="dashSmallGap" w:sz="4" w:space="0" w:color="auto"/>
              <w:right w:val="dashSmallGap" w:sz="4" w:space="0" w:color="auto"/>
            </w:tcBorders>
            <w:shd w:val="clear" w:color="auto" w:fill="D9D9D9" w:themeFill="background1" w:themeFillShade="D9"/>
          </w:tcPr>
          <w:p w14:paraId="585E7475" w14:textId="77777777" w:rsidR="00FD490E" w:rsidRPr="00B66E12" w:rsidRDefault="00FD490E" w:rsidP="00FD490E">
            <w:pPr>
              <w:jc w:val="center"/>
              <w:rPr>
                <w:sz w:val="17"/>
                <w:szCs w:val="17"/>
              </w:rPr>
            </w:pPr>
          </w:p>
        </w:tc>
        <w:tc>
          <w:tcPr>
            <w:tcW w:w="424" w:type="dxa"/>
            <w:tcBorders>
              <w:top w:val="dashSmallGap" w:sz="4" w:space="0" w:color="auto"/>
              <w:left w:val="dashSmallGap" w:sz="4" w:space="0" w:color="auto"/>
              <w:bottom w:val="dashSmallGap" w:sz="4" w:space="0" w:color="auto"/>
              <w:right w:val="dashSmallGap" w:sz="4" w:space="0" w:color="auto"/>
            </w:tcBorders>
          </w:tcPr>
          <w:p w14:paraId="3AA685D2" w14:textId="6667AB14" w:rsidR="00FD490E" w:rsidRPr="00B66E12" w:rsidRDefault="00FD490E" w:rsidP="00FD490E">
            <w:pPr>
              <w:jc w:val="center"/>
              <w:rPr>
                <w:sz w:val="17"/>
                <w:szCs w:val="17"/>
              </w:rPr>
            </w:pPr>
            <w:r w:rsidRPr="00B66E12">
              <w:rPr>
                <w:sz w:val="17"/>
                <w:szCs w:val="17"/>
              </w:rPr>
              <w:t>Y</w:t>
            </w:r>
          </w:p>
        </w:tc>
      </w:tr>
      <w:tr w:rsidR="00FD490E" w:rsidRPr="00D34E1F" w14:paraId="21332021" w14:textId="77777777" w:rsidTr="00FD490E">
        <w:trPr>
          <w:cantSplit/>
          <w:trHeight w:val="313"/>
        </w:trPr>
        <w:tc>
          <w:tcPr>
            <w:tcW w:w="3118" w:type="dxa"/>
            <w:tcBorders>
              <w:top w:val="dashSmallGap" w:sz="4" w:space="0" w:color="auto"/>
              <w:left w:val="dashSmallGap" w:sz="4" w:space="0" w:color="auto"/>
              <w:bottom w:val="dashSmallGap" w:sz="4" w:space="0" w:color="auto"/>
              <w:right w:val="dashSmallGap" w:sz="4" w:space="0" w:color="auto"/>
            </w:tcBorders>
          </w:tcPr>
          <w:p w14:paraId="437E1ABC" w14:textId="77777777" w:rsidR="00FD490E" w:rsidRPr="00FE01D7" w:rsidRDefault="00FD490E" w:rsidP="00FD490E">
            <w:pPr>
              <w:pStyle w:val="ListParagraph"/>
              <w:numPr>
                <w:ilvl w:val="0"/>
                <w:numId w:val="13"/>
              </w:numPr>
              <w:rPr>
                <w:rStyle w:val="DHHSheaderChar"/>
              </w:rPr>
            </w:pPr>
            <w:r w:rsidRPr="00FE01D7">
              <w:rPr>
                <w:rStyle w:val="DHHSheaderChar"/>
              </w:rPr>
              <w:t>Screening</w:t>
            </w:r>
          </w:p>
        </w:tc>
        <w:tc>
          <w:tcPr>
            <w:tcW w:w="425" w:type="dxa"/>
            <w:tcBorders>
              <w:top w:val="dashSmallGap" w:sz="4" w:space="0" w:color="auto"/>
              <w:left w:val="dashSmallGap" w:sz="4" w:space="0" w:color="auto"/>
              <w:bottom w:val="dashSmallGap" w:sz="4" w:space="0" w:color="auto"/>
              <w:right w:val="dashSmallGap" w:sz="4" w:space="0" w:color="auto"/>
            </w:tcBorders>
          </w:tcPr>
          <w:p w14:paraId="57D469E6" w14:textId="35D040E0" w:rsidR="00FD490E" w:rsidRPr="001F1906" w:rsidRDefault="00FD490E" w:rsidP="001F1906">
            <w:pPr>
              <w:jc w:val="center"/>
              <w:rPr>
                <w:sz w:val="17"/>
                <w:szCs w:val="18"/>
              </w:rPr>
            </w:pPr>
            <w:r w:rsidRPr="001F1906">
              <w:rPr>
                <w:sz w:val="17"/>
                <w:szCs w:val="18"/>
              </w:rPr>
              <w:t>Y</w:t>
            </w:r>
          </w:p>
        </w:tc>
        <w:tc>
          <w:tcPr>
            <w:tcW w:w="6379" w:type="dxa"/>
            <w:gridSpan w:val="15"/>
            <w:tcBorders>
              <w:top w:val="dashSmallGap" w:sz="4" w:space="0" w:color="auto"/>
              <w:left w:val="dashSmallGap" w:sz="4" w:space="0" w:color="auto"/>
              <w:bottom w:val="dashSmallGap" w:sz="4" w:space="0" w:color="auto"/>
              <w:right w:val="dashSmallGap" w:sz="4" w:space="0" w:color="auto"/>
            </w:tcBorders>
            <w:shd w:val="clear" w:color="auto" w:fill="D9D9D9" w:themeFill="background1" w:themeFillShade="D9"/>
          </w:tcPr>
          <w:p w14:paraId="0AEF80F6" w14:textId="77777777" w:rsidR="00FD490E" w:rsidRPr="00B66E12" w:rsidRDefault="00FD490E" w:rsidP="00FD490E">
            <w:pPr>
              <w:jc w:val="center"/>
              <w:rPr>
                <w:sz w:val="17"/>
                <w:szCs w:val="17"/>
              </w:rPr>
            </w:pPr>
          </w:p>
        </w:tc>
      </w:tr>
      <w:tr w:rsidR="00FD490E" w:rsidRPr="00D34E1F" w14:paraId="042D3930" w14:textId="77777777" w:rsidTr="00FD490E">
        <w:trPr>
          <w:cantSplit/>
          <w:trHeight w:val="313"/>
        </w:trPr>
        <w:tc>
          <w:tcPr>
            <w:tcW w:w="3118" w:type="dxa"/>
            <w:tcBorders>
              <w:top w:val="dashSmallGap" w:sz="4" w:space="0" w:color="auto"/>
              <w:left w:val="dashSmallGap" w:sz="4" w:space="0" w:color="auto"/>
              <w:bottom w:val="dashSmallGap" w:sz="4" w:space="0" w:color="auto"/>
              <w:right w:val="dashSmallGap" w:sz="4" w:space="0" w:color="auto"/>
            </w:tcBorders>
          </w:tcPr>
          <w:p w14:paraId="416465C2" w14:textId="77777777" w:rsidR="00FD490E" w:rsidRPr="001F1906" w:rsidRDefault="00FD490E" w:rsidP="00FD490E">
            <w:pPr>
              <w:rPr>
                <w:rStyle w:val="DHHSheaderChar"/>
              </w:rPr>
            </w:pPr>
            <w:r w:rsidRPr="001F1906">
              <w:rPr>
                <w:rStyle w:val="DHHSheaderChar"/>
              </w:rPr>
              <w:t>Administrative</w:t>
            </w:r>
          </w:p>
        </w:tc>
        <w:tc>
          <w:tcPr>
            <w:tcW w:w="6804" w:type="dxa"/>
            <w:gridSpan w:val="16"/>
            <w:tcBorders>
              <w:top w:val="dashSmallGap" w:sz="4" w:space="0" w:color="auto"/>
              <w:left w:val="dashSmallGap" w:sz="4" w:space="0" w:color="auto"/>
              <w:bottom w:val="dashSmallGap" w:sz="4" w:space="0" w:color="auto"/>
              <w:right w:val="dashSmallGap" w:sz="4" w:space="0" w:color="auto"/>
            </w:tcBorders>
            <w:shd w:val="clear" w:color="auto" w:fill="D9D9D9" w:themeFill="background1" w:themeFillShade="D9"/>
          </w:tcPr>
          <w:p w14:paraId="43A0A02A" w14:textId="77777777" w:rsidR="00FD490E" w:rsidRPr="00B66E12" w:rsidRDefault="00FD490E" w:rsidP="00FD490E">
            <w:pPr>
              <w:jc w:val="center"/>
              <w:rPr>
                <w:sz w:val="17"/>
                <w:szCs w:val="17"/>
              </w:rPr>
            </w:pPr>
          </w:p>
        </w:tc>
      </w:tr>
    </w:tbl>
    <w:p w14:paraId="52E96776" w14:textId="77777777" w:rsidR="00B66E12" w:rsidRPr="00361030" w:rsidRDefault="00B66E12" w:rsidP="0091306F">
      <w:pPr>
        <w:pStyle w:val="Body"/>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A0" w:firstRow="1" w:lastRow="0" w:firstColumn="1" w:lastColumn="0" w:noHBand="1" w:noVBand="1"/>
      </w:tblPr>
      <w:tblGrid>
        <w:gridCol w:w="1701"/>
        <w:gridCol w:w="7587"/>
      </w:tblGrid>
      <w:tr w:rsidR="0091306F" w14:paraId="398FDDC3" w14:textId="77777777" w:rsidTr="0091306F">
        <w:tc>
          <w:tcPr>
            <w:tcW w:w="1701" w:type="dxa"/>
          </w:tcPr>
          <w:p w14:paraId="5133A80F" w14:textId="77777777" w:rsidR="0091306F" w:rsidRPr="00EB60C1" w:rsidRDefault="0091306F" w:rsidP="00EB60C1">
            <w:pPr>
              <w:pStyle w:val="Tabletext"/>
              <w:rPr>
                <w:rStyle w:val="Strong"/>
              </w:rPr>
            </w:pPr>
            <w:r w:rsidRPr="00EB60C1">
              <w:rPr>
                <w:rStyle w:val="Strong"/>
              </w:rPr>
              <w:t>Guide for use cont.</w:t>
            </w:r>
          </w:p>
        </w:tc>
        <w:tc>
          <w:tcPr>
            <w:tcW w:w="7587" w:type="dxa"/>
          </w:tcPr>
          <w:p w14:paraId="65E275E8" w14:textId="1639EEF5" w:rsidR="00444341" w:rsidRDefault="0091306F" w:rsidP="00EB60C1">
            <w:pPr>
              <w:pStyle w:val="Tabletext"/>
            </w:pPr>
            <w:r>
              <w:t>Each contact:</w:t>
            </w:r>
          </w:p>
          <w:p w14:paraId="45C32556" w14:textId="500834E8" w:rsidR="0091306F" w:rsidRDefault="0091306F" w:rsidP="00A3262A">
            <w:pPr>
              <w:pStyle w:val="Tabletext"/>
              <w:numPr>
                <w:ilvl w:val="0"/>
                <w:numId w:val="13"/>
              </w:numPr>
              <w:ind w:left="263" w:hanging="229"/>
            </w:pPr>
            <w:r>
              <w:t>may be delivered in a variety of settings (for example, home–based or centre–based), and via a number of delivery modes (for example, face to face or by telephone)</w:t>
            </w:r>
          </w:p>
          <w:p w14:paraId="6A7C1E92" w14:textId="77777777" w:rsidR="0091306F" w:rsidRDefault="0091306F" w:rsidP="00EB60C1">
            <w:pPr>
              <w:pStyle w:val="Tablebullet1"/>
            </w:pPr>
            <w:r>
              <w:t>may be delivered to a patient/client in either an individual or a group context</w:t>
            </w:r>
          </w:p>
          <w:p w14:paraId="36ADA812" w14:textId="756E68B5" w:rsidR="0091306F" w:rsidRDefault="0091306F" w:rsidP="00EB60C1">
            <w:pPr>
              <w:pStyle w:val="Tablebullet1"/>
            </w:pPr>
            <w:r>
              <w:t xml:space="preserve">may be delivered when the patient/client is not present for the </w:t>
            </w:r>
            <w:r w:rsidR="002D3E6B">
              <w:t>interaction,</w:t>
            </w:r>
            <w:r>
              <w:t xml:space="preserve"> but their carer or family is</w:t>
            </w:r>
          </w:p>
          <w:p w14:paraId="3F159CFF" w14:textId="77777777" w:rsidR="0091306F" w:rsidRDefault="0091306F" w:rsidP="00EB60C1">
            <w:pPr>
              <w:pStyle w:val="Tablebullet1"/>
            </w:pPr>
            <w:r>
              <w:t>is delivered by one or more health professionals</w:t>
            </w:r>
          </w:p>
          <w:p w14:paraId="3B34B00A" w14:textId="77777777" w:rsidR="0091306F" w:rsidRDefault="0091306F" w:rsidP="00EB60C1">
            <w:pPr>
              <w:pStyle w:val="Tablebullet1"/>
            </w:pPr>
            <w:r>
              <w:t>may be aggregated to provide a count of client service events.</w:t>
            </w:r>
          </w:p>
          <w:p w14:paraId="6F523B75" w14:textId="3B1FFC15" w:rsidR="0091306F" w:rsidRDefault="0091306F" w:rsidP="00EB60C1">
            <w:pPr>
              <w:pStyle w:val="Tabletext"/>
            </w:pPr>
            <w:r>
              <w:t>Separate data elements included in the VINAH MD</w:t>
            </w:r>
            <w:r w:rsidR="00142B99">
              <w:t>S</w:t>
            </w:r>
            <w:r>
              <w:t xml:space="preserve"> enable the delivery mode, setting and other attributes of a contact to be reported.</w:t>
            </w:r>
          </w:p>
          <w:p w14:paraId="40BFF0D0" w14:textId="6A3A3A6E" w:rsidR="0091306F" w:rsidRDefault="0091306F" w:rsidP="00EB60C1">
            <w:pPr>
              <w:pStyle w:val="Tabletext"/>
            </w:pPr>
            <w:r>
              <w:t>Each patient/client who attends a group session should be reported as having received a contact, independent of the number of patients/clients who participated in the group activity.</w:t>
            </w:r>
          </w:p>
          <w:p w14:paraId="65C225B5" w14:textId="77777777" w:rsidR="00FE01D7" w:rsidRDefault="00FE01D7" w:rsidP="00EB60C1">
            <w:pPr>
              <w:pStyle w:val="Tabletext"/>
            </w:pPr>
          </w:p>
          <w:p w14:paraId="1E863867" w14:textId="77777777" w:rsidR="0091306F" w:rsidRPr="001355B8" w:rsidRDefault="0091306F" w:rsidP="00EB60C1">
            <w:pPr>
              <w:pStyle w:val="Tabletext"/>
              <w:rPr>
                <w:rStyle w:val="Strong"/>
              </w:rPr>
            </w:pPr>
            <w:r w:rsidRPr="001355B8">
              <w:rPr>
                <w:rStyle w:val="Strong"/>
              </w:rPr>
              <w:t>Service contacts</w:t>
            </w:r>
          </w:p>
          <w:p w14:paraId="1E2E7CEB" w14:textId="77777777" w:rsidR="0091306F" w:rsidRDefault="0091306F" w:rsidP="00EB60C1">
            <w:pPr>
              <w:pStyle w:val="Tabletext"/>
            </w:pPr>
            <w:r>
              <w:t>Service contacts would either be with a patient/client, carer or family member or another professional involved in providing care and do not include contacts of an administrative nature.</w:t>
            </w:r>
          </w:p>
          <w:p w14:paraId="787B115E" w14:textId="42CCB28C" w:rsidR="0091306F" w:rsidRDefault="0091306F" w:rsidP="00EB60C1">
            <w:pPr>
              <w:pStyle w:val="Tabletext"/>
            </w:pPr>
            <w:r>
              <w:t xml:space="preserve">Service contacts may be differentiated from administrative and other types of contacts by the need to record data in the clinical record. However, there may be instances where notes are made in the patient/client record that have not been prompted by a service contact with a patient/client (for example, noting </w:t>
            </w:r>
            <w:r>
              <w:lastRenderedPageBreak/>
              <w:t>receipt of test results that require no further action). These instances would not be regarded as a service contact.</w:t>
            </w:r>
          </w:p>
          <w:p w14:paraId="245646B9" w14:textId="7178981C" w:rsidR="0091306F" w:rsidRDefault="0091306F" w:rsidP="00EB60C1">
            <w:pPr>
              <w:pStyle w:val="Tabletext"/>
            </w:pPr>
            <w:r>
              <w:t xml:space="preserve">For </w:t>
            </w:r>
            <w:r w:rsidR="00FA7D6E">
              <w:t>c</w:t>
            </w:r>
            <w:r>
              <w:t xml:space="preserve">ontacts that relate to brokered services, a </w:t>
            </w:r>
            <w:r w:rsidR="00FA7D6E">
              <w:t>c</w:t>
            </w:r>
            <w:r>
              <w:t xml:space="preserve">ontact may be able to be reported if the Contact Provider is not a healthcare professional. Providing that all other criteria of a direct service contact are met, a </w:t>
            </w:r>
            <w:r w:rsidR="00FA7D6E">
              <w:t>c</w:t>
            </w:r>
            <w:r>
              <w:t>ontact may be recorded. In these instances, the Contact Professional Group must be recorded as a ‘non-professional healthcare provider’.</w:t>
            </w:r>
          </w:p>
          <w:p w14:paraId="1CE3FF8D" w14:textId="77777777" w:rsidR="0091306F" w:rsidRDefault="0091306F" w:rsidP="00EB60C1">
            <w:pPr>
              <w:pStyle w:val="Tabletext"/>
            </w:pPr>
            <w:r>
              <w:t>Service contacts can be further categorised:</w:t>
            </w:r>
          </w:p>
          <w:p w14:paraId="71CF7D9D" w14:textId="77777777" w:rsidR="0091306F" w:rsidRDefault="0091306F" w:rsidP="00EB60C1">
            <w:pPr>
              <w:pStyle w:val="Tablebullet1"/>
            </w:pPr>
            <w:r>
              <w:t>Direct contacts: those contacts involving the patient/client and/or the patient/client’s family or carer(s).</w:t>
            </w:r>
          </w:p>
          <w:p w14:paraId="4012F57C" w14:textId="1B7391DD" w:rsidR="0091306F" w:rsidRDefault="00253C4A" w:rsidP="00253C4A">
            <w:pPr>
              <w:pStyle w:val="Tablebullet1"/>
              <w:spacing w:after="120"/>
            </w:pPr>
            <w:r>
              <w:t>A</w:t>
            </w:r>
            <w:r w:rsidR="0091306F">
              <w:t>ll programs require reporting of direct contacts that occur.</w:t>
            </w:r>
          </w:p>
          <w:p w14:paraId="11ECA01C" w14:textId="79073E5E" w:rsidR="00AC3F17" w:rsidRDefault="0091306F" w:rsidP="00AC3F17">
            <w:pPr>
              <w:pStyle w:val="Tabletext"/>
              <w:spacing w:after="0"/>
            </w:pPr>
            <w:r>
              <w:t xml:space="preserve">Contacts that are scheduled but not attended are reported using the </w:t>
            </w:r>
            <w:r w:rsidR="00AC3F17">
              <w:t>following values:</w:t>
            </w:r>
          </w:p>
          <w:p w14:paraId="35D709FD" w14:textId="3224DA04" w:rsidR="0091306F" w:rsidRDefault="0091306F" w:rsidP="00EB60C1">
            <w:pPr>
              <w:pStyle w:val="Tablebullet1"/>
            </w:pPr>
            <w:r>
              <w:t>Contact Client Present Status: 32 Patient/Client/Carer(s)/Relative(s) not present: Scheduled appointment not attended;</w:t>
            </w:r>
          </w:p>
          <w:p w14:paraId="15A6ECE1" w14:textId="77777777" w:rsidR="0091306F" w:rsidRDefault="0091306F" w:rsidP="00EB60C1">
            <w:pPr>
              <w:pStyle w:val="Tablebullet1"/>
            </w:pPr>
            <w:r>
              <w:t>Contact Delivery Mode: 9 not applicable;</w:t>
            </w:r>
          </w:p>
          <w:p w14:paraId="3FDA2F88" w14:textId="43E22265" w:rsidR="0091306F" w:rsidRDefault="0091306F" w:rsidP="00253C4A">
            <w:pPr>
              <w:pStyle w:val="Tablebullet1"/>
              <w:spacing w:after="120"/>
            </w:pPr>
            <w:r>
              <w:t>Contact Delivery Setting: 98 not applicable - Patient/Client not present.</w:t>
            </w:r>
          </w:p>
          <w:p w14:paraId="305E4C4C" w14:textId="77777777" w:rsidR="0091306F" w:rsidRDefault="0091306F" w:rsidP="00EB60C1">
            <w:pPr>
              <w:pStyle w:val="Tabletext"/>
            </w:pPr>
            <w:r w:rsidRPr="00B706FE">
              <w:rPr>
                <w:b/>
                <w:bCs/>
              </w:rPr>
              <w:t>Note:</w:t>
            </w:r>
            <w:r>
              <w:t xml:space="preserve"> the following data elements should be reported as scheduled, even though the contact did not occur:</w:t>
            </w:r>
          </w:p>
          <w:p w14:paraId="2CA1DBEC" w14:textId="641EF5D4" w:rsidR="0091306F" w:rsidRDefault="0091306F" w:rsidP="00EB60C1">
            <w:pPr>
              <w:pStyle w:val="Tablebullet1"/>
            </w:pPr>
            <w:r>
              <w:t xml:space="preserve">Contact </w:t>
            </w:r>
            <w:r w:rsidR="0033749E">
              <w:t xml:space="preserve">End </w:t>
            </w:r>
            <w:r>
              <w:t>Date/Time</w:t>
            </w:r>
          </w:p>
          <w:p w14:paraId="587EBE2E" w14:textId="77777777" w:rsidR="0091306F" w:rsidRDefault="0091306F" w:rsidP="00EB60C1">
            <w:pPr>
              <w:pStyle w:val="Tablebullet1"/>
            </w:pPr>
            <w:r>
              <w:t>Contact Main Purpose</w:t>
            </w:r>
          </w:p>
          <w:p w14:paraId="1152D590" w14:textId="77777777" w:rsidR="0091306F" w:rsidRDefault="0091306F" w:rsidP="00EB60C1">
            <w:pPr>
              <w:pStyle w:val="Tablebullet1"/>
            </w:pPr>
            <w:r>
              <w:t>Contact Professional Group</w:t>
            </w:r>
          </w:p>
          <w:p w14:paraId="5E6D8A8E" w14:textId="77777777" w:rsidR="0033749E" w:rsidRDefault="0091306F" w:rsidP="005B29E5">
            <w:pPr>
              <w:pStyle w:val="Tablebullet1"/>
            </w:pPr>
            <w:r>
              <w:t>Contact Session Type</w:t>
            </w:r>
          </w:p>
          <w:p w14:paraId="31D7A98A" w14:textId="27AD7635" w:rsidR="00E86F93" w:rsidRDefault="0033749E" w:rsidP="005B29E5">
            <w:pPr>
              <w:pStyle w:val="Tablebullet1"/>
            </w:pPr>
            <w:r>
              <w:t>Contact Start Date/Time</w:t>
            </w:r>
            <w:r w:rsidR="0091306F">
              <w:t>.</w:t>
            </w:r>
          </w:p>
        </w:tc>
      </w:tr>
      <w:tr w:rsidR="0091306F" w:rsidRPr="00440B56" w14:paraId="6B16E887" w14:textId="77777777" w:rsidTr="0091306F">
        <w:tc>
          <w:tcPr>
            <w:tcW w:w="1701" w:type="dxa"/>
          </w:tcPr>
          <w:p w14:paraId="5F3B5861" w14:textId="77777777" w:rsidR="0091306F" w:rsidRPr="007D64BE" w:rsidRDefault="0091306F" w:rsidP="0091306F">
            <w:pPr>
              <w:pStyle w:val="DHHSbody"/>
            </w:pPr>
          </w:p>
        </w:tc>
        <w:tc>
          <w:tcPr>
            <w:tcW w:w="7587" w:type="dxa"/>
          </w:tcPr>
          <w:p w14:paraId="02BA7994" w14:textId="77777777" w:rsidR="0091306F" w:rsidRPr="001355B8" w:rsidRDefault="0091306F" w:rsidP="00EB60C1">
            <w:pPr>
              <w:pStyle w:val="Tabletext"/>
              <w:rPr>
                <w:rStyle w:val="Strong"/>
              </w:rPr>
            </w:pPr>
            <w:r w:rsidRPr="001355B8">
              <w:rPr>
                <w:rStyle w:val="Strong"/>
              </w:rPr>
              <w:t>Indirect contacts</w:t>
            </w:r>
          </w:p>
          <w:p w14:paraId="46D6CB4D" w14:textId="2C9B6D57" w:rsidR="0091306F" w:rsidRPr="00440B56" w:rsidRDefault="0091306F" w:rsidP="00EB60C1">
            <w:pPr>
              <w:pStyle w:val="Tabletext"/>
            </w:pPr>
            <w:r w:rsidRPr="00144D87">
              <w:t xml:space="preserve">Those contacts not involving the patient/client and/or the patient/client’s family or </w:t>
            </w:r>
            <w:r w:rsidRPr="004A56C1">
              <w:t>carer(s) but are still c</w:t>
            </w:r>
            <w:r w:rsidRPr="00440B56">
              <w:t>linical in nature. This type of contact may include contact with another professional who may provide additional advice/information about the patient/client.</w:t>
            </w:r>
          </w:p>
          <w:p w14:paraId="39422D14" w14:textId="61BE68E3" w:rsidR="0091306F" w:rsidRPr="00EB60C1" w:rsidRDefault="0091306F" w:rsidP="00EB60C1">
            <w:pPr>
              <w:pStyle w:val="Tabletext"/>
            </w:pPr>
            <w:r w:rsidRPr="00EB60C1">
              <w:t>Only the Palliative Care program requires reporting of indirect contacts. This is done through reporting the following values:</w:t>
            </w:r>
          </w:p>
          <w:p w14:paraId="3AC83C85" w14:textId="77777777" w:rsidR="0091306F" w:rsidRPr="00440B56" w:rsidRDefault="0091306F" w:rsidP="00253C4A">
            <w:pPr>
              <w:pStyle w:val="Tabletext"/>
              <w:numPr>
                <w:ilvl w:val="0"/>
                <w:numId w:val="20"/>
              </w:numPr>
            </w:pPr>
            <w:r w:rsidRPr="00440B56">
              <w:t>Contact Client Present Status: 31 Client/Carer(s)/Relative(s) not present: Indirect contact</w:t>
            </w:r>
          </w:p>
          <w:p w14:paraId="2EC69581" w14:textId="77777777" w:rsidR="0091306F" w:rsidRPr="00440B56" w:rsidRDefault="0091306F" w:rsidP="00EB60C1">
            <w:pPr>
              <w:pStyle w:val="Tablebullet1"/>
            </w:pPr>
            <w:r w:rsidRPr="00440B56">
              <w:t>Contact Delivery Setting: 98 not applicable – Patient/Client not present</w:t>
            </w:r>
          </w:p>
          <w:p w14:paraId="136251E1" w14:textId="77777777" w:rsidR="0091306F" w:rsidRPr="00440B56" w:rsidRDefault="0091306F" w:rsidP="00EB60C1">
            <w:pPr>
              <w:pStyle w:val="Tablebullet1"/>
            </w:pPr>
            <w:r w:rsidRPr="00440B56">
              <w:t>Contact Session Type: 3 not applicable – Indirect contact type.</w:t>
            </w:r>
          </w:p>
          <w:p w14:paraId="3DEBDA50" w14:textId="77777777" w:rsidR="0091306F" w:rsidRPr="001355B8" w:rsidRDefault="0091306F" w:rsidP="00EB60C1">
            <w:pPr>
              <w:pStyle w:val="Tabletext"/>
              <w:rPr>
                <w:rStyle w:val="Strong"/>
              </w:rPr>
            </w:pPr>
            <w:r w:rsidRPr="001355B8">
              <w:rPr>
                <w:rStyle w:val="Strong"/>
              </w:rPr>
              <w:t>Administrative contacts</w:t>
            </w:r>
          </w:p>
          <w:p w14:paraId="1C230409" w14:textId="1D46F4E8" w:rsidR="0091306F" w:rsidRPr="00440B56" w:rsidRDefault="0091306F" w:rsidP="00EB60C1">
            <w:pPr>
              <w:pStyle w:val="Tabletext"/>
            </w:pPr>
            <w:r w:rsidRPr="00440B56">
              <w:t xml:space="preserve">Administrative contacts are not to be reported to </w:t>
            </w:r>
            <w:r w:rsidR="00444341">
              <w:t xml:space="preserve">the </w:t>
            </w:r>
            <w:r w:rsidRPr="00440B56">
              <w:t>VINAH</w:t>
            </w:r>
            <w:r w:rsidR="00444341">
              <w:t xml:space="preserve"> MD</w:t>
            </w:r>
            <w:r w:rsidR="00C17A11">
              <w:t>S</w:t>
            </w:r>
            <w:r w:rsidRPr="00440B56">
              <w:t xml:space="preserve">. They include activities such as, but not limited </w:t>
            </w:r>
            <w:r w:rsidR="00C17A11" w:rsidRPr="00440B56">
              <w:t>to</w:t>
            </w:r>
            <w:r w:rsidR="00C17A11">
              <w:t>:</w:t>
            </w:r>
          </w:p>
          <w:p w14:paraId="065E8000" w14:textId="77777777" w:rsidR="0091306F" w:rsidRPr="00440B56" w:rsidRDefault="0091306F" w:rsidP="00EB60C1">
            <w:pPr>
              <w:pStyle w:val="Tablebullet1"/>
            </w:pPr>
            <w:r w:rsidRPr="00440B56">
              <w:t>allocation meetings</w:t>
            </w:r>
          </w:p>
          <w:p w14:paraId="72613259" w14:textId="77777777" w:rsidR="0091306F" w:rsidRPr="00440B56" w:rsidRDefault="0091306F" w:rsidP="00EB60C1">
            <w:pPr>
              <w:pStyle w:val="Tablebullet1"/>
            </w:pPr>
            <w:r w:rsidRPr="00440B56">
              <w:t>appointment scheduling</w:t>
            </w:r>
          </w:p>
          <w:p w14:paraId="15D582EF" w14:textId="77777777" w:rsidR="0091306F" w:rsidRPr="00440B56" w:rsidRDefault="0091306F" w:rsidP="00EB60C1">
            <w:pPr>
              <w:pStyle w:val="Tablebullet1"/>
            </w:pPr>
            <w:r w:rsidRPr="00440B56">
              <w:t>administrative tasks</w:t>
            </w:r>
          </w:p>
          <w:p w14:paraId="3B0CD561" w14:textId="77777777" w:rsidR="0091306F" w:rsidRPr="00440B56" w:rsidRDefault="0091306F" w:rsidP="00EB60C1">
            <w:pPr>
              <w:pStyle w:val="Tablebullet1"/>
            </w:pPr>
            <w:r w:rsidRPr="00440B56">
              <w:t>clinically related administrative work (such as reading or researching patient notes for any purpose)</w:t>
            </w:r>
          </w:p>
          <w:p w14:paraId="7662B9CF" w14:textId="77777777" w:rsidR="0091306F" w:rsidRPr="00440B56" w:rsidRDefault="0091306F" w:rsidP="00EB60C1">
            <w:pPr>
              <w:pStyle w:val="Tablebullet1"/>
            </w:pPr>
            <w:r w:rsidRPr="00440B56">
              <w:t>clinical supervision</w:t>
            </w:r>
          </w:p>
          <w:p w14:paraId="447F36A8" w14:textId="77777777" w:rsidR="0091306F" w:rsidRPr="00440B56" w:rsidRDefault="0091306F" w:rsidP="00EB60C1">
            <w:pPr>
              <w:pStyle w:val="Tablebullet1"/>
            </w:pPr>
            <w:r w:rsidRPr="00440B56">
              <w:t>organisation of brokered services</w:t>
            </w:r>
          </w:p>
          <w:p w14:paraId="5F6099A1" w14:textId="77777777" w:rsidR="0091306F" w:rsidRPr="00440B56" w:rsidRDefault="0091306F" w:rsidP="00EB60C1">
            <w:pPr>
              <w:pStyle w:val="Tablebullet1"/>
            </w:pPr>
            <w:r w:rsidRPr="00440B56">
              <w:t>record keeping</w:t>
            </w:r>
          </w:p>
          <w:p w14:paraId="17F2A416" w14:textId="77777777" w:rsidR="0091306F" w:rsidRPr="00440B56" w:rsidRDefault="0091306F" w:rsidP="00EB60C1">
            <w:pPr>
              <w:pStyle w:val="Tablebullet1"/>
            </w:pPr>
            <w:r w:rsidRPr="00440B56">
              <w:lastRenderedPageBreak/>
              <w:t>report writing or reviewing</w:t>
            </w:r>
          </w:p>
          <w:p w14:paraId="528D975D" w14:textId="77777777" w:rsidR="0091306F" w:rsidRPr="00440B56" w:rsidRDefault="0091306F" w:rsidP="00EB60C1">
            <w:pPr>
              <w:pStyle w:val="Tablebullet1"/>
            </w:pPr>
            <w:r w:rsidRPr="00440B56">
              <w:t>research on any topic for any purpose</w:t>
            </w:r>
          </w:p>
          <w:p w14:paraId="1CF4AD8B" w14:textId="77777777" w:rsidR="0091306F" w:rsidRPr="00440B56" w:rsidRDefault="0091306F" w:rsidP="00EB60C1">
            <w:pPr>
              <w:pStyle w:val="Tablebullet1"/>
            </w:pPr>
            <w:r w:rsidRPr="00440B56">
              <w:t>travel time.</w:t>
            </w:r>
          </w:p>
          <w:p w14:paraId="71B27068" w14:textId="77777777" w:rsidR="0091306F" w:rsidRPr="001355B8" w:rsidRDefault="0091306F" w:rsidP="00EB60C1">
            <w:pPr>
              <w:pStyle w:val="DHHStablebullet1"/>
              <w:rPr>
                <w:rStyle w:val="Strong"/>
              </w:rPr>
            </w:pPr>
            <w:r w:rsidRPr="001355B8">
              <w:rPr>
                <w:rStyle w:val="Strong"/>
              </w:rPr>
              <w:t>Screening contacts</w:t>
            </w:r>
          </w:p>
          <w:p w14:paraId="658F277C" w14:textId="462E3276" w:rsidR="0091306F" w:rsidRPr="00EB60C1" w:rsidRDefault="0091306F" w:rsidP="001355B8">
            <w:pPr>
              <w:pStyle w:val="Tabletext"/>
            </w:pPr>
            <w:r w:rsidRPr="00EB60C1">
              <w:t>Screening contacts determine if the referred person (potential client) is appropriate for the service and the urgency of their care needs. They do not include contacts of an administrative nature (such as receipt of test results).</w:t>
            </w:r>
          </w:p>
          <w:p w14:paraId="3FEABADB" w14:textId="77777777" w:rsidR="0091306F" w:rsidRPr="00EB60C1" w:rsidRDefault="0091306F" w:rsidP="001355B8">
            <w:pPr>
              <w:pStyle w:val="Tabletext"/>
            </w:pPr>
            <w:r w:rsidRPr="00EB60C1">
              <w:t>Screening contacts can be direct or indirect in nature.</w:t>
            </w:r>
          </w:p>
          <w:p w14:paraId="0106F700" w14:textId="7F9BE710" w:rsidR="0091306F" w:rsidRPr="00440B56" w:rsidRDefault="0091306F" w:rsidP="00FE01D7">
            <w:pPr>
              <w:pStyle w:val="Bullet1"/>
            </w:pPr>
            <w:r w:rsidRPr="004A56C1">
              <w:t>I</w:t>
            </w:r>
            <w:r w:rsidRPr="00440B56">
              <w:t>ncludes activity such as gathering sufficient clinical information from the referrer, other health professionals and the referred person and their carer/families. Depending upon the complexity, this may be completed by a single clinician or require a multi-disciplinary approach.</w:t>
            </w:r>
          </w:p>
          <w:p w14:paraId="0AD7082F" w14:textId="1B6569B0" w:rsidR="00440B56" w:rsidRPr="00440B56" w:rsidRDefault="0091306F" w:rsidP="00FE01D7">
            <w:pPr>
              <w:pStyle w:val="Bullet1"/>
            </w:pPr>
            <w:r w:rsidRPr="00440B56">
              <w:t xml:space="preserve">Includes communication with other health professionals </w:t>
            </w:r>
            <w:r w:rsidR="00253C4A">
              <w:t xml:space="preserve">and </w:t>
            </w:r>
            <w:r w:rsidRPr="00440B56">
              <w:t>will generally occur over the phone or may involve either phone or face-to-face contact with potential client’s and/or their carers/families.</w:t>
            </w:r>
          </w:p>
          <w:p w14:paraId="2F7601AD" w14:textId="5BE09B05" w:rsidR="00AC3F17" w:rsidRPr="002D3E6B" w:rsidRDefault="0091306F" w:rsidP="001355B8">
            <w:pPr>
              <w:pStyle w:val="Tabletext"/>
            </w:pPr>
            <w:r w:rsidRPr="00EB038E">
              <w:t xml:space="preserve">Excluded from reporting are contacts with client’s and their carers/families for administrative purposes </w:t>
            </w:r>
            <w:r w:rsidR="001F1906" w:rsidRPr="00EB038E">
              <w:t>e.g.,</w:t>
            </w:r>
            <w:r w:rsidRPr="00EB038E">
              <w:t xml:space="preserve"> arranging an appointment, updating client’s record with laboratory results.</w:t>
            </w:r>
          </w:p>
          <w:p w14:paraId="7D9C2A7D" w14:textId="0151855D" w:rsidR="00AC3F17" w:rsidRPr="00E873B3" w:rsidRDefault="00AC3F17" w:rsidP="001355B8">
            <w:pPr>
              <w:pStyle w:val="Tabletext"/>
              <w:rPr>
                <w:b/>
              </w:rPr>
            </w:pPr>
          </w:p>
        </w:tc>
      </w:tr>
      <w:tr w:rsidR="0091306F" w14:paraId="08C04273" w14:textId="77777777" w:rsidTr="0091306F">
        <w:tc>
          <w:tcPr>
            <w:tcW w:w="1701" w:type="dxa"/>
          </w:tcPr>
          <w:p w14:paraId="68E37229" w14:textId="4A903CD4" w:rsidR="0091306F" w:rsidRPr="00AC3F17" w:rsidRDefault="00AC3F17" w:rsidP="0091306F">
            <w:pPr>
              <w:pStyle w:val="Body"/>
              <w:rPr>
                <w:b/>
                <w:bCs/>
              </w:rPr>
            </w:pPr>
            <w:r w:rsidRPr="00AC3F17">
              <w:rPr>
                <w:b/>
                <w:bCs/>
              </w:rPr>
              <w:lastRenderedPageBreak/>
              <w:t>Refer to</w:t>
            </w:r>
          </w:p>
        </w:tc>
        <w:tc>
          <w:tcPr>
            <w:tcW w:w="7587" w:type="dxa"/>
          </w:tcPr>
          <w:p w14:paraId="789F771E" w14:textId="77777777" w:rsidR="0091306F" w:rsidRDefault="0091306F" w:rsidP="00EB60C1">
            <w:pPr>
              <w:pStyle w:val="Tabletext"/>
            </w:pPr>
            <w:r>
              <w:t>METeOR Identifier 583996 Non-admitted patient service event</w:t>
            </w:r>
          </w:p>
          <w:p w14:paraId="18A9AD24" w14:textId="77777777" w:rsidR="0091306F" w:rsidRDefault="0091306F" w:rsidP="00EB60C1">
            <w:pPr>
              <w:pStyle w:val="Tabletext"/>
            </w:pPr>
            <w:r>
              <w:t>Section 2: Client service event (concept definition)</w:t>
            </w:r>
          </w:p>
          <w:p w14:paraId="4063FFA4" w14:textId="77777777" w:rsidR="0091306F" w:rsidRDefault="0091306F" w:rsidP="00EB60C1">
            <w:pPr>
              <w:pStyle w:val="Tabletext"/>
            </w:pPr>
            <w:r>
              <w:t>Section 2: Client service event (derived element)</w:t>
            </w:r>
          </w:p>
          <w:p w14:paraId="57530DF2" w14:textId="77777777" w:rsidR="0091306F" w:rsidRDefault="0091306F" w:rsidP="00EB60C1">
            <w:pPr>
              <w:pStyle w:val="Tabletext"/>
            </w:pPr>
            <w:r>
              <w:t>Section 2: Contact count (derived element)</w:t>
            </w:r>
          </w:p>
          <w:p w14:paraId="284ACED0" w14:textId="77777777" w:rsidR="0091306F" w:rsidRDefault="0091306F" w:rsidP="00EB60C1">
            <w:pPr>
              <w:pStyle w:val="Tabletext"/>
            </w:pPr>
            <w:r>
              <w:t>Section 2: Group session count (derived element)</w:t>
            </w:r>
          </w:p>
          <w:p w14:paraId="58ECC97E" w14:textId="0CD8F7F5" w:rsidR="0091306F" w:rsidRDefault="0091306F" w:rsidP="00E86F93">
            <w:pPr>
              <w:pStyle w:val="Tabletext"/>
              <w:tabs>
                <w:tab w:val="left" w:pos="4420"/>
              </w:tabs>
            </w:pPr>
            <w:r>
              <w:t>Section 2: Patient/Client</w:t>
            </w:r>
          </w:p>
          <w:p w14:paraId="0EFACF01" w14:textId="77777777" w:rsidR="0091306F" w:rsidRDefault="0091306F" w:rsidP="00EB60C1">
            <w:pPr>
              <w:pStyle w:val="Tabletext"/>
            </w:pPr>
            <w:r>
              <w:t>Section 3: Contact client present status</w:t>
            </w:r>
          </w:p>
          <w:p w14:paraId="46E3FFE0" w14:textId="6447D690" w:rsidR="0091306F" w:rsidRDefault="0091306F" w:rsidP="00EB60C1">
            <w:pPr>
              <w:pStyle w:val="Tabletext"/>
            </w:pPr>
            <w:r>
              <w:t xml:space="preserve">Section 3: Contact </w:t>
            </w:r>
            <w:r w:rsidR="0033749E">
              <w:t xml:space="preserve">end </w:t>
            </w:r>
            <w:r>
              <w:t>date/time</w:t>
            </w:r>
          </w:p>
          <w:p w14:paraId="33DC1C27" w14:textId="77777777" w:rsidR="0091306F" w:rsidRDefault="0091306F" w:rsidP="00EB60C1">
            <w:pPr>
              <w:pStyle w:val="Tabletext"/>
            </w:pPr>
            <w:r>
              <w:t>Section 3: Contact delivery mode</w:t>
            </w:r>
          </w:p>
          <w:p w14:paraId="1E30CD9A" w14:textId="77777777" w:rsidR="0091306F" w:rsidRDefault="0091306F" w:rsidP="00EB60C1">
            <w:pPr>
              <w:pStyle w:val="Tabletext"/>
            </w:pPr>
            <w:r>
              <w:t xml:space="preserve">Section 3: Contact delivery setting </w:t>
            </w:r>
          </w:p>
          <w:p w14:paraId="514C40B8" w14:textId="77777777" w:rsidR="0091306F" w:rsidRDefault="0091306F" w:rsidP="00EB60C1">
            <w:pPr>
              <w:pStyle w:val="Tabletext"/>
            </w:pPr>
            <w:r>
              <w:t>Section 3: Contact inpatient flag</w:t>
            </w:r>
          </w:p>
          <w:p w14:paraId="755BC063" w14:textId="77777777" w:rsidR="0091306F" w:rsidRDefault="0091306F" w:rsidP="00EB60C1">
            <w:pPr>
              <w:pStyle w:val="Tabletext"/>
            </w:pPr>
            <w:r>
              <w:t>Section 3: Contact main purpose</w:t>
            </w:r>
          </w:p>
          <w:p w14:paraId="5BF0853B" w14:textId="77777777" w:rsidR="0091306F" w:rsidRDefault="0091306F" w:rsidP="00EB60C1">
            <w:pPr>
              <w:pStyle w:val="Tabletext"/>
            </w:pPr>
            <w:r>
              <w:t>Section 3: Contact professional group</w:t>
            </w:r>
          </w:p>
          <w:p w14:paraId="35341E99" w14:textId="77777777" w:rsidR="0091306F" w:rsidRDefault="0091306F" w:rsidP="00EB60C1">
            <w:pPr>
              <w:pStyle w:val="Tabletext"/>
            </w:pPr>
            <w:r>
              <w:t>Section 3: Contact provider</w:t>
            </w:r>
          </w:p>
          <w:p w14:paraId="2B869838" w14:textId="32FF3F56" w:rsidR="0091306F" w:rsidRDefault="0091306F" w:rsidP="00EB60C1">
            <w:pPr>
              <w:pStyle w:val="Tabletext"/>
            </w:pPr>
            <w:r>
              <w:t>Section 3: Contact session type</w:t>
            </w:r>
          </w:p>
          <w:p w14:paraId="052D84BC" w14:textId="7E2B248A" w:rsidR="0033749E" w:rsidRDefault="0033749E" w:rsidP="00EB60C1">
            <w:pPr>
              <w:pStyle w:val="Tabletext"/>
            </w:pPr>
            <w:r>
              <w:t>Section 3: Contact start date/time</w:t>
            </w:r>
          </w:p>
          <w:p w14:paraId="658A5E81" w14:textId="77777777" w:rsidR="0091306F" w:rsidRDefault="0091306F" w:rsidP="00EB60C1">
            <w:pPr>
              <w:pStyle w:val="Tabletext"/>
            </w:pPr>
            <w:r>
              <w:t>Section 3: Contact specialist palliative care provider</w:t>
            </w:r>
          </w:p>
          <w:p w14:paraId="41F25554" w14:textId="374DC8D4" w:rsidR="0091306F" w:rsidRDefault="0091306F" w:rsidP="001115AB">
            <w:pPr>
              <w:pStyle w:val="Tabletext"/>
            </w:pPr>
            <w:r>
              <w:t>Section 3: Message visit indicator code (transmission data element)</w:t>
            </w:r>
          </w:p>
        </w:tc>
      </w:tr>
    </w:tbl>
    <w:p w14:paraId="32B719D6" w14:textId="76538BC2" w:rsidR="00C114CE" w:rsidRDefault="00C114CE" w:rsidP="00C114CE">
      <w:pPr>
        <w:pStyle w:val="Heading2"/>
      </w:pPr>
      <w:bookmarkStart w:id="18" w:name="_Toc101788756"/>
      <w:bookmarkStart w:id="19" w:name="_Toc43198344"/>
      <w:bookmarkStart w:id="20" w:name="_Toc67035562"/>
      <w:r>
        <w:t>Conservative Management</w:t>
      </w:r>
      <w:bookmarkEnd w:id="18"/>
    </w:p>
    <w:tbl>
      <w:tblPr>
        <w:tblStyle w:val="TableGrid"/>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A0" w:firstRow="1" w:lastRow="0" w:firstColumn="1" w:lastColumn="0" w:noHBand="1" w:noVBand="1"/>
      </w:tblPr>
      <w:tblGrid>
        <w:gridCol w:w="1701"/>
        <w:gridCol w:w="7655"/>
      </w:tblGrid>
      <w:tr w:rsidR="00C114CE" w14:paraId="274D02DD" w14:textId="77777777" w:rsidTr="00E32218">
        <w:tc>
          <w:tcPr>
            <w:tcW w:w="1701" w:type="dxa"/>
          </w:tcPr>
          <w:p w14:paraId="35670095" w14:textId="77777777" w:rsidR="00C114CE" w:rsidRPr="00AF1E2D" w:rsidRDefault="00C114CE" w:rsidP="00E32218">
            <w:pPr>
              <w:pStyle w:val="DHHSbody"/>
              <w:rPr>
                <w:rStyle w:val="Strong"/>
              </w:rPr>
            </w:pPr>
            <w:r w:rsidRPr="00AF1E2D">
              <w:rPr>
                <w:rStyle w:val="Strong"/>
              </w:rPr>
              <w:t>Definition</w:t>
            </w:r>
          </w:p>
        </w:tc>
        <w:tc>
          <w:tcPr>
            <w:tcW w:w="7655" w:type="dxa"/>
          </w:tcPr>
          <w:p w14:paraId="40DB43EC" w14:textId="77777777" w:rsidR="00CA0389" w:rsidRDefault="00C114CE" w:rsidP="00E32218">
            <w:pPr>
              <w:pStyle w:val="DHHSbody"/>
            </w:pPr>
            <w:r w:rsidRPr="003334FC">
              <w:t>Conservative management refers to non-surgical treatment aimed at preserving or improving function, with the intent of delaying or avoiding the need for invasive procedures. It does not refer to the avoidance of invasive procedures as part of palliative care.</w:t>
            </w:r>
          </w:p>
          <w:p w14:paraId="4B8E25CD" w14:textId="005E687D" w:rsidR="00253C4A" w:rsidRDefault="00253C4A" w:rsidP="00E32218">
            <w:pPr>
              <w:pStyle w:val="DHHSbody"/>
            </w:pPr>
          </w:p>
        </w:tc>
      </w:tr>
      <w:tr w:rsidR="00C114CE" w14:paraId="2C6AEAF3" w14:textId="77777777" w:rsidTr="00E32218">
        <w:tc>
          <w:tcPr>
            <w:tcW w:w="1701" w:type="dxa"/>
          </w:tcPr>
          <w:p w14:paraId="5073A682" w14:textId="77777777" w:rsidR="00C114CE" w:rsidRPr="00AF1E2D" w:rsidRDefault="00C114CE" w:rsidP="00E32218">
            <w:pPr>
              <w:pStyle w:val="DHHSbody"/>
              <w:rPr>
                <w:rStyle w:val="Strong"/>
              </w:rPr>
            </w:pPr>
            <w:r w:rsidRPr="00AF1E2D">
              <w:rPr>
                <w:rStyle w:val="Strong"/>
              </w:rPr>
              <w:lastRenderedPageBreak/>
              <w:t>Guide for use</w:t>
            </w:r>
          </w:p>
        </w:tc>
        <w:tc>
          <w:tcPr>
            <w:tcW w:w="7655" w:type="dxa"/>
          </w:tcPr>
          <w:p w14:paraId="1DF22E01" w14:textId="77777777" w:rsidR="00C114CE" w:rsidRDefault="00C114CE" w:rsidP="00E32218">
            <w:pPr>
              <w:pStyle w:val="DHHSbody"/>
            </w:pPr>
            <w:r>
              <w:t xml:space="preserve">Conservative management approaches are a priority for the department alongside the rollout of Safer Care Victoria’s </w:t>
            </w:r>
            <w:r>
              <w:rPr>
                <w:i/>
                <w:iCs/>
              </w:rPr>
              <w:t xml:space="preserve">Best Care </w:t>
            </w:r>
            <w:r>
              <w:t xml:space="preserve">policy. Reporting conservative management allows the department to monitor referrals to conservative management in line with the </w:t>
            </w:r>
            <w:r>
              <w:rPr>
                <w:i/>
                <w:iCs/>
              </w:rPr>
              <w:t xml:space="preserve">Best Care </w:t>
            </w:r>
            <w:r>
              <w:t>policy.</w:t>
            </w:r>
          </w:p>
          <w:p w14:paraId="7FC7BB57" w14:textId="16F3B1A1" w:rsidR="00CA0389" w:rsidRPr="00B30718" w:rsidRDefault="00CA0389" w:rsidP="00E32218">
            <w:pPr>
              <w:pStyle w:val="DHHSbody"/>
            </w:pPr>
          </w:p>
        </w:tc>
      </w:tr>
      <w:tr w:rsidR="00C114CE" w14:paraId="1381B5D7" w14:textId="77777777" w:rsidTr="00E32218">
        <w:tc>
          <w:tcPr>
            <w:tcW w:w="1701" w:type="dxa"/>
          </w:tcPr>
          <w:p w14:paraId="1CC426F3" w14:textId="77777777" w:rsidR="00C114CE" w:rsidRPr="00AF1E2D" w:rsidRDefault="00C114CE" w:rsidP="00E32218">
            <w:pPr>
              <w:pStyle w:val="DHHSbody"/>
              <w:rPr>
                <w:rStyle w:val="Strong"/>
              </w:rPr>
            </w:pPr>
            <w:r w:rsidRPr="00AF1E2D">
              <w:rPr>
                <w:rStyle w:val="Strong"/>
              </w:rPr>
              <w:t>Refer to</w:t>
            </w:r>
          </w:p>
        </w:tc>
        <w:tc>
          <w:tcPr>
            <w:tcW w:w="7655" w:type="dxa"/>
          </w:tcPr>
          <w:p w14:paraId="2C16F45F" w14:textId="77777777" w:rsidR="00C114CE" w:rsidRDefault="00C114CE" w:rsidP="00E32218">
            <w:pPr>
              <w:pStyle w:val="DHHSbody"/>
            </w:pPr>
            <w:r w:rsidRPr="00D91962">
              <w:t xml:space="preserve">Section 3: </w:t>
            </w:r>
            <w:r>
              <w:t>Contact Purpose</w:t>
            </w:r>
          </w:p>
          <w:p w14:paraId="07A9ADEB" w14:textId="77777777" w:rsidR="00C114CE" w:rsidRPr="002A0173" w:rsidRDefault="00C114CE" w:rsidP="00E32218">
            <w:pPr>
              <w:pStyle w:val="DHHSbody"/>
              <w:rPr>
                <w:i/>
                <w:iCs/>
              </w:rPr>
            </w:pPr>
            <w:r>
              <w:t xml:space="preserve">Safer Care Victoria </w:t>
            </w:r>
            <w:r>
              <w:rPr>
                <w:i/>
                <w:iCs/>
              </w:rPr>
              <w:t>Best Care: Guidance for non-urgent elective surgery</w:t>
            </w:r>
          </w:p>
        </w:tc>
      </w:tr>
    </w:tbl>
    <w:p w14:paraId="68A9952D" w14:textId="7E259738" w:rsidR="00C114CE" w:rsidRDefault="00C114CE" w:rsidP="00C114CE">
      <w:pPr>
        <w:pStyle w:val="Heading2"/>
      </w:pPr>
      <w:bookmarkStart w:id="21" w:name="_Toc101788757"/>
      <w:r w:rsidRPr="001F1906">
        <w:t>Complex Care</w:t>
      </w:r>
      <w:r w:rsidRPr="001227EF">
        <w:t xml:space="preserve"> (FCP)</w:t>
      </w:r>
      <w:bookmarkEnd w:id="21"/>
    </w:p>
    <w:tbl>
      <w:tblPr>
        <w:tblStyle w:val="TableGrid"/>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A0" w:firstRow="1" w:lastRow="0" w:firstColumn="1" w:lastColumn="0" w:noHBand="1" w:noVBand="1"/>
      </w:tblPr>
      <w:tblGrid>
        <w:gridCol w:w="1701"/>
        <w:gridCol w:w="8080"/>
      </w:tblGrid>
      <w:tr w:rsidR="00C114CE" w14:paraId="2371F10B" w14:textId="77777777" w:rsidTr="00CA0389">
        <w:tc>
          <w:tcPr>
            <w:tcW w:w="1701" w:type="dxa"/>
          </w:tcPr>
          <w:p w14:paraId="4CCCBBF5" w14:textId="77777777" w:rsidR="00C114CE" w:rsidRPr="00A434C3" w:rsidRDefault="00C114CE" w:rsidP="00E32218">
            <w:pPr>
              <w:pStyle w:val="DHHSbody"/>
              <w:keepNext/>
              <w:keepLines/>
              <w:rPr>
                <w:rStyle w:val="Strong"/>
              </w:rPr>
            </w:pPr>
            <w:r w:rsidRPr="00A434C3">
              <w:rPr>
                <w:rStyle w:val="Strong"/>
              </w:rPr>
              <w:t>Definition</w:t>
            </w:r>
          </w:p>
        </w:tc>
        <w:tc>
          <w:tcPr>
            <w:tcW w:w="8080" w:type="dxa"/>
          </w:tcPr>
          <w:p w14:paraId="65539353" w14:textId="6FB14377" w:rsidR="00C114CE" w:rsidRDefault="00C114CE" w:rsidP="00E32218">
            <w:pPr>
              <w:pStyle w:val="DHHSbody"/>
              <w:keepNext/>
              <w:keepLines/>
            </w:pPr>
            <w:r w:rsidRPr="001F1906">
              <w:t xml:space="preserve">The Complex Care </w:t>
            </w:r>
            <w:r w:rsidR="001115AB">
              <w:t>p</w:t>
            </w:r>
            <w:r w:rsidRPr="001F1906">
              <w:t>rogram, previously known as the Family Choice Program (FCP) is a state-wide program which provides home based support to families of children (0-17) with high levels of complex ongoing medical care needs. The support provided is flexible and tailored to the needs of the child and family</w:t>
            </w:r>
            <w:r w:rsidR="00253C4A">
              <w:t>,</w:t>
            </w:r>
            <w:r w:rsidRPr="001F1906">
              <w:t xml:space="preserve"> based on a care plan</w:t>
            </w:r>
            <w:r w:rsidR="00253C4A">
              <w:t>,</w:t>
            </w:r>
            <w:r w:rsidRPr="001F1906">
              <w:t xml:space="preserve"> to support the high level of ongoing medical care in the home.</w:t>
            </w:r>
          </w:p>
          <w:p w14:paraId="5247B184" w14:textId="77777777" w:rsidR="00C114CE" w:rsidRPr="00F808D2" w:rsidRDefault="00C114CE" w:rsidP="00E32218">
            <w:pPr>
              <w:pStyle w:val="DHHSbody"/>
              <w:keepNext/>
              <w:keepLines/>
            </w:pPr>
          </w:p>
        </w:tc>
      </w:tr>
      <w:tr w:rsidR="00C114CE" w14:paraId="1F4FACC1" w14:textId="77777777" w:rsidTr="00CA0389">
        <w:tc>
          <w:tcPr>
            <w:tcW w:w="1701" w:type="dxa"/>
          </w:tcPr>
          <w:p w14:paraId="6538EF89" w14:textId="77777777" w:rsidR="00C114CE" w:rsidRPr="00A434C3" w:rsidRDefault="00C114CE" w:rsidP="00E32218">
            <w:pPr>
              <w:pStyle w:val="DHHSbody"/>
              <w:rPr>
                <w:rStyle w:val="Strong"/>
              </w:rPr>
            </w:pPr>
            <w:r w:rsidRPr="00A434C3">
              <w:rPr>
                <w:rStyle w:val="Strong"/>
              </w:rPr>
              <w:t>Guide for use</w:t>
            </w:r>
          </w:p>
        </w:tc>
        <w:tc>
          <w:tcPr>
            <w:tcW w:w="8080" w:type="dxa"/>
          </w:tcPr>
          <w:p w14:paraId="544A51FB" w14:textId="7FCAB5ED" w:rsidR="00C114CE" w:rsidRPr="00E32218" w:rsidRDefault="00C114CE" w:rsidP="00E32218">
            <w:pPr>
              <w:pStyle w:val="DHHSbody"/>
            </w:pPr>
            <w:r w:rsidRPr="00E32218">
              <w:t xml:space="preserve">Activity for patient/clients enrolled in </w:t>
            </w:r>
            <w:r w:rsidR="00B7530A">
              <w:t xml:space="preserve">the </w:t>
            </w:r>
            <w:r w:rsidRPr="00E32218">
              <w:t>Complex Care (FCP) program may be collected at either the episode or contact level depending on the</w:t>
            </w:r>
            <w:r w:rsidR="00253C4A">
              <w:t xml:space="preserve"> FCP</w:t>
            </w:r>
            <w:r w:rsidRPr="00E32218">
              <w:t xml:space="preserve"> Stream.</w:t>
            </w:r>
          </w:p>
          <w:p w14:paraId="4237E3A6" w14:textId="77777777" w:rsidR="00C114CE" w:rsidRPr="00DB3128" w:rsidRDefault="00C114CE" w:rsidP="00E32218">
            <w:pPr>
              <w:pStyle w:val="DHHSbody"/>
            </w:pPr>
            <w:r w:rsidRPr="00E32218">
              <w:t xml:space="preserve">For patients receiving </w:t>
            </w:r>
            <w:r w:rsidRPr="00DB3128">
              <w:t>home-based</w:t>
            </w:r>
            <w:r w:rsidRPr="00E32218">
              <w:t xml:space="preserve"> ventilation, an episode is to be opened for the period that the patient/client is responsible for their administration of the treatment and the episode is to be closed when the patient/client ceases home self-administration of their treatment. The department will count one non</w:t>
            </w:r>
            <w:r w:rsidRPr="00E32218">
              <w:noBreakHyphen/>
              <w:t>admitted service event per calendar month for episodes that have been active during the month. No contacts should be reported in this episode.</w:t>
            </w:r>
          </w:p>
          <w:p w14:paraId="75252C7F" w14:textId="77777777" w:rsidR="00C114CE" w:rsidRPr="00FA0A39" w:rsidRDefault="00C114CE" w:rsidP="00E32218">
            <w:pPr>
              <w:pStyle w:val="DHHSbody"/>
            </w:pPr>
            <w:r w:rsidRPr="00E32218">
              <w:t>Complex Care (FCP) funded contacts should be reported under an appropriate Complex Care (FCP) program stream (other than home based ventilation).</w:t>
            </w:r>
          </w:p>
          <w:p w14:paraId="2E28F222" w14:textId="77777777" w:rsidR="00C114CE" w:rsidRPr="001355B8" w:rsidRDefault="00C114CE" w:rsidP="00E32218">
            <w:pPr>
              <w:pStyle w:val="DHHSbody"/>
            </w:pPr>
            <w:r w:rsidRPr="001355B8">
              <w:t>Non FCP funded contacts should be reported separately to the FCP episode to the appropriate program/stream.</w:t>
            </w:r>
          </w:p>
          <w:p w14:paraId="46699D40" w14:textId="333CBD79" w:rsidR="00C114CE" w:rsidRDefault="00C114CE" w:rsidP="00E32218">
            <w:pPr>
              <w:pStyle w:val="DHHSbody"/>
            </w:pPr>
            <w:r w:rsidRPr="001355B8">
              <w:t xml:space="preserve">For example, if a patient has a consultation with a </w:t>
            </w:r>
            <w:r w:rsidR="00E51041">
              <w:t>p</w:t>
            </w:r>
            <w:r w:rsidRPr="001355B8">
              <w:t>hysiotherapist in an outpatient clinic, this should be reported under the ‘OP’ program.</w:t>
            </w:r>
          </w:p>
          <w:p w14:paraId="73DDCEB3" w14:textId="62D2A750" w:rsidR="00CA0389" w:rsidRPr="00A434C3" w:rsidRDefault="00CA0389" w:rsidP="00E32218">
            <w:pPr>
              <w:pStyle w:val="DHHSbody"/>
            </w:pPr>
          </w:p>
        </w:tc>
      </w:tr>
      <w:tr w:rsidR="00CA0389" w14:paraId="69310751" w14:textId="77777777" w:rsidTr="00CA03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701" w:type="dxa"/>
            <w:tcBorders>
              <w:top w:val="nil"/>
              <w:left w:val="nil"/>
              <w:bottom w:val="nil"/>
              <w:right w:val="nil"/>
            </w:tcBorders>
          </w:tcPr>
          <w:p w14:paraId="2509F1A8" w14:textId="77777777" w:rsidR="00CA0389" w:rsidRPr="00574E6E" w:rsidRDefault="00CA0389" w:rsidP="005E74E1">
            <w:pPr>
              <w:pStyle w:val="Tabletext"/>
              <w:rPr>
                <w:rStyle w:val="Strong"/>
              </w:rPr>
            </w:pPr>
            <w:r w:rsidRPr="00574E6E">
              <w:rPr>
                <w:rStyle w:val="Strong"/>
              </w:rPr>
              <w:t xml:space="preserve">Refer to </w:t>
            </w:r>
          </w:p>
        </w:tc>
        <w:tc>
          <w:tcPr>
            <w:tcW w:w="8080" w:type="dxa"/>
            <w:tcBorders>
              <w:top w:val="nil"/>
              <w:left w:val="nil"/>
              <w:bottom w:val="nil"/>
              <w:right w:val="nil"/>
            </w:tcBorders>
          </w:tcPr>
          <w:p w14:paraId="09888FFA" w14:textId="77777777" w:rsidR="00CA0389" w:rsidRPr="00AB67D9" w:rsidRDefault="00CA0389" w:rsidP="005E74E1">
            <w:pPr>
              <w:pStyle w:val="Tabletext"/>
            </w:pPr>
            <w:r w:rsidRPr="00AB67D9">
              <w:t>Section 2: Program</w:t>
            </w:r>
          </w:p>
          <w:p w14:paraId="57082A68" w14:textId="77777777" w:rsidR="00CA0389" w:rsidRPr="00AB67D9" w:rsidRDefault="00CA0389" w:rsidP="005E74E1">
            <w:pPr>
              <w:pStyle w:val="Tabletext"/>
            </w:pPr>
            <w:r w:rsidRPr="00AB67D9">
              <w:t xml:space="preserve">Section 2: Programs reporting to </w:t>
            </w:r>
            <w:r>
              <w:t xml:space="preserve">the </w:t>
            </w:r>
            <w:r w:rsidRPr="00AB67D9">
              <w:t>VINAH</w:t>
            </w:r>
            <w:r>
              <w:t xml:space="preserve"> MDS</w:t>
            </w:r>
          </w:p>
          <w:p w14:paraId="6F4FC7A6" w14:textId="77777777" w:rsidR="00CA0389" w:rsidRPr="00AB67D9" w:rsidRDefault="00CA0389" w:rsidP="005E74E1">
            <w:pPr>
              <w:pStyle w:val="Tabletext"/>
            </w:pPr>
            <w:r w:rsidRPr="00AB67D9">
              <w:t>Section 2: Stream</w:t>
            </w:r>
          </w:p>
          <w:p w14:paraId="62AB0C69" w14:textId="77777777" w:rsidR="00CA0389" w:rsidRPr="00AB67D9" w:rsidRDefault="00CA0389" w:rsidP="005E74E1">
            <w:pPr>
              <w:pStyle w:val="Tabletext"/>
            </w:pPr>
            <w:r w:rsidRPr="00AB67D9">
              <w:t>Section 3: Episode program/stream</w:t>
            </w:r>
          </w:p>
          <w:p w14:paraId="57080191" w14:textId="77777777" w:rsidR="00CA0389" w:rsidRDefault="00CA0389" w:rsidP="005E74E1">
            <w:pPr>
              <w:pStyle w:val="Tabletext"/>
            </w:pPr>
            <w:r w:rsidRPr="00AB67D9">
              <w:t>Section 3: Referral in program/stream</w:t>
            </w:r>
          </w:p>
        </w:tc>
      </w:tr>
    </w:tbl>
    <w:p w14:paraId="52C1DB77" w14:textId="45D52815" w:rsidR="0091306F" w:rsidRDefault="0091306F" w:rsidP="0091306F">
      <w:pPr>
        <w:pStyle w:val="Heading2"/>
      </w:pPr>
      <w:bookmarkStart w:id="22" w:name="_Toc101788758"/>
      <w:r>
        <w:t>Episode</w:t>
      </w:r>
      <w:bookmarkEnd w:id="19"/>
      <w:bookmarkEnd w:id="20"/>
      <w:bookmarkEnd w:id="22"/>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A0" w:firstRow="1" w:lastRow="0" w:firstColumn="1" w:lastColumn="0" w:noHBand="1" w:noVBand="1"/>
      </w:tblPr>
      <w:tblGrid>
        <w:gridCol w:w="1701"/>
        <w:gridCol w:w="7587"/>
      </w:tblGrid>
      <w:tr w:rsidR="0091306F" w14:paraId="5FEAECA2" w14:textId="77777777" w:rsidTr="0091306F">
        <w:tc>
          <w:tcPr>
            <w:tcW w:w="1701" w:type="dxa"/>
          </w:tcPr>
          <w:p w14:paraId="720D4C14" w14:textId="77777777" w:rsidR="0091306F" w:rsidRPr="001355B8" w:rsidRDefault="0091306F" w:rsidP="001355B8">
            <w:pPr>
              <w:pStyle w:val="Tabletext"/>
              <w:rPr>
                <w:rStyle w:val="Strong"/>
              </w:rPr>
            </w:pPr>
            <w:r w:rsidRPr="001355B8">
              <w:rPr>
                <w:rStyle w:val="Strong"/>
              </w:rPr>
              <w:t>Definition</w:t>
            </w:r>
          </w:p>
        </w:tc>
        <w:tc>
          <w:tcPr>
            <w:tcW w:w="7587" w:type="dxa"/>
          </w:tcPr>
          <w:p w14:paraId="7A6BC2C8" w14:textId="77777777" w:rsidR="0091306F" w:rsidRDefault="0091306F" w:rsidP="001355B8">
            <w:pPr>
              <w:pStyle w:val="Tabletext"/>
            </w:pPr>
            <w:r w:rsidRPr="00437099">
              <w:t>An episode is the period during which a patient/client receives services within a defined program and stream.</w:t>
            </w:r>
          </w:p>
          <w:p w14:paraId="032C9208" w14:textId="6EDB9EE6" w:rsidR="00CA0389" w:rsidRDefault="00CA0389" w:rsidP="001355B8">
            <w:pPr>
              <w:pStyle w:val="Tabletext"/>
            </w:pPr>
          </w:p>
        </w:tc>
      </w:tr>
      <w:tr w:rsidR="0091306F" w14:paraId="50774432" w14:textId="77777777" w:rsidTr="0091306F">
        <w:tc>
          <w:tcPr>
            <w:tcW w:w="1701" w:type="dxa"/>
          </w:tcPr>
          <w:p w14:paraId="5284F7BE" w14:textId="77777777" w:rsidR="0091306F" w:rsidRPr="001355B8" w:rsidRDefault="0091306F" w:rsidP="001355B8">
            <w:pPr>
              <w:pStyle w:val="Tabletext"/>
              <w:rPr>
                <w:rStyle w:val="Strong"/>
              </w:rPr>
            </w:pPr>
            <w:r w:rsidRPr="001355B8">
              <w:rPr>
                <w:rStyle w:val="Strong"/>
              </w:rPr>
              <w:lastRenderedPageBreak/>
              <w:t>Guide for use</w:t>
            </w:r>
          </w:p>
        </w:tc>
        <w:tc>
          <w:tcPr>
            <w:tcW w:w="7587" w:type="dxa"/>
          </w:tcPr>
          <w:p w14:paraId="52210C4A" w14:textId="77777777" w:rsidR="0091306F" w:rsidRDefault="0091306F" w:rsidP="00EB60C1">
            <w:pPr>
              <w:pStyle w:val="Tabletext"/>
            </w:pPr>
            <w:r>
              <w:t>An episode:</w:t>
            </w:r>
          </w:p>
          <w:p w14:paraId="58E14BAC" w14:textId="63E25895" w:rsidR="0091306F" w:rsidRPr="00437099" w:rsidRDefault="0091306F" w:rsidP="00EB60C1">
            <w:pPr>
              <w:pStyle w:val="Tablebullet1"/>
            </w:pPr>
            <w:r>
              <w:t xml:space="preserve">is opened </w:t>
            </w:r>
            <w:r w:rsidRPr="00437099">
              <w:t>when an organisation first accepts responsibility for a patient/client. This occurs in response to a referral when it is determined that the referral was appropriate</w:t>
            </w:r>
          </w:p>
          <w:p w14:paraId="5620E8B0" w14:textId="1EC89403" w:rsidR="0091306F" w:rsidRPr="00437099" w:rsidRDefault="0091306F" w:rsidP="00EB60C1">
            <w:pPr>
              <w:pStyle w:val="Tablebullet1"/>
            </w:pPr>
            <w:r w:rsidRPr="00437099">
              <w:t xml:space="preserve">will generally contain one or more contacts. However, there may be some situations where cases will be opened and then closed without containing any contacts. For example, the patient/client may die or move away before they can receive a </w:t>
            </w:r>
            <w:r w:rsidR="001F23FE" w:rsidRPr="00437099">
              <w:t>contact or</w:t>
            </w:r>
            <w:r w:rsidRPr="00437099">
              <w:t xml:space="preserve"> contact with the patient/client may otherwise be lost. A patient/client might also decline the services offered</w:t>
            </w:r>
          </w:p>
          <w:p w14:paraId="478B94A9" w14:textId="77777777" w:rsidR="0091306F" w:rsidRDefault="0091306F" w:rsidP="00EB60C1">
            <w:pPr>
              <w:pStyle w:val="Tablebullet1"/>
            </w:pPr>
            <w:r w:rsidRPr="00437099">
              <w:t>is one of the</w:t>
            </w:r>
            <w:r>
              <w:t xml:space="preserve"> building blocks from which a case is derived</w:t>
            </w:r>
          </w:p>
          <w:p w14:paraId="50D2E060" w14:textId="0FE2E998" w:rsidR="0091306F" w:rsidRDefault="0091306F" w:rsidP="00EB60C1">
            <w:pPr>
              <w:pStyle w:val="Tablebullet1"/>
            </w:pPr>
            <w:r>
              <w:t>is closed when the criteria for keeping the patient/client in the program is no longer met (this may differ between programs)</w:t>
            </w:r>
          </w:p>
          <w:p w14:paraId="44F69991" w14:textId="77777777" w:rsidR="0091306F" w:rsidRDefault="0091306F" w:rsidP="00253C4A">
            <w:pPr>
              <w:pStyle w:val="Tablebullet1"/>
              <w:numPr>
                <w:ilvl w:val="0"/>
                <w:numId w:val="0"/>
              </w:numPr>
            </w:pPr>
            <w:r>
              <w:t>The department will, for some accountability purposes, 'roll-up' multiple episodes for a patient where more than one episode is open for the same program stream at the same time. This 'roll-up' is an example of the 'Case' concept.</w:t>
            </w:r>
          </w:p>
          <w:p w14:paraId="0085B18A" w14:textId="38669C4B" w:rsidR="00AC3F17" w:rsidRDefault="0091306F" w:rsidP="00EB60C1">
            <w:pPr>
              <w:pStyle w:val="Tabletext"/>
            </w:pPr>
            <w:r>
              <w:t>When rolling up overlapping episodes, values of data elements will usually take either the value from the episode with the earliest Episode Start Date or the value from the episode with the latest Episode End Date.</w:t>
            </w:r>
          </w:p>
          <w:p w14:paraId="75245426" w14:textId="77777777" w:rsidR="0091306F" w:rsidRDefault="0091306F" w:rsidP="00EB60C1">
            <w:pPr>
              <w:pStyle w:val="Tabletext"/>
            </w:pPr>
            <w:r>
              <w:t>The following data elements will take their value from the episode with the earliest Episode Start Date:</w:t>
            </w:r>
          </w:p>
          <w:p w14:paraId="0DBD1AA9" w14:textId="77777777" w:rsidR="0091306F" w:rsidRDefault="0091306F" w:rsidP="00EB60C1">
            <w:pPr>
              <w:pStyle w:val="Tablebullet1"/>
            </w:pPr>
            <w:r>
              <w:t>Episode Start Date</w:t>
            </w:r>
          </w:p>
          <w:p w14:paraId="2AB48BC1" w14:textId="77777777" w:rsidR="0091306F" w:rsidRDefault="0091306F" w:rsidP="00EB60C1">
            <w:pPr>
              <w:pStyle w:val="Tablebullet1"/>
            </w:pPr>
            <w:r>
              <w:t>Episode Identifier</w:t>
            </w:r>
          </w:p>
          <w:p w14:paraId="6B623417" w14:textId="77777777" w:rsidR="0091306F" w:rsidRDefault="0091306F" w:rsidP="00EB60C1">
            <w:pPr>
              <w:pStyle w:val="Tablebullet1"/>
            </w:pPr>
            <w:r>
              <w:t>Episode Campus Code</w:t>
            </w:r>
          </w:p>
          <w:p w14:paraId="31755369" w14:textId="77777777" w:rsidR="0091306F" w:rsidRDefault="0091306F" w:rsidP="00EB60C1">
            <w:pPr>
              <w:pStyle w:val="Tablebullet1"/>
            </w:pPr>
            <w:r>
              <w:t>Episode Care Plan Documented Date</w:t>
            </w:r>
          </w:p>
          <w:p w14:paraId="7D0DC320" w14:textId="77777777" w:rsidR="0091306F" w:rsidRDefault="0091306F" w:rsidP="00EB60C1">
            <w:pPr>
              <w:pStyle w:val="Tablebullet1"/>
            </w:pPr>
            <w:r>
              <w:t>Referral In Elements</w:t>
            </w:r>
          </w:p>
          <w:p w14:paraId="1403969E" w14:textId="77777777" w:rsidR="0091306F" w:rsidRDefault="0091306F" w:rsidP="00EB60C1">
            <w:pPr>
              <w:pStyle w:val="Tablebullet1"/>
            </w:pPr>
            <w:r>
              <w:t>Episode Impairment Onset Date</w:t>
            </w:r>
          </w:p>
          <w:p w14:paraId="68B5E5C4" w14:textId="77777777" w:rsidR="0091306F" w:rsidRDefault="0091306F" w:rsidP="00EB60C1">
            <w:pPr>
              <w:pStyle w:val="Tablebullet1"/>
            </w:pPr>
            <w:r>
              <w:t>Episode Hospital Discharge Date</w:t>
            </w:r>
          </w:p>
          <w:p w14:paraId="253C7D27" w14:textId="77777777" w:rsidR="0091306F" w:rsidRDefault="0091306F" w:rsidP="00EB60C1">
            <w:pPr>
              <w:pStyle w:val="Tablebullet1"/>
            </w:pPr>
            <w:r>
              <w:t>Episode First Appointment Booked Date</w:t>
            </w:r>
          </w:p>
          <w:p w14:paraId="1C99F8B1" w14:textId="77777777" w:rsidR="0091306F" w:rsidRDefault="0091306F" w:rsidP="00EB60C1">
            <w:pPr>
              <w:pStyle w:val="Tablebullet1"/>
            </w:pPr>
            <w:r>
              <w:t>Episode Patient/Client Notified of First Appointment Date</w:t>
            </w:r>
          </w:p>
          <w:p w14:paraId="59E668A1" w14:textId="77777777" w:rsidR="0091306F" w:rsidRDefault="0091306F" w:rsidP="00EB60C1">
            <w:pPr>
              <w:pStyle w:val="Tablebullet1"/>
            </w:pPr>
            <w:r>
              <w:t xml:space="preserve">Episode Health Conditions. </w:t>
            </w:r>
          </w:p>
          <w:p w14:paraId="7748C984" w14:textId="40D8FE66" w:rsidR="0091306F" w:rsidRDefault="0091306F" w:rsidP="001F1906">
            <w:pPr>
              <w:pStyle w:val="Tabletext"/>
            </w:pPr>
            <w:r w:rsidRPr="001F1906">
              <w:rPr>
                <w:rStyle w:val="FigurecaptionChar"/>
              </w:rPr>
              <w:t>Note:</w:t>
            </w:r>
            <w:r>
              <w:t xml:space="preserve"> Episode Health Condition(s) with Observation Sequence Number 1 will be taken as </w:t>
            </w:r>
            <w:r w:rsidR="00253C4A">
              <w:t xml:space="preserve">the </w:t>
            </w:r>
            <w:r>
              <w:t>main Episode (Case) Health Condition (</w:t>
            </w:r>
            <w:r w:rsidR="001F1906">
              <w:t>i.e.</w:t>
            </w:r>
            <w:r>
              <w:t xml:space="preserve"> will have Observation Sequence 1). All other Episode Health Condition(s) values will be assigned an unspecified sequence within the data element, following removal of any duplicate values.</w:t>
            </w:r>
          </w:p>
          <w:p w14:paraId="3E67D5C6" w14:textId="77777777" w:rsidR="0091306F" w:rsidRDefault="0091306F" w:rsidP="00EB60C1">
            <w:pPr>
              <w:pStyle w:val="Tabletext"/>
            </w:pPr>
            <w:r>
              <w:t>The following data elements will take their value from the episode with the latest Episode End Date:</w:t>
            </w:r>
          </w:p>
          <w:p w14:paraId="3080DA7B" w14:textId="77777777" w:rsidR="0091306F" w:rsidRDefault="0091306F" w:rsidP="00EB60C1">
            <w:pPr>
              <w:pStyle w:val="Tablebullet1"/>
            </w:pPr>
            <w:r>
              <w:t>Episode End Date</w:t>
            </w:r>
          </w:p>
          <w:p w14:paraId="5A4A7A72" w14:textId="77777777" w:rsidR="0091306F" w:rsidRDefault="0091306F" w:rsidP="00EB60C1">
            <w:pPr>
              <w:pStyle w:val="Tablebullet1"/>
            </w:pPr>
            <w:r>
              <w:t>Episode Proposed Treatment Plan Completion.</w:t>
            </w:r>
          </w:p>
          <w:p w14:paraId="41F9DB80" w14:textId="40E801F5" w:rsidR="0091306F" w:rsidRDefault="0091306F" w:rsidP="00EB60C1">
            <w:pPr>
              <w:pStyle w:val="Tabletext"/>
            </w:pPr>
            <w:r>
              <w:t xml:space="preserve">It is important to note that the department will report back to the health services about </w:t>
            </w:r>
            <w:r w:rsidR="00253C4A">
              <w:t>c</w:t>
            </w:r>
            <w:r>
              <w:t xml:space="preserve">ases after the </w:t>
            </w:r>
            <w:r w:rsidR="00253C4A">
              <w:t>e</w:t>
            </w:r>
            <w:r>
              <w:t xml:space="preserve">pisode roll-up functionality has been applied, thus there may be differences in data within health services' internal systems and the </w:t>
            </w:r>
            <w:r w:rsidR="00253C4A">
              <w:t>c</w:t>
            </w:r>
            <w:r>
              <w:t xml:space="preserve">ase data reported for accountability purposes. Further, this </w:t>
            </w:r>
            <w:r w:rsidR="00253C4A">
              <w:t>c</w:t>
            </w:r>
            <w:r>
              <w:t>ase data may change over time as overlapping episodes are closed. Consequently, health services may wish to consider developing internal reporting to duplicate the above roll-up rules.</w:t>
            </w:r>
          </w:p>
          <w:p w14:paraId="7648587A" w14:textId="131C5BC9" w:rsidR="00CA0389" w:rsidRDefault="00CA0389" w:rsidP="00EB60C1">
            <w:pPr>
              <w:pStyle w:val="Tabletext"/>
            </w:pPr>
          </w:p>
        </w:tc>
      </w:tr>
      <w:tr w:rsidR="0091306F" w14:paraId="591D41CD" w14:textId="77777777" w:rsidTr="0091306F">
        <w:tc>
          <w:tcPr>
            <w:tcW w:w="1701" w:type="dxa"/>
          </w:tcPr>
          <w:p w14:paraId="0A800005" w14:textId="77777777" w:rsidR="0091306F" w:rsidRPr="001355B8" w:rsidRDefault="0091306F" w:rsidP="001355B8">
            <w:pPr>
              <w:pStyle w:val="Tabletext"/>
              <w:rPr>
                <w:rStyle w:val="Strong"/>
              </w:rPr>
            </w:pPr>
            <w:r w:rsidRPr="001355B8">
              <w:rPr>
                <w:rStyle w:val="Strong"/>
              </w:rPr>
              <w:lastRenderedPageBreak/>
              <w:t xml:space="preserve">Refer to </w:t>
            </w:r>
          </w:p>
        </w:tc>
        <w:tc>
          <w:tcPr>
            <w:tcW w:w="7587" w:type="dxa"/>
          </w:tcPr>
          <w:p w14:paraId="6B8D68BA" w14:textId="77777777" w:rsidR="0091306F" w:rsidRPr="005902A0" w:rsidRDefault="0091306F" w:rsidP="001355B8">
            <w:pPr>
              <w:pStyle w:val="Tabletext"/>
            </w:pPr>
            <w:r>
              <w:t>Section 2: Case (concept d</w:t>
            </w:r>
            <w:r w:rsidRPr="005902A0">
              <w:t>efinition)</w:t>
            </w:r>
          </w:p>
          <w:p w14:paraId="2AF78828" w14:textId="77777777" w:rsidR="0091306F" w:rsidRDefault="0091306F" w:rsidP="001355B8">
            <w:pPr>
              <w:pStyle w:val="Tabletext"/>
            </w:pPr>
            <w:r>
              <w:t>Section 2: Case e</w:t>
            </w:r>
            <w:r w:rsidRPr="005902A0">
              <w:t xml:space="preserve">nd </w:t>
            </w:r>
            <w:r>
              <w:t>d</w:t>
            </w:r>
            <w:r w:rsidRPr="005902A0">
              <w:t>ate (</w:t>
            </w:r>
            <w:r>
              <w:t>derived e</w:t>
            </w:r>
            <w:r w:rsidRPr="005902A0">
              <w:t>lement)</w:t>
            </w:r>
          </w:p>
          <w:p w14:paraId="752F1F40" w14:textId="77777777" w:rsidR="0091306F" w:rsidRPr="005902A0" w:rsidRDefault="0091306F" w:rsidP="001355B8">
            <w:pPr>
              <w:pStyle w:val="Tabletext"/>
            </w:pPr>
            <w:r>
              <w:t>Section 2: Case s</w:t>
            </w:r>
            <w:r w:rsidRPr="005902A0">
              <w:t xml:space="preserve">tart </w:t>
            </w:r>
            <w:r>
              <w:t>d</w:t>
            </w:r>
            <w:r w:rsidRPr="005902A0">
              <w:t>ate (</w:t>
            </w:r>
            <w:r>
              <w:t>derived e</w:t>
            </w:r>
            <w:r w:rsidRPr="005902A0">
              <w:t>lement)</w:t>
            </w:r>
          </w:p>
          <w:p w14:paraId="2BCEC759" w14:textId="77777777" w:rsidR="0091306F" w:rsidRPr="005902A0" w:rsidRDefault="0091306F" w:rsidP="001355B8">
            <w:pPr>
              <w:pStyle w:val="Tabletext"/>
            </w:pPr>
            <w:r w:rsidRPr="005902A0">
              <w:t xml:space="preserve">Section 2: Referral </w:t>
            </w:r>
            <w:r>
              <w:t>p</w:t>
            </w:r>
            <w:r w:rsidRPr="005902A0">
              <w:t>rocess</w:t>
            </w:r>
          </w:p>
          <w:p w14:paraId="36C266CB" w14:textId="77777777" w:rsidR="0091306F" w:rsidRPr="005902A0" w:rsidRDefault="0091306F" w:rsidP="001355B8">
            <w:pPr>
              <w:pStyle w:val="Tabletext"/>
            </w:pPr>
            <w:r w:rsidRPr="005902A0">
              <w:t>Section 2: Program</w:t>
            </w:r>
          </w:p>
          <w:p w14:paraId="5AEE3BD5" w14:textId="77777777" w:rsidR="0091306F" w:rsidRPr="005902A0" w:rsidRDefault="0091306F" w:rsidP="001355B8">
            <w:pPr>
              <w:pStyle w:val="Tabletext"/>
            </w:pPr>
            <w:r>
              <w:t>Section 3: Episode e</w:t>
            </w:r>
            <w:r w:rsidRPr="005902A0">
              <w:t xml:space="preserve">nd </w:t>
            </w:r>
            <w:r>
              <w:t>d</w:t>
            </w:r>
            <w:r w:rsidRPr="005902A0">
              <w:t>ate</w:t>
            </w:r>
          </w:p>
          <w:p w14:paraId="007A3C2A" w14:textId="77777777" w:rsidR="0091306F" w:rsidRPr="005902A0" w:rsidRDefault="0091306F" w:rsidP="001355B8">
            <w:pPr>
              <w:pStyle w:val="Tabletext"/>
            </w:pPr>
            <w:r w:rsidRPr="005902A0">
              <w:t xml:space="preserve">Section 3: Episode </w:t>
            </w:r>
            <w:r>
              <w:t>p</w:t>
            </w:r>
            <w:r w:rsidRPr="005902A0">
              <w:t>rogram/</w:t>
            </w:r>
            <w:r>
              <w:t>s</w:t>
            </w:r>
            <w:r w:rsidRPr="005902A0">
              <w:t>tream</w:t>
            </w:r>
          </w:p>
          <w:p w14:paraId="6C62CC4E" w14:textId="77777777" w:rsidR="0091306F" w:rsidRPr="005902A0" w:rsidRDefault="0091306F" w:rsidP="001355B8">
            <w:pPr>
              <w:pStyle w:val="Tabletext"/>
            </w:pPr>
            <w:r w:rsidRPr="005902A0">
              <w:t xml:space="preserve">Section 3: Episode </w:t>
            </w:r>
            <w:r>
              <w:t>s</w:t>
            </w:r>
            <w:r w:rsidRPr="005902A0">
              <w:t xml:space="preserve">tart </w:t>
            </w:r>
            <w:r>
              <w:t>d</w:t>
            </w:r>
            <w:r w:rsidRPr="005902A0">
              <w:t>ate</w:t>
            </w:r>
          </w:p>
          <w:p w14:paraId="2544BD42" w14:textId="436BEBAA" w:rsidR="00AC3F17" w:rsidRDefault="0091306F" w:rsidP="001355B8">
            <w:pPr>
              <w:pStyle w:val="Tabletext"/>
            </w:pPr>
            <w:r>
              <w:t>Section 3: Message visit i</w:t>
            </w:r>
            <w:r w:rsidRPr="005902A0">
              <w:t xml:space="preserve">ndicator </w:t>
            </w:r>
            <w:r>
              <w:t>c</w:t>
            </w:r>
            <w:r w:rsidRPr="005902A0">
              <w:t>ode (</w:t>
            </w:r>
            <w:r>
              <w:t>t</w:t>
            </w:r>
            <w:r w:rsidRPr="005902A0">
              <w:t xml:space="preserve">ransmission </w:t>
            </w:r>
            <w:r>
              <w:t>d</w:t>
            </w:r>
            <w:r w:rsidRPr="005902A0">
              <w:t xml:space="preserve">ata </w:t>
            </w:r>
            <w:r>
              <w:t>e</w:t>
            </w:r>
            <w:r w:rsidRPr="005902A0">
              <w:t>lement)</w:t>
            </w:r>
          </w:p>
        </w:tc>
      </w:tr>
    </w:tbl>
    <w:p w14:paraId="16840D75" w14:textId="77777777" w:rsidR="0091306F" w:rsidRDefault="0091306F" w:rsidP="0091306F">
      <w:pPr>
        <w:pStyle w:val="Heading2"/>
      </w:pPr>
      <w:bookmarkStart w:id="23" w:name="_Toc43198346"/>
      <w:bookmarkStart w:id="24" w:name="_Toc67035564"/>
      <w:bookmarkStart w:id="25" w:name="_Toc101788759"/>
      <w:r>
        <w:t>Group sessions</w:t>
      </w:r>
      <w:bookmarkEnd w:id="23"/>
      <w:bookmarkEnd w:id="24"/>
      <w:bookmarkEnd w:id="25"/>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7587"/>
      </w:tblGrid>
      <w:tr w:rsidR="0091306F" w14:paraId="06D9052B" w14:textId="77777777" w:rsidTr="0091306F">
        <w:tc>
          <w:tcPr>
            <w:tcW w:w="1701" w:type="dxa"/>
          </w:tcPr>
          <w:p w14:paraId="63050C21" w14:textId="77777777" w:rsidR="0091306F" w:rsidRPr="00574E6E" w:rsidRDefault="0091306F" w:rsidP="00574E6E">
            <w:pPr>
              <w:pStyle w:val="Tabletext"/>
              <w:rPr>
                <w:rStyle w:val="Strong"/>
              </w:rPr>
            </w:pPr>
            <w:r w:rsidRPr="00574E6E">
              <w:rPr>
                <w:rStyle w:val="Strong"/>
              </w:rPr>
              <w:t>Definition</w:t>
            </w:r>
          </w:p>
        </w:tc>
        <w:tc>
          <w:tcPr>
            <w:tcW w:w="7587" w:type="dxa"/>
          </w:tcPr>
          <w:p w14:paraId="10A21234" w14:textId="77777777" w:rsidR="0091306F" w:rsidRDefault="0091306F" w:rsidP="00574E6E">
            <w:pPr>
              <w:pStyle w:val="Tabletext"/>
            </w:pPr>
            <w:r w:rsidRPr="0031469D">
              <w:t>A group session is defined as two or more patients/clients receiving services as part of a group program or group individual program that occurs on the same date from the same clinician/s at the same location.</w:t>
            </w:r>
          </w:p>
          <w:p w14:paraId="53AF4AE5" w14:textId="3BBE5A7C" w:rsidR="00CA0389" w:rsidRDefault="00CA0389" w:rsidP="00574E6E">
            <w:pPr>
              <w:pStyle w:val="Tabletext"/>
            </w:pPr>
          </w:p>
        </w:tc>
      </w:tr>
      <w:tr w:rsidR="0091306F" w14:paraId="6755CA22" w14:textId="77777777" w:rsidTr="0091306F">
        <w:tc>
          <w:tcPr>
            <w:tcW w:w="1701" w:type="dxa"/>
          </w:tcPr>
          <w:p w14:paraId="4EA7EB28" w14:textId="77777777" w:rsidR="0091306F" w:rsidRPr="00574E6E" w:rsidRDefault="0091306F" w:rsidP="00574E6E">
            <w:pPr>
              <w:pStyle w:val="Tabletext"/>
              <w:rPr>
                <w:rStyle w:val="Strong"/>
              </w:rPr>
            </w:pPr>
            <w:r w:rsidRPr="00574E6E">
              <w:rPr>
                <w:rStyle w:val="Strong"/>
              </w:rPr>
              <w:t>Guide for use</w:t>
            </w:r>
          </w:p>
        </w:tc>
        <w:tc>
          <w:tcPr>
            <w:tcW w:w="7587" w:type="dxa"/>
          </w:tcPr>
          <w:p w14:paraId="1AF541A3" w14:textId="77777777" w:rsidR="0091306F" w:rsidRPr="0031469D" w:rsidRDefault="0091306F" w:rsidP="00574E6E">
            <w:pPr>
              <w:pStyle w:val="Tabletext"/>
            </w:pPr>
            <w:r>
              <w:t xml:space="preserve">In practice, this should be interpreted to mean that patients/clients are receiving precisely the same </w:t>
            </w:r>
            <w:r w:rsidRPr="0031469D">
              <w:t>services, for example, a movement class or a chronic disease education class, where all participants are following the same intervention on the same date and/or where the group nature of the activity is conceived as part of the benefit to the patient/client.</w:t>
            </w:r>
          </w:p>
          <w:p w14:paraId="4DE3D777" w14:textId="77777777" w:rsidR="0091306F" w:rsidRPr="0031469D" w:rsidRDefault="0091306F" w:rsidP="00574E6E">
            <w:pPr>
              <w:pStyle w:val="Tabletext"/>
            </w:pPr>
            <w:r w:rsidRPr="0031469D">
              <w:t>In situations where a clinician/s is working one-on-one with several different patients/clients at the same location, the same date and each patient/client is following their own personalised program (for example, in a physiotherapy gym in a CRC), each of these clients should be coded as having a Contact Session Type of ‘4 – Group Individual Program’ as the services provided to each patient/client are not the ‘same’ but rather individualised programs.</w:t>
            </w:r>
          </w:p>
          <w:p w14:paraId="38CDD47C" w14:textId="77777777" w:rsidR="0091306F" w:rsidRPr="0031469D" w:rsidRDefault="0091306F" w:rsidP="00574E6E">
            <w:pPr>
              <w:pStyle w:val="Tabletext"/>
            </w:pPr>
            <w:r w:rsidRPr="0031469D">
              <w:t>Note that providing care to a patient/client can encompass the provision of services (for example, counselling, education) to the patient/client’s carer(s) and family, whether or not the patient/client is present when these services are delivered.  The carer/family member is not, in these situations, considered to be a patient/client in their own right. Thus, for example, if a single patient/client and several members of their family were the only attendees at a centre-based contact, the Contact Session Type coded for that contact would still be '1- Individual'.</w:t>
            </w:r>
          </w:p>
          <w:p w14:paraId="4B5D743C" w14:textId="020944A8" w:rsidR="0091306F" w:rsidRPr="0031469D" w:rsidRDefault="0091306F" w:rsidP="00574E6E">
            <w:pPr>
              <w:pStyle w:val="Tabletext"/>
            </w:pPr>
            <w:r w:rsidRPr="0031469D">
              <w:t>Only one Contact Session Type can be reported for a single contact.</w:t>
            </w:r>
          </w:p>
          <w:p w14:paraId="32A798B3" w14:textId="555CE55F" w:rsidR="0091306F" w:rsidRDefault="0091306F" w:rsidP="00574E6E">
            <w:pPr>
              <w:pStyle w:val="Tabletext"/>
            </w:pPr>
            <w:r w:rsidRPr="0031469D">
              <w:t xml:space="preserve">Should a patient/client receive care in both individual and group settings within a single attendance, this must be reported as two separate contacts. </w:t>
            </w:r>
            <w:r w:rsidR="00CA0389">
              <w:t>That is, o</w:t>
            </w:r>
            <w:r w:rsidRPr="0031469D">
              <w:t>ne contact for ‘Group – group program’ and one contact for ‘Group –individual program’. Multiple session types cannot be reported within a single contact.</w:t>
            </w:r>
          </w:p>
          <w:p w14:paraId="5B40FDCF" w14:textId="0BB4D04C" w:rsidR="00CA0389" w:rsidRDefault="00CA0389" w:rsidP="00574E6E">
            <w:pPr>
              <w:pStyle w:val="Tabletext"/>
            </w:pPr>
          </w:p>
        </w:tc>
      </w:tr>
      <w:tr w:rsidR="0091306F" w14:paraId="5132B58C" w14:textId="77777777" w:rsidTr="0091306F">
        <w:tc>
          <w:tcPr>
            <w:tcW w:w="1701" w:type="dxa"/>
          </w:tcPr>
          <w:p w14:paraId="613875AF" w14:textId="77777777" w:rsidR="0091306F" w:rsidRPr="00574E6E" w:rsidRDefault="0091306F" w:rsidP="00574E6E">
            <w:pPr>
              <w:pStyle w:val="Tabletext"/>
              <w:rPr>
                <w:rStyle w:val="Strong"/>
              </w:rPr>
            </w:pPr>
            <w:r w:rsidRPr="00574E6E">
              <w:rPr>
                <w:rStyle w:val="Strong"/>
              </w:rPr>
              <w:t xml:space="preserve">Refer to </w:t>
            </w:r>
          </w:p>
        </w:tc>
        <w:tc>
          <w:tcPr>
            <w:tcW w:w="7587" w:type="dxa"/>
          </w:tcPr>
          <w:p w14:paraId="4E0793AA" w14:textId="77777777" w:rsidR="0091306F" w:rsidRDefault="0091306F" w:rsidP="00574E6E">
            <w:pPr>
              <w:pStyle w:val="Tabletext"/>
            </w:pPr>
            <w:r>
              <w:t>Section 2: Group session count (derived element)</w:t>
            </w:r>
          </w:p>
          <w:p w14:paraId="13B8B97A" w14:textId="77777777" w:rsidR="0091306F" w:rsidRDefault="0091306F" w:rsidP="00574E6E">
            <w:pPr>
              <w:pStyle w:val="Tabletext"/>
            </w:pPr>
            <w:r>
              <w:t>Section 2: Patient/Client</w:t>
            </w:r>
          </w:p>
          <w:p w14:paraId="30B03332" w14:textId="77777777" w:rsidR="0091306F" w:rsidRDefault="0091306F" w:rsidP="00574E6E">
            <w:pPr>
              <w:pStyle w:val="Tabletext"/>
            </w:pPr>
            <w:r>
              <w:t>Section 3: Contact date/time</w:t>
            </w:r>
          </w:p>
          <w:p w14:paraId="72A8CFA4" w14:textId="77777777" w:rsidR="0091306F" w:rsidRDefault="0091306F" w:rsidP="00574E6E">
            <w:pPr>
              <w:pStyle w:val="Tabletext"/>
            </w:pPr>
            <w:r>
              <w:t>Section 3: Contact session type</w:t>
            </w:r>
          </w:p>
        </w:tc>
      </w:tr>
    </w:tbl>
    <w:p w14:paraId="2FB5502A" w14:textId="5C40CD8A" w:rsidR="00574E6E" w:rsidRDefault="00B77036" w:rsidP="003D33C7">
      <w:pPr>
        <w:pStyle w:val="Heading2"/>
      </w:pPr>
      <w:bookmarkStart w:id="26" w:name="_Toc101788760"/>
      <w:bookmarkStart w:id="27" w:name="_Toc43198347"/>
      <w:r w:rsidRPr="00390BBA">
        <w:lastRenderedPageBreak/>
        <w:t>Home Based Dialysis</w:t>
      </w:r>
      <w:r w:rsidR="00A206BC">
        <w:t xml:space="preserve"> (HBD)</w:t>
      </w:r>
      <w:bookmarkEnd w:id="26"/>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7587"/>
      </w:tblGrid>
      <w:tr w:rsidR="00574E6E" w14:paraId="643D064F" w14:textId="77777777" w:rsidTr="00EF5563">
        <w:tc>
          <w:tcPr>
            <w:tcW w:w="1701" w:type="dxa"/>
          </w:tcPr>
          <w:p w14:paraId="59D12D01" w14:textId="77777777" w:rsidR="00574E6E" w:rsidRPr="00EB60C1" w:rsidRDefault="00574E6E" w:rsidP="00EF5563">
            <w:pPr>
              <w:pStyle w:val="Tabletext"/>
              <w:rPr>
                <w:rStyle w:val="Strong"/>
              </w:rPr>
            </w:pPr>
            <w:r w:rsidRPr="00EB60C1">
              <w:rPr>
                <w:rStyle w:val="Strong"/>
              </w:rPr>
              <w:t>Definition</w:t>
            </w:r>
          </w:p>
        </w:tc>
        <w:tc>
          <w:tcPr>
            <w:tcW w:w="7587" w:type="dxa"/>
          </w:tcPr>
          <w:p w14:paraId="67150E58" w14:textId="67D85E6B" w:rsidR="00A206BC" w:rsidRPr="00B77036" w:rsidRDefault="00A206BC" w:rsidP="00A206BC">
            <w:pPr>
              <w:pStyle w:val="Body"/>
            </w:pPr>
            <w:r w:rsidRPr="00B77036">
              <w:t>Dialysis undertaken by patients in their own homes for the treatment of end stage kidney disease. There are two modalities used</w:t>
            </w:r>
            <w:r w:rsidR="00F1004F">
              <w:t>:</w:t>
            </w:r>
            <w:r w:rsidRPr="00B77036">
              <w:t xml:space="preserve"> home haemodialysis (HHD) and home peritoneal dialysis (HPD).</w:t>
            </w:r>
          </w:p>
          <w:p w14:paraId="446C9024" w14:textId="2C97A497" w:rsidR="00574E6E" w:rsidRDefault="00F1004F" w:rsidP="00EF5563">
            <w:pPr>
              <w:pStyle w:val="Tabletext"/>
              <w:rPr>
                <w:rFonts w:eastAsia="Times"/>
              </w:rPr>
            </w:pPr>
            <w:r>
              <w:rPr>
                <w:rFonts w:eastAsia="Times"/>
              </w:rPr>
              <w:t xml:space="preserve">HBD </w:t>
            </w:r>
            <w:r w:rsidR="00A206BC" w:rsidRPr="00B77036">
              <w:rPr>
                <w:rFonts w:eastAsia="Times"/>
              </w:rPr>
              <w:t>is performed by the patient or carer in their home.</w:t>
            </w:r>
          </w:p>
          <w:p w14:paraId="48B85FB9" w14:textId="6299E17E" w:rsidR="00CA0389" w:rsidRPr="005B29E5" w:rsidRDefault="00CA0389" w:rsidP="00EF5563">
            <w:pPr>
              <w:pStyle w:val="Tabletext"/>
              <w:rPr>
                <w:rFonts w:eastAsia="Times"/>
              </w:rPr>
            </w:pPr>
          </w:p>
        </w:tc>
      </w:tr>
      <w:tr w:rsidR="00574E6E" w14:paraId="24EA4EFC" w14:textId="77777777" w:rsidTr="00EF5563">
        <w:tc>
          <w:tcPr>
            <w:tcW w:w="1701" w:type="dxa"/>
          </w:tcPr>
          <w:p w14:paraId="1427F731" w14:textId="77777777" w:rsidR="00574E6E" w:rsidRPr="00EB60C1" w:rsidRDefault="00574E6E" w:rsidP="00EF5563">
            <w:pPr>
              <w:pStyle w:val="Tabletext"/>
              <w:rPr>
                <w:rStyle w:val="Strong"/>
              </w:rPr>
            </w:pPr>
            <w:r w:rsidRPr="00EB60C1">
              <w:rPr>
                <w:rStyle w:val="Strong"/>
              </w:rPr>
              <w:t>Guide for use</w:t>
            </w:r>
          </w:p>
        </w:tc>
        <w:tc>
          <w:tcPr>
            <w:tcW w:w="7587" w:type="dxa"/>
          </w:tcPr>
          <w:p w14:paraId="39E00EAA" w14:textId="4CEC3877" w:rsidR="00A206BC" w:rsidRPr="00DB3128" w:rsidRDefault="00A206BC" w:rsidP="00A206BC">
            <w:pPr>
              <w:pStyle w:val="Body"/>
            </w:pPr>
            <w:r w:rsidRPr="00DB3128">
              <w:t xml:space="preserve">Activity for patient/clients enrolled in the HBD program will be collected at the episode level. An episode is to be opened for the period </w:t>
            </w:r>
            <w:r w:rsidRPr="00A206BC">
              <w:t xml:space="preserve">during which the patient/client is responsible for the administration of home dialysis, the </w:t>
            </w:r>
            <w:r w:rsidR="00F1004F">
              <w:t>HBD</w:t>
            </w:r>
            <w:r w:rsidRPr="00A206BC">
              <w:t xml:space="preserve"> episode stream indicates the mode of dialysis the patient is administering. The episode is to be closed when the patient/client ceases home self-administration of the dialysis mode. </w:t>
            </w:r>
            <w:r w:rsidRPr="00BF179F">
              <w:t>No contacts should be reported in this episode.</w:t>
            </w:r>
          </w:p>
          <w:p w14:paraId="639F567D" w14:textId="17F8F874" w:rsidR="00A206BC" w:rsidRPr="00A206BC" w:rsidRDefault="00A206BC" w:rsidP="00A206BC">
            <w:pPr>
              <w:pStyle w:val="Body"/>
            </w:pPr>
            <w:r w:rsidRPr="00A206BC">
              <w:t>The department will count one non</w:t>
            </w:r>
            <w:r w:rsidR="00F1004F">
              <w:t>-</w:t>
            </w:r>
            <w:r w:rsidRPr="00A206BC">
              <w:t>admitted service event per calendar month for episodes that have been active during the month.</w:t>
            </w:r>
          </w:p>
          <w:p w14:paraId="2CF7F0E3" w14:textId="5DE81256" w:rsidR="00A206BC" w:rsidRPr="00BF179F" w:rsidRDefault="00A206BC" w:rsidP="00A206BC">
            <w:pPr>
              <w:pStyle w:val="Body"/>
            </w:pPr>
            <w:r w:rsidRPr="00BF179F">
              <w:t xml:space="preserve">Contacts provided to support the patient/client’s HBD activity should be reported under the Specialist Clinics </w:t>
            </w:r>
            <w:r w:rsidR="00CA0389">
              <w:t xml:space="preserve">(Outpatients) </w:t>
            </w:r>
            <w:r w:rsidRPr="00BF179F">
              <w:t>Program (OP)</w:t>
            </w:r>
          </w:p>
          <w:p w14:paraId="748C0ACF" w14:textId="77777777" w:rsidR="00AC3F17" w:rsidRDefault="00A206BC" w:rsidP="00574E6E">
            <w:pPr>
              <w:pStyle w:val="Tabletext"/>
            </w:pPr>
            <w:r w:rsidRPr="00DB3128">
              <w:t>For example, if a patient has a consultation with a renal consultant in an outpatient clinic, this sho</w:t>
            </w:r>
            <w:r w:rsidRPr="00A206BC">
              <w:t>uld be reported under the ‘OP’ program.</w:t>
            </w:r>
          </w:p>
          <w:p w14:paraId="2A5F4BC3" w14:textId="13E2881A" w:rsidR="00CA0389" w:rsidRPr="00A206BC" w:rsidRDefault="00CA0389" w:rsidP="00574E6E">
            <w:pPr>
              <w:pStyle w:val="Tabletext"/>
            </w:pPr>
          </w:p>
        </w:tc>
      </w:tr>
      <w:tr w:rsidR="00574E6E" w14:paraId="4AD9F348" w14:textId="77777777" w:rsidTr="00EF5563">
        <w:tc>
          <w:tcPr>
            <w:tcW w:w="1701" w:type="dxa"/>
          </w:tcPr>
          <w:p w14:paraId="4BE4E20A" w14:textId="77777777" w:rsidR="00574E6E" w:rsidRPr="00EB60C1" w:rsidRDefault="00574E6E" w:rsidP="00EF5563">
            <w:pPr>
              <w:pStyle w:val="Tabletext"/>
              <w:rPr>
                <w:rStyle w:val="Strong"/>
              </w:rPr>
            </w:pPr>
            <w:r w:rsidRPr="00EB60C1">
              <w:rPr>
                <w:rStyle w:val="Strong"/>
              </w:rPr>
              <w:t xml:space="preserve">Refer to </w:t>
            </w:r>
          </w:p>
        </w:tc>
        <w:tc>
          <w:tcPr>
            <w:tcW w:w="7587" w:type="dxa"/>
          </w:tcPr>
          <w:p w14:paraId="5B43662E" w14:textId="77777777" w:rsidR="00574E6E" w:rsidRPr="00B77036" w:rsidRDefault="00574E6E" w:rsidP="00DD478C">
            <w:pPr>
              <w:pStyle w:val="Bodynospace"/>
              <w:spacing w:before="80" w:after="60" w:line="240" w:lineRule="auto"/>
              <w:rPr>
                <w:b/>
              </w:rPr>
            </w:pPr>
            <w:r w:rsidRPr="00B77036">
              <w:t>Section 2: Program</w:t>
            </w:r>
          </w:p>
          <w:p w14:paraId="43B3D983" w14:textId="449B1F31" w:rsidR="00574E6E" w:rsidRPr="00B77036" w:rsidRDefault="00574E6E" w:rsidP="00DD478C">
            <w:pPr>
              <w:pStyle w:val="Bodynospace"/>
              <w:spacing w:before="80" w:after="60" w:line="240" w:lineRule="auto"/>
            </w:pPr>
            <w:r w:rsidRPr="00B77036">
              <w:t xml:space="preserve">Section 2: Programs reporting to </w:t>
            </w:r>
            <w:r w:rsidR="00C17A11">
              <w:t xml:space="preserve">the </w:t>
            </w:r>
            <w:r w:rsidRPr="00B77036">
              <w:t>VINAH</w:t>
            </w:r>
            <w:r w:rsidR="00C17A11">
              <w:t xml:space="preserve"> MDS</w:t>
            </w:r>
          </w:p>
          <w:p w14:paraId="65AC5885" w14:textId="77777777" w:rsidR="00574E6E" w:rsidRPr="00B77036" w:rsidRDefault="00574E6E" w:rsidP="00DD478C">
            <w:pPr>
              <w:pStyle w:val="Bodynospace"/>
              <w:spacing w:before="80" w:after="60" w:line="240" w:lineRule="auto"/>
            </w:pPr>
            <w:r w:rsidRPr="00B77036">
              <w:t>Section 2: Stream</w:t>
            </w:r>
          </w:p>
          <w:p w14:paraId="1FCCCFAB" w14:textId="77777777" w:rsidR="00574E6E" w:rsidRPr="00B77036" w:rsidRDefault="00574E6E" w:rsidP="00DD478C">
            <w:pPr>
              <w:pStyle w:val="Bodynospace"/>
              <w:spacing w:before="80" w:after="60" w:line="240" w:lineRule="auto"/>
            </w:pPr>
            <w:r w:rsidRPr="00B77036">
              <w:t>Section 3: Episode program/stream</w:t>
            </w:r>
          </w:p>
          <w:p w14:paraId="276AE4D8" w14:textId="5529541D" w:rsidR="004621AA" w:rsidRPr="00574E6E" w:rsidRDefault="00574E6E" w:rsidP="00DD478C">
            <w:pPr>
              <w:pStyle w:val="Bodynospace"/>
              <w:spacing w:before="80" w:after="60" w:line="240" w:lineRule="auto"/>
            </w:pPr>
            <w:r w:rsidRPr="00B77036">
              <w:t>Section 3: Referral in program/stream</w:t>
            </w:r>
          </w:p>
        </w:tc>
      </w:tr>
    </w:tbl>
    <w:p w14:paraId="216B9626" w14:textId="2205C328" w:rsidR="0091306F" w:rsidRDefault="0091306F" w:rsidP="0091306F">
      <w:pPr>
        <w:pStyle w:val="Heading2"/>
      </w:pPr>
      <w:bookmarkStart w:id="28" w:name="_Toc67035565"/>
      <w:bookmarkStart w:id="29" w:name="_Toc101788761"/>
      <w:r>
        <w:t>Home Enteral Nutrition (HEN)</w:t>
      </w:r>
      <w:bookmarkEnd w:id="27"/>
      <w:bookmarkEnd w:id="28"/>
      <w:bookmarkEnd w:id="29"/>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A0" w:firstRow="1" w:lastRow="0" w:firstColumn="1" w:lastColumn="0" w:noHBand="1" w:noVBand="1"/>
      </w:tblPr>
      <w:tblGrid>
        <w:gridCol w:w="1701"/>
        <w:gridCol w:w="7587"/>
      </w:tblGrid>
      <w:tr w:rsidR="0091306F" w14:paraId="3209970D" w14:textId="77777777" w:rsidTr="0091306F">
        <w:tc>
          <w:tcPr>
            <w:tcW w:w="1701" w:type="dxa"/>
          </w:tcPr>
          <w:p w14:paraId="376C04ED" w14:textId="77777777" w:rsidR="0091306F" w:rsidRPr="00574E6E" w:rsidRDefault="0091306F" w:rsidP="00574E6E">
            <w:pPr>
              <w:pStyle w:val="Tabletext"/>
              <w:rPr>
                <w:rStyle w:val="Strong"/>
              </w:rPr>
            </w:pPr>
            <w:r w:rsidRPr="00574E6E">
              <w:rPr>
                <w:rStyle w:val="Strong"/>
              </w:rPr>
              <w:t>Definition</w:t>
            </w:r>
          </w:p>
        </w:tc>
        <w:tc>
          <w:tcPr>
            <w:tcW w:w="7587" w:type="dxa"/>
          </w:tcPr>
          <w:p w14:paraId="4605B8C3" w14:textId="77777777" w:rsidR="0091306F" w:rsidRDefault="0091306F" w:rsidP="00574E6E">
            <w:pPr>
              <w:pStyle w:val="Tabletext"/>
            </w:pPr>
            <w:r>
              <w:t xml:space="preserve">The administration of nutrition either orally or by feeding tube directly into the gastrointestinal tract self-administered by the patient or carer </w:t>
            </w:r>
          </w:p>
          <w:p w14:paraId="2047818E" w14:textId="12714295" w:rsidR="0091306F" w:rsidRDefault="00F1004F" w:rsidP="00574E6E">
            <w:pPr>
              <w:pStyle w:val="Tabletext"/>
            </w:pPr>
            <w:r>
              <w:t xml:space="preserve">HEN </w:t>
            </w:r>
            <w:r w:rsidR="0091306F">
              <w:t>is performed by the patient or carer in their home.</w:t>
            </w:r>
          </w:p>
          <w:p w14:paraId="648DE150" w14:textId="3C3D8C98" w:rsidR="00E51041" w:rsidRDefault="00E51041" w:rsidP="00574E6E">
            <w:pPr>
              <w:pStyle w:val="Tabletext"/>
            </w:pPr>
          </w:p>
        </w:tc>
      </w:tr>
      <w:tr w:rsidR="0091306F" w14:paraId="2C6FF720" w14:textId="77777777" w:rsidTr="0091306F">
        <w:tc>
          <w:tcPr>
            <w:tcW w:w="1701" w:type="dxa"/>
          </w:tcPr>
          <w:p w14:paraId="34F49129" w14:textId="77777777" w:rsidR="0091306F" w:rsidRPr="00574E6E" w:rsidRDefault="0091306F" w:rsidP="00574E6E">
            <w:pPr>
              <w:pStyle w:val="Tabletext"/>
              <w:rPr>
                <w:rStyle w:val="Strong"/>
              </w:rPr>
            </w:pPr>
            <w:r w:rsidRPr="00574E6E">
              <w:rPr>
                <w:rStyle w:val="Strong"/>
              </w:rPr>
              <w:t>Guide for use</w:t>
            </w:r>
          </w:p>
        </w:tc>
        <w:tc>
          <w:tcPr>
            <w:tcW w:w="7587" w:type="dxa"/>
          </w:tcPr>
          <w:p w14:paraId="274B4842" w14:textId="7D837DC7" w:rsidR="00A206BC" w:rsidRPr="00DB3128" w:rsidRDefault="00A206BC" w:rsidP="00A206BC">
            <w:pPr>
              <w:pStyle w:val="Body"/>
            </w:pPr>
            <w:r>
              <w:t xml:space="preserve">Activity for patient/clients enrolled in the </w:t>
            </w:r>
            <w:r w:rsidR="00F1004F">
              <w:t>HEN</w:t>
            </w:r>
            <w:r>
              <w:t xml:space="preserve"> program will be collected at the episode level. An episode is to be opened for the period during which the patient/client is responsible for their administration of the treatment and the episode is to be closed when the patient/client ceases home self-administration of their treatment</w:t>
            </w:r>
            <w:r w:rsidRPr="0000613F">
              <w:t xml:space="preserve">. </w:t>
            </w:r>
            <w:r w:rsidRPr="00BF179F">
              <w:t>No contacts should be reported in this episode.</w:t>
            </w:r>
          </w:p>
          <w:p w14:paraId="0E1FE06D" w14:textId="38DBB7D0" w:rsidR="00A206BC" w:rsidRPr="00A206BC" w:rsidRDefault="00A206BC" w:rsidP="00A206BC">
            <w:pPr>
              <w:pStyle w:val="Body"/>
            </w:pPr>
            <w:r w:rsidRPr="00A206BC">
              <w:t>The department will count one non</w:t>
            </w:r>
            <w:r w:rsidR="00F1004F">
              <w:t>-</w:t>
            </w:r>
            <w:r w:rsidRPr="00A206BC">
              <w:t>admitted service event per calendar month for episodes that have been active during the month.</w:t>
            </w:r>
          </w:p>
          <w:p w14:paraId="01AC82D9" w14:textId="60278006" w:rsidR="00A206BC" w:rsidRDefault="00A206BC" w:rsidP="00A206BC">
            <w:pPr>
              <w:pStyle w:val="Body"/>
            </w:pPr>
            <w:r w:rsidRPr="00BF179F">
              <w:t xml:space="preserve">Contacts provided to support the patient/client’s HEN activity should be reported under the Specialist Clinics </w:t>
            </w:r>
            <w:r w:rsidR="00E51041">
              <w:t xml:space="preserve">(Outpatients) </w:t>
            </w:r>
            <w:r w:rsidRPr="00BF179F">
              <w:t>Program (OP)</w:t>
            </w:r>
          </w:p>
          <w:p w14:paraId="666761BC" w14:textId="741E25D9" w:rsidR="00F1004F" w:rsidRDefault="00F1004F" w:rsidP="00A206BC">
            <w:pPr>
              <w:pStyle w:val="Body"/>
            </w:pPr>
            <w:r>
              <w:t>For example, if a patient has a consultation with a Dietician in an outpatient clinic, this should be reported under the ‘OP’ program.</w:t>
            </w:r>
          </w:p>
          <w:p w14:paraId="7358B04A" w14:textId="455866B8" w:rsidR="0091306F" w:rsidRDefault="0091306F" w:rsidP="00574E6E">
            <w:pPr>
              <w:pStyle w:val="Tabletext"/>
            </w:pPr>
          </w:p>
        </w:tc>
      </w:tr>
      <w:tr w:rsidR="0091306F" w14:paraId="24720BD9" w14:textId="77777777" w:rsidTr="0091306F">
        <w:tc>
          <w:tcPr>
            <w:tcW w:w="1701" w:type="dxa"/>
          </w:tcPr>
          <w:p w14:paraId="5E68645C" w14:textId="77777777" w:rsidR="0091306F" w:rsidRPr="00574E6E" w:rsidRDefault="0091306F" w:rsidP="00574E6E">
            <w:pPr>
              <w:pStyle w:val="Tabletext"/>
              <w:rPr>
                <w:rStyle w:val="Strong"/>
              </w:rPr>
            </w:pPr>
            <w:r w:rsidRPr="00574E6E">
              <w:rPr>
                <w:rStyle w:val="Strong"/>
              </w:rPr>
              <w:lastRenderedPageBreak/>
              <w:t xml:space="preserve">Refer to </w:t>
            </w:r>
          </w:p>
        </w:tc>
        <w:tc>
          <w:tcPr>
            <w:tcW w:w="7587" w:type="dxa"/>
          </w:tcPr>
          <w:p w14:paraId="65DF002D" w14:textId="77777777" w:rsidR="0091306F" w:rsidRDefault="0091306F" w:rsidP="00DD478C">
            <w:pPr>
              <w:pStyle w:val="Bodynospace"/>
              <w:spacing w:before="80" w:after="60" w:line="240" w:lineRule="auto"/>
            </w:pPr>
            <w:r>
              <w:t>Section 2: Program</w:t>
            </w:r>
          </w:p>
          <w:p w14:paraId="3716A79F" w14:textId="09E8239C" w:rsidR="0091306F" w:rsidRDefault="0091306F" w:rsidP="00DD478C">
            <w:pPr>
              <w:pStyle w:val="Bodynospace"/>
              <w:spacing w:before="80" w:after="60" w:line="240" w:lineRule="auto"/>
            </w:pPr>
            <w:r>
              <w:t xml:space="preserve">Section 2: Programs reporting to </w:t>
            </w:r>
            <w:r w:rsidR="00C17A11">
              <w:t xml:space="preserve">the </w:t>
            </w:r>
            <w:r>
              <w:t>VINAH</w:t>
            </w:r>
            <w:r w:rsidR="00C17A11">
              <w:t xml:space="preserve"> MDS</w:t>
            </w:r>
          </w:p>
          <w:p w14:paraId="7B296077" w14:textId="77777777" w:rsidR="0091306F" w:rsidRDefault="0091306F" w:rsidP="00DD478C">
            <w:pPr>
              <w:pStyle w:val="Bodynospace"/>
              <w:spacing w:before="80" w:after="60" w:line="240" w:lineRule="auto"/>
            </w:pPr>
            <w:r>
              <w:t>Section 2: Stream</w:t>
            </w:r>
          </w:p>
          <w:p w14:paraId="7D66B009" w14:textId="77777777" w:rsidR="0091306F" w:rsidRDefault="0091306F" w:rsidP="00DD478C">
            <w:pPr>
              <w:pStyle w:val="Bodynospace"/>
              <w:spacing w:before="80" w:after="60" w:line="240" w:lineRule="auto"/>
            </w:pPr>
            <w:r>
              <w:t>Section 3: Episode program/stream</w:t>
            </w:r>
          </w:p>
          <w:p w14:paraId="677C3E61" w14:textId="2D8CBED8" w:rsidR="004621AA" w:rsidRDefault="0091306F" w:rsidP="00DD478C">
            <w:pPr>
              <w:pStyle w:val="Bodynospace"/>
              <w:spacing w:before="80" w:after="60" w:line="240" w:lineRule="auto"/>
            </w:pPr>
            <w:r>
              <w:t>Section 3: Referral in program/stream</w:t>
            </w:r>
          </w:p>
        </w:tc>
      </w:tr>
    </w:tbl>
    <w:p w14:paraId="463D39EE" w14:textId="77777777" w:rsidR="0091306F" w:rsidRPr="0031469D" w:rsidRDefault="0091306F" w:rsidP="0091306F">
      <w:pPr>
        <w:pStyle w:val="Heading2"/>
      </w:pPr>
      <w:bookmarkStart w:id="30" w:name="_Toc43198348"/>
      <w:bookmarkStart w:id="31" w:name="_Toc67035566"/>
      <w:bookmarkStart w:id="32" w:name="_Toc101788762"/>
      <w:r>
        <w:t>Hospital Admission Risk Program (HARP)</w:t>
      </w:r>
      <w:bookmarkEnd w:id="30"/>
      <w:bookmarkEnd w:id="31"/>
      <w:bookmarkEnd w:id="32"/>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7587"/>
      </w:tblGrid>
      <w:tr w:rsidR="0091306F" w14:paraId="4620FF3D" w14:textId="77777777" w:rsidTr="0091306F">
        <w:tc>
          <w:tcPr>
            <w:tcW w:w="1701" w:type="dxa"/>
          </w:tcPr>
          <w:p w14:paraId="35E43ED8" w14:textId="77777777" w:rsidR="0091306F" w:rsidRPr="00EB60C1" w:rsidRDefault="0091306F" w:rsidP="00574E6E">
            <w:pPr>
              <w:pStyle w:val="Tabletext"/>
              <w:rPr>
                <w:rStyle w:val="Strong"/>
              </w:rPr>
            </w:pPr>
            <w:r w:rsidRPr="00EB60C1">
              <w:rPr>
                <w:rStyle w:val="Strong"/>
              </w:rPr>
              <w:t>Definition</w:t>
            </w:r>
          </w:p>
        </w:tc>
        <w:tc>
          <w:tcPr>
            <w:tcW w:w="7587" w:type="dxa"/>
          </w:tcPr>
          <w:p w14:paraId="226FCDB8" w14:textId="363F2F92" w:rsidR="0091306F" w:rsidRDefault="0091306F" w:rsidP="00574E6E">
            <w:pPr>
              <w:pStyle w:val="Tabletext"/>
            </w:pPr>
            <w:r w:rsidRPr="0031469D">
              <w:t>HARP services provide comprehensive and specialist assessments, care coordination, review and monitoring for people with chronic diseases, such as heart failure or children with asthma, people with complex psychosocial needs such as people who are homeless or at risk of self-harm and people with complex needs such as multiple co-morbidities or older people who are frail. In particular</w:t>
            </w:r>
            <w:r w:rsidR="00F1004F">
              <w:t>,</w:t>
            </w:r>
            <w:r w:rsidRPr="0031469D">
              <w:t xml:space="preserve"> HARP tries to provide more appropriate community services to people who frequently use hospitals or who are at imminent risk of hospitalisation.</w:t>
            </w:r>
          </w:p>
          <w:p w14:paraId="104BC714" w14:textId="48A2A3B9" w:rsidR="00E51041" w:rsidRPr="0031469D" w:rsidRDefault="00E51041" w:rsidP="00574E6E">
            <w:pPr>
              <w:pStyle w:val="Tabletext"/>
            </w:pPr>
          </w:p>
        </w:tc>
      </w:tr>
      <w:tr w:rsidR="0091306F" w14:paraId="2FD78318" w14:textId="77777777" w:rsidTr="005B29E5">
        <w:tc>
          <w:tcPr>
            <w:tcW w:w="1701" w:type="dxa"/>
          </w:tcPr>
          <w:p w14:paraId="7AECB11B" w14:textId="77777777" w:rsidR="0091306F" w:rsidRPr="00EB60C1" w:rsidRDefault="0091306F" w:rsidP="00574E6E">
            <w:pPr>
              <w:pStyle w:val="Tabletext"/>
              <w:rPr>
                <w:rStyle w:val="Strong"/>
              </w:rPr>
            </w:pPr>
            <w:r w:rsidRPr="00EB60C1">
              <w:rPr>
                <w:rStyle w:val="Strong"/>
              </w:rPr>
              <w:t>Guide for use</w:t>
            </w:r>
          </w:p>
        </w:tc>
        <w:tc>
          <w:tcPr>
            <w:tcW w:w="7587" w:type="dxa"/>
          </w:tcPr>
          <w:p w14:paraId="655352DD" w14:textId="3110B1A2" w:rsidR="0091306F" w:rsidRDefault="0091306F" w:rsidP="00574E6E">
            <w:pPr>
              <w:pStyle w:val="Tabletext"/>
            </w:pPr>
            <w:r>
              <w:t>HARP services are governed by a Local Alliance that shares responsibility for decision-making, risk and responsibility. While health services are the fund-holders, most HARP alliances include one or more community agencies.</w:t>
            </w:r>
          </w:p>
          <w:p w14:paraId="489EE471" w14:textId="687B532A" w:rsidR="0091306F" w:rsidRDefault="0091306F" w:rsidP="00574E6E">
            <w:pPr>
              <w:pStyle w:val="Tabletext"/>
            </w:pPr>
            <w:r>
              <w:t>HARP services will be provided directly by the health service and by other members of the Local Alliance (as documented in Service Level Agreements). HARP services may also be provided by others through brokerage arrangements.</w:t>
            </w:r>
          </w:p>
          <w:p w14:paraId="12AE9C12" w14:textId="77777777" w:rsidR="0091306F" w:rsidRDefault="0091306F" w:rsidP="00574E6E">
            <w:pPr>
              <w:pStyle w:val="Tabletext"/>
            </w:pPr>
            <w:r>
              <w:t>Responsibility for reporting HARP activity lies with the health service as fund-holder, regardless of how a given service is provided, or by which provider.</w:t>
            </w:r>
          </w:p>
          <w:p w14:paraId="7E3350EF" w14:textId="3C29020D" w:rsidR="0091306F" w:rsidRDefault="0091306F" w:rsidP="00574E6E">
            <w:pPr>
              <w:pStyle w:val="Tabletext"/>
            </w:pPr>
            <w:r>
              <w:t>For more information, visit</w:t>
            </w:r>
            <w:hyperlink r:id="rId22" w:history="1">
              <w:r w:rsidRPr="0031469D">
                <w:rPr>
                  <w:rStyle w:val="Hyperlink"/>
                </w:rPr>
                <w:t xml:space="preserve"> health independence program webpage</w:t>
              </w:r>
            </w:hyperlink>
            <w:r>
              <w:t xml:space="preserve"> </w:t>
            </w:r>
            <w:hyperlink r:id="rId23" w:history="1">
              <w:r w:rsidR="00E51041" w:rsidRPr="00B4642B">
                <w:rPr>
                  <w:rStyle w:val="Hyperlink"/>
                </w:rPr>
                <w:t>https://www2.health.vic.gov.au/hospitals-and-health-services/patient-care/rehabilitation-complex-care/health-independence-program</w:t>
              </w:r>
            </w:hyperlink>
          </w:p>
          <w:p w14:paraId="4FA609EC" w14:textId="3633D9B2" w:rsidR="00E51041" w:rsidRPr="0031469D" w:rsidRDefault="00E51041" w:rsidP="00574E6E">
            <w:pPr>
              <w:pStyle w:val="Tabletext"/>
            </w:pPr>
          </w:p>
        </w:tc>
      </w:tr>
      <w:tr w:rsidR="0091306F" w14:paraId="1CE286C7" w14:textId="77777777" w:rsidTr="005B29E5">
        <w:tc>
          <w:tcPr>
            <w:tcW w:w="1701" w:type="dxa"/>
          </w:tcPr>
          <w:p w14:paraId="79CCF9D2" w14:textId="77777777" w:rsidR="0091306F" w:rsidRPr="00EB60C1" w:rsidRDefault="0091306F" w:rsidP="00DD478C">
            <w:pPr>
              <w:pStyle w:val="Tabletext"/>
              <w:rPr>
                <w:rStyle w:val="Strong"/>
              </w:rPr>
            </w:pPr>
            <w:r w:rsidRPr="00EB60C1">
              <w:rPr>
                <w:rStyle w:val="Strong"/>
              </w:rPr>
              <w:t xml:space="preserve">Refer to </w:t>
            </w:r>
          </w:p>
        </w:tc>
        <w:tc>
          <w:tcPr>
            <w:tcW w:w="7587" w:type="dxa"/>
          </w:tcPr>
          <w:p w14:paraId="4798DFC8" w14:textId="77777777" w:rsidR="0091306F" w:rsidRDefault="0091306F" w:rsidP="00DD478C">
            <w:pPr>
              <w:pStyle w:val="Tabletext"/>
            </w:pPr>
            <w:r>
              <w:t>Section 2: Program</w:t>
            </w:r>
          </w:p>
          <w:p w14:paraId="4ECDC41D" w14:textId="5105F84A" w:rsidR="0091306F" w:rsidRDefault="0091306F" w:rsidP="00DD478C">
            <w:pPr>
              <w:pStyle w:val="Tabletext"/>
            </w:pPr>
            <w:r>
              <w:t xml:space="preserve">Section 2: Programs reporting to </w:t>
            </w:r>
            <w:r w:rsidR="00C17A11">
              <w:t xml:space="preserve">the </w:t>
            </w:r>
            <w:r>
              <w:t>VINAH</w:t>
            </w:r>
            <w:r w:rsidR="00C17A11">
              <w:t xml:space="preserve"> MDS</w:t>
            </w:r>
          </w:p>
          <w:p w14:paraId="46E958D0" w14:textId="77777777" w:rsidR="0091306F" w:rsidRDefault="0091306F" w:rsidP="00DD478C">
            <w:pPr>
              <w:pStyle w:val="Tabletext"/>
            </w:pPr>
            <w:r>
              <w:t>Section 2: Stream</w:t>
            </w:r>
          </w:p>
          <w:p w14:paraId="0100F9F6" w14:textId="77777777" w:rsidR="0091306F" w:rsidRDefault="0091306F" w:rsidP="00DD478C">
            <w:pPr>
              <w:pStyle w:val="Tabletext"/>
            </w:pPr>
            <w:r>
              <w:t>Section 3: Episode program/stream</w:t>
            </w:r>
          </w:p>
          <w:p w14:paraId="1D81F00B" w14:textId="2A29A6A0" w:rsidR="00B77036" w:rsidRDefault="0091306F" w:rsidP="00DD478C">
            <w:pPr>
              <w:pStyle w:val="Tabletext"/>
            </w:pPr>
            <w:r>
              <w:t>Section 3: Referral In program/stream</w:t>
            </w:r>
          </w:p>
        </w:tc>
      </w:tr>
    </w:tbl>
    <w:p w14:paraId="395948C9" w14:textId="2C8B9282" w:rsidR="0091306F" w:rsidRDefault="0091306F" w:rsidP="0091306F">
      <w:pPr>
        <w:pStyle w:val="Heading2"/>
      </w:pPr>
      <w:bookmarkStart w:id="33" w:name="_Toc11743517"/>
      <w:bookmarkStart w:id="34" w:name="_Toc67035567"/>
      <w:bookmarkStart w:id="35" w:name="_Toc101788763"/>
      <w:bookmarkStart w:id="36" w:name="_Toc43198349"/>
      <w:r>
        <w:t>Hospital Based Palliative Care Consultancy Team (HBPCCT)</w:t>
      </w:r>
      <w:bookmarkEnd w:id="33"/>
      <w:bookmarkEnd w:id="34"/>
      <w:bookmarkEnd w:id="35"/>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A0" w:firstRow="1" w:lastRow="0" w:firstColumn="1" w:lastColumn="0" w:noHBand="1" w:noVBand="1"/>
      </w:tblPr>
      <w:tblGrid>
        <w:gridCol w:w="1701"/>
        <w:gridCol w:w="7587"/>
      </w:tblGrid>
      <w:tr w:rsidR="00EB60C1" w14:paraId="3AB889F9" w14:textId="77777777" w:rsidTr="00EB60C1">
        <w:tc>
          <w:tcPr>
            <w:tcW w:w="1701" w:type="dxa"/>
          </w:tcPr>
          <w:p w14:paraId="321CDFC2" w14:textId="77777777" w:rsidR="00EB60C1" w:rsidRPr="00574E6E" w:rsidRDefault="00EB60C1" w:rsidP="00574E6E">
            <w:pPr>
              <w:pStyle w:val="Tabletext"/>
              <w:rPr>
                <w:rStyle w:val="Strong"/>
              </w:rPr>
            </w:pPr>
            <w:r w:rsidRPr="00574E6E">
              <w:rPr>
                <w:rStyle w:val="Strong"/>
              </w:rPr>
              <w:t>Definition</w:t>
            </w:r>
          </w:p>
        </w:tc>
        <w:tc>
          <w:tcPr>
            <w:tcW w:w="7587" w:type="dxa"/>
          </w:tcPr>
          <w:p w14:paraId="4F923607" w14:textId="5116C9D5" w:rsidR="00EB60C1" w:rsidRDefault="00EB60C1" w:rsidP="00574E6E">
            <w:pPr>
              <w:pStyle w:val="Tabletext"/>
            </w:pPr>
            <w:r>
              <w:t xml:space="preserve">HBPCCT </w:t>
            </w:r>
            <w:r w:rsidRPr="00BB60F4">
              <w:t xml:space="preserve">are interdisciplinary services funded by </w:t>
            </w:r>
            <w:r w:rsidR="00F1004F">
              <w:t>the department;</w:t>
            </w:r>
            <w:r w:rsidRPr="00BB60F4">
              <w:t xml:space="preserve"> providing medical, nursing and allied health advice and support to treating teams in hospitals and community palliative care services in order to support people with end of life needs in their care. Consultancy teams also provide direct care for people with very complex end of life care needs and provide education and training about palliative care to other clinicians.</w:t>
            </w:r>
          </w:p>
          <w:p w14:paraId="18C0E25B" w14:textId="3DD5D67C" w:rsidR="00E51041" w:rsidRPr="0031469D" w:rsidRDefault="00E51041" w:rsidP="00574E6E">
            <w:pPr>
              <w:pStyle w:val="Tabletext"/>
            </w:pPr>
          </w:p>
        </w:tc>
      </w:tr>
      <w:tr w:rsidR="00EB60C1" w14:paraId="5AF0FFE0" w14:textId="77777777" w:rsidTr="00EB60C1">
        <w:tc>
          <w:tcPr>
            <w:tcW w:w="1701" w:type="dxa"/>
          </w:tcPr>
          <w:p w14:paraId="5491ED89" w14:textId="77777777" w:rsidR="00EB60C1" w:rsidRPr="00574E6E" w:rsidRDefault="00EB60C1" w:rsidP="00574E6E">
            <w:pPr>
              <w:pStyle w:val="Tabletext"/>
              <w:rPr>
                <w:rStyle w:val="Strong"/>
              </w:rPr>
            </w:pPr>
            <w:r w:rsidRPr="00574E6E">
              <w:rPr>
                <w:rStyle w:val="Strong"/>
              </w:rPr>
              <w:lastRenderedPageBreak/>
              <w:t>Guide for use</w:t>
            </w:r>
          </w:p>
        </w:tc>
        <w:tc>
          <w:tcPr>
            <w:tcW w:w="7587" w:type="dxa"/>
          </w:tcPr>
          <w:p w14:paraId="34A8D8C4" w14:textId="77777777" w:rsidR="00EB60C1" w:rsidRDefault="00EB60C1" w:rsidP="00574E6E">
            <w:pPr>
              <w:pStyle w:val="Tabletext"/>
            </w:pPr>
            <w:r>
              <w:t xml:space="preserve">For more information, visit: </w:t>
            </w:r>
            <w:hyperlink w:anchor="_Hospital_Based_Palliative" w:history="1">
              <w:r w:rsidRPr="00400262">
                <w:rPr>
                  <w:rStyle w:val="Hyperlink"/>
                </w:rPr>
                <w:t>https://www2.health.vic.gov.au/hospitals-and-health-services/patient-care/end-of-life-care/palliative-care/palliative-care-access</w:t>
              </w:r>
            </w:hyperlink>
            <w:r>
              <w:t xml:space="preserve"> </w:t>
            </w:r>
            <w:r w:rsidRPr="00305028">
              <w:t>and-health-services/patient-care/end-of-life-care/palliative-care</w:t>
            </w:r>
          </w:p>
          <w:p w14:paraId="49F519F1" w14:textId="372F825C" w:rsidR="00E51041" w:rsidRPr="00AC3F17" w:rsidRDefault="00E51041" w:rsidP="00574E6E">
            <w:pPr>
              <w:pStyle w:val="Tabletext"/>
              <w:rPr>
                <w:b/>
              </w:rPr>
            </w:pPr>
          </w:p>
        </w:tc>
      </w:tr>
      <w:tr w:rsidR="00EB60C1" w14:paraId="26AF29CB" w14:textId="77777777" w:rsidTr="00EB60C1">
        <w:tc>
          <w:tcPr>
            <w:tcW w:w="1701" w:type="dxa"/>
          </w:tcPr>
          <w:p w14:paraId="6A951F98" w14:textId="77777777" w:rsidR="00EB60C1" w:rsidRPr="00574E6E" w:rsidRDefault="00EB60C1" w:rsidP="00574E6E">
            <w:pPr>
              <w:pStyle w:val="Tabletext"/>
              <w:rPr>
                <w:rStyle w:val="Strong"/>
              </w:rPr>
            </w:pPr>
            <w:r w:rsidRPr="00574E6E">
              <w:rPr>
                <w:rStyle w:val="Strong"/>
              </w:rPr>
              <w:t xml:space="preserve">Refer to </w:t>
            </w:r>
          </w:p>
        </w:tc>
        <w:tc>
          <w:tcPr>
            <w:tcW w:w="7587" w:type="dxa"/>
          </w:tcPr>
          <w:p w14:paraId="4978ADDA" w14:textId="73ACC618" w:rsidR="00E873B3" w:rsidRDefault="00E873B3" w:rsidP="00574E6E">
            <w:pPr>
              <w:pStyle w:val="Tabletext"/>
            </w:pPr>
            <w:r>
              <w:t>Section 2: Program</w:t>
            </w:r>
          </w:p>
          <w:p w14:paraId="5E8B3EAF" w14:textId="72DDD555" w:rsidR="00EB60C1" w:rsidRPr="000537A7" w:rsidRDefault="00EB60C1" w:rsidP="00574E6E">
            <w:pPr>
              <w:pStyle w:val="Tabletext"/>
            </w:pPr>
            <w:r w:rsidRPr="000537A7">
              <w:t xml:space="preserve">Section 2: Programs </w:t>
            </w:r>
            <w:r>
              <w:t>r</w:t>
            </w:r>
            <w:r w:rsidRPr="000537A7">
              <w:t xml:space="preserve">eporting to </w:t>
            </w:r>
            <w:r w:rsidR="00C17A11">
              <w:t xml:space="preserve">the </w:t>
            </w:r>
            <w:r w:rsidRPr="000537A7">
              <w:t>VINAH</w:t>
            </w:r>
            <w:r w:rsidR="00C17A11">
              <w:t xml:space="preserve"> MDS</w:t>
            </w:r>
          </w:p>
          <w:p w14:paraId="1EF0B750" w14:textId="60F31F4A" w:rsidR="00EB60C1" w:rsidRPr="000537A7" w:rsidRDefault="00EB60C1" w:rsidP="00574E6E">
            <w:pPr>
              <w:pStyle w:val="Tabletext"/>
            </w:pPr>
            <w:r w:rsidRPr="000537A7">
              <w:t>Section 2: Stream</w:t>
            </w:r>
          </w:p>
          <w:p w14:paraId="13B53595" w14:textId="6A043D76" w:rsidR="00EB60C1" w:rsidRPr="000537A7" w:rsidRDefault="00EB60C1" w:rsidP="00574E6E">
            <w:pPr>
              <w:pStyle w:val="Tabletext"/>
            </w:pPr>
            <w:r w:rsidRPr="000537A7">
              <w:t xml:space="preserve">Section 3: Episode </w:t>
            </w:r>
            <w:r>
              <w:t>p</w:t>
            </w:r>
            <w:r w:rsidRPr="000537A7">
              <w:t>rogram/</w:t>
            </w:r>
            <w:r>
              <w:t>s</w:t>
            </w:r>
            <w:r w:rsidRPr="000537A7">
              <w:t>tream</w:t>
            </w:r>
          </w:p>
          <w:p w14:paraId="2E3447B1" w14:textId="0AF50BEE" w:rsidR="00EB60C1" w:rsidRDefault="00EB60C1" w:rsidP="00574E6E">
            <w:pPr>
              <w:pStyle w:val="Tabletext"/>
            </w:pPr>
            <w:r w:rsidRPr="000537A7">
              <w:t xml:space="preserve">Section 3: Referral </w:t>
            </w:r>
            <w:r>
              <w:t>p</w:t>
            </w:r>
            <w:r w:rsidRPr="000537A7">
              <w:t>rogram/</w:t>
            </w:r>
            <w:r>
              <w:t>s</w:t>
            </w:r>
            <w:r w:rsidRPr="000537A7">
              <w:t>tream</w:t>
            </w:r>
          </w:p>
        </w:tc>
      </w:tr>
    </w:tbl>
    <w:p w14:paraId="0CA3B5B1" w14:textId="77777777" w:rsidR="0091306F" w:rsidRDefault="0091306F" w:rsidP="0091306F">
      <w:pPr>
        <w:pStyle w:val="Heading2"/>
      </w:pPr>
      <w:bookmarkStart w:id="37" w:name="_Toc67035568"/>
      <w:bookmarkStart w:id="38" w:name="_Toc101788764"/>
      <w:r>
        <w:t>Medicare eligibility status</w:t>
      </w:r>
      <w:bookmarkEnd w:id="36"/>
      <w:bookmarkEnd w:id="37"/>
      <w:bookmarkEnd w:id="38"/>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A0" w:firstRow="1" w:lastRow="0" w:firstColumn="1" w:lastColumn="0" w:noHBand="1" w:noVBand="1"/>
      </w:tblPr>
      <w:tblGrid>
        <w:gridCol w:w="1701"/>
        <w:gridCol w:w="7587"/>
      </w:tblGrid>
      <w:tr w:rsidR="0091306F" w14:paraId="43E0BBCF" w14:textId="77777777" w:rsidTr="0091306F">
        <w:tc>
          <w:tcPr>
            <w:tcW w:w="1701" w:type="dxa"/>
          </w:tcPr>
          <w:p w14:paraId="7F7E012E" w14:textId="77777777" w:rsidR="0091306F" w:rsidRPr="00E873B3" w:rsidRDefault="0091306F" w:rsidP="0091306F">
            <w:pPr>
              <w:pStyle w:val="Body"/>
              <w:rPr>
                <w:rStyle w:val="Strong"/>
              </w:rPr>
            </w:pPr>
            <w:r w:rsidRPr="00E873B3">
              <w:rPr>
                <w:rStyle w:val="Strong"/>
              </w:rPr>
              <w:t>Definition</w:t>
            </w:r>
          </w:p>
        </w:tc>
        <w:tc>
          <w:tcPr>
            <w:tcW w:w="7587" w:type="dxa"/>
          </w:tcPr>
          <w:p w14:paraId="6540EC0A" w14:textId="77777777" w:rsidR="0091306F" w:rsidRDefault="0091306F" w:rsidP="00EB60C1">
            <w:pPr>
              <w:pStyle w:val="Tabletext"/>
            </w:pPr>
            <w:r w:rsidRPr="00670C03">
              <w:t>The patient’s eligibility for Medicare as specified under the Commonwealth Health Insurance Act 1973.</w:t>
            </w:r>
          </w:p>
          <w:p w14:paraId="20003AE9" w14:textId="4C90ACC5" w:rsidR="00E51041" w:rsidRPr="0031469D" w:rsidRDefault="00E51041" w:rsidP="00EB60C1">
            <w:pPr>
              <w:pStyle w:val="Tabletext"/>
            </w:pPr>
          </w:p>
        </w:tc>
      </w:tr>
      <w:tr w:rsidR="0091306F" w14:paraId="549BFC18" w14:textId="77777777" w:rsidTr="0091306F">
        <w:tc>
          <w:tcPr>
            <w:tcW w:w="1701" w:type="dxa"/>
          </w:tcPr>
          <w:p w14:paraId="1F91D2C3" w14:textId="77777777" w:rsidR="0091306F" w:rsidRPr="00E873B3" w:rsidRDefault="0091306F" w:rsidP="0091306F">
            <w:pPr>
              <w:pStyle w:val="Body"/>
              <w:rPr>
                <w:rStyle w:val="Strong"/>
              </w:rPr>
            </w:pPr>
            <w:r w:rsidRPr="00E873B3">
              <w:rPr>
                <w:rStyle w:val="Strong"/>
              </w:rPr>
              <w:t>Guide for use</w:t>
            </w:r>
          </w:p>
        </w:tc>
        <w:tc>
          <w:tcPr>
            <w:tcW w:w="7587" w:type="dxa"/>
          </w:tcPr>
          <w:p w14:paraId="384F3F28" w14:textId="77777777" w:rsidR="0091306F" w:rsidRDefault="0091306F" w:rsidP="00EB60C1">
            <w:pPr>
              <w:pStyle w:val="Tabletext"/>
            </w:pPr>
            <w:r>
              <w:t>An eligible person includes a person who resides in Australia and is:</w:t>
            </w:r>
          </w:p>
          <w:p w14:paraId="5336C3D6" w14:textId="7249D288" w:rsidR="0091306F" w:rsidRDefault="0091306F" w:rsidP="00EB60C1">
            <w:pPr>
              <w:pStyle w:val="Tablebullet1"/>
            </w:pPr>
            <w:r>
              <w:t>An Australian citizen</w:t>
            </w:r>
            <w:r w:rsidR="00F1004F">
              <w:t>.</w:t>
            </w:r>
          </w:p>
          <w:p w14:paraId="7703CE91" w14:textId="151EA9AA" w:rsidR="0091306F" w:rsidRDefault="0091306F" w:rsidP="00EB60C1">
            <w:pPr>
              <w:pStyle w:val="Tablebullet1"/>
            </w:pPr>
            <w:r>
              <w:t>A permanent resident</w:t>
            </w:r>
            <w:r w:rsidR="00F1004F">
              <w:t>.</w:t>
            </w:r>
          </w:p>
          <w:p w14:paraId="68188B1B" w14:textId="71DB9512" w:rsidR="0091306F" w:rsidRDefault="0091306F" w:rsidP="00EB60C1">
            <w:pPr>
              <w:pStyle w:val="Tablebullet1"/>
            </w:pPr>
            <w:r>
              <w:t>A New Zealand citizen</w:t>
            </w:r>
            <w:r w:rsidR="00F1004F">
              <w:t>.</w:t>
            </w:r>
          </w:p>
          <w:p w14:paraId="109D8385" w14:textId="77777777" w:rsidR="0091306F" w:rsidRDefault="0091306F" w:rsidP="00EB60C1">
            <w:pPr>
              <w:pStyle w:val="Tablebullet1"/>
            </w:pPr>
            <w:r>
              <w:t>A temporary resident who has applied for a permanent visa and who has either</w:t>
            </w:r>
          </w:p>
          <w:p w14:paraId="05CB50B3" w14:textId="77777777" w:rsidR="0091306F" w:rsidRDefault="0091306F" w:rsidP="00EB60C1">
            <w:pPr>
              <w:pStyle w:val="Tablebullet2"/>
            </w:pPr>
            <w:r>
              <w:t xml:space="preserve">an authority to work in Australia or </w:t>
            </w:r>
          </w:p>
          <w:p w14:paraId="63E38C29" w14:textId="0FF2BA45" w:rsidR="0091306F" w:rsidRDefault="0091306F" w:rsidP="00EB60C1">
            <w:pPr>
              <w:pStyle w:val="Tablebullet2"/>
            </w:pPr>
            <w:r>
              <w:t>can prove relationship to an Australian citizen (other requirements may apply)</w:t>
            </w:r>
            <w:r w:rsidR="00F1004F">
              <w:t>.</w:t>
            </w:r>
          </w:p>
          <w:p w14:paraId="2B84F662" w14:textId="3538A54D" w:rsidR="0091306F" w:rsidRDefault="0091306F" w:rsidP="00EB60C1">
            <w:pPr>
              <w:pStyle w:val="Tabletext"/>
            </w:pPr>
            <w:r>
              <w:t xml:space="preserve">Other persons who are eligible for Medicare in certain circumstances include </w:t>
            </w:r>
            <w:r w:rsidR="00F1004F">
              <w:t>v</w:t>
            </w:r>
            <w:r>
              <w:t>isitors to Australia from a country that has a Reciprocal Health Care Agreement</w:t>
            </w:r>
            <w:r w:rsidR="00F1004F">
              <w:t>.</w:t>
            </w:r>
          </w:p>
          <w:p w14:paraId="26ECE040" w14:textId="77777777" w:rsidR="0091306F" w:rsidRDefault="0091306F" w:rsidP="00EB60C1">
            <w:pPr>
              <w:pStyle w:val="Tabletext"/>
            </w:pPr>
            <w:r>
              <w:t>In practice, the primary method for ascertaining Medicare eligibility is sighting the patient’s Medicare card.</w:t>
            </w:r>
          </w:p>
          <w:p w14:paraId="03090A86" w14:textId="7BB77800" w:rsidR="0091306F" w:rsidRDefault="0091306F" w:rsidP="00EB60C1">
            <w:pPr>
              <w:pStyle w:val="Tabletext"/>
            </w:pPr>
            <w:r>
              <w:t xml:space="preserve">For further information regarding eligibility to Medicare refer to: </w:t>
            </w:r>
            <w:hyperlink r:id="rId24" w:history="1">
              <w:r w:rsidRPr="00670C03">
                <w:rPr>
                  <w:rStyle w:val="Hyperlink"/>
                </w:rPr>
                <w:t>the Medicare webpage</w:t>
              </w:r>
            </w:hyperlink>
            <w:r>
              <w:t xml:space="preserve"> &lt;</w:t>
            </w:r>
            <w:hyperlink r:id="rId25" w:history="1">
              <w:r w:rsidR="00F1004F" w:rsidRPr="00F249AC">
                <w:rPr>
                  <w:rStyle w:val="Hyperlink"/>
                </w:rPr>
                <w:t>https://www.servicesaustralia.gov.au/individuals/services/medicare/medicare-card</w:t>
              </w:r>
            </w:hyperlink>
            <w:r>
              <w:t>&gt;</w:t>
            </w:r>
          </w:p>
          <w:p w14:paraId="6863B823" w14:textId="0EC051A6" w:rsidR="00E51041" w:rsidRPr="0031469D" w:rsidRDefault="00E51041" w:rsidP="00EB60C1">
            <w:pPr>
              <w:pStyle w:val="Tabletext"/>
            </w:pPr>
          </w:p>
        </w:tc>
      </w:tr>
      <w:tr w:rsidR="0091306F" w14:paraId="16F14367" w14:textId="77777777" w:rsidTr="0091306F">
        <w:tc>
          <w:tcPr>
            <w:tcW w:w="1701" w:type="dxa"/>
          </w:tcPr>
          <w:p w14:paraId="7F22F557" w14:textId="77777777" w:rsidR="0091306F" w:rsidRPr="00E873B3" w:rsidRDefault="0091306F" w:rsidP="0091306F">
            <w:pPr>
              <w:pStyle w:val="Body"/>
              <w:rPr>
                <w:rStyle w:val="Strong"/>
              </w:rPr>
            </w:pPr>
            <w:r w:rsidRPr="00E873B3">
              <w:rPr>
                <w:rStyle w:val="Strong"/>
              </w:rPr>
              <w:t xml:space="preserve">Refer to </w:t>
            </w:r>
          </w:p>
        </w:tc>
        <w:tc>
          <w:tcPr>
            <w:tcW w:w="7587" w:type="dxa"/>
          </w:tcPr>
          <w:p w14:paraId="7B2AF586" w14:textId="77777777" w:rsidR="0091306F" w:rsidRDefault="0091306F" w:rsidP="00EB60C1">
            <w:pPr>
              <w:pStyle w:val="Tabletext"/>
            </w:pPr>
            <w:r>
              <w:t>Section 3: Contact Account Class</w:t>
            </w:r>
          </w:p>
          <w:p w14:paraId="3A1A1DAD" w14:textId="2AD82394" w:rsidR="00AC3F17" w:rsidRDefault="0091306F" w:rsidP="00EB60C1">
            <w:pPr>
              <w:pStyle w:val="Tabletext"/>
            </w:pPr>
            <w:r>
              <w:t>Section 3: Contact Medicare Number</w:t>
            </w:r>
          </w:p>
        </w:tc>
      </w:tr>
    </w:tbl>
    <w:p w14:paraId="40B379D2" w14:textId="2F2221EE" w:rsidR="0091306F" w:rsidRDefault="0091306F" w:rsidP="0091306F">
      <w:pPr>
        <w:pStyle w:val="Heading2"/>
      </w:pPr>
      <w:bookmarkStart w:id="39" w:name="_Toc43198350"/>
      <w:bookmarkStart w:id="40" w:name="_Toc67035569"/>
      <w:bookmarkStart w:id="41" w:name="_Toc101788765"/>
      <w:r>
        <w:t>Medi-</w:t>
      </w:r>
      <w:r w:rsidR="00A8564C">
        <w:t>H</w:t>
      </w:r>
      <w:r>
        <w:t>otel</w:t>
      </w:r>
      <w:bookmarkEnd w:id="39"/>
      <w:bookmarkEnd w:id="40"/>
      <w:bookmarkEnd w:id="41"/>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7587"/>
      </w:tblGrid>
      <w:tr w:rsidR="0091306F" w14:paraId="015C34E0" w14:textId="77777777" w:rsidTr="0091306F">
        <w:tc>
          <w:tcPr>
            <w:tcW w:w="1701" w:type="dxa"/>
          </w:tcPr>
          <w:p w14:paraId="405537FE" w14:textId="77777777" w:rsidR="0091306F" w:rsidRPr="00E873B3" w:rsidRDefault="0091306F" w:rsidP="00E873B3">
            <w:pPr>
              <w:pStyle w:val="Tabletext"/>
              <w:rPr>
                <w:rStyle w:val="Strong"/>
              </w:rPr>
            </w:pPr>
            <w:r w:rsidRPr="00E873B3">
              <w:rPr>
                <w:rStyle w:val="Strong"/>
              </w:rPr>
              <w:t>Definition</w:t>
            </w:r>
          </w:p>
        </w:tc>
        <w:tc>
          <w:tcPr>
            <w:tcW w:w="7587" w:type="dxa"/>
          </w:tcPr>
          <w:p w14:paraId="7733AE5F" w14:textId="77777777" w:rsidR="0091306F" w:rsidRDefault="0091306F" w:rsidP="00EB60C1">
            <w:pPr>
              <w:pStyle w:val="Tabletext"/>
            </w:pPr>
            <w:r w:rsidRPr="00B601F4">
              <w:t>Provision of a non-ward residential service maintained and/or paid for by the hospital for the purpose of accommodating patients, as a substitute for traditional hospital ward accommodation.</w:t>
            </w:r>
          </w:p>
          <w:p w14:paraId="2051E8C9" w14:textId="40D99B9D" w:rsidR="00E51041" w:rsidRPr="00B601F4" w:rsidRDefault="00E51041" w:rsidP="00EB60C1">
            <w:pPr>
              <w:pStyle w:val="Tabletext"/>
            </w:pPr>
          </w:p>
        </w:tc>
      </w:tr>
      <w:tr w:rsidR="0091306F" w14:paraId="5077F40A" w14:textId="77777777" w:rsidTr="00DD478C">
        <w:tc>
          <w:tcPr>
            <w:tcW w:w="1701" w:type="dxa"/>
          </w:tcPr>
          <w:p w14:paraId="2E04AFDE" w14:textId="1AA95BE5" w:rsidR="00E86F93" w:rsidRPr="002D3E6B" w:rsidRDefault="0091306F" w:rsidP="002D3E6B">
            <w:pPr>
              <w:pStyle w:val="Tabletext"/>
              <w:rPr>
                <w:b/>
                <w:bCs/>
              </w:rPr>
            </w:pPr>
            <w:r w:rsidRPr="00E873B3">
              <w:rPr>
                <w:rStyle w:val="Strong"/>
              </w:rPr>
              <w:t>Guide for use</w:t>
            </w:r>
          </w:p>
          <w:p w14:paraId="49651E49" w14:textId="280A4BA5" w:rsidR="00E86F93" w:rsidRPr="00E86F93" w:rsidRDefault="00E86F93" w:rsidP="00E86F93">
            <w:pPr>
              <w:jc w:val="center"/>
            </w:pPr>
          </w:p>
        </w:tc>
        <w:tc>
          <w:tcPr>
            <w:tcW w:w="7587" w:type="dxa"/>
          </w:tcPr>
          <w:p w14:paraId="4747B71A" w14:textId="54C41DBB" w:rsidR="0091306F" w:rsidRDefault="0091306F" w:rsidP="00EB60C1">
            <w:pPr>
              <w:pStyle w:val="Tabletext"/>
            </w:pPr>
            <w:r>
              <w:t xml:space="preserve">Non-ward accommodation provided by the hospital, excluding the Hospital In The Home (HITH) program. Unlike HITH, no clinical services are provided. </w:t>
            </w:r>
            <w:r w:rsidR="000E2C15">
              <w:lastRenderedPageBreak/>
              <w:t>Thus,</w:t>
            </w:r>
            <w:r>
              <w:t xml:space="preserve"> a significant decline in medical condition would always necessitate return from Medi-Hotel to the hospital’s Emergency Department or a ward.</w:t>
            </w:r>
          </w:p>
          <w:p w14:paraId="25484AEC" w14:textId="77777777" w:rsidR="0091306F" w:rsidRDefault="0091306F" w:rsidP="00EB60C1">
            <w:pPr>
              <w:pStyle w:val="Tabletext"/>
            </w:pPr>
            <w:r>
              <w:t>The Medi-Hotel facility may or may not be on hospital property. Where it is on hospital property, this may be co-located in the same building as traditional wards.</w:t>
            </w:r>
          </w:p>
          <w:p w14:paraId="616EF77B" w14:textId="71D2A18E" w:rsidR="0091306F" w:rsidRDefault="0091306F" w:rsidP="00EB60C1">
            <w:pPr>
              <w:pStyle w:val="Tabletext"/>
            </w:pPr>
            <w:r>
              <w:t xml:space="preserve">Patients may be accommodated in a Medi-Hotel when receiving outpatient care and this activity should be reported to </w:t>
            </w:r>
            <w:r w:rsidR="00C17A11">
              <w:t xml:space="preserve">the </w:t>
            </w:r>
            <w:r>
              <w:t>VINAH</w:t>
            </w:r>
            <w:r w:rsidR="00C17A11">
              <w:t xml:space="preserve"> MDS</w:t>
            </w:r>
            <w:r>
              <w:t>.</w:t>
            </w:r>
          </w:p>
          <w:p w14:paraId="5FE9685F" w14:textId="646C48C8" w:rsidR="004621AA" w:rsidRDefault="0091306F" w:rsidP="00EB60C1">
            <w:pPr>
              <w:pStyle w:val="Tabletext"/>
            </w:pPr>
            <w:r>
              <w:t>A public hospital must be registered in its Health Service Agreement and/or Statement of Priorities to provide a Medi</w:t>
            </w:r>
            <w:r w:rsidR="000E2C15">
              <w:t>-</w:t>
            </w:r>
            <w:r>
              <w:t>Hotel service. The use of a Medi</w:t>
            </w:r>
            <w:r w:rsidR="000E2C15">
              <w:t>-</w:t>
            </w:r>
            <w:r>
              <w:t>Hotel is voluntary for the patient.</w:t>
            </w:r>
          </w:p>
          <w:p w14:paraId="791908EA" w14:textId="240E9EA8" w:rsidR="004621AA" w:rsidRPr="0031469D" w:rsidRDefault="004621AA" w:rsidP="00EB60C1">
            <w:pPr>
              <w:pStyle w:val="Tabletext"/>
            </w:pPr>
          </w:p>
        </w:tc>
      </w:tr>
      <w:tr w:rsidR="00DD478C" w14:paraId="7F896C89" w14:textId="77777777" w:rsidTr="00DD478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01" w:type="dxa"/>
            <w:tcBorders>
              <w:top w:val="nil"/>
              <w:left w:val="nil"/>
              <w:bottom w:val="nil"/>
              <w:right w:val="nil"/>
            </w:tcBorders>
          </w:tcPr>
          <w:p w14:paraId="75129778" w14:textId="77777777" w:rsidR="00DD478C" w:rsidRPr="00EB60C1" w:rsidRDefault="00DD478C" w:rsidP="005E74E1">
            <w:pPr>
              <w:pStyle w:val="Tabletext"/>
              <w:rPr>
                <w:rStyle w:val="Strong"/>
              </w:rPr>
            </w:pPr>
            <w:bookmarkStart w:id="42" w:name="_Toc43198351"/>
            <w:bookmarkStart w:id="43" w:name="_Toc67035570"/>
            <w:r w:rsidRPr="00EB60C1">
              <w:rPr>
                <w:rStyle w:val="Strong"/>
              </w:rPr>
              <w:lastRenderedPageBreak/>
              <w:t xml:space="preserve">Refer to </w:t>
            </w:r>
          </w:p>
        </w:tc>
        <w:tc>
          <w:tcPr>
            <w:tcW w:w="7587" w:type="dxa"/>
            <w:tcBorders>
              <w:top w:val="nil"/>
              <w:left w:val="nil"/>
              <w:bottom w:val="nil"/>
              <w:right w:val="nil"/>
            </w:tcBorders>
          </w:tcPr>
          <w:p w14:paraId="6549BC1F" w14:textId="77777777" w:rsidR="00DD478C" w:rsidRPr="00B77036" w:rsidRDefault="00DD478C" w:rsidP="00DD478C">
            <w:pPr>
              <w:pStyle w:val="Bodynospace"/>
              <w:spacing w:before="80" w:after="60" w:line="240" w:lineRule="auto"/>
              <w:rPr>
                <w:b/>
              </w:rPr>
            </w:pPr>
            <w:r w:rsidRPr="00B77036">
              <w:t>Section 2: Program</w:t>
            </w:r>
          </w:p>
          <w:p w14:paraId="58C2CFE5" w14:textId="77777777" w:rsidR="00DD478C" w:rsidRPr="00B77036" w:rsidRDefault="00DD478C" w:rsidP="00DD478C">
            <w:pPr>
              <w:pStyle w:val="Bodynospace"/>
              <w:spacing w:before="80" w:after="60" w:line="240" w:lineRule="auto"/>
            </w:pPr>
            <w:r w:rsidRPr="00B77036">
              <w:t xml:space="preserve">Section 2: Programs reporting to </w:t>
            </w:r>
            <w:r>
              <w:t xml:space="preserve">the </w:t>
            </w:r>
            <w:r w:rsidRPr="00B77036">
              <w:t>VINAH</w:t>
            </w:r>
            <w:r>
              <w:t xml:space="preserve"> MDS</w:t>
            </w:r>
          </w:p>
          <w:p w14:paraId="44AE6DD7" w14:textId="77777777" w:rsidR="00DD478C" w:rsidRPr="00B77036" w:rsidRDefault="00DD478C" w:rsidP="00DD478C">
            <w:pPr>
              <w:pStyle w:val="Bodynospace"/>
              <w:spacing w:before="80" w:after="60" w:line="240" w:lineRule="auto"/>
            </w:pPr>
            <w:r w:rsidRPr="00B77036">
              <w:t>Section 2: Stream</w:t>
            </w:r>
          </w:p>
          <w:p w14:paraId="72B8AF4A" w14:textId="77777777" w:rsidR="00DD478C" w:rsidRPr="00B77036" w:rsidRDefault="00DD478C" w:rsidP="00DD478C">
            <w:pPr>
              <w:pStyle w:val="Bodynospace"/>
              <w:spacing w:before="80" w:after="60" w:line="240" w:lineRule="auto"/>
            </w:pPr>
            <w:r w:rsidRPr="00B77036">
              <w:t>Section 3: Episode program/stream</w:t>
            </w:r>
          </w:p>
          <w:p w14:paraId="32299016" w14:textId="77777777" w:rsidR="00DD478C" w:rsidRPr="00574E6E" w:rsidRDefault="00DD478C" w:rsidP="00DD478C">
            <w:pPr>
              <w:pStyle w:val="Bodynospace"/>
              <w:spacing w:before="80" w:after="60" w:line="240" w:lineRule="auto"/>
            </w:pPr>
            <w:r w:rsidRPr="00B77036">
              <w:t>Section 3: Referral in program/stream</w:t>
            </w:r>
          </w:p>
        </w:tc>
      </w:tr>
    </w:tbl>
    <w:p w14:paraId="24DA075D" w14:textId="77777777" w:rsidR="0091306F" w:rsidRDefault="0091306F" w:rsidP="0091306F">
      <w:pPr>
        <w:pStyle w:val="Heading2"/>
      </w:pPr>
      <w:bookmarkStart w:id="44" w:name="_Toc101788766"/>
      <w:r>
        <w:t>Palliative Care (PC)</w:t>
      </w:r>
      <w:bookmarkEnd w:id="42"/>
      <w:bookmarkEnd w:id="43"/>
      <w:bookmarkEnd w:id="44"/>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7587"/>
      </w:tblGrid>
      <w:tr w:rsidR="0091306F" w14:paraId="268A11BB" w14:textId="77777777" w:rsidTr="0091306F">
        <w:tc>
          <w:tcPr>
            <w:tcW w:w="1701" w:type="dxa"/>
          </w:tcPr>
          <w:p w14:paraId="5B594B8E" w14:textId="77777777" w:rsidR="0091306F" w:rsidRPr="00E873B3" w:rsidRDefault="0091306F" w:rsidP="00E873B3">
            <w:pPr>
              <w:pStyle w:val="Tabletext"/>
              <w:rPr>
                <w:rStyle w:val="Strong"/>
              </w:rPr>
            </w:pPr>
            <w:r w:rsidRPr="00E873B3">
              <w:rPr>
                <w:rStyle w:val="Strong"/>
              </w:rPr>
              <w:t>Definition</w:t>
            </w:r>
          </w:p>
        </w:tc>
        <w:tc>
          <w:tcPr>
            <w:tcW w:w="7587" w:type="dxa"/>
          </w:tcPr>
          <w:p w14:paraId="10E1BE17" w14:textId="77777777" w:rsidR="0091306F" w:rsidRDefault="0091306F" w:rsidP="00EB60C1">
            <w:pPr>
              <w:pStyle w:val="Tabletext"/>
            </w:pPr>
            <w:r w:rsidRPr="00B601F4">
              <w:t>Care in which the clinical intent or treatment goal is primarily quality of life for a patient with an active, progressive disease with little or no prospect of cure. It is usually evidenced by an interdisciplinary assessment and/or management of the physical, psychological, emotional and spiritual needs of the patient; and grief and bereavement support service for the patient and their carers/family.</w:t>
            </w:r>
          </w:p>
          <w:p w14:paraId="0BB47F73" w14:textId="14B578A3" w:rsidR="00E51041" w:rsidRPr="00B601F4" w:rsidRDefault="00E51041" w:rsidP="00EB60C1">
            <w:pPr>
              <w:pStyle w:val="Tabletext"/>
            </w:pPr>
          </w:p>
        </w:tc>
      </w:tr>
      <w:tr w:rsidR="0091306F" w14:paraId="1B0F4967" w14:textId="77777777" w:rsidTr="0091306F">
        <w:tc>
          <w:tcPr>
            <w:tcW w:w="1701" w:type="dxa"/>
          </w:tcPr>
          <w:p w14:paraId="19D6FA31" w14:textId="77777777" w:rsidR="0091306F" w:rsidRPr="00E873B3" w:rsidRDefault="0091306F" w:rsidP="00E873B3">
            <w:pPr>
              <w:pStyle w:val="Tabletext"/>
              <w:rPr>
                <w:rStyle w:val="Strong"/>
              </w:rPr>
            </w:pPr>
            <w:r w:rsidRPr="00E873B3">
              <w:rPr>
                <w:rStyle w:val="Strong"/>
              </w:rPr>
              <w:t>Guide for use</w:t>
            </w:r>
          </w:p>
        </w:tc>
        <w:tc>
          <w:tcPr>
            <w:tcW w:w="7587" w:type="dxa"/>
          </w:tcPr>
          <w:p w14:paraId="6748F9AC" w14:textId="77777777" w:rsidR="0091306F" w:rsidRDefault="0091306F" w:rsidP="00EB60C1">
            <w:pPr>
              <w:pStyle w:val="Tabletext"/>
            </w:pPr>
            <w:r>
              <w:t>Palliative care (WHO definition):</w:t>
            </w:r>
          </w:p>
          <w:p w14:paraId="759F2D73" w14:textId="77777777" w:rsidR="0091306F" w:rsidRDefault="0091306F" w:rsidP="00EB60C1">
            <w:pPr>
              <w:pStyle w:val="Tablebullet1"/>
            </w:pPr>
            <w:r>
              <w:t>provides relief from pain and other distressing symptoms</w:t>
            </w:r>
          </w:p>
          <w:p w14:paraId="769F792E" w14:textId="77777777" w:rsidR="0091306F" w:rsidRDefault="0091306F" w:rsidP="00EB60C1">
            <w:pPr>
              <w:pStyle w:val="Tablebullet1"/>
            </w:pPr>
            <w:r>
              <w:t>affirms life and regards dying as a normal process</w:t>
            </w:r>
          </w:p>
          <w:p w14:paraId="5EF8C2D5" w14:textId="77777777" w:rsidR="0091306F" w:rsidRDefault="0091306F" w:rsidP="00EB60C1">
            <w:pPr>
              <w:pStyle w:val="Tablebullet1"/>
            </w:pPr>
            <w:r>
              <w:t>intends neither to hasten or postpone death</w:t>
            </w:r>
          </w:p>
          <w:p w14:paraId="08575F97" w14:textId="7886BFC6" w:rsidR="0091306F" w:rsidRDefault="0091306F" w:rsidP="00EB60C1">
            <w:pPr>
              <w:pStyle w:val="Tablebullet1"/>
            </w:pPr>
            <w:r>
              <w:t>integrates the psychological and spiritual aspects of patient care</w:t>
            </w:r>
          </w:p>
          <w:p w14:paraId="1AFAE126" w14:textId="77777777" w:rsidR="0091306F" w:rsidRDefault="0091306F" w:rsidP="00EB60C1">
            <w:pPr>
              <w:pStyle w:val="Tablebullet1"/>
            </w:pPr>
            <w:r>
              <w:t>offers a support system to help patients live as actively as possible until death</w:t>
            </w:r>
          </w:p>
          <w:p w14:paraId="259C389C" w14:textId="77777777" w:rsidR="0091306F" w:rsidRDefault="0091306F" w:rsidP="00EB60C1">
            <w:pPr>
              <w:pStyle w:val="Tablebullet1"/>
            </w:pPr>
            <w:r>
              <w:t>offers a support system to help the family cope during the patient's illness and in their own bereavement</w:t>
            </w:r>
          </w:p>
          <w:p w14:paraId="75348F49" w14:textId="77777777" w:rsidR="0091306F" w:rsidRDefault="0091306F" w:rsidP="00EB60C1">
            <w:pPr>
              <w:pStyle w:val="Tablebullet1"/>
            </w:pPr>
            <w:r>
              <w:t>uses a team approach to address the needs of patients and their families, including bereavement counselling, if indicated</w:t>
            </w:r>
          </w:p>
          <w:p w14:paraId="7C69E2D2" w14:textId="77777777" w:rsidR="0091306F" w:rsidRDefault="0091306F" w:rsidP="00EB60C1">
            <w:pPr>
              <w:pStyle w:val="Tablebullet1"/>
            </w:pPr>
            <w:r>
              <w:t>will enhance quality of life, and may also positively influence the course of illness</w:t>
            </w:r>
          </w:p>
          <w:p w14:paraId="052F8382" w14:textId="77777777" w:rsidR="0091306F" w:rsidRDefault="0091306F" w:rsidP="00EB60C1">
            <w:pPr>
              <w:pStyle w:val="Tablebullet1"/>
            </w:pPr>
            <w:r>
              <w:t>is applicable early in the course of illness, in conjunction with other therapies that are intended to prolong life, such as chemotherapy or radiation therapy, and includes those investigations needed to better understand and manage distressing clinical complications.</w:t>
            </w:r>
          </w:p>
          <w:p w14:paraId="0AD4D764" w14:textId="764EB9C2" w:rsidR="0091306F" w:rsidRDefault="0091306F" w:rsidP="00EB60C1">
            <w:pPr>
              <w:pStyle w:val="Tabletext"/>
            </w:pPr>
            <w:r w:rsidRPr="00B601F4">
              <w:t>Community</w:t>
            </w:r>
            <w:r>
              <w:t xml:space="preserve"> palliative care services provide a range of services to clients in their home including</w:t>
            </w:r>
            <w:r w:rsidR="000E2C15">
              <w:t>:</w:t>
            </w:r>
            <w:r>
              <w:t xml:space="preserve"> nursing, liaison with medical practitioners, counselling for the client and their family, allied health services, complementary therapies and coordination with other services. Services comprise multidisciplinary specialist assessment and intervention for pain, symptom control or prevention whilst being treated for a disease that cannot be cured. Emotional, social, spiritual, </w:t>
            </w:r>
            <w:r>
              <w:lastRenderedPageBreak/>
              <w:t>cultural and physical aspects are considered in the provision of practical support to the patient, carers and family.</w:t>
            </w:r>
          </w:p>
          <w:p w14:paraId="014604FA" w14:textId="4671213F" w:rsidR="0091306F" w:rsidRDefault="0091306F" w:rsidP="00EB60C1">
            <w:pPr>
              <w:pStyle w:val="Tabletext"/>
            </w:pPr>
            <w:r>
              <w:t xml:space="preserve">For more information, visit: </w:t>
            </w:r>
            <w:hyperlink r:id="rId26" w:history="1">
              <w:r>
                <w:rPr>
                  <w:rStyle w:val="Hyperlink"/>
                </w:rPr>
                <w:t>palliative care webpage</w:t>
              </w:r>
            </w:hyperlink>
            <w:r>
              <w:rPr>
                <w:rStyle w:val="Hyperlink"/>
              </w:rPr>
              <w:t xml:space="preserve"> </w:t>
            </w:r>
            <w:hyperlink r:id="rId27" w:history="1">
              <w:r w:rsidR="00E51041" w:rsidRPr="00B4642B">
                <w:rPr>
                  <w:rStyle w:val="Hyperlink"/>
                </w:rPr>
                <w:t>https://www2.health.vic.gov.au/hospitals-and-health-services/patient-care/end-of-life-care/palliative-care</w:t>
              </w:r>
            </w:hyperlink>
          </w:p>
          <w:p w14:paraId="2257BD8B" w14:textId="3F4626A9" w:rsidR="00E51041" w:rsidRPr="0031469D" w:rsidRDefault="00E51041" w:rsidP="00EB60C1">
            <w:pPr>
              <w:pStyle w:val="Tabletext"/>
            </w:pPr>
          </w:p>
        </w:tc>
      </w:tr>
      <w:tr w:rsidR="0091306F" w14:paraId="2408A7A8" w14:textId="77777777" w:rsidTr="0091306F">
        <w:tc>
          <w:tcPr>
            <w:tcW w:w="1701" w:type="dxa"/>
          </w:tcPr>
          <w:p w14:paraId="347FA7F8" w14:textId="77777777" w:rsidR="0091306F" w:rsidRPr="00E873B3" w:rsidRDefault="0091306F" w:rsidP="00E873B3">
            <w:pPr>
              <w:pStyle w:val="Tabletext"/>
              <w:rPr>
                <w:rStyle w:val="Strong"/>
              </w:rPr>
            </w:pPr>
            <w:r w:rsidRPr="00E873B3">
              <w:rPr>
                <w:rStyle w:val="Strong"/>
              </w:rPr>
              <w:lastRenderedPageBreak/>
              <w:t>Refer to</w:t>
            </w:r>
          </w:p>
        </w:tc>
        <w:tc>
          <w:tcPr>
            <w:tcW w:w="7587" w:type="dxa"/>
          </w:tcPr>
          <w:p w14:paraId="205BADBC" w14:textId="77777777" w:rsidR="0091306F" w:rsidRDefault="0091306F" w:rsidP="00E873B3">
            <w:pPr>
              <w:pStyle w:val="Tabletext"/>
            </w:pPr>
            <w:r w:rsidRPr="00455369">
              <w:t>Section 2: Program</w:t>
            </w:r>
          </w:p>
          <w:p w14:paraId="7824DA90" w14:textId="27588C77" w:rsidR="0091306F" w:rsidRDefault="0091306F" w:rsidP="00E873B3">
            <w:pPr>
              <w:pStyle w:val="Tabletext"/>
            </w:pPr>
            <w:r w:rsidRPr="0028684F">
              <w:t xml:space="preserve">Section 2: Programs reporting to </w:t>
            </w:r>
            <w:r w:rsidR="00C17A11">
              <w:t xml:space="preserve">the </w:t>
            </w:r>
            <w:r w:rsidRPr="0028684F">
              <w:t>VINAH</w:t>
            </w:r>
            <w:r w:rsidR="00C17A11">
              <w:t xml:space="preserve"> MDS</w:t>
            </w:r>
          </w:p>
          <w:p w14:paraId="38E1BB47" w14:textId="77777777" w:rsidR="0091306F" w:rsidRDefault="0091306F" w:rsidP="00E873B3">
            <w:pPr>
              <w:pStyle w:val="Tabletext"/>
            </w:pPr>
            <w:r w:rsidRPr="0028684F">
              <w:t>Section 2: Stream</w:t>
            </w:r>
          </w:p>
          <w:p w14:paraId="46DA5B19" w14:textId="77777777" w:rsidR="0091306F" w:rsidRDefault="0091306F" w:rsidP="00E873B3">
            <w:pPr>
              <w:pStyle w:val="Tabletext"/>
            </w:pPr>
            <w:r w:rsidRPr="0028684F">
              <w:t xml:space="preserve">Section 3: Episode </w:t>
            </w:r>
            <w:r>
              <w:t>p</w:t>
            </w:r>
            <w:r w:rsidRPr="0028684F">
              <w:t>rogram/</w:t>
            </w:r>
            <w:r>
              <w:t>s</w:t>
            </w:r>
            <w:r w:rsidRPr="0028684F">
              <w:t>tream</w:t>
            </w:r>
          </w:p>
          <w:p w14:paraId="41E5B2C9" w14:textId="1AEA0BCA" w:rsidR="004621AA" w:rsidRDefault="0091306F" w:rsidP="00E873B3">
            <w:pPr>
              <w:pStyle w:val="Tabletext"/>
            </w:pPr>
            <w:r w:rsidRPr="0028684F">
              <w:t xml:space="preserve">Section 3: Referral </w:t>
            </w:r>
            <w:r>
              <w:t>i</w:t>
            </w:r>
            <w:r w:rsidRPr="0028684F">
              <w:t xml:space="preserve">n </w:t>
            </w:r>
            <w:r>
              <w:t>p</w:t>
            </w:r>
            <w:r w:rsidRPr="0028684F">
              <w:t>rogram/</w:t>
            </w:r>
            <w:r>
              <w:t>s</w:t>
            </w:r>
            <w:r w:rsidRPr="0028684F">
              <w:t>tream</w:t>
            </w:r>
          </w:p>
        </w:tc>
      </w:tr>
    </w:tbl>
    <w:p w14:paraId="7B149B50" w14:textId="77777777" w:rsidR="0091306F" w:rsidRDefault="0091306F" w:rsidP="0091306F">
      <w:pPr>
        <w:pStyle w:val="Heading2"/>
      </w:pPr>
      <w:bookmarkStart w:id="45" w:name="_Toc43198352"/>
      <w:bookmarkStart w:id="46" w:name="_Toc67035571"/>
      <w:bookmarkStart w:id="47" w:name="_Toc101788767"/>
      <w:r>
        <w:t>Patient/Client</w:t>
      </w:r>
      <w:bookmarkEnd w:id="45"/>
      <w:bookmarkEnd w:id="46"/>
      <w:bookmarkEnd w:id="47"/>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7587"/>
      </w:tblGrid>
      <w:tr w:rsidR="0091306F" w14:paraId="16A07FCC" w14:textId="77777777" w:rsidTr="0091306F">
        <w:tc>
          <w:tcPr>
            <w:tcW w:w="1701" w:type="dxa"/>
          </w:tcPr>
          <w:p w14:paraId="6097509C" w14:textId="77777777" w:rsidR="0091306F" w:rsidRPr="00E873B3" w:rsidRDefault="0091306F" w:rsidP="00E873B3">
            <w:pPr>
              <w:pStyle w:val="Tabletext"/>
              <w:rPr>
                <w:rStyle w:val="Strong"/>
              </w:rPr>
            </w:pPr>
            <w:r w:rsidRPr="00E873B3">
              <w:rPr>
                <w:rStyle w:val="Strong"/>
              </w:rPr>
              <w:t>Definition</w:t>
            </w:r>
          </w:p>
        </w:tc>
        <w:tc>
          <w:tcPr>
            <w:tcW w:w="7587" w:type="dxa"/>
          </w:tcPr>
          <w:p w14:paraId="3710696E" w14:textId="77777777" w:rsidR="0091306F" w:rsidRDefault="0091306F" w:rsidP="00E873B3">
            <w:pPr>
              <w:pStyle w:val="Tabletext"/>
            </w:pPr>
            <w:r w:rsidRPr="00B601F4">
              <w:t xml:space="preserve">A patient/client is a person for whom an organisation accepts responsibility for providing treatment and/or care delivered in programs reporting to </w:t>
            </w:r>
            <w:r w:rsidR="00C17A11">
              <w:t xml:space="preserve">the </w:t>
            </w:r>
            <w:r w:rsidRPr="00B601F4">
              <w:t>VINAH</w:t>
            </w:r>
            <w:r w:rsidR="00C17A11">
              <w:t xml:space="preserve"> MDS</w:t>
            </w:r>
            <w:r w:rsidRPr="00B601F4">
              <w:t>.</w:t>
            </w:r>
          </w:p>
          <w:p w14:paraId="27FC56F3" w14:textId="66611FDE" w:rsidR="00E51041" w:rsidRPr="00B601F4" w:rsidRDefault="00E51041" w:rsidP="00E873B3">
            <w:pPr>
              <w:pStyle w:val="Tabletext"/>
            </w:pPr>
          </w:p>
        </w:tc>
      </w:tr>
      <w:tr w:rsidR="0091306F" w14:paraId="6D737FE6" w14:textId="77777777" w:rsidTr="0091306F">
        <w:tc>
          <w:tcPr>
            <w:tcW w:w="1701" w:type="dxa"/>
          </w:tcPr>
          <w:p w14:paraId="26536E95" w14:textId="77777777" w:rsidR="0091306F" w:rsidRPr="00E873B3" w:rsidRDefault="0091306F" w:rsidP="00E873B3">
            <w:pPr>
              <w:pStyle w:val="Tabletext"/>
              <w:rPr>
                <w:rStyle w:val="Strong"/>
              </w:rPr>
            </w:pPr>
            <w:r w:rsidRPr="00E873B3">
              <w:rPr>
                <w:rStyle w:val="Strong"/>
              </w:rPr>
              <w:t>Guide for use</w:t>
            </w:r>
          </w:p>
        </w:tc>
        <w:tc>
          <w:tcPr>
            <w:tcW w:w="7587" w:type="dxa"/>
          </w:tcPr>
          <w:p w14:paraId="0015396F" w14:textId="77777777" w:rsidR="0091306F" w:rsidRDefault="0091306F" w:rsidP="00E873B3">
            <w:pPr>
              <w:pStyle w:val="Tabletext"/>
            </w:pPr>
            <w:r w:rsidRPr="00B601F4">
              <w:t>Services provided to the patient/client’s carer(s) and/or family (for example, counselling, education) may be reported on the patient/client’s episode, whether or not the patient/client is present when these services are delivered. The carer is not, in these situations, considered to be a patient/client in their own right, even if the patient/client is deceased (which may be the case for the Palliative Care program).</w:t>
            </w:r>
          </w:p>
          <w:p w14:paraId="69C609D1" w14:textId="0BA97C61" w:rsidR="00E51041" w:rsidRPr="0031469D" w:rsidRDefault="00E51041" w:rsidP="00E873B3">
            <w:pPr>
              <w:pStyle w:val="Tabletext"/>
            </w:pPr>
          </w:p>
        </w:tc>
      </w:tr>
      <w:tr w:rsidR="0091306F" w14:paraId="38A350E9" w14:textId="77777777" w:rsidTr="0091306F">
        <w:tc>
          <w:tcPr>
            <w:tcW w:w="1701" w:type="dxa"/>
          </w:tcPr>
          <w:p w14:paraId="02FE86C1" w14:textId="77777777" w:rsidR="0091306F" w:rsidRPr="00E873B3" w:rsidRDefault="0091306F" w:rsidP="00E873B3">
            <w:pPr>
              <w:pStyle w:val="Tabletext"/>
              <w:rPr>
                <w:rStyle w:val="Strong"/>
              </w:rPr>
            </w:pPr>
            <w:r w:rsidRPr="00E873B3">
              <w:rPr>
                <w:rStyle w:val="Strong"/>
              </w:rPr>
              <w:t>Refer to</w:t>
            </w:r>
          </w:p>
        </w:tc>
        <w:tc>
          <w:tcPr>
            <w:tcW w:w="7587" w:type="dxa"/>
          </w:tcPr>
          <w:p w14:paraId="798458AD" w14:textId="77777777" w:rsidR="0091306F" w:rsidRDefault="0091306F" w:rsidP="00E873B3">
            <w:pPr>
              <w:pStyle w:val="Tabletext"/>
            </w:pPr>
            <w:r>
              <w:t>Section 2: Client service event (concept definition)</w:t>
            </w:r>
          </w:p>
          <w:p w14:paraId="654AD863" w14:textId="77777777" w:rsidR="0091306F" w:rsidRDefault="0091306F" w:rsidP="00E873B3">
            <w:pPr>
              <w:pStyle w:val="Tabletext"/>
            </w:pPr>
            <w:r>
              <w:t>Section 2: Contact</w:t>
            </w:r>
          </w:p>
          <w:p w14:paraId="035C4255" w14:textId="77777777" w:rsidR="0091306F" w:rsidRDefault="0091306F" w:rsidP="00E873B3">
            <w:pPr>
              <w:pStyle w:val="Tabletext"/>
            </w:pPr>
            <w:r>
              <w:t>Section 2: Group sessions</w:t>
            </w:r>
          </w:p>
          <w:p w14:paraId="05696DBB" w14:textId="77777777" w:rsidR="0091306F" w:rsidRDefault="0091306F" w:rsidP="00E873B3">
            <w:pPr>
              <w:pStyle w:val="Tabletext"/>
            </w:pPr>
            <w:r>
              <w:t>Section 3: Contact client present status</w:t>
            </w:r>
          </w:p>
        </w:tc>
      </w:tr>
    </w:tbl>
    <w:p w14:paraId="6C63DA67" w14:textId="77777777" w:rsidR="0091306F" w:rsidRDefault="0091306F" w:rsidP="0091306F">
      <w:pPr>
        <w:pStyle w:val="Heading2"/>
      </w:pPr>
      <w:bookmarkStart w:id="48" w:name="_Toc43198353"/>
      <w:bookmarkStart w:id="49" w:name="_Toc67035572"/>
      <w:bookmarkStart w:id="50" w:name="_Toc101788768"/>
      <w:r>
        <w:t>Post Acute Care (PAC)</w:t>
      </w:r>
      <w:bookmarkEnd w:id="48"/>
      <w:bookmarkEnd w:id="49"/>
      <w:bookmarkEnd w:id="50"/>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7587"/>
      </w:tblGrid>
      <w:tr w:rsidR="0091306F" w14:paraId="68E4E1E9" w14:textId="77777777" w:rsidTr="0091306F">
        <w:tc>
          <w:tcPr>
            <w:tcW w:w="1701" w:type="dxa"/>
          </w:tcPr>
          <w:p w14:paraId="4DBE8080" w14:textId="77777777" w:rsidR="0091306F" w:rsidRPr="00E873B3" w:rsidRDefault="0091306F" w:rsidP="00E873B3">
            <w:pPr>
              <w:pStyle w:val="Tabletext"/>
              <w:rPr>
                <w:rStyle w:val="Strong"/>
              </w:rPr>
            </w:pPr>
            <w:r w:rsidRPr="00E873B3">
              <w:rPr>
                <w:rStyle w:val="Strong"/>
              </w:rPr>
              <w:t>Definition</w:t>
            </w:r>
          </w:p>
        </w:tc>
        <w:tc>
          <w:tcPr>
            <w:tcW w:w="7587" w:type="dxa"/>
          </w:tcPr>
          <w:p w14:paraId="10A65DDE" w14:textId="41965B51" w:rsidR="0091306F" w:rsidRDefault="0091306F" w:rsidP="00EB60C1">
            <w:pPr>
              <w:pStyle w:val="Tabletext"/>
            </w:pPr>
            <w:r w:rsidRPr="00B601F4">
              <w:t>PAC provides services to people following discharge from a public hospital (acute or subacute) inpatient stay or following an emergency department presentation. The services provided are based on a person’s individually assessed needs and delivered via a brokerage service model with the core function being care coordination.</w:t>
            </w:r>
          </w:p>
          <w:p w14:paraId="20549BAC" w14:textId="49490089" w:rsidR="00E51041" w:rsidRPr="00B601F4" w:rsidRDefault="00E51041" w:rsidP="00EB60C1">
            <w:pPr>
              <w:pStyle w:val="Tabletext"/>
            </w:pPr>
          </w:p>
        </w:tc>
      </w:tr>
      <w:tr w:rsidR="0091306F" w14:paraId="03217F1C" w14:textId="77777777" w:rsidTr="0091306F">
        <w:tc>
          <w:tcPr>
            <w:tcW w:w="1701" w:type="dxa"/>
          </w:tcPr>
          <w:p w14:paraId="2FBB8BFA" w14:textId="77777777" w:rsidR="0091306F" w:rsidRPr="00E873B3" w:rsidRDefault="0091306F" w:rsidP="00E873B3">
            <w:pPr>
              <w:pStyle w:val="Tabletext"/>
              <w:rPr>
                <w:rStyle w:val="Strong"/>
              </w:rPr>
            </w:pPr>
            <w:r w:rsidRPr="00E873B3">
              <w:rPr>
                <w:rStyle w:val="Strong"/>
              </w:rPr>
              <w:t>Guide for use</w:t>
            </w:r>
          </w:p>
        </w:tc>
        <w:tc>
          <w:tcPr>
            <w:tcW w:w="7587" w:type="dxa"/>
          </w:tcPr>
          <w:p w14:paraId="48F5B19D" w14:textId="403A175B" w:rsidR="0091306F" w:rsidRDefault="0091306F" w:rsidP="00EB60C1">
            <w:pPr>
              <w:pStyle w:val="Tabletext"/>
            </w:pPr>
            <w:r>
              <w:t>The PAC program was established with the objective of supporting recuperation after hospitalisation by providing an appropriate package of community-based supports to facilitate safe and timely discharge, and at the same time aims to prevent hospital readmission.</w:t>
            </w:r>
          </w:p>
          <w:p w14:paraId="14ABABEE" w14:textId="52C891BF" w:rsidR="0091306F" w:rsidRDefault="0091306F" w:rsidP="00EB60C1">
            <w:pPr>
              <w:pStyle w:val="Tabletext"/>
            </w:pPr>
            <w:r>
              <w:t>PAC delivers flexible service delivery and works in conjunction with</w:t>
            </w:r>
            <w:r w:rsidR="000E2C15">
              <w:t>,</w:t>
            </w:r>
            <w:r>
              <w:t xml:space="preserve"> but does not replace</w:t>
            </w:r>
            <w:r w:rsidR="000E2C15">
              <w:t>,</w:t>
            </w:r>
            <w:r>
              <w:t xml:space="preserve"> the services provided by other programs such as</w:t>
            </w:r>
            <w:r w:rsidR="000E2C15">
              <w:t>:</w:t>
            </w:r>
            <w:r>
              <w:t xml:space="preserve"> Home and Community Care (HACC), Subacute Ambulatory Care Services (SACS), and Hospital Admission Risk Program (HARP). PAC offers short-term support to clients following hospitalisation and will continue to provide the support until the client is linked into ongoing community supports if required. The Department of </w:t>
            </w:r>
            <w:r>
              <w:lastRenderedPageBreak/>
              <w:t>Veterans’ Affairs and Transport Accident Commission clients can also access PAC services.</w:t>
            </w:r>
          </w:p>
          <w:p w14:paraId="18EF7F69" w14:textId="77777777" w:rsidR="0091306F" w:rsidRDefault="0091306F" w:rsidP="00EB60C1">
            <w:pPr>
              <w:pStyle w:val="Tabletext"/>
            </w:pPr>
            <w:r>
              <w:t>The most common services provided by PAC include:</w:t>
            </w:r>
          </w:p>
          <w:p w14:paraId="36F7B098" w14:textId="738C239A" w:rsidR="0091306F" w:rsidRDefault="0091306F" w:rsidP="00EB60C1">
            <w:pPr>
              <w:pStyle w:val="Tablebullet1"/>
            </w:pPr>
            <w:r>
              <w:t>community nursing</w:t>
            </w:r>
          </w:p>
          <w:p w14:paraId="573E7BB4" w14:textId="623EB544" w:rsidR="0091306F" w:rsidRDefault="0091306F" w:rsidP="00EB60C1">
            <w:pPr>
              <w:pStyle w:val="Tablebullet1"/>
            </w:pPr>
            <w:r>
              <w:t>personal care</w:t>
            </w:r>
          </w:p>
          <w:p w14:paraId="131C82FB" w14:textId="77777777" w:rsidR="0091306F" w:rsidRDefault="0091306F" w:rsidP="00EB60C1">
            <w:pPr>
              <w:pStyle w:val="Tablebullet1"/>
            </w:pPr>
            <w:r>
              <w:t>home care services arranged by PAC are provided for the duration of the recuperative period and are generally of a short-term nature.</w:t>
            </w:r>
          </w:p>
          <w:p w14:paraId="1635D64A" w14:textId="1ABCE851" w:rsidR="0091306F" w:rsidRDefault="0091306F" w:rsidP="00EB60C1">
            <w:pPr>
              <w:pStyle w:val="Tabletext"/>
            </w:pPr>
            <w:r>
              <w:t>Care co-</w:t>
            </w:r>
            <w:r w:rsidRPr="00B601F4">
              <w:t>ordination</w:t>
            </w:r>
            <w:r>
              <w:t>, rapid response to short time frames, flexibility to deliver tailored packages and service interface between hospital and community sectors are core features of PAC that enable the delivery of its objectives</w:t>
            </w:r>
            <w:r w:rsidR="000E2C15">
              <w:t>.</w:t>
            </w:r>
          </w:p>
          <w:p w14:paraId="47D9A1D0" w14:textId="596BC372" w:rsidR="00E51041" w:rsidRPr="0031469D" w:rsidRDefault="00E51041" w:rsidP="00EB60C1">
            <w:pPr>
              <w:pStyle w:val="Tabletext"/>
            </w:pPr>
          </w:p>
        </w:tc>
      </w:tr>
      <w:tr w:rsidR="0091306F" w14:paraId="319E3685" w14:textId="77777777" w:rsidTr="0091306F">
        <w:tc>
          <w:tcPr>
            <w:tcW w:w="1701" w:type="dxa"/>
          </w:tcPr>
          <w:p w14:paraId="371600C8" w14:textId="77777777" w:rsidR="0091306F" w:rsidRPr="00E873B3" w:rsidRDefault="0091306F" w:rsidP="00E873B3">
            <w:pPr>
              <w:pStyle w:val="Tabletext"/>
              <w:rPr>
                <w:rStyle w:val="Strong"/>
              </w:rPr>
            </w:pPr>
            <w:r w:rsidRPr="00E873B3">
              <w:rPr>
                <w:rStyle w:val="Strong"/>
              </w:rPr>
              <w:lastRenderedPageBreak/>
              <w:t>Refer to</w:t>
            </w:r>
          </w:p>
        </w:tc>
        <w:tc>
          <w:tcPr>
            <w:tcW w:w="7587" w:type="dxa"/>
          </w:tcPr>
          <w:p w14:paraId="6228C78E" w14:textId="77777777" w:rsidR="0091306F" w:rsidRDefault="0091306F" w:rsidP="00E873B3">
            <w:pPr>
              <w:pStyle w:val="Tabletext"/>
            </w:pPr>
            <w:r>
              <w:t>Section 2: Program</w:t>
            </w:r>
          </w:p>
          <w:p w14:paraId="517C8DB1" w14:textId="239D1A98" w:rsidR="0091306F" w:rsidRDefault="0091306F" w:rsidP="00E873B3">
            <w:pPr>
              <w:pStyle w:val="Tabletext"/>
            </w:pPr>
            <w:r>
              <w:t>Section 2: Programs reporting to</w:t>
            </w:r>
            <w:r w:rsidR="00C17A11">
              <w:t xml:space="preserve"> the</w:t>
            </w:r>
            <w:r>
              <w:t xml:space="preserve"> VINAH</w:t>
            </w:r>
            <w:r w:rsidR="00C17A11">
              <w:t xml:space="preserve"> MDS</w:t>
            </w:r>
          </w:p>
          <w:p w14:paraId="3254A9DA" w14:textId="77777777" w:rsidR="0091306F" w:rsidRDefault="0091306F" w:rsidP="00E873B3">
            <w:pPr>
              <w:pStyle w:val="Tabletext"/>
            </w:pPr>
            <w:r>
              <w:t>Section 2: Stream</w:t>
            </w:r>
          </w:p>
          <w:p w14:paraId="7504CEE8" w14:textId="77777777" w:rsidR="0091306F" w:rsidRDefault="0091306F" w:rsidP="00E873B3">
            <w:pPr>
              <w:pStyle w:val="Tabletext"/>
            </w:pPr>
            <w:r>
              <w:t>Section 3: Episode program/stream</w:t>
            </w:r>
          </w:p>
          <w:p w14:paraId="54829BC2" w14:textId="77777777" w:rsidR="0091306F" w:rsidRDefault="0091306F" w:rsidP="00E873B3">
            <w:pPr>
              <w:pStyle w:val="Tabletext"/>
            </w:pPr>
            <w:r>
              <w:t>Section 3: Referral in program/stream</w:t>
            </w:r>
          </w:p>
        </w:tc>
      </w:tr>
    </w:tbl>
    <w:p w14:paraId="1D9E6C60" w14:textId="77777777" w:rsidR="0091306F" w:rsidRPr="003072C6" w:rsidRDefault="0091306F" w:rsidP="0091306F">
      <w:pPr>
        <w:pStyle w:val="Heading2"/>
      </w:pPr>
      <w:bookmarkStart w:id="51" w:name="_Toc43198354"/>
      <w:bookmarkStart w:id="52" w:name="_Toc67035573"/>
      <w:bookmarkStart w:id="53" w:name="_Toc101788769"/>
      <w:r>
        <w:t>Program</w:t>
      </w:r>
      <w:bookmarkEnd w:id="51"/>
      <w:bookmarkEnd w:id="52"/>
      <w:bookmarkEnd w:id="53"/>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7587"/>
      </w:tblGrid>
      <w:tr w:rsidR="0091306F" w14:paraId="4ECA7B36" w14:textId="77777777" w:rsidTr="0091306F">
        <w:tc>
          <w:tcPr>
            <w:tcW w:w="1701" w:type="dxa"/>
          </w:tcPr>
          <w:p w14:paraId="61B07378" w14:textId="77777777" w:rsidR="0091306F" w:rsidRPr="00E873B3" w:rsidRDefault="0091306F" w:rsidP="00E873B3">
            <w:pPr>
              <w:pStyle w:val="Tabletext"/>
              <w:rPr>
                <w:rStyle w:val="Strong"/>
              </w:rPr>
            </w:pPr>
            <w:r w:rsidRPr="00E873B3">
              <w:rPr>
                <w:rStyle w:val="Strong"/>
              </w:rPr>
              <w:t>Definition</w:t>
            </w:r>
          </w:p>
        </w:tc>
        <w:tc>
          <w:tcPr>
            <w:tcW w:w="7587" w:type="dxa"/>
          </w:tcPr>
          <w:p w14:paraId="57C6B783" w14:textId="5C293381" w:rsidR="0091306F" w:rsidRDefault="0091306F" w:rsidP="00E873B3">
            <w:pPr>
              <w:pStyle w:val="Tabletext"/>
            </w:pPr>
            <w:r w:rsidRPr="000507AF">
              <w:t>A grouping of services or patients/clients within an agreed framework, generally along departmental funding lines. Each program has particular attributes, such as policy, objectives, eligibility and assessment/monitoring criteria.</w:t>
            </w:r>
          </w:p>
          <w:p w14:paraId="494A9F34" w14:textId="2A6AA19C" w:rsidR="00E51041" w:rsidRPr="00B601F4" w:rsidRDefault="00E51041" w:rsidP="00E873B3">
            <w:pPr>
              <w:pStyle w:val="Tabletext"/>
            </w:pPr>
          </w:p>
        </w:tc>
      </w:tr>
      <w:tr w:rsidR="0091306F" w14:paraId="3B1941D1" w14:textId="77777777" w:rsidTr="0091306F">
        <w:tc>
          <w:tcPr>
            <w:tcW w:w="1701" w:type="dxa"/>
          </w:tcPr>
          <w:p w14:paraId="48E5A0FB" w14:textId="77777777" w:rsidR="0091306F" w:rsidRPr="00E873B3" w:rsidRDefault="0091306F" w:rsidP="00E873B3">
            <w:pPr>
              <w:pStyle w:val="Tabletext"/>
              <w:rPr>
                <w:rStyle w:val="Strong"/>
              </w:rPr>
            </w:pPr>
            <w:r w:rsidRPr="00E873B3">
              <w:rPr>
                <w:rStyle w:val="Strong"/>
              </w:rPr>
              <w:t>Guide for use</w:t>
            </w:r>
          </w:p>
        </w:tc>
        <w:tc>
          <w:tcPr>
            <w:tcW w:w="7587" w:type="dxa"/>
          </w:tcPr>
          <w:p w14:paraId="2C5D9946" w14:textId="77777777" w:rsidR="0091306F" w:rsidRDefault="0091306F" w:rsidP="00E873B3">
            <w:pPr>
              <w:pStyle w:val="Tabletext"/>
            </w:pPr>
            <w:r>
              <w:t>A program:</w:t>
            </w:r>
          </w:p>
          <w:p w14:paraId="1DCDCEF9" w14:textId="6FE100C8" w:rsidR="0091306F" w:rsidRDefault="0091306F" w:rsidP="00E873B3">
            <w:pPr>
              <w:pStyle w:val="Tablebullet1"/>
            </w:pPr>
            <w:r>
              <w:t xml:space="preserve">is usually equivalent to a line of </w:t>
            </w:r>
            <w:r w:rsidR="000E2C15">
              <w:t>department</w:t>
            </w:r>
            <w:r>
              <w:t xml:space="preserve"> funding, and/or</w:t>
            </w:r>
          </w:p>
          <w:p w14:paraId="7B89F74D" w14:textId="0ADD8917" w:rsidR="0091306F" w:rsidRDefault="0091306F" w:rsidP="00E873B3">
            <w:pPr>
              <w:pStyle w:val="Tablebullet1"/>
            </w:pPr>
            <w:r>
              <w:t xml:space="preserve">usually has a unit within </w:t>
            </w:r>
            <w:r w:rsidR="000E2C15">
              <w:t>the department</w:t>
            </w:r>
            <w:r>
              <w:t xml:space="preserve"> which is responsible for activities such as policy development and liaison with organisations, in relation to this service.</w:t>
            </w:r>
          </w:p>
          <w:p w14:paraId="5F88AF2C" w14:textId="77777777" w:rsidR="0091306F" w:rsidRDefault="0091306F" w:rsidP="00E873B3">
            <w:pPr>
              <w:pStyle w:val="Tabletext"/>
            </w:pPr>
            <w:r>
              <w:t>Some programs are further broken down into streams.</w:t>
            </w:r>
          </w:p>
          <w:p w14:paraId="76E144CC" w14:textId="3982872D" w:rsidR="005B29E5" w:rsidRPr="0031469D" w:rsidRDefault="005B29E5" w:rsidP="005B29E5">
            <w:pPr>
              <w:pStyle w:val="Tabletext"/>
              <w:spacing w:after="0"/>
            </w:pPr>
          </w:p>
        </w:tc>
      </w:tr>
      <w:tr w:rsidR="0091306F" w14:paraId="659D12A0" w14:textId="77777777" w:rsidTr="0091306F">
        <w:tc>
          <w:tcPr>
            <w:tcW w:w="1701" w:type="dxa"/>
          </w:tcPr>
          <w:p w14:paraId="52FEC491" w14:textId="77777777" w:rsidR="0091306F" w:rsidRPr="00E873B3" w:rsidRDefault="0091306F" w:rsidP="00DD478C">
            <w:pPr>
              <w:pStyle w:val="Tabletext"/>
              <w:rPr>
                <w:rStyle w:val="Strong"/>
              </w:rPr>
            </w:pPr>
            <w:r w:rsidRPr="00E873B3">
              <w:rPr>
                <w:rStyle w:val="Strong"/>
              </w:rPr>
              <w:t>Refer to</w:t>
            </w:r>
          </w:p>
        </w:tc>
        <w:tc>
          <w:tcPr>
            <w:tcW w:w="7587" w:type="dxa"/>
          </w:tcPr>
          <w:p w14:paraId="12C7E01F" w14:textId="29D67E10" w:rsidR="0091306F" w:rsidRDefault="0091306F" w:rsidP="00DD478C">
            <w:pPr>
              <w:pStyle w:val="Tabletext"/>
            </w:pPr>
            <w:r>
              <w:t xml:space="preserve">Section 2: </w:t>
            </w:r>
            <w:r w:rsidR="003800C0">
              <w:t>Complex Care</w:t>
            </w:r>
            <w:r>
              <w:t xml:space="preserve"> (FCP) </w:t>
            </w:r>
          </w:p>
          <w:p w14:paraId="18EDB8E4" w14:textId="77777777" w:rsidR="0091306F" w:rsidRDefault="0091306F" w:rsidP="00DD478C">
            <w:pPr>
              <w:pStyle w:val="Tabletext"/>
            </w:pPr>
            <w:r>
              <w:t>Section 2: Home Enteral Nutrition (HEN)</w:t>
            </w:r>
          </w:p>
          <w:p w14:paraId="72DABC12" w14:textId="77777777" w:rsidR="0091306F" w:rsidRDefault="0091306F" w:rsidP="00DD478C">
            <w:pPr>
              <w:pStyle w:val="Tabletext"/>
            </w:pPr>
            <w:r>
              <w:t>Section 2: Hospital Admission Risk Program (HARP)</w:t>
            </w:r>
          </w:p>
          <w:p w14:paraId="4C6DF60D" w14:textId="2B1ACF13" w:rsidR="0091306F" w:rsidRDefault="0091306F" w:rsidP="00DD478C">
            <w:pPr>
              <w:pStyle w:val="Tabletext"/>
            </w:pPr>
            <w:r>
              <w:t>Section 2: Hospital Based Palliative Care Consultancy Team (HBPCCT)</w:t>
            </w:r>
          </w:p>
          <w:p w14:paraId="27FCDB65" w14:textId="77777777" w:rsidR="00DD478C" w:rsidRDefault="00DD478C" w:rsidP="00DD478C">
            <w:pPr>
              <w:pStyle w:val="Tabletext"/>
            </w:pPr>
            <w:r>
              <w:t>Section 2: Medi-Hotel</w:t>
            </w:r>
          </w:p>
          <w:p w14:paraId="2A79847D" w14:textId="77777777" w:rsidR="00DD478C" w:rsidRDefault="00DD478C" w:rsidP="00DD478C">
            <w:pPr>
              <w:pStyle w:val="Tabletext"/>
            </w:pPr>
            <w:r>
              <w:t>Section 2: Palliative Care (PC)</w:t>
            </w:r>
          </w:p>
          <w:p w14:paraId="12DC7E3D" w14:textId="77777777" w:rsidR="00DD478C" w:rsidRDefault="00DD478C" w:rsidP="00DD478C">
            <w:pPr>
              <w:pStyle w:val="Tabletext"/>
            </w:pPr>
            <w:r>
              <w:t>Section 2: Post Acute Care (PAC)</w:t>
            </w:r>
          </w:p>
          <w:p w14:paraId="2FE3A0EF" w14:textId="77777777" w:rsidR="00DD478C" w:rsidRDefault="00DD478C" w:rsidP="00DD478C">
            <w:pPr>
              <w:pStyle w:val="Tabletext"/>
            </w:pPr>
            <w:r>
              <w:t>Section 2: Program</w:t>
            </w:r>
          </w:p>
          <w:p w14:paraId="4AA1C232" w14:textId="77777777" w:rsidR="00DD478C" w:rsidRDefault="00DD478C" w:rsidP="00DD478C">
            <w:pPr>
              <w:pStyle w:val="Tabletext"/>
            </w:pPr>
            <w:r>
              <w:t>Section 2: Residential In-Reach (RIR)</w:t>
            </w:r>
          </w:p>
          <w:p w14:paraId="3AA3DC0B" w14:textId="77777777" w:rsidR="00DD478C" w:rsidRDefault="00DD478C" w:rsidP="00DD478C">
            <w:pPr>
              <w:pStyle w:val="Tabletext"/>
            </w:pPr>
            <w:r>
              <w:t>Section 2: Stream</w:t>
            </w:r>
          </w:p>
          <w:p w14:paraId="3B3D70B5" w14:textId="70503F93" w:rsidR="00DD478C" w:rsidRDefault="00DD478C" w:rsidP="00DD478C">
            <w:pPr>
              <w:pStyle w:val="Tabletext"/>
            </w:pPr>
            <w:r>
              <w:t xml:space="preserve">Section 2: Specialist Clinics </w:t>
            </w:r>
            <w:r w:rsidR="00B60F9F">
              <w:t xml:space="preserve">(Outpatient) </w:t>
            </w:r>
            <w:r>
              <w:t>(OP)</w:t>
            </w:r>
          </w:p>
          <w:p w14:paraId="3F199A02" w14:textId="77777777" w:rsidR="00DD478C" w:rsidRDefault="00DD478C" w:rsidP="00DD478C">
            <w:pPr>
              <w:pStyle w:val="Tabletext"/>
            </w:pPr>
            <w:r>
              <w:t>Section 2: Subacute Ambulatory Care Services (SACS)</w:t>
            </w:r>
          </w:p>
          <w:p w14:paraId="543618CA" w14:textId="77777777" w:rsidR="00DD478C" w:rsidRDefault="00DD478C" w:rsidP="00DD478C">
            <w:pPr>
              <w:pStyle w:val="Tabletext"/>
            </w:pPr>
            <w:r>
              <w:t>Section 2: Transitional Care Program (TCP)</w:t>
            </w:r>
          </w:p>
          <w:p w14:paraId="3A61E3F6" w14:textId="77777777" w:rsidR="00DD478C" w:rsidRDefault="00DD478C" w:rsidP="00DD478C">
            <w:pPr>
              <w:pStyle w:val="Tabletext"/>
            </w:pPr>
            <w:r>
              <w:lastRenderedPageBreak/>
              <w:t>Section 2: Victorian Artificial Limb Program (VALP)</w:t>
            </w:r>
          </w:p>
          <w:p w14:paraId="58732164" w14:textId="77777777" w:rsidR="00DD478C" w:rsidRDefault="00DD478C" w:rsidP="00DD478C">
            <w:pPr>
              <w:pStyle w:val="Tabletext"/>
            </w:pPr>
            <w:r>
              <w:t>Section 2: Victorian HIV Service (VHS)</w:t>
            </w:r>
          </w:p>
          <w:p w14:paraId="506794F6" w14:textId="77777777" w:rsidR="0091306F" w:rsidRDefault="0091306F" w:rsidP="00DD478C">
            <w:pPr>
              <w:pStyle w:val="Tabletext"/>
            </w:pPr>
            <w:r>
              <w:t>Section 3: Episode program/stream</w:t>
            </w:r>
          </w:p>
          <w:p w14:paraId="30CA8D57" w14:textId="205A0BCD" w:rsidR="004621AA" w:rsidRDefault="0091306F" w:rsidP="00DD478C">
            <w:pPr>
              <w:pStyle w:val="Tabletext"/>
            </w:pPr>
            <w:r>
              <w:t>Section 3: Referral in program/stream</w:t>
            </w:r>
          </w:p>
        </w:tc>
      </w:tr>
    </w:tbl>
    <w:p w14:paraId="55E08407" w14:textId="50A922A5" w:rsidR="0091306F" w:rsidRDefault="0091306F" w:rsidP="0091306F">
      <w:pPr>
        <w:pStyle w:val="Heading2"/>
      </w:pPr>
      <w:bookmarkStart w:id="54" w:name="_Toc43198355"/>
      <w:bookmarkStart w:id="55" w:name="_Toc67035574"/>
      <w:bookmarkStart w:id="56" w:name="_Toc101788770"/>
      <w:r>
        <w:lastRenderedPageBreak/>
        <w:t xml:space="preserve">Programs reporting to </w:t>
      </w:r>
      <w:r w:rsidR="00142B99">
        <w:t xml:space="preserve">the </w:t>
      </w:r>
      <w:r>
        <w:t>VINAH</w:t>
      </w:r>
      <w:bookmarkEnd w:id="54"/>
      <w:bookmarkEnd w:id="55"/>
      <w:r w:rsidR="00142B99">
        <w:t xml:space="preserve"> MDS</w:t>
      </w:r>
      <w:bookmarkEnd w:id="56"/>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7587"/>
      </w:tblGrid>
      <w:tr w:rsidR="0091306F" w14:paraId="7D9B9201" w14:textId="77777777" w:rsidTr="0091306F">
        <w:tc>
          <w:tcPr>
            <w:tcW w:w="1701" w:type="dxa"/>
          </w:tcPr>
          <w:p w14:paraId="2135DCB5" w14:textId="77777777" w:rsidR="0091306F" w:rsidRPr="00E873B3" w:rsidRDefault="0091306F" w:rsidP="00E873B3">
            <w:pPr>
              <w:pStyle w:val="Tabletext"/>
              <w:rPr>
                <w:rStyle w:val="Strong"/>
              </w:rPr>
            </w:pPr>
            <w:r w:rsidRPr="00E873B3">
              <w:rPr>
                <w:rStyle w:val="Strong"/>
              </w:rPr>
              <w:t>Definition</w:t>
            </w:r>
          </w:p>
        </w:tc>
        <w:tc>
          <w:tcPr>
            <w:tcW w:w="7587" w:type="dxa"/>
          </w:tcPr>
          <w:p w14:paraId="2A60CF44" w14:textId="5FCF414A" w:rsidR="0091306F" w:rsidRDefault="0091306F" w:rsidP="00EB60C1">
            <w:pPr>
              <w:pStyle w:val="Tabletext"/>
            </w:pPr>
            <w:r w:rsidRPr="000507AF">
              <w:t>For 202</w:t>
            </w:r>
            <w:r w:rsidR="00A206BC">
              <w:t>2</w:t>
            </w:r>
            <w:r w:rsidRPr="000507AF">
              <w:t>-2</w:t>
            </w:r>
            <w:r w:rsidR="00A206BC">
              <w:t>3</w:t>
            </w:r>
            <w:r w:rsidRPr="000507AF">
              <w:t xml:space="preserve"> the following programs report to </w:t>
            </w:r>
            <w:r w:rsidR="000E2C15">
              <w:t>the department</w:t>
            </w:r>
            <w:r w:rsidRPr="000507AF">
              <w:t xml:space="preserve"> via the VINAH MDS</w:t>
            </w:r>
            <w:r w:rsidR="000E2C15">
              <w:t>:</w:t>
            </w:r>
          </w:p>
          <w:p w14:paraId="5EFC306E" w14:textId="0E6F8231" w:rsidR="0091306F" w:rsidRDefault="003800C0" w:rsidP="00E873B3">
            <w:pPr>
              <w:pStyle w:val="Tablebullet1"/>
            </w:pPr>
            <w:r>
              <w:t>Complex Care</w:t>
            </w:r>
            <w:r w:rsidR="0091306F" w:rsidRPr="006B4745">
              <w:t xml:space="preserve"> (FCP)</w:t>
            </w:r>
          </w:p>
          <w:p w14:paraId="387D4C60" w14:textId="77777777" w:rsidR="00E51041" w:rsidRPr="006B4745" w:rsidRDefault="00E51041" w:rsidP="00E51041">
            <w:pPr>
              <w:pStyle w:val="Tablebullet1"/>
            </w:pPr>
            <w:r>
              <w:t>Home Based Dialysis (HBD)</w:t>
            </w:r>
          </w:p>
          <w:p w14:paraId="0BDAC5CE" w14:textId="3F2903FE" w:rsidR="0091306F" w:rsidRDefault="0091306F" w:rsidP="00E873B3">
            <w:pPr>
              <w:pStyle w:val="Tablebullet1"/>
            </w:pPr>
            <w:r>
              <w:t>Home Enteral Nutrition (HEN)</w:t>
            </w:r>
          </w:p>
          <w:p w14:paraId="62E31B25" w14:textId="77777777" w:rsidR="0091306F" w:rsidRPr="006B4745" w:rsidRDefault="0091306F" w:rsidP="00E873B3">
            <w:pPr>
              <w:pStyle w:val="Tablebullet1"/>
            </w:pPr>
            <w:r w:rsidRPr="006B4745">
              <w:t>Hospital Admission Risk Program (HARP)</w:t>
            </w:r>
          </w:p>
          <w:p w14:paraId="3D9533D5" w14:textId="77777777" w:rsidR="0091306F" w:rsidRDefault="0091306F" w:rsidP="00E873B3">
            <w:pPr>
              <w:pStyle w:val="Tablebullet1"/>
            </w:pPr>
            <w:r w:rsidRPr="006B4745">
              <w:t>Hospital Based Palliative Care Consultancy Team (HBPCCT)</w:t>
            </w:r>
          </w:p>
          <w:p w14:paraId="1FF2409B" w14:textId="77777777" w:rsidR="0091306F" w:rsidRDefault="0091306F" w:rsidP="00E873B3">
            <w:pPr>
              <w:pStyle w:val="Tablebullet1"/>
            </w:pPr>
            <w:r>
              <w:t>Medi-Hotel</w:t>
            </w:r>
          </w:p>
          <w:p w14:paraId="7E7D9FC9" w14:textId="77777777" w:rsidR="0091306F" w:rsidRPr="006B4745" w:rsidRDefault="0091306F" w:rsidP="00E873B3">
            <w:pPr>
              <w:pStyle w:val="Tablebullet1"/>
            </w:pPr>
            <w:r w:rsidRPr="006B4745">
              <w:t>Palliative Care (PC)</w:t>
            </w:r>
          </w:p>
          <w:p w14:paraId="3467E944" w14:textId="77777777" w:rsidR="0091306F" w:rsidRPr="006B4745" w:rsidRDefault="0091306F" w:rsidP="00E873B3">
            <w:pPr>
              <w:pStyle w:val="Tablebullet1"/>
            </w:pPr>
            <w:r w:rsidRPr="006B4745">
              <w:t>Post Acute Care (PAC)</w:t>
            </w:r>
          </w:p>
          <w:p w14:paraId="116CAA4D" w14:textId="77777777" w:rsidR="0091306F" w:rsidRPr="006B4745" w:rsidRDefault="0091306F" w:rsidP="00E873B3">
            <w:pPr>
              <w:pStyle w:val="Tablebullet1"/>
            </w:pPr>
            <w:r>
              <w:t>Residential In-R</w:t>
            </w:r>
            <w:r w:rsidRPr="006B4745">
              <w:t>each (RIR)</w:t>
            </w:r>
          </w:p>
          <w:p w14:paraId="268DA0EB" w14:textId="2ED30A1A" w:rsidR="00E51041" w:rsidRDefault="00E51041" w:rsidP="00E51041">
            <w:pPr>
              <w:pStyle w:val="Tablebullet1"/>
            </w:pPr>
            <w:r>
              <w:t>Specialist</w:t>
            </w:r>
            <w:r w:rsidRPr="006B4745">
              <w:t xml:space="preserve"> Clinics </w:t>
            </w:r>
            <w:r w:rsidR="00A36278">
              <w:t xml:space="preserve">(Outpatients) </w:t>
            </w:r>
            <w:r>
              <w:t>(OP)</w:t>
            </w:r>
          </w:p>
          <w:p w14:paraId="10CE0239" w14:textId="77777777" w:rsidR="0091306F" w:rsidRDefault="0091306F" w:rsidP="00E873B3">
            <w:pPr>
              <w:pStyle w:val="Tablebullet1"/>
            </w:pPr>
            <w:r w:rsidRPr="006B4745">
              <w:t>Subacute Ambulatory Care Services (SACS)</w:t>
            </w:r>
          </w:p>
          <w:p w14:paraId="4A380BAA" w14:textId="77777777" w:rsidR="0091306F" w:rsidRPr="006B4745" w:rsidRDefault="0091306F" w:rsidP="00E873B3">
            <w:pPr>
              <w:pStyle w:val="Tablebullet1"/>
            </w:pPr>
            <w:r>
              <w:t>Total Parenteral Nutrition (TPN)</w:t>
            </w:r>
          </w:p>
          <w:p w14:paraId="6324531F" w14:textId="2329AEBC" w:rsidR="0091306F" w:rsidRDefault="0091306F" w:rsidP="00E873B3">
            <w:pPr>
              <w:pStyle w:val="Tablebullet1"/>
            </w:pPr>
            <w:r w:rsidRPr="006B4745">
              <w:t>Transition Care Program (TCP)</w:t>
            </w:r>
          </w:p>
          <w:p w14:paraId="1121268F" w14:textId="04A76D55" w:rsidR="00873B6B" w:rsidRDefault="00873B6B" w:rsidP="00E873B3">
            <w:pPr>
              <w:pStyle w:val="Tablebullet1"/>
            </w:pPr>
            <w:r>
              <w:t xml:space="preserve">Victorian Artificial Limb </w:t>
            </w:r>
            <w:r w:rsidR="00E51041">
              <w:t>Program</w:t>
            </w:r>
            <w:r>
              <w:t xml:space="preserve"> (VALP)</w:t>
            </w:r>
          </w:p>
          <w:p w14:paraId="0395A85A" w14:textId="77777777" w:rsidR="0091306F" w:rsidRPr="006B4745" w:rsidRDefault="0091306F" w:rsidP="00E873B3">
            <w:pPr>
              <w:pStyle w:val="Tablebullet1"/>
            </w:pPr>
            <w:r w:rsidRPr="006B4745">
              <w:t>Victorian HIV Service (VHS)</w:t>
            </w:r>
          </w:p>
          <w:p w14:paraId="1F68413D" w14:textId="77777777" w:rsidR="0091306F" w:rsidRPr="00B601F4" w:rsidRDefault="0091306F" w:rsidP="00E873B3">
            <w:pPr>
              <w:pStyle w:val="Tablebullet1"/>
            </w:pPr>
            <w:r w:rsidRPr="006B4745">
              <w:t>Victorian Respiratory Support Service (VRSS)</w:t>
            </w:r>
          </w:p>
        </w:tc>
      </w:tr>
      <w:tr w:rsidR="0091306F" w14:paraId="108F6A03" w14:textId="77777777" w:rsidTr="0091306F">
        <w:tc>
          <w:tcPr>
            <w:tcW w:w="1701" w:type="dxa"/>
          </w:tcPr>
          <w:p w14:paraId="543D3031" w14:textId="77777777" w:rsidR="0091306F" w:rsidRPr="00E873B3" w:rsidRDefault="0091306F" w:rsidP="00E873B3">
            <w:pPr>
              <w:pStyle w:val="Tabletext"/>
              <w:rPr>
                <w:rStyle w:val="Strong"/>
              </w:rPr>
            </w:pPr>
            <w:r w:rsidRPr="00E873B3">
              <w:rPr>
                <w:rStyle w:val="Strong"/>
              </w:rPr>
              <w:t>Guide for use</w:t>
            </w:r>
          </w:p>
        </w:tc>
        <w:tc>
          <w:tcPr>
            <w:tcW w:w="7587" w:type="dxa"/>
          </w:tcPr>
          <w:p w14:paraId="72EFF844" w14:textId="77777777" w:rsidR="0091306F" w:rsidRDefault="0091306F" w:rsidP="00E873B3">
            <w:pPr>
              <w:pStyle w:val="Tabletext"/>
            </w:pPr>
            <w:r w:rsidRPr="000507AF">
              <w:t xml:space="preserve">All contacts funded by these programs must be reported to </w:t>
            </w:r>
            <w:r w:rsidR="00C17A11">
              <w:t xml:space="preserve">the </w:t>
            </w:r>
            <w:r w:rsidRPr="000507AF">
              <w:t xml:space="preserve">VINAH </w:t>
            </w:r>
            <w:r w:rsidR="00C17A11">
              <w:t xml:space="preserve">MDS </w:t>
            </w:r>
            <w:r w:rsidRPr="000507AF">
              <w:t>according to the specifications in this manual.</w:t>
            </w:r>
          </w:p>
          <w:p w14:paraId="4A6E9D25" w14:textId="789122C6" w:rsidR="00E74E39" w:rsidRPr="0031469D" w:rsidRDefault="00E74E39" w:rsidP="00E873B3">
            <w:pPr>
              <w:pStyle w:val="Tabletext"/>
            </w:pPr>
          </w:p>
        </w:tc>
      </w:tr>
      <w:tr w:rsidR="00E74E39" w14:paraId="5DC4AB75" w14:textId="77777777" w:rsidTr="0091306F">
        <w:tc>
          <w:tcPr>
            <w:tcW w:w="1701" w:type="dxa"/>
          </w:tcPr>
          <w:p w14:paraId="19C28FB1" w14:textId="47317DFA" w:rsidR="00E74E39" w:rsidRPr="00E873B3" w:rsidRDefault="00E74E39" w:rsidP="00E873B3">
            <w:pPr>
              <w:pStyle w:val="Tabletext"/>
              <w:rPr>
                <w:rStyle w:val="Strong"/>
              </w:rPr>
            </w:pPr>
            <w:r w:rsidRPr="00E873B3">
              <w:rPr>
                <w:rStyle w:val="Strong"/>
              </w:rPr>
              <w:t>Refer to</w:t>
            </w:r>
          </w:p>
        </w:tc>
        <w:tc>
          <w:tcPr>
            <w:tcW w:w="7587" w:type="dxa"/>
          </w:tcPr>
          <w:p w14:paraId="088AD46F" w14:textId="77777777" w:rsidR="00E74E39" w:rsidRDefault="00E74E39" w:rsidP="00E74E39">
            <w:pPr>
              <w:pStyle w:val="Tabletext"/>
            </w:pPr>
            <w:r>
              <w:t>Section 2: Complex Care (FCP)</w:t>
            </w:r>
          </w:p>
          <w:p w14:paraId="510468DC" w14:textId="77777777" w:rsidR="00E74E39" w:rsidRDefault="00E74E39" w:rsidP="00E74E39">
            <w:pPr>
              <w:pStyle w:val="Tabletext"/>
            </w:pPr>
            <w:r>
              <w:t>Section 2: Home Based Dialysis (HBD)</w:t>
            </w:r>
          </w:p>
          <w:p w14:paraId="3137A527" w14:textId="77777777" w:rsidR="00E74E39" w:rsidRDefault="00E74E39" w:rsidP="00E74E39">
            <w:pPr>
              <w:pStyle w:val="Tabletext"/>
            </w:pPr>
            <w:r>
              <w:t>Section 2: Home Enteral Nutrition (HEN)</w:t>
            </w:r>
          </w:p>
          <w:p w14:paraId="3EC78BDB" w14:textId="77777777" w:rsidR="00E74E39" w:rsidRDefault="00E74E39" w:rsidP="00E74E39">
            <w:pPr>
              <w:pStyle w:val="Tabletext"/>
            </w:pPr>
            <w:r>
              <w:t>Section 2: Hospital Admission Risk Program (HARP)</w:t>
            </w:r>
          </w:p>
          <w:p w14:paraId="084D1D5D" w14:textId="77777777" w:rsidR="00E74E39" w:rsidRDefault="00E74E39" w:rsidP="00E74E39">
            <w:pPr>
              <w:pStyle w:val="Tabletext"/>
            </w:pPr>
            <w:r>
              <w:t>Section 2: Hospital Based Palliative Care Consultancy Team (HBPCCT)</w:t>
            </w:r>
          </w:p>
          <w:p w14:paraId="116C333B" w14:textId="77777777" w:rsidR="00E74E39" w:rsidRDefault="00E74E39" w:rsidP="00E74E39">
            <w:pPr>
              <w:pStyle w:val="Tabletext"/>
            </w:pPr>
            <w:r>
              <w:t>Section 2: Medi-Hotel</w:t>
            </w:r>
          </w:p>
          <w:p w14:paraId="7EF62BFB" w14:textId="77777777" w:rsidR="00E74E39" w:rsidRDefault="00E74E39" w:rsidP="00E74E39">
            <w:pPr>
              <w:pStyle w:val="Tabletext"/>
            </w:pPr>
            <w:r>
              <w:t>Section 2: Palliative Care (PC)</w:t>
            </w:r>
          </w:p>
          <w:p w14:paraId="45023C50" w14:textId="77777777" w:rsidR="00E74E39" w:rsidRDefault="00E74E39" w:rsidP="00E74E39">
            <w:pPr>
              <w:pStyle w:val="Tabletext"/>
            </w:pPr>
            <w:r>
              <w:t>Section 2: Post Acute Care (PAC)</w:t>
            </w:r>
          </w:p>
          <w:p w14:paraId="01D093EC" w14:textId="77777777" w:rsidR="00E74E39" w:rsidRDefault="00E74E39" w:rsidP="00E74E39">
            <w:pPr>
              <w:pStyle w:val="Tabletext"/>
            </w:pPr>
            <w:r>
              <w:t>Section 2: Program</w:t>
            </w:r>
          </w:p>
          <w:p w14:paraId="39C76375" w14:textId="77777777" w:rsidR="00E74E39" w:rsidRDefault="00E74E39" w:rsidP="00E74E39">
            <w:pPr>
              <w:pStyle w:val="Tabletext"/>
            </w:pPr>
            <w:r>
              <w:t>Section 2: Residential In-Reach (RIR)</w:t>
            </w:r>
          </w:p>
          <w:p w14:paraId="313F451E" w14:textId="77777777" w:rsidR="00E74E39" w:rsidRDefault="00E74E39" w:rsidP="00E74E39">
            <w:pPr>
              <w:pStyle w:val="Tabletext"/>
            </w:pPr>
            <w:r>
              <w:t>Section 2: Stream</w:t>
            </w:r>
          </w:p>
          <w:p w14:paraId="634B508F" w14:textId="77777777" w:rsidR="00E74E39" w:rsidRDefault="00E74E39" w:rsidP="00E74E39">
            <w:pPr>
              <w:pStyle w:val="Tabletext"/>
            </w:pPr>
            <w:r>
              <w:t>Section 2: Specialist (Outpatient) Clinics (OP)</w:t>
            </w:r>
          </w:p>
          <w:p w14:paraId="5B5E74C9" w14:textId="77777777" w:rsidR="00E74E39" w:rsidRDefault="00E74E39" w:rsidP="00E74E39">
            <w:pPr>
              <w:pStyle w:val="Tabletext"/>
            </w:pPr>
            <w:r>
              <w:t>Section 2: Subacute Ambulatory Care Services (SACS)</w:t>
            </w:r>
          </w:p>
          <w:p w14:paraId="51B32001" w14:textId="77777777" w:rsidR="00E74E39" w:rsidRDefault="00E74E39" w:rsidP="00E74E39">
            <w:pPr>
              <w:pStyle w:val="Tabletext"/>
            </w:pPr>
            <w:r>
              <w:t>Section 2: Transitional Care Program (TCP)</w:t>
            </w:r>
          </w:p>
          <w:p w14:paraId="5FDFB029" w14:textId="77777777" w:rsidR="00E74E39" w:rsidRDefault="00E74E39" w:rsidP="00E74E39">
            <w:pPr>
              <w:pStyle w:val="Tabletext"/>
            </w:pPr>
            <w:r>
              <w:lastRenderedPageBreak/>
              <w:t>Section 2: Victorian Artificial Limb Program (VALP)</w:t>
            </w:r>
          </w:p>
          <w:p w14:paraId="23760105" w14:textId="77777777" w:rsidR="00E74E39" w:rsidRDefault="00E74E39" w:rsidP="00E74E39">
            <w:pPr>
              <w:pStyle w:val="Tabletext"/>
            </w:pPr>
            <w:r>
              <w:t>Section 2: Victorian HIV Service (VHS)</w:t>
            </w:r>
          </w:p>
          <w:p w14:paraId="0111D46B" w14:textId="77777777" w:rsidR="00E74E39" w:rsidRDefault="00E74E39" w:rsidP="00E74E39">
            <w:pPr>
              <w:pStyle w:val="Tabletext"/>
            </w:pPr>
            <w:r>
              <w:t>Section 3: Episode program/stream</w:t>
            </w:r>
          </w:p>
          <w:p w14:paraId="240EB7CF" w14:textId="77777777" w:rsidR="00E74E39" w:rsidRDefault="00E74E39" w:rsidP="00E74E39">
            <w:pPr>
              <w:pStyle w:val="Tabletext"/>
            </w:pPr>
            <w:r>
              <w:t>Section 3: Referral In program/stream</w:t>
            </w:r>
          </w:p>
          <w:p w14:paraId="580F4B32" w14:textId="3AFD2C72" w:rsidR="00E74E39" w:rsidRPr="000507AF" w:rsidRDefault="00E74E39" w:rsidP="00E74E39">
            <w:pPr>
              <w:pStyle w:val="Tabletext"/>
            </w:pPr>
            <w:r w:rsidRPr="00B05382">
              <w:t>Other program specific documents, including policy documentation</w:t>
            </w:r>
            <w:r>
              <w:t>.</w:t>
            </w:r>
          </w:p>
        </w:tc>
      </w:tr>
    </w:tbl>
    <w:p w14:paraId="7BE67DE5" w14:textId="1C6C6826" w:rsidR="0091306F" w:rsidRDefault="0091306F" w:rsidP="0091306F">
      <w:pPr>
        <w:pStyle w:val="Heading2"/>
      </w:pPr>
      <w:bookmarkStart w:id="57" w:name="_Toc43198356"/>
      <w:bookmarkStart w:id="58" w:name="_Toc67035575"/>
      <w:bookmarkStart w:id="59" w:name="_Toc101788771"/>
      <w:r>
        <w:lastRenderedPageBreak/>
        <w:t>Referral process</w:t>
      </w:r>
      <w:bookmarkEnd w:id="57"/>
      <w:bookmarkEnd w:id="58"/>
      <w:bookmarkEnd w:id="59"/>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A0" w:firstRow="1" w:lastRow="0" w:firstColumn="1" w:lastColumn="0" w:noHBand="1" w:noVBand="1"/>
      </w:tblPr>
      <w:tblGrid>
        <w:gridCol w:w="1701"/>
        <w:gridCol w:w="7587"/>
      </w:tblGrid>
      <w:tr w:rsidR="0091306F" w14:paraId="4A787152" w14:textId="77777777" w:rsidTr="0091306F">
        <w:tc>
          <w:tcPr>
            <w:tcW w:w="1701" w:type="dxa"/>
          </w:tcPr>
          <w:p w14:paraId="5478C542" w14:textId="77777777" w:rsidR="0091306F" w:rsidRPr="00574E6E" w:rsidRDefault="0091306F" w:rsidP="00574E6E">
            <w:pPr>
              <w:pStyle w:val="Tabletext"/>
              <w:rPr>
                <w:rStyle w:val="Strong"/>
              </w:rPr>
            </w:pPr>
            <w:r w:rsidRPr="00574E6E">
              <w:rPr>
                <w:rStyle w:val="Strong"/>
              </w:rPr>
              <w:t>Definition</w:t>
            </w:r>
          </w:p>
        </w:tc>
        <w:tc>
          <w:tcPr>
            <w:tcW w:w="7587" w:type="dxa"/>
          </w:tcPr>
          <w:p w14:paraId="5B21B266" w14:textId="77777777" w:rsidR="0091306F" w:rsidRDefault="0091306F" w:rsidP="00EB60C1">
            <w:pPr>
              <w:pStyle w:val="Tabletext"/>
            </w:pPr>
            <w:r w:rsidRPr="000507AF">
              <w:t>The process by which a referral is received, assessed, accepted, prioritised and processed.</w:t>
            </w:r>
          </w:p>
          <w:p w14:paraId="3834539D" w14:textId="789083EA" w:rsidR="00DD478C" w:rsidRPr="00B601F4" w:rsidRDefault="00DD478C" w:rsidP="00EB60C1">
            <w:pPr>
              <w:pStyle w:val="Tabletext"/>
            </w:pPr>
          </w:p>
        </w:tc>
      </w:tr>
      <w:tr w:rsidR="0091306F" w14:paraId="66247943" w14:textId="77777777" w:rsidTr="0091306F">
        <w:tc>
          <w:tcPr>
            <w:tcW w:w="1701" w:type="dxa"/>
          </w:tcPr>
          <w:p w14:paraId="09A034FA" w14:textId="77777777" w:rsidR="0091306F" w:rsidRPr="00574E6E" w:rsidRDefault="0091306F" w:rsidP="00574E6E">
            <w:pPr>
              <w:pStyle w:val="Tabletext"/>
              <w:rPr>
                <w:rStyle w:val="Strong"/>
              </w:rPr>
            </w:pPr>
            <w:r w:rsidRPr="00574E6E">
              <w:rPr>
                <w:rStyle w:val="Strong"/>
              </w:rPr>
              <w:t>Guide for use</w:t>
            </w:r>
          </w:p>
        </w:tc>
        <w:tc>
          <w:tcPr>
            <w:tcW w:w="7587" w:type="dxa"/>
          </w:tcPr>
          <w:p w14:paraId="621D1AA8" w14:textId="77777777" w:rsidR="0091306F" w:rsidRDefault="0091306F" w:rsidP="00EB60C1">
            <w:pPr>
              <w:pStyle w:val="Tabletext"/>
              <w:rPr>
                <w:lang w:val="en-US"/>
              </w:rPr>
            </w:pPr>
            <w:r>
              <w:t xml:space="preserve">Conceptually </w:t>
            </w:r>
            <w:r w:rsidRPr="00E77765">
              <w:rPr>
                <w:lang w:val="en-US"/>
              </w:rPr>
              <w:t>this process includes</w:t>
            </w:r>
            <w:r>
              <w:rPr>
                <w:lang w:val="en-US"/>
              </w:rPr>
              <w:t xml:space="preserve"> the following</w:t>
            </w:r>
            <w:r w:rsidRPr="00E77765">
              <w:rPr>
                <w:lang w:val="en-US"/>
              </w:rPr>
              <w:t xml:space="preserve"> steps</w:t>
            </w:r>
            <w:r>
              <w:rPr>
                <w:lang w:val="en-US"/>
              </w:rPr>
              <w:t>:</w:t>
            </w:r>
          </w:p>
          <w:p w14:paraId="119495F2" w14:textId="64AC9FC0" w:rsidR="0091306F" w:rsidRDefault="000E2C15" w:rsidP="00EB60C1">
            <w:pPr>
              <w:pStyle w:val="Tablebullet1"/>
            </w:pPr>
            <w:r>
              <w:t>R</w:t>
            </w:r>
            <w:r w:rsidR="0091306F" w:rsidRPr="00FA794B">
              <w:t>eceipt of referral</w:t>
            </w:r>
            <w:r>
              <w:t>.</w:t>
            </w:r>
          </w:p>
          <w:p w14:paraId="0C492282" w14:textId="52BA8D6E" w:rsidR="0091306F" w:rsidRDefault="000E2C15" w:rsidP="00EB60C1">
            <w:pPr>
              <w:pStyle w:val="Tablebullet1"/>
            </w:pPr>
            <w:r>
              <w:t>D</w:t>
            </w:r>
            <w:r w:rsidR="0091306F" w:rsidRPr="00FA794B">
              <w:t>ecision to accept or reject referral</w:t>
            </w:r>
            <w:r>
              <w:t>.</w:t>
            </w:r>
          </w:p>
          <w:p w14:paraId="6CBD948A" w14:textId="34A0D2EA" w:rsidR="0091306F" w:rsidRPr="00FA794B" w:rsidRDefault="000E2C15" w:rsidP="00EB60C1">
            <w:pPr>
              <w:pStyle w:val="Tablebullet1"/>
            </w:pPr>
            <w:r>
              <w:t>D</w:t>
            </w:r>
            <w:r w:rsidR="0091306F">
              <w:t>irection to the most appropriate service</w:t>
            </w:r>
            <w:r>
              <w:t>.</w:t>
            </w:r>
          </w:p>
          <w:p w14:paraId="3FF85EA1" w14:textId="42E17113" w:rsidR="0091306F" w:rsidRPr="00FA794B" w:rsidRDefault="000E2C15" w:rsidP="00EB60C1">
            <w:pPr>
              <w:pStyle w:val="Tablebullet1"/>
            </w:pPr>
            <w:r>
              <w:t>A</w:t>
            </w:r>
            <w:r w:rsidR="0091306F">
              <w:t>ssign clinical prioritisation category</w:t>
            </w:r>
            <w:r>
              <w:t>.</w:t>
            </w:r>
          </w:p>
          <w:p w14:paraId="365320ED" w14:textId="0547BE41" w:rsidR="0091306F" w:rsidRDefault="000E2C15" w:rsidP="00EB60C1">
            <w:pPr>
              <w:pStyle w:val="Tablebullet1"/>
            </w:pPr>
            <w:r>
              <w:t>P</w:t>
            </w:r>
            <w:r w:rsidR="0091306F" w:rsidRPr="00FA794B">
              <w:t>atient/client consent to participate in care provision.</w:t>
            </w:r>
          </w:p>
          <w:p w14:paraId="2E230727" w14:textId="77777777" w:rsidR="0091306F" w:rsidRDefault="0091306F" w:rsidP="00EB60C1">
            <w:pPr>
              <w:pStyle w:val="Tabletext"/>
            </w:pPr>
            <w:r>
              <w:t>Programs and/or organisations may apply different business processes that may lead to the four steps of the referral process being undertaken with different timing within eight working days.</w:t>
            </w:r>
          </w:p>
          <w:p w14:paraId="10D641F5" w14:textId="2C5A6D0D" w:rsidR="0091306F" w:rsidRDefault="0091306F" w:rsidP="00EB60C1">
            <w:pPr>
              <w:pStyle w:val="Tabletext"/>
              <w:rPr>
                <w:lang w:val="en-US"/>
              </w:rPr>
            </w:pPr>
            <w:r w:rsidRPr="00762360">
              <w:rPr>
                <w:lang w:val="en-US"/>
              </w:rPr>
              <w:t xml:space="preserve">There are data elements that capture </w:t>
            </w:r>
            <w:r>
              <w:rPr>
                <w:lang w:val="en-US"/>
              </w:rPr>
              <w:t xml:space="preserve">key </w:t>
            </w:r>
            <w:r w:rsidRPr="00762360">
              <w:rPr>
                <w:lang w:val="en-US"/>
              </w:rPr>
              <w:t xml:space="preserve">dates </w:t>
            </w:r>
            <w:r>
              <w:rPr>
                <w:lang w:val="en-US"/>
              </w:rPr>
              <w:t>in the referral process.</w:t>
            </w:r>
            <w:r w:rsidRPr="00762360">
              <w:rPr>
                <w:lang w:val="en-US"/>
              </w:rPr>
              <w:t xml:space="preserve"> These are respectively:</w:t>
            </w:r>
          </w:p>
          <w:p w14:paraId="06ACFEDE" w14:textId="3FAC13D6" w:rsidR="0091306F" w:rsidRDefault="0091306F" w:rsidP="00EB60C1">
            <w:pPr>
              <w:pStyle w:val="Tablebullet1"/>
            </w:pPr>
            <w:r>
              <w:t>Referral In Clinical Referral Date</w:t>
            </w:r>
          </w:p>
          <w:p w14:paraId="35BA3A3B" w14:textId="4781C4CB" w:rsidR="0091306F" w:rsidRPr="00FA794B" w:rsidRDefault="0091306F" w:rsidP="00EB60C1">
            <w:pPr>
              <w:pStyle w:val="Tablebullet1"/>
            </w:pPr>
            <w:r w:rsidRPr="00FA794B">
              <w:t xml:space="preserve">Referral </w:t>
            </w:r>
            <w:r>
              <w:t>I</w:t>
            </w:r>
            <w:r w:rsidRPr="00FA794B">
              <w:t xml:space="preserve">n </w:t>
            </w:r>
            <w:r>
              <w:t>R</w:t>
            </w:r>
            <w:r w:rsidRPr="00FA794B">
              <w:t xml:space="preserve">eceived </w:t>
            </w:r>
            <w:r>
              <w:t>D</w:t>
            </w:r>
            <w:r w:rsidRPr="00FA794B">
              <w:t>ate</w:t>
            </w:r>
          </w:p>
          <w:p w14:paraId="4458AA06" w14:textId="16C9C8FC" w:rsidR="0091306F" w:rsidRDefault="0091306F" w:rsidP="00EB60C1">
            <w:pPr>
              <w:pStyle w:val="Tablebullet1"/>
            </w:pPr>
            <w:r w:rsidRPr="00FA794B">
              <w:t xml:space="preserve">Referral </w:t>
            </w:r>
            <w:r>
              <w:t>I</w:t>
            </w:r>
            <w:r w:rsidRPr="00FA794B">
              <w:t xml:space="preserve">n </w:t>
            </w:r>
            <w:r>
              <w:t>R</w:t>
            </w:r>
            <w:r w:rsidRPr="00FA794B">
              <w:t xml:space="preserve">eceipt </w:t>
            </w:r>
            <w:r>
              <w:t>A</w:t>
            </w:r>
            <w:r w:rsidRPr="00FA794B">
              <w:t xml:space="preserve">cknowledgement </w:t>
            </w:r>
            <w:r>
              <w:t>D</w:t>
            </w:r>
            <w:r w:rsidRPr="00FA794B">
              <w:t>ate</w:t>
            </w:r>
          </w:p>
          <w:p w14:paraId="187F71B0" w14:textId="7BCE24C6" w:rsidR="0091306F" w:rsidRPr="00FA794B" w:rsidRDefault="0091306F" w:rsidP="00EB60C1">
            <w:pPr>
              <w:pStyle w:val="Tablebullet1"/>
            </w:pPr>
            <w:r>
              <w:t>Referral In Outcome Date</w:t>
            </w:r>
          </w:p>
          <w:p w14:paraId="6C3927AE" w14:textId="77777777" w:rsidR="0091306F" w:rsidRPr="00FA794B" w:rsidRDefault="0091306F" w:rsidP="00EB60C1">
            <w:pPr>
              <w:pStyle w:val="Tablebullet1"/>
            </w:pPr>
            <w:r w:rsidRPr="00FA794B">
              <w:t xml:space="preserve">Episode </w:t>
            </w:r>
            <w:r>
              <w:t>S</w:t>
            </w:r>
            <w:r w:rsidRPr="00FA794B">
              <w:t xml:space="preserve">tart </w:t>
            </w:r>
            <w:r>
              <w:t>D</w:t>
            </w:r>
            <w:r w:rsidRPr="00FA794B">
              <w:t xml:space="preserve">ate (where Referral </w:t>
            </w:r>
            <w:r>
              <w:t>I</w:t>
            </w:r>
            <w:r w:rsidRPr="00FA794B">
              <w:t xml:space="preserve">n </w:t>
            </w:r>
            <w:r>
              <w:t>O</w:t>
            </w:r>
            <w:r w:rsidRPr="00FA794B">
              <w:t xml:space="preserve">utcome code is 010, 020, </w:t>
            </w:r>
            <w:r>
              <w:t xml:space="preserve">50, </w:t>
            </w:r>
            <w:r w:rsidRPr="00FA794B">
              <w:t>1 or 3).</w:t>
            </w:r>
          </w:p>
          <w:p w14:paraId="67B427A2" w14:textId="77777777" w:rsidR="0091306F" w:rsidRPr="00271AE5" w:rsidRDefault="0091306F" w:rsidP="00EB60C1">
            <w:pPr>
              <w:pStyle w:val="Tabletext"/>
            </w:pPr>
            <w:r w:rsidRPr="00271AE5">
              <w:t>These may be the same or different dates, depending on the workflow in an organisation.</w:t>
            </w:r>
          </w:p>
          <w:p w14:paraId="05616193" w14:textId="5355F966" w:rsidR="0091306F" w:rsidRPr="00271AE5" w:rsidRDefault="0091306F" w:rsidP="00EB60C1">
            <w:pPr>
              <w:pStyle w:val="Tabletext"/>
            </w:pPr>
            <w:r w:rsidRPr="00271AE5">
              <w:t xml:space="preserve">The final step is required in order to schedule the first </w:t>
            </w:r>
            <w:r w:rsidR="00FD5A48">
              <w:t>c</w:t>
            </w:r>
            <w:r w:rsidRPr="00271AE5">
              <w:t>ontact; however</w:t>
            </w:r>
            <w:r w:rsidR="00FD5A48">
              <w:t>,</w:t>
            </w:r>
            <w:r w:rsidRPr="00271AE5">
              <w:t xml:space="preserve"> this date does not need to be reported to</w:t>
            </w:r>
            <w:r w:rsidR="00C17A11">
              <w:t xml:space="preserve"> the</w:t>
            </w:r>
            <w:r w:rsidRPr="00271AE5">
              <w:t xml:space="preserve"> VINAH</w:t>
            </w:r>
            <w:r w:rsidR="00C17A11">
              <w:t xml:space="preserve"> MDS</w:t>
            </w:r>
            <w:r w:rsidRPr="00271AE5">
              <w:t>.</w:t>
            </w:r>
          </w:p>
          <w:p w14:paraId="03E8F137" w14:textId="244D9E90" w:rsidR="0091306F" w:rsidRDefault="0091306F" w:rsidP="00EB60C1">
            <w:pPr>
              <w:pStyle w:val="Tabletext"/>
            </w:pPr>
            <w:r w:rsidRPr="00271AE5">
              <w:t>Ea</w:t>
            </w:r>
            <w:r>
              <w:t>ch episode must be linked to a R</w:t>
            </w:r>
            <w:r w:rsidRPr="00271AE5">
              <w:t>eferral. However</w:t>
            </w:r>
            <w:r w:rsidR="00FD5A48">
              <w:t>,</w:t>
            </w:r>
            <w:r w:rsidRPr="00271AE5">
              <w:t xml:space="preserve"> one </w:t>
            </w:r>
            <w:r>
              <w:t>R</w:t>
            </w:r>
            <w:r w:rsidRPr="00271AE5">
              <w:t xml:space="preserve">eferral may generate more than one </w:t>
            </w:r>
            <w:r>
              <w:t>E</w:t>
            </w:r>
            <w:r w:rsidRPr="00271AE5">
              <w:t>pisode;</w:t>
            </w:r>
            <w:r>
              <w:t xml:space="preserve"> that is, one R</w:t>
            </w:r>
            <w:r w:rsidRPr="00271AE5">
              <w:t>eferral may result in more than one program/stream providing services to</w:t>
            </w:r>
            <w:r>
              <w:t xml:space="preserve"> the patient/client.</w:t>
            </w:r>
          </w:p>
          <w:p w14:paraId="60269E46" w14:textId="77777777" w:rsidR="0091306F" w:rsidRDefault="0091306F" w:rsidP="00EB60C1">
            <w:pPr>
              <w:pStyle w:val="Tabletext"/>
            </w:pPr>
            <w:r w:rsidRPr="00BF0970">
              <w:t xml:space="preserve">Note: The Referral </w:t>
            </w:r>
            <w:r>
              <w:t>I</w:t>
            </w:r>
            <w:r w:rsidRPr="00BF0970">
              <w:t xml:space="preserve">n </w:t>
            </w:r>
            <w:r>
              <w:t>C</w:t>
            </w:r>
            <w:r w:rsidRPr="00BF0970">
              <w:t xml:space="preserve">linical </w:t>
            </w:r>
            <w:r>
              <w:t>R</w:t>
            </w:r>
            <w:r w:rsidRPr="00BF0970">
              <w:t xml:space="preserve">eferral </w:t>
            </w:r>
            <w:r>
              <w:t>D</w:t>
            </w:r>
            <w:r w:rsidRPr="00BF0970">
              <w:t>ate is not the date that the referral validity commences. Referral</w:t>
            </w:r>
            <w:r>
              <w:t xml:space="preserve"> validity periods commence from the date the first service is provided.</w:t>
            </w:r>
          </w:p>
          <w:p w14:paraId="1A7A6FEC" w14:textId="36C5DFC7" w:rsidR="00DD478C" w:rsidRPr="0031469D" w:rsidRDefault="00DD478C" w:rsidP="00EB60C1">
            <w:pPr>
              <w:pStyle w:val="Tabletext"/>
            </w:pPr>
          </w:p>
        </w:tc>
      </w:tr>
      <w:tr w:rsidR="0091306F" w14:paraId="14A24831" w14:textId="77777777" w:rsidTr="0091306F">
        <w:tc>
          <w:tcPr>
            <w:tcW w:w="1701" w:type="dxa"/>
          </w:tcPr>
          <w:p w14:paraId="204CF8F3" w14:textId="77777777" w:rsidR="0091306F" w:rsidRPr="00574E6E" w:rsidRDefault="0091306F" w:rsidP="00574E6E">
            <w:pPr>
              <w:pStyle w:val="Tabletext"/>
              <w:rPr>
                <w:rStyle w:val="Strong"/>
              </w:rPr>
            </w:pPr>
            <w:r w:rsidRPr="00574E6E">
              <w:rPr>
                <w:rStyle w:val="Strong"/>
              </w:rPr>
              <w:t>Refer to</w:t>
            </w:r>
          </w:p>
        </w:tc>
        <w:tc>
          <w:tcPr>
            <w:tcW w:w="7587" w:type="dxa"/>
          </w:tcPr>
          <w:p w14:paraId="43F7548C" w14:textId="77777777" w:rsidR="0091306F" w:rsidRDefault="0091306F" w:rsidP="00574E6E">
            <w:pPr>
              <w:pStyle w:val="Tabletext"/>
            </w:pPr>
            <w:r>
              <w:t>Section 2: Episode</w:t>
            </w:r>
          </w:p>
          <w:p w14:paraId="027369A3" w14:textId="77777777" w:rsidR="0091306F" w:rsidRDefault="0091306F" w:rsidP="00574E6E">
            <w:pPr>
              <w:pStyle w:val="Tabletext"/>
            </w:pPr>
            <w:r>
              <w:t>Section 3: Referral In Receipt Acknowledgement Date</w:t>
            </w:r>
          </w:p>
          <w:p w14:paraId="20A83F79" w14:textId="77777777" w:rsidR="0091306F" w:rsidRDefault="0091306F" w:rsidP="00574E6E">
            <w:pPr>
              <w:pStyle w:val="Tabletext"/>
            </w:pPr>
            <w:r>
              <w:t>Section 3: Referral In Received Date</w:t>
            </w:r>
          </w:p>
          <w:p w14:paraId="7197D3B5" w14:textId="77777777" w:rsidR="0091306F" w:rsidRDefault="0091306F" w:rsidP="00574E6E">
            <w:pPr>
              <w:pStyle w:val="Tabletext"/>
            </w:pPr>
            <w:r>
              <w:t>Section 3: Episode Program/Stream</w:t>
            </w:r>
          </w:p>
          <w:p w14:paraId="68A1B3EC" w14:textId="77777777" w:rsidR="0091306F" w:rsidRDefault="0091306F" w:rsidP="00574E6E">
            <w:pPr>
              <w:pStyle w:val="Tabletext"/>
            </w:pPr>
            <w:r>
              <w:t>Section 3: Episode Start date</w:t>
            </w:r>
          </w:p>
          <w:p w14:paraId="1E80579A" w14:textId="77777777" w:rsidR="0091306F" w:rsidRDefault="0091306F" w:rsidP="00574E6E">
            <w:pPr>
              <w:pStyle w:val="Tabletext"/>
            </w:pPr>
            <w:r>
              <w:t>Section 3: Referral In Outcome</w:t>
            </w:r>
          </w:p>
          <w:p w14:paraId="3CAD73E1" w14:textId="77777777" w:rsidR="0091306F" w:rsidRDefault="0091306F" w:rsidP="00574E6E">
            <w:pPr>
              <w:pStyle w:val="Tabletext"/>
            </w:pPr>
            <w:r>
              <w:lastRenderedPageBreak/>
              <w:t>Section 3: Referral In Program/Stream</w:t>
            </w:r>
          </w:p>
          <w:p w14:paraId="65435CC5" w14:textId="77777777" w:rsidR="0091306F" w:rsidRDefault="0091306F" w:rsidP="00574E6E">
            <w:pPr>
              <w:pStyle w:val="Tabletext"/>
            </w:pPr>
            <w:r>
              <w:t>Section 3: Referral In – Service Type</w:t>
            </w:r>
          </w:p>
          <w:p w14:paraId="644AF031" w14:textId="77777777" w:rsidR="0091306F" w:rsidRDefault="0091306F" w:rsidP="00574E6E">
            <w:pPr>
              <w:pStyle w:val="Tabletext"/>
            </w:pPr>
            <w:r>
              <w:t>Section 3: Referral Out Date</w:t>
            </w:r>
          </w:p>
          <w:p w14:paraId="29ED86F5" w14:textId="77777777" w:rsidR="0091306F" w:rsidRDefault="0091306F" w:rsidP="00574E6E">
            <w:pPr>
              <w:pStyle w:val="Tabletext"/>
            </w:pPr>
            <w:r>
              <w:t>Section 3: Referral Out – Service Type</w:t>
            </w:r>
          </w:p>
          <w:p w14:paraId="185F21D9" w14:textId="4492BA1F" w:rsidR="000E4BEE" w:rsidRDefault="0091306F" w:rsidP="00574E6E">
            <w:pPr>
              <w:pStyle w:val="Tabletext"/>
            </w:pPr>
            <w:r>
              <w:t>Section 3: Referral Out – Place</w:t>
            </w:r>
          </w:p>
        </w:tc>
      </w:tr>
    </w:tbl>
    <w:p w14:paraId="30B848C8" w14:textId="77777777" w:rsidR="0091306F" w:rsidRDefault="0091306F" w:rsidP="0091306F">
      <w:pPr>
        <w:pStyle w:val="Heading2"/>
      </w:pPr>
      <w:bookmarkStart w:id="60" w:name="_Toc43198357"/>
      <w:bookmarkStart w:id="61" w:name="_Toc67035576"/>
      <w:bookmarkStart w:id="62" w:name="_Toc101788772"/>
      <w:r>
        <w:lastRenderedPageBreak/>
        <w:t>Residential In-Reach (RIR)</w:t>
      </w:r>
      <w:bookmarkEnd w:id="60"/>
      <w:bookmarkEnd w:id="61"/>
      <w:bookmarkEnd w:id="62"/>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7587"/>
      </w:tblGrid>
      <w:tr w:rsidR="0091306F" w14:paraId="7BE89E2D" w14:textId="77777777" w:rsidTr="0091306F">
        <w:tc>
          <w:tcPr>
            <w:tcW w:w="1701" w:type="dxa"/>
          </w:tcPr>
          <w:p w14:paraId="28CCF75A" w14:textId="77777777" w:rsidR="0091306F" w:rsidRPr="00574E6E" w:rsidRDefault="0091306F" w:rsidP="00574E6E">
            <w:pPr>
              <w:pStyle w:val="Tabletext"/>
              <w:rPr>
                <w:rStyle w:val="Strong"/>
              </w:rPr>
            </w:pPr>
            <w:r w:rsidRPr="00574E6E">
              <w:rPr>
                <w:rStyle w:val="Strong"/>
              </w:rPr>
              <w:t>Definition</w:t>
            </w:r>
          </w:p>
        </w:tc>
        <w:tc>
          <w:tcPr>
            <w:tcW w:w="7587" w:type="dxa"/>
          </w:tcPr>
          <w:p w14:paraId="7AB4B9A3" w14:textId="5584E8DB" w:rsidR="0091306F" w:rsidRDefault="00FD5A48" w:rsidP="00574E6E">
            <w:pPr>
              <w:pStyle w:val="Tabletext"/>
            </w:pPr>
            <w:r>
              <w:t>RIR</w:t>
            </w:r>
            <w:r w:rsidR="0091306F" w:rsidRPr="000507AF">
              <w:t xml:space="preserve"> services provide an alternative to the emergency department (ED), where appropriate and safe, for people living in residential aged care services (RACS). Specifically, </w:t>
            </w:r>
            <w:r>
              <w:t>RIR</w:t>
            </w:r>
            <w:r w:rsidR="0091306F" w:rsidRPr="000507AF">
              <w:t xml:space="preserve"> services provide assessment and management (in appropriate circumstances) of residents with an acute medical condition</w:t>
            </w:r>
            <w:r>
              <w:t>/</w:t>
            </w:r>
            <w:r w:rsidR="0091306F" w:rsidRPr="000507AF">
              <w:t>s, which would otherwise result in a resident of a RACS unnecessarily presenting to an E</w:t>
            </w:r>
            <w:r>
              <w:t>D</w:t>
            </w:r>
            <w:r w:rsidR="0091306F" w:rsidRPr="000507AF">
              <w:t xml:space="preserve"> or being admitted to hospital.</w:t>
            </w:r>
          </w:p>
          <w:p w14:paraId="5A39F13D" w14:textId="4BFB172B" w:rsidR="00DD478C" w:rsidRPr="00B601F4" w:rsidRDefault="00DD478C" w:rsidP="00574E6E">
            <w:pPr>
              <w:pStyle w:val="Tabletext"/>
            </w:pPr>
          </w:p>
        </w:tc>
      </w:tr>
      <w:tr w:rsidR="0091306F" w14:paraId="53E8C640" w14:textId="77777777" w:rsidTr="00033B0A">
        <w:tc>
          <w:tcPr>
            <w:tcW w:w="1701" w:type="dxa"/>
          </w:tcPr>
          <w:p w14:paraId="26092F91" w14:textId="77777777" w:rsidR="0091306F" w:rsidRPr="00574E6E" w:rsidRDefault="0091306F" w:rsidP="00574E6E">
            <w:pPr>
              <w:pStyle w:val="Tabletext"/>
              <w:rPr>
                <w:rStyle w:val="Strong"/>
              </w:rPr>
            </w:pPr>
            <w:r w:rsidRPr="00574E6E">
              <w:rPr>
                <w:rStyle w:val="Strong"/>
              </w:rPr>
              <w:t>Guide for use</w:t>
            </w:r>
          </w:p>
        </w:tc>
        <w:tc>
          <w:tcPr>
            <w:tcW w:w="7587" w:type="dxa"/>
          </w:tcPr>
          <w:p w14:paraId="49729408" w14:textId="29C22F4F" w:rsidR="0091306F" w:rsidRDefault="00FD5A48" w:rsidP="00EB60C1">
            <w:pPr>
              <w:pStyle w:val="Tabletext"/>
            </w:pPr>
            <w:r>
              <w:t>RIR</w:t>
            </w:r>
            <w:r w:rsidR="0091306F">
              <w:t xml:space="preserve"> services provide a person-centred model of care supported by flexible service delivery in RACS. Health services providing </w:t>
            </w:r>
            <w:r>
              <w:t>RIR</w:t>
            </w:r>
            <w:r w:rsidR="0091306F">
              <w:t xml:space="preserve"> services have a dedicated telephone number(s) for receiving referrals.</w:t>
            </w:r>
          </w:p>
          <w:p w14:paraId="4BA5E640" w14:textId="199DB993" w:rsidR="0091306F" w:rsidRDefault="0091306F" w:rsidP="00EB60C1">
            <w:pPr>
              <w:pStyle w:val="Tabletext"/>
            </w:pPr>
            <w:r>
              <w:t>The support provided by health services includes:</w:t>
            </w:r>
          </w:p>
          <w:p w14:paraId="40942C76" w14:textId="1FA72849" w:rsidR="0091306F" w:rsidRDefault="0091306F" w:rsidP="00243516">
            <w:pPr>
              <w:pStyle w:val="Tablebullet1"/>
            </w:pPr>
            <w:r>
              <w:t>telephone consultation and liaison with RACS staff</w:t>
            </w:r>
            <w:r w:rsidR="00FD5A48">
              <w:t xml:space="preserve">, </w:t>
            </w:r>
            <w:r>
              <w:t>GPs and other providers</w:t>
            </w:r>
          </w:p>
          <w:p w14:paraId="0F7A7187" w14:textId="77777777" w:rsidR="0091306F" w:rsidRDefault="0091306F" w:rsidP="00EB60C1">
            <w:pPr>
              <w:pStyle w:val="Tablebullet1"/>
            </w:pPr>
            <w:r>
              <w:t>assessment and management of the resident’s acute medical condition at the aged care facility in collaboration with the resident and their representatives (RACS staff and the resident’s GP).</w:t>
            </w:r>
          </w:p>
          <w:p w14:paraId="67620688" w14:textId="50A658D5" w:rsidR="0091306F" w:rsidRDefault="00FD5A48" w:rsidP="00EB60C1">
            <w:pPr>
              <w:pStyle w:val="Tabletext"/>
            </w:pPr>
            <w:r>
              <w:t>RIR</w:t>
            </w:r>
            <w:r w:rsidR="0091306F">
              <w:t xml:space="preserve"> services aim to:</w:t>
            </w:r>
          </w:p>
          <w:p w14:paraId="36A17BFA" w14:textId="03C205A8" w:rsidR="0091306F" w:rsidRDefault="0091306F" w:rsidP="00EB60C1">
            <w:pPr>
              <w:pStyle w:val="Tablebullet1"/>
            </w:pPr>
            <w:r>
              <w:t>reduce the need for residents of RACS to be transferred to an ED in circumstances where appropriate and safe care can be provided within the RACS</w:t>
            </w:r>
          </w:p>
          <w:p w14:paraId="6C1E073A" w14:textId="77777777" w:rsidR="0091306F" w:rsidRDefault="0091306F" w:rsidP="00EB60C1">
            <w:pPr>
              <w:pStyle w:val="Tablebullet1"/>
            </w:pPr>
            <w:r>
              <w:t>improve communication between RACS and health services.</w:t>
            </w:r>
          </w:p>
          <w:p w14:paraId="69C0D4A9" w14:textId="5258C3BF" w:rsidR="004621AA" w:rsidRDefault="0091306F" w:rsidP="00EB60C1">
            <w:pPr>
              <w:pStyle w:val="Tabletext"/>
            </w:pPr>
            <w:r>
              <w:t xml:space="preserve">Communication with the residents’ general practitioner is essential. </w:t>
            </w:r>
            <w:r w:rsidR="00FD5A48">
              <w:t>RIR</w:t>
            </w:r>
            <w:r>
              <w:t xml:space="preserve"> services are not intended to replace or substitute for the care provided by the resident’s doctor or RACS.</w:t>
            </w:r>
          </w:p>
          <w:p w14:paraId="6D00D498" w14:textId="77777777" w:rsidR="0091306F" w:rsidRPr="0031469D" w:rsidRDefault="0091306F" w:rsidP="00EB60C1">
            <w:pPr>
              <w:pStyle w:val="DHHStabletext"/>
            </w:pPr>
          </w:p>
        </w:tc>
      </w:tr>
      <w:tr w:rsidR="00DD478C" w14:paraId="11545344" w14:textId="77777777" w:rsidTr="00033B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01" w:type="dxa"/>
            <w:tcBorders>
              <w:top w:val="nil"/>
              <w:left w:val="nil"/>
              <w:bottom w:val="nil"/>
              <w:right w:val="nil"/>
            </w:tcBorders>
          </w:tcPr>
          <w:p w14:paraId="57EFF7C4" w14:textId="77777777" w:rsidR="00DD478C" w:rsidRPr="00EB60C1" w:rsidRDefault="00DD478C" w:rsidP="005E74E1">
            <w:pPr>
              <w:pStyle w:val="Tabletext"/>
              <w:rPr>
                <w:rStyle w:val="Strong"/>
              </w:rPr>
            </w:pPr>
            <w:bookmarkStart w:id="63" w:name="_Toc43198358"/>
            <w:bookmarkStart w:id="64" w:name="_Toc67035577"/>
            <w:r w:rsidRPr="00EB60C1">
              <w:rPr>
                <w:rStyle w:val="Strong"/>
              </w:rPr>
              <w:t xml:space="preserve">Refer to </w:t>
            </w:r>
          </w:p>
        </w:tc>
        <w:tc>
          <w:tcPr>
            <w:tcW w:w="7587" w:type="dxa"/>
            <w:tcBorders>
              <w:top w:val="nil"/>
              <w:left w:val="nil"/>
              <w:bottom w:val="nil"/>
              <w:right w:val="nil"/>
            </w:tcBorders>
          </w:tcPr>
          <w:p w14:paraId="2C0110D1" w14:textId="77777777" w:rsidR="00DD478C" w:rsidRPr="00B77036" w:rsidRDefault="00DD478C" w:rsidP="00033B0A">
            <w:pPr>
              <w:pStyle w:val="Bodynospace"/>
              <w:spacing w:before="80" w:after="60" w:line="240" w:lineRule="auto"/>
              <w:rPr>
                <w:b/>
              </w:rPr>
            </w:pPr>
            <w:r w:rsidRPr="00B77036">
              <w:t>Section 2: Program</w:t>
            </w:r>
          </w:p>
          <w:p w14:paraId="3FEEEA02" w14:textId="77777777" w:rsidR="00DD478C" w:rsidRPr="00B77036" w:rsidRDefault="00DD478C" w:rsidP="00033B0A">
            <w:pPr>
              <w:pStyle w:val="Bodynospace"/>
              <w:spacing w:before="80" w:after="60" w:line="240" w:lineRule="auto"/>
            </w:pPr>
            <w:r w:rsidRPr="00B77036">
              <w:t xml:space="preserve">Section 2: Programs reporting to </w:t>
            </w:r>
            <w:r>
              <w:t xml:space="preserve">the </w:t>
            </w:r>
            <w:r w:rsidRPr="00B77036">
              <w:t>VINAH</w:t>
            </w:r>
            <w:r>
              <w:t xml:space="preserve"> MDS</w:t>
            </w:r>
          </w:p>
          <w:p w14:paraId="4B941E86" w14:textId="77777777" w:rsidR="00DD478C" w:rsidRPr="00B77036" w:rsidRDefault="00DD478C" w:rsidP="00033B0A">
            <w:pPr>
              <w:pStyle w:val="Bodynospace"/>
              <w:spacing w:before="80" w:after="60" w:line="240" w:lineRule="auto"/>
            </w:pPr>
            <w:r w:rsidRPr="00B77036">
              <w:t>Section 2: Stream</w:t>
            </w:r>
          </w:p>
          <w:p w14:paraId="0C63E5AE" w14:textId="77777777" w:rsidR="00DD478C" w:rsidRPr="00B77036" w:rsidRDefault="00DD478C" w:rsidP="00033B0A">
            <w:pPr>
              <w:pStyle w:val="Bodynospace"/>
              <w:spacing w:before="80" w:after="60" w:line="240" w:lineRule="auto"/>
            </w:pPr>
            <w:r w:rsidRPr="00B77036">
              <w:t>Section 3: Episode program/stream</w:t>
            </w:r>
          </w:p>
          <w:p w14:paraId="6F6F065F" w14:textId="77777777" w:rsidR="00DD478C" w:rsidRPr="00574E6E" w:rsidRDefault="00DD478C" w:rsidP="00033B0A">
            <w:pPr>
              <w:pStyle w:val="Bodynospace"/>
              <w:spacing w:before="80" w:after="60" w:line="240" w:lineRule="auto"/>
            </w:pPr>
            <w:r w:rsidRPr="00B77036">
              <w:t>Section 3: Referral in program/stream</w:t>
            </w:r>
          </w:p>
        </w:tc>
      </w:tr>
    </w:tbl>
    <w:p w14:paraId="240A68FB" w14:textId="50764AA7" w:rsidR="0091306F" w:rsidRDefault="0091306F" w:rsidP="0091306F">
      <w:pPr>
        <w:pStyle w:val="Heading2"/>
      </w:pPr>
      <w:bookmarkStart w:id="65" w:name="_Toc101788773"/>
      <w:r>
        <w:t>Specialist Clinics</w:t>
      </w:r>
      <w:r w:rsidR="00A3262A">
        <w:t xml:space="preserve"> (Outpatients)</w:t>
      </w:r>
      <w:r>
        <w:t xml:space="preserve"> (OP)</w:t>
      </w:r>
      <w:bookmarkEnd w:id="63"/>
      <w:bookmarkEnd w:id="64"/>
      <w:bookmarkEnd w:id="65"/>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7587"/>
      </w:tblGrid>
      <w:tr w:rsidR="0091306F" w14:paraId="4BF969D0" w14:textId="77777777" w:rsidTr="0091306F">
        <w:tc>
          <w:tcPr>
            <w:tcW w:w="1701" w:type="dxa"/>
          </w:tcPr>
          <w:p w14:paraId="3E6A35F5" w14:textId="77777777" w:rsidR="0091306F" w:rsidRPr="00574E6E" w:rsidRDefault="0091306F" w:rsidP="00574E6E">
            <w:pPr>
              <w:pStyle w:val="Tabletext"/>
              <w:rPr>
                <w:rStyle w:val="Strong"/>
              </w:rPr>
            </w:pPr>
            <w:r w:rsidRPr="00574E6E">
              <w:rPr>
                <w:rStyle w:val="Strong"/>
              </w:rPr>
              <w:t>Definition</w:t>
            </w:r>
          </w:p>
        </w:tc>
        <w:tc>
          <w:tcPr>
            <w:tcW w:w="7587" w:type="dxa"/>
          </w:tcPr>
          <w:p w14:paraId="73A2DA91" w14:textId="77777777" w:rsidR="0091306F" w:rsidRDefault="0091306F" w:rsidP="00574E6E">
            <w:pPr>
              <w:pStyle w:val="Tabletext"/>
            </w:pPr>
            <w:r w:rsidRPr="00884BB2">
              <w:t>Services provided to non-admitted, non-emergency department patients registered for care by specialist outpatient clinics of public hospitals classified as principal referral and specialist women’s and children’s hospitals and large hospitals (Peer Group A or B).</w:t>
            </w:r>
          </w:p>
          <w:p w14:paraId="0BA4CA81" w14:textId="1D9EE423" w:rsidR="00E74E39" w:rsidRPr="00B601F4" w:rsidRDefault="00E74E39" w:rsidP="00574E6E">
            <w:pPr>
              <w:pStyle w:val="Tabletext"/>
            </w:pPr>
          </w:p>
        </w:tc>
      </w:tr>
      <w:tr w:rsidR="0091306F" w14:paraId="02549152" w14:textId="77777777" w:rsidTr="0091306F">
        <w:tc>
          <w:tcPr>
            <w:tcW w:w="1701" w:type="dxa"/>
          </w:tcPr>
          <w:p w14:paraId="3A5D3E2F" w14:textId="77777777" w:rsidR="0091306F" w:rsidRPr="00574E6E" w:rsidRDefault="0091306F" w:rsidP="00574E6E">
            <w:pPr>
              <w:pStyle w:val="Tabletext"/>
              <w:rPr>
                <w:rStyle w:val="Strong"/>
              </w:rPr>
            </w:pPr>
            <w:r w:rsidRPr="00574E6E">
              <w:rPr>
                <w:rStyle w:val="Strong"/>
              </w:rPr>
              <w:lastRenderedPageBreak/>
              <w:t>Guide for use</w:t>
            </w:r>
          </w:p>
        </w:tc>
        <w:tc>
          <w:tcPr>
            <w:tcW w:w="7587" w:type="dxa"/>
          </w:tcPr>
          <w:p w14:paraId="262760F3" w14:textId="325A45A9" w:rsidR="0091306F" w:rsidRDefault="0091306F" w:rsidP="00574E6E">
            <w:pPr>
              <w:pStyle w:val="Tabletext"/>
            </w:pPr>
            <w:r>
              <w:t>Hospitals use the term ‘clinic’ to describe various arrangements under which they deliver specialist outpatient services to non-admitted non-emergency department patients. For the purpose of this collection, an outpatient clinic is a specialty unit or organisational arrangement under which a hospital provides outpatient clinic services. The nature of the service provided by the clinic is classified by ‘clinic type’. All outpatient clinic types are included, except specialised mental health and alcohol and other drug treatment services.</w:t>
            </w:r>
          </w:p>
          <w:p w14:paraId="4FBF15E1" w14:textId="77777777" w:rsidR="0091306F" w:rsidRDefault="0091306F" w:rsidP="00574E6E">
            <w:pPr>
              <w:pStyle w:val="Tabletext"/>
            </w:pPr>
            <w:r>
              <w:t>Outpatient clinic services should be interpreted as encompassing services provided through specific organisational units staffed to administer and provide a certain range of outpatient care:</w:t>
            </w:r>
          </w:p>
          <w:p w14:paraId="70B73D24" w14:textId="4C7609D4" w:rsidR="0091306F" w:rsidRDefault="0091306F" w:rsidP="00574E6E">
            <w:pPr>
              <w:pStyle w:val="Tablebullet1"/>
            </w:pPr>
            <w:r>
              <w:t>in defined locations</w:t>
            </w:r>
          </w:p>
          <w:p w14:paraId="40B17734" w14:textId="4D987F9C" w:rsidR="0091306F" w:rsidRDefault="0091306F" w:rsidP="00574E6E">
            <w:pPr>
              <w:pStyle w:val="Tablebullet1"/>
            </w:pPr>
            <w:r>
              <w:t>at regular or irregular times</w:t>
            </w:r>
          </w:p>
          <w:p w14:paraId="7336D9BC" w14:textId="77777777" w:rsidR="0091306F" w:rsidRDefault="0091306F" w:rsidP="00574E6E">
            <w:pPr>
              <w:pStyle w:val="Tablebullet1"/>
            </w:pPr>
            <w:r>
              <w:t>where one or more medical, surgical, allied health or nursing specialist providers deliver care to booked patients.</w:t>
            </w:r>
          </w:p>
          <w:p w14:paraId="1A4BE4F4" w14:textId="52F0A154" w:rsidR="0091306F" w:rsidRDefault="0091306F" w:rsidP="00574E6E">
            <w:pPr>
              <w:pStyle w:val="Tabletext"/>
            </w:pPr>
            <w:r>
              <w:t xml:space="preserve">Generally, in such clinics, a booking system is </w:t>
            </w:r>
            <w:r w:rsidR="005B29E5">
              <w:t>administered</w:t>
            </w:r>
            <w:r>
              <w:t xml:space="preserve"> and patient records are maintained to document patient attendances and care provided.</w:t>
            </w:r>
          </w:p>
          <w:p w14:paraId="6C9B2E98" w14:textId="77777777" w:rsidR="0091306F" w:rsidRPr="00884BB2" w:rsidRDefault="0091306F" w:rsidP="00574E6E">
            <w:pPr>
              <w:pStyle w:val="Tabletext"/>
            </w:pPr>
            <w:r w:rsidRPr="00884BB2">
              <w:t>Included in scope are:</w:t>
            </w:r>
          </w:p>
          <w:p w14:paraId="185761C6" w14:textId="71E4C604" w:rsidR="0091306F" w:rsidRDefault="00FD5A48" w:rsidP="00FD5A48">
            <w:pPr>
              <w:pStyle w:val="Tabletext"/>
              <w:numPr>
                <w:ilvl w:val="0"/>
                <w:numId w:val="20"/>
              </w:numPr>
            </w:pPr>
            <w:r>
              <w:t>a</w:t>
            </w:r>
            <w:r w:rsidR="0091306F">
              <w:t>ll arrangements made to deliver specialist care to non-admitted, non-emergency department patients whose treatment has been funded or managed through the hospital, regardless of the source from which the hospital derives these funds.</w:t>
            </w:r>
          </w:p>
          <w:p w14:paraId="6B4EB9C6" w14:textId="77777777" w:rsidR="0091306F" w:rsidRPr="00884BB2" w:rsidRDefault="0091306F" w:rsidP="00574E6E">
            <w:pPr>
              <w:pStyle w:val="Tabletext"/>
            </w:pPr>
            <w:r w:rsidRPr="00884BB2">
              <w:t>Excluded from scope are:</w:t>
            </w:r>
          </w:p>
          <w:p w14:paraId="4639E0C2" w14:textId="77777777" w:rsidR="0091306F" w:rsidRDefault="0091306F" w:rsidP="00574E6E">
            <w:pPr>
              <w:pStyle w:val="Tablebullet1"/>
            </w:pPr>
            <w:r>
              <w:t>stand-alone diagnostic clinics (Tier 2 classes 30.01 – 30.08).</w:t>
            </w:r>
          </w:p>
          <w:p w14:paraId="357047D2" w14:textId="6E06373B" w:rsidR="0091306F" w:rsidRDefault="0091306F" w:rsidP="00574E6E">
            <w:pPr>
              <w:pStyle w:val="Tablebullet1"/>
            </w:pPr>
            <w:r>
              <w:t xml:space="preserve">services funded by another Program reporting to </w:t>
            </w:r>
            <w:r w:rsidR="00C17A11">
              <w:t xml:space="preserve">the </w:t>
            </w:r>
            <w:r>
              <w:t>VINAH</w:t>
            </w:r>
            <w:r w:rsidR="00C17A11">
              <w:t xml:space="preserve"> MDS</w:t>
            </w:r>
            <w:r>
              <w:t xml:space="preserve"> (for example, Health Independence Programs)</w:t>
            </w:r>
          </w:p>
          <w:p w14:paraId="2F8018DC" w14:textId="77777777" w:rsidR="0091306F" w:rsidRDefault="0091306F" w:rsidP="00574E6E">
            <w:pPr>
              <w:pStyle w:val="Tablebullet1"/>
            </w:pPr>
            <w:r>
              <w:t>services which are not funded through the hospital and/or which deliver non-clinical care (activities such as home cleaning, meals on wheels, home maintenance)</w:t>
            </w:r>
          </w:p>
          <w:p w14:paraId="60467408" w14:textId="77777777" w:rsidR="0091306F" w:rsidRDefault="0091306F" w:rsidP="00574E6E">
            <w:pPr>
              <w:pStyle w:val="Tablebullet1"/>
            </w:pPr>
            <w:r>
              <w:t>community-based services.</w:t>
            </w:r>
          </w:p>
          <w:p w14:paraId="09DE3505" w14:textId="77777777" w:rsidR="0091306F" w:rsidRDefault="0091306F" w:rsidP="00574E6E">
            <w:pPr>
              <w:pStyle w:val="Tablebullet1"/>
            </w:pPr>
            <w:r>
              <w:t xml:space="preserve">all services covered by data collections for: </w:t>
            </w:r>
          </w:p>
          <w:p w14:paraId="2CA4B9B0" w14:textId="77777777" w:rsidR="0091306F" w:rsidRDefault="0091306F" w:rsidP="00C73734">
            <w:pPr>
              <w:pStyle w:val="Tablebullet2"/>
            </w:pPr>
            <w:r>
              <w:t>admitted patient care</w:t>
            </w:r>
          </w:p>
          <w:p w14:paraId="4674699B" w14:textId="77777777" w:rsidR="0091306F" w:rsidRDefault="0091306F" w:rsidP="00C73734">
            <w:pPr>
              <w:pStyle w:val="Tablebullet2"/>
            </w:pPr>
            <w:r>
              <w:t>admitted patient mental health care</w:t>
            </w:r>
          </w:p>
          <w:p w14:paraId="7B0442E3" w14:textId="77777777" w:rsidR="0091306F" w:rsidRDefault="0091306F" w:rsidP="00C73734">
            <w:pPr>
              <w:pStyle w:val="Tablebullet2"/>
            </w:pPr>
            <w:r>
              <w:t>alcohol and other drug treatment services</w:t>
            </w:r>
          </w:p>
          <w:p w14:paraId="6D86E7A9" w14:textId="77777777" w:rsidR="0091306F" w:rsidRDefault="0091306F" w:rsidP="00C73734">
            <w:pPr>
              <w:pStyle w:val="Tablebullet2"/>
            </w:pPr>
            <w:r>
              <w:t>community mental health care</w:t>
            </w:r>
          </w:p>
          <w:p w14:paraId="6B723F7E" w14:textId="77777777" w:rsidR="0091306F" w:rsidRDefault="0091306F" w:rsidP="00C73734">
            <w:pPr>
              <w:pStyle w:val="Tablebullet2"/>
            </w:pPr>
            <w:r>
              <w:t>non-admitted patient emergency department</w:t>
            </w:r>
          </w:p>
          <w:p w14:paraId="0E272354" w14:textId="77777777" w:rsidR="0091306F" w:rsidRDefault="0091306F" w:rsidP="00574E6E">
            <w:pPr>
              <w:pStyle w:val="Tabletext"/>
            </w:pPr>
            <w:r>
              <w:t>Services provided to admitted patients may be reported providing the Inpatient Flag is reported as ‘I’.</w:t>
            </w:r>
          </w:p>
          <w:p w14:paraId="0FCE8F1A" w14:textId="64077BD9" w:rsidR="00E74E39" w:rsidRPr="0031469D" w:rsidRDefault="00E74E39" w:rsidP="00574E6E">
            <w:pPr>
              <w:pStyle w:val="Tabletext"/>
            </w:pPr>
          </w:p>
        </w:tc>
      </w:tr>
      <w:tr w:rsidR="0091306F" w14:paraId="0C757F49" w14:textId="77777777" w:rsidTr="0091306F">
        <w:tc>
          <w:tcPr>
            <w:tcW w:w="1701" w:type="dxa"/>
          </w:tcPr>
          <w:p w14:paraId="0157A519" w14:textId="77777777" w:rsidR="0091306F" w:rsidRPr="00E330E9" w:rsidRDefault="0091306F" w:rsidP="0091306F">
            <w:pPr>
              <w:pStyle w:val="Body"/>
            </w:pPr>
            <w:r w:rsidRPr="00E330E9">
              <w:t>Refer to</w:t>
            </w:r>
          </w:p>
        </w:tc>
        <w:tc>
          <w:tcPr>
            <w:tcW w:w="7587" w:type="dxa"/>
          </w:tcPr>
          <w:p w14:paraId="1A656D4E" w14:textId="77777777" w:rsidR="0091306F" w:rsidRDefault="0091306F" w:rsidP="00EB60C1">
            <w:pPr>
              <w:pStyle w:val="Tabletext"/>
            </w:pPr>
            <w:r>
              <w:t>Section 2: Program</w:t>
            </w:r>
          </w:p>
          <w:p w14:paraId="401EFCCE" w14:textId="38CAAFE9" w:rsidR="0091306F" w:rsidRDefault="0091306F" w:rsidP="00EB60C1">
            <w:pPr>
              <w:pStyle w:val="Tabletext"/>
            </w:pPr>
            <w:r>
              <w:t xml:space="preserve">Section 2: Programs reporting to </w:t>
            </w:r>
            <w:r w:rsidR="00C17A11">
              <w:t xml:space="preserve">the </w:t>
            </w:r>
            <w:r>
              <w:t>VINAH</w:t>
            </w:r>
            <w:r w:rsidR="00C17A11">
              <w:t xml:space="preserve"> MDS</w:t>
            </w:r>
          </w:p>
          <w:p w14:paraId="7FD54FBE" w14:textId="77777777" w:rsidR="0091306F" w:rsidRDefault="0091306F" w:rsidP="00EB60C1">
            <w:pPr>
              <w:pStyle w:val="Tabletext"/>
            </w:pPr>
            <w:r>
              <w:t>Section 2: Stream</w:t>
            </w:r>
          </w:p>
          <w:p w14:paraId="3561276E" w14:textId="77777777" w:rsidR="0091306F" w:rsidRDefault="0091306F" w:rsidP="00EB60C1">
            <w:pPr>
              <w:pStyle w:val="Tabletext"/>
            </w:pPr>
            <w:r>
              <w:t>Section 3: Episode program/stream</w:t>
            </w:r>
          </w:p>
          <w:p w14:paraId="6B328717" w14:textId="77777777" w:rsidR="0091306F" w:rsidRDefault="0091306F" w:rsidP="00EB60C1">
            <w:pPr>
              <w:pStyle w:val="Tabletext"/>
            </w:pPr>
            <w:r>
              <w:t>Section 3: Referral In program/stream</w:t>
            </w:r>
          </w:p>
        </w:tc>
      </w:tr>
    </w:tbl>
    <w:p w14:paraId="12A0C5CD" w14:textId="77777777" w:rsidR="0091306F" w:rsidRPr="00884BB2" w:rsidRDefault="0091306F" w:rsidP="0091306F">
      <w:pPr>
        <w:pStyle w:val="Heading2"/>
      </w:pPr>
      <w:bookmarkStart w:id="66" w:name="_Toc43198359"/>
      <w:bookmarkStart w:id="67" w:name="_Toc67035578"/>
      <w:bookmarkStart w:id="68" w:name="_Toc101788774"/>
      <w:r>
        <w:lastRenderedPageBreak/>
        <w:t>Stream</w:t>
      </w:r>
      <w:bookmarkEnd w:id="66"/>
      <w:bookmarkEnd w:id="67"/>
      <w:bookmarkEnd w:id="68"/>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7587"/>
      </w:tblGrid>
      <w:tr w:rsidR="0091306F" w14:paraId="12305357" w14:textId="77777777" w:rsidTr="0091306F">
        <w:tc>
          <w:tcPr>
            <w:tcW w:w="1701" w:type="dxa"/>
          </w:tcPr>
          <w:p w14:paraId="3CD0F861" w14:textId="77777777" w:rsidR="0091306F" w:rsidRPr="00574E6E" w:rsidRDefault="0091306F" w:rsidP="00574E6E">
            <w:pPr>
              <w:pStyle w:val="Tabletext"/>
              <w:rPr>
                <w:rStyle w:val="Strong"/>
              </w:rPr>
            </w:pPr>
            <w:r w:rsidRPr="00574E6E">
              <w:rPr>
                <w:rStyle w:val="Strong"/>
              </w:rPr>
              <w:t>Definition</w:t>
            </w:r>
          </w:p>
        </w:tc>
        <w:tc>
          <w:tcPr>
            <w:tcW w:w="7587" w:type="dxa"/>
          </w:tcPr>
          <w:p w14:paraId="4849EA2D" w14:textId="77777777" w:rsidR="0091306F" w:rsidRDefault="0091306F" w:rsidP="00574E6E">
            <w:pPr>
              <w:pStyle w:val="Tabletext"/>
            </w:pPr>
            <w:r>
              <w:t>A sub-grouping, usually clinical, within a program.</w:t>
            </w:r>
          </w:p>
          <w:p w14:paraId="37D56FD7" w14:textId="0A570AE7" w:rsidR="00033B0A" w:rsidRPr="00B601F4" w:rsidRDefault="00033B0A" w:rsidP="00574E6E">
            <w:pPr>
              <w:pStyle w:val="Tabletext"/>
            </w:pPr>
          </w:p>
        </w:tc>
      </w:tr>
      <w:tr w:rsidR="0091306F" w14:paraId="0464A4AE" w14:textId="77777777" w:rsidTr="0091306F">
        <w:tc>
          <w:tcPr>
            <w:tcW w:w="1701" w:type="dxa"/>
          </w:tcPr>
          <w:p w14:paraId="62F9E7FA" w14:textId="77777777" w:rsidR="0091306F" w:rsidRPr="00574E6E" w:rsidRDefault="0091306F" w:rsidP="00574E6E">
            <w:pPr>
              <w:pStyle w:val="Tabletext"/>
              <w:rPr>
                <w:rStyle w:val="Strong"/>
              </w:rPr>
            </w:pPr>
            <w:r w:rsidRPr="00574E6E">
              <w:rPr>
                <w:rStyle w:val="Strong"/>
              </w:rPr>
              <w:t>Guide for use</w:t>
            </w:r>
          </w:p>
        </w:tc>
        <w:tc>
          <w:tcPr>
            <w:tcW w:w="7587" w:type="dxa"/>
          </w:tcPr>
          <w:p w14:paraId="461C579F" w14:textId="77777777" w:rsidR="0091306F" w:rsidRDefault="0091306F" w:rsidP="00574E6E">
            <w:pPr>
              <w:pStyle w:val="Tabletext"/>
            </w:pPr>
            <w:r>
              <w:t xml:space="preserve">A stream </w:t>
            </w:r>
            <w:r w:rsidRPr="005D033F">
              <w:t>is a layer below the program; streams are usually based on the clinical attributes of patients/clients and/or the services/resources the patient/client receives. Not all programs are split into streams.</w:t>
            </w:r>
          </w:p>
          <w:p w14:paraId="28454494" w14:textId="56A9AB45" w:rsidR="00033B0A" w:rsidRPr="0031469D" w:rsidRDefault="00033B0A" w:rsidP="00574E6E">
            <w:pPr>
              <w:pStyle w:val="Tabletext"/>
            </w:pPr>
          </w:p>
        </w:tc>
      </w:tr>
      <w:tr w:rsidR="0091306F" w14:paraId="2293F496" w14:textId="77777777" w:rsidTr="0091306F">
        <w:tc>
          <w:tcPr>
            <w:tcW w:w="1701" w:type="dxa"/>
          </w:tcPr>
          <w:p w14:paraId="240E628E" w14:textId="77777777" w:rsidR="0091306F" w:rsidRPr="00574E6E" w:rsidRDefault="0091306F" w:rsidP="00574E6E">
            <w:pPr>
              <w:pStyle w:val="Tabletext"/>
              <w:rPr>
                <w:rStyle w:val="Strong"/>
              </w:rPr>
            </w:pPr>
            <w:r w:rsidRPr="00574E6E">
              <w:rPr>
                <w:rStyle w:val="Strong"/>
              </w:rPr>
              <w:t>Refer to</w:t>
            </w:r>
          </w:p>
        </w:tc>
        <w:tc>
          <w:tcPr>
            <w:tcW w:w="7587" w:type="dxa"/>
          </w:tcPr>
          <w:p w14:paraId="56E7B607" w14:textId="3C6ACC30" w:rsidR="0091306F" w:rsidRDefault="0091306F" w:rsidP="00574E6E">
            <w:pPr>
              <w:pStyle w:val="Tabletext"/>
            </w:pPr>
            <w:r>
              <w:t xml:space="preserve">Section 2: </w:t>
            </w:r>
            <w:r w:rsidR="003800C0">
              <w:t>Complex Care</w:t>
            </w:r>
            <w:r>
              <w:t xml:space="preserve"> (FCP)</w:t>
            </w:r>
          </w:p>
          <w:p w14:paraId="3DEE4071" w14:textId="1F68CE89" w:rsidR="00530F2E" w:rsidRDefault="00530F2E" w:rsidP="00574E6E">
            <w:pPr>
              <w:pStyle w:val="Tabletext"/>
            </w:pPr>
            <w:r>
              <w:t>Section 2: Home Based Dialysis (HBD)</w:t>
            </w:r>
          </w:p>
          <w:p w14:paraId="123F1F96" w14:textId="77777777" w:rsidR="0091306F" w:rsidRDefault="0091306F" w:rsidP="00574E6E">
            <w:pPr>
              <w:pStyle w:val="Tabletext"/>
            </w:pPr>
            <w:r>
              <w:t>Section 2: Home Enteral Nutrition (HEN)</w:t>
            </w:r>
          </w:p>
          <w:p w14:paraId="1AAB6655" w14:textId="77777777" w:rsidR="0091306F" w:rsidRDefault="0091306F" w:rsidP="00574E6E">
            <w:pPr>
              <w:pStyle w:val="Tabletext"/>
            </w:pPr>
            <w:r>
              <w:t>Section 2: Hospital Admission Risk Program (HARP)</w:t>
            </w:r>
          </w:p>
          <w:p w14:paraId="3C817E21" w14:textId="283EEA8A" w:rsidR="0091306F" w:rsidRDefault="0091306F" w:rsidP="00574E6E">
            <w:pPr>
              <w:pStyle w:val="Tabletext"/>
            </w:pPr>
            <w:r>
              <w:t>Section 2: Hospital Based Palliative Care Consultancy Team (HBPCCT)</w:t>
            </w:r>
          </w:p>
          <w:p w14:paraId="6E89D6A4" w14:textId="77777777" w:rsidR="00033B0A" w:rsidRDefault="00033B0A" w:rsidP="00033B0A">
            <w:pPr>
              <w:pStyle w:val="Tabletext"/>
            </w:pPr>
            <w:r>
              <w:t>Section 2: Medi-Hotel</w:t>
            </w:r>
          </w:p>
          <w:p w14:paraId="38FC55D4" w14:textId="77777777" w:rsidR="00033B0A" w:rsidRDefault="00033B0A" w:rsidP="00033B0A">
            <w:pPr>
              <w:pStyle w:val="Tabletext"/>
            </w:pPr>
            <w:r>
              <w:t>Section 2: Palliative Care (PC)</w:t>
            </w:r>
          </w:p>
          <w:p w14:paraId="4375706B" w14:textId="77777777" w:rsidR="00033B0A" w:rsidRDefault="00033B0A" w:rsidP="00033B0A">
            <w:pPr>
              <w:pStyle w:val="Tabletext"/>
            </w:pPr>
            <w:r>
              <w:t>Section 2: Post Acute Care (PAC)</w:t>
            </w:r>
          </w:p>
          <w:p w14:paraId="0B66A0E0" w14:textId="77777777" w:rsidR="00033B0A" w:rsidRDefault="00033B0A" w:rsidP="00033B0A">
            <w:pPr>
              <w:pStyle w:val="Tabletext"/>
            </w:pPr>
            <w:r>
              <w:t>Section 2: Program</w:t>
            </w:r>
          </w:p>
          <w:p w14:paraId="7B366958" w14:textId="77777777" w:rsidR="00033B0A" w:rsidRDefault="00033B0A" w:rsidP="00033B0A">
            <w:pPr>
              <w:pStyle w:val="Tabletext"/>
            </w:pPr>
            <w:r>
              <w:t>Section 2: Residential In-Reach (RIR)</w:t>
            </w:r>
          </w:p>
          <w:p w14:paraId="7174491B" w14:textId="77777777" w:rsidR="00033B0A" w:rsidRDefault="00033B0A" w:rsidP="00033B0A">
            <w:pPr>
              <w:pStyle w:val="Tabletext"/>
            </w:pPr>
            <w:r>
              <w:t>Section 2: Stream</w:t>
            </w:r>
          </w:p>
          <w:p w14:paraId="15257FA1" w14:textId="77777777" w:rsidR="00033B0A" w:rsidRDefault="00033B0A" w:rsidP="00033B0A">
            <w:pPr>
              <w:pStyle w:val="Tabletext"/>
            </w:pPr>
            <w:r>
              <w:t>Section 2: Specialist (Outpatient) Clinics (OP)</w:t>
            </w:r>
          </w:p>
          <w:p w14:paraId="5A9E0FD7" w14:textId="77777777" w:rsidR="00033B0A" w:rsidRDefault="00033B0A" w:rsidP="00033B0A">
            <w:pPr>
              <w:pStyle w:val="Tabletext"/>
            </w:pPr>
            <w:r>
              <w:t>Section 2: Subacute Ambulatory Care Services (SACS)</w:t>
            </w:r>
          </w:p>
          <w:p w14:paraId="7CD28876" w14:textId="77777777" w:rsidR="00033B0A" w:rsidRDefault="00033B0A" w:rsidP="00033B0A">
            <w:pPr>
              <w:pStyle w:val="Tabletext"/>
            </w:pPr>
            <w:r>
              <w:t>Section 2: Transitional Care Program (TCP)</w:t>
            </w:r>
          </w:p>
          <w:p w14:paraId="33CA2382" w14:textId="77777777" w:rsidR="00033B0A" w:rsidRDefault="00033B0A" w:rsidP="00033B0A">
            <w:pPr>
              <w:pStyle w:val="Tabletext"/>
            </w:pPr>
            <w:r>
              <w:t>Section 2: Victorian Artificial Limb Program (VALP)</w:t>
            </w:r>
          </w:p>
          <w:p w14:paraId="6CC109D1" w14:textId="347C17C3" w:rsidR="00033B0A" w:rsidRDefault="00033B0A" w:rsidP="00033B0A">
            <w:pPr>
              <w:pStyle w:val="Tabletext"/>
            </w:pPr>
            <w:r>
              <w:t>Section 2: Victorian HIV Service (VHS)</w:t>
            </w:r>
          </w:p>
          <w:p w14:paraId="17A85D46" w14:textId="705936FD" w:rsidR="00B93685" w:rsidRDefault="00B93685" w:rsidP="00033B0A">
            <w:pPr>
              <w:pStyle w:val="Tabletext"/>
            </w:pPr>
            <w:r>
              <w:t>Section 3: Contact program/stream</w:t>
            </w:r>
          </w:p>
          <w:p w14:paraId="3990EC71" w14:textId="77777777" w:rsidR="0091306F" w:rsidRDefault="0091306F" w:rsidP="00574E6E">
            <w:pPr>
              <w:pStyle w:val="Tabletext"/>
            </w:pPr>
            <w:r>
              <w:t>Section 3: Episode program/stream</w:t>
            </w:r>
          </w:p>
          <w:p w14:paraId="07CB6FFD" w14:textId="692BC401" w:rsidR="004621AA" w:rsidRDefault="0091306F" w:rsidP="00574E6E">
            <w:pPr>
              <w:pStyle w:val="Tabletext"/>
            </w:pPr>
            <w:r>
              <w:t>Section 3: Referral in program/stream</w:t>
            </w:r>
          </w:p>
        </w:tc>
      </w:tr>
    </w:tbl>
    <w:p w14:paraId="211AD066" w14:textId="77777777" w:rsidR="0091306F" w:rsidRDefault="0091306F" w:rsidP="0091306F">
      <w:pPr>
        <w:pStyle w:val="Heading2"/>
      </w:pPr>
      <w:bookmarkStart w:id="69" w:name="_Toc43198360"/>
      <w:bookmarkStart w:id="70" w:name="_Toc67035579"/>
      <w:bookmarkStart w:id="71" w:name="_Toc101788775"/>
      <w:r>
        <w:t>Subacute Ambulatory Care Services (SACS)</w:t>
      </w:r>
      <w:bookmarkEnd w:id="69"/>
      <w:bookmarkEnd w:id="70"/>
      <w:bookmarkEnd w:id="71"/>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7587"/>
      </w:tblGrid>
      <w:tr w:rsidR="0091306F" w14:paraId="59E2812F" w14:textId="77777777" w:rsidTr="0091306F">
        <w:tc>
          <w:tcPr>
            <w:tcW w:w="1701" w:type="dxa"/>
          </w:tcPr>
          <w:p w14:paraId="1CB98B7C" w14:textId="77777777" w:rsidR="0091306F" w:rsidRPr="00574E6E" w:rsidRDefault="0091306F" w:rsidP="00574E6E">
            <w:pPr>
              <w:pStyle w:val="Tabletext"/>
              <w:rPr>
                <w:rStyle w:val="Strong"/>
              </w:rPr>
            </w:pPr>
            <w:r w:rsidRPr="00574E6E">
              <w:rPr>
                <w:rStyle w:val="Strong"/>
              </w:rPr>
              <w:t>Definition</w:t>
            </w:r>
          </w:p>
        </w:tc>
        <w:tc>
          <w:tcPr>
            <w:tcW w:w="7587" w:type="dxa"/>
          </w:tcPr>
          <w:p w14:paraId="00A9F4CF" w14:textId="7691A9FF" w:rsidR="0091306F" w:rsidRDefault="0091306F" w:rsidP="00574E6E">
            <w:pPr>
              <w:pStyle w:val="Tabletext"/>
            </w:pPr>
            <w:r w:rsidRPr="00884BB2">
              <w:t xml:space="preserve">SACS comprise non-admitted rehabilitation services that are complex, multidisciplinary, and/or interdisciplinary, as well as a suite of specialist assessment and management services. Rehabilitation services can be </w:t>
            </w:r>
            <w:r w:rsidR="00A206BC" w:rsidRPr="00884BB2">
              <w:t>centre based</w:t>
            </w:r>
            <w:r w:rsidRPr="00884BB2">
              <w:t>, for example they may be provided through a Community Rehabilitation Centre (CRC</w:t>
            </w:r>
            <w:r w:rsidR="00C17A11" w:rsidRPr="00884BB2">
              <w:t>)</w:t>
            </w:r>
            <w:r w:rsidR="00B93685">
              <w:t>,</w:t>
            </w:r>
            <w:r w:rsidR="00C17A11" w:rsidRPr="00884BB2">
              <w:t xml:space="preserve"> or</w:t>
            </w:r>
            <w:r w:rsidRPr="00884BB2">
              <w:t xml:space="preserve"> may be provided in a client’s home.</w:t>
            </w:r>
          </w:p>
          <w:p w14:paraId="1528D0E4" w14:textId="4F0B5432" w:rsidR="00033B0A" w:rsidRPr="00B601F4" w:rsidRDefault="00033B0A" w:rsidP="00574E6E">
            <w:pPr>
              <w:pStyle w:val="Tabletext"/>
            </w:pPr>
          </w:p>
        </w:tc>
      </w:tr>
      <w:tr w:rsidR="0091306F" w14:paraId="49142888" w14:textId="77777777" w:rsidTr="0091306F">
        <w:tc>
          <w:tcPr>
            <w:tcW w:w="1701" w:type="dxa"/>
          </w:tcPr>
          <w:p w14:paraId="6182D76A" w14:textId="77777777" w:rsidR="0091306F" w:rsidRPr="00574E6E" w:rsidRDefault="0091306F" w:rsidP="00574E6E">
            <w:pPr>
              <w:pStyle w:val="Tabletext"/>
              <w:rPr>
                <w:rStyle w:val="Strong"/>
              </w:rPr>
            </w:pPr>
            <w:r w:rsidRPr="00574E6E">
              <w:rPr>
                <w:rStyle w:val="Strong"/>
              </w:rPr>
              <w:t>Guide for use</w:t>
            </w:r>
          </w:p>
        </w:tc>
        <w:tc>
          <w:tcPr>
            <w:tcW w:w="7587" w:type="dxa"/>
          </w:tcPr>
          <w:p w14:paraId="738EFA8F" w14:textId="4D339AF0" w:rsidR="0091306F" w:rsidRDefault="0091306F" w:rsidP="00574E6E">
            <w:pPr>
              <w:pStyle w:val="Tabletext"/>
            </w:pPr>
            <w:r>
              <w:t>SACS provide a person- and family-centred, interdisciplinary model of care supported by flexible service delivery in a range of settings,</w:t>
            </w:r>
            <w:r w:rsidR="00A206BC">
              <w:t xml:space="preserve"> </w:t>
            </w:r>
            <w:r>
              <w:t>directed at improving and maintaining a person’s functional capacity and maximising their independence. While the majority of SACS clients are older people, services for children and younger adults are currently being developed and expanded.</w:t>
            </w:r>
          </w:p>
          <w:p w14:paraId="4F2F4638" w14:textId="77777777" w:rsidR="0091306F" w:rsidRDefault="0091306F" w:rsidP="00574E6E">
            <w:pPr>
              <w:pStyle w:val="Tabletext"/>
            </w:pPr>
            <w:r>
              <w:t>The aims of SACS are to:</w:t>
            </w:r>
          </w:p>
          <w:p w14:paraId="63A5BF5D" w14:textId="618CD38A" w:rsidR="0091306F" w:rsidRDefault="0091306F" w:rsidP="00574E6E">
            <w:pPr>
              <w:pStyle w:val="Tablebullet1"/>
            </w:pPr>
            <w:r>
              <w:t>improve, restore and/or maintain a person’s functional capacity to achieve the highest possible level of independence physically, psychologically, socially and economically</w:t>
            </w:r>
          </w:p>
          <w:p w14:paraId="68AB37A3" w14:textId="77777777" w:rsidR="0091306F" w:rsidRDefault="0091306F" w:rsidP="00574E6E">
            <w:pPr>
              <w:pStyle w:val="Tablebullet1"/>
            </w:pPr>
            <w:r>
              <w:lastRenderedPageBreak/>
              <w:t>provide a coordinated and integrated service that delivers the appropriate care, in a timely manner, in the most appropriate setting and at the most appropriate cost.</w:t>
            </w:r>
          </w:p>
          <w:p w14:paraId="0B8254CA" w14:textId="729C314B" w:rsidR="0091306F" w:rsidRDefault="0091306F" w:rsidP="00574E6E">
            <w:pPr>
              <w:pStyle w:val="Tabletext"/>
            </w:pPr>
            <w:r>
              <w:t>SACS play a key role in supporting people to get safely home from hospital as soon as possible (for example after a stroke, hip replacement, or major trauma), and in helping them optimise their functional status and maintain their health independence. SACS also have a major role in preventing and diverting hospital admissions, by ensuring that multidisciplinary therapy and assessment services are available in non-admitted settings.</w:t>
            </w:r>
          </w:p>
          <w:p w14:paraId="0168F079" w14:textId="6FD01704" w:rsidR="0091306F" w:rsidRDefault="0091306F" w:rsidP="00EB60C1">
            <w:pPr>
              <w:pStyle w:val="Tabletext"/>
            </w:pPr>
            <w:r>
              <w:t xml:space="preserve">For more information, visit </w:t>
            </w:r>
            <w:hyperlink r:id="rId28" w:history="1">
              <w:r w:rsidRPr="0031469D">
                <w:rPr>
                  <w:rStyle w:val="Hyperlink"/>
                </w:rPr>
                <w:t xml:space="preserve"> health independence program webpage</w:t>
              </w:r>
            </w:hyperlink>
            <w:r>
              <w:t xml:space="preserve"> </w:t>
            </w:r>
            <w:hyperlink r:id="rId29" w:history="1">
              <w:r w:rsidR="00033B0A" w:rsidRPr="00B4642B">
                <w:rPr>
                  <w:rStyle w:val="Hyperlink"/>
                </w:rPr>
                <w:t>https://www2.health.vic.gov.au/hospitals-and-health-services/patient-care/rehabilitation-complex-care/health-independence-program</w:t>
              </w:r>
            </w:hyperlink>
          </w:p>
          <w:p w14:paraId="21FB846E" w14:textId="1321593B" w:rsidR="00033B0A" w:rsidRPr="0031469D" w:rsidRDefault="00033B0A" w:rsidP="00EB60C1">
            <w:pPr>
              <w:pStyle w:val="Tabletext"/>
            </w:pPr>
          </w:p>
        </w:tc>
      </w:tr>
      <w:tr w:rsidR="0091306F" w14:paraId="0DBFDC78" w14:textId="77777777" w:rsidTr="0091306F">
        <w:tc>
          <w:tcPr>
            <w:tcW w:w="1701" w:type="dxa"/>
          </w:tcPr>
          <w:p w14:paraId="2563C891" w14:textId="77777777" w:rsidR="0091306F" w:rsidRPr="00574E6E" w:rsidRDefault="0091306F" w:rsidP="00574E6E">
            <w:pPr>
              <w:pStyle w:val="Tabletext"/>
              <w:rPr>
                <w:rStyle w:val="Strong"/>
              </w:rPr>
            </w:pPr>
            <w:r w:rsidRPr="00574E6E">
              <w:rPr>
                <w:rStyle w:val="Strong"/>
              </w:rPr>
              <w:lastRenderedPageBreak/>
              <w:t>Refer to</w:t>
            </w:r>
          </w:p>
        </w:tc>
        <w:tc>
          <w:tcPr>
            <w:tcW w:w="7587" w:type="dxa"/>
          </w:tcPr>
          <w:p w14:paraId="00123061" w14:textId="77777777" w:rsidR="0091306F" w:rsidRDefault="0091306F" w:rsidP="00EB60C1">
            <w:pPr>
              <w:pStyle w:val="Tabletext"/>
            </w:pPr>
            <w:r>
              <w:t>Section 2: Program</w:t>
            </w:r>
          </w:p>
          <w:p w14:paraId="54D6BA93" w14:textId="32E4DB19" w:rsidR="0091306F" w:rsidRDefault="0091306F" w:rsidP="00EB60C1">
            <w:pPr>
              <w:pStyle w:val="Tabletext"/>
            </w:pPr>
            <w:r>
              <w:t xml:space="preserve">Section 2: Programs reporting </w:t>
            </w:r>
            <w:r w:rsidR="00C17A11">
              <w:t xml:space="preserve">to the </w:t>
            </w:r>
            <w:r>
              <w:t>VINAH</w:t>
            </w:r>
            <w:r w:rsidR="00C17A11">
              <w:t xml:space="preserve"> MDS</w:t>
            </w:r>
          </w:p>
          <w:p w14:paraId="4CC0823A" w14:textId="77777777" w:rsidR="0091306F" w:rsidRDefault="0091306F" w:rsidP="00EB60C1">
            <w:pPr>
              <w:pStyle w:val="Tabletext"/>
            </w:pPr>
            <w:r>
              <w:t>Section 2: Stream</w:t>
            </w:r>
          </w:p>
          <w:p w14:paraId="1050D6F8" w14:textId="77777777" w:rsidR="0091306F" w:rsidRDefault="0091306F" w:rsidP="00EB60C1">
            <w:pPr>
              <w:pStyle w:val="Tabletext"/>
            </w:pPr>
            <w:r>
              <w:t>Section 3: Episode program/stream</w:t>
            </w:r>
          </w:p>
          <w:p w14:paraId="0853B127" w14:textId="58404070" w:rsidR="004621AA" w:rsidRDefault="0091306F" w:rsidP="00EB60C1">
            <w:pPr>
              <w:pStyle w:val="Tabletext"/>
            </w:pPr>
            <w:r>
              <w:t>Section 3: Referral In program/stream</w:t>
            </w:r>
          </w:p>
        </w:tc>
      </w:tr>
    </w:tbl>
    <w:p w14:paraId="14799D05" w14:textId="77777777" w:rsidR="0091306F" w:rsidRDefault="0091306F" w:rsidP="0091306F">
      <w:pPr>
        <w:pStyle w:val="Heading2"/>
      </w:pPr>
      <w:bookmarkStart w:id="72" w:name="_Toc43198361"/>
      <w:bookmarkStart w:id="73" w:name="_Toc67035580"/>
      <w:bookmarkStart w:id="74" w:name="_Toc101788776"/>
      <w:r>
        <w:t>Total Parenteral Nutrition (TPN)</w:t>
      </w:r>
      <w:bookmarkEnd w:id="72"/>
      <w:bookmarkEnd w:id="73"/>
      <w:bookmarkEnd w:id="74"/>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7587"/>
      </w:tblGrid>
      <w:tr w:rsidR="0091306F" w14:paraId="0C960624" w14:textId="77777777" w:rsidTr="0091306F">
        <w:tc>
          <w:tcPr>
            <w:tcW w:w="1701" w:type="dxa"/>
          </w:tcPr>
          <w:p w14:paraId="18898FDA" w14:textId="77777777" w:rsidR="0091306F" w:rsidRPr="00850C16" w:rsidRDefault="0091306F" w:rsidP="0091306F">
            <w:pPr>
              <w:pStyle w:val="Body"/>
            </w:pPr>
            <w:r w:rsidRPr="00850C16">
              <w:t>Definition</w:t>
            </w:r>
          </w:p>
        </w:tc>
        <w:tc>
          <w:tcPr>
            <w:tcW w:w="7587" w:type="dxa"/>
          </w:tcPr>
          <w:p w14:paraId="70605929" w14:textId="616844B1" w:rsidR="0091306F" w:rsidRDefault="0091306F" w:rsidP="0091306F">
            <w:pPr>
              <w:pStyle w:val="Body"/>
            </w:pPr>
            <w:r>
              <w:t>The administration of nutrition by means of an infusion of an intravenous nutrition formula self-administered by the patient. TPN is generally only used when it is not possible to meet a patient’s nutrition requirements through an oral or enteral route.</w:t>
            </w:r>
          </w:p>
          <w:p w14:paraId="133BD1CC" w14:textId="36AEC998" w:rsidR="0091306F" w:rsidRDefault="00B93685" w:rsidP="0091306F">
            <w:pPr>
              <w:pStyle w:val="Body"/>
            </w:pPr>
            <w:r>
              <w:t>TPN</w:t>
            </w:r>
            <w:r w:rsidR="0091306F">
              <w:t xml:space="preserve"> is performed by the patient or carer in their home.</w:t>
            </w:r>
          </w:p>
          <w:p w14:paraId="3B497839" w14:textId="48D44A86" w:rsidR="00033B0A" w:rsidRPr="00B601F4" w:rsidRDefault="00033B0A" w:rsidP="0091306F">
            <w:pPr>
              <w:pStyle w:val="Body"/>
            </w:pPr>
          </w:p>
        </w:tc>
      </w:tr>
      <w:tr w:rsidR="00A206BC" w14:paraId="1612D5E5" w14:textId="77777777" w:rsidTr="0091306F">
        <w:tc>
          <w:tcPr>
            <w:tcW w:w="1701" w:type="dxa"/>
          </w:tcPr>
          <w:p w14:paraId="727647FA" w14:textId="77777777" w:rsidR="00A206BC" w:rsidRPr="00850C16" w:rsidRDefault="00A206BC" w:rsidP="00A206BC">
            <w:pPr>
              <w:pStyle w:val="Body"/>
            </w:pPr>
            <w:r w:rsidRPr="00850C16">
              <w:t>Guide for use</w:t>
            </w:r>
          </w:p>
        </w:tc>
        <w:tc>
          <w:tcPr>
            <w:tcW w:w="7587" w:type="dxa"/>
          </w:tcPr>
          <w:p w14:paraId="5E407CC9" w14:textId="55AF4E59" w:rsidR="00A206BC" w:rsidRPr="00A206BC" w:rsidRDefault="00A206BC" w:rsidP="00A206BC">
            <w:pPr>
              <w:pStyle w:val="Body"/>
            </w:pPr>
            <w:r>
              <w:t xml:space="preserve">Activity for patient/clients enrolled in the </w:t>
            </w:r>
            <w:r w:rsidR="00B93685">
              <w:t>TPN</w:t>
            </w:r>
            <w:r>
              <w:t xml:space="preserve"> program will be collected at the episode level. An episode is to be opened for the period during which the patient/client is responsible for their administration of the </w:t>
            </w:r>
            <w:r w:rsidRPr="00A206BC">
              <w:t xml:space="preserve">treatment and the episode is to be closed when the patient/client ceases home self-administration of their treatment. </w:t>
            </w:r>
            <w:r w:rsidRPr="00BF179F">
              <w:t>No contacts should be reported in this episode.</w:t>
            </w:r>
          </w:p>
          <w:p w14:paraId="6B00121E" w14:textId="77777777" w:rsidR="00A206BC" w:rsidRPr="00A206BC" w:rsidRDefault="00A206BC" w:rsidP="00A206BC">
            <w:pPr>
              <w:pStyle w:val="Body"/>
            </w:pPr>
            <w:r w:rsidRPr="00A206BC">
              <w:t>The department will count one non admitted service event per calendar month for episodes that have been active during the month.</w:t>
            </w:r>
          </w:p>
          <w:p w14:paraId="07420056" w14:textId="700F8EE7" w:rsidR="00A206BC" w:rsidRDefault="00A206BC" w:rsidP="00A206BC">
            <w:pPr>
              <w:pStyle w:val="Body"/>
            </w:pPr>
            <w:r w:rsidRPr="00BF179F">
              <w:t xml:space="preserve">Contacts provided to support the patient/client’s TPN activity should be reported under the Specialist Clinics </w:t>
            </w:r>
            <w:r w:rsidR="00B60F9F">
              <w:t xml:space="preserve">(Outpatients) </w:t>
            </w:r>
            <w:r w:rsidRPr="00BF179F">
              <w:t>Program (OP)</w:t>
            </w:r>
            <w:r w:rsidRPr="00BF179F" w:rsidDel="00CA5AF8">
              <w:t xml:space="preserve"> </w:t>
            </w:r>
          </w:p>
          <w:p w14:paraId="17A57E72" w14:textId="0B22A603" w:rsidR="00A206BC" w:rsidRDefault="00A206BC" w:rsidP="00A206BC">
            <w:pPr>
              <w:pStyle w:val="Tabletext"/>
            </w:pPr>
            <w:r>
              <w:t>For example, if a patient has a consultation with a Dietician in an outpatient clinic, this should be reported under the ‘OP’ program.</w:t>
            </w:r>
          </w:p>
          <w:p w14:paraId="7E3D7087" w14:textId="78EC2DC9" w:rsidR="00033B0A" w:rsidRPr="0031469D" w:rsidRDefault="00033B0A" w:rsidP="00A206BC">
            <w:pPr>
              <w:pStyle w:val="Tabletext"/>
            </w:pPr>
          </w:p>
        </w:tc>
      </w:tr>
      <w:tr w:rsidR="00A206BC" w14:paraId="298D968A" w14:textId="77777777" w:rsidTr="0091306F">
        <w:tc>
          <w:tcPr>
            <w:tcW w:w="1701" w:type="dxa"/>
          </w:tcPr>
          <w:p w14:paraId="6BA46690" w14:textId="77777777" w:rsidR="00A206BC" w:rsidRPr="00850C16" w:rsidRDefault="00A206BC" w:rsidP="00A206BC">
            <w:pPr>
              <w:pStyle w:val="Body"/>
            </w:pPr>
            <w:r w:rsidRPr="00850C16">
              <w:t>Refer to</w:t>
            </w:r>
          </w:p>
        </w:tc>
        <w:tc>
          <w:tcPr>
            <w:tcW w:w="7587" w:type="dxa"/>
          </w:tcPr>
          <w:p w14:paraId="1CFFA13E" w14:textId="77777777" w:rsidR="00A206BC" w:rsidRDefault="00A206BC" w:rsidP="00A206BC">
            <w:pPr>
              <w:pStyle w:val="Tabletext"/>
            </w:pPr>
            <w:r>
              <w:t>Section 2: Program</w:t>
            </w:r>
          </w:p>
          <w:p w14:paraId="15D995FA" w14:textId="5B211704" w:rsidR="00A206BC" w:rsidRDefault="00A206BC" w:rsidP="00A206BC">
            <w:pPr>
              <w:pStyle w:val="Tabletext"/>
            </w:pPr>
            <w:r>
              <w:t xml:space="preserve">Section 2: Programs reporting to </w:t>
            </w:r>
            <w:r w:rsidR="00C17A11">
              <w:t xml:space="preserve">the </w:t>
            </w:r>
            <w:r>
              <w:t>VINAH</w:t>
            </w:r>
            <w:r w:rsidR="00C17A11">
              <w:t xml:space="preserve"> MDS</w:t>
            </w:r>
          </w:p>
          <w:p w14:paraId="575B521D" w14:textId="77777777" w:rsidR="00A206BC" w:rsidRDefault="00A206BC" w:rsidP="00A206BC">
            <w:pPr>
              <w:pStyle w:val="Tabletext"/>
            </w:pPr>
            <w:r>
              <w:t>Section 2: Stream</w:t>
            </w:r>
          </w:p>
          <w:p w14:paraId="656A0883" w14:textId="77777777" w:rsidR="00A206BC" w:rsidRDefault="00A206BC" w:rsidP="00A206BC">
            <w:pPr>
              <w:pStyle w:val="Tabletext"/>
            </w:pPr>
            <w:r>
              <w:t>Section 3: Episode program/stream</w:t>
            </w:r>
          </w:p>
          <w:p w14:paraId="2FD56B99" w14:textId="42F089CB" w:rsidR="00A206BC" w:rsidRDefault="00A206BC" w:rsidP="00A206BC">
            <w:pPr>
              <w:pStyle w:val="Tabletext"/>
            </w:pPr>
            <w:r>
              <w:t>Section 3: Referral in program/stream</w:t>
            </w:r>
          </w:p>
        </w:tc>
      </w:tr>
    </w:tbl>
    <w:p w14:paraId="37D4EA53" w14:textId="734C2AF3" w:rsidR="0091306F" w:rsidRDefault="0091306F" w:rsidP="0091306F">
      <w:pPr>
        <w:pStyle w:val="Heading2"/>
      </w:pPr>
      <w:bookmarkStart w:id="75" w:name="_Toc43198362"/>
      <w:bookmarkStart w:id="76" w:name="_Toc67035581"/>
      <w:bookmarkStart w:id="77" w:name="_Toc101788777"/>
      <w:r w:rsidRPr="00884BB2">
        <w:lastRenderedPageBreak/>
        <w:t>Transition Care Program (TCP)</w:t>
      </w:r>
      <w:bookmarkEnd w:id="75"/>
      <w:bookmarkEnd w:id="76"/>
      <w:bookmarkEnd w:id="77"/>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7587"/>
      </w:tblGrid>
      <w:tr w:rsidR="0091306F" w14:paraId="313C46A5" w14:textId="77777777" w:rsidTr="0091306F">
        <w:tc>
          <w:tcPr>
            <w:tcW w:w="1701" w:type="dxa"/>
          </w:tcPr>
          <w:p w14:paraId="7E2E42D9" w14:textId="77777777" w:rsidR="0091306F" w:rsidRPr="00850C16" w:rsidRDefault="0091306F" w:rsidP="0091306F">
            <w:pPr>
              <w:pStyle w:val="Body"/>
            </w:pPr>
            <w:r w:rsidRPr="00850C16">
              <w:t>Definition</w:t>
            </w:r>
          </w:p>
        </w:tc>
        <w:tc>
          <w:tcPr>
            <w:tcW w:w="7587" w:type="dxa"/>
          </w:tcPr>
          <w:p w14:paraId="439AF153" w14:textId="3B8C4830" w:rsidR="0091306F" w:rsidRDefault="00B93685" w:rsidP="00EB60C1">
            <w:pPr>
              <w:pStyle w:val="Tabletext"/>
            </w:pPr>
            <w:r>
              <w:t xml:space="preserve">The </w:t>
            </w:r>
            <w:r w:rsidR="0091306F" w:rsidRPr="00884BB2">
              <w:t>TCP is a national program that is jointly funded by the Australian and State/Territory Governments to assist older people complete their restorative process following their hospital episode of care with a package of services that includes low intensity therapy. The services are delivered by a multidisciplinary team with medical oversight by a general practitioner and geriatrician where appropriate. The client also has a designated case manager, who assists the client to prepare for</w:t>
            </w:r>
            <w:r>
              <w:t>,</w:t>
            </w:r>
            <w:r w:rsidR="0091306F" w:rsidRPr="00884BB2">
              <w:t xml:space="preserve"> or access</w:t>
            </w:r>
            <w:r>
              <w:t>,</w:t>
            </w:r>
            <w:r w:rsidR="0091306F" w:rsidRPr="00884BB2">
              <w:t xml:space="preserve"> suitable long term care arrangements. The program is flexible in its service delivery as it can be provided in the individual’s usual place of residence (that is, home based) or in an approved residential care facility (that is, bed based).</w:t>
            </w:r>
          </w:p>
          <w:p w14:paraId="4FC770B9" w14:textId="20E31B4C" w:rsidR="00033B0A" w:rsidRPr="00B601F4" w:rsidRDefault="00033B0A" w:rsidP="00EB60C1">
            <w:pPr>
              <w:pStyle w:val="Tabletext"/>
            </w:pPr>
          </w:p>
        </w:tc>
      </w:tr>
      <w:tr w:rsidR="0091306F" w14:paraId="5300AC62" w14:textId="77777777" w:rsidTr="0091306F">
        <w:tc>
          <w:tcPr>
            <w:tcW w:w="1701" w:type="dxa"/>
          </w:tcPr>
          <w:p w14:paraId="706EEED2" w14:textId="77777777" w:rsidR="0091306F" w:rsidRPr="00850C16" w:rsidRDefault="0091306F" w:rsidP="0091306F">
            <w:pPr>
              <w:pStyle w:val="Body"/>
            </w:pPr>
            <w:r w:rsidRPr="00850C16">
              <w:t>Guide for use</w:t>
            </w:r>
          </w:p>
        </w:tc>
        <w:tc>
          <w:tcPr>
            <w:tcW w:w="7587" w:type="dxa"/>
          </w:tcPr>
          <w:p w14:paraId="6ACCE80C" w14:textId="2ABD959A" w:rsidR="0091306F" w:rsidRDefault="00B93685" w:rsidP="00EB60C1">
            <w:pPr>
              <w:pStyle w:val="Tabletext"/>
            </w:pPr>
            <w:r>
              <w:t xml:space="preserve">The </w:t>
            </w:r>
            <w:r w:rsidR="0091306F">
              <w:t xml:space="preserve">TCP is located at the interface of the acute, subacute, residential aged care and community care sectors. </w:t>
            </w:r>
            <w:r>
              <w:t xml:space="preserve">The </w:t>
            </w:r>
            <w:r w:rsidR="0091306F">
              <w:t>TCP provides a time-limited, goal oriented and therapy-focused program safeguarding older people from remaining in hospital unnecessarily for an extended period of time and entering residential care prematurely. It is person and family</w:t>
            </w:r>
            <w:r>
              <w:t xml:space="preserve"> </w:t>
            </w:r>
            <w:r w:rsidR="0091306F">
              <w:t>centred and flexible in its care delivery. It is considered a specialist service as it is supported by a multidisciplinary team with aged care expertise and is focused on maintaining or improving the client’s physical, cognitive and psychosocial functioning and their capacity for independent living. The primary function of the TCP is therapeutic and not administrative. The case manager will assist the client and their family to access the required information so that they may make an informed decision and finalise long term care arrangements in a timely manner.</w:t>
            </w:r>
          </w:p>
          <w:p w14:paraId="51EEF4A4" w14:textId="35B7A891" w:rsidR="0091306F" w:rsidRDefault="0091306F" w:rsidP="00EB60C1">
            <w:pPr>
              <w:pStyle w:val="Tabletext"/>
            </w:pPr>
            <w:r>
              <w:t>Access to the TCP requires an initial approval by the Aged Care Assessment Service (ACAS). As all TCP clients are discharged from hospital, they may access the Pharmaceutical Benefits Scheme (PBS) and the Medicare Benefits Schedule (MBS). A client can also move between the two care settings (that is, the community or residential arm of the program) within the one episode of care</w:t>
            </w:r>
            <w:r w:rsidR="00B93685">
              <w:t>,</w:t>
            </w:r>
            <w:r>
              <w:t xml:space="preserve"> as deemed appropriate to their care needs.</w:t>
            </w:r>
          </w:p>
          <w:p w14:paraId="7BFD7DBE" w14:textId="46DE5CD3" w:rsidR="0091306F" w:rsidRDefault="0091306F" w:rsidP="00EB60C1">
            <w:pPr>
              <w:pStyle w:val="Tabletext"/>
            </w:pPr>
            <w:r>
              <w:t xml:space="preserve">For more information, visit </w:t>
            </w:r>
            <w:hyperlink r:id="rId30" w:history="1">
              <w:r w:rsidRPr="00884BB2">
                <w:rPr>
                  <w:rStyle w:val="Hyperlink"/>
                </w:rPr>
                <w:t>transition care program webpage</w:t>
              </w:r>
            </w:hyperlink>
            <w:r>
              <w:t xml:space="preserve"> &lt;https://www2.health.vic.gov.au/hospitals-and-health-services/patient-care/rehabilitation-complex-care/transition-care-program</w:t>
            </w:r>
          </w:p>
          <w:p w14:paraId="572C2127" w14:textId="2A28D844" w:rsidR="00033B0A" w:rsidRPr="0031469D" w:rsidRDefault="00033B0A" w:rsidP="00EB60C1">
            <w:pPr>
              <w:pStyle w:val="Tabletext"/>
            </w:pPr>
          </w:p>
        </w:tc>
      </w:tr>
      <w:tr w:rsidR="0091306F" w14:paraId="6EDB8242" w14:textId="77777777" w:rsidTr="0091306F">
        <w:tc>
          <w:tcPr>
            <w:tcW w:w="1701" w:type="dxa"/>
          </w:tcPr>
          <w:p w14:paraId="5BE215EC" w14:textId="77777777" w:rsidR="0091306F" w:rsidRPr="00850C16" w:rsidRDefault="0091306F" w:rsidP="0091306F">
            <w:pPr>
              <w:pStyle w:val="Body"/>
            </w:pPr>
            <w:r w:rsidRPr="00850C16">
              <w:t>Refer to</w:t>
            </w:r>
          </w:p>
        </w:tc>
        <w:tc>
          <w:tcPr>
            <w:tcW w:w="7587" w:type="dxa"/>
          </w:tcPr>
          <w:p w14:paraId="0B6FF546" w14:textId="77777777" w:rsidR="0091306F" w:rsidRDefault="0091306F" w:rsidP="00EB60C1">
            <w:pPr>
              <w:pStyle w:val="Tabletext"/>
            </w:pPr>
            <w:r>
              <w:t>Section 2: Program</w:t>
            </w:r>
          </w:p>
          <w:p w14:paraId="61213F8A" w14:textId="3E3721F1" w:rsidR="0091306F" w:rsidRDefault="0091306F" w:rsidP="00EB60C1">
            <w:pPr>
              <w:pStyle w:val="Tabletext"/>
            </w:pPr>
            <w:r>
              <w:t xml:space="preserve">Section 2: Programs reporting to </w:t>
            </w:r>
            <w:r w:rsidR="00C17A11">
              <w:t xml:space="preserve">the </w:t>
            </w:r>
            <w:r>
              <w:t>VINAH</w:t>
            </w:r>
            <w:r w:rsidR="00C17A11">
              <w:t xml:space="preserve"> MDS</w:t>
            </w:r>
          </w:p>
          <w:p w14:paraId="538F8B6A" w14:textId="77777777" w:rsidR="0091306F" w:rsidRDefault="0091306F" w:rsidP="00EB60C1">
            <w:pPr>
              <w:pStyle w:val="Tabletext"/>
            </w:pPr>
            <w:r>
              <w:t>Section 2: Stream</w:t>
            </w:r>
          </w:p>
          <w:p w14:paraId="44E44C21" w14:textId="77777777" w:rsidR="0091306F" w:rsidRDefault="0091306F" w:rsidP="00EB60C1">
            <w:pPr>
              <w:pStyle w:val="Tabletext"/>
            </w:pPr>
            <w:r>
              <w:t>Section 3: Episode program/stream</w:t>
            </w:r>
          </w:p>
          <w:p w14:paraId="05497A0A" w14:textId="77777777" w:rsidR="0091306F" w:rsidRDefault="0091306F" w:rsidP="00EB60C1">
            <w:pPr>
              <w:pStyle w:val="Tabletext"/>
            </w:pPr>
            <w:r>
              <w:t>Section 3: Referral in program/stream</w:t>
            </w:r>
          </w:p>
        </w:tc>
      </w:tr>
    </w:tbl>
    <w:p w14:paraId="2C70C993" w14:textId="645B3228" w:rsidR="004D693D" w:rsidRDefault="004D693D" w:rsidP="004D693D">
      <w:pPr>
        <w:pStyle w:val="Heading2"/>
      </w:pPr>
      <w:bookmarkStart w:id="78" w:name="_Toc70688777"/>
      <w:bookmarkStart w:id="79" w:name="_Toc101788778"/>
      <w:bookmarkStart w:id="80" w:name="_Toc43198363"/>
      <w:bookmarkStart w:id="81" w:name="_Toc67035582"/>
      <w:r>
        <w:t>Victorian Artificial Limb Program (VALP)</w:t>
      </w:r>
      <w:bookmarkEnd w:id="78"/>
      <w:bookmarkEnd w:id="79"/>
    </w:p>
    <w:tbl>
      <w:tblPr>
        <w:tblStyle w:val="TableGrid"/>
        <w:tblW w:w="90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445"/>
        <w:gridCol w:w="6565"/>
      </w:tblGrid>
      <w:tr w:rsidR="004D693D" w:rsidRPr="003168FB" w14:paraId="5EC7625E" w14:textId="77777777" w:rsidTr="005B29E5">
        <w:tc>
          <w:tcPr>
            <w:tcW w:w="2445" w:type="dxa"/>
          </w:tcPr>
          <w:p w14:paraId="7DF1CB90" w14:textId="77777777" w:rsidR="004D693D" w:rsidRPr="003168FB" w:rsidRDefault="004D693D" w:rsidP="005B29E5">
            <w:pPr>
              <w:pStyle w:val="DHHStabletext"/>
              <w:rPr>
                <w:b/>
                <w:bCs/>
                <w:szCs w:val="21"/>
              </w:rPr>
            </w:pPr>
            <w:r w:rsidRPr="003168FB">
              <w:rPr>
                <w:b/>
                <w:bCs/>
                <w:szCs w:val="21"/>
              </w:rPr>
              <w:t>Definition</w:t>
            </w:r>
          </w:p>
        </w:tc>
        <w:tc>
          <w:tcPr>
            <w:tcW w:w="6565" w:type="dxa"/>
          </w:tcPr>
          <w:p w14:paraId="0BC9CDC3" w14:textId="186E41B1" w:rsidR="004D693D" w:rsidRDefault="004D693D" w:rsidP="004D693D">
            <w:pPr>
              <w:pStyle w:val="DHHStabletext"/>
              <w:rPr>
                <w:szCs w:val="21"/>
              </w:rPr>
            </w:pPr>
            <w:r w:rsidRPr="003168FB">
              <w:rPr>
                <w:szCs w:val="21"/>
              </w:rPr>
              <w:t>The VALP is an artificial limb service consisting of provision of primary prosthesis, socket assessment and labour for public eligible patients. Ongoing management, assessment and replacement of parts and prostheses are also provided.</w:t>
            </w:r>
          </w:p>
          <w:p w14:paraId="7414D8A0" w14:textId="2D896A8F" w:rsidR="00E74E39" w:rsidRPr="003168FB" w:rsidRDefault="00E74E39" w:rsidP="004D693D">
            <w:pPr>
              <w:pStyle w:val="DHHStabletext"/>
              <w:rPr>
                <w:szCs w:val="21"/>
              </w:rPr>
            </w:pPr>
          </w:p>
        </w:tc>
      </w:tr>
      <w:tr w:rsidR="004D693D" w:rsidRPr="003168FB" w14:paraId="0DFE71FB" w14:textId="77777777" w:rsidTr="005B29E5">
        <w:tc>
          <w:tcPr>
            <w:tcW w:w="2445" w:type="dxa"/>
          </w:tcPr>
          <w:p w14:paraId="22158DE3" w14:textId="77777777" w:rsidR="004D693D" w:rsidRPr="003168FB" w:rsidRDefault="004D693D" w:rsidP="005B29E5">
            <w:pPr>
              <w:pStyle w:val="DHHStabletext"/>
              <w:rPr>
                <w:b/>
                <w:bCs/>
                <w:szCs w:val="21"/>
              </w:rPr>
            </w:pPr>
            <w:r w:rsidRPr="003168FB">
              <w:rPr>
                <w:b/>
                <w:bCs/>
                <w:szCs w:val="21"/>
              </w:rPr>
              <w:t>Guide for use</w:t>
            </w:r>
          </w:p>
        </w:tc>
        <w:tc>
          <w:tcPr>
            <w:tcW w:w="6565" w:type="dxa"/>
          </w:tcPr>
          <w:p w14:paraId="2FF0F9DC" w14:textId="0E830BC9" w:rsidR="004D693D" w:rsidRPr="003168FB" w:rsidRDefault="004D693D" w:rsidP="005B29E5">
            <w:pPr>
              <w:pStyle w:val="DHHStabletext"/>
              <w:rPr>
                <w:szCs w:val="21"/>
              </w:rPr>
            </w:pPr>
            <w:r w:rsidRPr="003168FB">
              <w:rPr>
                <w:szCs w:val="21"/>
              </w:rPr>
              <w:t xml:space="preserve">VINAH </w:t>
            </w:r>
            <w:r w:rsidR="00C17A11">
              <w:rPr>
                <w:szCs w:val="21"/>
              </w:rPr>
              <w:t xml:space="preserve">MDS </w:t>
            </w:r>
            <w:r w:rsidRPr="003168FB">
              <w:rPr>
                <w:szCs w:val="21"/>
              </w:rPr>
              <w:t>contacts are reported for all clinical consultation</w:t>
            </w:r>
            <w:r>
              <w:rPr>
                <w:szCs w:val="21"/>
              </w:rPr>
              <w:t>s</w:t>
            </w:r>
            <w:r w:rsidRPr="003168FB">
              <w:rPr>
                <w:szCs w:val="21"/>
              </w:rPr>
              <w:t xml:space="preserve"> associated with the VALP. Time spent in production or adjustment of </w:t>
            </w:r>
            <w:r w:rsidRPr="003168FB">
              <w:rPr>
                <w:szCs w:val="21"/>
              </w:rPr>
              <w:lastRenderedPageBreak/>
              <w:t xml:space="preserve">limbs is not reported to </w:t>
            </w:r>
            <w:r w:rsidR="00C17A11">
              <w:rPr>
                <w:szCs w:val="21"/>
              </w:rPr>
              <w:t xml:space="preserve">the </w:t>
            </w:r>
            <w:r w:rsidRPr="003168FB">
              <w:rPr>
                <w:szCs w:val="21"/>
              </w:rPr>
              <w:t xml:space="preserve">VINAH </w:t>
            </w:r>
            <w:r w:rsidR="00C17A11">
              <w:rPr>
                <w:szCs w:val="21"/>
              </w:rPr>
              <w:t xml:space="preserve">MDS </w:t>
            </w:r>
            <w:r w:rsidRPr="003168FB">
              <w:rPr>
                <w:szCs w:val="21"/>
              </w:rPr>
              <w:t>as this does not meet the criteria for reporting a contact.</w:t>
            </w:r>
          </w:p>
          <w:p w14:paraId="4CB31A22" w14:textId="55BA1418" w:rsidR="004D693D" w:rsidRPr="004D693D" w:rsidRDefault="004D693D" w:rsidP="00E74E39">
            <w:pPr>
              <w:pStyle w:val="DHHStabletext"/>
              <w:rPr>
                <w:szCs w:val="21"/>
              </w:rPr>
            </w:pPr>
          </w:p>
        </w:tc>
      </w:tr>
      <w:tr w:rsidR="004D693D" w:rsidRPr="003168FB" w14:paraId="6EC58CF2" w14:textId="77777777" w:rsidTr="005B29E5">
        <w:tc>
          <w:tcPr>
            <w:tcW w:w="2445" w:type="dxa"/>
          </w:tcPr>
          <w:p w14:paraId="756765AC" w14:textId="77777777" w:rsidR="004D693D" w:rsidRPr="003168FB" w:rsidRDefault="004D693D" w:rsidP="005B29E5">
            <w:pPr>
              <w:pStyle w:val="DHHStabletext"/>
              <w:rPr>
                <w:b/>
                <w:bCs/>
                <w:szCs w:val="21"/>
              </w:rPr>
            </w:pPr>
            <w:r w:rsidRPr="003168FB">
              <w:rPr>
                <w:b/>
                <w:bCs/>
                <w:szCs w:val="21"/>
              </w:rPr>
              <w:lastRenderedPageBreak/>
              <w:t>Refer to</w:t>
            </w:r>
          </w:p>
        </w:tc>
        <w:tc>
          <w:tcPr>
            <w:tcW w:w="6565" w:type="dxa"/>
          </w:tcPr>
          <w:p w14:paraId="1AB4803B" w14:textId="77777777" w:rsidR="004D693D" w:rsidRPr="003168FB" w:rsidRDefault="004D693D" w:rsidP="005B29E5">
            <w:pPr>
              <w:pStyle w:val="DHHStabletext"/>
              <w:rPr>
                <w:szCs w:val="21"/>
              </w:rPr>
            </w:pPr>
            <w:r w:rsidRPr="003168FB">
              <w:rPr>
                <w:szCs w:val="21"/>
              </w:rPr>
              <w:t>Section 2: Contact</w:t>
            </w:r>
          </w:p>
          <w:p w14:paraId="19A81DF2" w14:textId="77777777" w:rsidR="004D693D" w:rsidRPr="003168FB" w:rsidRDefault="004D693D" w:rsidP="005B29E5">
            <w:pPr>
              <w:pStyle w:val="DHHStabletext"/>
              <w:rPr>
                <w:szCs w:val="21"/>
              </w:rPr>
            </w:pPr>
            <w:r w:rsidRPr="003168FB">
              <w:rPr>
                <w:szCs w:val="21"/>
              </w:rPr>
              <w:t>Section 2: Program</w:t>
            </w:r>
          </w:p>
          <w:p w14:paraId="61917D77" w14:textId="0C0AB7C8" w:rsidR="004D693D" w:rsidRPr="003168FB" w:rsidRDefault="004D693D" w:rsidP="005B29E5">
            <w:pPr>
              <w:pStyle w:val="DHHStabletext"/>
              <w:rPr>
                <w:szCs w:val="21"/>
              </w:rPr>
            </w:pPr>
            <w:r w:rsidRPr="003168FB">
              <w:rPr>
                <w:szCs w:val="21"/>
              </w:rPr>
              <w:t xml:space="preserve">Section 2: Programs reporting to </w:t>
            </w:r>
            <w:r w:rsidR="00C17A11">
              <w:rPr>
                <w:szCs w:val="21"/>
              </w:rPr>
              <w:t xml:space="preserve">the </w:t>
            </w:r>
            <w:r w:rsidRPr="003168FB">
              <w:rPr>
                <w:szCs w:val="21"/>
              </w:rPr>
              <w:t>VINAH</w:t>
            </w:r>
            <w:r w:rsidR="00C17A11">
              <w:rPr>
                <w:szCs w:val="21"/>
              </w:rPr>
              <w:t xml:space="preserve"> MDS</w:t>
            </w:r>
          </w:p>
          <w:p w14:paraId="2587330C" w14:textId="77777777" w:rsidR="004D693D" w:rsidRPr="003168FB" w:rsidRDefault="004D693D" w:rsidP="005B29E5">
            <w:pPr>
              <w:pStyle w:val="DHHStabletext"/>
              <w:rPr>
                <w:szCs w:val="21"/>
              </w:rPr>
            </w:pPr>
            <w:r w:rsidRPr="003168FB">
              <w:rPr>
                <w:szCs w:val="21"/>
              </w:rPr>
              <w:t>Section 2: Stream</w:t>
            </w:r>
          </w:p>
          <w:p w14:paraId="4EBE0DA7" w14:textId="77777777" w:rsidR="004D693D" w:rsidRPr="003168FB" w:rsidRDefault="004D693D" w:rsidP="005B29E5">
            <w:pPr>
              <w:pStyle w:val="DHHStabletext"/>
              <w:rPr>
                <w:szCs w:val="21"/>
              </w:rPr>
            </w:pPr>
            <w:r w:rsidRPr="003168FB">
              <w:rPr>
                <w:szCs w:val="21"/>
              </w:rPr>
              <w:t>Section 3: Episode program/stream</w:t>
            </w:r>
          </w:p>
          <w:p w14:paraId="6C1EA5A5" w14:textId="77777777" w:rsidR="004D693D" w:rsidRPr="003168FB" w:rsidRDefault="004D693D" w:rsidP="005B29E5">
            <w:pPr>
              <w:pStyle w:val="DHHStabletext"/>
              <w:rPr>
                <w:rFonts w:asciiTheme="minorHAnsi" w:hAnsiTheme="minorHAnsi"/>
                <w:szCs w:val="21"/>
              </w:rPr>
            </w:pPr>
            <w:r w:rsidRPr="003168FB">
              <w:rPr>
                <w:szCs w:val="21"/>
              </w:rPr>
              <w:t>Section 3: Referral In program/stream</w:t>
            </w:r>
          </w:p>
        </w:tc>
      </w:tr>
    </w:tbl>
    <w:p w14:paraId="62507A34" w14:textId="77777777" w:rsidR="008B5489" w:rsidRPr="00F85DCE" w:rsidRDefault="008B5489" w:rsidP="008B5489">
      <w:pPr>
        <w:pStyle w:val="Heading2"/>
        <w:rPr>
          <w:bCs/>
          <w:sz w:val="28"/>
        </w:rPr>
      </w:pPr>
      <w:bookmarkStart w:id="82" w:name="_Toc101788779"/>
      <w:r w:rsidRPr="00F85DCE">
        <w:rPr>
          <w:bCs/>
          <w:sz w:val="28"/>
        </w:rPr>
        <w:t>Victorian HIV Service (VHS)</w:t>
      </w:r>
      <w:bookmarkEnd w:id="82"/>
    </w:p>
    <w:tbl>
      <w:tblPr>
        <w:tblStyle w:val="TableGrid"/>
        <w:tblW w:w="9365"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A0" w:firstRow="1" w:lastRow="0" w:firstColumn="1" w:lastColumn="0" w:noHBand="1" w:noVBand="1"/>
      </w:tblPr>
      <w:tblGrid>
        <w:gridCol w:w="2010"/>
        <w:gridCol w:w="7355"/>
      </w:tblGrid>
      <w:tr w:rsidR="008B5489" w14:paraId="4CFC3EBF" w14:textId="77777777" w:rsidTr="008B5489">
        <w:tc>
          <w:tcPr>
            <w:tcW w:w="2010" w:type="dxa"/>
          </w:tcPr>
          <w:p w14:paraId="56E15715" w14:textId="77777777" w:rsidR="008B5489" w:rsidRPr="00033B0A" w:rsidRDefault="008B5489" w:rsidP="008B5489">
            <w:pPr>
              <w:pStyle w:val="DHHSbody"/>
              <w:rPr>
                <w:rFonts w:cs="Arial"/>
                <w:b/>
                <w:bCs/>
              </w:rPr>
            </w:pPr>
            <w:r w:rsidRPr="00033B0A">
              <w:rPr>
                <w:rFonts w:cs="Arial"/>
                <w:b/>
                <w:bCs/>
              </w:rPr>
              <w:t>Definition</w:t>
            </w:r>
          </w:p>
        </w:tc>
        <w:tc>
          <w:tcPr>
            <w:tcW w:w="7355" w:type="dxa"/>
          </w:tcPr>
          <w:p w14:paraId="1666128C" w14:textId="58DAE53D" w:rsidR="008B5489" w:rsidRDefault="008B5489" w:rsidP="008B5489">
            <w:pPr>
              <w:pStyle w:val="DHHSbody"/>
              <w:rPr>
                <w:rFonts w:eastAsiaTheme="minorHAnsi" w:cs="Arial"/>
              </w:rPr>
            </w:pPr>
            <w:r w:rsidRPr="00B17081">
              <w:rPr>
                <w:rFonts w:eastAsiaTheme="minorHAnsi" w:cs="Arial"/>
              </w:rPr>
              <w:t xml:space="preserve">VHS provides </w:t>
            </w:r>
            <w:r>
              <w:rPr>
                <w:rFonts w:eastAsiaTheme="minorHAnsi" w:cs="Arial"/>
              </w:rPr>
              <w:t xml:space="preserve">services to people living with or at risk of </w:t>
            </w:r>
            <w:r w:rsidRPr="00B17081">
              <w:rPr>
                <w:rFonts w:eastAsiaTheme="minorHAnsi" w:cs="Arial"/>
              </w:rPr>
              <w:t>HIV. This ranges from acute</w:t>
            </w:r>
            <w:r>
              <w:rPr>
                <w:rFonts w:eastAsiaTheme="minorHAnsi" w:cs="Arial"/>
              </w:rPr>
              <w:t>, subacute</w:t>
            </w:r>
            <w:r w:rsidRPr="00B17081">
              <w:rPr>
                <w:rFonts w:eastAsiaTheme="minorHAnsi" w:cs="Arial"/>
              </w:rPr>
              <w:t xml:space="preserve"> care and chronic illness management, </w:t>
            </w:r>
            <w:r>
              <w:rPr>
                <w:rFonts w:eastAsiaTheme="minorHAnsi" w:cs="Arial"/>
              </w:rPr>
              <w:t xml:space="preserve">respite, </w:t>
            </w:r>
            <w:r w:rsidRPr="00B17081">
              <w:rPr>
                <w:rFonts w:eastAsiaTheme="minorHAnsi" w:cs="Arial"/>
              </w:rPr>
              <w:t>to health maintenance, prevention and health promotion.</w:t>
            </w:r>
            <w:r w:rsidRPr="00B17081">
              <w:rPr>
                <w:rFonts w:cs="Arial"/>
              </w:rPr>
              <w:t xml:space="preserve"> </w:t>
            </w:r>
            <w:r w:rsidRPr="00B17081">
              <w:rPr>
                <w:rFonts w:eastAsiaTheme="minorHAnsi" w:cs="Arial"/>
              </w:rPr>
              <w:t xml:space="preserve">The services provided </w:t>
            </w:r>
            <w:r w:rsidRPr="00B17081">
              <w:rPr>
                <w:rFonts w:cs="Arial"/>
              </w:rPr>
              <w:t>are based on individual</w:t>
            </w:r>
            <w:r>
              <w:rPr>
                <w:rFonts w:cs="Arial"/>
              </w:rPr>
              <w:t>ly</w:t>
            </w:r>
            <w:r w:rsidRPr="00B17081">
              <w:rPr>
                <w:rFonts w:cs="Arial"/>
              </w:rPr>
              <w:t xml:space="preserve"> assessed needs and delivered </w:t>
            </w:r>
            <w:r w:rsidRPr="00B17081">
              <w:rPr>
                <w:rFonts w:eastAsiaTheme="minorHAnsi" w:cs="Arial"/>
              </w:rPr>
              <w:t>through in-hospital, outpatient and community care services.</w:t>
            </w:r>
          </w:p>
          <w:p w14:paraId="1DD69AC5" w14:textId="1FEE5CAD" w:rsidR="00033B0A" w:rsidRPr="00B17081" w:rsidRDefault="00033B0A" w:rsidP="008B5489">
            <w:pPr>
              <w:pStyle w:val="DHHSbody"/>
              <w:rPr>
                <w:rFonts w:eastAsiaTheme="minorHAnsi" w:cs="Arial"/>
              </w:rPr>
            </w:pPr>
          </w:p>
        </w:tc>
      </w:tr>
      <w:tr w:rsidR="008B5489" w14:paraId="36C59622" w14:textId="77777777" w:rsidTr="008B5489">
        <w:tc>
          <w:tcPr>
            <w:tcW w:w="2010" w:type="dxa"/>
          </w:tcPr>
          <w:p w14:paraId="040014A9" w14:textId="77777777" w:rsidR="008B5489" w:rsidRPr="00033B0A" w:rsidRDefault="008B5489" w:rsidP="008B5489">
            <w:pPr>
              <w:pStyle w:val="DHHSbody"/>
              <w:rPr>
                <w:rFonts w:cs="Arial"/>
                <w:b/>
                <w:bCs/>
              </w:rPr>
            </w:pPr>
            <w:r w:rsidRPr="00033B0A">
              <w:rPr>
                <w:rFonts w:cs="Arial"/>
                <w:b/>
                <w:bCs/>
              </w:rPr>
              <w:t>Guide for use</w:t>
            </w:r>
          </w:p>
        </w:tc>
        <w:tc>
          <w:tcPr>
            <w:tcW w:w="7355" w:type="dxa"/>
          </w:tcPr>
          <w:p w14:paraId="122540C2" w14:textId="0A01F962" w:rsidR="008B5489" w:rsidRDefault="008B5489" w:rsidP="008B5489">
            <w:pPr>
              <w:pStyle w:val="DHHSbody"/>
            </w:pPr>
            <w:r w:rsidRPr="00B17081">
              <w:t xml:space="preserve">The VHS was established </w:t>
            </w:r>
            <w:r>
              <w:t>by the State Government to provide comprehensive care for Victorians affected by or infect</w:t>
            </w:r>
            <w:r w:rsidR="00B93685">
              <w:t>ed</w:t>
            </w:r>
            <w:r>
              <w:t xml:space="preserve"> with HIV. </w:t>
            </w:r>
          </w:p>
          <w:p w14:paraId="3A321025" w14:textId="77777777" w:rsidR="008B5489" w:rsidRPr="00B17081" w:rsidRDefault="008B5489" w:rsidP="008B5489">
            <w:pPr>
              <w:pStyle w:val="DHHSbody"/>
            </w:pPr>
            <w:r>
              <w:t>Services are delivered by Alfred Health and include:</w:t>
            </w:r>
          </w:p>
          <w:p w14:paraId="2DA221BA" w14:textId="77777777" w:rsidR="008B5489" w:rsidRPr="00B17081" w:rsidRDefault="008B5489" w:rsidP="008B5489">
            <w:pPr>
              <w:pStyle w:val="DHHStablebullet1"/>
              <w:numPr>
                <w:ilvl w:val="0"/>
                <w:numId w:val="3"/>
              </w:numPr>
              <w:rPr>
                <w:rFonts w:cs="Arial"/>
              </w:rPr>
            </w:pPr>
            <w:r w:rsidRPr="00B17081">
              <w:rPr>
                <w:rFonts w:cs="Arial"/>
              </w:rPr>
              <w:t>HIV outpatient clinics</w:t>
            </w:r>
          </w:p>
          <w:p w14:paraId="3FF49E95" w14:textId="77777777" w:rsidR="008B5489" w:rsidRDefault="008B5489" w:rsidP="008B5489">
            <w:pPr>
              <w:pStyle w:val="DHHStablebullet1"/>
              <w:numPr>
                <w:ilvl w:val="0"/>
                <w:numId w:val="3"/>
              </w:numPr>
              <w:rPr>
                <w:rFonts w:cs="Arial"/>
              </w:rPr>
            </w:pPr>
            <w:r w:rsidRPr="00B17081">
              <w:rPr>
                <w:rFonts w:cs="Arial"/>
              </w:rPr>
              <w:t xml:space="preserve">HIV </w:t>
            </w:r>
            <w:r>
              <w:rPr>
                <w:rFonts w:cs="Arial"/>
              </w:rPr>
              <w:t>s</w:t>
            </w:r>
            <w:r w:rsidRPr="00B17081">
              <w:rPr>
                <w:rFonts w:cs="Arial"/>
              </w:rPr>
              <w:t xml:space="preserve">pecialist state-wide outpatient clinics – infections disease (drug and alcohol, </w:t>
            </w:r>
            <w:r>
              <w:rPr>
                <w:rFonts w:cs="Arial"/>
              </w:rPr>
              <w:t>complex</w:t>
            </w:r>
            <w:r w:rsidRPr="00B17081">
              <w:rPr>
                <w:rFonts w:cs="Arial"/>
              </w:rPr>
              <w:t xml:space="preserve"> metabolic, HIV/Hep C coinfection, neurocognitive clinic)</w:t>
            </w:r>
          </w:p>
          <w:p w14:paraId="267494F2" w14:textId="77777777" w:rsidR="008B5489" w:rsidRDefault="008B5489" w:rsidP="008B5489">
            <w:pPr>
              <w:pStyle w:val="DHHStablebullet1"/>
              <w:numPr>
                <w:ilvl w:val="0"/>
                <w:numId w:val="3"/>
              </w:numPr>
              <w:rPr>
                <w:rFonts w:cs="Arial"/>
              </w:rPr>
            </w:pPr>
            <w:r>
              <w:rPr>
                <w:rFonts w:cs="Arial"/>
              </w:rPr>
              <w:t>Victorian HIV Mental Health Service</w:t>
            </w:r>
          </w:p>
          <w:p w14:paraId="6182C115" w14:textId="77777777" w:rsidR="008B5489" w:rsidRDefault="008B5489" w:rsidP="008B5489">
            <w:pPr>
              <w:pStyle w:val="DHHStablebullet1"/>
              <w:numPr>
                <w:ilvl w:val="0"/>
                <w:numId w:val="3"/>
              </w:numPr>
              <w:rPr>
                <w:rFonts w:cs="Arial"/>
              </w:rPr>
            </w:pPr>
            <w:r>
              <w:rPr>
                <w:rFonts w:cstheme="minorHAnsi"/>
              </w:rPr>
              <w:t xml:space="preserve">HIV Specialist State-wide Outpatient Clinics </w:t>
            </w:r>
            <w:r>
              <w:rPr>
                <w:rFonts w:cs="Arial"/>
              </w:rPr>
              <w:t>HIV complex care services – inpatients, community and outreach (medical, nursing and social work)</w:t>
            </w:r>
          </w:p>
          <w:p w14:paraId="7036332B" w14:textId="77777777" w:rsidR="008B5489" w:rsidRDefault="008B5489" w:rsidP="008B5489">
            <w:pPr>
              <w:pStyle w:val="DHHStablebullet1"/>
              <w:numPr>
                <w:ilvl w:val="0"/>
                <w:numId w:val="3"/>
              </w:numPr>
              <w:rPr>
                <w:rFonts w:cs="Arial"/>
              </w:rPr>
            </w:pPr>
            <w:r>
              <w:rPr>
                <w:rFonts w:cs="Arial"/>
              </w:rPr>
              <w:t xml:space="preserve">Non-Occupational Post-Exposure Prophylaxis Service </w:t>
            </w:r>
          </w:p>
          <w:p w14:paraId="6A55F214" w14:textId="77777777" w:rsidR="008B5489" w:rsidRDefault="008B5489" w:rsidP="008B5489">
            <w:pPr>
              <w:pStyle w:val="DHHStablebullet1"/>
              <w:numPr>
                <w:ilvl w:val="0"/>
                <w:numId w:val="3"/>
              </w:numPr>
              <w:rPr>
                <w:rFonts w:cs="Arial"/>
              </w:rPr>
            </w:pPr>
            <w:r>
              <w:rPr>
                <w:rFonts w:cs="Arial"/>
              </w:rPr>
              <w:t>Pre-Exposure Prophylaxis Service</w:t>
            </w:r>
          </w:p>
          <w:p w14:paraId="7E34D409" w14:textId="77777777" w:rsidR="008B5489" w:rsidRDefault="008B5489" w:rsidP="008B5489">
            <w:pPr>
              <w:pStyle w:val="DHHStablebullet1"/>
              <w:numPr>
                <w:ilvl w:val="0"/>
                <w:numId w:val="3"/>
              </w:numPr>
              <w:rPr>
                <w:rFonts w:cs="Arial"/>
              </w:rPr>
            </w:pPr>
            <w:r>
              <w:rPr>
                <w:rFonts w:cs="Arial"/>
              </w:rPr>
              <w:t>Training and education</w:t>
            </w:r>
          </w:p>
          <w:p w14:paraId="4BB75741" w14:textId="77777777" w:rsidR="008B5489" w:rsidRDefault="008B5489" w:rsidP="008B5489">
            <w:pPr>
              <w:pStyle w:val="DHHStablebullet1"/>
              <w:numPr>
                <w:ilvl w:val="0"/>
                <w:numId w:val="3"/>
              </w:numPr>
              <w:rPr>
                <w:rFonts w:cs="Arial"/>
              </w:rPr>
            </w:pPr>
            <w:r>
              <w:rPr>
                <w:rFonts w:cstheme="minorHAnsi"/>
              </w:rPr>
              <w:t>State-wide Specialist HIV support to community pharmacies</w:t>
            </w:r>
          </w:p>
          <w:p w14:paraId="539B275D" w14:textId="77777777" w:rsidR="008B5489" w:rsidRDefault="008B5489" w:rsidP="008B5489">
            <w:pPr>
              <w:pStyle w:val="DHHStablebullet1"/>
              <w:tabs>
                <w:tab w:val="clear" w:pos="360"/>
              </w:tabs>
              <w:ind w:left="0" w:firstLine="0"/>
            </w:pPr>
            <w:r>
              <w:t>VHS supports other health services across Victoria to support people living with HIV in their community.</w:t>
            </w:r>
          </w:p>
          <w:p w14:paraId="16500FC5" w14:textId="54CED5F7" w:rsidR="008B5489" w:rsidRDefault="008B5489" w:rsidP="008B5489">
            <w:pPr>
              <w:pStyle w:val="DHHStablebullet1"/>
              <w:tabs>
                <w:tab w:val="clear" w:pos="360"/>
              </w:tabs>
              <w:ind w:left="0" w:firstLine="0"/>
            </w:pPr>
            <w:r w:rsidRPr="00B17081">
              <w:t>Responsibility for reporting VHS activities lies with the health service</w:t>
            </w:r>
            <w:r>
              <w:t xml:space="preserve"> as </w:t>
            </w:r>
            <w:r w:rsidRPr="00B17081">
              <w:t>fundholder.</w:t>
            </w:r>
          </w:p>
          <w:p w14:paraId="0241F0F5" w14:textId="5D9ACA4F" w:rsidR="008B5489" w:rsidRPr="009651D5" w:rsidRDefault="008B5489" w:rsidP="008B5489">
            <w:pPr>
              <w:pStyle w:val="DHHStablebullet1"/>
              <w:tabs>
                <w:tab w:val="clear" w:pos="360"/>
              </w:tabs>
              <w:ind w:left="0" w:firstLine="0"/>
              <w:rPr>
                <w:rFonts w:cs="Arial"/>
              </w:rPr>
            </w:pPr>
          </w:p>
        </w:tc>
      </w:tr>
      <w:tr w:rsidR="008B5489" w14:paraId="1466DD63" w14:textId="77777777" w:rsidTr="008B5489">
        <w:tc>
          <w:tcPr>
            <w:tcW w:w="2010" w:type="dxa"/>
          </w:tcPr>
          <w:p w14:paraId="551D79DC" w14:textId="77777777" w:rsidR="008B5489" w:rsidRPr="00033B0A" w:rsidRDefault="008B5489" w:rsidP="00033B0A">
            <w:pPr>
              <w:pStyle w:val="DHHSbody"/>
              <w:spacing w:before="80" w:after="60" w:line="240" w:lineRule="auto"/>
              <w:rPr>
                <w:rStyle w:val="DHHSnumberloweralphaChar"/>
                <w:b/>
                <w:bCs/>
              </w:rPr>
            </w:pPr>
            <w:r w:rsidRPr="00033B0A">
              <w:rPr>
                <w:rStyle w:val="DHHSnumberloweralphaChar"/>
                <w:b/>
                <w:bCs/>
              </w:rPr>
              <w:t>Refer to</w:t>
            </w:r>
          </w:p>
        </w:tc>
        <w:tc>
          <w:tcPr>
            <w:tcW w:w="7355" w:type="dxa"/>
          </w:tcPr>
          <w:p w14:paraId="66D8BFCA" w14:textId="77777777" w:rsidR="008B5489" w:rsidRPr="00B17081" w:rsidRDefault="008B5489" w:rsidP="00033B0A">
            <w:pPr>
              <w:pStyle w:val="DHHSbody"/>
              <w:spacing w:before="80" w:after="60" w:line="240" w:lineRule="auto"/>
              <w:rPr>
                <w:rFonts w:cs="Arial"/>
              </w:rPr>
            </w:pPr>
            <w:r w:rsidRPr="00B17081">
              <w:rPr>
                <w:rFonts w:cs="Arial"/>
              </w:rPr>
              <w:t>Section 2: Program</w:t>
            </w:r>
          </w:p>
          <w:p w14:paraId="2442A48A" w14:textId="7B50E40C" w:rsidR="008B5489" w:rsidRPr="00B17081" w:rsidRDefault="008B5489" w:rsidP="00033B0A">
            <w:pPr>
              <w:pStyle w:val="DHHSbody"/>
              <w:spacing w:before="80" w:after="60" w:line="240" w:lineRule="auto"/>
              <w:rPr>
                <w:rFonts w:cs="Arial"/>
              </w:rPr>
            </w:pPr>
            <w:r w:rsidRPr="00B17081">
              <w:rPr>
                <w:rFonts w:cs="Arial"/>
              </w:rPr>
              <w:t>Section 2: Programs reporting to</w:t>
            </w:r>
            <w:r w:rsidR="00C17A11">
              <w:rPr>
                <w:rFonts w:cs="Arial"/>
              </w:rPr>
              <w:t xml:space="preserve"> the</w:t>
            </w:r>
            <w:r w:rsidRPr="00B17081">
              <w:rPr>
                <w:rFonts w:cs="Arial"/>
              </w:rPr>
              <w:t xml:space="preserve"> VINAH</w:t>
            </w:r>
            <w:r w:rsidR="00C17A11">
              <w:rPr>
                <w:rFonts w:cs="Arial"/>
              </w:rPr>
              <w:t xml:space="preserve"> MDS</w:t>
            </w:r>
          </w:p>
          <w:p w14:paraId="2BAF1B26" w14:textId="77777777" w:rsidR="008B5489" w:rsidRPr="00B17081" w:rsidRDefault="008B5489" w:rsidP="00033B0A">
            <w:pPr>
              <w:pStyle w:val="DHHSbody"/>
              <w:spacing w:before="80" w:after="60" w:line="240" w:lineRule="auto"/>
              <w:rPr>
                <w:rFonts w:cs="Arial"/>
              </w:rPr>
            </w:pPr>
            <w:r w:rsidRPr="00B17081">
              <w:rPr>
                <w:rFonts w:cs="Arial"/>
              </w:rPr>
              <w:t>Section 2: Stream</w:t>
            </w:r>
          </w:p>
          <w:p w14:paraId="77B1528C" w14:textId="77777777" w:rsidR="008B5489" w:rsidRPr="00B17081" w:rsidRDefault="008B5489" w:rsidP="00033B0A">
            <w:pPr>
              <w:pStyle w:val="DHHSbody"/>
              <w:spacing w:before="80" w:after="60" w:line="240" w:lineRule="auto"/>
              <w:rPr>
                <w:rFonts w:cs="Arial"/>
              </w:rPr>
            </w:pPr>
            <w:r w:rsidRPr="00B17081">
              <w:rPr>
                <w:rFonts w:cs="Arial"/>
              </w:rPr>
              <w:t>Section 3: Episode program/stream</w:t>
            </w:r>
          </w:p>
          <w:p w14:paraId="68B8CB94" w14:textId="77777777" w:rsidR="008B5489" w:rsidRPr="00B17081" w:rsidRDefault="008B5489" w:rsidP="00033B0A">
            <w:pPr>
              <w:pStyle w:val="DHHSbody"/>
              <w:spacing w:before="80" w:after="60" w:line="240" w:lineRule="auto"/>
              <w:rPr>
                <w:rFonts w:cs="Arial"/>
              </w:rPr>
            </w:pPr>
            <w:r w:rsidRPr="00B17081">
              <w:rPr>
                <w:rFonts w:cs="Arial"/>
              </w:rPr>
              <w:t>Section 3: Referral in program/stream</w:t>
            </w:r>
          </w:p>
        </w:tc>
      </w:tr>
    </w:tbl>
    <w:p w14:paraId="0934CD85" w14:textId="67E5F04A" w:rsidR="0091306F" w:rsidRDefault="0091306F" w:rsidP="0091306F">
      <w:pPr>
        <w:pStyle w:val="Heading1"/>
      </w:pPr>
      <w:bookmarkStart w:id="83" w:name="_Toc101788780"/>
      <w:r>
        <w:lastRenderedPageBreak/>
        <w:t>Derived items list</w:t>
      </w:r>
      <w:bookmarkEnd w:id="80"/>
      <w:bookmarkEnd w:id="81"/>
      <w:bookmarkEnd w:id="83"/>
    </w:p>
    <w:p w14:paraId="49BD267B" w14:textId="77777777" w:rsidR="0091306F" w:rsidRDefault="0091306F" w:rsidP="0091306F">
      <w:pPr>
        <w:pStyle w:val="Heading2"/>
      </w:pPr>
      <w:bookmarkStart w:id="84" w:name="_Toc43198364"/>
      <w:bookmarkStart w:id="85" w:name="_Toc67035583"/>
      <w:bookmarkStart w:id="86" w:name="_Toc101788781"/>
      <w:r>
        <w:t>Age</w:t>
      </w:r>
      <w:bookmarkEnd w:id="84"/>
      <w:bookmarkEnd w:id="85"/>
      <w:bookmarkEnd w:id="86"/>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5"/>
        <w:gridCol w:w="7303"/>
      </w:tblGrid>
      <w:tr w:rsidR="0091306F" w14:paraId="1F9F3946" w14:textId="77777777" w:rsidTr="0091306F">
        <w:tc>
          <w:tcPr>
            <w:tcW w:w="1985" w:type="dxa"/>
          </w:tcPr>
          <w:p w14:paraId="787A1B3D" w14:textId="77777777" w:rsidR="0091306F" w:rsidRPr="00033B0A" w:rsidRDefault="0091306F" w:rsidP="0091306F">
            <w:pPr>
              <w:pStyle w:val="Body"/>
              <w:rPr>
                <w:rStyle w:val="Strong"/>
              </w:rPr>
            </w:pPr>
            <w:r w:rsidRPr="00033B0A">
              <w:rPr>
                <w:rStyle w:val="Strong"/>
              </w:rPr>
              <w:t>Definition</w:t>
            </w:r>
          </w:p>
        </w:tc>
        <w:tc>
          <w:tcPr>
            <w:tcW w:w="7303" w:type="dxa"/>
          </w:tcPr>
          <w:p w14:paraId="38A6F92C" w14:textId="77777777" w:rsidR="0091306F" w:rsidRDefault="0091306F" w:rsidP="00EB60C1">
            <w:pPr>
              <w:pStyle w:val="Tabletext"/>
            </w:pPr>
            <w:r>
              <w:t>The patient’s age at the time of episode start.</w:t>
            </w:r>
          </w:p>
          <w:p w14:paraId="7F73FC33" w14:textId="77740313" w:rsidR="00033B0A" w:rsidRDefault="00033B0A" w:rsidP="00EB60C1">
            <w:pPr>
              <w:pStyle w:val="Tabletext"/>
            </w:pPr>
          </w:p>
        </w:tc>
      </w:tr>
      <w:tr w:rsidR="0091306F" w14:paraId="06C18F1A" w14:textId="77777777" w:rsidTr="0091306F">
        <w:tc>
          <w:tcPr>
            <w:tcW w:w="1985" w:type="dxa"/>
          </w:tcPr>
          <w:p w14:paraId="3A64F8F0" w14:textId="77777777" w:rsidR="0091306F" w:rsidRPr="00033B0A" w:rsidRDefault="0091306F" w:rsidP="0091306F">
            <w:pPr>
              <w:pStyle w:val="Body"/>
              <w:rPr>
                <w:rStyle w:val="Strong"/>
              </w:rPr>
            </w:pPr>
            <w:r w:rsidRPr="00033B0A">
              <w:rPr>
                <w:rStyle w:val="Strong"/>
              </w:rPr>
              <w:t>Guide for use</w:t>
            </w:r>
          </w:p>
        </w:tc>
        <w:tc>
          <w:tcPr>
            <w:tcW w:w="7303" w:type="dxa"/>
          </w:tcPr>
          <w:p w14:paraId="4EAEE61B" w14:textId="77777777" w:rsidR="0091306F" w:rsidRDefault="0091306F" w:rsidP="00EB60C1">
            <w:pPr>
              <w:pStyle w:val="Tabletext"/>
            </w:pPr>
            <w:r>
              <w:t>Age is calculated as:</w:t>
            </w:r>
          </w:p>
          <w:p w14:paraId="26BE6843" w14:textId="77777777" w:rsidR="0091306F" w:rsidRDefault="0091306F" w:rsidP="00EB60C1">
            <w:pPr>
              <w:pStyle w:val="Tabletext"/>
            </w:pPr>
            <w:r>
              <w:t xml:space="preserve">Episode Start Date </w:t>
            </w:r>
            <w:r>
              <w:rPr>
                <w:i/>
                <w:iCs/>
              </w:rPr>
              <w:t xml:space="preserve">minus </w:t>
            </w:r>
            <w:r>
              <w:t>Patient/Client Birth Date</w:t>
            </w:r>
          </w:p>
          <w:p w14:paraId="71B28CA2" w14:textId="77777777" w:rsidR="0091306F" w:rsidRDefault="0091306F" w:rsidP="00EB60C1">
            <w:pPr>
              <w:pStyle w:val="Tabletext"/>
            </w:pPr>
            <w:r>
              <w:t>Age is:</w:t>
            </w:r>
          </w:p>
          <w:p w14:paraId="4624BD21" w14:textId="77777777" w:rsidR="0091306F" w:rsidRDefault="0091306F" w:rsidP="00EB60C1">
            <w:pPr>
              <w:pStyle w:val="Tabletext"/>
            </w:pPr>
            <w:r>
              <w:t>Used in analysis of data for service planning purposes.</w:t>
            </w:r>
          </w:p>
          <w:p w14:paraId="69CA08D4" w14:textId="1657ECD1" w:rsidR="00033B0A" w:rsidRPr="006B24DE" w:rsidRDefault="00033B0A" w:rsidP="00EB60C1">
            <w:pPr>
              <w:pStyle w:val="Tabletext"/>
            </w:pPr>
          </w:p>
        </w:tc>
      </w:tr>
      <w:tr w:rsidR="0091306F" w14:paraId="2B920F15" w14:textId="77777777" w:rsidTr="0091306F">
        <w:tc>
          <w:tcPr>
            <w:tcW w:w="1985" w:type="dxa"/>
          </w:tcPr>
          <w:p w14:paraId="4A9B8301" w14:textId="77777777" w:rsidR="0091306F" w:rsidRPr="00033B0A" w:rsidRDefault="0091306F" w:rsidP="00033B0A">
            <w:pPr>
              <w:pStyle w:val="Body"/>
              <w:spacing w:before="80" w:after="60" w:line="240" w:lineRule="auto"/>
              <w:rPr>
                <w:rStyle w:val="Strong"/>
              </w:rPr>
            </w:pPr>
            <w:r w:rsidRPr="00033B0A">
              <w:rPr>
                <w:rStyle w:val="Strong"/>
              </w:rPr>
              <w:t>Refer to</w:t>
            </w:r>
          </w:p>
        </w:tc>
        <w:tc>
          <w:tcPr>
            <w:tcW w:w="7303" w:type="dxa"/>
          </w:tcPr>
          <w:p w14:paraId="4AFD9DCC" w14:textId="77777777" w:rsidR="0091306F" w:rsidRDefault="0091306F" w:rsidP="00033B0A">
            <w:pPr>
              <w:pStyle w:val="Tabletext"/>
            </w:pPr>
            <w:r>
              <w:t>Section 3: Patient/Client birth date</w:t>
            </w:r>
          </w:p>
          <w:p w14:paraId="7E9B6C2E" w14:textId="77777777" w:rsidR="0091306F" w:rsidRDefault="0091306F" w:rsidP="00033B0A">
            <w:pPr>
              <w:pStyle w:val="Tabletext"/>
            </w:pPr>
            <w:r>
              <w:t>Section 3: Episode start date</w:t>
            </w:r>
          </w:p>
        </w:tc>
      </w:tr>
    </w:tbl>
    <w:p w14:paraId="1D596189" w14:textId="2D9E88CD" w:rsidR="0091306F" w:rsidRDefault="0091306F" w:rsidP="0091306F">
      <w:pPr>
        <w:pStyle w:val="Heading2"/>
      </w:pPr>
      <w:bookmarkStart w:id="87" w:name="_Toc43198365"/>
      <w:bookmarkStart w:id="88" w:name="_Toc67035584"/>
      <w:bookmarkStart w:id="89" w:name="_Toc101788782"/>
      <w:r>
        <w:t>Case end date</w:t>
      </w:r>
      <w:bookmarkEnd w:id="87"/>
      <w:bookmarkEnd w:id="88"/>
      <w:bookmarkEnd w:id="89"/>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5"/>
        <w:gridCol w:w="7303"/>
      </w:tblGrid>
      <w:tr w:rsidR="0091306F" w14:paraId="59E36A1E" w14:textId="77777777" w:rsidTr="0091306F">
        <w:tc>
          <w:tcPr>
            <w:tcW w:w="1985" w:type="dxa"/>
          </w:tcPr>
          <w:p w14:paraId="08FF947F" w14:textId="77777777" w:rsidR="0091306F" w:rsidRPr="00033B0A" w:rsidRDefault="0091306F" w:rsidP="0091306F">
            <w:pPr>
              <w:pStyle w:val="Body"/>
              <w:rPr>
                <w:rStyle w:val="Strong"/>
              </w:rPr>
            </w:pPr>
            <w:r w:rsidRPr="00033B0A">
              <w:rPr>
                <w:rStyle w:val="Strong"/>
              </w:rPr>
              <w:t>Definition</w:t>
            </w:r>
          </w:p>
        </w:tc>
        <w:tc>
          <w:tcPr>
            <w:tcW w:w="7303" w:type="dxa"/>
          </w:tcPr>
          <w:p w14:paraId="6BE49F0D" w14:textId="77777777" w:rsidR="0091306F" w:rsidRDefault="0091306F" w:rsidP="00EB60C1">
            <w:pPr>
              <w:pStyle w:val="Tabletext"/>
            </w:pPr>
            <w:r w:rsidRPr="006B24DE">
              <w:t>The date the case for one patient/client at one organisation ends.</w:t>
            </w:r>
          </w:p>
          <w:p w14:paraId="4FF089CD" w14:textId="4CA4DDFA" w:rsidR="00033B0A" w:rsidRDefault="00033B0A" w:rsidP="00EB60C1">
            <w:pPr>
              <w:pStyle w:val="Tabletext"/>
            </w:pPr>
          </w:p>
        </w:tc>
      </w:tr>
      <w:tr w:rsidR="0091306F" w14:paraId="73DFF5D3" w14:textId="77777777" w:rsidTr="0091306F">
        <w:tc>
          <w:tcPr>
            <w:tcW w:w="1985" w:type="dxa"/>
          </w:tcPr>
          <w:p w14:paraId="046AE947" w14:textId="77777777" w:rsidR="0091306F" w:rsidRPr="00033B0A" w:rsidRDefault="0091306F" w:rsidP="0091306F">
            <w:pPr>
              <w:pStyle w:val="Body"/>
              <w:rPr>
                <w:rStyle w:val="Strong"/>
              </w:rPr>
            </w:pPr>
            <w:r w:rsidRPr="00033B0A">
              <w:rPr>
                <w:rStyle w:val="Strong"/>
              </w:rPr>
              <w:t>Guide for use</w:t>
            </w:r>
          </w:p>
        </w:tc>
        <w:tc>
          <w:tcPr>
            <w:tcW w:w="7303" w:type="dxa"/>
          </w:tcPr>
          <w:p w14:paraId="2697130F" w14:textId="77777777" w:rsidR="0091306F" w:rsidRDefault="0091306F" w:rsidP="00EB60C1">
            <w:pPr>
              <w:pStyle w:val="Tabletext"/>
            </w:pPr>
            <w:r>
              <w:t>The Case End Date will be the date of:</w:t>
            </w:r>
          </w:p>
          <w:p w14:paraId="0CC2F0A2" w14:textId="7D1831D1" w:rsidR="0091306F" w:rsidRDefault="0091306F" w:rsidP="00EB60C1">
            <w:pPr>
              <w:pStyle w:val="Tablebullet1"/>
            </w:pPr>
            <w:r>
              <w:t xml:space="preserve">the Episode End Date when there is only one episode for a patient/client, or the latest Episode End Date, when there are two or more overlapping </w:t>
            </w:r>
            <w:r w:rsidR="00AD5B82">
              <w:t>e</w:t>
            </w:r>
            <w:r>
              <w:t>pisodes, and</w:t>
            </w:r>
          </w:p>
          <w:p w14:paraId="4B322705" w14:textId="24EA3C96" w:rsidR="0091306F" w:rsidRDefault="0091306F" w:rsidP="00EB60C1">
            <w:pPr>
              <w:pStyle w:val="Tablebullet1"/>
            </w:pPr>
            <w:r>
              <w:t xml:space="preserve">there are no (incoming) </w:t>
            </w:r>
            <w:r w:rsidR="00AD5B82">
              <w:t>r</w:t>
            </w:r>
            <w:r>
              <w:t xml:space="preserve">eferrals for a </w:t>
            </w:r>
            <w:r w:rsidR="00AD5B82">
              <w:t>p</w:t>
            </w:r>
            <w:r>
              <w:t>rogram/</w:t>
            </w:r>
            <w:r w:rsidR="00AD5B82">
              <w:t>s</w:t>
            </w:r>
            <w:r>
              <w:t xml:space="preserve">tream (Referral In Received Date) that do not have a Referral </w:t>
            </w:r>
            <w:r w:rsidR="00AD5B82">
              <w:t xml:space="preserve">In </w:t>
            </w:r>
            <w:r>
              <w:t>Outcome.</w:t>
            </w:r>
          </w:p>
          <w:p w14:paraId="2D962396" w14:textId="0977923F" w:rsidR="00033B0A" w:rsidRPr="006B24DE" w:rsidRDefault="00033B0A" w:rsidP="00033B0A">
            <w:pPr>
              <w:pStyle w:val="Tablebullet1"/>
              <w:numPr>
                <w:ilvl w:val="0"/>
                <w:numId w:val="0"/>
              </w:numPr>
            </w:pPr>
          </w:p>
        </w:tc>
      </w:tr>
      <w:tr w:rsidR="0091306F" w14:paraId="6EC77397" w14:textId="77777777" w:rsidTr="0091306F">
        <w:tc>
          <w:tcPr>
            <w:tcW w:w="1985" w:type="dxa"/>
          </w:tcPr>
          <w:p w14:paraId="71E692AA" w14:textId="77777777" w:rsidR="0091306F" w:rsidRPr="00033B0A" w:rsidRDefault="0091306F" w:rsidP="00033B0A">
            <w:pPr>
              <w:pStyle w:val="Body"/>
              <w:spacing w:before="80" w:after="60" w:line="240" w:lineRule="auto"/>
              <w:rPr>
                <w:rStyle w:val="Strong"/>
              </w:rPr>
            </w:pPr>
            <w:r w:rsidRPr="00033B0A">
              <w:rPr>
                <w:rStyle w:val="Strong"/>
              </w:rPr>
              <w:t>Refer to</w:t>
            </w:r>
          </w:p>
        </w:tc>
        <w:tc>
          <w:tcPr>
            <w:tcW w:w="7303" w:type="dxa"/>
          </w:tcPr>
          <w:p w14:paraId="35957D11" w14:textId="77777777" w:rsidR="0091306F" w:rsidRDefault="0091306F" w:rsidP="00033B0A">
            <w:pPr>
              <w:pStyle w:val="Tabletext"/>
            </w:pPr>
            <w:r>
              <w:t>Section 2: Case (concept definition)</w:t>
            </w:r>
          </w:p>
          <w:p w14:paraId="42EBD203" w14:textId="77777777" w:rsidR="0091306F" w:rsidRDefault="0091306F" w:rsidP="00033B0A">
            <w:pPr>
              <w:pStyle w:val="Tabletext"/>
            </w:pPr>
            <w:r>
              <w:t>Section 2: Case start date (derived element)</w:t>
            </w:r>
          </w:p>
          <w:p w14:paraId="6BE498F3" w14:textId="77777777" w:rsidR="0091306F" w:rsidRDefault="0091306F" w:rsidP="00033B0A">
            <w:pPr>
              <w:pStyle w:val="Tabletext"/>
            </w:pPr>
            <w:r>
              <w:t>Section 2: Episode</w:t>
            </w:r>
          </w:p>
          <w:p w14:paraId="3BCC96A4" w14:textId="3FFC5CF6" w:rsidR="0091306F" w:rsidRDefault="00AD5B82" w:rsidP="00033B0A">
            <w:pPr>
              <w:pStyle w:val="Tabletext"/>
            </w:pPr>
            <w:r>
              <w:t>Section 3: Episode end date</w:t>
            </w:r>
          </w:p>
          <w:p w14:paraId="4F871DE3" w14:textId="77777777" w:rsidR="00AD5B82" w:rsidRDefault="00AD5B82" w:rsidP="00AD5B82">
            <w:pPr>
              <w:pStyle w:val="Tabletext"/>
            </w:pPr>
            <w:r>
              <w:t>Section 3: Referral in outcome</w:t>
            </w:r>
          </w:p>
          <w:p w14:paraId="32BBEEDD" w14:textId="20E30325" w:rsidR="00AD5B82" w:rsidRDefault="00AD5B82" w:rsidP="00033B0A">
            <w:pPr>
              <w:pStyle w:val="Tabletext"/>
            </w:pPr>
            <w:r>
              <w:t>Section 3: Referral in received date</w:t>
            </w:r>
          </w:p>
        </w:tc>
      </w:tr>
    </w:tbl>
    <w:p w14:paraId="74AA69DA" w14:textId="58799BC8" w:rsidR="0091306F" w:rsidRDefault="0091306F" w:rsidP="0091306F">
      <w:pPr>
        <w:pStyle w:val="Heading2"/>
      </w:pPr>
      <w:bookmarkStart w:id="90" w:name="_Toc43198366"/>
      <w:bookmarkStart w:id="91" w:name="_Toc67035585"/>
      <w:bookmarkStart w:id="92" w:name="_Toc101788783"/>
      <w:r>
        <w:t>Case start date</w:t>
      </w:r>
      <w:bookmarkEnd w:id="90"/>
      <w:bookmarkEnd w:id="91"/>
      <w:bookmarkEnd w:id="92"/>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5"/>
        <w:gridCol w:w="7303"/>
      </w:tblGrid>
      <w:tr w:rsidR="0091306F" w14:paraId="749ACA85" w14:textId="77777777" w:rsidTr="0091306F">
        <w:tc>
          <w:tcPr>
            <w:tcW w:w="1985" w:type="dxa"/>
          </w:tcPr>
          <w:p w14:paraId="48ABD618" w14:textId="77777777" w:rsidR="0091306F" w:rsidRPr="00033B0A" w:rsidRDefault="0091306F" w:rsidP="0091306F">
            <w:pPr>
              <w:pStyle w:val="Body"/>
              <w:rPr>
                <w:rStyle w:val="Strong"/>
              </w:rPr>
            </w:pPr>
            <w:r w:rsidRPr="00033B0A">
              <w:rPr>
                <w:rStyle w:val="Strong"/>
              </w:rPr>
              <w:t>Definition</w:t>
            </w:r>
          </w:p>
        </w:tc>
        <w:tc>
          <w:tcPr>
            <w:tcW w:w="7303" w:type="dxa"/>
          </w:tcPr>
          <w:p w14:paraId="1797CB19" w14:textId="6962AE20" w:rsidR="0091306F" w:rsidRDefault="0091306F" w:rsidP="00EB60C1">
            <w:pPr>
              <w:pStyle w:val="Tabletext"/>
            </w:pPr>
            <w:r>
              <w:t xml:space="preserve">The </w:t>
            </w:r>
            <w:r w:rsidRPr="000479F9">
              <w:t>date the case for one patient/client at one organisation begins.</w:t>
            </w:r>
          </w:p>
          <w:p w14:paraId="034120FA" w14:textId="1CEEFE20" w:rsidR="00033B0A" w:rsidRDefault="00033B0A" w:rsidP="00EB60C1">
            <w:pPr>
              <w:pStyle w:val="Tabletext"/>
            </w:pPr>
          </w:p>
        </w:tc>
      </w:tr>
      <w:tr w:rsidR="0091306F" w14:paraId="3B8533ED" w14:textId="77777777" w:rsidTr="0091306F">
        <w:tc>
          <w:tcPr>
            <w:tcW w:w="1985" w:type="dxa"/>
          </w:tcPr>
          <w:p w14:paraId="715836E5" w14:textId="77777777" w:rsidR="0091306F" w:rsidRPr="00033B0A" w:rsidRDefault="0091306F" w:rsidP="0091306F">
            <w:pPr>
              <w:pStyle w:val="Body"/>
              <w:rPr>
                <w:rStyle w:val="Strong"/>
              </w:rPr>
            </w:pPr>
            <w:r w:rsidRPr="00033B0A">
              <w:rPr>
                <w:rStyle w:val="Strong"/>
              </w:rPr>
              <w:t>Guide for use</w:t>
            </w:r>
          </w:p>
        </w:tc>
        <w:tc>
          <w:tcPr>
            <w:tcW w:w="7303" w:type="dxa"/>
          </w:tcPr>
          <w:p w14:paraId="603ED338" w14:textId="254092FA" w:rsidR="0091306F" w:rsidRDefault="0091306F" w:rsidP="00EB60C1">
            <w:pPr>
              <w:pStyle w:val="Tabletext"/>
            </w:pPr>
            <w:r>
              <w:t xml:space="preserve">The Case Start Date will be the Episode Start Date of the first episode (of possibly several overlapping </w:t>
            </w:r>
            <w:r w:rsidR="00AD5B82">
              <w:t>e</w:t>
            </w:r>
            <w:r>
              <w:t xml:space="preserve">pisodes and </w:t>
            </w:r>
            <w:r w:rsidR="00AD5B82">
              <w:t>r</w:t>
            </w:r>
            <w:r>
              <w:t>eferrals).</w:t>
            </w:r>
          </w:p>
          <w:p w14:paraId="6539F810" w14:textId="77777777" w:rsidR="0091306F" w:rsidRDefault="0091306F" w:rsidP="00EB60C1">
            <w:pPr>
              <w:pStyle w:val="Tabletext"/>
            </w:pPr>
            <w:r>
              <w:t>The case will continue when:</w:t>
            </w:r>
          </w:p>
          <w:p w14:paraId="7BEE6D27" w14:textId="4A547EE6" w:rsidR="0091306F" w:rsidRDefault="0091306F" w:rsidP="00EB60C1">
            <w:pPr>
              <w:pStyle w:val="Tablebullet1"/>
            </w:pPr>
            <w:r>
              <w:t xml:space="preserve">the </w:t>
            </w:r>
            <w:r w:rsidR="00AD5B82">
              <w:t>r</w:t>
            </w:r>
            <w:r>
              <w:t>pisode remains open (Episode Start Date present without a corresponding Episode End Date), or</w:t>
            </w:r>
          </w:p>
          <w:p w14:paraId="04DE6E3A" w14:textId="411C8A73" w:rsidR="0091306F" w:rsidRDefault="0091306F" w:rsidP="00EB60C1">
            <w:pPr>
              <w:pStyle w:val="Tablebullet1"/>
            </w:pPr>
            <w:r>
              <w:t xml:space="preserve">there are additional </w:t>
            </w:r>
            <w:r w:rsidR="00AD5B82">
              <w:t>r</w:t>
            </w:r>
            <w:r>
              <w:t>pisodes that overlap in Episode Start Date and Episode End Date, or</w:t>
            </w:r>
          </w:p>
          <w:p w14:paraId="6EE9978A" w14:textId="13BF78CF" w:rsidR="0091306F" w:rsidRDefault="0091306F" w:rsidP="00EB60C1">
            <w:pPr>
              <w:pStyle w:val="Tablebullet1"/>
            </w:pPr>
            <w:r>
              <w:lastRenderedPageBreak/>
              <w:t xml:space="preserve">there is at least one (incoming) </w:t>
            </w:r>
            <w:r w:rsidR="00AD5B82">
              <w:t>r</w:t>
            </w:r>
            <w:r>
              <w:t xml:space="preserve">eferral for a </w:t>
            </w:r>
            <w:r w:rsidR="00AD5B82">
              <w:t>p</w:t>
            </w:r>
            <w:r>
              <w:t>rogram/</w:t>
            </w:r>
            <w:r w:rsidR="00AD5B82">
              <w:t>s</w:t>
            </w:r>
            <w:r>
              <w:t xml:space="preserve">tream (Referral In Received Date) that does not have a Referral </w:t>
            </w:r>
            <w:r w:rsidR="00AD5B82">
              <w:t xml:space="preserve">In </w:t>
            </w:r>
            <w:r>
              <w:t>Outcome.</w:t>
            </w:r>
          </w:p>
          <w:p w14:paraId="643760B0" w14:textId="35573DC6" w:rsidR="00033B0A" w:rsidRPr="006B24DE" w:rsidRDefault="00033B0A" w:rsidP="00033B0A">
            <w:pPr>
              <w:pStyle w:val="Tablebullet1"/>
              <w:numPr>
                <w:ilvl w:val="0"/>
                <w:numId w:val="0"/>
              </w:numPr>
            </w:pPr>
          </w:p>
        </w:tc>
      </w:tr>
      <w:tr w:rsidR="0091306F" w14:paraId="68FB709B" w14:textId="77777777" w:rsidTr="0091306F">
        <w:tc>
          <w:tcPr>
            <w:tcW w:w="1985" w:type="dxa"/>
          </w:tcPr>
          <w:p w14:paraId="0025EBD6" w14:textId="77777777" w:rsidR="0091306F" w:rsidRPr="00033B0A" w:rsidRDefault="0091306F" w:rsidP="00033B0A">
            <w:pPr>
              <w:pStyle w:val="Body"/>
              <w:spacing w:before="80" w:after="60" w:line="240" w:lineRule="auto"/>
              <w:rPr>
                <w:rStyle w:val="Strong"/>
              </w:rPr>
            </w:pPr>
            <w:r w:rsidRPr="00033B0A">
              <w:rPr>
                <w:rStyle w:val="Strong"/>
              </w:rPr>
              <w:lastRenderedPageBreak/>
              <w:t>Refer to</w:t>
            </w:r>
          </w:p>
        </w:tc>
        <w:tc>
          <w:tcPr>
            <w:tcW w:w="7303" w:type="dxa"/>
          </w:tcPr>
          <w:p w14:paraId="49D510F6" w14:textId="77777777" w:rsidR="0091306F" w:rsidRDefault="0091306F" w:rsidP="00033B0A">
            <w:pPr>
              <w:pStyle w:val="Tabletext"/>
            </w:pPr>
            <w:r>
              <w:t>Section 2: Case (concept definition)</w:t>
            </w:r>
          </w:p>
          <w:p w14:paraId="0DF88B42" w14:textId="77777777" w:rsidR="0091306F" w:rsidRDefault="0091306F" w:rsidP="00033B0A">
            <w:pPr>
              <w:pStyle w:val="Tabletext"/>
            </w:pPr>
            <w:r>
              <w:t>Section 2: Case end date (derived element)</w:t>
            </w:r>
          </w:p>
          <w:p w14:paraId="13031555" w14:textId="77777777" w:rsidR="0091306F" w:rsidRDefault="0091306F" w:rsidP="00033B0A">
            <w:pPr>
              <w:pStyle w:val="Tabletext"/>
            </w:pPr>
            <w:r>
              <w:t>Section 2: Episode</w:t>
            </w:r>
          </w:p>
          <w:p w14:paraId="0CBA6697" w14:textId="77777777" w:rsidR="00AD5B82" w:rsidRDefault="00AD5B82" w:rsidP="00AD5B82">
            <w:pPr>
              <w:pStyle w:val="Tabletext"/>
            </w:pPr>
            <w:r>
              <w:t>Section 3: Episode end date</w:t>
            </w:r>
          </w:p>
          <w:p w14:paraId="14373359" w14:textId="77777777" w:rsidR="00AD5B82" w:rsidRDefault="00AD5B82" w:rsidP="00AD5B82">
            <w:pPr>
              <w:pStyle w:val="Tabletext"/>
            </w:pPr>
            <w:r>
              <w:t xml:space="preserve">Section 3: Episode start date </w:t>
            </w:r>
          </w:p>
          <w:p w14:paraId="785613C0" w14:textId="173089D5" w:rsidR="0091306F" w:rsidRDefault="00AD5B82" w:rsidP="00033B0A">
            <w:pPr>
              <w:pStyle w:val="Tabletext"/>
            </w:pPr>
            <w:r>
              <w:t>Section 3: Referral in outcome</w:t>
            </w:r>
          </w:p>
          <w:p w14:paraId="5EEA98F9" w14:textId="17684BCC" w:rsidR="0091306F" w:rsidRDefault="00AD5B82" w:rsidP="00033B0A">
            <w:pPr>
              <w:pStyle w:val="Tabletext"/>
            </w:pPr>
            <w:r>
              <w:t>Section 3: Referral in received date</w:t>
            </w:r>
          </w:p>
        </w:tc>
      </w:tr>
    </w:tbl>
    <w:p w14:paraId="111BD695" w14:textId="51A1B785" w:rsidR="0091306F" w:rsidRDefault="0091306F" w:rsidP="0091306F">
      <w:pPr>
        <w:pStyle w:val="Heading2"/>
      </w:pPr>
      <w:bookmarkStart w:id="93" w:name="_Toc43198367"/>
      <w:bookmarkStart w:id="94" w:name="_Toc67035586"/>
      <w:bookmarkStart w:id="95" w:name="_Toc101788784"/>
      <w:r>
        <w:t>Contact count</w:t>
      </w:r>
      <w:bookmarkEnd w:id="93"/>
      <w:bookmarkEnd w:id="94"/>
      <w:bookmarkEnd w:id="95"/>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5"/>
        <w:gridCol w:w="7303"/>
      </w:tblGrid>
      <w:tr w:rsidR="0091306F" w14:paraId="7B9CD24B" w14:textId="77777777" w:rsidTr="0091306F">
        <w:tc>
          <w:tcPr>
            <w:tcW w:w="1985" w:type="dxa"/>
          </w:tcPr>
          <w:p w14:paraId="7403D7A9" w14:textId="77777777" w:rsidR="0091306F" w:rsidRPr="00033B0A" w:rsidRDefault="0091306F" w:rsidP="0091306F">
            <w:pPr>
              <w:pStyle w:val="Body"/>
              <w:rPr>
                <w:b/>
                <w:bCs/>
              </w:rPr>
            </w:pPr>
            <w:r w:rsidRPr="00033B0A">
              <w:rPr>
                <w:b/>
                <w:bCs/>
              </w:rPr>
              <w:t>Definition</w:t>
            </w:r>
          </w:p>
        </w:tc>
        <w:tc>
          <w:tcPr>
            <w:tcW w:w="7303" w:type="dxa"/>
          </w:tcPr>
          <w:p w14:paraId="260CFC72" w14:textId="77777777" w:rsidR="0091306F" w:rsidRDefault="0091306F" w:rsidP="00EB60C1">
            <w:pPr>
              <w:pStyle w:val="Tabletext"/>
            </w:pPr>
            <w:r>
              <w:t>The count</w:t>
            </w:r>
            <w:r w:rsidRPr="006F1D1F">
              <w:t xml:space="preserve"> of </w:t>
            </w:r>
            <w:r>
              <w:t xml:space="preserve">non-admitted contacts </w:t>
            </w:r>
            <w:r w:rsidRPr="006F1D1F">
              <w:t xml:space="preserve">delivered </w:t>
            </w:r>
            <w:r>
              <w:t xml:space="preserve">to a patient /client </w:t>
            </w:r>
            <w:r w:rsidRPr="006F1D1F">
              <w:t>by an organisation within a given time period.</w:t>
            </w:r>
          </w:p>
          <w:p w14:paraId="52755DD0" w14:textId="12677555" w:rsidR="00033B0A" w:rsidRDefault="00033B0A" w:rsidP="00EB60C1">
            <w:pPr>
              <w:pStyle w:val="Tabletext"/>
            </w:pPr>
          </w:p>
        </w:tc>
      </w:tr>
      <w:tr w:rsidR="0091306F" w14:paraId="5FE8C5E5" w14:textId="77777777" w:rsidTr="0091306F">
        <w:tc>
          <w:tcPr>
            <w:tcW w:w="1985" w:type="dxa"/>
          </w:tcPr>
          <w:p w14:paraId="4A3C905D" w14:textId="77777777" w:rsidR="0091306F" w:rsidRPr="00033B0A" w:rsidRDefault="0091306F" w:rsidP="0091306F">
            <w:pPr>
              <w:pStyle w:val="Body"/>
              <w:rPr>
                <w:b/>
                <w:bCs/>
              </w:rPr>
            </w:pPr>
            <w:r w:rsidRPr="00033B0A">
              <w:rPr>
                <w:b/>
                <w:bCs/>
              </w:rPr>
              <w:t>Guide for use</w:t>
            </w:r>
          </w:p>
        </w:tc>
        <w:tc>
          <w:tcPr>
            <w:tcW w:w="7303" w:type="dxa"/>
          </w:tcPr>
          <w:p w14:paraId="5EC87424" w14:textId="3C8D5D3F" w:rsidR="0091306F" w:rsidRDefault="0091306F" w:rsidP="00EB60C1">
            <w:pPr>
              <w:pStyle w:val="Tabletext"/>
            </w:pPr>
            <w:r w:rsidRPr="006B24DE">
              <w:t xml:space="preserve">Any contact that occurs between a patient/client and a professional associated with a </w:t>
            </w:r>
            <w:r w:rsidR="00AD5B82">
              <w:t>p</w:t>
            </w:r>
            <w:r w:rsidRPr="006B24DE">
              <w:t xml:space="preserve">rogram </w:t>
            </w:r>
            <w:r w:rsidR="00AD5B82">
              <w:t>r</w:t>
            </w:r>
            <w:r w:rsidRPr="006B24DE">
              <w:t xml:space="preserve">eporting to </w:t>
            </w:r>
            <w:r w:rsidR="00C17A11">
              <w:t xml:space="preserve">the </w:t>
            </w:r>
            <w:r w:rsidRPr="006B24DE">
              <w:t>VINAH</w:t>
            </w:r>
            <w:r w:rsidR="00C17A11">
              <w:t xml:space="preserve"> MDS</w:t>
            </w:r>
            <w:r w:rsidRPr="006B24DE">
              <w:t>. Contacts are not aggregated.</w:t>
            </w:r>
          </w:p>
          <w:p w14:paraId="107B2936" w14:textId="5B3D6E97" w:rsidR="00033B0A" w:rsidRPr="006B24DE" w:rsidRDefault="00033B0A" w:rsidP="00EB60C1">
            <w:pPr>
              <w:pStyle w:val="Tabletext"/>
            </w:pPr>
          </w:p>
        </w:tc>
      </w:tr>
      <w:tr w:rsidR="0091306F" w14:paraId="02D29714" w14:textId="77777777" w:rsidTr="0091306F">
        <w:tc>
          <w:tcPr>
            <w:tcW w:w="1985" w:type="dxa"/>
          </w:tcPr>
          <w:p w14:paraId="7FFCD4C1" w14:textId="77777777" w:rsidR="0091306F" w:rsidRPr="00033B0A" w:rsidRDefault="0091306F" w:rsidP="00033B0A">
            <w:pPr>
              <w:pStyle w:val="Body"/>
              <w:spacing w:before="80" w:after="60" w:line="240" w:lineRule="auto"/>
              <w:rPr>
                <w:b/>
                <w:bCs/>
              </w:rPr>
            </w:pPr>
            <w:r w:rsidRPr="00033B0A">
              <w:rPr>
                <w:b/>
                <w:bCs/>
              </w:rPr>
              <w:t>Refer to</w:t>
            </w:r>
          </w:p>
        </w:tc>
        <w:tc>
          <w:tcPr>
            <w:tcW w:w="7303" w:type="dxa"/>
          </w:tcPr>
          <w:p w14:paraId="217AE5E7" w14:textId="3DC64142" w:rsidR="000E4BEE" w:rsidRDefault="0091306F" w:rsidP="00033B0A">
            <w:pPr>
              <w:pStyle w:val="Tabletext"/>
            </w:pPr>
            <w:r>
              <w:t>Section 2: Contact</w:t>
            </w:r>
          </w:p>
        </w:tc>
      </w:tr>
    </w:tbl>
    <w:p w14:paraId="63C73407" w14:textId="65EC1A93" w:rsidR="00F62045" w:rsidRDefault="00F62045" w:rsidP="00F62045">
      <w:pPr>
        <w:pStyle w:val="Heading2"/>
      </w:pPr>
      <w:bookmarkStart w:id="96" w:name="_Toc101788785"/>
      <w:bookmarkStart w:id="97" w:name="_Toc43198368"/>
      <w:bookmarkStart w:id="98" w:name="_Toc67035587"/>
      <w:r>
        <w:t>Contact duration</w:t>
      </w:r>
      <w:bookmarkEnd w:id="96"/>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A0" w:firstRow="1" w:lastRow="0" w:firstColumn="1" w:lastColumn="0" w:noHBand="1" w:noVBand="1"/>
      </w:tblPr>
      <w:tblGrid>
        <w:gridCol w:w="1701"/>
        <w:gridCol w:w="7587"/>
      </w:tblGrid>
      <w:tr w:rsidR="00F62045" w14:paraId="3A36C47E" w14:textId="77777777" w:rsidTr="005E74E1">
        <w:tc>
          <w:tcPr>
            <w:tcW w:w="1701" w:type="dxa"/>
          </w:tcPr>
          <w:p w14:paraId="6C23EFB2" w14:textId="77777777" w:rsidR="00F62045" w:rsidRPr="00033B0A" w:rsidRDefault="00F62045" w:rsidP="005E74E1">
            <w:pPr>
              <w:pStyle w:val="Tabletext"/>
              <w:spacing w:before="0"/>
              <w:rPr>
                <w:rStyle w:val="Strong"/>
              </w:rPr>
            </w:pPr>
            <w:r w:rsidRPr="00033B0A">
              <w:rPr>
                <w:rStyle w:val="Strong"/>
              </w:rPr>
              <w:t>Definition</w:t>
            </w:r>
          </w:p>
        </w:tc>
        <w:tc>
          <w:tcPr>
            <w:tcW w:w="7587" w:type="dxa"/>
          </w:tcPr>
          <w:p w14:paraId="39AF62DF" w14:textId="77777777" w:rsidR="00F62045" w:rsidRDefault="00F62045" w:rsidP="005E74E1">
            <w:pPr>
              <w:pStyle w:val="paragraph"/>
              <w:spacing w:before="0" w:beforeAutospacing="0" w:after="0" w:afterAutospacing="0"/>
              <w:ind w:left="2160" w:hanging="2160"/>
              <w:textAlignment w:val="baseline"/>
              <w:rPr>
                <w:rStyle w:val="normaltextrun"/>
                <w:rFonts w:ascii="Arial" w:eastAsia="MS Gothic" w:hAnsi="Arial" w:cs="Arial"/>
                <w:sz w:val="21"/>
                <w:szCs w:val="21"/>
              </w:rPr>
            </w:pPr>
            <w:r>
              <w:rPr>
                <w:rStyle w:val="normaltextrun"/>
                <w:rFonts w:ascii="Arial" w:eastAsia="MS Gothic" w:hAnsi="Arial" w:cs="Arial"/>
                <w:sz w:val="21"/>
                <w:szCs w:val="21"/>
              </w:rPr>
              <w:t>The time between the contact start date/time and the contact end date/time.</w:t>
            </w:r>
          </w:p>
          <w:p w14:paraId="1870CB5F" w14:textId="77777777" w:rsidR="00F62045" w:rsidRPr="00444341" w:rsidRDefault="00F62045" w:rsidP="005E74E1">
            <w:pPr>
              <w:pStyle w:val="paragraph"/>
              <w:spacing w:before="0" w:beforeAutospacing="0" w:after="0" w:afterAutospacing="0"/>
              <w:ind w:left="2160" w:hanging="2160"/>
              <w:textAlignment w:val="baseline"/>
              <w:rPr>
                <w:rFonts w:ascii="Arial" w:eastAsia="MS Gothic" w:hAnsi="Arial" w:cs="Arial"/>
                <w:sz w:val="21"/>
                <w:szCs w:val="21"/>
              </w:rPr>
            </w:pPr>
          </w:p>
        </w:tc>
      </w:tr>
      <w:tr w:rsidR="00F62045" w14:paraId="7DC789EB" w14:textId="77777777" w:rsidTr="00F62045">
        <w:tc>
          <w:tcPr>
            <w:tcW w:w="1701" w:type="dxa"/>
          </w:tcPr>
          <w:p w14:paraId="621CEC77" w14:textId="77777777" w:rsidR="00F62045" w:rsidRPr="00033B0A" w:rsidRDefault="00F62045" w:rsidP="005E74E1">
            <w:pPr>
              <w:pStyle w:val="Tabletext"/>
              <w:spacing w:before="0"/>
              <w:rPr>
                <w:rStyle w:val="Strong"/>
              </w:rPr>
            </w:pPr>
            <w:r w:rsidRPr="00033B0A">
              <w:rPr>
                <w:rStyle w:val="Strong"/>
              </w:rPr>
              <w:t>Guide for use</w:t>
            </w:r>
          </w:p>
        </w:tc>
        <w:tc>
          <w:tcPr>
            <w:tcW w:w="7587" w:type="dxa"/>
          </w:tcPr>
          <w:p w14:paraId="7B0938BB" w14:textId="0CF2F799" w:rsidR="00F62045" w:rsidRDefault="00F62045" w:rsidP="00AD5B82">
            <w:pPr>
              <w:pStyle w:val="paragraph"/>
              <w:spacing w:before="0" w:beforeAutospacing="0" w:after="0" w:afterAutospacing="0"/>
              <w:textAlignment w:val="baseline"/>
              <w:rPr>
                <w:rStyle w:val="normaltextrun"/>
                <w:rFonts w:eastAsia="MS Gothic"/>
              </w:rPr>
            </w:pPr>
            <w:r w:rsidRPr="004C7C53">
              <w:rPr>
                <w:rStyle w:val="normaltextrun"/>
                <w:rFonts w:ascii="Arial" w:eastAsia="MS Gothic" w:hAnsi="Arial" w:cs="Arial"/>
                <w:sz w:val="21"/>
                <w:szCs w:val="21"/>
              </w:rPr>
              <w:t>The purpose of capturing duration is to identify the actual time spent providing</w:t>
            </w:r>
            <w:r w:rsidR="00AD5B82">
              <w:rPr>
                <w:rStyle w:val="normaltextrun"/>
                <w:rFonts w:ascii="Arial" w:eastAsia="MS Gothic" w:hAnsi="Arial" w:cs="Arial"/>
                <w:sz w:val="21"/>
                <w:szCs w:val="21"/>
              </w:rPr>
              <w:t xml:space="preserve"> </w:t>
            </w:r>
            <w:r w:rsidRPr="00E175C4">
              <w:rPr>
                <w:rStyle w:val="normaltextrun"/>
                <w:rFonts w:ascii="Arial" w:eastAsia="MS Gothic" w:hAnsi="Arial" w:cs="Arial"/>
                <w:sz w:val="21"/>
                <w:szCs w:val="21"/>
              </w:rPr>
              <w:t>treatment for patients.</w:t>
            </w:r>
          </w:p>
          <w:p w14:paraId="2BD26927" w14:textId="77777777" w:rsidR="00F62045" w:rsidRPr="004C7C53" w:rsidRDefault="00F62045" w:rsidP="005E74E1">
            <w:pPr>
              <w:pStyle w:val="paragraph"/>
              <w:spacing w:before="0" w:beforeAutospacing="0" w:after="0" w:afterAutospacing="0"/>
              <w:ind w:left="2160" w:hanging="2160"/>
              <w:textAlignment w:val="baseline"/>
              <w:rPr>
                <w:rFonts w:ascii="Arial" w:hAnsi="Arial" w:cs="Arial"/>
                <w:sz w:val="18"/>
                <w:szCs w:val="18"/>
              </w:rPr>
            </w:pPr>
          </w:p>
          <w:p w14:paraId="4218C387" w14:textId="77777777" w:rsidR="00F62045" w:rsidRDefault="00F62045" w:rsidP="005E74E1">
            <w:pPr>
              <w:pStyle w:val="paragraph"/>
              <w:spacing w:before="0" w:beforeAutospacing="0" w:after="0" w:afterAutospacing="0"/>
              <w:textAlignment w:val="baseline"/>
              <w:rPr>
                <w:rStyle w:val="eop"/>
                <w:rFonts w:eastAsia="MS Mincho"/>
              </w:rPr>
            </w:pPr>
            <w:r w:rsidRPr="004C7C53">
              <w:rPr>
                <w:rStyle w:val="normaltextrun"/>
                <w:rFonts w:ascii="Arial" w:eastAsia="MS Gothic" w:hAnsi="Arial" w:cs="Arial"/>
                <w:sz w:val="21"/>
                <w:szCs w:val="21"/>
              </w:rPr>
              <w:t xml:space="preserve">Time spent reviewing files, test results etc, </w:t>
            </w:r>
            <w:r w:rsidRPr="004C7C53">
              <w:rPr>
                <w:rStyle w:val="normaltextrun"/>
                <w:rFonts w:ascii="Arial" w:eastAsia="MS Gothic" w:hAnsi="Arial" w:cs="Arial"/>
                <w:b/>
                <w:bCs/>
                <w:sz w:val="21"/>
                <w:szCs w:val="21"/>
              </w:rPr>
              <w:t>immediately prior</w:t>
            </w:r>
            <w:r w:rsidRPr="004C7C53">
              <w:rPr>
                <w:rStyle w:val="normaltextrun"/>
                <w:rFonts w:ascii="Arial" w:eastAsia="MS Gothic" w:hAnsi="Arial" w:cs="Arial"/>
                <w:sz w:val="21"/>
                <w:szCs w:val="21"/>
              </w:rPr>
              <w:t xml:space="preserve"> to a consultation with a patient can be included when determining the start time of a contact. Similarly, time spent writing patient notes </w:t>
            </w:r>
            <w:r w:rsidRPr="004C7C53">
              <w:rPr>
                <w:rStyle w:val="normaltextrun"/>
                <w:rFonts w:ascii="Arial" w:eastAsia="MS Gothic" w:hAnsi="Arial" w:cs="Arial"/>
                <w:b/>
                <w:bCs/>
                <w:sz w:val="21"/>
                <w:szCs w:val="21"/>
              </w:rPr>
              <w:t>directly after</w:t>
            </w:r>
            <w:r w:rsidRPr="004C7C53">
              <w:rPr>
                <w:rStyle w:val="normaltextrun"/>
                <w:rFonts w:ascii="Arial" w:eastAsia="MS Gothic" w:hAnsi="Arial" w:cs="Arial"/>
                <w:sz w:val="21"/>
                <w:szCs w:val="21"/>
              </w:rPr>
              <w:t xml:space="preserve"> the patient contact can be included when determining the end time of a contact. Health services should use their own judgement to determine what activities to include when determining the start and end time of a contact.</w:t>
            </w:r>
          </w:p>
          <w:p w14:paraId="4B11DB06" w14:textId="77777777" w:rsidR="00F62045" w:rsidRPr="004C7C53" w:rsidRDefault="00F62045" w:rsidP="005E74E1">
            <w:pPr>
              <w:pStyle w:val="paragraph"/>
              <w:spacing w:before="0" w:beforeAutospacing="0" w:after="0" w:afterAutospacing="0"/>
              <w:textAlignment w:val="baseline"/>
              <w:rPr>
                <w:rFonts w:ascii="Arial" w:hAnsi="Arial" w:cs="Arial"/>
                <w:sz w:val="18"/>
                <w:szCs w:val="18"/>
              </w:rPr>
            </w:pPr>
          </w:p>
          <w:p w14:paraId="1BDD799B" w14:textId="77777777" w:rsidR="00F62045" w:rsidRDefault="00F62045" w:rsidP="005E74E1">
            <w:pPr>
              <w:pStyle w:val="Tabletext"/>
              <w:spacing w:before="0" w:after="0" w:line="276" w:lineRule="auto"/>
              <w:rPr>
                <w:rStyle w:val="normaltextrun"/>
                <w:rFonts w:eastAsia="MS Gothic" w:cs="Arial"/>
                <w:szCs w:val="21"/>
              </w:rPr>
            </w:pPr>
            <w:r w:rsidRPr="004C7C53">
              <w:rPr>
                <w:rStyle w:val="normaltextrun"/>
                <w:rFonts w:eastAsia="MS Gothic" w:cs="Arial"/>
                <w:szCs w:val="21"/>
              </w:rPr>
              <w:t>Where the entire contact is administrative in nature it should not be reported.</w:t>
            </w:r>
          </w:p>
          <w:p w14:paraId="070C4BE0" w14:textId="4B1C6863" w:rsidR="00033B0A" w:rsidRPr="00C202A7" w:rsidRDefault="00033B0A" w:rsidP="005E74E1">
            <w:pPr>
              <w:pStyle w:val="Tabletext"/>
              <w:spacing w:before="0" w:after="0" w:line="276" w:lineRule="auto"/>
              <w:rPr>
                <w:rFonts w:eastAsia="MS Gothic" w:cs="Arial"/>
                <w:szCs w:val="21"/>
              </w:rPr>
            </w:pPr>
          </w:p>
        </w:tc>
      </w:tr>
      <w:tr w:rsidR="00F62045" w14:paraId="07D7C068" w14:textId="77777777" w:rsidTr="00F620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701" w:type="dxa"/>
            <w:tcBorders>
              <w:top w:val="nil"/>
              <w:left w:val="nil"/>
              <w:bottom w:val="nil"/>
              <w:right w:val="nil"/>
            </w:tcBorders>
          </w:tcPr>
          <w:p w14:paraId="3098297B" w14:textId="77777777" w:rsidR="00F62045" w:rsidRPr="00033B0A" w:rsidRDefault="00F62045" w:rsidP="00A36278">
            <w:pPr>
              <w:pStyle w:val="Body"/>
              <w:spacing w:before="80" w:after="60" w:line="240" w:lineRule="auto"/>
              <w:rPr>
                <w:rStyle w:val="Strong"/>
              </w:rPr>
            </w:pPr>
            <w:r w:rsidRPr="00033B0A">
              <w:rPr>
                <w:rStyle w:val="Strong"/>
              </w:rPr>
              <w:t>Refer to</w:t>
            </w:r>
          </w:p>
        </w:tc>
        <w:tc>
          <w:tcPr>
            <w:tcW w:w="7587" w:type="dxa"/>
            <w:tcBorders>
              <w:top w:val="nil"/>
              <w:left w:val="nil"/>
              <w:bottom w:val="nil"/>
              <w:right w:val="nil"/>
            </w:tcBorders>
          </w:tcPr>
          <w:p w14:paraId="2B170B74" w14:textId="77777777" w:rsidR="00F62045" w:rsidRDefault="00F62045" w:rsidP="00A36278">
            <w:pPr>
              <w:pStyle w:val="Tabletext"/>
            </w:pPr>
            <w:r>
              <w:t>Section 2: Contact</w:t>
            </w:r>
          </w:p>
          <w:p w14:paraId="7CF5FA12" w14:textId="77777777" w:rsidR="00F62045" w:rsidRDefault="00F62045" w:rsidP="00A36278">
            <w:pPr>
              <w:pStyle w:val="Tabletext"/>
            </w:pPr>
            <w:r>
              <w:t>Section 3: Contact end date/time</w:t>
            </w:r>
          </w:p>
          <w:p w14:paraId="30F02567" w14:textId="35D62F6D" w:rsidR="00F62045" w:rsidRDefault="00F62045" w:rsidP="00A36278">
            <w:pPr>
              <w:pStyle w:val="Tabletext"/>
            </w:pPr>
            <w:r>
              <w:t>Section 3: Contact start date/time</w:t>
            </w:r>
          </w:p>
        </w:tc>
      </w:tr>
    </w:tbl>
    <w:p w14:paraId="63FA8AAB" w14:textId="77777777" w:rsidR="0091306F" w:rsidRDefault="0091306F" w:rsidP="0091306F">
      <w:pPr>
        <w:pStyle w:val="Heading2"/>
      </w:pPr>
      <w:bookmarkStart w:id="99" w:name="_Toc101788786"/>
      <w:r>
        <w:t>Group session count</w:t>
      </w:r>
      <w:bookmarkEnd w:id="97"/>
      <w:bookmarkEnd w:id="98"/>
      <w:bookmarkEnd w:id="99"/>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5"/>
        <w:gridCol w:w="7303"/>
      </w:tblGrid>
      <w:tr w:rsidR="0091306F" w14:paraId="40A2104B" w14:textId="77777777" w:rsidTr="0091306F">
        <w:tc>
          <w:tcPr>
            <w:tcW w:w="1985" w:type="dxa"/>
          </w:tcPr>
          <w:p w14:paraId="1DA6A901" w14:textId="77777777" w:rsidR="0091306F" w:rsidRPr="00033B0A" w:rsidRDefault="0091306F" w:rsidP="0091306F">
            <w:pPr>
              <w:pStyle w:val="Body"/>
              <w:rPr>
                <w:rStyle w:val="Strong"/>
              </w:rPr>
            </w:pPr>
            <w:bookmarkStart w:id="100" w:name="_Hlk33604634"/>
            <w:r w:rsidRPr="00033B0A">
              <w:rPr>
                <w:rStyle w:val="Strong"/>
              </w:rPr>
              <w:t>Definition</w:t>
            </w:r>
          </w:p>
        </w:tc>
        <w:tc>
          <w:tcPr>
            <w:tcW w:w="7303" w:type="dxa"/>
          </w:tcPr>
          <w:p w14:paraId="3F70F3EC" w14:textId="0DD7153E" w:rsidR="0091306F" w:rsidRDefault="0091306F" w:rsidP="00EB60C1">
            <w:pPr>
              <w:pStyle w:val="Tabletext"/>
            </w:pPr>
            <w:r>
              <w:t xml:space="preserve">The </w:t>
            </w:r>
            <w:r w:rsidRPr="001B4388">
              <w:t xml:space="preserve">number of group sessions delivered by an </w:t>
            </w:r>
            <w:r w:rsidRPr="006B24DE">
              <w:t>organisation</w:t>
            </w:r>
            <w:r w:rsidRPr="001B4388">
              <w:t xml:space="preserve"> within a given time period</w:t>
            </w:r>
            <w:r w:rsidR="00AD5B82">
              <w:t>.</w:t>
            </w:r>
          </w:p>
          <w:p w14:paraId="1DAE3E8B" w14:textId="0D924515" w:rsidR="00A36278" w:rsidRDefault="00A36278" w:rsidP="00EB60C1">
            <w:pPr>
              <w:pStyle w:val="Tabletext"/>
            </w:pPr>
          </w:p>
        </w:tc>
      </w:tr>
      <w:tr w:rsidR="0091306F" w14:paraId="316D9F15" w14:textId="77777777" w:rsidTr="0091306F">
        <w:tc>
          <w:tcPr>
            <w:tcW w:w="1985" w:type="dxa"/>
          </w:tcPr>
          <w:p w14:paraId="2457F71F" w14:textId="77777777" w:rsidR="0091306F" w:rsidRPr="00033B0A" w:rsidRDefault="0091306F" w:rsidP="0091306F">
            <w:pPr>
              <w:pStyle w:val="Body"/>
              <w:rPr>
                <w:rStyle w:val="Strong"/>
              </w:rPr>
            </w:pPr>
            <w:r w:rsidRPr="00033B0A">
              <w:rPr>
                <w:rStyle w:val="Strong"/>
              </w:rPr>
              <w:lastRenderedPageBreak/>
              <w:t>Guide for use</w:t>
            </w:r>
          </w:p>
        </w:tc>
        <w:tc>
          <w:tcPr>
            <w:tcW w:w="7303" w:type="dxa"/>
          </w:tcPr>
          <w:p w14:paraId="5DB02CFD" w14:textId="77777777" w:rsidR="0091306F" w:rsidRDefault="0091306F" w:rsidP="00EB60C1">
            <w:pPr>
              <w:pStyle w:val="Tabletext"/>
            </w:pPr>
            <w:r>
              <w:t>For reporting purposes for some program areas, counts of group sessions will be aggregated as described below.</w:t>
            </w:r>
          </w:p>
          <w:p w14:paraId="4ABABFC0" w14:textId="6AD33B7C" w:rsidR="0091306F" w:rsidRDefault="0091306F" w:rsidP="00EB60C1">
            <w:pPr>
              <w:pStyle w:val="Tabletext"/>
            </w:pPr>
            <w:r>
              <w:t xml:space="preserve">A count of one group session will be made for all </w:t>
            </w:r>
            <w:r w:rsidR="00AD5B82">
              <w:t>c</w:t>
            </w:r>
            <w:r>
              <w:t>ontacts/</w:t>
            </w:r>
            <w:r w:rsidR="00AD5B82">
              <w:t>c</w:t>
            </w:r>
            <w:r>
              <w:t xml:space="preserve">lient </w:t>
            </w:r>
            <w:r w:rsidR="00AD5B82">
              <w:t>s</w:t>
            </w:r>
            <w:r>
              <w:t xml:space="preserve">ervice </w:t>
            </w:r>
            <w:r w:rsidR="00AD5B82">
              <w:t>e</w:t>
            </w:r>
            <w:r>
              <w:t>vents within an organisation where Contact Session Type is “2 – Group” and the following data elements have the same value:</w:t>
            </w:r>
          </w:p>
          <w:p w14:paraId="795AFA6B" w14:textId="50598C14" w:rsidR="0091306F" w:rsidRDefault="0091306F" w:rsidP="00EB60C1">
            <w:pPr>
              <w:pStyle w:val="Tablebullet1"/>
            </w:pPr>
            <w:r>
              <w:t xml:space="preserve">Contact </w:t>
            </w:r>
            <w:r w:rsidR="00A36278">
              <w:t xml:space="preserve">End </w:t>
            </w:r>
            <w:r>
              <w:t>Date/Time</w:t>
            </w:r>
          </w:p>
          <w:p w14:paraId="3245DAA0" w14:textId="165FC990" w:rsidR="0091306F" w:rsidRDefault="0091306F" w:rsidP="00EB60C1">
            <w:pPr>
              <w:pStyle w:val="Tablebullet1"/>
            </w:pPr>
            <w:r>
              <w:t>Contact Professional Group</w:t>
            </w:r>
          </w:p>
          <w:p w14:paraId="3CE0FA6D" w14:textId="73C45B2C" w:rsidR="0091306F" w:rsidRDefault="0091306F" w:rsidP="00EB60C1">
            <w:pPr>
              <w:pStyle w:val="Tablebullet1"/>
            </w:pPr>
            <w:r>
              <w:t>Contact Provider</w:t>
            </w:r>
          </w:p>
          <w:p w14:paraId="77D4A6BA" w14:textId="4EEA9A39" w:rsidR="00A36278" w:rsidRDefault="00A36278" w:rsidP="00EB60C1">
            <w:pPr>
              <w:pStyle w:val="Tablebullet1"/>
            </w:pPr>
            <w:r>
              <w:t>Contact Start Date/Time</w:t>
            </w:r>
          </w:p>
          <w:p w14:paraId="1DF3FA52" w14:textId="77777777" w:rsidR="0091306F" w:rsidRDefault="0091306F" w:rsidP="00EB60C1">
            <w:pPr>
              <w:pStyle w:val="Tablebullet1"/>
            </w:pPr>
            <w:r>
              <w:t>Message Visit Indicator Code.</w:t>
            </w:r>
          </w:p>
          <w:p w14:paraId="33D6E3A5" w14:textId="61EAA03D" w:rsidR="0091306F" w:rsidRDefault="00A206BC" w:rsidP="00EB60C1">
            <w:pPr>
              <w:pStyle w:val="Tabletext"/>
            </w:pPr>
            <w:r>
              <w:t>Therefore,</w:t>
            </w:r>
            <w:r w:rsidR="0091306F">
              <w:t xml:space="preserve"> it is important that if multiple group sessions are being delivered by the same mix of professionals</w:t>
            </w:r>
            <w:r w:rsidR="00AD5B82">
              <w:t>,</w:t>
            </w:r>
            <w:r w:rsidR="0091306F">
              <w:t xml:space="preserve"> at the same provider organisation</w:t>
            </w:r>
            <w:r w:rsidR="00AD5B82">
              <w:t>,</w:t>
            </w:r>
            <w:r w:rsidR="0091306F">
              <w:t xml:space="preserve"> at the same time</w:t>
            </w:r>
            <w:r w:rsidR="00AD5B82">
              <w:t>,</w:t>
            </w:r>
            <w:r w:rsidR="0091306F">
              <w:t xml:space="preserve"> that a minor differentiation be made in the Contact Date/Time (for example: by reporting them 1 second apart).</w:t>
            </w:r>
          </w:p>
          <w:p w14:paraId="55E81233" w14:textId="77777777" w:rsidR="0091306F" w:rsidRDefault="0091306F" w:rsidP="00EB60C1">
            <w:pPr>
              <w:pStyle w:val="Tabletext"/>
            </w:pPr>
            <w:r>
              <w:t>Equally, all patients/clients participating in the same group session must have exactly the same Contact Date/Time reported in order for the correct Group Session Count to be derived.</w:t>
            </w:r>
          </w:p>
          <w:p w14:paraId="16E28115" w14:textId="22EF00A0" w:rsidR="0091306F" w:rsidRDefault="0091306F" w:rsidP="00EB60C1">
            <w:pPr>
              <w:pStyle w:val="Tabletext"/>
            </w:pPr>
            <w:r>
              <w:t>The inclusion of</w:t>
            </w:r>
            <w:r w:rsidR="004A4158">
              <w:t xml:space="preserve"> a</w:t>
            </w:r>
            <w:r>
              <w:t xml:space="preserve"> Message Visit Indicator Code means that all </w:t>
            </w:r>
            <w:r w:rsidR="004A4158">
              <w:t>c</w:t>
            </w:r>
            <w:r>
              <w:t xml:space="preserve">ontacts and </w:t>
            </w:r>
            <w:r w:rsidR="004A4158">
              <w:t>c</w:t>
            </w:r>
            <w:r>
              <w:t xml:space="preserve">lient </w:t>
            </w:r>
            <w:r w:rsidR="004A4158">
              <w:t>s</w:t>
            </w:r>
            <w:r>
              <w:t xml:space="preserve">ervice </w:t>
            </w:r>
            <w:r w:rsidR="004A4158">
              <w:t>e</w:t>
            </w:r>
            <w:r>
              <w:t xml:space="preserve">vents that contribute to a single group session must be reported as either all contacts or all </w:t>
            </w:r>
            <w:r w:rsidR="004A4158">
              <w:t>c</w:t>
            </w:r>
            <w:r>
              <w:t xml:space="preserve">lient </w:t>
            </w:r>
            <w:r w:rsidR="004A4158">
              <w:t>s</w:t>
            </w:r>
            <w:r>
              <w:t xml:space="preserve">ervice </w:t>
            </w:r>
            <w:r w:rsidR="004A4158">
              <w:t>e</w:t>
            </w:r>
            <w:r>
              <w:t>vents, not a mix of the two.</w:t>
            </w:r>
          </w:p>
          <w:p w14:paraId="430EFF86" w14:textId="3294F0B1" w:rsidR="00A36278" w:rsidRPr="006B24DE" w:rsidRDefault="00A36278" w:rsidP="00EB60C1">
            <w:pPr>
              <w:pStyle w:val="Tabletext"/>
            </w:pPr>
          </w:p>
        </w:tc>
      </w:tr>
      <w:tr w:rsidR="0091306F" w14:paraId="62ACBA37" w14:textId="77777777" w:rsidTr="0091306F">
        <w:tc>
          <w:tcPr>
            <w:tcW w:w="1985" w:type="dxa"/>
          </w:tcPr>
          <w:p w14:paraId="557CB594" w14:textId="77777777" w:rsidR="0091306F" w:rsidRPr="00033B0A" w:rsidRDefault="0091306F" w:rsidP="00A36278">
            <w:pPr>
              <w:pStyle w:val="Body"/>
              <w:spacing w:before="80" w:after="60" w:line="240" w:lineRule="auto"/>
              <w:rPr>
                <w:rStyle w:val="Strong"/>
              </w:rPr>
            </w:pPr>
            <w:r w:rsidRPr="00033B0A">
              <w:rPr>
                <w:rStyle w:val="Strong"/>
              </w:rPr>
              <w:t>Refer to</w:t>
            </w:r>
          </w:p>
        </w:tc>
        <w:tc>
          <w:tcPr>
            <w:tcW w:w="7303" w:type="dxa"/>
          </w:tcPr>
          <w:p w14:paraId="2C4EDD83" w14:textId="77777777" w:rsidR="0091306F" w:rsidRDefault="0091306F" w:rsidP="00A36278">
            <w:pPr>
              <w:pStyle w:val="Tabletext"/>
            </w:pPr>
            <w:r>
              <w:t>Section 2: Client service event (concept definition)</w:t>
            </w:r>
          </w:p>
          <w:p w14:paraId="6894AFE5" w14:textId="77777777" w:rsidR="0091306F" w:rsidRDefault="0091306F" w:rsidP="00A36278">
            <w:pPr>
              <w:pStyle w:val="Tabletext"/>
            </w:pPr>
            <w:r>
              <w:t>Section 2: Contact</w:t>
            </w:r>
          </w:p>
          <w:p w14:paraId="2B2CE512" w14:textId="77777777" w:rsidR="0091306F" w:rsidRDefault="0091306F" w:rsidP="00A36278">
            <w:pPr>
              <w:pStyle w:val="Tabletext"/>
            </w:pPr>
            <w:r>
              <w:t>Section 2: Group sessions</w:t>
            </w:r>
          </w:p>
          <w:p w14:paraId="745CA732" w14:textId="7F11ACB5" w:rsidR="0091306F" w:rsidRDefault="0091306F" w:rsidP="00A36278">
            <w:pPr>
              <w:pStyle w:val="Tabletext"/>
            </w:pPr>
            <w:r>
              <w:t xml:space="preserve">Section 3: Contact </w:t>
            </w:r>
            <w:r w:rsidR="00F62045">
              <w:t xml:space="preserve">end </w:t>
            </w:r>
            <w:r>
              <w:t>date/time</w:t>
            </w:r>
          </w:p>
          <w:p w14:paraId="641BAA31" w14:textId="368602D1" w:rsidR="00F62045" w:rsidRDefault="00F62045" w:rsidP="00A36278">
            <w:pPr>
              <w:pStyle w:val="Tabletext"/>
            </w:pPr>
            <w:r>
              <w:t>Section 3: Contact start date/time</w:t>
            </w:r>
          </w:p>
          <w:p w14:paraId="21872A31" w14:textId="77777777" w:rsidR="0091306F" w:rsidRDefault="0091306F" w:rsidP="00A36278">
            <w:pPr>
              <w:pStyle w:val="Tabletext"/>
            </w:pPr>
            <w:r>
              <w:t>Section 3: Contact provider</w:t>
            </w:r>
          </w:p>
          <w:p w14:paraId="596A6B8C" w14:textId="3BBAC022" w:rsidR="000E4BEE" w:rsidRDefault="0091306F" w:rsidP="00A36278">
            <w:pPr>
              <w:pStyle w:val="Tabletext"/>
            </w:pPr>
            <w:r>
              <w:t>Section 3: Message visit indicator code</w:t>
            </w:r>
          </w:p>
        </w:tc>
      </w:tr>
    </w:tbl>
    <w:p w14:paraId="1770C073" w14:textId="77777777" w:rsidR="0091306F" w:rsidRDefault="0091306F" w:rsidP="0091306F">
      <w:pPr>
        <w:pStyle w:val="Heading2"/>
      </w:pPr>
      <w:bookmarkStart w:id="101" w:name="_Toc43198369"/>
      <w:bookmarkStart w:id="102" w:name="_Toc67035588"/>
      <w:bookmarkStart w:id="103" w:name="_Toc101788787"/>
      <w:bookmarkEnd w:id="100"/>
      <w:r>
        <w:t>Service events</w:t>
      </w:r>
      <w:bookmarkEnd w:id="101"/>
      <w:bookmarkEnd w:id="102"/>
      <w:bookmarkEnd w:id="103"/>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5"/>
        <w:gridCol w:w="7303"/>
      </w:tblGrid>
      <w:tr w:rsidR="0091306F" w14:paraId="042939F1" w14:textId="77777777" w:rsidTr="0091306F">
        <w:tc>
          <w:tcPr>
            <w:tcW w:w="1985" w:type="dxa"/>
          </w:tcPr>
          <w:p w14:paraId="5B93C7E7" w14:textId="77777777" w:rsidR="0091306F" w:rsidRPr="00A36278" w:rsidRDefault="0091306F" w:rsidP="0091306F">
            <w:pPr>
              <w:pStyle w:val="Body"/>
              <w:rPr>
                <w:rStyle w:val="Strong"/>
              </w:rPr>
            </w:pPr>
            <w:r w:rsidRPr="00A36278">
              <w:rPr>
                <w:rStyle w:val="Strong"/>
              </w:rPr>
              <w:t>Definition</w:t>
            </w:r>
          </w:p>
        </w:tc>
        <w:tc>
          <w:tcPr>
            <w:tcW w:w="7303" w:type="dxa"/>
          </w:tcPr>
          <w:p w14:paraId="4F68D7BC" w14:textId="2090CC4F" w:rsidR="00A36278" w:rsidRDefault="0091306F" w:rsidP="00EB60C1">
            <w:pPr>
              <w:pStyle w:val="Tabletext"/>
            </w:pPr>
            <w:r w:rsidRPr="005B604E">
              <w:t xml:space="preserve">A </w:t>
            </w:r>
            <w:r w:rsidR="004A4158">
              <w:t>c</w:t>
            </w:r>
            <w:r w:rsidRPr="005B604E">
              <w:t xml:space="preserve">ontact or series of </w:t>
            </w:r>
            <w:r w:rsidR="004A4158">
              <w:t>c</w:t>
            </w:r>
            <w:r w:rsidRPr="005B604E">
              <w:t>ontacts, between a patient/client or other person in scope, and a professional associated with a program reporting via the VINAH MDS, that is intended to be unbroken in time, and that result in a dated entry being made in the patient/client record</w:t>
            </w:r>
            <w:r w:rsidR="004A4158">
              <w:t>.</w:t>
            </w:r>
          </w:p>
        </w:tc>
      </w:tr>
      <w:tr w:rsidR="0091306F" w14:paraId="77609E1B" w14:textId="77777777" w:rsidTr="0091306F">
        <w:tc>
          <w:tcPr>
            <w:tcW w:w="1985" w:type="dxa"/>
          </w:tcPr>
          <w:p w14:paraId="3CA08295" w14:textId="5221C646" w:rsidR="0091306F" w:rsidRPr="00A36278" w:rsidRDefault="0091306F" w:rsidP="0091306F">
            <w:pPr>
              <w:pStyle w:val="Body"/>
              <w:rPr>
                <w:rStyle w:val="Strong"/>
              </w:rPr>
            </w:pPr>
            <w:r w:rsidRPr="00A36278">
              <w:rPr>
                <w:rStyle w:val="Strong"/>
              </w:rPr>
              <w:t>Guide for use</w:t>
            </w:r>
          </w:p>
        </w:tc>
        <w:tc>
          <w:tcPr>
            <w:tcW w:w="7303" w:type="dxa"/>
          </w:tcPr>
          <w:p w14:paraId="74BE5229" w14:textId="46695FA1" w:rsidR="0091306F" w:rsidRDefault="00C17A11" w:rsidP="00EB60C1">
            <w:pPr>
              <w:pStyle w:val="Tabletext"/>
            </w:pPr>
            <w:r>
              <w:t xml:space="preserve">The </w:t>
            </w:r>
            <w:r w:rsidR="0091306F">
              <w:t xml:space="preserve">VINAH </w:t>
            </w:r>
            <w:r>
              <w:t xml:space="preserve">MDS </w:t>
            </w:r>
            <w:r w:rsidR="0091306F">
              <w:t xml:space="preserve">collects information about services provided to non-admitted patients at the lowest, contact, level. Multiple </w:t>
            </w:r>
            <w:r w:rsidR="004A4158">
              <w:t>c</w:t>
            </w:r>
            <w:r w:rsidR="0091306F">
              <w:t>ontacts for one patient that take place on the same day can be derived into ‘service events’.</w:t>
            </w:r>
          </w:p>
          <w:p w14:paraId="4462EC66" w14:textId="77777777" w:rsidR="0091306F" w:rsidRDefault="0091306F" w:rsidP="00EB60C1">
            <w:pPr>
              <w:pStyle w:val="Tabletext"/>
            </w:pPr>
            <w:r>
              <w:t>Depending on the intended use of the data, the rules used in the derivation of service events may vary.</w:t>
            </w:r>
          </w:p>
          <w:p w14:paraId="2213E87D" w14:textId="2F24CD11" w:rsidR="0091306F" w:rsidRDefault="0091306F" w:rsidP="00EB60C1">
            <w:pPr>
              <w:pStyle w:val="Tabletext"/>
            </w:pPr>
            <w:r>
              <w:t xml:space="preserve">For activity-based funding, multiple contacts delivered on the same day may be bundled into one service event. For acute non-admitted services (that is, those reported under the Specialist Clinics </w:t>
            </w:r>
            <w:r w:rsidR="00C73734">
              <w:t xml:space="preserve">(Outpatients) </w:t>
            </w:r>
            <w:r>
              <w:t>program/stream) contacts</w:t>
            </w:r>
            <w:r w:rsidR="00C17A11">
              <w:t xml:space="preserve"> are bundled</w:t>
            </w:r>
            <w:r>
              <w:t xml:space="preserve"> into service events when contacts delivered on the same day meet the following criteria:</w:t>
            </w:r>
          </w:p>
          <w:p w14:paraId="70CAB84F" w14:textId="77777777" w:rsidR="0091306F" w:rsidRDefault="0091306F" w:rsidP="00EB60C1">
            <w:pPr>
              <w:pStyle w:val="Tablebullet1"/>
            </w:pPr>
            <w:r>
              <w:t>Contact Session Type is not equal to ‘3 - Not applicable - Indirect contact’</w:t>
            </w:r>
          </w:p>
          <w:p w14:paraId="2C0D91AE" w14:textId="26E751E1" w:rsidR="0091306F" w:rsidRDefault="0091306F" w:rsidP="00EB60C1">
            <w:pPr>
              <w:pStyle w:val="Tablebullet1"/>
            </w:pPr>
            <w:r>
              <w:lastRenderedPageBreak/>
              <w:t>Contact Client Present Status = ‘10’, ‘11’, ‘12’ or ‘13’ (Patient/Client present)</w:t>
            </w:r>
          </w:p>
          <w:p w14:paraId="1F9A981B" w14:textId="77777777" w:rsidR="0091306F" w:rsidRDefault="0091306F" w:rsidP="00EB60C1">
            <w:pPr>
              <w:pStyle w:val="Tablebullet1"/>
            </w:pPr>
            <w:r>
              <w:t>Contact Delivery Mode is not equal to ‘9 - Not applicable’</w:t>
            </w:r>
          </w:p>
          <w:p w14:paraId="08C9F9C3" w14:textId="77777777" w:rsidR="0091306F" w:rsidRDefault="0091306F" w:rsidP="00EB60C1">
            <w:pPr>
              <w:pStyle w:val="Tablebullet1"/>
            </w:pPr>
            <w:r>
              <w:t>Contact Delivery Setting is not equal to ’13 - Hospital Setting - Emergency Department’</w:t>
            </w:r>
          </w:p>
          <w:p w14:paraId="477F58EC" w14:textId="77777777" w:rsidR="0091306F" w:rsidRDefault="0091306F" w:rsidP="00EB60C1">
            <w:pPr>
              <w:pStyle w:val="Tablebullet1"/>
            </w:pPr>
            <w:r>
              <w:t>Contact Inpatient Flag &lt;&gt; ‘I’ (Inpatient/Admitted)</w:t>
            </w:r>
          </w:p>
          <w:p w14:paraId="7B834094" w14:textId="77777777" w:rsidR="0091306F" w:rsidRDefault="0091306F" w:rsidP="00EB60C1">
            <w:pPr>
              <w:pStyle w:val="Tablebullet1"/>
            </w:pPr>
            <w:r>
              <w:t>The following data elements for all contacts have the same value:</w:t>
            </w:r>
          </w:p>
          <w:p w14:paraId="75516EB7" w14:textId="77777777" w:rsidR="0091306F" w:rsidRDefault="0091306F" w:rsidP="004A4158">
            <w:pPr>
              <w:pStyle w:val="Tablebullet2"/>
              <w:numPr>
                <w:ilvl w:val="0"/>
                <w:numId w:val="22"/>
              </w:numPr>
            </w:pPr>
            <w:r>
              <w:t>Contact Account Class (changes between ‘Public’ (‘MP’), ‘Self-funded’ (‘PO’, ‘PS’) or ‘Compensable’/’Ineligible’ (‘CL’, ‘OO’, ‘XX’) values in multiple contacts will not trigger a new Service Event)</w:t>
            </w:r>
          </w:p>
          <w:p w14:paraId="5011538C" w14:textId="77777777" w:rsidR="0091306F" w:rsidRDefault="0091306F" w:rsidP="004A4158">
            <w:pPr>
              <w:pStyle w:val="Tablebullet2"/>
              <w:numPr>
                <w:ilvl w:val="0"/>
                <w:numId w:val="22"/>
              </w:numPr>
            </w:pPr>
            <w:r>
              <w:t>Patient Identifier</w:t>
            </w:r>
          </w:p>
          <w:p w14:paraId="43BEFF72" w14:textId="77777777" w:rsidR="0091306F" w:rsidRDefault="0091306F" w:rsidP="004A4158">
            <w:pPr>
              <w:pStyle w:val="Tablebullet2"/>
              <w:numPr>
                <w:ilvl w:val="0"/>
                <w:numId w:val="22"/>
              </w:numPr>
            </w:pPr>
            <w:r>
              <w:t>Organisation Identifier</w:t>
            </w:r>
          </w:p>
          <w:p w14:paraId="115A8D3C" w14:textId="77777777" w:rsidR="0091306F" w:rsidRDefault="0091306F" w:rsidP="004A4158">
            <w:pPr>
              <w:pStyle w:val="Tablebullet2"/>
              <w:numPr>
                <w:ilvl w:val="0"/>
                <w:numId w:val="22"/>
              </w:numPr>
            </w:pPr>
            <w:r>
              <w:t>Contact Clinic Identifier (Program/Stream ‘OP’ only)</w:t>
            </w:r>
          </w:p>
          <w:p w14:paraId="59E901F3" w14:textId="77777777" w:rsidR="0091306F" w:rsidRDefault="0091306F" w:rsidP="004A4158">
            <w:pPr>
              <w:pStyle w:val="Tablebullet2"/>
              <w:numPr>
                <w:ilvl w:val="0"/>
                <w:numId w:val="22"/>
              </w:numPr>
            </w:pPr>
            <w:r>
              <w:t>Contact Date</w:t>
            </w:r>
          </w:p>
          <w:p w14:paraId="5AFCA83C" w14:textId="77777777" w:rsidR="0091306F" w:rsidRDefault="0091306F" w:rsidP="004A4158">
            <w:pPr>
              <w:pStyle w:val="Tablebullet2"/>
              <w:numPr>
                <w:ilvl w:val="0"/>
                <w:numId w:val="22"/>
              </w:numPr>
            </w:pPr>
            <w:r>
              <w:t>Contact Delivery Mode</w:t>
            </w:r>
          </w:p>
          <w:p w14:paraId="29CEE149" w14:textId="77777777" w:rsidR="0091306F" w:rsidRDefault="0091306F" w:rsidP="004A4158">
            <w:pPr>
              <w:pStyle w:val="Tablebullet2"/>
              <w:numPr>
                <w:ilvl w:val="0"/>
                <w:numId w:val="22"/>
              </w:numPr>
            </w:pPr>
            <w:r>
              <w:t>Contact Delivery Setting</w:t>
            </w:r>
          </w:p>
          <w:p w14:paraId="00A57F0C" w14:textId="77777777" w:rsidR="0091306F" w:rsidRDefault="0091306F" w:rsidP="004A4158">
            <w:pPr>
              <w:pStyle w:val="Tablebullet2"/>
              <w:numPr>
                <w:ilvl w:val="0"/>
                <w:numId w:val="22"/>
              </w:numPr>
            </w:pPr>
            <w:r>
              <w:t>Contact Indigenous Status</w:t>
            </w:r>
          </w:p>
          <w:p w14:paraId="68079472" w14:textId="77777777" w:rsidR="0091306F" w:rsidRDefault="0091306F" w:rsidP="004A4158">
            <w:pPr>
              <w:pStyle w:val="Tablebullet2"/>
              <w:numPr>
                <w:ilvl w:val="0"/>
                <w:numId w:val="22"/>
              </w:numPr>
            </w:pPr>
            <w:r>
              <w:t>Contact Session Type (‘1’ and ‘4’ both indicate individual sessions)</w:t>
            </w:r>
          </w:p>
          <w:p w14:paraId="05D6D640" w14:textId="77777777" w:rsidR="0091306F" w:rsidRDefault="0091306F" w:rsidP="004A4158">
            <w:pPr>
              <w:pStyle w:val="Tablebullet2"/>
              <w:numPr>
                <w:ilvl w:val="0"/>
                <w:numId w:val="22"/>
              </w:numPr>
            </w:pPr>
            <w:r>
              <w:t>Episode Campus Code</w:t>
            </w:r>
          </w:p>
          <w:p w14:paraId="1DE6055B" w14:textId="77777777" w:rsidR="0091306F" w:rsidRDefault="0091306F" w:rsidP="004A4158">
            <w:pPr>
              <w:pStyle w:val="Tablebullet2"/>
              <w:numPr>
                <w:ilvl w:val="0"/>
                <w:numId w:val="22"/>
              </w:numPr>
            </w:pPr>
            <w:r>
              <w:t>Episode Identifier</w:t>
            </w:r>
          </w:p>
          <w:p w14:paraId="1C683F10" w14:textId="77777777" w:rsidR="0091306F" w:rsidRDefault="0091306F" w:rsidP="004A4158">
            <w:pPr>
              <w:pStyle w:val="Tablebullet2"/>
              <w:numPr>
                <w:ilvl w:val="0"/>
                <w:numId w:val="22"/>
              </w:numPr>
            </w:pPr>
            <w:r>
              <w:t>Episode Program/Stream</w:t>
            </w:r>
          </w:p>
          <w:p w14:paraId="3FA08C9B" w14:textId="6CE8E199" w:rsidR="00471D5B" w:rsidRDefault="0091306F" w:rsidP="00EB60C1">
            <w:pPr>
              <w:pStyle w:val="Tabletext"/>
            </w:pPr>
            <w:r>
              <w:t xml:space="preserve">For other purposes, such as reporting of the </w:t>
            </w:r>
            <w:r w:rsidR="00800424">
              <w:t>Non-admitted Patient</w:t>
            </w:r>
            <w:r>
              <w:t xml:space="preserve"> N</w:t>
            </w:r>
            <w:r w:rsidR="00800424">
              <w:t>BED</w:t>
            </w:r>
            <w:r>
              <w:t xml:space="preserve">S, the derivation may vary according to the specifications of the dataset. If further detail is required, contact the </w:t>
            </w:r>
            <w:hyperlink r:id="rId31" w:history="1">
              <w:r w:rsidRPr="00834BBE">
                <w:rPr>
                  <w:rStyle w:val="Hyperlink"/>
                </w:rPr>
                <w:t>HDSS Helpdesk</w:t>
              </w:r>
            </w:hyperlink>
            <w:r>
              <w:t xml:space="preserve"> the &lt;HDSS.Helpdesk@</w:t>
            </w:r>
            <w:r w:rsidR="002A1684">
              <w:t>health</w:t>
            </w:r>
            <w:r>
              <w:t>.vic.gov.au&gt;.</w:t>
            </w:r>
          </w:p>
          <w:p w14:paraId="66481BD5" w14:textId="49A02327" w:rsidR="00471D5B" w:rsidRPr="006B24DE" w:rsidRDefault="00471D5B" w:rsidP="00EB60C1">
            <w:pPr>
              <w:pStyle w:val="Tabletext"/>
            </w:pPr>
          </w:p>
        </w:tc>
      </w:tr>
      <w:tr w:rsidR="0091306F" w14:paraId="4CF1C1FE" w14:textId="77777777" w:rsidTr="0091306F">
        <w:tc>
          <w:tcPr>
            <w:tcW w:w="1985" w:type="dxa"/>
          </w:tcPr>
          <w:p w14:paraId="509E68F2" w14:textId="39815EEC" w:rsidR="0091306F" w:rsidRPr="00A36278" w:rsidRDefault="00471D5B" w:rsidP="00A36278">
            <w:pPr>
              <w:pStyle w:val="DHHSbodynospace"/>
              <w:spacing w:before="80" w:after="60" w:line="240" w:lineRule="auto"/>
              <w:rPr>
                <w:rStyle w:val="Strong"/>
              </w:rPr>
            </w:pPr>
            <w:r w:rsidRPr="00A36278">
              <w:rPr>
                <w:rStyle w:val="Strong"/>
              </w:rPr>
              <w:lastRenderedPageBreak/>
              <w:t>Refer to</w:t>
            </w:r>
          </w:p>
        </w:tc>
        <w:tc>
          <w:tcPr>
            <w:tcW w:w="7303" w:type="dxa"/>
          </w:tcPr>
          <w:p w14:paraId="682CDE8F" w14:textId="77777777" w:rsidR="0091306F" w:rsidRDefault="0091306F" w:rsidP="00A36278">
            <w:pPr>
              <w:pStyle w:val="Tabletext"/>
            </w:pPr>
            <w:r>
              <w:t>METeOR Identifier 583996 Non-admitted patient service event</w:t>
            </w:r>
          </w:p>
          <w:p w14:paraId="1C62FB34" w14:textId="77777777" w:rsidR="0091306F" w:rsidRDefault="0091306F" w:rsidP="00A36278">
            <w:pPr>
              <w:pStyle w:val="Tabletext"/>
            </w:pPr>
            <w:r>
              <w:t>Section 2: Contact</w:t>
            </w:r>
          </w:p>
          <w:p w14:paraId="1C4BB8E8" w14:textId="77777777" w:rsidR="0091306F" w:rsidRDefault="0091306F" w:rsidP="00A36278">
            <w:pPr>
              <w:pStyle w:val="Tabletext"/>
            </w:pPr>
            <w:r>
              <w:t xml:space="preserve">Section 3: Contact account class </w:t>
            </w:r>
          </w:p>
          <w:p w14:paraId="20016CE8" w14:textId="77777777" w:rsidR="0091306F" w:rsidRDefault="0091306F" w:rsidP="00A36278">
            <w:pPr>
              <w:pStyle w:val="Tabletext"/>
            </w:pPr>
            <w:r>
              <w:t>Section 3: Contact date/time</w:t>
            </w:r>
          </w:p>
          <w:p w14:paraId="71BBC4D7" w14:textId="77777777" w:rsidR="0091306F" w:rsidRDefault="0091306F" w:rsidP="00A36278">
            <w:pPr>
              <w:pStyle w:val="Tabletext"/>
            </w:pPr>
            <w:r>
              <w:t>Section 3: Contact delivery mode</w:t>
            </w:r>
          </w:p>
          <w:p w14:paraId="4B7B4DA9" w14:textId="77777777" w:rsidR="0091306F" w:rsidRDefault="0091306F" w:rsidP="00A36278">
            <w:pPr>
              <w:pStyle w:val="Tabletext"/>
            </w:pPr>
            <w:r>
              <w:t>Section 3: Contact delivery setting</w:t>
            </w:r>
          </w:p>
          <w:p w14:paraId="545F396A" w14:textId="77777777" w:rsidR="0091306F" w:rsidRDefault="0091306F" w:rsidP="00A36278">
            <w:pPr>
              <w:pStyle w:val="Tabletext"/>
            </w:pPr>
            <w:r>
              <w:t>Section 3: Contact provider</w:t>
            </w:r>
          </w:p>
          <w:p w14:paraId="642A7C5C" w14:textId="0627361C" w:rsidR="003216AE" w:rsidRDefault="0091306F" w:rsidP="00A36278">
            <w:pPr>
              <w:pStyle w:val="Tabletext"/>
              <w:tabs>
                <w:tab w:val="left" w:pos="4030"/>
              </w:tabs>
            </w:pPr>
            <w:r>
              <w:t>Section 3: Contact session type</w:t>
            </w:r>
          </w:p>
        </w:tc>
      </w:tr>
    </w:tbl>
    <w:p w14:paraId="6818620F" w14:textId="2FF7338C" w:rsidR="002770C5" w:rsidRDefault="002770C5">
      <w:pPr>
        <w:spacing w:after="0" w:line="240" w:lineRule="auto"/>
        <w:rPr>
          <w:sz w:val="16"/>
          <w:szCs w:val="16"/>
        </w:rPr>
      </w:pPr>
    </w:p>
    <w:p w14:paraId="21B2E93A" w14:textId="77777777" w:rsidR="002770C5" w:rsidRDefault="002770C5" w:rsidP="002770C5">
      <w:pPr>
        <w:pStyle w:val="Heading1"/>
        <w:sectPr w:rsidR="002770C5" w:rsidSect="002C5B7C">
          <w:headerReference w:type="even" r:id="rId32"/>
          <w:headerReference w:type="default" r:id="rId33"/>
          <w:footerReference w:type="even" r:id="rId34"/>
          <w:footerReference w:type="default" r:id="rId35"/>
          <w:pgSz w:w="11906" w:h="16838" w:code="9"/>
          <w:pgMar w:top="1701" w:right="1304" w:bottom="1418" w:left="1304" w:header="680" w:footer="851" w:gutter="0"/>
          <w:cols w:space="340"/>
          <w:docGrid w:linePitch="360"/>
        </w:sectPr>
      </w:pPr>
      <w:bookmarkStart w:id="104" w:name="_Toc43198370"/>
    </w:p>
    <w:p w14:paraId="2EF6E54D" w14:textId="4C02C7AC" w:rsidR="002770C5" w:rsidRDefault="002770C5" w:rsidP="002770C5">
      <w:pPr>
        <w:pStyle w:val="Heading1"/>
      </w:pPr>
      <w:bookmarkStart w:id="105" w:name="_Toc101788788"/>
      <w:r>
        <w:lastRenderedPageBreak/>
        <w:t>Generic process diagrams</w:t>
      </w:r>
      <w:bookmarkEnd w:id="104"/>
      <w:bookmarkEnd w:id="105"/>
    </w:p>
    <w:p w14:paraId="50C777F7" w14:textId="77777777" w:rsidR="002770C5" w:rsidRDefault="002770C5" w:rsidP="002770C5">
      <w:pPr>
        <w:pStyle w:val="Heading2"/>
        <w:rPr>
          <w:noProof/>
        </w:rPr>
      </w:pPr>
      <w:bookmarkStart w:id="106" w:name="_Toc43198371"/>
      <w:bookmarkStart w:id="107" w:name="_Toc101788789"/>
      <w:r>
        <w:t>Generic process (concepts only): One Episode per Case</w:t>
      </w:r>
      <w:bookmarkEnd w:id="106"/>
      <w:bookmarkEnd w:id="107"/>
      <w:r w:rsidRPr="00416C55">
        <w:rPr>
          <w:noProof/>
        </w:rPr>
        <w:t xml:space="preserve"> </w:t>
      </w:r>
    </w:p>
    <w:p w14:paraId="0F521307" w14:textId="1F39A17D" w:rsidR="002770C5" w:rsidRDefault="002770C5" w:rsidP="002770C5">
      <w:pPr>
        <w:pStyle w:val="DHHSbody"/>
        <w:rPr>
          <w:noProof/>
          <w:lang w:eastAsia="en-AU"/>
        </w:rPr>
      </w:pPr>
    </w:p>
    <w:p w14:paraId="00F4EC1E" w14:textId="6E8BF394" w:rsidR="002770C5" w:rsidRDefault="002770C5" w:rsidP="002770C5">
      <w:pPr>
        <w:pStyle w:val="DHHSbody"/>
        <w:rPr>
          <w:noProof/>
          <w:lang w:eastAsia="en-AU"/>
        </w:rPr>
      </w:pPr>
      <w:r>
        <w:rPr>
          <w:noProof/>
          <w:lang w:eastAsia="en-AU"/>
        </w:rPr>
        <w:drawing>
          <wp:inline distT="0" distB="0" distL="0" distR="0" wp14:anchorId="0A0C6EFA" wp14:editId="3F3D040E">
            <wp:extent cx="8711565" cy="3913143"/>
            <wp:effectExtent l="0" t="0" r="0" b="0"/>
            <wp:docPr id="21" name="Picture 21" descr="One episode per case as outlined in above se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6"/>
                    <a:stretch>
                      <a:fillRect/>
                    </a:stretch>
                  </pic:blipFill>
                  <pic:spPr>
                    <a:xfrm>
                      <a:off x="0" y="0"/>
                      <a:ext cx="8711565" cy="3913143"/>
                    </a:xfrm>
                    <a:prstGeom prst="rect">
                      <a:avLst/>
                    </a:prstGeom>
                  </pic:spPr>
                </pic:pic>
              </a:graphicData>
            </a:graphic>
          </wp:inline>
        </w:drawing>
      </w:r>
    </w:p>
    <w:p w14:paraId="78EF1166" w14:textId="067B7450" w:rsidR="002770C5" w:rsidRDefault="002770C5" w:rsidP="002770C5">
      <w:pPr>
        <w:pStyle w:val="DHHSbody"/>
        <w:rPr>
          <w:noProof/>
          <w:lang w:eastAsia="en-AU"/>
        </w:rPr>
      </w:pPr>
    </w:p>
    <w:p w14:paraId="4929D716" w14:textId="652D3F68" w:rsidR="002770C5" w:rsidRDefault="002770C5" w:rsidP="002770C5">
      <w:pPr>
        <w:pStyle w:val="DHHSbody"/>
        <w:rPr>
          <w:noProof/>
          <w:lang w:eastAsia="en-AU"/>
        </w:rPr>
      </w:pPr>
    </w:p>
    <w:p w14:paraId="4567652D" w14:textId="3AC8AC16" w:rsidR="002770C5" w:rsidRDefault="002770C5" w:rsidP="00471D5B">
      <w:pPr>
        <w:pStyle w:val="Heading2"/>
      </w:pPr>
      <w:bookmarkStart w:id="108" w:name="_Toc43198372"/>
      <w:bookmarkStart w:id="109" w:name="_Toc101788790"/>
      <w:r>
        <w:lastRenderedPageBreak/>
        <w:t>Generic process (concepts and data elements): One Episode per Case</w:t>
      </w:r>
      <w:bookmarkEnd w:id="108"/>
      <w:bookmarkEnd w:id="109"/>
    </w:p>
    <w:p w14:paraId="3F7EAC19" w14:textId="799D0854" w:rsidR="00697695" w:rsidRDefault="00697695" w:rsidP="00697695">
      <w:pPr>
        <w:pStyle w:val="Body"/>
      </w:pPr>
    </w:p>
    <w:p w14:paraId="18558923" w14:textId="537CD529" w:rsidR="00697695" w:rsidRPr="00697695" w:rsidRDefault="00697695" w:rsidP="00697695">
      <w:pPr>
        <w:pStyle w:val="Body"/>
      </w:pPr>
      <w:r w:rsidRPr="00491924">
        <w:rPr>
          <w:noProof/>
          <w:lang w:eastAsia="en-AU"/>
        </w:rPr>
        <w:drawing>
          <wp:inline distT="0" distB="0" distL="0" distR="0" wp14:anchorId="770A5B9C" wp14:editId="63696814">
            <wp:extent cx="8503802" cy="5175885"/>
            <wp:effectExtent l="0" t="0" r="0" b="5715"/>
            <wp:docPr id="39" name="Picture 39" descr="One episode per case as outlined in the concepts section of this document and section 3 of the VINAH manu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8509829" cy="5179554"/>
                    </a:xfrm>
                    <a:prstGeom prst="rect">
                      <a:avLst/>
                    </a:prstGeom>
                    <a:noFill/>
                    <a:ln>
                      <a:noFill/>
                    </a:ln>
                  </pic:spPr>
                </pic:pic>
              </a:graphicData>
            </a:graphic>
          </wp:inline>
        </w:drawing>
      </w:r>
    </w:p>
    <w:p w14:paraId="0E59A25C" w14:textId="77777777" w:rsidR="002770C5" w:rsidRDefault="002770C5" w:rsidP="002770C5">
      <w:pPr>
        <w:pStyle w:val="Heading2"/>
      </w:pPr>
      <w:bookmarkStart w:id="110" w:name="_Toc43198373"/>
      <w:bookmarkStart w:id="111" w:name="_Toc101788791"/>
      <w:r>
        <w:lastRenderedPageBreak/>
        <w:t>Generic process (concepts only): Two episodes per case</w:t>
      </w:r>
      <w:bookmarkEnd w:id="110"/>
      <w:bookmarkEnd w:id="111"/>
    </w:p>
    <w:p w14:paraId="1FB6557A" w14:textId="77777777" w:rsidR="002770C5" w:rsidRDefault="002770C5" w:rsidP="002770C5">
      <w:pPr>
        <w:pStyle w:val="DHHSbody"/>
      </w:pPr>
      <w:r w:rsidRPr="00491924">
        <w:rPr>
          <w:noProof/>
          <w:lang w:eastAsia="en-AU"/>
        </w:rPr>
        <w:drawing>
          <wp:inline distT="0" distB="0" distL="0" distR="0" wp14:anchorId="30F9E9AF" wp14:editId="7E86B989">
            <wp:extent cx="8891905" cy="2924175"/>
            <wp:effectExtent l="0" t="0" r="4445" b="0"/>
            <wp:docPr id="8" name="Picture 8" descr="Concepts for two episodes per case as outlined in concepts section of this docum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8891905" cy="2924175"/>
                    </a:xfrm>
                    <a:prstGeom prst="rect">
                      <a:avLst/>
                    </a:prstGeom>
                    <a:noFill/>
                    <a:ln>
                      <a:noFill/>
                    </a:ln>
                  </pic:spPr>
                </pic:pic>
              </a:graphicData>
            </a:graphic>
          </wp:inline>
        </w:drawing>
      </w:r>
    </w:p>
    <w:p w14:paraId="067905A8" w14:textId="77777777" w:rsidR="004A4158" w:rsidRDefault="004A4158">
      <w:pPr>
        <w:spacing w:after="0" w:line="240" w:lineRule="auto"/>
        <w:rPr>
          <w:sz w:val="16"/>
          <w:szCs w:val="16"/>
        </w:rPr>
      </w:pPr>
    </w:p>
    <w:p w14:paraId="0545031B" w14:textId="7EE73213" w:rsidR="002770C5" w:rsidRDefault="002770C5">
      <w:pPr>
        <w:spacing w:after="0" w:line="240" w:lineRule="auto"/>
        <w:rPr>
          <w:sz w:val="16"/>
          <w:szCs w:val="16"/>
        </w:rPr>
      </w:pPr>
      <w:r>
        <w:rPr>
          <w:sz w:val="16"/>
          <w:szCs w:val="16"/>
        </w:rPr>
        <w:br w:type="page"/>
      </w:r>
    </w:p>
    <w:p w14:paraId="3712D819" w14:textId="77777777" w:rsidR="002770C5" w:rsidRDefault="002770C5">
      <w:pPr>
        <w:spacing w:after="0" w:line="240" w:lineRule="auto"/>
        <w:rPr>
          <w:sz w:val="16"/>
          <w:szCs w:val="16"/>
        </w:rPr>
      </w:pPr>
    </w:p>
    <w:p w14:paraId="0280EE3D" w14:textId="4C87334B" w:rsidR="002770C5" w:rsidRDefault="002770C5" w:rsidP="002770C5">
      <w:pPr>
        <w:pStyle w:val="DHHSbody"/>
      </w:pPr>
      <w:bookmarkStart w:id="112" w:name="_Toc43198374"/>
      <w:bookmarkStart w:id="113" w:name="_Toc101788792"/>
      <w:r w:rsidRPr="005C6A0D">
        <w:rPr>
          <w:rStyle w:val="Heading2Char"/>
        </w:rPr>
        <w:t>Generic process (concepts and data elements): Two episodes per case</w:t>
      </w:r>
      <w:bookmarkEnd w:id="112"/>
      <w:bookmarkEnd w:id="113"/>
    </w:p>
    <w:p w14:paraId="346D1208" w14:textId="1CECF647" w:rsidR="002770C5" w:rsidRDefault="00C05848" w:rsidP="002770C5">
      <w:pPr>
        <w:spacing w:after="0" w:line="240" w:lineRule="auto"/>
      </w:pPr>
      <w:r w:rsidRPr="005C6A0D">
        <w:rPr>
          <w:noProof/>
          <w:lang w:eastAsia="en-AU"/>
        </w:rPr>
        <w:drawing>
          <wp:inline distT="0" distB="0" distL="0" distR="0" wp14:anchorId="4350B8B0" wp14:editId="56A446F4">
            <wp:extent cx="8214188" cy="5372100"/>
            <wp:effectExtent l="0" t="0" r="0" b="0"/>
            <wp:docPr id="41" name="Picture 41" descr="Two episodes per case as outlined in concept section of this document and section 3 of the manual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8229110" cy="5381859"/>
                    </a:xfrm>
                    <a:prstGeom prst="rect">
                      <a:avLst/>
                    </a:prstGeom>
                    <a:noFill/>
                    <a:ln>
                      <a:noFill/>
                    </a:ln>
                  </pic:spPr>
                </pic:pic>
              </a:graphicData>
            </a:graphic>
          </wp:inline>
        </w:drawing>
      </w:r>
      <w:r w:rsidR="002770C5">
        <w:br w:type="page"/>
      </w:r>
    </w:p>
    <w:p w14:paraId="1F800A64" w14:textId="77777777" w:rsidR="00C05848" w:rsidRDefault="00C05848" w:rsidP="00C05848">
      <w:pPr>
        <w:pStyle w:val="Heading2"/>
      </w:pPr>
      <w:bookmarkStart w:id="114" w:name="_Toc43198375"/>
      <w:bookmarkStart w:id="115" w:name="_Toc101788793"/>
      <w:r>
        <w:lastRenderedPageBreak/>
        <w:t>Generic process (concepts): Referral not resulting in an episode</w:t>
      </w:r>
      <w:bookmarkEnd w:id="114"/>
      <w:bookmarkEnd w:id="115"/>
    </w:p>
    <w:p w14:paraId="0E1B6045" w14:textId="77777777" w:rsidR="00C05848" w:rsidRDefault="00C05848" w:rsidP="00C05848">
      <w:pPr>
        <w:pStyle w:val="DHHSbody"/>
      </w:pPr>
      <w:r w:rsidRPr="00316679">
        <w:rPr>
          <w:noProof/>
          <w:lang w:eastAsia="en-AU"/>
        </w:rPr>
        <w:drawing>
          <wp:inline distT="0" distB="0" distL="0" distR="0" wp14:anchorId="05F13BC3" wp14:editId="128E5819">
            <wp:extent cx="8865870" cy="1566545"/>
            <wp:effectExtent l="0" t="0" r="0" b="0"/>
            <wp:docPr id="44" name="Picture 44" descr="Referral process as outlined in concepts section of this docu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8865870" cy="1566545"/>
                    </a:xfrm>
                    <a:prstGeom prst="rect">
                      <a:avLst/>
                    </a:prstGeom>
                    <a:noFill/>
                    <a:ln>
                      <a:noFill/>
                    </a:ln>
                  </pic:spPr>
                </pic:pic>
              </a:graphicData>
            </a:graphic>
          </wp:inline>
        </w:drawing>
      </w:r>
    </w:p>
    <w:p w14:paraId="4B48E48C" w14:textId="77777777" w:rsidR="00C05848" w:rsidRPr="000B63F0" w:rsidRDefault="00C05848" w:rsidP="00C05848">
      <w:pPr>
        <w:pStyle w:val="Heading2"/>
      </w:pPr>
      <w:bookmarkStart w:id="116" w:name="_Toc43198376"/>
      <w:bookmarkStart w:id="117" w:name="_Toc101788794"/>
      <w:r>
        <w:t>Generic process (contacts and data elements): Referral not resulting in an episode</w:t>
      </w:r>
      <w:bookmarkEnd w:id="116"/>
      <w:bookmarkEnd w:id="117"/>
    </w:p>
    <w:p w14:paraId="4674B284" w14:textId="77777777" w:rsidR="00C05848" w:rsidRPr="00491924" w:rsidRDefault="00C05848" w:rsidP="00C05848">
      <w:pPr>
        <w:pStyle w:val="DHHSbody"/>
      </w:pPr>
      <w:r w:rsidRPr="000B63F0">
        <w:rPr>
          <w:noProof/>
          <w:lang w:eastAsia="en-AU"/>
        </w:rPr>
        <w:drawing>
          <wp:inline distT="0" distB="0" distL="0" distR="0" wp14:anchorId="79D669A8" wp14:editId="20B67E79">
            <wp:extent cx="8865870" cy="3005455"/>
            <wp:effectExtent l="0" t="0" r="0" b="4445"/>
            <wp:docPr id="45" name="Picture 45" descr="Referral process as outlined in concepts section of this document and section 3 of the VINAH manual&#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8865870" cy="3005455"/>
                    </a:xfrm>
                    <a:prstGeom prst="rect">
                      <a:avLst/>
                    </a:prstGeom>
                    <a:noFill/>
                    <a:ln>
                      <a:noFill/>
                    </a:ln>
                  </pic:spPr>
                </pic:pic>
              </a:graphicData>
            </a:graphic>
          </wp:inline>
        </w:drawing>
      </w:r>
    </w:p>
    <w:p w14:paraId="39AD8A28" w14:textId="5199FCC4" w:rsidR="00C05848" w:rsidRDefault="00C05848" w:rsidP="002770C5">
      <w:pPr>
        <w:spacing w:after="0" w:line="240" w:lineRule="auto"/>
      </w:pPr>
    </w:p>
    <w:p w14:paraId="1B82DC0C" w14:textId="77777777" w:rsidR="00C05848" w:rsidRDefault="00C05848" w:rsidP="002770C5">
      <w:pPr>
        <w:spacing w:after="0" w:line="240" w:lineRule="auto"/>
        <w:rPr>
          <w:sz w:val="16"/>
          <w:szCs w:val="16"/>
        </w:rPr>
      </w:pPr>
    </w:p>
    <w:sectPr w:rsidR="00C05848" w:rsidSect="00C05848">
      <w:pgSz w:w="16838" w:h="11906" w:orient="landscape" w:code="9"/>
      <w:pgMar w:top="1304" w:right="1701" w:bottom="1304" w:left="1418"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B45B79" w14:textId="77777777" w:rsidR="009A3D0A" w:rsidRDefault="009A3D0A">
      <w:r>
        <w:separator/>
      </w:r>
    </w:p>
    <w:p w14:paraId="28260B53" w14:textId="77777777" w:rsidR="009A3D0A" w:rsidRDefault="009A3D0A"/>
  </w:endnote>
  <w:endnote w:type="continuationSeparator" w:id="0">
    <w:p w14:paraId="7FCC8847" w14:textId="77777777" w:rsidR="009A3D0A" w:rsidRDefault="009A3D0A">
      <w:r>
        <w:continuationSeparator/>
      </w:r>
    </w:p>
    <w:p w14:paraId="64950301" w14:textId="77777777" w:rsidR="009A3D0A" w:rsidRDefault="009A3D0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auto"/>
    <w:pitch w:val="variable"/>
    <w:sig w:usb0="E00002FF" w:usb1="5000205A" w:usb2="00000000" w:usb3="00000000" w:csb0="0000019F" w:csb1="00000000"/>
  </w:font>
  <w:font w:name="Verdana">
    <w:panose1 w:val="020B0604030504040204"/>
    <w:charset w:val="00"/>
    <w:family w:val="swiss"/>
    <w:pitch w:val="variable"/>
    <w:sig w:usb0="A10006FF" w:usb1="4000205B" w:usb2="00000010" w:usb3="00000000" w:csb0="0000019F" w:csb1="00000000"/>
  </w:font>
  <w:font w:name="Lucida Grande">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altName w:val="Arial"/>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479486" w14:textId="366802BA" w:rsidR="009A3D0A" w:rsidRDefault="009A3D0A">
    <w:pPr>
      <w:pStyle w:val="Footer"/>
    </w:pPr>
    <w:r>
      <w:rPr>
        <w:noProof/>
        <w:lang w:eastAsia="en-AU"/>
      </w:rPr>
      <mc:AlternateContent>
        <mc:Choice Requires="wps">
          <w:drawing>
            <wp:anchor distT="0" distB="0" distL="114300" distR="114300" simplePos="0" relativeHeight="251727357" behindDoc="0" locked="0" layoutInCell="0" allowOverlap="1" wp14:anchorId="4F3D6ED7" wp14:editId="4401BADA">
              <wp:simplePos x="0" y="0"/>
              <wp:positionH relativeFrom="page">
                <wp:align>center</wp:align>
              </wp:positionH>
              <wp:positionV relativeFrom="page">
                <wp:align>bottom</wp:align>
              </wp:positionV>
              <wp:extent cx="7772400" cy="502285"/>
              <wp:effectExtent l="0" t="0" r="0" b="12065"/>
              <wp:wrapNone/>
              <wp:docPr id="47" name="MSIPCM931141308ad2e5ff1a826152" descr="{&quot;HashCode&quot;:904758361,&quot;Height&quot;:9999999.0,&quot;Width&quot;:9999999.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E904033" w14:textId="189D2492" w:rsidR="009A3D0A" w:rsidRPr="007831F9" w:rsidRDefault="007831F9" w:rsidP="007831F9">
                          <w:pPr>
                            <w:spacing w:after="0"/>
                            <w:jc w:val="center"/>
                            <w:rPr>
                              <w:rFonts w:ascii="Arial Black" w:hAnsi="Arial Black"/>
                              <w:color w:val="000000"/>
                              <w:sz w:val="20"/>
                            </w:rPr>
                          </w:pPr>
                          <w:r w:rsidRPr="007831F9">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4F3D6ED7" id="_x0000_t202" coordsize="21600,21600" o:spt="202" path="m,l,21600r21600,l21600,xe">
              <v:stroke joinstyle="miter"/>
              <v:path gradientshapeok="t" o:connecttype="rect"/>
            </v:shapetype>
            <v:shape id="MSIPCM931141308ad2e5ff1a826152" o:spid="_x0000_s1026" type="#_x0000_t202" alt="{&quot;HashCode&quot;:904758361,&quot;Height&quot;:9999999.0,&quot;Width&quot;:9999999.0,&quot;Placement&quot;:&quot;Footer&quot;,&quot;Index&quot;:&quot;OddAndEven&quot;,&quot;Section&quot;:1,&quot;Top&quot;:0.0,&quot;Left&quot;:0.0}" style="position:absolute;left:0;text-align:left;margin-left:0;margin-top:0;width:612pt;height:39.55pt;z-index:251727357;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" o:allowincell="f" filled="f" stroked="f" strokeweight=".5pt">
              <v:textbox inset=",0,,0">
                <w:txbxContent>
                  <w:p w14:paraId="4E904033" w14:textId="189D2492" w:rsidR="009A3D0A" w:rsidRPr="007831F9" w:rsidRDefault="007831F9" w:rsidP="007831F9">
                    <w:pPr>
                      <w:spacing w:after="0"/>
                      <w:jc w:val="center"/>
                      <w:rPr>
                        <w:rFonts w:ascii="Arial Black" w:hAnsi="Arial Black"/>
                        <w:color w:val="000000"/>
                        <w:sz w:val="20"/>
                      </w:rPr>
                    </w:pPr>
                    <w:r w:rsidRPr="007831F9">
                      <w:rPr>
                        <w:rFonts w:ascii="Arial Black" w:hAnsi="Arial Black"/>
                        <w:color w:val="000000"/>
                        <w:sz w:val="20"/>
                      </w:rPr>
                      <w:t>OFFICIAL</w:t>
                    </w:r>
                  </w:p>
                </w:txbxContent>
              </v:textbox>
              <w10:wrap anchorx="page" anchory="page"/>
            </v:shape>
          </w:pict>
        </mc:Fallback>
      </mc:AlternateContent>
    </w:r>
    <w:r>
      <w:rPr>
        <w:noProof/>
        <w:lang w:eastAsia="en-AU"/>
      </w:rPr>
      <w:drawing>
        <wp:anchor distT="0" distB="0" distL="114300" distR="114300" simplePos="0" relativeHeight="251704832" behindDoc="1" locked="1" layoutInCell="1" allowOverlap="1" wp14:anchorId="2C27FEB9" wp14:editId="116A26FF">
          <wp:simplePos x="0" y="0"/>
          <wp:positionH relativeFrom="page">
            <wp:align>right</wp:align>
          </wp:positionH>
          <wp:positionV relativeFrom="bottomMargin">
            <wp:align>top</wp:align>
          </wp:positionV>
          <wp:extent cx="7559675" cy="964565"/>
          <wp:effectExtent l="0" t="0" r="3175" b="6985"/>
          <wp:wrapNone/>
          <wp:docPr id="10" name="Picture 10"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Victoria State Government Department of Health"/>
                  <pic:cNvPicPr/>
                </pic:nvPicPr>
                <pic:blipFill>
                  <a:blip r:embed="rId1"/>
                  <a:stretch>
                    <a:fillRect/>
                  </a:stretch>
                </pic:blipFill>
                <pic:spPr>
                  <a:xfrm>
                    <a:off x="0" y="0"/>
                    <a:ext cx="7559675" cy="964565"/>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72CB8" w14:textId="7EECF553" w:rsidR="009A3D0A" w:rsidRDefault="009A3D0A">
    <w:pPr>
      <w:pStyle w:val="Footer"/>
    </w:pPr>
    <w:r>
      <w:rPr>
        <w:noProof/>
      </w:rPr>
      <mc:AlternateContent>
        <mc:Choice Requires="wps">
          <w:drawing>
            <wp:anchor distT="0" distB="0" distL="114300" distR="114300" simplePos="0" relativeHeight="251727356" behindDoc="0" locked="0" layoutInCell="0" allowOverlap="1" wp14:anchorId="638C5BB3" wp14:editId="3066CA65">
              <wp:simplePos x="0" y="0"/>
              <wp:positionH relativeFrom="page">
                <wp:align>center</wp:align>
              </wp:positionH>
              <wp:positionV relativeFrom="page">
                <wp:align>bottom</wp:align>
              </wp:positionV>
              <wp:extent cx="7772400" cy="502285"/>
              <wp:effectExtent l="0" t="0" r="0" b="12065"/>
              <wp:wrapNone/>
              <wp:docPr id="46" name="MSIPCM02b34790b7ab01fec933a39b" descr="{&quot;HashCode&quot;:904758361,&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B36F1AB" w14:textId="2C357B5B" w:rsidR="009A3D0A" w:rsidRPr="007831F9" w:rsidRDefault="007831F9" w:rsidP="007831F9">
                          <w:pPr>
                            <w:spacing w:after="0"/>
                            <w:jc w:val="center"/>
                            <w:rPr>
                              <w:rFonts w:ascii="Arial Black" w:hAnsi="Arial Black"/>
                              <w:color w:val="000000"/>
                              <w:sz w:val="20"/>
                            </w:rPr>
                          </w:pPr>
                          <w:r w:rsidRPr="007831F9">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638C5BB3" id="_x0000_t202" coordsize="21600,21600" o:spt="202" path="m,l,21600r21600,l21600,xe">
              <v:stroke joinstyle="miter"/>
              <v:path gradientshapeok="t" o:connecttype="rect"/>
            </v:shapetype>
            <v:shape id="MSIPCM02b34790b7ab01fec933a39b" o:spid="_x0000_s1027" type="#_x0000_t202" alt="{&quot;HashCode&quot;:904758361,&quot;Height&quot;:9999999.0,&quot;Width&quot;:9999999.0,&quot;Placement&quot;:&quot;Footer&quot;,&quot;Index&quot;:&quot;Primary&quot;,&quot;Section&quot;:1,&quot;Top&quot;:0.0,&quot;Left&quot;:0.0}" style="position:absolute;left:0;text-align:left;margin-left:0;margin-top:0;width:612pt;height:39.55pt;z-index:251727356;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" o:allowincell="f" filled="f" stroked="f" strokeweight=".5pt">
              <v:textbox inset=",0,,0">
                <w:txbxContent>
                  <w:p w14:paraId="0B36F1AB" w14:textId="2C357B5B" w:rsidR="009A3D0A" w:rsidRPr="007831F9" w:rsidRDefault="007831F9" w:rsidP="007831F9">
                    <w:pPr>
                      <w:spacing w:after="0"/>
                      <w:jc w:val="center"/>
                      <w:rPr>
                        <w:rFonts w:ascii="Arial Black" w:hAnsi="Arial Black"/>
                        <w:color w:val="000000"/>
                        <w:sz w:val="20"/>
                      </w:rPr>
                    </w:pPr>
                    <w:r w:rsidRPr="007831F9">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70A6A" w14:textId="77777777" w:rsidR="009A3D0A" w:rsidRDefault="009A3D0A">
    <w:pPr>
      <w:pStyle w:val="Footer"/>
    </w:pPr>
    <w:r>
      <w:rPr>
        <w:noProof/>
      </w:rPr>
      <mc:AlternateContent>
        <mc:Choice Requires="wps">
          <w:drawing>
            <wp:anchor distT="0" distB="0" distL="114300" distR="114300" simplePos="0" relativeHeight="251686143" behindDoc="0" locked="0" layoutInCell="0" allowOverlap="1" wp14:anchorId="6ABA3A9E" wp14:editId="05679D36">
              <wp:simplePos x="0" y="0"/>
              <wp:positionH relativeFrom="page">
                <wp:posOffset>0</wp:posOffset>
              </wp:positionH>
              <wp:positionV relativeFrom="page">
                <wp:posOffset>10189845</wp:posOffset>
              </wp:positionV>
              <wp:extent cx="7560310" cy="311785"/>
              <wp:effectExtent l="0" t="0" r="0" b="12065"/>
              <wp:wrapNone/>
              <wp:docPr id="6" name="MSIPCMf6504bf684e4519137a7274a"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5EF0926" w14:textId="77777777" w:rsidR="009A3D0A" w:rsidRPr="00EB4BC7" w:rsidRDefault="009A3D0A"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ABA3A9E" id="_x0000_t202" coordsize="21600,21600" o:spt="202" path="m,l,21600r21600,l21600,xe">
              <v:stroke joinstyle="miter"/>
              <v:path gradientshapeok="t" o:connecttype="rect"/>
            </v:shapetype>
            <v:shape id="MSIPCMf6504bf684e4519137a7274a" o:spid="_x0000_s1028" type="#_x0000_t202" alt="{&quot;HashCode&quot;:904758361,&quot;Height&quot;:841.0,&quot;Width&quot;:595.0,&quot;Placement&quot;:&quot;Footer&quot;,&quot;Index&quot;:&quot;FirstPage&quot;,&quot;Section&quot;:1,&quot;Top&quot;:0.0,&quot;Left&quot;:0.0}" style="position:absolute;left:0;text-align:left;margin-left:0;margin-top:802.35pt;width:595.3pt;height:24.55pt;z-index:25168614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" o:allowincell="f" filled="f" stroked="f" strokeweight=".5pt">
              <v:textbox inset=",0,,0">
                <w:txbxContent>
                  <w:p w14:paraId="45EF0926" w14:textId="77777777" w:rsidR="009A3D0A" w:rsidRPr="00EB4BC7" w:rsidRDefault="009A3D0A"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0A50FE" w14:textId="1D9435FB" w:rsidR="009A3D0A" w:rsidRDefault="009A3D0A" w:rsidP="00EF5563">
    <w:pPr>
      <w:pStyle w:val="Footer"/>
      <w:tabs>
        <w:tab w:val="left" w:pos="6600"/>
        <w:tab w:val="right" w:pos="9298"/>
      </w:tabs>
      <w:jc w:val="left"/>
    </w:pPr>
    <w:r>
      <w:rPr>
        <w:noProof/>
      </w:rPr>
      <mc:AlternateContent>
        <mc:Choice Requires="wps">
          <w:drawing>
            <wp:anchor distT="0" distB="0" distL="114300" distR="114300" simplePos="0" relativeHeight="251727360" behindDoc="0" locked="0" layoutInCell="0" allowOverlap="1" wp14:anchorId="59E7AAC2" wp14:editId="10035051">
              <wp:simplePos x="0" y="0"/>
              <wp:positionH relativeFrom="page">
                <wp:align>center</wp:align>
              </wp:positionH>
              <wp:positionV relativeFrom="page">
                <wp:align>bottom</wp:align>
              </wp:positionV>
              <wp:extent cx="7772400" cy="502285"/>
              <wp:effectExtent l="0" t="0" r="0" b="12065"/>
              <wp:wrapNone/>
              <wp:docPr id="48" name="MSIPCM7d4846179e884bc0262f5571" descr="{&quot;HashCode&quot;:904758361,&quot;Height&quot;:9999999.0,&quot;Width&quot;:9999999.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B6B40F0" w14:textId="0C1DE2EB" w:rsidR="009A3D0A" w:rsidRPr="007831F9" w:rsidRDefault="007831F9" w:rsidP="007831F9">
                          <w:pPr>
                            <w:spacing w:after="0"/>
                            <w:jc w:val="center"/>
                            <w:rPr>
                              <w:rFonts w:ascii="Arial Black" w:hAnsi="Arial Black"/>
                              <w:color w:val="000000"/>
                              <w:sz w:val="20"/>
                            </w:rPr>
                          </w:pPr>
                          <w:r w:rsidRPr="007831F9">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59E7AAC2" id="_x0000_t202" coordsize="21600,21600" o:spt="202" path="m,l,21600r21600,l21600,xe">
              <v:stroke joinstyle="miter"/>
              <v:path gradientshapeok="t" o:connecttype="rect"/>
            </v:shapetype>
            <v:shape id="MSIPCM7d4846179e884bc0262f5571" o:spid="_x0000_s1029" type="#_x0000_t202" alt="{&quot;HashCode&quot;:904758361,&quot;Height&quot;:9999999.0,&quot;Width&quot;:9999999.0,&quot;Placement&quot;:&quot;Footer&quot;,&quot;Index&quot;:&quot;Primary&quot;,&quot;Section&quot;:2,&quot;Top&quot;:0.0,&quot;Left&quot;:0.0}" style="position:absolute;margin-left:0;margin-top:0;width:612pt;height:39.55pt;z-index:251727360;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" o:allowincell="f" filled="f" stroked="f" strokeweight=".5pt">
              <v:textbox inset=",0,,0">
                <w:txbxContent>
                  <w:p w14:paraId="2B6B40F0" w14:textId="0C1DE2EB" w:rsidR="009A3D0A" w:rsidRPr="007831F9" w:rsidRDefault="007831F9" w:rsidP="007831F9">
                    <w:pPr>
                      <w:spacing w:after="0"/>
                      <w:jc w:val="center"/>
                      <w:rPr>
                        <w:rFonts w:ascii="Arial Black" w:hAnsi="Arial Black"/>
                        <w:color w:val="000000"/>
                        <w:sz w:val="20"/>
                      </w:rPr>
                    </w:pPr>
                    <w:r w:rsidRPr="007831F9">
                      <w:rPr>
                        <w:rFonts w:ascii="Arial Black" w:hAnsi="Arial Black"/>
                        <w:color w:val="000000"/>
                        <w:sz w:val="20"/>
                      </w:rPr>
                      <w:t>OFFICIAL</w:t>
                    </w:r>
                  </w:p>
                </w:txbxContent>
              </v:textbox>
              <w10:wrap anchorx="page" anchory="page"/>
            </v:shape>
          </w:pict>
        </mc:Fallback>
      </mc:AlternateContent>
    </w:r>
    <w:r>
      <w:tab/>
    </w:r>
    <w:r>
      <w:rPr>
        <w:noProof/>
        <w:lang w:eastAsia="en-AU"/>
      </w:rPr>
      <w:drawing>
        <wp:anchor distT="0" distB="0" distL="114300" distR="114300" simplePos="0" relativeHeight="251706880" behindDoc="1" locked="1" layoutInCell="1" allowOverlap="1" wp14:anchorId="669F368F" wp14:editId="2520C0DA">
          <wp:simplePos x="0" y="0"/>
          <wp:positionH relativeFrom="page">
            <wp:posOffset>4445</wp:posOffset>
          </wp:positionH>
          <wp:positionV relativeFrom="page">
            <wp:posOffset>9796145</wp:posOffset>
          </wp:positionV>
          <wp:extent cx="7559675" cy="964565"/>
          <wp:effectExtent l="0" t="0" r="3175" b="6985"/>
          <wp:wrapNone/>
          <wp:docPr id="3" name="Picture 3"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Victoria State Government Department of Health"/>
                  <pic:cNvPicPr/>
                </pic:nvPicPr>
                <pic:blipFill>
                  <a:blip r:embed="rId1"/>
                  <a:stretch>
                    <a:fillRect/>
                  </a:stretch>
                </pic:blipFill>
                <pic:spPr>
                  <a:xfrm>
                    <a:off x="0" y="0"/>
                    <a:ext cx="7559675" cy="964565"/>
                  </a:xfrm>
                  <a:prstGeom prst="rect">
                    <a:avLst/>
                  </a:prstGeom>
                </pic:spPr>
              </pic:pic>
            </a:graphicData>
          </a:graphic>
          <wp14:sizeRelH relativeFrom="page">
            <wp14:pctWidth>0</wp14:pctWidth>
          </wp14:sizeRelH>
          <wp14:sizeRelV relativeFrom="page">
            <wp14:pctHeight>0</wp14:pctHeight>
          </wp14:sizeRelV>
        </wp:anchor>
      </w:drawing>
    </w:r>
    <w:r>
      <w:tab/>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907B8A" w14:textId="2208FCD3" w:rsidR="009A3D0A" w:rsidRDefault="009A3D0A">
    <w:pPr>
      <w:pStyle w:val="Footer"/>
    </w:pPr>
    <w:r>
      <w:rPr>
        <w:noProof/>
        <w:lang w:eastAsia="en-AU"/>
      </w:rPr>
      <mc:AlternateContent>
        <mc:Choice Requires="wps">
          <w:drawing>
            <wp:anchor distT="0" distB="0" distL="114300" distR="114300" simplePos="0" relativeHeight="251727359" behindDoc="0" locked="0" layoutInCell="0" allowOverlap="1" wp14:anchorId="4DD7F56E" wp14:editId="1E85FB40">
              <wp:simplePos x="0" y="0"/>
              <wp:positionH relativeFrom="page">
                <wp:align>center</wp:align>
              </wp:positionH>
              <wp:positionV relativeFrom="page">
                <wp:align>bottom</wp:align>
              </wp:positionV>
              <wp:extent cx="7772400" cy="502285"/>
              <wp:effectExtent l="0" t="0" r="0" b="12065"/>
              <wp:wrapNone/>
              <wp:docPr id="13" name="MSIPCM9df14739a8cb8e4bd9d95965" descr="{&quot;HashCode&quot;:904758361,&quot;Height&quot;:9999999.0,&quot;Width&quot;:9999999.0,&quot;Placement&quot;:&quot;Footer&quot;,&quot;Index&quot;:&quot;OddAndEven&quot;,&quot;Section&quot;:3,&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A79F5C8" w14:textId="007D08A0" w:rsidR="009A3D0A" w:rsidRPr="007831F9" w:rsidRDefault="007831F9" w:rsidP="007831F9">
                          <w:pPr>
                            <w:spacing w:after="0"/>
                            <w:jc w:val="center"/>
                            <w:rPr>
                              <w:rFonts w:ascii="Arial Black" w:hAnsi="Arial Black"/>
                              <w:color w:val="000000"/>
                              <w:sz w:val="20"/>
                            </w:rPr>
                          </w:pPr>
                          <w:r w:rsidRPr="007831F9">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4DD7F56E" id="_x0000_t202" coordsize="21600,21600" o:spt="202" path="m,l,21600r21600,l21600,xe">
              <v:stroke joinstyle="miter"/>
              <v:path gradientshapeok="t" o:connecttype="rect"/>
            </v:shapetype>
            <v:shape id="MSIPCM9df14739a8cb8e4bd9d95965" o:spid="_x0000_s1030" type="#_x0000_t202" alt="{&quot;HashCode&quot;:904758361,&quot;Height&quot;:9999999.0,&quot;Width&quot;:9999999.0,&quot;Placement&quot;:&quot;Footer&quot;,&quot;Index&quot;:&quot;OddAndEven&quot;,&quot;Section&quot;:3,&quot;Top&quot;:0.0,&quot;Left&quot;:0.0}" style="position:absolute;left:0;text-align:left;margin-left:0;margin-top:0;width:612pt;height:39.55pt;z-index:251727359;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" o:allowincell="f" filled="f" stroked="f" strokeweight=".5pt">
              <v:textbox inset=",0,,0">
                <w:txbxContent>
                  <w:p w14:paraId="2A79F5C8" w14:textId="007D08A0" w:rsidR="009A3D0A" w:rsidRPr="007831F9" w:rsidRDefault="007831F9" w:rsidP="007831F9">
                    <w:pPr>
                      <w:spacing w:after="0"/>
                      <w:jc w:val="center"/>
                      <w:rPr>
                        <w:rFonts w:ascii="Arial Black" w:hAnsi="Arial Black"/>
                        <w:color w:val="000000"/>
                        <w:sz w:val="20"/>
                      </w:rPr>
                    </w:pPr>
                    <w:r w:rsidRPr="007831F9">
                      <w:rPr>
                        <w:rFonts w:ascii="Arial Black" w:hAnsi="Arial Black"/>
                        <w:color w:val="000000"/>
                        <w:sz w:val="20"/>
                      </w:rPr>
                      <w:t>OFFICIAL</w:t>
                    </w:r>
                  </w:p>
                </w:txbxContent>
              </v:textbox>
              <w10:wrap anchorx="page" anchory="page"/>
            </v:shape>
          </w:pict>
        </mc:Fallback>
      </mc:AlternateContent>
    </w:r>
    <w:r>
      <w:rPr>
        <w:noProof/>
        <w:lang w:eastAsia="en-AU"/>
      </w:rPr>
      <mc:AlternateContent>
        <mc:Choice Requires="wps">
          <w:drawing>
            <wp:anchor distT="0" distB="0" distL="114300" distR="114300" simplePos="0" relativeHeight="251700736" behindDoc="0" locked="0" layoutInCell="0" allowOverlap="1" wp14:anchorId="48B5F4CE" wp14:editId="15049022">
              <wp:simplePos x="0" y="0"/>
              <wp:positionH relativeFrom="page">
                <wp:posOffset>0</wp:posOffset>
              </wp:positionH>
              <wp:positionV relativeFrom="page">
                <wp:posOffset>10189210</wp:posOffset>
              </wp:positionV>
              <wp:extent cx="7560310" cy="311785"/>
              <wp:effectExtent l="0" t="0" r="0" b="12065"/>
              <wp:wrapNone/>
              <wp:docPr id="17" name="MSIPCM90a1451fb267ceb4d0d167a6" descr="{&quot;HashCode&quot;:904758361,&quot;Height&quot;:841.0,&quot;Width&quot;:595.0,&quot;Placement&quot;:&quot;Footer&quot;,&quot;Index&quot;:&quot;OddAndEven&quot;,&quot;Section&quot;:4,&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F9E276A" w14:textId="149E1D0B" w:rsidR="009A3D0A" w:rsidRPr="0002232F" w:rsidRDefault="009A3D0A" w:rsidP="0002232F">
                          <w:pPr>
                            <w:spacing w:after="0"/>
                            <w:jc w:val="center"/>
                            <w:rPr>
                              <w:rFonts w:ascii="Arial Black" w:hAnsi="Arial Black"/>
                              <w:color w:val="000000"/>
                              <w:sz w:val="20"/>
                            </w:rPr>
                          </w:pPr>
                          <w:r w:rsidRPr="0002232F">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48B5F4CE" id="MSIPCM90a1451fb267ceb4d0d167a6" o:spid="_x0000_s1031" type="#_x0000_t202" alt="{&quot;HashCode&quot;:904758361,&quot;Height&quot;:841.0,&quot;Width&quot;:595.0,&quot;Placement&quot;:&quot;Footer&quot;,&quot;Index&quot;:&quot;OddAndEven&quot;,&quot;Section&quot;:4,&quot;Top&quot;:0.0,&quot;Left&quot;:0.0}" style="position:absolute;left:0;text-align:left;margin-left:0;margin-top:802.3pt;width:595.3pt;height:24.55pt;z-index:25170073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" o:allowincell="f" filled="f" stroked="f" strokeweight=".5pt">
              <v:textbox inset=",0,,0">
                <w:txbxContent>
                  <w:p w14:paraId="6F9E276A" w14:textId="149E1D0B" w:rsidR="009A3D0A" w:rsidRPr="0002232F" w:rsidRDefault="009A3D0A" w:rsidP="0002232F">
                    <w:pPr>
                      <w:spacing w:after="0"/>
                      <w:jc w:val="center"/>
                      <w:rPr>
                        <w:rFonts w:ascii="Arial Black" w:hAnsi="Arial Black"/>
                        <w:color w:val="000000"/>
                        <w:sz w:val="20"/>
                      </w:rPr>
                    </w:pPr>
                    <w:r w:rsidRPr="0002232F">
                      <w:rPr>
                        <w:rFonts w:ascii="Arial Black" w:hAnsi="Arial Black"/>
                        <w:color w:val="000000"/>
                        <w:sz w:val="20"/>
                      </w:rPr>
                      <w:t>OFFICIAL</w:t>
                    </w:r>
                  </w:p>
                </w:txbxContent>
              </v:textbox>
              <w10:wrap anchorx="page" anchory="page"/>
            </v:shape>
          </w:pict>
        </mc:Fallback>
      </mc:AlternateContent>
    </w:r>
    <w:r>
      <w:rPr>
        <w:noProof/>
        <w:lang w:eastAsia="en-AU"/>
      </w:rPr>
      <w:drawing>
        <wp:anchor distT="0" distB="0" distL="114300" distR="114300" simplePos="0" relativeHeight="251695616" behindDoc="1" locked="1" layoutInCell="1" allowOverlap="1" wp14:anchorId="3EBA0E13" wp14:editId="6B1A1F92">
          <wp:simplePos x="835572" y="9396248"/>
          <wp:positionH relativeFrom="page">
            <wp:align>left</wp:align>
          </wp:positionH>
          <wp:positionV relativeFrom="page">
            <wp:align>bottom</wp:align>
          </wp:positionV>
          <wp:extent cx="7560000" cy="964800"/>
          <wp:effectExtent l="0" t="0" r="3175" b="6985"/>
          <wp:wrapNone/>
          <wp:docPr id="7" name="Picture 7"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Victoria State Government Department of Health"/>
                  <pic:cNvPicPr/>
                </pic:nvPicPr>
                <pic:blipFill>
                  <a:blip r:embed="rId1"/>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AF7FE0" w14:textId="4C496289" w:rsidR="009A3D0A" w:rsidRDefault="009A3D0A">
    <w:pPr>
      <w:pStyle w:val="Footer"/>
    </w:pPr>
    <w:r>
      <w:rPr>
        <w:noProof/>
        <w:lang w:eastAsia="en-AU"/>
      </w:rPr>
      <mc:AlternateContent>
        <mc:Choice Requires="wps">
          <w:drawing>
            <wp:anchor distT="0" distB="0" distL="114300" distR="114300" simplePos="0" relativeHeight="251727358" behindDoc="0" locked="0" layoutInCell="0" allowOverlap="1" wp14:anchorId="3655F398" wp14:editId="643A1F38">
              <wp:simplePos x="0" y="0"/>
              <wp:positionH relativeFrom="page">
                <wp:align>center</wp:align>
              </wp:positionH>
              <wp:positionV relativeFrom="page">
                <wp:align>bottom</wp:align>
              </wp:positionV>
              <wp:extent cx="7772400" cy="502285"/>
              <wp:effectExtent l="0" t="0" r="0" b="12065"/>
              <wp:wrapNone/>
              <wp:docPr id="12" name="MSIPCMf88d44d8a9bcb3ce12f68bc7" descr="{&quot;HashCode&quot;:904758361,&quot;Height&quot;:9999999.0,&quot;Width&quot;:9999999.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B817C5B" w14:textId="5C16F3E2" w:rsidR="009A3D0A" w:rsidRPr="007831F9" w:rsidRDefault="007831F9" w:rsidP="007831F9">
                          <w:pPr>
                            <w:spacing w:after="0"/>
                            <w:jc w:val="center"/>
                            <w:rPr>
                              <w:rFonts w:ascii="Arial Black" w:hAnsi="Arial Black"/>
                              <w:color w:val="000000"/>
                              <w:sz w:val="20"/>
                            </w:rPr>
                          </w:pPr>
                          <w:r w:rsidRPr="007831F9">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3655F398" id="_x0000_t202" coordsize="21600,21600" o:spt="202" path="m,l,21600r21600,l21600,xe">
              <v:stroke joinstyle="miter"/>
              <v:path gradientshapeok="t" o:connecttype="rect"/>
            </v:shapetype>
            <v:shape id="MSIPCMf88d44d8a9bcb3ce12f68bc7" o:spid="_x0000_s1032" type="#_x0000_t202" alt="{&quot;HashCode&quot;:904758361,&quot;Height&quot;:9999999.0,&quot;Width&quot;:9999999.0,&quot;Placement&quot;:&quot;Footer&quot;,&quot;Index&quot;:&quot;Primary&quot;,&quot;Section&quot;:3,&quot;Top&quot;:0.0,&quot;Left&quot;:0.0}" style="position:absolute;left:0;text-align:left;margin-left:0;margin-top:0;width:612pt;height:39.55pt;z-index:251727358;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" o:allowincell="f" filled="f" stroked="f" strokeweight=".5pt">
              <v:textbox inset=",0,,0">
                <w:txbxContent>
                  <w:p w14:paraId="2B817C5B" w14:textId="5C16F3E2" w:rsidR="009A3D0A" w:rsidRPr="007831F9" w:rsidRDefault="007831F9" w:rsidP="007831F9">
                    <w:pPr>
                      <w:spacing w:after="0"/>
                      <w:jc w:val="center"/>
                      <w:rPr>
                        <w:rFonts w:ascii="Arial Black" w:hAnsi="Arial Black"/>
                        <w:color w:val="000000"/>
                        <w:sz w:val="20"/>
                      </w:rPr>
                    </w:pPr>
                    <w:r w:rsidRPr="007831F9">
                      <w:rPr>
                        <w:rFonts w:ascii="Arial Black" w:hAnsi="Arial Black"/>
                        <w:color w:val="000000"/>
                        <w:sz w:val="20"/>
                      </w:rPr>
                      <w:t>OFFICIAL</w:t>
                    </w:r>
                  </w:p>
                </w:txbxContent>
              </v:textbox>
              <w10:wrap anchorx="page" anchory="page"/>
            </v:shape>
          </w:pict>
        </mc:Fallback>
      </mc:AlternateContent>
    </w:r>
    <w:r>
      <w:rPr>
        <w:noProof/>
        <w:lang w:eastAsia="en-AU"/>
      </w:rPr>
      <mc:AlternateContent>
        <mc:Choice Requires="wps">
          <w:drawing>
            <wp:anchor distT="0" distB="0" distL="114300" distR="114300" simplePos="0" relativeHeight="251699712" behindDoc="0" locked="0" layoutInCell="0" allowOverlap="1" wp14:anchorId="31977860" wp14:editId="6C8EDB66">
              <wp:simplePos x="0" y="0"/>
              <wp:positionH relativeFrom="page">
                <wp:posOffset>0</wp:posOffset>
              </wp:positionH>
              <wp:positionV relativeFrom="page">
                <wp:posOffset>10189687</wp:posOffset>
              </wp:positionV>
              <wp:extent cx="7560310" cy="311785"/>
              <wp:effectExtent l="0" t="0" r="0" b="12065"/>
              <wp:wrapNone/>
              <wp:docPr id="16" name="MSIPCM16324c219c6dac97fca43d40" descr="{&quot;HashCode&quot;:904758361,&quot;Height&quot;:841.0,&quot;Width&quot;:595.0,&quot;Placement&quot;:&quot;Footer&quot;,&quot;Index&quot;:&quot;Primary&quot;,&quot;Section&quot;:4,&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76C6554" w14:textId="02139E4A" w:rsidR="009A3D0A" w:rsidRPr="0002232F" w:rsidRDefault="009A3D0A" w:rsidP="0002232F">
                          <w:pPr>
                            <w:spacing w:after="0"/>
                            <w:jc w:val="center"/>
                            <w:rPr>
                              <w:rFonts w:ascii="Arial Black" w:hAnsi="Arial Black"/>
                              <w:color w:val="000000"/>
                              <w:sz w:val="20"/>
                            </w:rPr>
                          </w:pPr>
                          <w:r w:rsidRPr="0002232F">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31977860" id="MSIPCM16324c219c6dac97fca43d40" o:spid="_x0000_s1033" type="#_x0000_t202" alt="{&quot;HashCode&quot;:904758361,&quot;Height&quot;:841.0,&quot;Width&quot;:595.0,&quot;Placement&quot;:&quot;Footer&quot;,&quot;Index&quot;:&quot;Primary&quot;,&quot;Section&quot;:4,&quot;Top&quot;:0.0,&quot;Left&quot;:0.0}" style="position:absolute;left:0;text-align:left;margin-left:0;margin-top:802.35pt;width:595.3pt;height:24.55pt;z-index:25169971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" o:allowincell="f" filled="f" stroked="f" strokeweight=".5pt">
              <v:textbox inset=",0,,0">
                <w:txbxContent>
                  <w:p w14:paraId="476C6554" w14:textId="02139E4A" w:rsidR="009A3D0A" w:rsidRPr="0002232F" w:rsidRDefault="009A3D0A" w:rsidP="0002232F">
                    <w:pPr>
                      <w:spacing w:after="0"/>
                      <w:jc w:val="center"/>
                      <w:rPr>
                        <w:rFonts w:ascii="Arial Black" w:hAnsi="Arial Black"/>
                        <w:color w:val="000000"/>
                        <w:sz w:val="20"/>
                      </w:rPr>
                    </w:pPr>
                    <w:r w:rsidRPr="0002232F">
                      <w:rPr>
                        <w:rFonts w:ascii="Arial Black" w:hAnsi="Arial Black"/>
                        <w:color w:val="000000"/>
                        <w:sz w:val="20"/>
                      </w:rPr>
                      <w:t>OFFICIAL</w:t>
                    </w:r>
                  </w:p>
                </w:txbxContent>
              </v:textbox>
              <w10:wrap anchorx="page" anchory="page"/>
            </v:shape>
          </w:pict>
        </mc:Fallback>
      </mc:AlternateContent>
    </w:r>
    <w:r>
      <w:rPr>
        <w:noProof/>
      </w:rPr>
      <w:drawing>
        <wp:anchor distT="0" distB="0" distL="114300" distR="114300" simplePos="0" relativeHeight="251696640" behindDoc="1" locked="1" layoutInCell="1" allowOverlap="1" wp14:anchorId="0B6D0F22" wp14:editId="71EA481E">
          <wp:simplePos x="835025" y="9396095"/>
          <wp:positionH relativeFrom="page">
            <wp:align>left</wp:align>
          </wp:positionH>
          <wp:positionV relativeFrom="page">
            <wp:align>bottom</wp:align>
          </wp:positionV>
          <wp:extent cx="7560000" cy="964800"/>
          <wp:effectExtent l="0" t="0" r="3175" b="6985"/>
          <wp:wrapNone/>
          <wp:docPr id="11" name="Picture 11"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Victoria State Government Department of Health"/>
                  <pic:cNvPicPr/>
                </pic:nvPicPr>
                <pic:blipFill>
                  <a:blip r:embed="rId1"/>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F63460" w14:textId="77777777" w:rsidR="009A3D0A" w:rsidRDefault="009A3D0A" w:rsidP="00207717">
      <w:pPr>
        <w:spacing w:before="120"/>
      </w:pPr>
      <w:r>
        <w:separator/>
      </w:r>
    </w:p>
  </w:footnote>
  <w:footnote w:type="continuationSeparator" w:id="0">
    <w:p w14:paraId="1FD6331B" w14:textId="77777777" w:rsidR="009A3D0A" w:rsidRDefault="009A3D0A">
      <w:r>
        <w:continuationSeparator/>
      </w:r>
    </w:p>
    <w:p w14:paraId="77735544" w14:textId="77777777" w:rsidR="009A3D0A" w:rsidRDefault="009A3D0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A7C9C1" w14:textId="3F87D4EF" w:rsidR="009A3D0A" w:rsidRDefault="009A3D0A">
    <w:pPr>
      <w:pStyle w:val="Header"/>
    </w:pPr>
    <w:r>
      <w:rPr>
        <w:noProof/>
      </w:rPr>
      <w:drawing>
        <wp:anchor distT="0" distB="0" distL="114300" distR="114300" simplePos="0" relativeHeight="251702784" behindDoc="1" locked="1" layoutInCell="1" allowOverlap="1" wp14:anchorId="5900B255" wp14:editId="78977A40">
          <wp:simplePos x="0" y="0"/>
          <wp:positionH relativeFrom="page">
            <wp:posOffset>27940</wp:posOffset>
          </wp:positionH>
          <wp:positionV relativeFrom="page">
            <wp:posOffset>18415</wp:posOffset>
          </wp:positionV>
          <wp:extent cx="7559675" cy="269875"/>
          <wp:effectExtent l="0" t="0" r="3175"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
                  <a:stretch>
                    <a:fillRect/>
                  </a:stretch>
                </pic:blipFill>
                <pic:spPr>
                  <a:xfrm>
                    <a:off x="0" y="0"/>
                    <a:ext cx="7559675" cy="269875"/>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E6FF9A" w14:textId="6F1AE495" w:rsidR="009A3D0A" w:rsidRDefault="009A3D0A">
    <w:pPr>
      <w:pStyle w:val="Header"/>
    </w:pPr>
    <w:r>
      <w:rPr>
        <w:noProof/>
      </w:rPr>
      <w:drawing>
        <wp:anchor distT="0" distB="0" distL="114300" distR="114300" simplePos="0" relativeHeight="251708928" behindDoc="1" locked="1" layoutInCell="1" allowOverlap="1" wp14:anchorId="75C00F9A" wp14:editId="40ED60A9">
          <wp:simplePos x="0" y="0"/>
          <wp:positionH relativeFrom="page">
            <wp:align>right</wp:align>
          </wp:positionH>
          <wp:positionV relativeFrom="page">
            <wp:posOffset>-635</wp:posOffset>
          </wp:positionV>
          <wp:extent cx="7559675" cy="269875"/>
          <wp:effectExtent l="0" t="0" r="3175" b="0"/>
          <wp:wrapNone/>
          <wp:docPr id="14" name="Picture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
                  <a:stretch>
                    <a:fillRect/>
                  </a:stretch>
                </pic:blipFill>
                <pic:spPr>
                  <a:xfrm>
                    <a:off x="0" y="0"/>
                    <a:ext cx="7559675" cy="269875"/>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D1C01" w14:textId="77777777" w:rsidR="007831F9" w:rsidRDefault="007831F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18524F" w14:textId="0A8CBC92" w:rsidR="009A3D0A" w:rsidRPr="00426515" w:rsidRDefault="009A3D0A">
    <w:pPr>
      <w:pStyle w:val="Header"/>
    </w:pPr>
    <w:r w:rsidRPr="00426515">
      <w:fldChar w:fldCharType="begin"/>
    </w:r>
    <w:r w:rsidRPr="00426515">
      <w:instrText xml:space="preserve"> PAGE   \* MERGEFORMAT </w:instrText>
    </w:r>
    <w:r w:rsidRPr="00426515">
      <w:fldChar w:fldCharType="separate"/>
    </w:r>
    <w:r w:rsidRPr="00426515">
      <w:rPr>
        <w:noProof/>
      </w:rPr>
      <w:t>1</w:t>
    </w:r>
    <w:r w:rsidRPr="00426515">
      <w:rPr>
        <w:noProof/>
      </w:rPr>
      <w:fldChar w:fldCharType="end"/>
    </w:r>
    <w:r>
      <w:rPr>
        <w:b/>
        <w:bCs/>
      </w:rPr>
      <w:ptab w:relativeTo="margin" w:alignment="right" w:leader="none"/>
    </w:r>
    <w:r w:rsidRPr="00426515">
      <w:t xml:space="preserve">VINAH </w:t>
    </w:r>
    <w:r w:rsidR="003B4209">
      <w:t>MD</w:t>
    </w:r>
    <w:r w:rsidR="00142B99">
      <w:t>S</w:t>
    </w:r>
    <w:r w:rsidR="003B4209">
      <w:t xml:space="preserve"> </w:t>
    </w:r>
    <w:r w:rsidRPr="00426515">
      <w:t>manual 202</w:t>
    </w:r>
    <w:r>
      <w:t>2</w:t>
    </w:r>
    <w:r w:rsidRPr="00426515">
      <w:t>-2</w:t>
    </w:r>
    <w:r>
      <w:t>3</w:t>
    </w:r>
    <w:r w:rsidRPr="00426515">
      <w:t xml:space="preserve"> Section 2 - Concepts and derived items, 1</w:t>
    </w:r>
    <w:r>
      <w:t>7</w:t>
    </w:r>
    <w:r w:rsidRPr="00426515">
      <w:t>th edition, July 202</w:t>
    </w:r>
    <w:r w:rsidRPr="00426515">
      <w:rPr>
        <w:noProof/>
      </w:rPr>
      <w:drawing>
        <wp:anchor distT="0" distB="0" distL="114300" distR="114300" simplePos="0" relativeHeight="251697664" behindDoc="1" locked="1" layoutInCell="1" allowOverlap="1" wp14:anchorId="38FE7CB0" wp14:editId="74933E5D">
          <wp:simplePos x="0" y="0"/>
          <wp:positionH relativeFrom="page">
            <wp:posOffset>0</wp:posOffset>
          </wp:positionH>
          <wp:positionV relativeFrom="page">
            <wp:posOffset>0</wp:posOffset>
          </wp:positionV>
          <wp:extent cx="7560000" cy="270000"/>
          <wp:effectExtent l="0" t="0" r="3175" b="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
                  <a:stretch>
                    <a:fillRect/>
                  </a:stretch>
                </pic:blipFill>
                <pic:spPr>
                  <a:xfrm>
                    <a:off x="0" y="0"/>
                    <a:ext cx="7560000" cy="270000"/>
                  </a:xfrm>
                  <a:prstGeom prst="rect">
                    <a:avLst/>
                  </a:prstGeom>
                </pic:spPr>
              </pic:pic>
            </a:graphicData>
          </a:graphic>
          <wp14:sizeRelH relativeFrom="margin">
            <wp14:pctWidth>0</wp14:pctWidth>
          </wp14:sizeRelH>
          <wp14:sizeRelV relativeFrom="margin">
            <wp14:pctHeight>0</wp14:pctHeight>
          </wp14:sizeRelV>
        </wp:anchor>
      </w:drawing>
    </w:r>
    <w:r>
      <w:t>2</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2A47DD" w14:textId="3676E71B" w:rsidR="009A3D0A" w:rsidRPr="0051568D" w:rsidRDefault="009A3D0A" w:rsidP="0017674D">
    <w:pPr>
      <w:pStyle w:val="Header"/>
    </w:pPr>
    <w:r w:rsidRPr="00426515">
      <w:t xml:space="preserve">VINAH </w:t>
    </w:r>
    <w:r w:rsidR="003B4209">
      <w:t>MD</w:t>
    </w:r>
    <w:r w:rsidR="00142B99">
      <w:t>S</w:t>
    </w:r>
    <w:r w:rsidR="003B4209">
      <w:t xml:space="preserve"> </w:t>
    </w:r>
    <w:r w:rsidRPr="00426515">
      <w:t>manual 202</w:t>
    </w:r>
    <w:r>
      <w:t>2</w:t>
    </w:r>
    <w:r w:rsidRPr="00426515">
      <w:t>-2</w:t>
    </w:r>
    <w:r>
      <w:t>3</w:t>
    </w:r>
    <w:r w:rsidRPr="00426515">
      <w:t xml:space="preserve"> Section 2 - Concepts and derived items, 1</w:t>
    </w:r>
    <w:r>
      <w:t>7</w:t>
    </w:r>
    <w:r w:rsidRPr="00426515">
      <w:t>th edition, July 202</w:t>
    </w:r>
    <w:r>
      <w:rPr>
        <w:noProof/>
      </w:rPr>
      <w:drawing>
        <wp:anchor distT="0" distB="0" distL="114300" distR="114300" simplePos="0" relativeHeight="251698688" behindDoc="1" locked="1" layoutInCell="1" allowOverlap="1" wp14:anchorId="70FC4C4C" wp14:editId="4FCC6773">
          <wp:simplePos x="0" y="0"/>
          <wp:positionH relativeFrom="page">
            <wp:posOffset>0</wp:posOffset>
          </wp:positionH>
          <wp:positionV relativeFrom="page">
            <wp:posOffset>0</wp:posOffset>
          </wp:positionV>
          <wp:extent cx="7560000" cy="270000"/>
          <wp:effectExtent l="0" t="0" r="3175" b="0"/>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stretch>
                    <a:fillRect/>
                  </a:stretch>
                </pic:blipFill>
                <pic:spPr>
                  <a:xfrm>
                    <a:off x="0" y="0"/>
                    <a:ext cx="7560000" cy="270000"/>
                  </a:xfrm>
                  <a:prstGeom prst="rect">
                    <a:avLst/>
                  </a:prstGeom>
                </pic:spPr>
              </pic:pic>
            </a:graphicData>
          </a:graphic>
          <wp14:sizeRelH relativeFrom="margin">
            <wp14:pctWidth>0</wp14:pctWidth>
          </wp14:sizeRelH>
          <wp14:sizeRelV relativeFrom="margin">
            <wp14:pctHeight>0</wp14:pctHeight>
          </wp14:sizeRelV>
        </wp:anchor>
      </w:drawing>
    </w:r>
    <w:r>
      <w:t>2</w:t>
    </w:r>
    <w:r>
      <w:ptab w:relativeTo="margin" w:alignment="right" w:leader="none"/>
    </w:r>
    <w:r w:rsidRPr="00DE6C85">
      <w:rPr>
        <w:b/>
        <w:bCs/>
      </w:rPr>
      <w:fldChar w:fldCharType="begin"/>
    </w:r>
    <w:r w:rsidRPr="00DE6C85">
      <w:rPr>
        <w:b/>
        <w:bCs/>
      </w:rPr>
      <w:instrText xml:space="preserve"> PAGE </w:instrText>
    </w:r>
    <w:r w:rsidRPr="00DE6C85">
      <w:rPr>
        <w:b/>
        <w:bCs/>
      </w:rPr>
      <w:fldChar w:fldCharType="separate"/>
    </w:r>
    <w:r w:rsidRPr="00DE6C85">
      <w:rPr>
        <w:b/>
        <w:bCs/>
      </w:rPr>
      <w:t>2</w:t>
    </w:r>
    <w:r w:rsidRPr="00DE6C85">
      <w:rPr>
        <w:b/>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829E4"/>
    <w:multiLevelType w:val="multilevel"/>
    <w:tmpl w:val="84A66FC8"/>
    <w:lvl w:ilvl="0">
      <w:start w:val="1"/>
      <w:numFmt w:val="bullet"/>
      <w:lvlText w:val="•"/>
      <w:lvlJc w:val="left"/>
      <w:pPr>
        <w:ind w:left="227" w:hanging="227"/>
      </w:pPr>
      <w:rPr>
        <w:rFonts w:ascii="Calibri" w:hAnsi="Calibri" w:hint="default"/>
      </w:rPr>
    </w:lvl>
    <w:lvl w:ilvl="1">
      <w:start w:val="1"/>
      <w:numFmt w:val="bullet"/>
      <w:lvlText w:val="–"/>
      <w:lvlJc w:val="left"/>
      <w:pPr>
        <w:tabs>
          <w:tab w:val="num" w:pos="227"/>
        </w:tabs>
        <w:ind w:left="454" w:hanging="227"/>
      </w:pPr>
      <w:rPr>
        <w:rFonts w:ascii="Arial" w:hAnsi="Arial"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15:restartNumberingAfterBreak="0">
    <w:nsid w:val="0BAD2E30"/>
    <w:multiLevelType w:val="multilevel"/>
    <w:tmpl w:val="73CCBCDC"/>
    <w:styleLink w:val="ZZNumbersloweralpha"/>
    <w:lvl w:ilvl="0">
      <w:start w:val="1"/>
      <w:numFmt w:val="bullet"/>
      <w:pStyle w:val="Numberloweralpha"/>
      <w:lvlText w:val=""/>
      <w:lvlJc w:val="left"/>
      <w:pPr>
        <w:tabs>
          <w:tab w:val="num" w:pos="397"/>
        </w:tabs>
        <w:ind w:left="397" w:hanging="397"/>
      </w:pPr>
      <w:rPr>
        <w:rFonts w:ascii="Symbol" w:hAnsi="Symbol"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 w15:restartNumberingAfterBreak="0">
    <w:nsid w:val="0E9768BF"/>
    <w:multiLevelType w:val="hybridMultilevel"/>
    <w:tmpl w:val="77A210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6512FFC"/>
    <w:multiLevelType w:val="hybridMultilevel"/>
    <w:tmpl w:val="154EA90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3E6C68D4"/>
    <w:multiLevelType w:val="multilevel"/>
    <w:tmpl w:val="B33A2DBC"/>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5" w15:restartNumberingAfterBreak="0">
    <w:nsid w:val="3EC54A41"/>
    <w:multiLevelType w:val="multilevel"/>
    <w:tmpl w:val="986E24B0"/>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6" w15:restartNumberingAfterBreak="0">
    <w:nsid w:val="459A5F61"/>
    <w:multiLevelType w:val="hybridMultilevel"/>
    <w:tmpl w:val="27BCDA18"/>
    <w:lvl w:ilvl="0" w:tplc="0C090001">
      <w:start w:val="1"/>
      <w:numFmt w:val="bullet"/>
      <w:lvlText w:val=""/>
      <w:lvlJc w:val="left"/>
      <w:pPr>
        <w:ind w:left="1431" w:hanging="360"/>
      </w:pPr>
      <w:rPr>
        <w:rFonts w:ascii="Symbol" w:hAnsi="Symbol" w:hint="default"/>
      </w:rPr>
    </w:lvl>
    <w:lvl w:ilvl="1" w:tplc="0C090003">
      <w:start w:val="1"/>
      <w:numFmt w:val="bullet"/>
      <w:lvlText w:val="o"/>
      <w:lvlJc w:val="left"/>
      <w:pPr>
        <w:ind w:left="2151" w:hanging="360"/>
      </w:pPr>
      <w:rPr>
        <w:rFonts w:ascii="Courier New" w:hAnsi="Courier New" w:cs="Courier New" w:hint="default"/>
      </w:rPr>
    </w:lvl>
    <w:lvl w:ilvl="2" w:tplc="0C090005">
      <w:start w:val="1"/>
      <w:numFmt w:val="bullet"/>
      <w:lvlText w:val=""/>
      <w:lvlJc w:val="left"/>
      <w:pPr>
        <w:ind w:left="2871" w:hanging="360"/>
      </w:pPr>
      <w:rPr>
        <w:rFonts w:ascii="Wingdings" w:hAnsi="Wingdings" w:hint="default"/>
      </w:rPr>
    </w:lvl>
    <w:lvl w:ilvl="3" w:tplc="0C090001" w:tentative="1">
      <w:start w:val="1"/>
      <w:numFmt w:val="bullet"/>
      <w:lvlText w:val=""/>
      <w:lvlJc w:val="left"/>
      <w:pPr>
        <w:ind w:left="3591" w:hanging="360"/>
      </w:pPr>
      <w:rPr>
        <w:rFonts w:ascii="Symbol" w:hAnsi="Symbol" w:hint="default"/>
      </w:rPr>
    </w:lvl>
    <w:lvl w:ilvl="4" w:tplc="0C090003" w:tentative="1">
      <w:start w:val="1"/>
      <w:numFmt w:val="bullet"/>
      <w:lvlText w:val="o"/>
      <w:lvlJc w:val="left"/>
      <w:pPr>
        <w:ind w:left="4311" w:hanging="360"/>
      </w:pPr>
      <w:rPr>
        <w:rFonts w:ascii="Courier New" w:hAnsi="Courier New" w:cs="Courier New" w:hint="default"/>
      </w:rPr>
    </w:lvl>
    <w:lvl w:ilvl="5" w:tplc="0C090005" w:tentative="1">
      <w:start w:val="1"/>
      <w:numFmt w:val="bullet"/>
      <w:lvlText w:val=""/>
      <w:lvlJc w:val="left"/>
      <w:pPr>
        <w:ind w:left="5031" w:hanging="360"/>
      </w:pPr>
      <w:rPr>
        <w:rFonts w:ascii="Wingdings" w:hAnsi="Wingdings" w:hint="default"/>
      </w:rPr>
    </w:lvl>
    <w:lvl w:ilvl="6" w:tplc="0C090001" w:tentative="1">
      <w:start w:val="1"/>
      <w:numFmt w:val="bullet"/>
      <w:lvlText w:val=""/>
      <w:lvlJc w:val="left"/>
      <w:pPr>
        <w:ind w:left="5751" w:hanging="360"/>
      </w:pPr>
      <w:rPr>
        <w:rFonts w:ascii="Symbol" w:hAnsi="Symbol" w:hint="default"/>
      </w:rPr>
    </w:lvl>
    <w:lvl w:ilvl="7" w:tplc="0C090003" w:tentative="1">
      <w:start w:val="1"/>
      <w:numFmt w:val="bullet"/>
      <w:lvlText w:val="o"/>
      <w:lvlJc w:val="left"/>
      <w:pPr>
        <w:ind w:left="6471" w:hanging="360"/>
      </w:pPr>
      <w:rPr>
        <w:rFonts w:ascii="Courier New" w:hAnsi="Courier New" w:cs="Courier New" w:hint="default"/>
      </w:rPr>
    </w:lvl>
    <w:lvl w:ilvl="8" w:tplc="0C090005" w:tentative="1">
      <w:start w:val="1"/>
      <w:numFmt w:val="bullet"/>
      <w:lvlText w:val=""/>
      <w:lvlJc w:val="left"/>
      <w:pPr>
        <w:ind w:left="7191" w:hanging="360"/>
      </w:pPr>
      <w:rPr>
        <w:rFonts w:ascii="Wingdings" w:hAnsi="Wingdings" w:hint="default"/>
      </w:rPr>
    </w:lvl>
  </w:abstractNum>
  <w:abstractNum w:abstractNumId="7" w15:restartNumberingAfterBreak="0">
    <w:nsid w:val="500522ED"/>
    <w:multiLevelType w:val="hybridMultilevel"/>
    <w:tmpl w:val="B5D6769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51C65F39"/>
    <w:multiLevelType w:val="hybridMultilevel"/>
    <w:tmpl w:val="083E8E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41611C2"/>
    <w:multiLevelType w:val="multilevel"/>
    <w:tmpl w:val="350ED9F2"/>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0" w15:restartNumberingAfterBreak="0">
    <w:nsid w:val="54BA1E5A"/>
    <w:multiLevelType w:val="multilevel"/>
    <w:tmpl w:val="F05C78C0"/>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5998769D"/>
    <w:multiLevelType w:val="hybridMultilevel"/>
    <w:tmpl w:val="89F87D42"/>
    <w:lvl w:ilvl="0" w:tplc="1AD0F0D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FA21EAF"/>
    <w:multiLevelType w:val="hybridMultilevel"/>
    <w:tmpl w:val="E6E2176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0C95B87"/>
    <w:multiLevelType w:val="multilevel"/>
    <w:tmpl w:val="CC927304"/>
    <w:lvl w:ilvl="0">
      <w:start w:val="1"/>
      <w:numFmt w:val="bullet"/>
      <w:lvlText w:val=""/>
      <w:lvlJc w:val="left"/>
      <w:pPr>
        <w:ind w:left="227" w:hanging="227"/>
      </w:pPr>
      <w:rPr>
        <w:rFonts w:ascii="Symbol" w:hAnsi="Symbol" w:hint="default"/>
      </w:rPr>
    </w:lvl>
    <w:lvl w:ilvl="1">
      <w:start w:val="1"/>
      <w:numFmt w:val="bullet"/>
      <w:lvlRestart w:val="0"/>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4" w15:restartNumberingAfterBreak="0">
    <w:nsid w:val="6309259F"/>
    <w:multiLevelType w:val="multilevel"/>
    <w:tmpl w:val="8B3CE87A"/>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66841D47"/>
    <w:multiLevelType w:val="multilevel"/>
    <w:tmpl w:val="E72E4FBE"/>
    <w:lvl w:ilvl="0">
      <w:start w:val="1"/>
      <w:numFmt w:val="bullet"/>
      <w:lvlText w:val="–"/>
      <w:lvlJc w:val="left"/>
      <w:pPr>
        <w:ind w:left="587" w:hanging="227"/>
      </w:pPr>
      <w:rPr>
        <w:rFonts w:ascii="Arial" w:hAnsi="Arial" w:hint="default"/>
      </w:rPr>
    </w:lvl>
    <w:lvl w:ilvl="1">
      <w:start w:val="1"/>
      <w:numFmt w:val="bullet"/>
      <w:lvlRestart w:val="0"/>
      <w:lvlText w:val="–"/>
      <w:lvlJc w:val="left"/>
      <w:pPr>
        <w:tabs>
          <w:tab w:val="num" w:pos="587"/>
        </w:tabs>
        <w:ind w:left="814" w:hanging="227"/>
      </w:pPr>
      <w:rPr>
        <w:rFonts w:ascii="Calibri" w:hAnsi="Calibri" w:hint="default"/>
      </w:rPr>
    </w:lvl>
    <w:lvl w:ilvl="2">
      <w:start w:val="1"/>
      <w:numFmt w:val="none"/>
      <w:lvlRestart w:val="0"/>
      <w:lvlText w:val=""/>
      <w:lvlJc w:val="left"/>
      <w:pPr>
        <w:ind w:left="360" w:firstLine="0"/>
      </w:pPr>
      <w:rPr>
        <w:rFonts w:hint="default"/>
      </w:rPr>
    </w:lvl>
    <w:lvl w:ilvl="3">
      <w:start w:val="1"/>
      <w:numFmt w:val="none"/>
      <w:lvlRestart w:val="0"/>
      <w:lvlText w:val=""/>
      <w:lvlJc w:val="left"/>
      <w:pPr>
        <w:ind w:left="360" w:firstLine="0"/>
      </w:pPr>
      <w:rPr>
        <w:rFonts w:hint="default"/>
      </w:rPr>
    </w:lvl>
    <w:lvl w:ilvl="4">
      <w:start w:val="1"/>
      <w:numFmt w:val="none"/>
      <w:lvlRestart w:val="0"/>
      <w:lvlText w:val=""/>
      <w:lvlJc w:val="left"/>
      <w:pPr>
        <w:ind w:left="360" w:firstLine="0"/>
      </w:pPr>
      <w:rPr>
        <w:rFonts w:hint="default"/>
      </w:rPr>
    </w:lvl>
    <w:lvl w:ilvl="5">
      <w:start w:val="1"/>
      <w:numFmt w:val="none"/>
      <w:lvlRestart w:val="0"/>
      <w:lvlText w:val=""/>
      <w:lvlJc w:val="left"/>
      <w:pPr>
        <w:ind w:left="360" w:firstLine="0"/>
      </w:pPr>
      <w:rPr>
        <w:rFonts w:hint="default"/>
      </w:rPr>
    </w:lvl>
    <w:lvl w:ilvl="6">
      <w:start w:val="1"/>
      <w:numFmt w:val="none"/>
      <w:lvlRestart w:val="0"/>
      <w:lvlText w:val=""/>
      <w:lvlJc w:val="left"/>
      <w:pPr>
        <w:ind w:left="360" w:firstLine="0"/>
      </w:pPr>
      <w:rPr>
        <w:rFonts w:hint="default"/>
      </w:rPr>
    </w:lvl>
    <w:lvl w:ilvl="7">
      <w:start w:val="1"/>
      <w:numFmt w:val="none"/>
      <w:lvlRestart w:val="0"/>
      <w:lvlText w:val=""/>
      <w:lvlJc w:val="left"/>
      <w:pPr>
        <w:ind w:left="360" w:firstLine="0"/>
      </w:pPr>
      <w:rPr>
        <w:rFonts w:hint="default"/>
      </w:rPr>
    </w:lvl>
    <w:lvl w:ilvl="8">
      <w:start w:val="1"/>
      <w:numFmt w:val="none"/>
      <w:lvlRestart w:val="0"/>
      <w:lvlText w:val=""/>
      <w:lvlJc w:val="left"/>
      <w:pPr>
        <w:ind w:left="360" w:firstLine="0"/>
      </w:pPr>
      <w:rPr>
        <w:rFonts w:hint="default"/>
      </w:rPr>
    </w:lvl>
  </w:abstractNum>
  <w:abstractNum w:abstractNumId="16" w15:restartNumberingAfterBreak="0">
    <w:nsid w:val="6C583120"/>
    <w:multiLevelType w:val="multilevel"/>
    <w:tmpl w:val="CC927304"/>
    <w:lvl w:ilvl="0">
      <w:start w:val="1"/>
      <w:numFmt w:val="bullet"/>
      <w:lvlText w:val=""/>
      <w:lvlJc w:val="left"/>
      <w:pPr>
        <w:ind w:left="227" w:hanging="227"/>
      </w:pPr>
      <w:rPr>
        <w:rFonts w:ascii="Symbol" w:hAnsi="Symbol" w:hint="default"/>
      </w:rPr>
    </w:lvl>
    <w:lvl w:ilvl="1">
      <w:start w:val="1"/>
      <w:numFmt w:val="bullet"/>
      <w:lvlRestart w:val="0"/>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7" w15:restartNumberingAfterBreak="0">
    <w:nsid w:val="76403D19"/>
    <w:multiLevelType w:val="hybridMultilevel"/>
    <w:tmpl w:val="3718F0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CA470B5"/>
    <w:multiLevelType w:val="multilevel"/>
    <w:tmpl w:val="E72E4FBE"/>
    <w:lvl w:ilvl="0">
      <w:start w:val="1"/>
      <w:numFmt w:val="bullet"/>
      <w:lvlText w:val="–"/>
      <w:lvlJc w:val="left"/>
      <w:pPr>
        <w:ind w:left="227" w:hanging="227"/>
      </w:pPr>
      <w:rPr>
        <w:rFonts w:ascii="Arial" w:hAnsi="Arial" w:hint="default"/>
      </w:rPr>
    </w:lvl>
    <w:lvl w:ilvl="1">
      <w:start w:val="1"/>
      <w:numFmt w:val="bullet"/>
      <w:lvlRestart w:val="0"/>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9" w15:restartNumberingAfterBreak="0">
    <w:nsid w:val="7D574490"/>
    <w:multiLevelType w:val="hybridMultilevel"/>
    <w:tmpl w:val="0AE2E8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E0261EA"/>
    <w:multiLevelType w:val="hybridMultilevel"/>
    <w:tmpl w:val="515A44B2"/>
    <w:lvl w:ilvl="0" w:tplc="F51CC92E">
      <w:start w:val="1"/>
      <w:numFmt w:val="bullet"/>
      <w:lvlText w:val="–"/>
      <w:lvlJc w:val="left"/>
      <w:pPr>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4"/>
  </w:num>
  <w:num w:numId="2">
    <w:abstractNumId w:val="10"/>
  </w:num>
  <w:num w:numId="3">
    <w:abstractNumId w:val="9"/>
  </w:num>
  <w:num w:numId="4">
    <w:abstractNumId w:val="14"/>
  </w:num>
  <w:num w:numId="5">
    <w:abstractNumId w:val="5"/>
  </w:num>
  <w:num w:numId="6">
    <w:abstractNumId w:val="1"/>
  </w:num>
  <w:num w:numId="7">
    <w:abstractNumId w:val="12"/>
  </w:num>
  <w:num w:numId="8">
    <w:abstractNumId w:val="6"/>
  </w:num>
  <w:num w:numId="9">
    <w:abstractNumId w:val="11"/>
  </w:num>
  <w:num w:numId="10">
    <w:abstractNumId w:val="8"/>
  </w:num>
  <w:num w:numId="11">
    <w:abstractNumId w:val="19"/>
  </w:num>
  <w:num w:numId="12">
    <w:abstractNumId w:val="17"/>
  </w:num>
  <w:num w:numId="13">
    <w:abstractNumId w:val="2"/>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num>
  <w:num w:numId="16">
    <w:abstractNumId w:val="7"/>
  </w:num>
  <w:num w:numId="17">
    <w:abstractNumId w:val="15"/>
  </w:num>
  <w:num w:numId="18">
    <w:abstractNumId w:val="18"/>
  </w:num>
  <w:num w:numId="19">
    <w:abstractNumId w:val="16"/>
  </w:num>
  <w:num w:numId="20">
    <w:abstractNumId w:val="13"/>
  </w:num>
  <w:num w:numId="21">
    <w:abstractNumId w:val="0"/>
  </w:num>
  <w:num w:numId="22">
    <w:abstractNumId w:val="2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evenAndOddHeaders/>
  <w:drawingGridHorizontalSpacing w:val="181"/>
  <w:drawingGridVerticalSpacing w:val="181"/>
  <w:noPunctuationKerning/>
  <w:characterSpacingControl w:val="doNotCompress"/>
  <w:hdrShapeDefaults>
    <o:shapedefaults v:ext="edit" spidmax="98305"/>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0379"/>
    <w:rsid w:val="00000719"/>
    <w:rsid w:val="00002D68"/>
    <w:rsid w:val="000033F7"/>
    <w:rsid w:val="00003403"/>
    <w:rsid w:val="00005347"/>
    <w:rsid w:val="000072B6"/>
    <w:rsid w:val="0001021B"/>
    <w:rsid w:val="00011D89"/>
    <w:rsid w:val="000154FD"/>
    <w:rsid w:val="00022271"/>
    <w:rsid w:val="0002232F"/>
    <w:rsid w:val="000228CE"/>
    <w:rsid w:val="000235E8"/>
    <w:rsid w:val="00024D89"/>
    <w:rsid w:val="000250B6"/>
    <w:rsid w:val="00030CDD"/>
    <w:rsid w:val="00033B0A"/>
    <w:rsid w:val="00033D81"/>
    <w:rsid w:val="00033DC9"/>
    <w:rsid w:val="00037366"/>
    <w:rsid w:val="00041BF0"/>
    <w:rsid w:val="00042C8A"/>
    <w:rsid w:val="0004536B"/>
    <w:rsid w:val="00045EA0"/>
    <w:rsid w:val="00046B68"/>
    <w:rsid w:val="000527DD"/>
    <w:rsid w:val="00056EC4"/>
    <w:rsid w:val="000578B2"/>
    <w:rsid w:val="00060959"/>
    <w:rsid w:val="00060C8F"/>
    <w:rsid w:val="00061D44"/>
    <w:rsid w:val="0006298A"/>
    <w:rsid w:val="000663CD"/>
    <w:rsid w:val="000733FE"/>
    <w:rsid w:val="00074219"/>
    <w:rsid w:val="00074ED5"/>
    <w:rsid w:val="0008204A"/>
    <w:rsid w:val="0008508E"/>
    <w:rsid w:val="00087951"/>
    <w:rsid w:val="0009113B"/>
    <w:rsid w:val="00093402"/>
    <w:rsid w:val="00094DA3"/>
    <w:rsid w:val="00096CD1"/>
    <w:rsid w:val="000A012C"/>
    <w:rsid w:val="000A0EB9"/>
    <w:rsid w:val="000A186C"/>
    <w:rsid w:val="000A1EA4"/>
    <w:rsid w:val="000A22B5"/>
    <w:rsid w:val="000A2476"/>
    <w:rsid w:val="000A641A"/>
    <w:rsid w:val="000A7E88"/>
    <w:rsid w:val="000B3EDB"/>
    <w:rsid w:val="000B543D"/>
    <w:rsid w:val="000B55F9"/>
    <w:rsid w:val="000B5BF7"/>
    <w:rsid w:val="000B6BC8"/>
    <w:rsid w:val="000C0303"/>
    <w:rsid w:val="000C42EA"/>
    <w:rsid w:val="000C4546"/>
    <w:rsid w:val="000D1242"/>
    <w:rsid w:val="000D2ABA"/>
    <w:rsid w:val="000E0970"/>
    <w:rsid w:val="000E2C15"/>
    <w:rsid w:val="000E3CC7"/>
    <w:rsid w:val="000E4BEE"/>
    <w:rsid w:val="000E583B"/>
    <w:rsid w:val="000E6BD4"/>
    <w:rsid w:val="000E6D6D"/>
    <w:rsid w:val="000F1F1E"/>
    <w:rsid w:val="000F2259"/>
    <w:rsid w:val="000F2DDA"/>
    <w:rsid w:val="000F2EA0"/>
    <w:rsid w:val="000F5213"/>
    <w:rsid w:val="00101001"/>
    <w:rsid w:val="00103276"/>
    <w:rsid w:val="0010392D"/>
    <w:rsid w:val="0010447F"/>
    <w:rsid w:val="00104FE3"/>
    <w:rsid w:val="0010714F"/>
    <w:rsid w:val="001115AB"/>
    <w:rsid w:val="001120C5"/>
    <w:rsid w:val="00120BD3"/>
    <w:rsid w:val="00122FEA"/>
    <w:rsid w:val="001232BD"/>
    <w:rsid w:val="00124ED5"/>
    <w:rsid w:val="001276FA"/>
    <w:rsid w:val="001355B8"/>
    <w:rsid w:val="00142B99"/>
    <w:rsid w:val="001447B3"/>
    <w:rsid w:val="00144D87"/>
    <w:rsid w:val="0015017A"/>
    <w:rsid w:val="00152073"/>
    <w:rsid w:val="00152329"/>
    <w:rsid w:val="00156598"/>
    <w:rsid w:val="001565E0"/>
    <w:rsid w:val="00161939"/>
    <w:rsid w:val="00161AA0"/>
    <w:rsid w:val="00161D2E"/>
    <w:rsid w:val="00161F3E"/>
    <w:rsid w:val="00162093"/>
    <w:rsid w:val="00162CA9"/>
    <w:rsid w:val="00165459"/>
    <w:rsid w:val="00165A57"/>
    <w:rsid w:val="001712C2"/>
    <w:rsid w:val="001722E0"/>
    <w:rsid w:val="00172BAF"/>
    <w:rsid w:val="0017674D"/>
    <w:rsid w:val="001771DD"/>
    <w:rsid w:val="00177995"/>
    <w:rsid w:val="00177A8C"/>
    <w:rsid w:val="0018244E"/>
    <w:rsid w:val="00186B33"/>
    <w:rsid w:val="00190FA6"/>
    <w:rsid w:val="00192F9D"/>
    <w:rsid w:val="00196EB8"/>
    <w:rsid w:val="00196EFB"/>
    <w:rsid w:val="001979FF"/>
    <w:rsid w:val="00197B17"/>
    <w:rsid w:val="001A1950"/>
    <w:rsid w:val="001A1C54"/>
    <w:rsid w:val="001A3ACE"/>
    <w:rsid w:val="001A6272"/>
    <w:rsid w:val="001B0379"/>
    <w:rsid w:val="001B058F"/>
    <w:rsid w:val="001B6B96"/>
    <w:rsid w:val="001B738B"/>
    <w:rsid w:val="001C09DB"/>
    <w:rsid w:val="001C277E"/>
    <w:rsid w:val="001C2A72"/>
    <w:rsid w:val="001C31B7"/>
    <w:rsid w:val="001D0B75"/>
    <w:rsid w:val="001D39A5"/>
    <w:rsid w:val="001D3C09"/>
    <w:rsid w:val="001D44E8"/>
    <w:rsid w:val="001D60EC"/>
    <w:rsid w:val="001D6F59"/>
    <w:rsid w:val="001E04A7"/>
    <w:rsid w:val="001E44DF"/>
    <w:rsid w:val="001E68A5"/>
    <w:rsid w:val="001E6BB0"/>
    <w:rsid w:val="001E7282"/>
    <w:rsid w:val="001F1906"/>
    <w:rsid w:val="001F23FE"/>
    <w:rsid w:val="001F3826"/>
    <w:rsid w:val="001F6E46"/>
    <w:rsid w:val="001F7C91"/>
    <w:rsid w:val="002033B7"/>
    <w:rsid w:val="00206463"/>
    <w:rsid w:val="00206F2F"/>
    <w:rsid w:val="00207717"/>
    <w:rsid w:val="0021053D"/>
    <w:rsid w:val="002105B8"/>
    <w:rsid w:val="00210A92"/>
    <w:rsid w:val="002115C6"/>
    <w:rsid w:val="00212B95"/>
    <w:rsid w:val="00215CC8"/>
    <w:rsid w:val="00215DB3"/>
    <w:rsid w:val="00216C03"/>
    <w:rsid w:val="00220A1A"/>
    <w:rsid w:val="00220C04"/>
    <w:rsid w:val="0022278D"/>
    <w:rsid w:val="0022701F"/>
    <w:rsid w:val="00227C68"/>
    <w:rsid w:val="002333F5"/>
    <w:rsid w:val="00233724"/>
    <w:rsid w:val="002365B4"/>
    <w:rsid w:val="002432E1"/>
    <w:rsid w:val="00246207"/>
    <w:rsid w:val="00246C5E"/>
    <w:rsid w:val="00250960"/>
    <w:rsid w:val="00251343"/>
    <w:rsid w:val="002536A4"/>
    <w:rsid w:val="00253C4A"/>
    <w:rsid w:val="00254F58"/>
    <w:rsid w:val="002620BC"/>
    <w:rsid w:val="00262802"/>
    <w:rsid w:val="00263A90"/>
    <w:rsid w:val="0026408B"/>
    <w:rsid w:val="00267C3E"/>
    <w:rsid w:val="002709BB"/>
    <w:rsid w:val="0027131C"/>
    <w:rsid w:val="00273BAC"/>
    <w:rsid w:val="002763B3"/>
    <w:rsid w:val="002770C5"/>
    <w:rsid w:val="002771E3"/>
    <w:rsid w:val="002802E3"/>
    <w:rsid w:val="0028213D"/>
    <w:rsid w:val="002862F1"/>
    <w:rsid w:val="00291373"/>
    <w:rsid w:val="0029597D"/>
    <w:rsid w:val="002962C3"/>
    <w:rsid w:val="0029752B"/>
    <w:rsid w:val="002A0A9C"/>
    <w:rsid w:val="002A1684"/>
    <w:rsid w:val="002A483C"/>
    <w:rsid w:val="002B0C7C"/>
    <w:rsid w:val="002B1729"/>
    <w:rsid w:val="002B2FA0"/>
    <w:rsid w:val="002B36C7"/>
    <w:rsid w:val="002B4DD4"/>
    <w:rsid w:val="002B5277"/>
    <w:rsid w:val="002B5375"/>
    <w:rsid w:val="002B77C1"/>
    <w:rsid w:val="002C0ED7"/>
    <w:rsid w:val="002C2728"/>
    <w:rsid w:val="002C5B7C"/>
    <w:rsid w:val="002D1515"/>
    <w:rsid w:val="002D1E0D"/>
    <w:rsid w:val="002D3E6B"/>
    <w:rsid w:val="002D499D"/>
    <w:rsid w:val="002D5006"/>
    <w:rsid w:val="002D7C61"/>
    <w:rsid w:val="002E01D0"/>
    <w:rsid w:val="002E161D"/>
    <w:rsid w:val="002E28A2"/>
    <w:rsid w:val="002E3100"/>
    <w:rsid w:val="002E6C95"/>
    <w:rsid w:val="002E7C36"/>
    <w:rsid w:val="002F3D32"/>
    <w:rsid w:val="002F5F31"/>
    <w:rsid w:val="002F5F46"/>
    <w:rsid w:val="00302216"/>
    <w:rsid w:val="00303E53"/>
    <w:rsid w:val="00305CC1"/>
    <w:rsid w:val="00306E5F"/>
    <w:rsid w:val="00307020"/>
    <w:rsid w:val="00307E14"/>
    <w:rsid w:val="00314054"/>
    <w:rsid w:val="00316F27"/>
    <w:rsid w:val="003214F1"/>
    <w:rsid w:val="003216AE"/>
    <w:rsid w:val="00322E4B"/>
    <w:rsid w:val="00327870"/>
    <w:rsid w:val="0033259D"/>
    <w:rsid w:val="003333D2"/>
    <w:rsid w:val="00334686"/>
    <w:rsid w:val="003353CC"/>
    <w:rsid w:val="00337339"/>
    <w:rsid w:val="0033749E"/>
    <w:rsid w:val="00340345"/>
    <w:rsid w:val="003406C6"/>
    <w:rsid w:val="003418CC"/>
    <w:rsid w:val="003434EE"/>
    <w:rsid w:val="003459BD"/>
    <w:rsid w:val="00350D38"/>
    <w:rsid w:val="00351B36"/>
    <w:rsid w:val="00357B4E"/>
    <w:rsid w:val="00361A8E"/>
    <w:rsid w:val="003716FD"/>
    <w:rsid w:val="0037204B"/>
    <w:rsid w:val="003744CF"/>
    <w:rsid w:val="00374717"/>
    <w:rsid w:val="0037676C"/>
    <w:rsid w:val="003800C0"/>
    <w:rsid w:val="00381043"/>
    <w:rsid w:val="003829E5"/>
    <w:rsid w:val="00386109"/>
    <w:rsid w:val="00386944"/>
    <w:rsid w:val="00390BBA"/>
    <w:rsid w:val="003956CC"/>
    <w:rsid w:val="00395C9A"/>
    <w:rsid w:val="003A0853"/>
    <w:rsid w:val="003A6B67"/>
    <w:rsid w:val="003B13B6"/>
    <w:rsid w:val="003B14C3"/>
    <w:rsid w:val="003B15E6"/>
    <w:rsid w:val="003B22EF"/>
    <w:rsid w:val="003B408A"/>
    <w:rsid w:val="003B4209"/>
    <w:rsid w:val="003C08A2"/>
    <w:rsid w:val="003C2045"/>
    <w:rsid w:val="003C43A1"/>
    <w:rsid w:val="003C4FC0"/>
    <w:rsid w:val="003C55F4"/>
    <w:rsid w:val="003C7897"/>
    <w:rsid w:val="003C7A3F"/>
    <w:rsid w:val="003D2766"/>
    <w:rsid w:val="003D2A74"/>
    <w:rsid w:val="003D33C7"/>
    <w:rsid w:val="003D3D88"/>
    <w:rsid w:val="003D3E8F"/>
    <w:rsid w:val="003D5928"/>
    <w:rsid w:val="003D6475"/>
    <w:rsid w:val="003D6EE6"/>
    <w:rsid w:val="003E24A3"/>
    <w:rsid w:val="003E375C"/>
    <w:rsid w:val="003E4086"/>
    <w:rsid w:val="003E639E"/>
    <w:rsid w:val="003E71E5"/>
    <w:rsid w:val="003F0445"/>
    <w:rsid w:val="003F0CF0"/>
    <w:rsid w:val="003F14B1"/>
    <w:rsid w:val="003F2B20"/>
    <w:rsid w:val="003F3289"/>
    <w:rsid w:val="003F3C62"/>
    <w:rsid w:val="003F5CB9"/>
    <w:rsid w:val="003F733E"/>
    <w:rsid w:val="004013C7"/>
    <w:rsid w:val="00401FCF"/>
    <w:rsid w:val="00406285"/>
    <w:rsid w:val="004115A2"/>
    <w:rsid w:val="004148F9"/>
    <w:rsid w:val="0042084E"/>
    <w:rsid w:val="00421EEF"/>
    <w:rsid w:val="00424D65"/>
    <w:rsid w:val="00426515"/>
    <w:rsid w:val="00430393"/>
    <w:rsid w:val="00431806"/>
    <w:rsid w:val="00431A70"/>
    <w:rsid w:val="00431F42"/>
    <w:rsid w:val="00440B56"/>
    <w:rsid w:val="00442C6C"/>
    <w:rsid w:val="0044383F"/>
    <w:rsid w:val="00443CBE"/>
    <w:rsid w:val="00443E8A"/>
    <w:rsid w:val="004441BC"/>
    <w:rsid w:val="00444341"/>
    <w:rsid w:val="004468B4"/>
    <w:rsid w:val="00446D86"/>
    <w:rsid w:val="0045230A"/>
    <w:rsid w:val="00454AD0"/>
    <w:rsid w:val="00456A0A"/>
    <w:rsid w:val="004572B0"/>
    <w:rsid w:val="00457337"/>
    <w:rsid w:val="004621AA"/>
    <w:rsid w:val="00462E3D"/>
    <w:rsid w:val="00466E79"/>
    <w:rsid w:val="00470D7D"/>
    <w:rsid w:val="00471D5B"/>
    <w:rsid w:val="0047372D"/>
    <w:rsid w:val="00473BA3"/>
    <w:rsid w:val="004743DD"/>
    <w:rsid w:val="00474CEA"/>
    <w:rsid w:val="00475109"/>
    <w:rsid w:val="00483968"/>
    <w:rsid w:val="004841BE"/>
    <w:rsid w:val="00484F86"/>
    <w:rsid w:val="00490746"/>
    <w:rsid w:val="00490852"/>
    <w:rsid w:val="00491C9C"/>
    <w:rsid w:val="00492F30"/>
    <w:rsid w:val="004946F4"/>
    <w:rsid w:val="0049487E"/>
    <w:rsid w:val="004972C1"/>
    <w:rsid w:val="004A160D"/>
    <w:rsid w:val="004A1E7B"/>
    <w:rsid w:val="004A3E81"/>
    <w:rsid w:val="004A4158"/>
    <w:rsid w:val="004A4195"/>
    <w:rsid w:val="004A56C1"/>
    <w:rsid w:val="004A5C62"/>
    <w:rsid w:val="004A5CE5"/>
    <w:rsid w:val="004A707D"/>
    <w:rsid w:val="004B0974"/>
    <w:rsid w:val="004B4185"/>
    <w:rsid w:val="004C5541"/>
    <w:rsid w:val="004C6EEE"/>
    <w:rsid w:val="004C702B"/>
    <w:rsid w:val="004C7C53"/>
    <w:rsid w:val="004D0033"/>
    <w:rsid w:val="004D016B"/>
    <w:rsid w:val="004D1B22"/>
    <w:rsid w:val="004D23CC"/>
    <w:rsid w:val="004D36F2"/>
    <w:rsid w:val="004D693D"/>
    <w:rsid w:val="004E1106"/>
    <w:rsid w:val="004E138F"/>
    <w:rsid w:val="004E4649"/>
    <w:rsid w:val="004E5C2B"/>
    <w:rsid w:val="004F00DD"/>
    <w:rsid w:val="004F1835"/>
    <w:rsid w:val="004F2133"/>
    <w:rsid w:val="004F5398"/>
    <w:rsid w:val="004F55F1"/>
    <w:rsid w:val="004F6936"/>
    <w:rsid w:val="00503DC6"/>
    <w:rsid w:val="00506F5D"/>
    <w:rsid w:val="00510C37"/>
    <w:rsid w:val="005126D0"/>
    <w:rsid w:val="00514667"/>
    <w:rsid w:val="0051568D"/>
    <w:rsid w:val="005229AD"/>
    <w:rsid w:val="00526AC7"/>
    <w:rsid w:val="00526C15"/>
    <w:rsid w:val="00530F2E"/>
    <w:rsid w:val="00536499"/>
    <w:rsid w:val="0053742C"/>
    <w:rsid w:val="00542A03"/>
    <w:rsid w:val="00543903"/>
    <w:rsid w:val="00543BCC"/>
    <w:rsid w:val="00543F11"/>
    <w:rsid w:val="00544135"/>
    <w:rsid w:val="00546305"/>
    <w:rsid w:val="00547A95"/>
    <w:rsid w:val="0055119B"/>
    <w:rsid w:val="00561202"/>
    <w:rsid w:val="00562507"/>
    <w:rsid w:val="00562811"/>
    <w:rsid w:val="00571252"/>
    <w:rsid w:val="00572031"/>
    <w:rsid w:val="00572282"/>
    <w:rsid w:val="00573CE3"/>
    <w:rsid w:val="00574E6E"/>
    <w:rsid w:val="00576E84"/>
    <w:rsid w:val="00580394"/>
    <w:rsid w:val="005809CD"/>
    <w:rsid w:val="00582B8C"/>
    <w:rsid w:val="0058757E"/>
    <w:rsid w:val="00596A4B"/>
    <w:rsid w:val="00597507"/>
    <w:rsid w:val="005A479D"/>
    <w:rsid w:val="005B1C6D"/>
    <w:rsid w:val="005B21B6"/>
    <w:rsid w:val="005B29E5"/>
    <w:rsid w:val="005B3A08"/>
    <w:rsid w:val="005B7A63"/>
    <w:rsid w:val="005C0955"/>
    <w:rsid w:val="005C49DA"/>
    <w:rsid w:val="005C50F3"/>
    <w:rsid w:val="005C54B5"/>
    <w:rsid w:val="005C5D80"/>
    <w:rsid w:val="005C5D91"/>
    <w:rsid w:val="005D07B8"/>
    <w:rsid w:val="005D42E3"/>
    <w:rsid w:val="005D6597"/>
    <w:rsid w:val="005E14E7"/>
    <w:rsid w:val="005E26A3"/>
    <w:rsid w:val="005E2ECB"/>
    <w:rsid w:val="005E447E"/>
    <w:rsid w:val="005E4FD1"/>
    <w:rsid w:val="005F0775"/>
    <w:rsid w:val="005F0CF5"/>
    <w:rsid w:val="005F21EB"/>
    <w:rsid w:val="005F64CF"/>
    <w:rsid w:val="006041AD"/>
    <w:rsid w:val="00605908"/>
    <w:rsid w:val="00606231"/>
    <w:rsid w:val="00607850"/>
    <w:rsid w:val="00607EF7"/>
    <w:rsid w:val="00610D7C"/>
    <w:rsid w:val="00613414"/>
    <w:rsid w:val="00620154"/>
    <w:rsid w:val="0062408D"/>
    <w:rsid w:val="006240CC"/>
    <w:rsid w:val="00624940"/>
    <w:rsid w:val="006254F8"/>
    <w:rsid w:val="00627DA7"/>
    <w:rsid w:val="00630DA4"/>
    <w:rsid w:val="00631CD4"/>
    <w:rsid w:val="00632597"/>
    <w:rsid w:val="00634D13"/>
    <w:rsid w:val="006358B4"/>
    <w:rsid w:val="00641724"/>
    <w:rsid w:val="006419AA"/>
    <w:rsid w:val="00644B1F"/>
    <w:rsid w:val="00644B7E"/>
    <w:rsid w:val="006454E6"/>
    <w:rsid w:val="00646235"/>
    <w:rsid w:val="00646A68"/>
    <w:rsid w:val="006505BD"/>
    <w:rsid w:val="006508EA"/>
    <w:rsid w:val="0065092E"/>
    <w:rsid w:val="006557A7"/>
    <w:rsid w:val="00656290"/>
    <w:rsid w:val="006601C9"/>
    <w:rsid w:val="006608D8"/>
    <w:rsid w:val="006621D7"/>
    <w:rsid w:val="0066302A"/>
    <w:rsid w:val="0066359E"/>
    <w:rsid w:val="00667770"/>
    <w:rsid w:val="00670597"/>
    <w:rsid w:val="006706D0"/>
    <w:rsid w:val="00676B3F"/>
    <w:rsid w:val="00677574"/>
    <w:rsid w:val="006812ED"/>
    <w:rsid w:val="00683878"/>
    <w:rsid w:val="00684380"/>
    <w:rsid w:val="0068454C"/>
    <w:rsid w:val="00691B62"/>
    <w:rsid w:val="006933B5"/>
    <w:rsid w:val="00693D14"/>
    <w:rsid w:val="00696F27"/>
    <w:rsid w:val="00697695"/>
    <w:rsid w:val="006A18C2"/>
    <w:rsid w:val="006A3383"/>
    <w:rsid w:val="006A5B79"/>
    <w:rsid w:val="006B077C"/>
    <w:rsid w:val="006B6803"/>
    <w:rsid w:val="006D0F16"/>
    <w:rsid w:val="006D2A3F"/>
    <w:rsid w:val="006D2FBC"/>
    <w:rsid w:val="006D6E34"/>
    <w:rsid w:val="006E138B"/>
    <w:rsid w:val="006E1867"/>
    <w:rsid w:val="006E3B05"/>
    <w:rsid w:val="006F0330"/>
    <w:rsid w:val="006F1FDC"/>
    <w:rsid w:val="006F6B8C"/>
    <w:rsid w:val="007013EF"/>
    <w:rsid w:val="007055BD"/>
    <w:rsid w:val="00713F52"/>
    <w:rsid w:val="007173CA"/>
    <w:rsid w:val="007216AA"/>
    <w:rsid w:val="00721AB5"/>
    <w:rsid w:val="00721CFB"/>
    <w:rsid w:val="00721DEF"/>
    <w:rsid w:val="00724A43"/>
    <w:rsid w:val="007273AC"/>
    <w:rsid w:val="00731AD4"/>
    <w:rsid w:val="007346E4"/>
    <w:rsid w:val="00735564"/>
    <w:rsid w:val="00740F22"/>
    <w:rsid w:val="00741CF0"/>
    <w:rsid w:val="00741F1A"/>
    <w:rsid w:val="007447DA"/>
    <w:rsid w:val="007450F8"/>
    <w:rsid w:val="0074696E"/>
    <w:rsid w:val="00750135"/>
    <w:rsid w:val="00750EC2"/>
    <w:rsid w:val="00752B28"/>
    <w:rsid w:val="007536BC"/>
    <w:rsid w:val="007541A9"/>
    <w:rsid w:val="00754E36"/>
    <w:rsid w:val="00763139"/>
    <w:rsid w:val="00770F37"/>
    <w:rsid w:val="007711A0"/>
    <w:rsid w:val="00772D5E"/>
    <w:rsid w:val="0077463E"/>
    <w:rsid w:val="00776928"/>
    <w:rsid w:val="00776D56"/>
    <w:rsid w:val="00776E0F"/>
    <w:rsid w:val="007774B1"/>
    <w:rsid w:val="00777BE1"/>
    <w:rsid w:val="00780FC1"/>
    <w:rsid w:val="00782222"/>
    <w:rsid w:val="007831F9"/>
    <w:rsid w:val="007833D8"/>
    <w:rsid w:val="00785677"/>
    <w:rsid w:val="00786F16"/>
    <w:rsid w:val="00791BD7"/>
    <w:rsid w:val="007933F7"/>
    <w:rsid w:val="0079679D"/>
    <w:rsid w:val="00796E20"/>
    <w:rsid w:val="00797C32"/>
    <w:rsid w:val="007A11E8"/>
    <w:rsid w:val="007B0914"/>
    <w:rsid w:val="007B1374"/>
    <w:rsid w:val="007B32E5"/>
    <w:rsid w:val="007B3DB9"/>
    <w:rsid w:val="007B51A3"/>
    <w:rsid w:val="007B589F"/>
    <w:rsid w:val="007B6186"/>
    <w:rsid w:val="007B73BC"/>
    <w:rsid w:val="007C1838"/>
    <w:rsid w:val="007C20B9"/>
    <w:rsid w:val="007C7301"/>
    <w:rsid w:val="007C7859"/>
    <w:rsid w:val="007C7F28"/>
    <w:rsid w:val="007D1466"/>
    <w:rsid w:val="007D2BDE"/>
    <w:rsid w:val="007D2FB6"/>
    <w:rsid w:val="007D49EB"/>
    <w:rsid w:val="007D50DA"/>
    <w:rsid w:val="007D5E1C"/>
    <w:rsid w:val="007E0DE2"/>
    <w:rsid w:val="007E3667"/>
    <w:rsid w:val="007E3B98"/>
    <w:rsid w:val="007E417A"/>
    <w:rsid w:val="007E769C"/>
    <w:rsid w:val="007F31B6"/>
    <w:rsid w:val="007F35CF"/>
    <w:rsid w:val="007F546C"/>
    <w:rsid w:val="007F625F"/>
    <w:rsid w:val="007F665E"/>
    <w:rsid w:val="00800412"/>
    <w:rsid w:val="00800424"/>
    <w:rsid w:val="008007DC"/>
    <w:rsid w:val="0080587B"/>
    <w:rsid w:val="00806468"/>
    <w:rsid w:val="008119CA"/>
    <w:rsid w:val="008130C4"/>
    <w:rsid w:val="008155F0"/>
    <w:rsid w:val="00816735"/>
    <w:rsid w:val="00820141"/>
    <w:rsid w:val="00820E0C"/>
    <w:rsid w:val="00823275"/>
    <w:rsid w:val="0082366F"/>
    <w:rsid w:val="008338A2"/>
    <w:rsid w:val="00841AA9"/>
    <w:rsid w:val="008474FE"/>
    <w:rsid w:val="00853EE4"/>
    <w:rsid w:val="00855535"/>
    <w:rsid w:val="00857C5A"/>
    <w:rsid w:val="0086255E"/>
    <w:rsid w:val="008633F0"/>
    <w:rsid w:val="00867D9D"/>
    <w:rsid w:val="00872E0A"/>
    <w:rsid w:val="00873594"/>
    <w:rsid w:val="00873B6B"/>
    <w:rsid w:val="00875285"/>
    <w:rsid w:val="00884B62"/>
    <w:rsid w:val="0088529C"/>
    <w:rsid w:val="00887903"/>
    <w:rsid w:val="0089270A"/>
    <w:rsid w:val="00893AF6"/>
    <w:rsid w:val="00894BC4"/>
    <w:rsid w:val="00896890"/>
    <w:rsid w:val="008A28A8"/>
    <w:rsid w:val="008A5B32"/>
    <w:rsid w:val="008A6B21"/>
    <w:rsid w:val="008B2029"/>
    <w:rsid w:val="008B2EE4"/>
    <w:rsid w:val="008B3821"/>
    <w:rsid w:val="008B4D3D"/>
    <w:rsid w:val="008B5489"/>
    <w:rsid w:val="008B57C7"/>
    <w:rsid w:val="008C2F92"/>
    <w:rsid w:val="008C3546"/>
    <w:rsid w:val="008C589D"/>
    <w:rsid w:val="008C6D51"/>
    <w:rsid w:val="008D2846"/>
    <w:rsid w:val="008D4236"/>
    <w:rsid w:val="008D462F"/>
    <w:rsid w:val="008D6DCF"/>
    <w:rsid w:val="008D7BDD"/>
    <w:rsid w:val="008E4376"/>
    <w:rsid w:val="008E7A0A"/>
    <w:rsid w:val="008E7B49"/>
    <w:rsid w:val="008F59F6"/>
    <w:rsid w:val="00900719"/>
    <w:rsid w:val="009017AC"/>
    <w:rsid w:val="00902A9A"/>
    <w:rsid w:val="00904A1C"/>
    <w:rsid w:val="00905030"/>
    <w:rsid w:val="00906490"/>
    <w:rsid w:val="009111B2"/>
    <w:rsid w:val="0091306F"/>
    <w:rsid w:val="009148B7"/>
    <w:rsid w:val="009151F5"/>
    <w:rsid w:val="00924AE1"/>
    <w:rsid w:val="009269B1"/>
    <w:rsid w:val="0092724D"/>
    <w:rsid w:val="009272B3"/>
    <w:rsid w:val="009315BE"/>
    <w:rsid w:val="009326DD"/>
    <w:rsid w:val="0093338F"/>
    <w:rsid w:val="00937BD9"/>
    <w:rsid w:val="00946A3F"/>
    <w:rsid w:val="00950E2C"/>
    <w:rsid w:val="00951D50"/>
    <w:rsid w:val="009525EB"/>
    <w:rsid w:val="0095470B"/>
    <w:rsid w:val="00954874"/>
    <w:rsid w:val="0095615A"/>
    <w:rsid w:val="00961400"/>
    <w:rsid w:val="00963646"/>
    <w:rsid w:val="0096632D"/>
    <w:rsid w:val="00967124"/>
    <w:rsid w:val="00967B29"/>
    <w:rsid w:val="0097166C"/>
    <w:rsid w:val="009718C7"/>
    <w:rsid w:val="0097559F"/>
    <w:rsid w:val="009761EA"/>
    <w:rsid w:val="0097761E"/>
    <w:rsid w:val="00982454"/>
    <w:rsid w:val="00982CF0"/>
    <w:rsid w:val="009853E1"/>
    <w:rsid w:val="00986841"/>
    <w:rsid w:val="00986E6B"/>
    <w:rsid w:val="00990032"/>
    <w:rsid w:val="00990B19"/>
    <w:rsid w:val="0099153B"/>
    <w:rsid w:val="00991769"/>
    <w:rsid w:val="0099232C"/>
    <w:rsid w:val="00994386"/>
    <w:rsid w:val="00995ED7"/>
    <w:rsid w:val="009A13D8"/>
    <w:rsid w:val="009A279E"/>
    <w:rsid w:val="009A3015"/>
    <w:rsid w:val="009A3490"/>
    <w:rsid w:val="009A3D0A"/>
    <w:rsid w:val="009A452B"/>
    <w:rsid w:val="009B0A6F"/>
    <w:rsid w:val="009B0A94"/>
    <w:rsid w:val="009B0C62"/>
    <w:rsid w:val="009B2AE8"/>
    <w:rsid w:val="009B5541"/>
    <w:rsid w:val="009B5622"/>
    <w:rsid w:val="009B59E9"/>
    <w:rsid w:val="009B70AA"/>
    <w:rsid w:val="009C245E"/>
    <w:rsid w:val="009C5E77"/>
    <w:rsid w:val="009C7A7E"/>
    <w:rsid w:val="009D02E8"/>
    <w:rsid w:val="009D51D0"/>
    <w:rsid w:val="009D70A4"/>
    <w:rsid w:val="009D7B14"/>
    <w:rsid w:val="009E08D1"/>
    <w:rsid w:val="009E0D96"/>
    <w:rsid w:val="009E1B95"/>
    <w:rsid w:val="009E496F"/>
    <w:rsid w:val="009E4B0D"/>
    <w:rsid w:val="009E5250"/>
    <w:rsid w:val="009E7A69"/>
    <w:rsid w:val="009E7F92"/>
    <w:rsid w:val="009F02A3"/>
    <w:rsid w:val="009F2182"/>
    <w:rsid w:val="009F2F27"/>
    <w:rsid w:val="009F34AA"/>
    <w:rsid w:val="009F6BCB"/>
    <w:rsid w:val="009F7B78"/>
    <w:rsid w:val="00A0057A"/>
    <w:rsid w:val="00A02FA1"/>
    <w:rsid w:val="00A04CCE"/>
    <w:rsid w:val="00A07421"/>
    <w:rsid w:val="00A0776B"/>
    <w:rsid w:val="00A10FB9"/>
    <w:rsid w:val="00A11421"/>
    <w:rsid w:val="00A1389F"/>
    <w:rsid w:val="00A157B1"/>
    <w:rsid w:val="00A206BC"/>
    <w:rsid w:val="00A22229"/>
    <w:rsid w:val="00A24442"/>
    <w:rsid w:val="00A24ADA"/>
    <w:rsid w:val="00A262D4"/>
    <w:rsid w:val="00A32577"/>
    <w:rsid w:val="00A3262A"/>
    <w:rsid w:val="00A330BB"/>
    <w:rsid w:val="00A36278"/>
    <w:rsid w:val="00A446F5"/>
    <w:rsid w:val="00A44882"/>
    <w:rsid w:val="00A45125"/>
    <w:rsid w:val="00A507CC"/>
    <w:rsid w:val="00A54715"/>
    <w:rsid w:val="00A6061C"/>
    <w:rsid w:val="00A62D44"/>
    <w:rsid w:val="00A67263"/>
    <w:rsid w:val="00A7161C"/>
    <w:rsid w:val="00A71CE4"/>
    <w:rsid w:val="00A77AA3"/>
    <w:rsid w:val="00A8236D"/>
    <w:rsid w:val="00A854EB"/>
    <w:rsid w:val="00A8564C"/>
    <w:rsid w:val="00A872E5"/>
    <w:rsid w:val="00A91406"/>
    <w:rsid w:val="00A96E65"/>
    <w:rsid w:val="00A96ECE"/>
    <w:rsid w:val="00A97BD3"/>
    <w:rsid w:val="00A97C72"/>
    <w:rsid w:val="00AA310B"/>
    <w:rsid w:val="00AA63D4"/>
    <w:rsid w:val="00AB06E8"/>
    <w:rsid w:val="00AB1CD3"/>
    <w:rsid w:val="00AB352F"/>
    <w:rsid w:val="00AC274B"/>
    <w:rsid w:val="00AC3F17"/>
    <w:rsid w:val="00AC4764"/>
    <w:rsid w:val="00AC6D36"/>
    <w:rsid w:val="00AD0CBA"/>
    <w:rsid w:val="00AD26E2"/>
    <w:rsid w:val="00AD5B82"/>
    <w:rsid w:val="00AD784C"/>
    <w:rsid w:val="00AE126A"/>
    <w:rsid w:val="00AE1BAE"/>
    <w:rsid w:val="00AE3005"/>
    <w:rsid w:val="00AE3BD5"/>
    <w:rsid w:val="00AE59A0"/>
    <w:rsid w:val="00AF0C57"/>
    <w:rsid w:val="00AF26F3"/>
    <w:rsid w:val="00AF5F04"/>
    <w:rsid w:val="00B00672"/>
    <w:rsid w:val="00B01B4D"/>
    <w:rsid w:val="00B04489"/>
    <w:rsid w:val="00B06571"/>
    <w:rsid w:val="00B068BA"/>
    <w:rsid w:val="00B07217"/>
    <w:rsid w:val="00B13851"/>
    <w:rsid w:val="00B13B1C"/>
    <w:rsid w:val="00B14B5F"/>
    <w:rsid w:val="00B21F90"/>
    <w:rsid w:val="00B22291"/>
    <w:rsid w:val="00B23F9A"/>
    <w:rsid w:val="00B2417B"/>
    <w:rsid w:val="00B24E6F"/>
    <w:rsid w:val="00B26CB5"/>
    <w:rsid w:val="00B2752E"/>
    <w:rsid w:val="00B307CC"/>
    <w:rsid w:val="00B326B7"/>
    <w:rsid w:val="00B3588E"/>
    <w:rsid w:val="00B4198F"/>
    <w:rsid w:val="00B41F3D"/>
    <w:rsid w:val="00B431E8"/>
    <w:rsid w:val="00B45141"/>
    <w:rsid w:val="00B519CD"/>
    <w:rsid w:val="00B5273A"/>
    <w:rsid w:val="00B57329"/>
    <w:rsid w:val="00B60E61"/>
    <w:rsid w:val="00B60F9F"/>
    <w:rsid w:val="00B62B50"/>
    <w:rsid w:val="00B635B7"/>
    <w:rsid w:val="00B63AE8"/>
    <w:rsid w:val="00B65950"/>
    <w:rsid w:val="00B66D83"/>
    <w:rsid w:val="00B66E12"/>
    <w:rsid w:val="00B672C0"/>
    <w:rsid w:val="00B676FD"/>
    <w:rsid w:val="00B678B6"/>
    <w:rsid w:val="00B713E4"/>
    <w:rsid w:val="00B7530A"/>
    <w:rsid w:val="00B75646"/>
    <w:rsid w:val="00B7629E"/>
    <w:rsid w:val="00B77036"/>
    <w:rsid w:val="00B82A5E"/>
    <w:rsid w:val="00B87620"/>
    <w:rsid w:val="00B90729"/>
    <w:rsid w:val="00B907DA"/>
    <w:rsid w:val="00B93685"/>
    <w:rsid w:val="00B94C5E"/>
    <w:rsid w:val="00B950BC"/>
    <w:rsid w:val="00B9714C"/>
    <w:rsid w:val="00BA1A35"/>
    <w:rsid w:val="00BA29AD"/>
    <w:rsid w:val="00BA33CF"/>
    <w:rsid w:val="00BA3F8D"/>
    <w:rsid w:val="00BB7A10"/>
    <w:rsid w:val="00BC60BE"/>
    <w:rsid w:val="00BC7468"/>
    <w:rsid w:val="00BC7D4F"/>
    <w:rsid w:val="00BC7ED7"/>
    <w:rsid w:val="00BD2850"/>
    <w:rsid w:val="00BD3DE6"/>
    <w:rsid w:val="00BE28D2"/>
    <w:rsid w:val="00BE4A64"/>
    <w:rsid w:val="00BE5E43"/>
    <w:rsid w:val="00BF179F"/>
    <w:rsid w:val="00BF557D"/>
    <w:rsid w:val="00BF658D"/>
    <w:rsid w:val="00BF7F58"/>
    <w:rsid w:val="00C01381"/>
    <w:rsid w:val="00C01AB1"/>
    <w:rsid w:val="00C026A0"/>
    <w:rsid w:val="00C05848"/>
    <w:rsid w:val="00C06137"/>
    <w:rsid w:val="00C06929"/>
    <w:rsid w:val="00C079B8"/>
    <w:rsid w:val="00C10037"/>
    <w:rsid w:val="00C114CE"/>
    <w:rsid w:val="00C115E1"/>
    <w:rsid w:val="00C123EA"/>
    <w:rsid w:val="00C12A49"/>
    <w:rsid w:val="00C133EE"/>
    <w:rsid w:val="00C149D0"/>
    <w:rsid w:val="00C17A11"/>
    <w:rsid w:val="00C202A7"/>
    <w:rsid w:val="00C26588"/>
    <w:rsid w:val="00C27DE9"/>
    <w:rsid w:val="00C32989"/>
    <w:rsid w:val="00C33388"/>
    <w:rsid w:val="00C35484"/>
    <w:rsid w:val="00C4173A"/>
    <w:rsid w:val="00C50DED"/>
    <w:rsid w:val="00C52217"/>
    <w:rsid w:val="00C602FF"/>
    <w:rsid w:val="00C60411"/>
    <w:rsid w:val="00C61174"/>
    <w:rsid w:val="00C6148F"/>
    <w:rsid w:val="00C621B1"/>
    <w:rsid w:val="00C62F7A"/>
    <w:rsid w:val="00C63B9C"/>
    <w:rsid w:val="00C6682F"/>
    <w:rsid w:val="00C67BF4"/>
    <w:rsid w:val="00C7275E"/>
    <w:rsid w:val="00C731AF"/>
    <w:rsid w:val="00C73734"/>
    <w:rsid w:val="00C74C5D"/>
    <w:rsid w:val="00C7788B"/>
    <w:rsid w:val="00C863C4"/>
    <w:rsid w:val="00C90DAB"/>
    <w:rsid w:val="00C920EA"/>
    <w:rsid w:val="00C93C3E"/>
    <w:rsid w:val="00CA0389"/>
    <w:rsid w:val="00CA12E3"/>
    <w:rsid w:val="00CA1476"/>
    <w:rsid w:val="00CA3E97"/>
    <w:rsid w:val="00CA6611"/>
    <w:rsid w:val="00CA6AE6"/>
    <w:rsid w:val="00CA782F"/>
    <w:rsid w:val="00CB187B"/>
    <w:rsid w:val="00CB2835"/>
    <w:rsid w:val="00CB3285"/>
    <w:rsid w:val="00CB4500"/>
    <w:rsid w:val="00CB470D"/>
    <w:rsid w:val="00CC0C72"/>
    <w:rsid w:val="00CC2BFD"/>
    <w:rsid w:val="00CC6F40"/>
    <w:rsid w:val="00CD3476"/>
    <w:rsid w:val="00CD64DF"/>
    <w:rsid w:val="00CE225F"/>
    <w:rsid w:val="00CE5A7A"/>
    <w:rsid w:val="00CF2F50"/>
    <w:rsid w:val="00CF6198"/>
    <w:rsid w:val="00D02919"/>
    <w:rsid w:val="00D04C61"/>
    <w:rsid w:val="00D05B8D"/>
    <w:rsid w:val="00D05B9B"/>
    <w:rsid w:val="00D065A2"/>
    <w:rsid w:val="00D079AA"/>
    <w:rsid w:val="00D07F00"/>
    <w:rsid w:val="00D1130F"/>
    <w:rsid w:val="00D17B72"/>
    <w:rsid w:val="00D2078D"/>
    <w:rsid w:val="00D3185C"/>
    <w:rsid w:val="00D3205F"/>
    <w:rsid w:val="00D3318E"/>
    <w:rsid w:val="00D33E72"/>
    <w:rsid w:val="00D35BD6"/>
    <w:rsid w:val="00D361B5"/>
    <w:rsid w:val="00D411A2"/>
    <w:rsid w:val="00D4606D"/>
    <w:rsid w:val="00D50B9C"/>
    <w:rsid w:val="00D513AF"/>
    <w:rsid w:val="00D52D73"/>
    <w:rsid w:val="00D52E58"/>
    <w:rsid w:val="00D56B20"/>
    <w:rsid w:val="00D578B3"/>
    <w:rsid w:val="00D61517"/>
    <w:rsid w:val="00D618F4"/>
    <w:rsid w:val="00D63636"/>
    <w:rsid w:val="00D714CC"/>
    <w:rsid w:val="00D75EA7"/>
    <w:rsid w:val="00D81ADF"/>
    <w:rsid w:val="00D81F21"/>
    <w:rsid w:val="00D864F2"/>
    <w:rsid w:val="00D943F8"/>
    <w:rsid w:val="00D95470"/>
    <w:rsid w:val="00D96B55"/>
    <w:rsid w:val="00DA2619"/>
    <w:rsid w:val="00DA4239"/>
    <w:rsid w:val="00DA588C"/>
    <w:rsid w:val="00DA65DE"/>
    <w:rsid w:val="00DB0B61"/>
    <w:rsid w:val="00DB1474"/>
    <w:rsid w:val="00DB2962"/>
    <w:rsid w:val="00DB3128"/>
    <w:rsid w:val="00DB52FB"/>
    <w:rsid w:val="00DC013B"/>
    <w:rsid w:val="00DC090B"/>
    <w:rsid w:val="00DC1679"/>
    <w:rsid w:val="00DC219B"/>
    <w:rsid w:val="00DC2CF1"/>
    <w:rsid w:val="00DC2DC7"/>
    <w:rsid w:val="00DC2EA0"/>
    <w:rsid w:val="00DC3A7C"/>
    <w:rsid w:val="00DC4FCF"/>
    <w:rsid w:val="00DC50E0"/>
    <w:rsid w:val="00DC6386"/>
    <w:rsid w:val="00DD1130"/>
    <w:rsid w:val="00DD1951"/>
    <w:rsid w:val="00DD478C"/>
    <w:rsid w:val="00DD487D"/>
    <w:rsid w:val="00DD4E83"/>
    <w:rsid w:val="00DD6628"/>
    <w:rsid w:val="00DD6945"/>
    <w:rsid w:val="00DE2D04"/>
    <w:rsid w:val="00DE3250"/>
    <w:rsid w:val="00DE6028"/>
    <w:rsid w:val="00DE6C85"/>
    <w:rsid w:val="00DE78A3"/>
    <w:rsid w:val="00DF0847"/>
    <w:rsid w:val="00DF1A71"/>
    <w:rsid w:val="00DF50FC"/>
    <w:rsid w:val="00DF68C7"/>
    <w:rsid w:val="00DF731A"/>
    <w:rsid w:val="00E06B75"/>
    <w:rsid w:val="00E07302"/>
    <w:rsid w:val="00E11332"/>
    <w:rsid w:val="00E11352"/>
    <w:rsid w:val="00E170DC"/>
    <w:rsid w:val="00E17546"/>
    <w:rsid w:val="00E210B5"/>
    <w:rsid w:val="00E261B3"/>
    <w:rsid w:val="00E26818"/>
    <w:rsid w:val="00E27FFC"/>
    <w:rsid w:val="00E30B15"/>
    <w:rsid w:val="00E33237"/>
    <w:rsid w:val="00E40181"/>
    <w:rsid w:val="00E51041"/>
    <w:rsid w:val="00E54950"/>
    <w:rsid w:val="00E55FB3"/>
    <w:rsid w:val="00E56A01"/>
    <w:rsid w:val="00E629A1"/>
    <w:rsid w:val="00E6794C"/>
    <w:rsid w:val="00E71591"/>
    <w:rsid w:val="00E71CEB"/>
    <w:rsid w:val="00E7474F"/>
    <w:rsid w:val="00E74E39"/>
    <w:rsid w:val="00E80DE3"/>
    <w:rsid w:val="00E82C55"/>
    <w:rsid w:val="00E86F93"/>
    <w:rsid w:val="00E873B3"/>
    <w:rsid w:val="00E8787E"/>
    <w:rsid w:val="00E92AC3"/>
    <w:rsid w:val="00EA2F6A"/>
    <w:rsid w:val="00EB00E0"/>
    <w:rsid w:val="00EB038E"/>
    <w:rsid w:val="00EB05D5"/>
    <w:rsid w:val="00EB4BC7"/>
    <w:rsid w:val="00EB56B9"/>
    <w:rsid w:val="00EB60C1"/>
    <w:rsid w:val="00EC059F"/>
    <w:rsid w:val="00EC1F24"/>
    <w:rsid w:val="00EC22F6"/>
    <w:rsid w:val="00EC3DB9"/>
    <w:rsid w:val="00ED5B9B"/>
    <w:rsid w:val="00ED6BAD"/>
    <w:rsid w:val="00ED7447"/>
    <w:rsid w:val="00ED7762"/>
    <w:rsid w:val="00EE00D6"/>
    <w:rsid w:val="00EE11E7"/>
    <w:rsid w:val="00EE1488"/>
    <w:rsid w:val="00EE29AD"/>
    <w:rsid w:val="00EE3E24"/>
    <w:rsid w:val="00EE4D5D"/>
    <w:rsid w:val="00EE5131"/>
    <w:rsid w:val="00EF109B"/>
    <w:rsid w:val="00EF201C"/>
    <w:rsid w:val="00EF2C72"/>
    <w:rsid w:val="00EF36AF"/>
    <w:rsid w:val="00EF5563"/>
    <w:rsid w:val="00EF59A3"/>
    <w:rsid w:val="00EF6675"/>
    <w:rsid w:val="00F0063D"/>
    <w:rsid w:val="00F00F9C"/>
    <w:rsid w:val="00F01E5F"/>
    <w:rsid w:val="00F024F3"/>
    <w:rsid w:val="00F02ABA"/>
    <w:rsid w:val="00F0437A"/>
    <w:rsid w:val="00F1004F"/>
    <w:rsid w:val="00F101B8"/>
    <w:rsid w:val="00F11037"/>
    <w:rsid w:val="00F12F18"/>
    <w:rsid w:val="00F16F1B"/>
    <w:rsid w:val="00F250A9"/>
    <w:rsid w:val="00F267AF"/>
    <w:rsid w:val="00F30FF4"/>
    <w:rsid w:val="00F3122E"/>
    <w:rsid w:val="00F32368"/>
    <w:rsid w:val="00F331AD"/>
    <w:rsid w:val="00F35287"/>
    <w:rsid w:val="00F40A70"/>
    <w:rsid w:val="00F40BED"/>
    <w:rsid w:val="00F43A37"/>
    <w:rsid w:val="00F4641B"/>
    <w:rsid w:val="00F46EB8"/>
    <w:rsid w:val="00F50CD1"/>
    <w:rsid w:val="00F511E4"/>
    <w:rsid w:val="00F52D09"/>
    <w:rsid w:val="00F52E08"/>
    <w:rsid w:val="00F53A66"/>
    <w:rsid w:val="00F5462D"/>
    <w:rsid w:val="00F55B21"/>
    <w:rsid w:val="00F56EF6"/>
    <w:rsid w:val="00F60082"/>
    <w:rsid w:val="00F61A9F"/>
    <w:rsid w:val="00F61B5F"/>
    <w:rsid w:val="00F62045"/>
    <w:rsid w:val="00F64696"/>
    <w:rsid w:val="00F65AA9"/>
    <w:rsid w:val="00F6768F"/>
    <w:rsid w:val="00F72C2C"/>
    <w:rsid w:val="00F741F2"/>
    <w:rsid w:val="00F76CAB"/>
    <w:rsid w:val="00F772C6"/>
    <w:rsid w:val="00F815B5"/>
    <w:rsid w:val="00F823F9"/>
    <w:rsid w:val="00F85195"/>
    <w:rsid w:val="00F868E3"/>
    <w:rsid w:val="00F90C24"/>
    <w:rsid w:val="00F91D8F"/>
    <w:rsid w:val="00F938BA"/>
    <w:rsid w:val="00F97919"/>
    <w:rsid w:val="00FA2C46"/>
    <w:rsid w:val="00FA3525"/>
    <w:rsid w:val="00FA5A53"/>
    <w:rsid w:val="00FA7D6E"/>
    <w:rsid w:val="00FB1F6E"/>
    <w:rsid w:val="00FB4769"/>
    <w:rsid w:val="00FB4CDA"/>
    <w:rsid w:val="00FB6481"/>
    <w:rsid w:val="00FB6D36"/>
    <w:rsid w:val="00FC0965"/>
    <w:rsid w:val="00FC0F81"/>
    <w:rsid w:val="00FC252F"/>
    <w:rsid w:val="00FC395C"/>
    <w:rsid w:val="00FC5E8E"/>
    <w:rsid w:val="00FD3766"/>
    <w:rsid w:val="00FD3D05"/>
    <w:rsid w:val="00FD47C4"/>
    <w:rsid w:val="00FD490E"/>
    <w:rsid w:val="00FD5A48"/>
    <w:rsid w:val="00FE01D7"/>
    <w:rsid w:val="00FE2DCF"/>
    <w:rsid w:val="00FE3FA7"/>
    <w:rsid w:val="00FE4081"/>
    <w:rsid w:val="00FF2A4E"/>
    <w:rsid w:val="00FF2FCE"/>
    <w:rsid w:val="00FF4F7D"/>
    <w:rsid w:val="00FF6D9D"/>
    <w:rsid w:val="00FF7620"/>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8305"/>
    <o:shapelayout v:ext="edit">
      <o:idmap v:ext="edit" data="1"/>
    </o:shapelayout>
  </w:shapeDefaults>
  <w:decimalSymbol w:val="."/>
  <w:listSeparator w:val=","/>
  <w14:docId w14:val="406EC61B"/>
  <w15:docId w15:val="{FAB4CF7A-DA1F-4CD6-B18E-744DF66A7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iPriority="98"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34"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DD478C"/>
    <w:pPr>
      <w:spacing w:after="120" w:line="280" w:lineRule="atLeast"/>
    </w:pPr>
    <w:rPr>
      <w:rFonts w:ascii="Arial" w:hAnsi="Arial"/>
      <w:sz w:val="21"/>
      <w:lang w:eastAsia="en-US"/>
    </w:rPr>
  </w:style>
  <w:style w:type="paragraph" w:styleId="Heading1">
    <w:name w:val="heading 1"/>
    <w:next w:val="Body"/>
    <w:link w:val="Heading1Char"/>
    <w:uiPriority w:val="1"/>
    <w:qFormat/>
    <w:rsid w:val="00030CDD"/>
    <w:pPr>
      <w:keepNext/>
      <w:keepLines/>
      <w:spacing w:before="520" w:after="240" w:line="480" w:lineRule="atLeast"/>
      <w:outlineLvl w:val="0"/>
    </w:pPr>
    <w:rPr>
      <w:rFonts w:ascii="Arial" w:eastAsia="MS Gothic" w:hAnsi="Arial" w:cs="Arial"/>
      <w:bCs/>
      <w:color w:val="53565A"/>
      <w:kern w:val="32"/>
      <w:sz w:val="44"/>
      <w:szCs w:val="44"/>
      <w:lang w:eastAsia="en-US"/>
    </w:rPr>
  </w:style>
  <w:style w:type="paragraph" w:styleId="Heading2">
    <w:name w:val="heading 2"/>
    <w:next w:val="Body"/>
    <w:link w:val="Heading2Char"/>
    <w:uiPriority w:val="1"/>
    <w:qFormat/>
    <w:rsid w:val="00030CDD"/>
    <w:pPr>
      <w:keepNext/>
      <w:keepLines/>
      <w:spacing w:before="360" w:after="12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030CDD"/>
    <w:pPr>
      <w:keepNext/>
      <w:keepLines/>
      <w:spacing w:before="360" w:after="120" w:line="320" w:lineRule="atLeast"/>
      <w:outlineLvl w:val="2"/>
    </w:pPr>
    <w:rPr>
      <w:rFonts w:ascii="Arial" w:eastAsia="MS Gothic" w:hAnsi="Arial"/>
      <w:bCs/>
      <w:color w:val="53565A"/>
      <w:sz w:val="30"/>
      <w:szCs w:val="26"/>
      <w:lang w:eastAsia="en-US"/>
    </w:rPr>
  </w:style>
  <w:style w:type="paragraph" w:styleId="Heading4">
    <w:name w:val="heading 4"/>
    <w:next w:val="Body"/>
    <w:link w:val="Heading4Char"/>
    <w:uiPriority w:val="1"/>
    <w:qFormat/>
    <w:rsid w:val="00030CDD"/>
    <w:pPr>
      <w:keepNext/>
      <w:keepLines/>
      <w:spacing w:before="240" w:after="8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qFormat/>
    <w:rsid w:val="00030CDD"/>
    <w:pPr>
      <w:keepNext/>
      <w:keepLines/>
      <w:spacing w:before="240" w:after="0"/>
      <w:outlineLvl w:val="4"/>
    </w:pPr>
    <w:rPr>
      <w:rFonts w:eastAsia="MS Mincho"/>
      <w:b/>
      <w:bCs/>
      <w:iCs/>
      <w:color w:val="53565A"/>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030CDD"/>
    <w:rPr>
      <w:rFonts w:ascii="Arial" w:eastAsia="MS Gothic" w:hAnsi="Arial" w:cs="Arial"/>
      <w:bCs/>
      <w:color w:val="53565A"/>
      <w:kern w:val="32"/>
      <w:sz w:val="44"/>
      <w:szCs w:val="44"/>
      <w:lang w:eastAsia="en-US"/>
    </w:rPr>
  </w:style>
  <w:style w:type="character" w:customStyle="1" w:styleId="Heading2Char">
    <w:name w:val="Heading 2 Char"/>
    <w:link w:val="Heading2"/>
    <w:uiPriority w:val="1"/>
    <w:rsid w:val="00030CDD"/>
    <w:rPr>
      <w:rFonts w:ascii="Arial" w:hAnsi="Arial"/>
      <w:b/>
      <w:color w:val="53565A"/>
      <w:sz w:val="32"/>
      <w:szCs w:val="28"/>
      <w:lang w:eastAsia="en-US"/>
    </w:rPr>
  </w:style>
  <w:style w:type="character" w:customStyle="1" w:styleId="Heading3Char">
    <w:name w:val="Heading 3 Char"/>
    <w:link w:val="Heading3"/>
    <w:uiPriority w:val="1"/>
    <w:rsid w:val="00030CDD"/>
    <w:rPr>
      <w:rFonts w:ascii="Arial" w:eastAsia="MS Gothic" w:hAnsi="Arial"/>
      <w:bCs/>
      <w:color w:val="53565A"/>
      <w:sz w:val="30"/>
      <w:szCs w:val="26"/>
      <w:lang w:eastAsia="en-US"/>
    </w:rPr>
  </w:style>
  <w:style w:type="character" w:customStyle="1" w:styleId="Heading4Char">
    <w:name w:val="Heading 4 Char"/>
    <w:link w:val="Heading4"/>
    <w:uiPriority w:val="1"/>
    <w:rsid w:val="00030CDD"/>
    <w:rPr>
      <w:rFonts w:ascii="Arial" w:eastAsia="MS Mincho" w:hAnsi="Arial"/>
      <w:b/>
      <w:bCs/>
      <w:color w:val="53565A"/>
      <w:sz w:val="24"/>
      <w:szCs w:val="22"/>
      <w:lang w:eastAsia="en-US"/>
    </w:rPr>
  </w:style>
  <w:style w:type="paragraph" w:styleId="Header">
    <w:name w:val="header"/>
    <w:link w:val="HeaderChar"/>
    <w:uiPriority w:val="99"/>
    <w:rsid w:val="00EB56B9"/>
    <w:pPr>
      <w:spacing w:after="300"/>
    </w:pPr>
    <w:rPr>
      <w:rFonts w:ascii="Arial" w:hAnsi="Arial" w:cs="Arial"/>
      <w:color w:val="53565A"/>
      <w:sz w:val="18"/>
      <w:szCs w:val="18"/>
      <w:lang w:eastAsia="en-US"/>
    </w:rPr>
  </w:style>
  <w:style w:type="paragraph" w:styleId="Footer">
    <w:name w:val="footer"/>
    <w:uiPriority w:val="98"/>
    <w:rsid w:val="00A97BD3"/>
    <w:pPr>
      <w:spacing w:before="300"/>
      <w:jc w:val="right"/>
    </w:pPr>
    <w:rPr>
      <w:rFonts w:ascii="Arial" w:hAnsi="Arial" w:cs="Arial"/>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uiPriority w:val="59"/>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C60411"/>
    <w:pPr>
      <w:numPr>
        <w:numId w:val="2"/>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semiHidden/>
    <w:unhideWhenUsed/>
    <w:rsid w:val="003744CF"/>
    <w:rPr>
      <w:sz w:val="18"/>
    </w:rPr>
  </w:style>
  <w:style w:type="paragraph" w:styleId="TOC1">
    <w:name w:val="toc 1"/>
    <w:basedOn w:val="Normal"/>
    <w:next w:val="Normal"/>
    <w:uiPriority w:val="39"/>
    <w:rsid w:val="000033F7"/>
    <w:pPr>
      <w:keepNext/>
      <w:keepLines/>
      <w:tabs>
        <w:tab w:val="right" w:leader="dot" w:pos="9299"/>
      </w:tabs>
      <w:spacing w:before="160" w:after="60"/>
    </w:pPr>
    <w:rPr>
      <w:b/>
      <w:noProof/>
    </w:rPr>
  </w:style>
  <w:style w:type="character" w:customStyle="1" w:styleId="Heading5Char">
    <w:name w:val="Heading 5 Char"/>
    <w:link w:val="Heading5"/>
    <w:uiPriority w:val="9"/>
    <w:rsid w:val="00030CDD"/>
    <w:rPr>
      <w:rFonts w:ascii="Arial" w:eastAsia="MS Mincho" w:hAnsi="Arial"/>
      <w:b/>
      <w:bCs/>
      <w:iCs/>
      <w:color w:val="53565A"/>
      <w:sz w:val="21"/>
      <w:szCs w:val="26"/>
      <w:lang w:eastAsia="en-US"/>
    </w:rPr>
  </w:style>
  <w:style w:type="character" w:styleId="Strong">
    <w:name w:val="Strong"/>
    <w:uiPriority w:val="22"/>
    <w:qFormat/>
    <w:rsid w:val="00FA3525"/>
    <w:rPr>
      <w:b/>
      <w:bCs/>
    </w:rPr>
  </w:style>
  <w:style w:type="paragraph" w:customStyle="1" w:styleId="TOCheadingreport">
    <w:name w:val="TOC heading report"/>
    <w:basedOn w:val="Heading1"/>
    <w:next w:val="Body"/>
    <w:link w:val="TOCheadingreportChar"/>
    <w:uiPriority w:val="4"/>
    <w:rsid w:val="00A71CE4"/>
    <w:pPr>
      <w:pageBreakBefore/>
      <w:spacing w:before="0"/>
      <w:outlineLvl w:val="9"/>
    </w:pPr>
  </w:style>
  <w:style w:type="character" w:customStyle="1" w:styleId="TOCheadingreportChar">
    <w:name w:val="TOC heading report Char"/>
    <w:link w:val="TOCheadingreport"/>
    <w:uiPriority w:val="4"/>
    <w:rsid w:val="00A71CE4"/>
    <w:rPr>
      <w:rFonts w:ascii="Arial" w:eastAsia="MS Gothic" w:hAnsi="Arial" w:cs="Arial"/>
      <w:bCs/>
      <w:color w:val="201547"/>
      <w:kern w:val="32"/>
      <w:sz w:val="44"/>
      <w:szCs w:val="44"/>
      <w:lang w:eastAsia="en-US"/>
    </w:rPr>
  </w:style>
  <w:style w:type="paragraph" w:styleId="TOC2">
    <w:name w:val="toc 2"/>
    <w:basedOn w:val="Normal"/>
    <w:next w:val="Normal"/>
    <w:uiPriority w:val="39"/>
    <w:rsid w:val="000033F7"/>
    <w:pPr>
      <w:keepLines/>
      <w:tabs>
        <w:tab w:val="right" w:leader="dot" w:pos="9299"/>
      </w:tabs>
      <w:spacing w:after="60"/>
    </w:pPr>
    <w:rPr>
      <w:noProof/>
    </w:rPr>
  </w:style>
  <w:style w:type="paragraph" w:styleId="TOC3">
    <w:name w:val="toc 3"/>
    <w:basedOn w:val="Normal"/>
    <w:next w:val="Normal"/>
    <w:uiPriority w:val="39"/>
    <w:rsid w:val="000033F7"/>
    <w:pPr>
      <w:keepLines/>
      <w:tabs>
        <w:tab w:val="right" w:leader="dot" w:pos="9299"/>
      </w:tabs>
      <w:spacing w:after="60"/>
      <w:ind w:left="284"/>
    </w:pPr>
    <w:rPr>
      <w:rFonts w:cs="Arial"/>
    </w:rPr>
  </w:style>
  <w:style w:type="paragraph" w:styleId="TOC4">
    <w:name w:val="toc 4"/>
    <w:basedOn w:val="TOC3"/>
    <w:uiPriority w:val="39"/>
    <w:rsid w:val="000033F7"/>
    <w:pPr>
      <w:ind w:left="567"/>
    </w:pPr>
  </w:style>
  <w:style w:type="paragraph" w:styleId="TOC5">
    <w:name w:val="toc 5"/>
    <w:basedOn w:val="TOC4"/>
    <w:rsid w:val="000033F7"/>
    <w:pPr>
      <w:ind w:left="851"/>
    </w:pPr>
  </w:style>
  <w:style w:type="paragraph" w:styleId="TOC6">
    <w:name w:val="toc 6"/>
    <w:basedOn w:val="Normal"/>
    <w:next w:val="Normal"/>
    <w:autoRedefine/>
    <w:semiHidden/>
    <w:rsid w:val="0021053D"/>
    <w:pPr>
      <w:ind w:left="1000"/>
    </w:pPr>
  </w:style>
  <w:style w:type="paragraph" w:styleId="TOC7">
    <w:name w:val="toc 7"/>
    <w:basedOn w:val="Normal"/>
    <w:next w:val="Normal"/>
    <w:autoRedefine/>
    <w:semiHidden/>
    <w:rsid w:val="0021053D"/>
    <w:pPr>
      <w:ind w:left="1200"/>
    </w:pPr>
  </w:style>
  <w:style w:type="paragraph" w:styleId="TOC8">
    <w:name w:val="toc 8"/>
    <w:basedOn w:val="Normal"/>
    <w:next w:val="Normal"/>
    <w:autoRedefine/>
    <w:semiHidden/>
    <w:rsid w:val="0021053D"/>
    <w:pPr>
      <w:ind w:left="1400"/>
    </w:pPr>
  </w:style>
  <w:style w:type="paragraph" w:styleId="TOC9">
    <w:name w:val="toc 9"/>
    <w:basedOn w:val="Normal"/>
    <w:next w:val="Normal"/>
    <w:autoRedefine/>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030CDD"/>
    <w:pPr>
      <w:spacing w:after="240" w:line="560" w:lineRule="atLeast"/>
    </w:pPr>
    <w:rPr>
      <w:rFonts w:ascii="Arial" w:hAnsi="Arial"/>
      <w:b/>
      <w:color w:val="53565A"/>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link w:val="FigurecaptionChar"/>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C60411"/>
    <w:pPr>
      <w:numPr>
        <w:ilvl w:val="1"/>
        <w:numId w:val="2"/>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C60411"/>
    <w:pPr>
      <w:numPr>
        <w:ilvl w:val="1"/>
        <w:numId w:val="3"/>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C60411"/>
    <w:pPr>
      <w:numPr>
        <w:numId w:val="3"/>
      </w:numPr>
    </w:pPr>
  </w:style>
  <w:style w:type="numbering" w:customStyle="1" w:styleId="ZZTablebullets">
    <w:name w:val="ZZ Table bullets"/>
    <w:basedOn w:val="NoList"/>
    <w:rsid w:val="00C60411"/>
    <w:pPr>
      <w:numPr>
        <w:numId w:val="3"/>
      </w:numPr>
    </w:pPr>
  </w:style>
  <w:style w:type="paragraph" w:customStyle="1" w:styleId="Tablecolhead">
    <w:name w:val="Table col head"/>
    <w:uiPriority w:val="3"/>
    <w:qFormat/>
    <w:rsid w:val="00030CD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C60411"/>
    <w:pPr>
      <w:numPr>
        <w:ilvl w:val="2"/>
        <w:numId w:val="1"/>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030CDD"/>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C60411"/>
    <w:pPr>
      <w:numPr>
        <w:numId w:val="2"/>
      </w:numPr>
    </w:pPr>
  </w:style>
  <w:style w:type="numbering" w:customStyle="1" w:styleId="ZZNumbersdigit">
    <w:name w:val="ZZ Numbers digit"/>
    <w:rsid w:val="00C60411"/>
    <w:pPr>
      <w:numPr>
        <w:numId w:val="1"/>
      </w:numPr>
    </w:pPr>
  </w:style>
  <w:style w:type="numbering" w:customStyle="1" w:styleId="ZZQuotebullets">
    <w:name w:val="ZZ Quote bullets"/>
    <w:basedOn w:val="ZZNumbersdigit"/>
    <w:rsid w:val="00C60411"/>
    <w:pPr>
      <w:numPr>
        <w:numId w:val="4"/>
      </w:numPr>
    </w:pPr>
  </w:style>
  <w:style w:type="paragraph" w:customStyle="1" w:styleId="Numberdigit">
    <w:name w:val="Number digit"/>
    <w:basedOn w:val="Body"/>
    <w:uiPriority w:val="2"/>
    <w:rsid w:val="00C60411"/>
    <w:pPr>
      <w:numPr>
        <w:numId w:val="1"/>
      </w:numPr>
    </w:pPr>
  </w:style>
  <w:style w:type="paragraph" w:customStyle="1" w:styleId="Numberloweralphaindent">
    <w:name w:val="Number lower alpha indent"/>
    <w:basedOn w:val="Body"/>
    <w:uiPriority w:val="3"/>
    <w:rsid w:val="00C60411"/>
    <w:pPr>
      <w:numPr>
        <w:ilvl w:val="1"/>
        <w:numId w:val="6"/>
      </w:numPr>
    </w:pPr>
  </w:style>
  <w:style w:type="paragraph" w:customStyle="1" w:styleId="Numberdigitindent">
    <w:name w:val="Number digit indent"/>
    <w:basedOn w:val="Numberloweralphaindent"/>
    <w:uiPriority w:val="3"/>
    <w:rsid w:val="00C60411"/>
    <w:pPr>
      <w:numPr>
        <w:numId w:val="1"/>
      </w:numPr>
    </w:pPr>
  </w:style>
  <w:style w:type="paragraph" w:customStyle="1" w:styleId="Numberloweralpha">
    <w:name w:val="Number lower alpha"/>
    <w:basedOn w:val="Body"/>
    <w:uiPriority w:val="3"/>
    <w:rsid w:val="00C60411"/>
    <w:pPr>
      <w:numPr>
        <w:numId w:val="6"/>
      </w:numPr>
    </w:pPr>
  </w:style>
  <w:style w:type="paragraph" w:customStyle="1" w:styleId="Numberlowerroman">
    <w:name w:val="Number lower roman"/>
    <w:basedOn w:val="Body"/>
    <w:uiPriority w:val="3"/>
    <w:rsid w:val="00C60411"/>
    <w:pPr>
      <w:numPr>
        <w:numId w:val="5"/>
      </w:numPr>
    </w:pPr>
  </w:style>
  <w:style w:type="paragraph" w:customStyle="1" w:styleId="Numberlowerromanindent">
    <w:name w:val="Number lower roman indent"/>
    <w:basedOn w:val="Body"/>
    <w:uiPriority w:val="3"/>
    <w:rsid w:val="00C60411"/>
    <w:pPr>
      <w:numPr>
        <w:ilvl w:val="1"/>
        <w:numId w:val="5"/>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C60411"/>
    <w:pPr>
      <w:numPr>
        <w:ilvl w:val="3"/>
        <w:numId w:val="1"/>
      </w:numPr>
    </w:pPr>
  </w:style>
  <w:style w:type="numbering" w:customStyle="1" w:styleId="ZZNumberslowerroman">
    <w:name w:val="ZZ Numbers lower roman"/>
    <w:basedOn w:val="ZZQuotebullets"/>
    <w:rsid w:val="00C60411"/>
    <w:pPr>
      <w:numPr>
        <w:numId w:val="5"/>
      </w:numPr>
    </w:pPr>
  </w:style>
  <w:style w:type="numbering" w:customStyle="1" w:styleId="ZZNumbersloweralpha">
    <w:name w:val="ZZ Numbers lower alpha"/>
    <w:basedOn w:val="NoList"/>
    <w:rsid w:val="00C60411"/>
    <w:pPr>
      <w:numPr>
        <w:numId w:val="6"/>
      </w:numPr>
    </w:pPr>
  </w:style>
  <w:style w:type="paragraph" w:customStyle="1" w:styleId="Quotebullet1">
    <w:name w:val="Quote bullet 1"/>
    <w:basedOn w:val="Quotetext"/>
    <w:rsid w:val="00C60411"/>
    <w:pPr>
      <w:numPr>
        <w:numId w:val="4"/>
      </w:numPr>
    </w:pPr>
  </w:style>
  <w:style w:type="paragraph" w:customStyle="1" w:styleId="Quotebullet2">
    <w:name w:val="Quote bullet 2"/>
    <w:basedOn w:val="Quotetext"/>
    <w:rsid w:val="00C60411"/>
    <w:pPr>
      <w:numPr>
        <w:ilvl w:val="1"/>
        <w:numId w:val="4"/>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43039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4B4185"/>
    <w:pPr>
      <w:spacing w:after="60" w:line="270" w:lineRule="atLeast"/>
    </w:pPr>
    <w:rPr>
      <w:color w:val="000000" w:themeColor="text1"/>
      <w:sz w:val="20"/>
    </w:rPr>
  </w:style>
  <w:style w:type="paragraph" w:customStyle="1" w:styleId="DHHStabletext6pt">
    <w:name w:val="DHHS table text + 6pt"/>
    <w:basedOn w:val="DHHStabletext"/>
    <w:rsid w:val="0091306F"/>
    <w:pPr>
      <w:spacing w:after="120"/>
    </w:pPr>
  </w:style>
  <w:style w:type="paragraph" w:customStyle="1" w:styleId="DHHSreportsubtitle">
    <w:name w:val="DHHS report subtitle"/>
    <w:basedOn w:val="Normal"/>
    <w:link w:val="DHHSreportsubtitleChar"/>
    <w:uiPriority w:val="4"/>
    <w:rsid w:val="0091306F"/>
    <w:pPr>
      <w:spacing w:line="380" w:lineRule="atLeast"/>
    </w:pPr>
    <w:rPr>
      <w:color w:val="000000"/>
      <w:sz w:val="30"/>
      <w:szCs w:val="30"/>
    </w:rPr>
  </w:style>
  <w:style w:type="paragraph" w:customStyle="1" w:styleId="DHHSreportmaintitle">
    <w:name w:val="DHHS report main title"/>
    <w:uiPriority w:val="4"/>
    <w:rsid w:val="0091306F"/>
    <w:pPr>
      <w:keepLines/>
      <w:spacing w:after="240" w:line="580" w:lineRule="atLeast"/>
    </w:pPr>
    <w:rPr>
      <w:rFonts w:ascii="Arial" w:hAnsi="Arial"/>
      <w:color w:val="007B4B"/>
      <w:sz w:val="50"/>
      <w:szCs w:val="24"/>
      <w:lang w:eastAsia="en-US"/>
    </w:rPr>
  </w:style>
  <w:style w:type="paragraph" w:customStyle="1" w:styleId="DHHSreportmaintitlewhite">
    <w:name w:val="DHHS report main title white"/>
    <w:uiPriority w:val="4"/>
    <w:rsid w:val="0091306F"/>
    <w:pPr>
      <w:keepLines/>
      <w:spacing w:after="240" w:line="580" w:lineRule="atLeast"/>
    </w:pPr>
    <w:rPr>
      <w:rFonts w:ascii="Arial" w:hAnsi="Arial"/>
      <w:bCs/>
      <w:color w:val="FFFFFF"/>
      <w:sz w:val="50"/>
      <w:szCs w:val="50"/>
      <w:lang w:eastAsia="en-US"/>
    </w:rPr>
  </w:style>
  <w:style w:type="paragraph" w:customStyle="1" w:styleId="DHHSreportsubtitlewhite">
    <w:name w:val="DHHS report subtitle white"/>
    <w:uiPriority w:val="4"/>
    <w:rsid w:val="0091306F"/>
    <w:pPr>
      <w:spacing w:after="120" w:line="380" w:lineRule="atLeast"/>
    </w:pPr>
    <w:rPr>
      <w:rFonts w:ascii="Arial" w:hAnsi="Arial"/>
      <w:bCs/>
      <w:color w:val="FFFFFF"/>
      <w:sz w:val="30"/>
      <w:szCs w:val="30"/>
      <w:lang w:eastAsia="en-US"/>
    </w:rPr>
  </w:style>
  <w:style w:type="paragraph" w:customStyle="1" w:styleId="Coverinstructions">
    <w:name w:val="Cover instructions"/>
    <w:rsid w:val="0091306F"/>
    <w:pPr>
      <w:spacing w:after="200" w:line="320" w:lineRule="atLeast"/>
    </w:pPr>
    <w:rPr>
      <w:rFonts w:ascii="Arial" w:hAnsi="Arial"/>
      <w:color w:val="FFFFFF"/>
      <w:sz w:val="24"/>
      <w:lang w:eastAsia="en-US"/>
    </w:rPr>
  </w:style>
  <w:style w:type="paragraph" w:customStyle="1" w:styleId="DHHSbody">
    <w:name w:val="DHHS body"/>
    <w:basedOn w:val="Body"/>
    <w:link w:val="DHHSbodyChar"/>
    <w:qFormat/>
    <w:rsid w:val="0091306F"/>
  </w:style>
  <w:style w:type="paragraph" w:customStyle="1" w:styleId="DHHSbullet1">
    <w:name w:val="DHHS bullet 1"/>
    <w:basedOn w:val="DHHSbody"/>
    <w:qFormat/>
    <w:rsid w:val="0091306F"/>
    <w:pPr>
      <w:tabs>
        <w:tab w:val="num" w:pos="397"/>
      </w:tabs>
      <w:spacing w:after="40"/>
      <w:ind w:left="397" w:hanging="397"/>
    </w:pPr>
  </w:style>
  <w:style w:type="paragraph" w:customStyle="1" w:styleId="DHHSnumberloweralpha">
    <w:name w:val="DHHS number lower alpha"/>
    <w:basedOn w:val="DHHSbody"/>
    <w:link w:val="DHHSnumberloweralphaChar"/>
    <w:uiPriority w:val="3"/>
    <w:rsid w:val="0091306F"/>
    <w:pPr>
      <w:tabs>
        <w:tab w:val="num" w:pos="926"/>
      </w:tabs>
      <w:ind w:left="926" w:hanging="360"/>
    </w:pPr>
  </w:style>
  <w:style w:type="paragraph" w:customStyle="1" w:styleId="DHHSnumberloweralphaindent">
    <w:name w:val="DHHS number lower alpha indent"/>
    <w:basedOn w:val="DHHSbody"/>
    <w:uiPriority w:val="3"/>
    <w:rsid w:val="0091306F"/>
    <w:pPr>
      <w:tabs>
        <w:tab w:val="num" w:pos="926"/>
      </w:tabs>
      <w:ind w:left="926" w:hanging="360"/>
    </w:pPr>
  </w:style>
  <w:style w:type="paragraph" w:customStyle="1" w:styleId="DHHStablefigurenote">
    <w:name w:val="DHHS table/figure note"/>
    <w:uiPriority w:val="4"/>
    <w:rsid w:val="0091306F"/>
    <w:pPr>
      <w:spacing w:before="60" w:after="60" w:line="240" w:lineRule="exact"/>
    </w:pPr>
    <w:rPr>
      <w:rFonts w:ascii="Arial" w:hAnsi="Arial"/>
      <w:sz w:val="18"/>
      <w:lang w:eastAsia="en-US"/>
    </w:rPr>
  </w:style>
  <w:style w:type="paragraph" w:customStyle="1" w:styleId="DHHStabletext">
    <w:name w:val="DHHS table text"/>
    <w:basedOn w:val="Tabletext"/>
    <w:link w:val="DHHStabletextChar"/>
    <w:qFormat/>
    <w:rsid w:val="00EB60C1"/>
  </w:style>
  <w:style w:type="paragraph" w:customStyle="1" w:styleId="DHHStablecaption">
    <w:name w:val="DHHS table caption"/>
    <w:next w:val="DHHSbody"/>
    <w:uiPriority w:val="3"/>
    <w:qFormat/>
    <w:rsid w:val="0091306F"/>
    <w:pPr>
      <w:keepNext/>
      <w:keepLines/>
      <w:spacing w:before="240" w:after="120" w:line="240" w:lineRule="atLeast"/>
    </w:pPr>
    <w:rPr>
      <w:rFonts w:ascii="Arial" w:hAnsi="Arial"/>
      <w:b/>
      <w:lang w:eastAsia="en-US"/>
    </w:rPr>
  </w:style>
  <w:style w:type="paragraph" w:customStyle="1" w:styleId="DHHSfigurecaption">
    <w:name w:val="DHHS figure caption"/>
    <w:basedOn w:val="Figurecaption"/>
    <w:next w:val="DHHSbody"/>
    <w:rsid w:val="00E873B3"/>
  </w:style>
  <w:style w:type="paragraph" w:customStyle="1" w:styleId="DHHSfooter">
    <w:name w:val="DHHS footer"/>
    <w:link w:val="DHHSfooterChar"/>
    <w:uiPriority w:val="11"/>
    <w:rsid w:val="0091306F"/>
    <w:pPr>
      <w:tabs>
        <w:tab w:val="right" w:pos="9299"/>
      </w:tabs>
    </w:pPr>
    <w:rPr>
      <w:rFonts w:ascii="Arial" w:hAnsi="Arial" w:cs="Arial"/>
      <w:sz w:val="18"/>
      <w:szCs w:val="18"/>
      <w:lang w:eastAsia="en-US"/>
    </w:rPr>
  </w:style>
  <w:style w:type="paragraph" w:customStyle="1" w:styleId="DHHSbullet2">
    <w:name w:val="DHHS bullet 2"/>
    <w:basedOn w:val="DHHSbody"/>
    <w:uiPriority w:val="2"/>
    <w:qFormat/>
    <w:rsid w:val="0091306F"/>
    <w:pPr>
      <w:tabs>
        <w:tab w:val="num" w:pos="794"/>
      </w:tabs>
      <w:spacing w:after="40"/>
      <w:ind w:left="794" w:hanging="397"/>
    </w:pPr>
  </w:style>
  <w:style w:type="paragraph" w:customStyle="1" w:styleId="DHHSheader">
    <w:name w:val="DHHS header"/>
    <w:basedOn w:val="DHHSfooter"/>
    <w:link w:val="DHHSheaderChar"/>
    <w:uiPriority w:val="11"/>
    <w:rsid w:val="0091306F"/>
  </w:style>
  <w:style w:type="paragraph" w:customStyle="1" w:styleId="DHHSnumberdigit">
    <w:name w:val="DHHS number digit"/>
    <w:basedOn w:val="DHHSbody"/>
    <w:uiPriority w:val="2"/>
    <w:rsid w:val="0091306F"/>
    <w:pPr>
      <w:tabs>
        <w:tab w:val="num" w:pos="397"/>
      </w:tabs>
      <w:ind w:left="397" w:hanging="397"/>
    </w:pPr>
  </w:style>
  <w:style w:type="paragraph" w:customStyle="1" w:styleId="DHHStablecolhead">
    <w:name w:val="DHHS table col head"/>
    <w:uiPriority w:val="3"/>
    <w:rsid w:val="0091306F"/>
    <w:pPr>
      <w:spacing w:before="80" w:after="60"/>
    </w:pPr>
    <w:rPr>
      <w:rFonts w:ascii="Arial" w:hAnsi="Arial"/>
      <w:b/>
      <w:color w:val="007B4B"/>
      <w:lang w:eastAsia="en-US"/>
    </w:rPr>
  </w:style>
  <w:style w:type="paragraph" w:customStyle="1" w:styleId="DHHSbodyaftertablefigure">
    <w:name w:val="DHHS body after table/figure"/>
    <w:basedOn w:val="DHHSbody"/>
    <w:next w:val="DHHSbody"/>
    <w:rsid w:val="0091306F"/>
    <w:pPr>
      <w:spacing w:before="240"/>
    </w:pPr>
  </w:style>
  <w:style w:type="paragraph" w:customStyle="1" w:styleId="DHHSTOCheadingreport">
    <w:name w:val="DHHS TOC heading report"/>
    <w:basedOn w:val="Heading1"/>
    <w:link w:val="DHHSTOCheadingreportChar"/>
    <w:uiPriority w:val="5"/>
    <w:rsid w:val="0091306F"/>
    <w:pPr>
      <w:spacing w:before="0" w:after="440" w:line="440" w:lineRule="atLeast"/>
      <w:outlineLvl w:val="9"/>
    </w:pPr>
    <w:rPr>
      <w:rFonts w:eastAsia="Times New Roman" w:cs="Times New Roman"/>
      <w:color w:val="007B4B"/>
      <w:kern w:val="0"/>
    </w:rPr>
  </w:style>
  <w:style w:type="character" w:customStyle="1" w:styleId="DHHSTOCheadingreportChar">
    <w:name w:val="DHHS TOC heading report Char"/>
    <w:link w:val="DHHSTOCheadingreport"/>
    <w:uiPriority w:val="5"/>
    <w:rsid w:val="0091306F"/>
    <w:rPr>
      <w:rFonts w:ascii="Arial" w:hAnsi="Arial"/>
      <w:bCs/>
      <w:color w:val="007B4B"/>
      <w:sz w:val="44"/>
      <w:szCs w:val="44"/>
      <w:lang w:eastAsia="en-US"/>
    </w:rPr>
  </w:style>
  <w:style w:type="paragraph" w:customStyle="1" w:styleId="DHHSaccessibilitypara">
    <w:name w:val="DHHS accessibility para"/>
    <w:uiPriority w:val="8"/>
    <w:rsid w:val="0091306F"/>
    <w:pPr>
      <w:spacing w:after="300" w:line="300" w:lineRule="atLeast"/>
    </w:pPr>
    <w:rPr>
      <w:rFonts w:ascii="Arial" w:eastAsia="Times" w:hAnsi="Arial"/>
      <w:sz w:val="24"/>
      <w:szCs w:val="19"/>
      <w:lang w:eastAsia="en-US"/>
    </w:rPr>
  </w:style>
  <w:style w:type="paragraph" w:customStyle="1" w:styleId="DHHSbodynospace">
    <w:name w:val="DHHS body no space"/>
    <w:basedOn w:val="DHHSbody"/>
    <w:uiPriority w:val="3"/>
    <w:qFormat/>
    <w:rsid w:val="0091306F"/>
    <w:pPr>
      <w:spacing w:after="0"/>
    </w:pPr>
  </w:style>
  <w:style w:type="paragraph" w:customStyle="1" w:styleId="DHHSquote">
    <w:name w:val="DHHS quote"/>
    <w:basedOn w:val="DHHSbody"/>
    <w:uiPriority w:val="4"/>
    <w:rsid w:val="0091306F"/>
    <w:pPr>
      <w:ind w:left="397"/>
    </w:pPr>
    <w:rPr>
      <w:szCs w:val="18"/>
    </w:rPr>
  </w:style>
  <w:style w:type="paragraph" w:customStyle="1" w:styleId="DHHSnumberlowerroman">
    <w:name w:val="DHHS number lower roman"/>
    <w:basedOn w:val="DHHSbody"/>
    <w:uiPriority w:val="3"/>
    <w:rsid w:val="0091306F"/>
    <w:pPr>
      <w:tabs>
        <w:tab w:val="num" w:pos="1492"/>
      </w:tabs>
      <w:ind w:left="1492" w:hanging="360"/>
    </w:pPr>
  </w:style>
  <w:style w:type="paragraph" w:customStyle="1" w:styleId="DHHSnumberlowerromanindent">
    <w:name w:val="DHHS number lower roman indent"/>
    <w:basedOn w:val="DHHSbody"/>
    <w:uiPriority w:val="3"/>
    <w:rsid w:val="0091306F"/>
    <w:pPr>
      <w:tabs>
        <w:tab w:val="num" w:pos="1492"/>
      </w:tabs>
      <w:ind w:left="1492" w:hanging="360"/>
    </w:pPr>
  </w:style>
  <w:style w:type="paragraph" w:customStyle="1" w:styleId="DHHSnumberdigitindent">
    <w:name w:val="DHHS number digit indent"/>
    <w:basedOn w:val="DHHSnumberloweralphaindent"/>
    <w:uiPriority w:val="3"/>
    <w:rsid w:val="0091306F"/>
    <w:pPr>
      <w:tabs>
        <w:tab w:val="clear" w:pos="926"/>
        <w:tab w:val="num" w:pos="794"/>
      </w:tabs>
      <w:ind w:left="794" w:hanging="397"/>
    </w:pPr>
  </w:style>
  <w:style w:type="paragraph" w:customStyle="1" w:styleId="DHHSbodyafterbullets">
    <w:name w:val="DHHS body after bullets"/>
    <w:basedOn w:val="DHHSbody"/>
    <w:uiPriority w:val="11"/>
    <w:rsid w:val="0091306F"/>
    <w:pPr>
      <w:spacing w:before="120"/>
    </w:pPr>
  </w:style>
  <w:style w:type="paragraph" w:customStyle="1" w:styleId="DHHSbulletafternumbers1">
    <w:name w:val="DHHS bullet after numbers 1"/>
    <w:basedOn w:val="DHHSbody"/>
    <w:uiPriority w:val="4"/>
    <w:rsid w:val="0091306F"/>
  </w:style>
  <w:style w:type="paragraph" w:customStyle="1" w:styleId="DHHSbulletafternumbers2">
    <w:name w:val="DHHS bullet after numbers 2"/>
    <w:basedOn w:val="DHHSbody"/>
    <w:rsid w:val="0091306F"/>
  </w:style>
  <w:style w:type="paragraph" w:customStyle="1" w:styleId="DHHSquotebullet1">
    <w:name w:val="DHHS quote bullet 1"/>
    <w:basedOn w:val="DHHSquote"/>
    <w:rsid w:val="0091306F"/>
    <w:pPr>
      <w:tabs>
        <w:tab w:val="num" w:pos="1209"/>
      </w:tabs>
      <w:ind w:left="1209" w:hanging="360"/>
    </w:pPr>
  </w:style>
  <w:style w:type="paragraph" w:customStyle="1" w:styleId="DHHSquotebullet2">
    <w:name w:val="DHHS quote bullet 2"/>
    <w:basedOn w:val="DHHSquote"/>
    <w:rsid w:val="0091306F"/>
    <w:pPr>
      <w:tabs>
        <w:tab w:val="num" w:pos="1209"/>
      </w:tabs>
      <w:ind w:left="1209" w:hanging="360"/>
    </w:pPr>
  </w:style>
  <w:style w:type="paragraph" w:customStyle="1" w:styleId="DHHStablebullet1">
    <w:name w:val="DHHS table bullet 1"/>
    <w:basedOn w:val="DHHStabletext"/>
    <w:uiPriority w:val="3"/>
    <w:qFormat/>
    <w:rsid w:val="0091306F"/>
    <w:pPr>
      <w:tabs>
        <w:tab w:val="num" w:pos="360"/>
      </w:tabs>
      <w:ind w:left="360" w:hanging="360"/>
    </w:pPr>
  </w:style>
  <w:style w:type="paragraph" w:customStyle="1" w:styleId="DHHStablebullet2">
    <w:name w:val="DHHS table bullet 2"/>
    <w:basedOn w:val="DHHStabletext"/>
    <w:uiPriority w:val="11"/>
    <w:rsid w:val="0091306F"/>
    <w:pPr>
      <w:tabs>
        <w:tab w:val="num" w:pos="360"/>
      </w:tabs>
      <w:ind w:left="360" w:hanging="360"/>
    </w:pPr>
  </w:style>
  <w:style w:type="character" w:customStyle="1" w:styleId="UnresolvedMention1">
    <w:name w:val="Unresolved Mention1"/>
    <w:basedOn w:val="DefaultParagraphFont"/>
    <w:uiPriority w:val="99"/>
    <w:semiHidden/>
    <w:unhideWhenUsed/>
    <w:rsid w:val="0091306F"/>
    <w:rPr>
      <w:color w:val="605E5C"/>
      <w:shd w:val="clear" w:color="auto" w:fill="E1DFDD"/>
    </w:rPr>
  </w:style>
  <w:style w:type="character" w:customStyle="1" w:styleId="DHHSbodyChar">
    <w:name w:val="DHHS body Char"/>
    <w:basedOn w:val="DefaultParagraphFont"/>
    <w:link w:val="DHHSbody"/>
    <w:rsid w:val="0091306F"/>
    <w:rPr>
      <w:rFonts w:ascii="Arial" w:eastAsia="Times" w:hAnsi="Arial"/>
      <w:sz w:val="21"/>
      <w:lang w:eastAsia="en-US"/>
    </w:rPr>
  </w:style>
  <w:style w:type="paragraph" w:customStyle="1" w:styleId="DHHSbullet1lastline">
    <w:name w:val="DHHS bullet 1 last line"/>
    <w:basedOn w:val="DHHSbullet1"/>
    <w:qFormat/>
    <w:rsid w:val="0091306F"/>
    <w:pPr>
      <w:tabs>
        <w:tab w:val="clear" w:pos="397"/>
      </w:tabs>
      <w:spacing w:after="120"/>
      <w:ind w:left="284" w:hanging="284"/>
    </w:pPr>
  </w:style>
  <w:style w:type="paragraph" w:customStyle="1" w:styleId="DHHSbullet2lastline">
    <w:name w:val="DHHS bullet 2 last line"/>
    <w:basedOn w:val="DHHSbullet2"/>
    <w:uiPriority w:val="2"/>
    <w:qFormat/>
    <w:rsid w:val="0091306F"/>
    <w:pPr>
      <w:tabs>
        <w:tab w:val="clear" w:pos="794"/>
      </w:tabs>
      <w:spacing w:after="120"/>
      <w:ind w:left="567" w:hanging="283"/>
    </w:pPr>
  </w:style>
  <w:style w:type="paragraph" w:customStyle="1" w:styleId="DHHStablebullet">
    <w:name w:val="DHHS table bullet"/>
    <w:basedOn w:val="DHHStabletext"/>
    <w:uiPriority w:val="3"/>
    <w:qFormat/>
    <w:rsid w:val="0091306F"/>
    <w:pPr>
      <w:ind w:left="227" w:hanging="227"/>
    </w:pPr>
  </w:style>
  <w:style w:type="paragraph" w:customStyle="1" w:styleId="DHHSbulletindent">
    <w:name w:val="DHHS bullet indent"/>
    <w:basedOn w:val="DHHSbody"/>
    <w:uiPriority w:val="4"/>
    <w:rsid w:val="0091306F"/>
    <w:pPr>
      <w:spacing w:after="40"/>
      <w:ind w:left="680" w:hanging="283"/>
    </w:pPr>
  </w:style>
  <w:style w:type="paragraph" w:customStyle="1" w:styleId="DHHSbulletindentlastline">
    <w:name w:val="DHHS bullet indent last line"/>
    <w:basedOn w:val="DHHSbody"/>
    <w:uiPriority w:val="4"/>
    <w:rsid w:val="0091306F"/>
    <w:pPr>
      <w:ind w:left="680" w:hanging="283"/>
    </w:pPr>
  </w:style>
  <w:style w:type="table" w:customStyle="1" w:styleId="GridTable6Colorful1">
    <w:name w:val="Grid Table 6 Colorful1"/>
    <w:basedOn w:val="TableNormal"/>
    <w:uiPriority w:val="51"/>
    <w:rsid w:val="0091306F"/>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DHHStabletextChar">
    <w:name w:val="DHHS table text Char"/>
    <w:basedOn w:val="DefaultParagraphFont"/>
    <w:link w:val="DHHStabletext"/>
    <w:uiPriority w:val="99"/>
    <w:rsid w:val="00EB60C1"/>
    <w:rPr>
      <w:rFonts w:ascii="Arial" w:hAnsi="Arial"/>
      <w:sz w:val="21"/>
      <w:lang w:eastAsia="en-US"/>
    </w:rPr>
  </w:style>
  <w:style w:type="character" w:customStyle="1" w:styleId="HeaderChar">
    <w:name w:val="Header Char"/>
    <w:basedOn w:val="DefaultParagraphFont"/>
    <w:link w:val="Header"/>
    <w:uiPriority w:val="99"/>
    <w:rsid w:val="00144D87"/>
    <w:rPr>
      <w:rFonts w:ascii="Arial" w:hAnsi="Arial" w:cs="Arial"/>
      <w:color w:val="53565A"/>
      <w:sz w:val="18"/>
      <w:szCs w:val="18"/>
      <w:lang w:eastAsia="en-US"/>
    </w:rPr>
  </w:style>
  <w:style w:type="paragraph" w:styleId="ListParagraph">
    <w:name w:val="List Paragraph"/>
    <w:basedOn w:val="Normal"/>
    <w:uiPriority w:val="34"/>
    <w:qFormat/>
    <w:rsid w:val="00B66E12"/>
    <w:pPr>
      <w:ind w:left="720"/>
      <w:contextualSpacing/>
    </w:pPr>
  </w:style>
  <w:style w:type="numbering" w:customStyle="1" w:styleId="ZZNumberslowerroman1">
    <w:name w:val="ZZ Numbers lower roman1"/>
    <w:basedOn w:val="ZZQuotebullets"/>
    <w:rsid w:val="007F35CF"/>
    <w:pPr>
      <w:numPr>
        <w:numId w:val="4"/>
      </w:numPr>
    </w:pPr>
  </w:style>
  <w:style w:type="paragraph" w:customStyle="1" w:styleId="paragraph">
    <w:name w:val="paragraph"/>
    <w:basedOn w:val="Normal"/>
    <w:rsid w:val="003F733E"/>
    <w:pPr>
      <w:spacing w:before="100" w:beforeAutospacing="1" w:after="100" w:afterAutospacing="1" w:line="240" w:lineRule="auto"/>
    </w:pPr>
    <w:rPr>
      <w:rFonts w:ascii="Times New Roman" w:hAnsi="Times New Roman"/>
      <w:sz w:val="24"/>
      <w:szCs w:val="24"/>
      <w:lang w:eastAsia="en-AU"/>
    </w:rPr>
  </w:style>
  <w:style w:type="character" w:customStyle="1" w:styleId="normaltextrun">
    <w:name w:val="normaltextrun"/>
    <w:basedOn w:val="DefaultParagraphFont"/>
    <w:rsid w:val="003F733E"/>
  </w:style>
  <w:style w:type="character" w:customStyle="1" w:styleId="eop">
    <w:name w:val="eop"/>
    <w:basedOn w:val="DefaultParagraphFont"/>
    <w:rsid w:val="003F733E"/>
  </w:style>
  <w:style w:type="character" w:customStyle="1" w:styleId="FigurecaptionChar">
    <w:name w:val="Figure caption Char"/>
    <w:basedOn w:val="DefaultParagraphFont"/>
    <w:link w:val="Figurecaption"/>
    <w:rsid w:val="008D7BDD"/>
    <w:rPr>
      <w:rFonts w:ascii="Arial" w:hAnsi="Arial"/>
      <w:b/>
      <w:sz w:val="21"/>
      <w:lang w:eastAsia="en-US"/>
    </w:rPr>
  </w:style>
  <w:style w:type="character" w:customStyle="1" w:styleId="DHHSreportsubtitleChar">
    <w:name w:val="DHHS report subtitle Char"/>
    <w:basedOn w:val="DefaultParagraphFont"/>
    <w:link w:val="DHHSreportsubtitle"/>
    <w:uiPriority w:val="4"/>
    <w:rsid w:val="001F1906"/>
    <w:rPr>
      <w:rFonts w:ascii="Arial" w:hAnsi="Arial"/>
      <w:color w:val="000000"/>
      <w:sz w:val="30"/>
      <w:szCs w:val="30"/>
      <w:lang w:eastAsia="en-US"/>
    </w:rPr>
  </w:style>
  <w:style w:type="character" w:customStyle="1" w:styleId="DHHSfooterChar">
    <w:name w:val="DHHS footer Char"/>
    <w:basedOn w:val="DefaultParagraphFont"/>
    <w:link w:val="DHHSfooter"/>
    <w:uiPriority w:val="11"/>
    <w:rsid w:val="001F1906"/>
    <w:rPr>
      <w:rFonts w:ascii="Arial" w:hAnsi="Arial" w:cs="Arial"/>
      <w:sz w:val="18"/>
      <w:szCs w:val="18"/>
      <w:lang w:eastAsia="en-US"/>
    </w:rPr>
  </w:style>
  <w:style w:type="character" w:customStyle="1" w:styleId="DHHSheaderChar">
    <w:name w:val="DHHS header Char"/>
    <w:basedOn w:val="DHHSfooterChar"/>
    <w:link w:val="DHHSheader"/>
    <w:uiPriority w:val="11"/>
    <w:rsid w:val="001F1906"/>
    <w:rPr>
      <w:rFonts w:ascii="Arial" w:hAnsi="Arial" w:cs="Arial"/>
      <w:sz w:val="18"/>
      <w:szCs w:val="18"/>
      <w:lang w:eastAsia="en-US"/>
    </w:rPr>
  </w:style>
  <w:style w:type="character" w:customStyle="1" w:styleId="DHHSnumberloweralphaChar">
    <w:name w:val="DHHS number lower alpha Char"/>
    <w:basedOn w:val="DHHSbodyChar"/>
    <w:link w:val="DHHSnumberloweralpha"/>
    <w:uiPriority w:val="3"/>
    <w:rsid w:val="00E07302"/>
    <w:rPr>
      <w:rFonts w:ascii="Arial" w:eastAsia="Times" w:hAnsi="Arial"/>
      <w:sz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774090124">
      <w:bodyDiv w:val="1"/>
      <w:marLeft w:val="0"/>
      <w:marRight w:val="0"/>
      <w:marTop w:val="0"/>
      <w:marBottom w:val="0"/>
      <w:divBdr>
        <w:top w:val="none" w:sz="0" w:space="0" w:color="auto"/>
        <w:left w:val="none" w:sz="0" w:space="0" w:color="auto"/>
        <w:bottom w:val="none" w:sz="0" w:space="0" w:color="auto"/>
        <w:right w:val="none" w:sz="0" w:space="0" w:color="auto"/>
      </w:divBdr>
      <w:divsChild>
        <w:div w:id="117378513">
          <w:marLeft w:val="0"/>
          <w:marRight w:val="0"/>
          <w:marTop w:val="0"/>
          <w:marBottom w:val="0"/>
          <w:divBdr>
            <w:top w:val="none" w:sz="0" w:space="0" w:color="auto"/>
            <w:left w:val="none" w:sz="0" w:space="0" w:color="auto"/>
            <w:bottom w:val="none" w:sz="0" w:space="0" w:color="auto"/>
            <w:right w:val="none" w:sz="0" w:space="0" w:color="auto"/>
          </w:divBdr>
        </w:div>
        <w:div w:id="291640323">
          <w:marLeft w:val="0"/>
          <w:marRight w:val="0"/>
          <w:marTop w:val="0"/>
          <w:marBottom w:val="0"/>
          <w:divBdr>
            <w:top w:val="none" w:sz="0" w:space="0" w:color="auto"/>
            <w:left w:val="none" w:sz="0" w:space="0" w:color="auto"/>
            <w:bottom w:val="none" w:sz="0" w:space="0" w:color="auto"/>
            <w:right w:val="none" w:sz="0" w:space="0" w:color="auto"/>
          </w:divBdr>
        </w:div>
        <w:div w:id="1400127270">
          <w:marLeft w:val="0"/>
          <w:marRight w:val="0"/>
          <w:marTop w:val="0"/>
          <w:marBottom w:val="0"/>
          <w:divBdr>
            <w:top w:val="none" w:sz="0" w:space="0" w:color="auto"/>
            <w:left w:val="none" w:sz="0" w:space="0" w:color="auto"/>
            <w:bottom w:val="none" w:sz="0" w:space="0" w:color="auto"/>
            <w:right w:val="none" w:sz="0" w:space="0" w:color="auto"/>
          </w:divBdr>
        </w:div>
        <w:div w:id="1102459290">
          <w:marLeft w:val="0"/>
          <w:marRight w:val="0"/>
          <w:marTop w:val="0"/>
          <w:marBottom w:val="0"/>
          <w:divBdr>
            <w:top w:val="none" w:sz="0" w:space="0" w:color="auto"/>
            <w:left w:val="none" w:sz="0" w:space="0" w:color="auto"/>
            <w:bottom w:val="none" w:sz="0" w:space="0" w:color="auto"/>
            <w:right w:val="none" w:sz="0" w:space="0" w:color="auto"/>
          </w:divBdr>
        </w:div>
      </w:divsChild>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mailto:HDSS.helpdesk@health.vic.gov.au" TargetMode="External"/><Relationship Id="rId26" Type="http://schemas.openxmlformats.org/officeDocument/2006/relationships/hyperlink" Target="file:///\\N059\group\FHIP\H_Info\Hlth_Data_Acqn\Collection%20Manuals\VINAH\2020-21%20Version%2016\Working%20Version\New%20template%20(accessible)\palliative%20care%20webpage" TargetMode="External"/><Relationship Id="rId39" Type="http://schemas.openxmlformats.org/officeDocument/2006/relationships/image" Target="media/image7.emf"/><Relationship Id="rId3" Type="http://schemas.openxmlformats.org/officeDocument/2006/relationships/customXml" Target="../customXml/item3.xml"/><Relationship Id="rId21" Type="http://schemas.openxmlformats.org/officeDocument/2006/relationships/footer" Target="footer4.xml"/><Relationship Id="rId34" Type="http://schemas.openxmlformats.org/officeDocument/2006/relationships/footer" Target="footer5.xml"/><Relationship Id="rId42"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s://www.servicesaustralia.gov.au/individuals/services/medicare/medicare-card" TargetMode="External"/><Relationship Id="rId33" Type="http://schemas.openxmlformats.org/officeDocument/2006/relationships/header" Target="header5.xml"/><Relationship Id="rId38" Type="http://schemas.openxmlformats.org/officeDocument/2006/relationships/image" Target="media/image6.emf"/><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www2.health.vic.gov.au/hospitals-and-health-services/data-reporting/health-data-standards-systems/vinah" TargetMode="External"/><Relationship Id="rId29" Type="http://schemas.openxmlformats.org/officeDocument/2006/relationships/hyperlink" Target="https://www2.health.vic.gov.au/hospitals-and-health-services/patient-care/rehabilitation-complex-care/health-independence-program" TargetMode="External"/><Relationship Id="rId41" Type="http://schemas.openxmlformats.org/officeDocument/2006/relationships/image" Target="media/image9.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servicesaustralia.gov.au/individuals/services/medicare/medicare-card" TargetMode="External"/><Relationship Id="rId32" Type="http://schemas.openxmlformats.org/officeDocument/2006/relationships/header" Target="header4.xml"/><Relationship Id="rId37" Type="http://schemas.openxmlformats.org/officeDocument/2006/relationships/image" Target="media/image5.emf"/><Relationship Id="rId40" Type="http://schemas.openxmlformats.org/officeDocument/2006/relationships/image" Target="media/image8.emf"/><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s://www2.health.vic.gov.au/hospitals-and-health-services/patient-care/rehabilitation-complex-care/health-independence-program" TargetMode="External"/><Relationship Id="rId28" Type="http://schemas.openxmlformats.org/officeDocument/2006/relationships/hyperlink" Target="https://www2.health.vic.gov.au/hospitals-and-health-services/patient-care/rehabilitation-complex-care/health-independence-program" TargetMode="External"/><Relationship Id="rId36" Type="http://schemas.openxmlformats.org/officeDocument/2006/relationships/image" Target="media/image4.png"/><Relationship Id="rId10" Type="http://schemas.openxmlformats.org/officeDocument/2006/relationships/endnotes" Target="endnotes.xml"/><Relationship Id="rId19" Type="http://schemas.openxmlformats.org/officeDocument/2006/relationships/hyperlink" Target="https://www2.health.vic.gov.au/hospitals-and-health-services/data-reporting/health-data-standards-systems/data-collections/vinah" TargetMode="External"/><Relationship Id="rId31" Type="http://schemas.openxmlformats.org/officeDocument/2006/relationships/hyperlink" Target="mailto:hdss.helpdesk@dhhs.vic.gov.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www2.health.vic.gov.au/hospitals-and-health-services/patient-care/rehabilitation-complex-care/health-independence-program" TargetMode="External"/><Relationship Id="rId27" Type="http://schemas.openxmlformats.org/officeDocument/2006/relationships/hyperlink" Target="https://www2.health.vic.gov.au/hospitals-and-health-services/patient-care/end-of-life-care/palliative-care" TargetMode="External"/><Relationship Id="rId30" Type="http://schemas.openxmlformats.org/officeDocument/2006/relationships/hyperlink" Target="https://www2.health.vic.gov.au/hospitals-and-health-services/patient-care/rehabilitation-complex-care/transition-care-program" TargetMode="External"/><Relationship Id="rId35" Type="http://schemas.openxmlformats.org/officeDocument/2006/relationships/footer" Target="footer6.xml"/><Relationship Id="rId43"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3.png"/></Relationships>
</file>

<file path=word/_rels/footer5.xml.rels><?xml version="1.0" encoding="UTF-8" standalone="yes"?>
<Relationships xmlns="http://schemas.openxmlformats.org/package/2006/relationships"><Relationship Id="rId1" Type="http://schemas.openxmlformats.org/officeDocument/2006/relationships/image" Target="media/image3.png"/></Relationships>
</file>

<file path=word/_rels/footer6.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internal.vic.gov.au\DHHS\GroupData\Office%20Templates\DH%20visual%20style%202021\DH%20Pink%20repor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4137D97FC92A942A017049E9EB7B09D" ma:contentTypeVersion="12" ma:contentTypeDescription="Create a new document." ma:contentTypeScope="" ma:versionID="9618c6a6c2898a566d2565e7427cbb8c">
  <xsd:schema xmlns:xsd="http://www.w3.org/2001/XMLSchema" xmlns:xs="http://www.w3.org/2001/XMLSchema" xmlns:p="http://schemas.microsoft.com/office/2006/metadata/properties" xmlns:ns3="f9efe166-4f28-4f85-8235-ea2c89133434" xmlns:ns4="71bad440-a7e7-46c6-81bd-18ed54663c6a" targetNamespace="http://schemas.microsoft.com/office/2006/metadata/properties" ma:root="true" ma:fieldsID="49924251371fb218720dfabd226ca6a3" ns3:_="" ns4:_="">
    <xsd:import namespace="f9efe166-4f28-4f85-8235-ea2c89133434"/>
    <xsd:import namespace="71bad440-a7e7-46c6-81bd-18ed54663c6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efe166-4f28-4f85-8235-ea2c891334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bad440-a7e7-46c6-81bd-18ed54663c6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B39196-79CC-47DE-9FC2-C1E5F04FE0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efe166-4f28-4f85-8235-ea2c89133434"/>
    <ds:schemaRef ds:uri="71bad440-a7e7-46c6-81bd-18ed54663c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3.xml><?xml version="1.0" encoding="utf-8"?>
<ds:datastoreItem xmlns:ds="http://schemas.openxmlformats.org/officeDocument/2006/customXml" ds:itemID="{66AC28CD-794A-4DE5-9080-AF945367D2AC}">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71bad440-a7e7-46c6-81bd-18ed54663c6a"/>
    <ds:schemaRef ds:uri="http://purl.org/dc/terms/"/>
    <ds:schemaRef ds:uri="http://schemas.openxmlformats.org/package/2006/metadata/core-properties"/>
    <ds:schemaRef ds:uri="f9efe166-4f28-4f85-8235-ea2c89133434"/>
    <ds:schemaRef ds:uri="http://www.w3.org/XML/1998/namespace"/>
    <ds:schemaRef ds:uri="http://purl.org/dc/dcmitype/"/>
  </ds:schemaRefs>
</ds:datastoreItem>
</file>

<file path=customXml/itemProps4.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DH Pink report.dotx</Template>
  <TotalTime>9</TotalTime>
  <Pages>36</Pages>
  <Words>9521</Words>
  <Characters>54272</Characters>
  <Application>Microsoft Office Word</Application>
  <DocSecurity>0</DocSecurity>
  <Lines>452</Lines>
  <Paragraphs>127</Paragraphs>
  <ScaleCrop>false</ScaleCrop>
  <HeadingPairs>
    <vt:vector size="2" baseType="variant">
      <vt:variant>
        <vt:lpstr>Title</vt:lpstr>
      </vt:variant>
      <vt:variant>
        <vt:i4>1</vt:i4>
      </vt:variant>
    </vt:vector>
  </HeadingPairs>
  <TitlesOfParts>
    <vt:vector size="1" baseType="lpstr">
      <vt:lpstr>VINAH manual 2021-22 Section 2 - Concepts and derived items, 16th edition, July 2021</vt:lpstr>
    </vt:vector>
  </TitlesOfParts>
  <Company>Victoria State Government, Department of Health</Company>
  <LinksUpToDate>false</LinksUpToDate>
  <CharactersWithSpaces>63666</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VINAH manual 2021-22 Section 2 - Concepts and derived items, 16th edition, July 2021</dc:title>
  <dc:subject>VINAH manual 2021-22 Section 2 - Concepts and derived items, 16th edition, July 2021</dc:subject>
  <dc:creator>Health and System Performance Reporting</dc:creator>
  <cp:keywords>HDSS, VINAH manual, 2021-22 Section 2</cp:keywords>
  <cp:lastModifiedBy>Debra A Anderson (Health)</cp:lastModifiedBy>
  <cp:revision>2</cp:revision>
  <cp:lastPrinted>2021-04-07T21:38:00Z</cp:lastPrinted>
  <dcterms:created xsi:type="dcterms:W3CDTF">2022-06-23T05:22:00Z</dcterms:created>
  <dcterms:modified xsi:type="dcterms:W3CDTF">2022-06-23T05:22:00Z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0x010100B4137D97FC92A942A017049E9EB7B09D</vt:lpwstr>
  </property>
  <property fmtid="{D5CDD505-2E9C-101B-9397-08002B2CF9AE}" pid="4" name="version">
    <vt:lpwstr>v4 19022021</vt:lpwstr>
  </property>
  <property fmtid="{D5CDD505-2E9C-101B-9397-08002B2CF9AE}" pid="5" name="MSIP_Label_43e64453-338c-4f93-8a4d-0039a0a41f2a_Enabled">
    <vt:lpwstr>true</vt:lpwstr>
  </property>
  <property fmtid="{D5CDD505-2E9C-101B-9397-08002B2CF9AE}" pid="6" name="MSIP_Label_43e64453-338c-4f93-8a4d-0039a0a41f2a_SetDate">
    <vt:lpwstr>2022-06-23T05:22:17Z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ccbd5b76-98c2-4cbb-95e4-8dd969715c36</vt:lpwstr>
  </property>
  <property fmtid="{D5CDD505-2E9C-101B-9397-08002B2CF9AE}" pid="11" name="MSIP_Label_43e64453-338c-4f93-8a4d-0039a0a41f2a_ContentBits">
    <vt:lpwstr>2</vt:lpwstr>
  </property>
</Properties>
</file>