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46DAE" w14:textId="72E04455" w:rsidR="0074696E" w:rsidRPr="004C6EEE" w:rsidRDefault="0074696E" w:rsidP="00AD784C">
      <w:pPr>
        <w:pStyle w:val="Spacerparatopoffirstpage"/>
      </w:pPr>
    </w:p>
    <w:p w14:paraId="3D309C3B" w14:textId="22DF2DF0" w:rsidR="00A62D44" w:rsidRPr="004C6EEE" w:rsidRDefault="00C5323F" w:rsidP="00C5323F">
      <w:pPr>
        <w:pStyle w:val="Sectionbreakfirstpage"/>
        <w:tabs>
          <w:tab w:val="left" w:pos="4320"/>
        </w:tabs>
        <w:sectPr w:rsidR="00A62D44" w:rsidRPr="004C6EEE" w:rsidSect="00DE4B2A">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titlePg/>
          <w:docGrid w:linePitch="360"/>
        </w:sectPr>
      </w:pPr>
      <w:r>
        <w:tab/>
      </w:r>
    </w:p>
    <w:tbl>
      <w:tblPr>
        <w:tblW w:w="0" w:type="auto"/>
        <w:tblLook w:val="04A0" w:firstRow="1" w:lastRow="0" w:firstColumn="1" w:lastColumn="0" w:noHBand="0" w:noVBand="1"/>
      </w:tblPr>
      <w:tblGrid>
        <w:gridCol w:w="8046"/>
      </w:tblGrid>
      <w:tr w:rsidR="00AD784C" w14:paraId="7A02D5B7" w14:textId="77777777" w:rsidTr="00603ED8">
        <w:trPr>
          <w:trHeight w:val="1498"/>
        </w:trPr>
        <w:tc>
          <w:tcPr>
            <w:tcW w:w="8046" w:type="dxa"/>
            <w:shd w:val="clear" w:color="auto" w:fill="auto"/>
            <w:vAlign w:val="bottom"/>
          </w:tcPr>
          <w:p w14:paraId="0FD4E4F8" w14:textId="53B82C74" w:rsidR="00603ED8" w:rsidRPr="008F1D7D" w:rsidRDefault="006E41F5" w:rsidP="00C5323F">
            <w:pPr>
              <w:pStyle w:val="DHHSmainheading"/>
              <w:rPr>
                <w:b/>
                <w:bCs/>
                <w:color w:val="auto"/>
                <w:sz w:val="48"/>
                <w:szCs w:val="48"/>
              </w:rPr>
            </w:pPr>
            <w:r w:rsidRPr="008F1D7D">
              <w:rPr>
                <w:b/>
                <w:bCs/>
                <w:noProof/>
                <w:color w:val="auto"/>
                <w:sz w:val="48"/>
                <w:szCs w:val="48"/>
              </w:rPr>
              <w:drawing>
                <wp:anchor distT="0" distB="0" distL="114300" distR="114300" simplePos="0" relativeHeight="251640320" behindDoc="1" locked="1" layoutInCell="1" allowOverlap="1" wp14:anchorId="26E89F26" wp14:editId="734DB36D">
                  <wp:simplePos x="0" y="0"/>
                  <wp:positionH relativeFrom="margin">
                    <wp:posOffset>-8455660</wp:posOffset>
                  </wp:positionH>
                  <wp:positionV relativeFrom="page">
                    <wp:posOffset>-1419225</wp:posOffset>
                  </wp:positionV>
                  <wp:extent cx="15983585" cy="1819275"/>
                  <wp:effectExtent l="0" t="0" r="0"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stretch>
                            <a:fillRect/>
                          </a:stretch>
                        </pic:blipFill>
                        <pic:spPr>
                          <a:xfrm>
                            <a:off x="0" y="0"/>
                            <a:ext cx="15983585" cy="1819275"/>
                          </a:xfrm>
                          <a:prstGeom prst="rect">
                            <a:avLst/>
                          </a:prstGeom>
                        </pic:spPr>
                      </pic:pic>
                    </a:graphicData>
                  </a:graphic>
                  <wp14:sizeRelH relativeFrom="margin">
                    <wp14:pctWidth>0</wp14:pctWidth>
                  </wp14:sizeRelH>
                  <wp14:sizeRelV relativeFrom="margin">
                    <wp14:pctHeight>0</wp14:pctHeight>
                  </wp14:sizeRelV>
                </wp:anchor>
              </w:drawing>
            </w:r>
            <w:r w:rsidR="00C81B79" w:rsidRPr="008F1D7D">
              <w:rPr>
                <w:b/>
                <w:bCs/>
                <w:color w:val="auto"/>
                <w:sz w:val="48"/>
                <w:szCs w:val="48"/>
              </w:rPr>
              <w:t xml:space="preserve">Information for dentists using a </w:t>
            </w:r>
            <w:r w:rsidR="00195DEF">
              <w:rPr>
                <w:b/>
                <w:bCs/>
                <w:color w:val="auto"/>
                <w:sz w:val="48"/>
                <w:szCs w:val="48"/>
              </w:rPr>
              <w:t xml:space="preserve">registered </w:t>
            </w:r>
            <w:r w:rsidR="00C81B79" w:rsidRPr="008F1D7D">
              <w:rPr>
                <w:b/>
                <w:bCs/>
                <w:color w:val="auto"/>
                <w:sz w:val="48"/>
                <w:szCs w:val="48"/>
              </w:rPr>
              <w:t>mobile anaesthe</w:t>
            </w:r>
            <w:r w:rsidR="00C01C00">
              <w:rPr>
                <w:b/>
                <w:bCs/>
                <w:color w:val="auto"/>
                <w:sz w:val="48"/>
                <w:szCs w:val="48"/>
              </w:rPr>
              <w:t>tics</w:t>
            </w:r>
            <w:r w:rsidR="00603ED8" w:rsidRPr="008F1D7D">
              <w:rPr>
                <w:b/>
                <w:bCs/>
                <w:color w:val="auto"/>
                <w:sz w:val="48"/>
                <w:szCs w:val="48"/>
              </w:rPr>
              <w:t xml:space="preserve"> </w:t>
            </w:r>
            <w:r w:rsidR="00C81B79" w:rsidRPr="008F1D7D">
              <w:rPr>
                <w:b/>
                <w:bCs/>
                <w:color w:val="auto"/>
                <w:sz w:val="48"/>
                <w:szCs w:val="48"/>
              </w:rPr>
              <w:t>service</w:t>
            </w:r>
          </w:p>
          <w:p w14:paraId="15DD231C" w14:textId="77777777" w:rsidR="00603ED8" w:rsidRPr="008F1D7D" w:rsidRDefault="00603ED8" w:rsidP="00603ED8">
            <w:pPr>
              <w:pStyle w:val="DHHSbody"/>
              <w:rPr>
                <w:b/>
                <w:bCs/>
                <w:sz w:val="48"/>
                <w:szCs w:val="48"/>
              </w:rPr>
            </w:pPr>
          </w:p>
          <w:p w14:paraId="7560C306" w14:textId="06593868" w:rsidR="00603ED8" w:rsidRPr="008F1D7D" w:rsidRDefault="00603ED8" w:rsidP="00603ED8">
            <w:pPr>
              <w:pStyle w:val="DHHSbody"/>
              <w:rPr>
                <w:sz w:val="28"/>
                <w:szCs w:val="28"/>
              </w:rPr>
            </w:pPr>
            <w:r w:rsidRPr="008F1D7D">
              <w:rPr>
                <w:sz w:val="28"/>
                <w:szCs w:val="28"/>
              </w:rPr>
              <w:t>Mobile health services</w:t>
            </w:r>
          </w:p>
          <w:p w14:paraId="0CE64C1E" w14:textId="73953414" w:rsidR="00603ED8" w:rsidRPr="00603ED8" w:rsidRDefault="00603ED8" w:rsidP="00603ED8">
            <w:pPr>
              <w:pStyle w:val="DHHSbody"/>
            </w:pPr>
            <w:r w:rsidRPr="00603ED8">
              <w:t>OFFICIAL</w:t>
            </w:r>
          </w:p>
        </w:tc>
      </w:tr>
    </w:tbl>
    <w:p w14:paraId="3CC7A9FA" w14:textId="1EA0CF44" w:rsidR="00603ED8" w:rsidRPr="008F1D7D" w:rsidRDefault="00603ED8" w:rsidP="00813BCF">
      <w:pPr>
        <w:pStyle w:val="DHHSbody"/>
        <w:rPr>
          <w:sz w:val="32"/>
          <w:szCs w:val="32"/>
        </w:rPr>
      </w:pPr>
      <w:r>
        <w:rPr>
          <w:b/>
          <w:bCs/>
          <w:sz w:val="24"/>
          <w:szCs w:val="24"/>
        </w:rPr>
        <w:br/>
      </w:r>
      <w:r w:rsidRPr="008F1D7D">
        <w:rPr>
          <w:sz w:val="32"/>
          <w:szCs w:val="32"/>
        </w:rPr>
        <w:t>Introduction</w:t>
      </w:r>
    </w:p>
    <w:p w14:paraId="45CCF759" w14:textId="52846947" w:rsidR="00C81B79" w:rsidRPr="00895266" w:rsidRDefault="00C81B79" w:rsidP="00813BCF">
      <w:pPr>
        <w:pStyle w:val="DHHSbody"/>
      </w:pPr>
      <w:r w:rsidRPr="00895266">
        <w:t>Many dental practices offer anaesthesia or sedation</w:t>
      </w:r>
      <w:r w:rsidR="00624710">
        <w:t xml:space="preserve"> –</w:t>
      </w:r>
      <w:r w:rsidRPr="00895266">
        <w:t xml:space="preserve"> often called sleep dentistry</w:t>
      </w:r>
      <w:r w:rsidR="00624710">
        <w:t xml:space="preserve"> –</w:t>
      </w:r>
      <w:r w:rsidRPr="00895266">
        <w:t xml:space="preserve"> at their practice to help patients cope with the procedures or</w:t>
      </w:r>
      <w:r w:rsidR="00624710">
        <w:t xml:space="preserve"> to provide suitable pain management</w:t>
      </w:r>
      <w:r w:rsidRPr="00895266">
        <w:t xml:space="preserve">. </w:t>
      </w:r>
    </w:p>
    <w:p w14:paraId="6339DD3C" w14:textId="700E70DE" w:rsidR="00C81B79" w:rsidRPr="006E41F5" w:rsidRDefault="00C81B79" w:rsidP="00813BCF">
      <w:pPr>
        <w:pStyle w:val="DHHSbody"/>
        <w:rPr>
          <w:b/>
          <w:bCs/>
        </w:rPr>
      </w:pPr>
      <w:r w:rsidRPr="006E41F5">
        <w:rPr>
          <w:b/>
          <w:bCs/>
        </w:rPr>
        <w:t xml:space="preserve">The </w:t>
      </w:r>
      <w:r w:rsidRPr="006E41F5">
        <w:rPr>
          <w:b/>
          <w:bCs/>
          <w:i/>
        </w:rPr>
        <w:t>Health Services (Health Service Establishment) Regulations 2013</w:t>
      </w:r>
      <w:r w:rsidR="006F7076" w:rsidRPr="006E41F5">
        <w:rPr>
          <w:b/>
          <w:bCs/>
        </w:rPr>
        <w:t xml:space="preserve"> (the </w:t>
      </w:r>
      <w:r w:rsidR="00F01B84" w:rsidRPr="006E41F5">
        <w:rPr>
          <w:b/>
          <w:bCs/>
        </w:rPr>
        <w:t>R</w:t>
      </w:r>
      <w:r w:rsidR="006F7076" w:rsidRPr="006E41F5">
        <w:rPr>
          <w:b/>
          <w:bCs/>
        </w:rPr>
        <w:t>egulations)</w:t>
      </w:r>
      <w:r w:rsidR="008F1D7D">
        <w:rPr>
          <w:b/>
          <w:bCs/>
        </w:rPr>
        <w:t>,</w:t>
      </w:r>
      <w:r w:rsidRPr="006E41F5">
        <w:rPr>
          <w:b/>
          <w:bCs/>
        </w:rPr>
        <w:t xml:space="preserve"> require all anaesthesia and intra</w:t>
      </w:r>
      <w:r w:rsidR="00E97CB7" w:rsidRPr="006E41F5">
        <w:rPr>
          <w:b/>
          <w:bCs/>
        </w:rPr>
        <w:t>venous sedation to be provided o</w:t>
      </w:r>
      <w:r w:rsidRPr="006E41F5">
        <w:rPr>
          <w:b/>
          <w:bCs/>
        </w:rPr>
        <w:t xml:space="preserve">n premises </w:t>
      </w:r>
      <w:r w:rsidR="00E97CB7" w:rsidRPr="006E41F5">
        <w:rPr>
          <w:b/>
          <w:bCs/>
        </w:rPr>
        <w:t xml:space="preserve">that are </w:t>
      </w:r>
      <w:r w:rsidRPr="006E41F5">
        <w:rPr>
          <w:b/>
          <w:bCs/>
        </w:rPr>
        <w:t xml:space="preserve">registered with the Department of </w:t>
      </w:r>
      <w:r w:rsidR="00F01B84" w:rsidRPr="006E41F5">
        <w:rPr>
          <w:b/>
          <w:bCs/>
        </w:rPr>
        <w:t>Health (the d</w:t>
      </w:r>
      <w:r w:rsidRPr="006E41F5">
        <w:rPr>
          <w:b/>
          <w:bCs/>
        </w:rPr>
        <w:t>epartment) or be provided by mobile anaesthesia or sed</w:t>
      </w:r>
      <w:r w:rsidR="006F7076" w:rsidRPr="006E41F5">
        <w:rPr>
          <w:b/>
          <w:bCs/>
        </w:rPr>
        <w:t>atio</w:t>
      </w:r>
      <w:r w:rsidR="00F01B84" w:rsidRPr="006E41F5">
        <w:rPr>
          <w:b/>
          <w:bCs/>
        </w:rPr>
        <w:t>n services registered with the d</w:t>
      </w:r>
      <w:r w:rsidRPr="006E41F5">
        <w:rPr>
          <w:b/>
          <w:bCs/>
        </w:rPr>
        <w:t>epartment.</w:t>
      </w:r>
    </w:p>
    <w:p w14:paraId="1156D4B3" w14:textId="0571F3E2" w:rsidR="006E41F5" w:rsidRDefault="00C81B79" w:rsidP="00813BCF">
      <w:pPr>
        <w:pStyle w:val="DHHSbody"/>
      </w:pPr>
      <w:r w:rsidRPr="00895266">
        <w:t xml:space="preserve">These </w:t>
      </w:r>
      <w:r w:rsidR="008F1D7D">
        <w:t xml:space="preserve">recent </w:t>
      </w:r>
      <w:r w:rsidRPr="00895266">
        <w:t xml:space="preserve">changes </w:t>
      </w:r>
      <w:r w:rsidR="008F1D7D">
        <w:t>have</w:t>
      </w:r>
      <w:r w:rsidRPr="00895266">
        <w:t xml:space="preserve"> impact</w:t>
      </w:r>
      <w:r w:rsidR="008F1D7D">
        <w:t>ed</w:t>
      </w:r>
      <w:r w:rsidRPr="00895266">
        <w:t xml:space="preserve"> some unregistered dental</w:t>
      </w:r>
      <w:r w:rsidR="00624710">
        <w:t xml:space="preserve"> premises. </w:t>
      </w:r>
    </w:p>
    <w:p w14:paraId="3DE920B6" w14:textId="65BEDC91" w:rsidR="00C81B79" w:rsidRPr="00895266" w:rsidRDefault="00624710" w:rsidP="00813BCF">
      <w:pPr>
        <w:pStyle w:val="DHHSbody"/>
      </w:pPr>
      <w:r>
        <w:t xml:space="preserve">The </w:t>
      </w:r>
      <w:r w:rsidR="00F01B84">
        <w:t>R</w:t>
      </w:r>
      <w:r w:rsidR="00C81B79" w:rsidRPr="00895266">
        <w:t>egulations require the registered mobile anaesthetist/</w:t>
      </w:r>
      <w:r w:rsidR="00603ED8">
        <w:t xml:space="preserve"> </w:t>
      </w:r>
      <w:r w:rsidR="00C81B79" w:rsidRPr="00895266">
        <w:t xml:space="preserve">IV-sedationist </w:t>
      </w:r>
      <w:r w:rsidR="005629A4">
        <w:t>makes</w:t>
      </w:r>
      <w:r w:rsidR="00C81B79" w:rsidRPr="00895266">
        <w:t xml:space="preserve"> sure that a range of patient safety criteria are met prior to entering a contract with an unregistered premises to ensure that the anaesthetic or sedation services can be provided safely at that premises.</w:t>
      </w:r>
    </w:p>
    <w:p w14:paraId="3C12D163" w14:textId="6A4BE95A" w:rsidR="006E41F5" w:rsidRDefault="00C81B79" w:rsidP="00813BCF">
      <w:pPr>
        <w:pStyle w:val="DHHSbody"/>
      </w:pPr>
      <w:r w:rsidRPr="00895266">
        <w:t xml:space="preserve">As part </w:t>
      </w:r>
      <w:r w:rsidR="006F7076">
        <w:t xml:space="preserve">of their registration with the </w:t>
      </w:r>
      <w:r w:rsidR="008F1D7D">
        <w:t>d</w:t>
      </w:r>
      <w:r w:rsidRPr="00895266">
        <w:t>epartment, mobile anaesthetists and IV-sedationists must complete an “Agreement between a</w:t>
      </w:r>
      <w:r w:rsidR="005629A4">
        <w:t xml:space="preserve"> registered</w:t>
      </w:r>
      <w:r w:rsidRPr="00895266">
        <w:t xml:space="preserve"> mobile</w:t>
      </w:r>
      <w:r w:rsidR="005629A4">
        <w:t xml:space="preserve"> anaesthetic</w:t>
      </w:r>
      <w:r w:rsidRPr="00895266">
        <w:t xml:space="preserve"> service and</w:t>
      </w:r>
      <w:r w:rsidR="005629A4">
        <w:t xml:space="preserve"> an</w:t>
      </w:r>
      <w:r w:rsidRPr="00895266">
        <w:t xml:space="preserve"> </w:t>
      </w:r>
      <w:r w:rsidR="005629A4">
        <w:t>unr</w:t>
      </w:r>
      <w:r w:rsidRPr="00895266">
        <w:t xml:space="preserve">egistered </w:t>
      </w:r>
      <w:r w:rsidR="005629A4">
        <w:t>dental facility</w:t>
      </w:r>
      <w:r w:rsidRPr="00895266">
        <w:t xml:space="preserve">” for each unregistered premises where they provide services. </w:t>
      </w:r>
    </w:p>
    <w:p w14:paraId="3398BEC2" w14:textId="4B2A97EA" w:rsidR="00C81B79" w:rsidRPr="00895266" w:rsidRDefault="00C81B79" w:rsidP="00813BCF">
      <w:pPr>
        <w:pStyle w:val="DHHSbody"/>
      </w:pPr>
      <w:r w:rsidRPr="00895266">
        <w:t>This form was designed to facilitate collaboration on, and agreement about</w:t>
      </w:r>
      <w:r w:rsidR="00624710">
        <w:t>,</w:t>
      </w:r>
      <w:r w:rsidRPr="00895266">
        <w:t xml:space="preserve"> how to provide safe care at the premises. It covers the questions listed below. </w:t>
      </w:r>
    </w:p>
    <w:p w14:paraId="05DAEDC0" w14:textId="77777777" w:rsidR="00C81B79" w:rsidRPr="00603ED8" w:rsidRDefault="00C81B79" w:rsidP="00813BCF">
      <w:pPr>
        <w:pStyle w:val="DHHSbody"/>
        <w:rPr>
          <w:b/>
          <w:bCs/>
          <w:iCs/>
        </w:rPr>
      </w:pPr>
      <w:r w:rsidRPr="00603ED8">
        <w:rPr>
          <w:b/>
          <w:bCs/>
          <w:iCs/>
        </w:rPr>
        <w:t>The following information provides advice on what to expect if you engage the services of a mobile anaesthetic or sedation service.</w:t>
      </w:r>
    </w:p>
    <w:p w14:paraId="3ADF86FD" w14:textId="77777777" w:rsidR="00C81B79" w:rsidRPr="008F1D7D" w:rsidRDefault="00C81B79" w:rsidP="006F7076">
      <w:pPr>
        <w:pStyle w:val="Heading1"/>
        <w:rPr>
          <w:b/>
          <w:bCs w:val="0"/>
          <w:color w:val="auto"/>
          <w:sz w:val="32"/>
          <w:szCs w:val="32"/>
        </w:rPr>
      </w:pPr>
      <w:r w:rsidRPr="008F1D7D">
        <w:rPr>
          <w:b/>
          <w:bCs w:val="0"/>
          <w:color w:val="auto"/>
          <w:sz w:val="32"/>
          <w:szCs w:val="32"/>
        </w:rPr>
        <w:t>What might you be asked?</w:t>
      </w:r>
    </w:p>
    <w:p w14:paraId="2C4A6024" w14:textId="77777777" w:rsidR="00C81B79" w:rsidRPr="00895266" w:rsidRDefault="00C81B79" w:rsidP="00813BCF">
      <w:pPr>
        <w:pStyle w:val="DHHSbody"/>
      </w:pPr>
      <w:r w:rsidRPr="00895266">
        <w:t>When engaging a mobile anaesthesia or sedation service you may be asked the following questions:</w:t>
      </w:r>
    </w:p>
    <w:p w14:paraId="3C5722D0" w14:textId="77777777" w:rsidR="00C81B79" w:rsidRPr="00895266" w:rsidRDefault="00C81B79" w:rsidP="00FE20A3">
      <w:pPr>
        <w:pStyle w:val="DHHSbullet1"/>
      </w:pPr>
      <w:r w:rsidRPr="00895266">
        <w:t>Where can an ambulance park if they are required to attend the practice?</w:t>
      </w:r>
    </w:p>
    <w:p w14:paraId="75DF6851" w14:textId="77777777" w:rsidR="00C81B79" w:rsidRPr="00895266" w:rsidRDefault="00C81B79" w:rsidP="00FE20A3">
      <w:pPr>
        <w:pStyle w:val="DHHSbullet1"/>
      </w:pPr>
      <w:r w:rsidRPr="00895266">
        <w:t>Is it possible for an ambulance crew to easily extricate a patient from the dental practice?</w:t>
      </w:r>
    </w:p>
    <w:p w14:paraId="16B1D4B4" w14:textId="4AAE61A6" w:rsidR="00C81B79" w:rsidRPr="00895266" w:rsidRDefault="00C81B79" w:rsidP="00FE20A3">
      <w:pPr>
        <w:pStyle w:val="DHHSbullet1"/>
      </w:pPr>
      <w:r w:rsidRPr="00895266">
        <w:t xml:space="preserve">Does the procedure room have sufficient space for the proceduralist, the anaesthetist, a </w:t>
      </w:r>
      <w:r w:rsidR="006E41F5">
        <w:t xml:space="preserve">registered </w:t>
      </w:r>
      <w:r w:rsidRPr="00895266">
        <w:t xml:space="preserve">nurse, ambulance crew (if required), all anaesthetic or sedation equipment, resuscitation equipment, and a </w:t>
      </w:r>
      <w:r w:rsidR="006E41F5">
        <w:t>resuscitation ‘</w:t>
      </w:r>
      <w:r w:rsidRPr="00895266">
        <w:t>crash</w:t>
      </w:r>
      <w:r w:rsidR="006E41F5">
        <w:t>’</w:t>
      </w:r>
      <w:r w:rsidRPr="00895266">
        <w:t xml:space="preserve"> cart?</w:t>
      </w:r>
    </w:p>
    <w:p w14:paraId="3F39B8CF" w14:textId="77777777" w:rsidR="00C81B79" w:rsidRPr="00895266" w:rsidRDefault="00C81B79" w:rsidP="00FE20A3">
      <w:pPr>
        <w:pStyle w:val="DHHSbullet1"/>
      </w:pPr>
      <w:r w:rsidRPr="00895266">
        <w:t>Where can a patient recover after the procedure?</w:t>
      </w:r>
    </w:p>
    <w:p w14:paraId="2473B89D" w14:textId="77777777" w:rsidR="00C81B79" w:rsidRPr="00895266" w:rsidRDefault="00C81B79" w:rsidP="00FE20A3">
      <w:pPr>
        <w:pStyle w:val="DHHSbullet1"/>
      </w:pPr>
      <w:r w:rsidRPr="00895266">
        <w:t>Is there an additional staff member available to call 000 if required?</w:t>
      </w:r>
    </w:p>
    <w:p w14:paraId="067E2998" w14:textId="77777777" w:rsidR="00C81B79" w:rsidRPr="00895266" w:rsidRDefault="00C81B79" w:rsidP="00FE20A3">
      <w:pPr>
        <w:pStyle w:val="DHHSbullet1"/>
      </w:pPr>
      <w:r w:rsidRPr="00895266">
        <w:t>Is the dirty linen and used equipment stored separately to clean linen and equipment?</w:t>
      </w:r>
    </w:p>
    <w:p w14:paraId="310E556E" w14:textId="77777777" w:rsidR="00C81B79" w:rsidRPr="00895266" w:rsidRDefault="00C81B79" w:rsidP="00FE20A3">
      <w:pPr>
        <w:pStyle w:val="DHHSbullet1"/>
      </w:pPr>
      <w:r w:rsidRPr="00895266">
        <w:t>In the event of patient deterioration who will take the lead and who will be allocated what roles, such as airway management?</w:t>
      </w:r>
    </w:p>
    <w:p w14:paraId="0DF0330F" w14:textId="77777777" w:rsidR="00813BCF" w:rsidRDefault="00C81B79" w:rsidP="00415645">
      <w:pPr>
        <w:pStyle w:val="DHHSbullet1lastline"/>
      </w:pPr>
      <w:r w:rsidRPr="00895266">
        <w:t>Does the practice have an evacuation procedure?</w:t>
      </w:r>
    </w:p>
    <w:p w14:paraId="7A173E4B" w14:textId="77777777" w:rsidR="004A0190" w:rsidRPr="008F1D7D" w:rsidRDefault="004A0190" w:rsidP="004A0190">
      <w:pPr>
        <w:pStyle w:val="Heading1"/>
        <w:spacing w:before="0"/>
        <w:rPr>
          <w:b/>
          <w:bCs w:val="0"/>
          <w:color w:val="auto"/>
          <w:sz w:val="32"/>
          <w:szCs w:val="32"/>
        </w:rPr>
      </w:pPr>
      <w:r w:rsidRPr="008F1D7D">
        <w:rPr>
          <w:b/>
          <w:bCs w:val="0"/>
          <w:color w:val="auto"/>
          <w:sz w:val="32"/>
          <w:szCs w:val="32"/>
        </w:rPr>
        <w:lastRenderedPageBreak/>
        <w:t>Additional information</w:t>
      </w:r>
    </w:p>
    <w:p w14:paraId="68BDCB77" w14:textId="77777777" w:rsidR="004A0190" w:rsidRPr="00895266" w:rsidRDefault="004A0190" w:rsidP="00813BCF">
      <w:pPr>
        <w:pStyle w:val="DHHSbody"/>
      </w:pPr>
      <w:r w:rsidRPr="00895266">
        <w:t>Mobile anaesthetic and IV-sedation services are provided with guidelines designed to support best practice care by mobile anaesthetists and IV-sedationists.</w:t>
      </w:r>
    </w:p>
    <w:p w14:paraId="543376C3" w14:textId="7880667A" w:rsidR="004A0190" w:rsidRPr="00895266" w:rsidRDefault="004A0190" w:rsidP="00813BCF">
      <w:pPr>
        <w:pStyle w:val="DHHSbody"/>
      </w:pPr>
      <w:r w:rsidRPr="00895266">
        <w:t>The “Information for registered mobile anaesthe</w:t>
      </w:r>
      <w:r w:rsidR="00C01C00">
        <w:t>tic</w:t>
      </w:r>
      <w:r w:rsidRPr="00895266">
        <w:t xml:space="preserve"> services in </w:t>
      </w:r>
      <w:r w:rsidR="00C01C00">
        <w:t>unregistered</w:t>
      </w:r>
      <w:r w:rsidRPr="00895266">
        <w:t xml:space="preserve"> settings” document was developed in consultation with the Australian Dental Association (Victorian Branch), the Australian and New Zealand College of Anaesthetists, educators from the Westmead Centre for Oral Health and the University of Sydney, as well as practising anaesthetists and IV-sed</w:t>
      </w:r>
      <w:r w:rsidR="00624710">
        <w:t>a</w:t>
      </w:r>
      <w:r w:rsidRPr="00895266">
        <w:t xml:space="preserve">tionists that provide registered mobile services, and dentists. </w:t>
      </w:r>
    </w:p>
    <w:p w14:paraId="555FEB35" w14:textId="1896EF68" w:rsidR="004A0190" w:rsidRPr="00895266" w:rsidRDefault="004A0190" w:rsidP="00813BCF">
      <w:pPr>
        <w:pStyle w:val="DHHSbody"/>
      </w:pPr>
      <w:r w:rsidRPr="00895266">
        <w:t>To assist m</w:t>
      </w:r>
      <w:r w:rsidR="00DB31C4">
        <w:t xml:space="preserve">obile </w:t>
      </w:r>
      <w:r w:rsidR="006E41F5">
        <w:t>services,</w:t>
      </w:r>
      <w:r w:rsidR="00DB31C4">
        <w:t xml:space="preserve"> comply with the r</w:t>
      </w:r>
      <w:r w:rsidRPr="00895266">
        <w:t xml:space="preserve">egulations, the </w:t>
      </w:r>
      <w:r w:rsidR="00F95D55">
        <w:t>‘</w:t>
      </w:r>
      <w:r w:rsidRPr="00895266">
        <w:t>Information for registered mobile anaesthe</w:t>
      </w:r>
      <w:r w:rsidR="00F95D55">
        <w:t xml:space="preserve">tic services in an unregistered </w:t>
      </w:r>
      <w:r w:rsidR="006F7076">
        <w:t>setting</w:t>
      </w:r>
      <w:r w:rsidR="00F95D55">
        <w:t xml:space="preserve">’ </w:t>
      </w:r>
      <w:r w:rsidRPr="00895266">
        <w:t>contains advice on how to address:</w:t>
      </w:r>
    </w:p>
    <w:p w14:paraId="5BCF3E52" w14:textId="77777777" w:rsidR="004A0190" w:rsidRPr="00895266" w:rsidRDefault="004A0190" w:rsidP="00FE20A3">
      <w:pPr>
        <w:pStyle w:val="DHHSbullet1"/>
      </w:pPr>
      <w:r w:rsidRPr="00895266">
        <w:t>pre-procedural care</w:t>
      </w:r>
    </w:p>
    <w:p w14:paraId="3896C979" w14:textId="77777777" w:rsidR="004A0190" w:rsidRPr="00895266" w:rsidRDefault="004A0190" w:rsidP="00FE20A3">
      <w:pPr>
        <w:pStyle w:val="DHHSbullet1"/>
      </w:pPr>
      <w:r w:rsidRPr="00895266">
        <w:t>perioperative care</w:t>
      </w:r>
    </w:p>
    <w:p w14:paraId="0BBC0033" w14:textId="77777777" w:rsidR="004A0190" w:rsidRPr="00895266" w:rsidRDefault="004A0190" w:rsidP="00FE20A3">
      <w:pPr>
        <w:pStyle w:val="DHHSbullet1"/>
      </w:pPr>
      <w:r w:rsidRPr="00895266">
        <w:t>postoperative care</w:t>
      </w:r>
    </w:p>
    <w:p w14:paraId="466064D1" w14:textId="77777777" w:rsidR="004A0190" w:rsidRPr="00895266" w:rsidRDefault="004A0190" w:rsidP="00FE20A3">
      <w:pPr>
        <w:pStyle w:val="DHHSbullet1"/>
      </w:pPr>
      <w:r w:rsidRPr="00895266">
        <w:t>emergency management</w:t>
      </w:r>
    </w:p>
    <w:p w14:paraId="7B0879EB" w14:textId="77777777" w:rsidR="004A0190" w:rsidRPr="00895266" w:rsidRDefault="004A0190" w:rsidP="00FE20A3">
      <w:pPr>
        <w:pStyle w:val="DHHSbullet1"/>
      </w:pPr>
      <w:r w:rsidRPr="00895266">
        <w:t>how to appropriately record anaesthetic care</w:t>
      </w:r>
    </w:p>
    <w:p w14:paraId="0F3A1DF7" w14:textId="77777777" w:rsidR="004A0190" w:rsidRPr="00895266" w:rsidRDefault="004A0190" w:rsidP="00FE20A3">
      <w:pPr>
        <w:pStyle w:val="DHHSbullet1"/>
      </w:pPr>
      <w:r w:rsidRPr="00895266">
        <w:t>what information to provide the patient</w:t>
      </w:r>
    </w:p>
    <w:p w14:paraId="439C4E4B" w14:textId="77777777" w:rsidR="004A0190" w:rsidRPr="00895266" w:rsidRDefault="004A0190" w:rsidP="00FE20A3">
      <w:pPr>
        <w:pStyle w:val="DHHSbullet1"/>
      </w:pPr>
      <w:r w:rsidRPr="00895266">
        <w:t>the physical requirement of office settings where services will be provided</w:t>
      </w:r>
    </w:p>
    <w:p w14:paraId="5E746A9C" w14:textId="77777777" w:rsidR="004A0190" w:rsidRPr="00895266" w:rsidRDefault="004A0190" w:rsidP="00FE20A3">
      <w:pPr>
        <w:pStyle w:val="DHHSbullet1"/>
      </w:pPr>
      <w:r w:rsidRPr="00895266">
        <w:t>the requirement of obtaining data</w:t>
      </w:r>
    </w:p>
    <w:p w14:paraId="332ADAEF" w14:textId="77777777" w:rsidR="004A0190" w:rsidRPr="00895266" w:rsidRDefault="004A0190" w:rsidP="00415645">
      <w:pPr>
        <w:pStyle w:val="DHHSbullet1lastline"/>
      </w:pPr>
      <w:r w:rsidRPr="00895266">
        <w:t xml:space="preserve">the governance of mobile anaesthetist or IV-sedationist services </w:t>
      </w:r>
      <w:r w:rsidR="006F7076">
        <w:t>–</w:t>
      </w:r>
      <w:r w:rsidRPr="00895266">
        <w:t xml:space="preserve"> including credentialing and defining the scope of practice of medical practitioners, policies and procedures, and review of patient safety</w:t>
      </w:r>
    </w:p>
    <w:p w14:paraId="27F83657" w14:textId="77777777" w:rsidR="004A0190" w:rsidRPr="006E41F5" w:rsidRDefault="004A0190" w:rsidP="00813BCF">
      <w:pPr>
        <w:pStyle w:val="DHHSbody"/>
        <w:rPr>
          <w:b/>
          <w:bCs/>
        </w:rPr>
      </w:pPr>
      <w:r w:rsidRPr="006E41F5">
        <w:rPr>
          <w:b/>
          <w:bCs/>
        </w:rPr>
        <w:t>The objective of providing this information is to ensure patient safety.</w:t>
      </w:r>
    </w:p>
    <w:p w14:paraId="38259D02" w14:textId="77777777" w:rsidR="004F141F" w:rsidRDefault="004F141F" w:rsidP="00DB31C4">
      <w:pPr>
        <w:pStyle w:val="DHHSbody"/>
        <w:spacing w:after="0"/>
      </w:pPr>
    </w:p>
    <w:p w14:paraId="160528FA" w14:textId="77777777" w:rsidR="004F141F" w:rsidRDefault="004F141F" w:rsidP="00DB31C4">
      <w:pPr>
        <w:pStyle w:val="DHHSbody"/>
        <w:spacing w:after="0"/>
      </w:pPr>
    </w:p>
    <w:p w14:paraId="5F01AABA" w14:textId="77777777" w:rsidR="004F141F" w:rsidRDefault="004F141F" w:rsidP="00DB31C4">
      <w:pPr>
        <w:pStyle w:val="DHHSbody"/>
        <w:spacing w:after="0"/>
      </w:pPr>
    </w:p>
    <w:p w14:paraId="5DFF8C57" w14:textId="77777777" w:rsidR="004F141F" w:rsidRDefault="004F141F" w:rsidP="00DB31C4">
      <w:pPr>
        <w:pStyle w:val="DHHSbody"/>
        <w:spacing w:after="0"/>
      </w:pPr>
    </w:p>
    <w:p w14:paraId="2FB7DF97" w14:textId="77777777" w:rsidR="004F141F" w:rsidRDefault="004F141F" w:rsidP="00DB31C4">
      <w:pPr>
        <w:pStyle w:val="DHHSbody"/>
        <w:spacing w:after="0"/>
      </w:pPr>
    </w:p>
    <w:p w14:paraId="7C2D6FCF" w14:textId="77777777" w:rsidR="00DB31C4" w:rsidRDefault="00DB31C4" w:rsidP="00DB31C4">
      <w:pPr>
        <w:pStyle w:val="DHHSbody"/>
        <w:spacing w:after="0"/>
      </w:pPr>
    </w:p>
    <w:p w14:paraId="608A777E" w14:textId="77777777" w:rsidR="00DB31C4" w:rsidRDefault="00DB31C4" w:rsidP="00DB31C4">
      <w:pPr>
        <w:pStyle w:val="DHHSbody"/>
        <w:spacing w:after="0"/>
      </w:pPr>
    </w:p>
    <w:p w14:paraId="3B170599" w14:textId="77777777" w:rsidR="009E01FA" w:rsidRDefault="009E01FA" w:rsidP="00DB31C4">
      <w:pPr>
        <w:pStyle w:val="DHHSbody"/>
        <w:spacing w:after="0"/>
      </w:pPr>
    </w:p>
    <w:p w14:paraId="7D3E9CD7" w14:textId="19DF8641" w:rsidR="004F141F" w:rsidRPr="006E41F5" w:rsidRDefault="009E01FA" w:rsidP="00DB31C4">
      <w:pPr>
        <w:pStyle w:val="DHHSbody"/>
        <w:pBdr>
          <w:top w:val="single" w:sz="4" w:space="1" w:color="auto"/>
          <w:left w:val="single" w:sz="4" w:space="4" w:color="auto"/>
          <w:bottom w:val="single" w:sz="4" w:space="1" w:color="auto"/>
          <w:right w:val="single" w:sz="4" w:space="4" w:color="auto"/>
        </w:pBdr>
      </w:pPr>
      <w:r w:rsidRPr="006E41F5">
        <w:t>To receive this publication in an accessible format</w:t>
      </w:r>
      <w:r w:rsidR="008F1D7D">
        <w:t>,</w:t>
      </w:r>
      <w:r w:rsidRPr="006E41F5">
        <w:t xml:space="preserve"> </w:t>
      </w:r>
      <w:r w:rsidRPr="00A822B5">
        <w:t xml:space="preserve">email </w:t>
      </w:r>
      <w:hyperlink r:id="rId14" w:history="1">
        <w:r w:rsidRPr="00A822B5">
          <w:rPr>
            <w:rStyle w:val="Hyperlink"/>
          </w:rPr>
          <w:t xml:space="preserve">Private Hospitals </w:t>
        </w:r>
        <w:r w:rsidR="008F1D7D" w:rsidRPr="00A822B5">
          <w:rPr>
            <w:rStyle w:val="Hyperlink"/>
          </w:rPr>
          <w:t>&amp; Day Procedure Centres Unit</w:t>
        </w:r>
      </w:hyperlink>
      <w:r w:rsidR="008F1D7D">
        <w:t xml:space="preserve"> at </w:t>
      </w:r>
      <w:r w:rsidR="00A822B5">
        <w:t>&lt;</w:t>
      </w:r>
      <w:r w:rsidR="008F1D7D" w:rsidRPr="00A822B5">
        <w:t>privatehospitals@health.vic.gov.au</w:t>
      </w:r>
      <w:r w:rsidR="00A822B5">
        <w:t>&gt;</w:t>
      </w:r>
      <w:r w:rsidR="008F1D7D">
        <w:br/>
      </w:r>
      <w:r w:rsidR="008F1D7D">
        <w:br/>
      </w:r>
      <w:r w:rsidRPr="006E41F5">
        <w:t>Authorised and published by the Victorian Government, 1 Treasury Place, Melbourne. © State of Victoria, Department of Health</w:t>
      </w:r>
      <w:r w:rsidR="00A822B5">
        <w:t>, M</w:t>
      </w:r>
      <w:r w:rsidR="008F1D7D">
        <w:t>a</w:t>
      </w:r>
      <w:r w:rsidR="002A1003" w:rsidRPr="006E41F5">
        <w:t>y 2022</w:t>
      </w:r>
      <w:r w:rsidRPr="006E41F5">
        <w:t>.</w:t>
      </w:r>
      <w:r w:rsidR="00603ED8">
        <w:br/>
      </w:r>
      <w:r w:rsidR="008F1D7D">
        <w:br/>
      </w:r>
      <w:r w:rsidRPr="006E41F5">
        <w:t xml:space="preserve">Available at </w:t>
      </w:r>
      <w:bookmarkStart w:id="0" w:name="_Hlk93061375"/>
      <w:r w:rsidR="00A822B5">
        <w:fldChar w:fldCharType="begin"/>
      </w:r>
      <w:r w:rsidR="00A822B5">
        <w:instrText xml:space="preserve"> HYPERLINK "https://www.health.vic.gov.au/private-health-service-establishments/forms-checklists-and-guidelines-for-private-health-service" </w:instrText>
      </w:r>
      <w:r w:rsidR="00A822B5">
        <w:fldChar w:fldCharType="separate"/>
      </w:r>
      <w:r w:rsidR="00A822B5" w:rsidRPr="00A822B5">
        <w:rPr>
          <w:rStyle w:val="Hyperlink"/>
        </w:rPr>
        <w:t>Forms, checklists and guidelines for private health services</w:t>
      </w:r>
      <w:r w:rsidR="00A822B5">
        <w:fldChar w:fldCharType="end"/>
      </w:r>
      <w:r w:rsidR="00A822B5">
        <w:t>&lt;</w:t>
      </w:r>
      <w:r w:rsidR="006C7821" w:rsidRPr="00A822B5">
        <w:rPr>
          <w:u w:val="dotted"/>
        </w:rPr>
        <w:t>https://www.health.vic.gov.au/private-health-service-establishments/forms-checklists-and-guidelines-for-private-health-service</w:t>
      </w:r>
      <w:bookmarkEnd w:id="0"/>
      <w:r w:rsidR="00A822B5">
        <w:rPr>
          <w:u w:val="dotted"/>
        </w:rPr>
        <w:t>&gt;</w:t>
      </w:r>
    </w:p>
    <w:sectPr w:rsidR="004F141F" w:rsidRPr="006E41F5" w:rsidSect="008F1D7D">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1FA4" w14:textId="77777777" w:rsidR="00CB6789" w:rsidRDefault="00CB6789">
      <w:r>
        <w:separator/>
      </w:r>
    </w:p>
  </w:endnote>
  <w:endnote w:type="continuationSeparator" w:id="0">
    <w:p w14:paraId="7A427A98" w14:textId="77777777" w:rsidR="00CB6789" w:rsidRDefault="00CB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F4F" w14:textId="77777777" w:rsidR="005629A4" w:rsidRDefault="00562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5853" w14:textId="767406B8" w:rsidR="004A0190" w:rsidRDefault="008F1D7D">
    <w:pPr>
      <w:pStyle w:val="Footer"/>
      <w:jc w:val="right"/>
    </w:pPr>
    <w:r>
      <w:rPr>
        <w:noProof/>
      </w:rPr>
      <mc:AlternateContent>
        <mc:Choice Requires="wps">
          <w:drawing>
            <wp:anchor distT="0" distB="0" distL="114300" distR="114300" simplePos="0" relativeHeight="251661312" behindDoc="0" locked="0" layoutInCell="0" allowOverlap="1" wp14:anchorId="5C32B01C" wp14:editId="3DBCE55E">
              <wp:simplePos x="0" y="0"/>
              <wp:positionH relativeFrom="page">
                <wp:posOffset>0</wp:posOffset>
              </wp:positionH>
              <wp:positionV relativeFrom="page">
                <wp:posOffset>10189210</wp:posOffset>
              </wp:positionV>
              <wp:extent cx="7560310" cy="311785"/>
              <wp:effectExtent l="0" t="0" r="0" b="12065"/>
              <wp:wrapNone/>
              <wp:docPr id="4" name="MSIPCM71bd4bff91bc2f98366da2a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015FE1" w14:textId="5E742531" w:rsidR="008F1D7D" w:rsidRPr="008F1D7D" w:rsidRDefault="008F1D7D" w:rsidP="008F1D7D">
                          <w:pPr>
                            <w:spacing w:after="0"/>
                            <w:jc w:val="center"/>
                            <w:rPr>
                              <w:rFonts w:ascii="Arial Black" w:hAnsi="Arial Black"/>
                              <w:color w:val="000000"/>
                              <w:sz w:val="20"/>
                            </w:rPr>
                          </w:pPr>
                          <w:r w:rsidRPr="008F1D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B01C" id="_x0000_t202" coordsize="21600,21600" o:spt="202" path="m,l,21600r21600,l21600,xe">
              <v:stroke joinstyle="miter"/>
              <v:path gradientshapeok="t" o:connecttype="rect"/>
            </v:shapetype>
            <v:shape id="MSIPCM71bd4bff91bc2f98366da2a0"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CkoFM7qwIAAEUFAAAOAAAAAAAA&#10;AAAAAAAAAC4CAABkcnMvZTJvRG9jLnhtbFBLAQItABQABgAIAAAAIQBIDV6a3wAAAAsBAAAPAAAA&#10;AAAAAAAAAAAAAAUFAABkcnMvZG93bnJldi54bWxQSwUGAAAAAAQABADzAAAAEQYAAAAA&#10;" o:allowincell="f" filled="f" stroked="f" strokeweight=".5pt">
              <v:textbox inset=",0,,0">
                <w:txbxContent>
                  <w:p w14:paraId="1C015FE1" w14:textId="5E742531" w:rsidR="008F1D7D" w:rsidRPr="008F1D7D" w:rsidRDefault="008F1D7D" w:rsidP="008F1D7D">
                    <w:pPr>
                      <w:spacing w:after="0"/>
                      <w:jc w:val="center"/>
                      <w:rPr>
                        <w:rFonts w:ascii="Arial Black" w:hAnsi="Arial Black"/>
                        <w:color w:val="000000"/>
                        <w:sz w:val="20"/>
                      </w:rPr>
                    </w:pPr>
                    <w:r w:rsidRPr="008F1D7D">
                      <w:rPr>
                        <w:rFonts w:ascii="Arial Black" w:hAnsi="Arial Black"/>
                        <w:color w:val="000000"/>
                        <w:sz w:val="20"/>
                      </w:rPr>
                      <w:t>OFFICIAL</w:t>
                    </w:r>
                  </w:p>
                </w:txbxContent>
              </v:textbox>
              <w10:wrap anchorx="page" anchory="page"/>
            </v:shape>
          </w:pict>
        </mc:Fallback>
      </mc:AlternateContent>
    </w:r>
    <w:r w:rsidR="004A0190">
      <w:fldChar w:fldCharType="begin"/>
    </w:r>
    <w:r w:rsidR="004A0190">
      <w:instrText xml:space="preserve"> PAGE   \* MERGEFORMAT </w:instrText>
    </w:r>
    <w:r w:rsidR="004A0190">
      <w:fldChar w:fldCharType="separate"/>
    </w:r>
    <w:r w:rsidR="00325B1E">
      <w:rPr>
        <w:noProof/>
      </w:rPr>
      <w:t>2</w:t>
    </w:r>
    <w:r w:rsidR="004A019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337F" w14:textId="6EE32B47" w:rsidR="00DE4B2A" w:rsidRDefault="006C7821" w:rsidP="006C7821">
    <w:pPr>
      <w:pStyle w:val="Footer"/>
      <w:jc w:val="right"/>
    </w:pPr>
    <w:r>
      <w:rPr>
        <w:noProof/>
        <w:color w:val="000000"/>
        <w:sz w:val="22"/>
        <w:szCs w:val="22"/>
        <w:lang w:eastAsia="en-AU"/>
      </w:rPr>
      <mc:AlternateContent>
        <mc:Choice Requires="wps">
          <w:drawing>
            <wp:anchor distT="0" distB="0" distL="114300" distR="114300" simplePos="0" relativeHeight="251656192" behindDoc="0" locked="0" layoutInCell="0" allowOverlap="1" wp14:anchorId="1C003762" wp14:editId="3845A64A">
              <wp:simplePos x="0" y="0"/>
              <wp:positionH relativeFrom="page">
                <wp:posOffset>0</wp:posOffset>
              </wp:positionH>
              <wp:positionV relativeFrom="page">
                <wp:posOffset>10189845</wp:posOffset>
              </wp:positionV>
              <wp:extent cx="7560310" cy="311785"/>
              <wp:effectExtent l="0" t="0" r="0" b="12065"/>
              <wp:wrapNone/>
              <wp:docPr id="3" name="MSIPCM21cf47efaa637cfdb552fe7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E3327" w14:textId="15657AA0" w:rsidR="006C7821" w:rsidRPr="008F1D7D" w:rsidRDefault="008F1D7D" w:rsidP="008F1D7D">
                          <w:pPr>
                            <w:spacing w:after="0"/>
                            <w:jc w:val="center"/>
                            <w:rPr>
                              <w:rFonts w:ascii="Arial Black" w:hAnsi="Arial Black"/>
                              <w:color w:val="000000"/>
                              <w:sz w:val="20"/>
                            </w:rPr>
                          </w:pPr>
                          <w:r w:rsidRPr="008F1D7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003762" id="_x0000_t202" coordsize="21600,21600" o:spt="202" path="m,l,21600r21600,l21600,xe">
              <v:stroke joinstyle="miter"/>
              <v:path gradientshapeok="t" o:connecttype="rect"/>
            </v:shapetype>
            <v:shape id="MSIPCM21cf47efaa637cfdb552fe7e"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Aom9bWvAgAATgUAAA4A&#10;AAAAAAAAAAAAAAAALgIAAGRycy9lMm9Eb2MueG1sUEsBAi0AFAAGAAgAAAAhAC+QSJfgAAAACwEA&#10;AA8AAAAAAAAAAAAAAAAACQUAAGRycy9kb3ducmV2LnhtbFBLBQYAAAAABAAEAPMAAAAWBgAAAAA=&#10;" o:allowincell="f" filled="f" stroked="f" strokeweight=".5pt">
              <v:textbox inset=",0,,0">
                <w:txbxContent>
                  <w:p w14:paraId="437E3327" w14:textId="15657AA0" w:rsidR="006C7821" w:rsidRPr="008F1D7D" w:rsidRDefault="008F1D7D" w:rsidP="008F1D7D">
                    <w:pPr>
                      <w:spacing w:after="0"/>
                      <w:jc w:val="center"/>
                      <w:rPr>
                        <w:rFonts w:ascii="Arial Black" w:hAnsi="Arial Black"/>
                        <w:color w:val="000000"/>
                        <w:sz w:val="20"/>
                      </w:rPr>
                    </w:pPr>
                    <w:r w:rsidRPr="008F1D7D">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60C46E99" wp14:editId="6AD3D180">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F18C" w14:textId="77777777" w:rsidR="00CB6789" w:rsidRDefault="00CB6789" w:rsidP="002862F1">
      <w:pPr>
        <w:spacing w:before="120"/>
      </w:pPr>
      <w:r>
        <w:separator/>
      </w:r>
    </w:p>
  </w:footnote>
  <w:footnote w:type="continuationSeparator" w:id="0">
    <w:p w14:paraId="00841CAD" w14:textId="77777777" w:rsidR="00CB6789" w:rsidRDefault="00CB6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0ABA" w14:textId="77777777" w:rsidR="005629A4" w:rsidRDefault="00562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6695" w14:textId="4C77075F" w:rsidR="008F1D7D" w:rsidRPr="00F65AA9" w:rsidRDefault="008F1D7D" w:rsidP="008F1D7D">
    <w:pPr>
      <w:pStyle w:val="DHHSfooter"/>
    </w:pPr>
    <w:r>
      <w:t>Information for dentists using a mobile anaesthe</w:t>
    </w:r>
    <w:r w:rsidR="00C01C00">
      <w:t>tic</w:t>
    </w:r>
    <w:r>
      <w:t xml:space="preserve"> service</w:t>
    </w:r>
  </w:p>
  <w:p w14:paraId="6E63CB74" w14:textId="77777777" w:rsidR="008F1D7D" w:rsidRDefault="008F1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3FA8" w14:textId="77777777" w:rsidR="005629A4" w:rsidRDefault="0056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B5B337F"/>
    <w:multiLevelType w:val="hybridMultilevel"/>
    <w:tmpl w:val="7916B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EEC60AE"/>
    <w:multiLevelType w:val="hybridMultilevel"/>
    <w:tmpl w:val="450074AE"/>
    <w:lvl w:ilvl="0" w:tplc="055CF7AC">
      <w:numFmt w:val="bullet"/>
      <w:lvlText w:val="•"/>
      <w:lvlJc w:val="left"/>
      <w:pPr>
        <w:ind w:left="720" w:hanging="720"/>
      </w:pPr>
      <w:rPr>
        <w:rFonts w:ascii="Arial" w:eastAsia="Calibr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97A4689"/>
    <w:multiLevelType w:val="hybridMultilevel"/>
    <w:tmpl w:val="76E0E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 w:numId="10">
    <w:abstractNumId w:val="6"/>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789"/>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5DEF"/>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1003"/>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5B1E"/>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15645"/>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0190"/>
    <w:rsid w:val="004A160D"/>
    <w:rsid w:val="004A3E81"/>
    <w:rsid w:val="004A5C62"/>
    <w:rsid w:val="004A707D"/>
    <w:rsid w:val="004C6EEE"/>
    <w:rsid w:val="004C702B"/>
    <w:rsid w:val="004D016B"/>
    <w:rsid w:val="004D1B22"/>
    <w:rsid w:val="004D36F2"/>
    <w:rsid w:val="004E138F"/>
    <w:rsid w:val="004E4649"/>
    <w:rsid w:val="004E5C2B"/>
    <w:rsid w:val="004F00DD"/>
    <w:rsid w:val="004F141F"/>
    <w:rsid w:val="004F2133"/>
    <w:rsid w:val="004F55F1"/>
    <w:rsid w:val="004F6936"/>
    <w:rsid w:val="00503DC6"/>
    <w:rsid w:val="00506F5D"/>
    <w:rsid w:val="005126D0"/>
    <w:rsid w:val="0051568D"/>
    <w:rsid w:val="00526C15"/>
    <w:rsid w:val="00536499"/>
    <w:rsid w:val="00543903"/>
    <w:rsid w:val="00543F11"/>
    <w:rsid w:val="00547A95"/>
    <w:rsid w:val="00554DBE"/>
    <w:rsid w:val="00556AB5"/>
    <w:rsid w:val="005629A4"/>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067C"/>
    <w:rsid w:val="005E14E7"/>
    <w:rsid w:val="005E26A3"/>
    <w:rsid w:val="005E447E"/>
    <w:rsid w:val="005F0775"/>
    <w:rsid w:val="005F0CF5"/>
    <w:rsid w:val="005F21EB"/>
    <w:rsid w:val="00603ED8"/>
    <w:rsid w:val="00605908"/>
    <w:rsid w:val="00610D7C"/>
    <w:rsid w:val="00613414"/>
    <w:rsid w:val="0062408D"/>
    <w:rsid w:val="006240CC"/>
    <w:rsid w:val="00624710"/>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C7821"/>
    <w:rsid w:val="006D2A3F"/>
    <w:rsid w:val="006D2FBC"/>
    <w:rsid w:val="006E138B"/>
    <w:rsid w:val="006E41F5"/>
    <w:rsid w:val="006F1FDC"/>
    <w:rsid w:val="006F7076"/>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3BCF"/>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1D7D"/>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1FA"/>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22B5"/>
    <w:rsid w:val="00A854EB"/>
    <w:rsid w:val="00A872E5"/>
    <w:rsid w:val="00A91406"/>
    <w:rsid w:val="00A96E65"/>
    <w:rsid w:val="00A97C72"/>
    <w:rsid w:val="00AA63D4"/>
    <w:rsid w:val="00AA744A"/>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1C00"/>
    <w:rsid w:val="00C079B8"/>
    <w:rsid w:val="00C123EA"/>
    <w:rsid w:val="00C12A49"/>
    <w:rsid w:val="00C133EE"/>
    <w:rsid w:val="00C27DE9"/>
    <w:rsid w:val="00C33388"/>
    <w:rsid w:val="00C35484"/>
    <w:rsid w:val="00C4173A"/>
    <w:rsid w:val="00C5323F"/>
    <w:rsid w:val="00C602FF"/>
    <w:rsid w:val="00C61174"/>
    <w:rsid w:val="00C6148F"/>
    <w:rsid w:val="00C62F7A"/>
    <w:rsid w:val="00C63B9C"/>
    <w:rsid w:val="00C6682F"/>
    <w:rsid w:val="00C7275E"/>
    <w:rsid w:val="00C74C5D"/>
    <w:rsid w:val="00C81B79"/>
    <w:rsid w:val="00C863C4"/>
    <w:rsid w:val="00C93C3E"/>
    <w:rsid w:val="00CA12E3"/>
    <w:rsid w:val="00CA6611"/>
    <w:rsid w:val="00CA6AE6"/>
    <w:rsid w:val="00CA782F"/>
    <w:rsid w:val="00CB6789"/>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B31C4"/>
    <w:rsid w:val="00DC090B"/>
    <w:rsid w:val="00DC1679"/>
    <w:rsid w:val="00DC2CF1"/>
    <w:rsid w:val="00DC4FCF"/>
    <w:rsid w:val="00DC50E0"/>
    <w:rsid w:val="00DC6386"/>
    <w:rsid w:val="00DD1130"/>
    <w:rsid w:val="00DD1951"/>
    <w:rsid w:val="00DD6628"/>
    <w:rsid w:val="00DE3250"/>
    <w:rsid w:val="00DE4B2A"/>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97CB7"/>
    <w:rsid w:val="00EB00E0"/>
    <w:rsid w:val="00EC059F"/>
    <w:rsid w:val="00EC1F24"/>
    <w:rsid w:val="00EC22F6"/>
    <w:rsid w:val="00ED5B9B"/>
    <w:rsid w:val="00ED6BAD"/>
    <w:rsid w:val="00ED7447"/>
    <w:rsid w:val="00EE1488"/>
    <w:rsid w:val="00EE4D5D"/>
    <w:rsid w:val="00EE5131"/>
    <w:rsid w:val="00EF109B"/>
    <w:rsid w:val="00EF36AF"/>
    <w:rsid w:val="00F00F9C"/>
    <w:rsid w:val="00F01B84"/>
    <w:rsid w:val="00F01E5F"/>
    <w:rsid w:val="00F02ABA"/>
    <w:rsid w:val="00F0437A"/>
    <w:rsid w:val="00F061C0"/>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0DE0"/>
    <w:rsid w:val="00F72C2C"/>
    <w:rsid w:val="00F76CAB"/>
    <w:rsid w:val="00F772C6"/>
    <w:rsid w:val="00F815B5"/>
    <w:rsid w:val="00F85195"/>
    <w:rsid w:val="00F938BA"/>
    <w:rsid w:val="00F95D55"/>
    <w:rsid w:val="00FA2C46"/>
    <w:rsid w:val="00FA3525"/>
    <w:rsid w:val="00FB4CDA"/>
    <w:rsid w:val="00FC0F81"/>
    <w:rsid w:val="00FC395C"/>
    <w:rsid w:val="00FD3766"/>
    <w:rsid w:val="00FD47C4"/>
    <w:rsid w:val="00FE20A3"/>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BEA0A9E"/>
  <w15:docId w15:val="{619D2963-005A-4BB9-9561-CF85CFC7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79"/>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4A0190"/>
    <w:rPr>
      <w:rFonts w:ascii="Arial" w:hAnsi="Arial" w:cs="Arial"/>
      <w:sz w:val="18"/>
      <w:szCs w:val="18"/>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556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AB5"/>
    <w:rPr>
      <w:rFonts w:ascii="Tahoma" w:eastAsia="Calibri" w:hAnsi="Tahoma" w:cs="Tahoma"/>
      <w:sz w:val="16"/>
      <w:szCs w:val="16"/>
      <w:lang w:eastAsia="en-US"/>
    </w:rPr>
  </w:style>
  <w:style w:type="character" w:styleId="UnresolvedMention">
    <w:name w:val="Unresolved Mention"/>
    <w:basedOn w:val="DefaultParagraphFont"/>
    <w:uiPriority w:val="99"/>
    <w:semiHidden/>
    <w:unhideWhenUsed/>
    <w:rsid w:val="006C7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ivatehospitals@health.vic.gov.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Information for dentists using a registered mobile anaesthetic service - mobile health services</vt:lpstr>
    </vt:vector>
  </TitlesOfParts>
  <Company>Department of Health</Company>
  <LinksUpToDate>false</LinksUpToDate>
  <CharactersWithSpaces>4478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dentists using a registered mobile anaesthetic service - mobile health services</dc:title>
  <dc:subject>Information for dentists using a registered mobile anaesthetic service - mobile health services</dc:subject>
  <dc:creator>Private hospitals and day procedure centres unit</dc:creator>
  <cp:lastModifiedBy>Tyler McPherson (Health)</cp:lastModifiedBy>
  <cp:revision>2</cp:revision>
  <cp:lastPrinted>2015-08-21T04:17:00Z</cp:lastPrinted>
  <dcterms:created xsi:type="dcterms:W3CDTF">2022-06-22T01:48:00Z</dcterms:created>
  <dcterms:modified xsi:type="dcterms:W3CDTF">2022-06-22T01:48:00Z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2022-06-22T01:48:13Z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a6b4784d-8e5e-46dc-9f6d-82a5094814fe</vt:lpwstr>
  </property>
  <property fmtid="{D5CDD505-2E9C-101B-9397-08002B2CF9AE}" pid="9" name="MSIP_Label_43e64453-338c-4f93-8a4d-0039a0a41f2a_ContentBits">
    <vt:lpwstr>2</vt:lpwstr>
  </property>
</Properties>
</file>