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1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20"/>
      </w:tblGrid>
      <w:tr w:rsidR="00707160" w:rsidRPr="00707160" w14:paraId="24F0CE62" w14:textId="77777777" w:rsidTr="00707160">
        <w:trPr>
          <w:trHeight w:val="262"/>
        </w:trPr>
        <w:tc>
          <w:tcPr>
            <w:tcW w:w="10820" w:type="dxa"/>
            <w:tcMar>
              <w:top w:w="1531" w:type="dxa"/>
              <w:left w:w="0" w:type="dxa"/>
              <w:right w:w="0" w:type="dxa"/>
            </w:tcMar>
          </w:tcPr>
          <w:p w14:paraId="774ECBE4" w14:textId="77777777" w:rsidR="00707160" w:rsidRPr="00707160" w:rsidRDefault="00707160" w:rsidP="00707160">
            <w:pPr>
              <w:pStyle w:val="Documenttitle"/>
              <w:rPr>
                <w:sz w:val="43"/>
                <w:szCs w:val="43"/>
              </w:rPr>
            </w:pPr>
            <w:r w:rsidRPr="00707160">
              <w:rPr>
                <w:sz w:val="43"/>
                <w:szCs w:val="43"/>
              </w:rPr>
              <w:t>Pre-exposure prophylactic treatment for COVID-19: tixagevimab and cilgavimab (Evusheld</w:t>
            </w:r>
            <w:r w:rsidRPr="00707160">
              <w:rPr>
                <w:sz w:val="43"/>
                <w:szCs w:val="43"/>
                <w:vertAlign w:val="superscript"/>
              </w:rPr>
              <w:t>TM</w:t>
            </w:r>
            <w:r w:rsidRPr="00707160">
              <w:rPr>
                <w:sz w:val="43"/>
                <w:szCs w:val="43"/>
              </w:rPr>
              <w:t>) – Frequently asked questions</w:t>
            </w:r>
          </w:p>
        </w:tc>
      </w:tr>
      <w:tr w:rsidR="00707160" w14:paraId="0443533F" w14:textId="77777777" w:rsidTr="00707160">
        <w:trPr>
          <w:trHeight w:val="184"/>
        </w:trPr>
        <w:tc>
          <w:tcPr>
            <w:tcW w:w="10820" w:type="dxa"/>
          </w:tcPr>
          <w:p w14:paraId="452A5673" w14:textId="55C7D838" w:rsidR="00707160" w:rsidRPr="00A1389F" w:rsidRDefault="00F84891" w:rsidP="00707160">
            <w:pPr>
              <w:pStyle w:val="Documentsubtitle"/>
            </w:pPr>
            <w:r>
              <w:rPr>
                <w:highlight w:val="yellow"/>
              </w:rPr>
              <w:t>1</w:t>
            </w:r>
            <w:r w:rsidR="00AD65F8">
              <w:rPr>
                <w:highlight w:val="yellow"/>
              </w:rPr>
              <w:t>7</w:t>
            </w:r>
            <w:r w:rsidR="00707160" w:rsidRPr="00943113">
              <w:rPr>
                <w:highlight w:val="yellow"/>
              </w:rPr>
              <w:t xml:space="preserve"> </w:t>
            </w:r>
            <w:r w:rsidR="00707160">
              <w:rPr>
                <w:highlight w:val="yellow"/>
              </w:rPr>
              <w:t>June</w:t>
            </w:r>
            <w:r w:rsidR="00707160" w:rsidRPr="00943113">
              <w:rPr>
                <w:highlight w:val="yellow"/>
              </w:rPr>
              <w:t xml:space="preserve"> 2022</w:t>
            </w:r>
          </w:p>
        </w:tc>
      </w:tr>
      <w:tr w:rsidR="00707160" w14:paraId="34EEC87A" w14:textId="77777777" w:rsidTr="00707160">
        <w:trPr>
          <w:trHeight w:val="237"/>
        </w:trPr>
        <w:tc>
          <w:tcPr>
            <w:tcW w:w="10820" w:type="dxa"/>
          </w:tcPr>
          <w:p w14:paraId="25DD46B8" w14:textId="77777777" w:rsidR="00707160" w:rsidRPr="001E5058" w:rsidRDefault="00990039" w:rsidP="00707160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707160">
              <w:t>OFFICIAL</w:t>
            </w:r>
            <w:r>
              <w:fldChar w:fldCharType="end"/>
            </w:r>
          </w:p>
        </w:tc>
      </w:tr>
    </w:tbl>
    <w:p w14:paraId="3DB0F5F6" w14:textId="4310BC10" w:rsidR="00A62D44" w:rsidRPr="004C6EEE" w:rsidRDefault="00717ACB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288DCFB0" wp14:editId="37EDA02C">
            <wp:simplePos x="0" y="0"/>
            <wp:positionH relativeFrom="column">
              <wp:posOffset>-535633</wp:posOffset>
            </wp:positionH>
            <wp:positionV relativeFrom="paragraph">
              <wp:posOffset>-499745</wp:posOffset>
            </wp:positionV>
            <wp:extent cx="7587104" cy="1364400"/>
            <wp:effectExtent l="0" t="0" r="0" b="0"/>
            <wp:wrapNone/>
            <wp:docPr id="2" name="Picture 2" descr="image containing th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containing three icon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7104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A644D" w14:textId="3C04D1E7" w:rsidR="00AD784C" w:rsidRPr="00B57329" w:rsidRDefault="00707160" w:rsidP="002365B4">
      <w:pPr>
        <w:pStyle w:val="TOCheadingfactsheet"/>
      </w:pPr>
      <w:r>
        <w:t>C</w:t>
      </w:r>
      <w:r w:rsidR="00AD784C" w:rsidRPr="00B57329">
        <w:t>ontents</w:t>
      </w:r>
    </w:p>
    <w:p w14:paraId="072AC70A" w14:textId="3837F3FC" w:rsidR="00F84891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rFonts w:eastAsia="Times"/>
          <w:color w:val="2B579A"/>
          <w:shd w:val="clear" w:color="auto" w:fill="E6E6E6"/>
        </w:rPr>
        <w:fldChar w:fldCharType="begin"/>
      </w:r>
      <w:r>
        <w:instrText xml:space="preserve"> TOC \h \z \t "Heading 1,1,Heading 2,2" </w:instrText>
      </w:r>
      <w:r>
        <w:rPr>
          <w:rFonts w:eastAsia="Times"/>
          <w:color w:val="2B579A"/>
          <w:shd w:val="clear" w:color="auto" w:fill="E6E6E6"/>
        </w:rPr>
        <w:fldChar w:fldCharType="separate"/>
      </w:r>
      <w:hyperlink w:anchor="_Toc105753170" w:history="1">
        <w:r w:rsidR="00F84891" w:rsidRPr="003B5F95">
          <w:rPr>
            <w:rStyle w:val="Hyperlink"/>
          </w:rPr>
          <w:t>Background: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_Toc105753170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2</w:t>
        </w:r>
        <w:r w:rsidR="00F84891">
          <w:rPr>
            <w:webHidden/>
          </w:rPr>
          <w:fldChar w:fldCharType="end"/>
        </w:r>
      </w:hyperlink>
    </w:p>
    <w:p w14:paraId="0F2272B9" w14:textId="344CE20E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1" w:history="1">
        <w:r w:rsidR="00F84891" w:rsidRPr="003B5F95">
          <w:rPr>
            <w:rStyle w:val="Hyperlink"/>
          </w:rPr>
          <w:t>What is the benefit of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_Toc105753171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3</w:t>
        </w:r>
        <w:r w:rsidR="00F84891">
          <w:rPr>
            <w:webHidden/>
          </w:rPr>
          <w:fldChar w:fldCharType="end"/>
        </w:r>
      </w:hyperlink>
    </w:p>
    <w:p w14:paraId="3797DD81" w14:textId="2C64B415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2" w:history="1">
        <w:r w:rsidR="00F84891" w:rsidRPr="003B5F95">
          <w:rPr>
            <w:rStyle w:val="Hyperlink"/>
          </w:rPr>
          <w:t>What patients are able to receive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_Toc105753172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3</w:t>
        </w:r>
        <w:r w:rsidR="00F84891">
          <w:rPr>
            <w:webHidden/>
          </w:rPr>
          <w:fldChar w:fldCharType="end"/>
        </w:r>
      </w:hyperlink>
    </w:p>
    <w:p w14:paraId="58195D7A" w14:textId="68648222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3" w:history="1">
        <w:r w:rsidR="00F84891" w:rsidRPr="003B5F95">
          <w:rPr>
            <w:rStyle w:val="Hyperlink"/>
          </w:rPr>
          <w:t>Is it necessary or desirable to check antibody status prior to administration?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_Toc105753173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3</w:t>
        </w:r>
        <w:r w:rsidR="00F84891">
          <w:rPr>
            <w:webHidden/>
          </w:rPr>
          <w:fldChar w:fldCharType="end"/>
        </w:r>
      </w:hyperlink>
    </w:p>
    <w:p w14:paraId="6023F353" w14:textId="5B7BE6FC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4" w:history="1">
        <w:r w:rsidR="00F84891" w:rsidRPr="003B5F95">
          <w:rPr>
            <w:rStyle w:val="Hyperlink"/>
          </w:rPr>
          <w:t>Is the timing between a patient receiving a COVID-19 vaccine and being administered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significant?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_Toc105753174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3</w:t>
        </w:r>
        <w:r w:rsidR="00F84891">
          <w:rPr>
            <w:webHidden/>
          </w:rPr>
          <w:fldChar w:fldCharType="end"/>
        </w:r>
      </w:hyperlink>
    </w:p>
    <w:p w14:paraId="5E3AA778" w14:textId="4774A038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5" w:history="1">
        <w:r w:rsidR="00F84891" w:rsidRPr="003B5F95">
          <w:rPr>
            <w:rStyle w:val="Hyperlink"/>
          </w:rPr>
          <w:t>Is the timing between a patient having a confirmed COVID-19 infection and being administered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significant?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_Toc105753175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3</w:t>
        </w:r>
        <w:r w:rsidR="00F84891">
          <w:rPr>
            <w:webHidden/>
          </w:rPr>
          <w:fldChar w:fldCharType="end"/>
        </w:r>
      </w:hyperlink>
    </w:p>
    <w:p w14:paraId="0B378B27" w14:textId="60F18DBC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6" w:history="1">
        <w:r w:rsidR="00F84891" w:rsidRPr="003B5F95">
          <w:rPr>
            <w:rStyle w:val="Hyperlink"/>
          </w:rPr>
          <w:t>What is the recommended observation time for a patient after receiving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_Toc105753176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3</w:t>
        </w:r>
        <w:r w:rsidR="00F84891">
          <w:rPr>
            <w:webHidden/>
          </w:rPr>
          <w:fldChar w:fldCharType="end"/>
        </w:r>
      </w:hyperlink>
    </w:p>
    <w:p w14:paraId="6CE20180" w14:textId="6159DC50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7" w:history="1">
        <w:r w:rsidR="00F84891" w:rsidRPr="003B5F95">
          <w:rPr>
            <w:rStyle w:val="Hyperlink"/>
          </w:rPr>
          <w:t>Are patients required to obtain a negative PCR prior to receiving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_Toc105753177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4</w:t>
        </w:r>
        <w:r w:rsidR="00F84891">
          <w:rPr>
            <w:webHidden/>
          </w:rPr>
          <w:fldChar w:fldCharType="end"/>
        </w:r>
      </w:hyperlink>
    </w:p>
    <w:p w14:paraId="35607D64" w14:textId="0F7B64FB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8" w:history="1">
        <w:r w:rsidR="00F84891" w:rsidRPr="003B5F95">
          <w:rPr>
            <w:rStyle w:val="Hyperlink"/>
          </w:rPr>
          <w:t>What is the implication of a patient having a past history of receiving COVID-19 medications such as sotrovimab (Xevudy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or antivirals?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_Toc105753178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4</w:t>
        </w:r>
        <w:r w:rsidR="00F84891">
          <w:rPr>
            <w:webHidden/>
          </w:rPr>
          <w:fldChar w:fldCharType="end"/>
        </w:r>
      </w:hyperlink>
    </w:p>
    <w:p w14:paraId="51B742C3" w14:textId="6C3B3D0C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79" w:history="1">
        <w:r w:rsidR="00F84891" w:rsidRPr="003B5F95">
          <w:rPr>
            <w:rStyle w:val="Hyperlink"/>
          </w:rPr>
          <w:t>Are there any restrictions in the co-administration of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with the administration of B cell depleting therapies?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_Toc105753179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4</w:t>
        </w:r>
        <w:r w:rsidR="00F84891">
          <w:rPr>
            <w:webHidden/>
          </w:rPr>
          <w:fldChar w:fldCharType="end"/>
        </w:r>
      </w:hyperlink>
    </w:p>
    <w:p w14:paraId="7E892015" w14:textId="57DD6742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0" w:history="1">
        <w:r w:rsidR="00F84891" w:rsidRPr="003B5F95">
          <w:rPr>
            <w:rStyle w:val="Hyperlink"/>
          </w:rPr>
          <w:t>Would you prescribe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to people with a history of ischemic heart disease?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_Toc105753180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4</w:t>
        </w:r>
        <w:r w:rsidR="00F84891">
          <w:rPr>
            <w:webHidden/>
          </w:rPr>
          <w:fldChar w:fldCharType="end"/>
        </w:r>
      </w:hyperlink>
    </w:p>
    <w:p w14:paraId="6DA0BF63" w14:textId="19A25F17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1" w:history="1">
        <w:r w:rsidR="00F84891" w:rsidRPr="003B5F95">
          <w:rPr>
            <w:rStyle w:val="Hyperlink"/>
          </w:rPr>
          <w:t>What is the current recommended dose of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_Toc105753181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4</w:t>
        </w:r>
        <w:r w:rsidR="00F84891">
          <w:rPr>
            <w:webHidden/>
          </w:rPr>
          <w:fldChar w:fldCharType="end"/>
        </w:r>
      </w:hyperlink>
    </w:p>
    <w:p w14:paraId="4ADB193F" w14:textId="6B944DBE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2" w:history="1">
        <w:r w:rsidR="00F84891" w:rsidRPr="003B5F95">
          <w:rPr>
            <w:rStyle w:val="Hyperlink"/>
          </w:rPr>
          <w:t>Can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be given intravenously?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_Toc105753182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5</w:t>
        </w:r>
        <w:r w:rsidR="00F84891">
          <w:rPr>
            <w:webHidden/>
          </w:rPr>
          <w:fldChar w:fldCharType="end"/>
        </w:r>
      </w:hyperlink>
    </w:p>
    <w:p w14:paraId="52646F76" w14:textId="0844A672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3" w:history="1">
        <w:r w:rsidR="00F84891" w:rsidRPr="003B5F95">
          <w:rPr>
            <w:rStyle w:val="Hyperlink"/>
          </w:rPr>
          <w:t>Are there any medication related interactions with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_Toc105753183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5</w:t>
        </w:r>
        <w:r w:rsidR="00F84891">
          <w:rPr>
            <w:webHidden/>
          </w:rPr>
          <w:fldChar w:fldCharType="end"/>
        </w:r>
      </w:hyperlink>
    </w:p>
    <w:p w14:paraId="7214D915" w14:textId="730827C6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4" w:history="1">
        <w:r w:rsidR="00F84891" w:rsidRPr="003B5F95">
          <w:rPr>
            <w:rStyle w:val="Hyperlink"/>
          </w:rPr>
          <w:t>Is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being used in Paediatric populations?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_Toc105753184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5</w:t>
        </w:r>
        <w:r w:rsidR="00F84891">
          <w:rPr>
            <w:webHidden/>
          </w:rPr>
          <w:fldChar w:fldCharType="end"/>
        </w:r>
      </w:hyperlink>
    </w:p>
    <w:p w14:paraId="24D8E4F4" w14:textId="1763E386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5" w:history="1">
        <w:r w:rsidR="00F84891" w:rsidRPr="003B5F95">
          <w:rPr>
            <w:rStyle w:val="Hyperlink"/>
          </w:rPr>
          <w:t>Is the dose of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repeated after six months?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_Toc105753185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5</w:t>
        </w:r>
        <w:r w:rsidR="00F84891">
          <w:rPr>
            <w:webHidden/>
          </w:rPr>
          <w:fldChar w:fldCharType="end"/>
        </w:r>
      </w:hyperlink>
    </w:p>
    <w:p w14:paraId="2FD434E4" w14:textId="645E5805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6" w:history="1">
        <w:r w:rsidR="00F84891" w:rsidRPr="003B5F95">
          <w:rPr>
            <w:rStyle w:val="Hyperlink"/>
          </w:rPr>
          <w:t>What models of care are currently being used to deliver tixagevimab and cilgavimab (Evusheld</w:t>
        </w:r>
        <w:r w:rsidR="00F84891" w:rsidRPr="003B5F95">
          <w:rPr>
            <w:rStyle w:val="Hyperlink"/>
            <w:vertAlign w:val="superscript"/>
          </w:rPr>
          <w:t>TM</w:t>
        </w:r>
        <w:r w:rsidR="00F84891" w:rsidRPr="003B5F95">
          <w:rPr>
            <w:rStyle w:val="Hyperlink"/>
          </w:rPr>
          <w:t>) to eligible cohorts?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_Toc105753186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5</w:t>
        </w:r>
        <w:r w:rsidR="00F84891">
          <w:rPr>
            <w:webHidden/>
          </w:rPr>
          <w:fldChar w:fldCharType="end"/>
        </w:r>
      </w:hyperlink>
    </w:p>
    <w:p w14:paraId="7AFDD6E8" w14:textId="7EB9A03E" w:rsidR="00F84891" w:rsidRDefault="009900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753187" w:history="1">
        <w:r w:rsidR="00F84891" w:rsidRPr="003B5F95">
          <w:rPr>
            <w:rStyle w:val="Hyperlink"/>
          </w:rPr>
          <w:t>How is the data going to be managed?</w:t>
        </w:r>
        <w:r w:rsidR="00F84891">
          <w:rPr>
            <w:webHidden/>
          </w:rPr>
          <w:tab/>
        </w:r>
        <w:r w:rsidR="00F84891">
          <w:rPr>
            <w:webHidden/>
          </w:rPr>
          <w:fldChar w:fldCharType="begin"/>
        </w:r>
        <w:r w:rsidR="00F84891">
          <w:rPr>
            <w:webHidden/>
          </w:rPr>
          <w:instrText xml:space="preserve"> PAGEREF _Toc105753187 \h </w:instrText>
        </w:r>
        <w:r w:rsidR="00F84891">
          <w:rPr>
            <w:webHidden/>
          </w:rPr>
        </w:r>
        <w:r w:rsidR="00F84891">
          <w:rPr>
            <w:webHidden/>
          </w:rPr>
          <w:fldChar w:fldCharType="separate"/>
        </w:r>
        <w:r w:rsidR="00F84891">
          <w:rPr>
            <w:webHidden/>
          </w:rPr>
          <w:t>6</w:t>
        </w:r>
        <w:r w:rsidR="00F84891">
          <w:rPr>
            <w:webHidden/>
          </w:rPr>
          <w:fldChar w:fldCharType="end"/>
        </w:r>
      </w:hyperlink>
    </w:p>
    <w:p w14:paraId="4CA0625E" w14:textId="772A7871" w:rsidR="00580394" w:rsidRPr="00B519CD" w:rsidRDefault="00AD784C" w:rsidP="007173CA">
      <w:pPr>
        <w:pStyle w:val="Body"/>
        <w:sectPr w:rsidR="00580394" w:rsidRPr="00B519CD" w:rsidSect="008C4E63">
          <w:headerReference w:type="default" r:id="rId18"/>
          <w:type w:val="continuous"/>
          <w:pgSz w:w="11906" w:h="16838" w:code="9"/>
          <w:pgMar w:top="851" w:right="851" w:bottom="1418" w:left="851" w:header="851" w:footer="851" w:gutter="0"/>
          <w:cols w:space="340"/>
          <w:titlePg/>
          <w:docGrid w:linePitch="360"/>
        </w:sectPr>
      </w:pPr>
      <w:r>
        <w:rPr>
          <w:color w:val="2B579A"/>
          <w:shd w:val="clear" w:color="auto" w:fill="E6E6E6"/>
        </w:rPr>
        <w:fldChar w:fldCharType="end"/>
      </w:r>
    </w:p>
    <w:p w14:paraId="7E6AB0EB" w14:textId="1FF56AC1" w:rsidR="008C4E63" w:rsidRDefault="008C4E63">
      <w:pPr>
        <w:spacing w:after="0" w:line="240" w:lineRule="auto"/>
        <w:rPr>
          <w:rFonts w:eastAsia="MS Gothic" w:cs="Arial"/>
          <w:bCs/>
          <w:color w:val="004EA8"/>
          <w:kern w:val="32"/>
          <w:sz w:val="40"/>
          <w:szCs w:val="40"/>
        </w:rPr>
      </w:pPr>
    </w:p>
    <w:p w14:paraId="780E5628" w14:textId="0D407F92" w:rsidR="0036549E" w:rsidRPr="00DB03BF" w:rsidRDefault="003122BC" w:rsidP="003122BC">
      <w:pPr>
        <w:pStyle w:val="Heading1"/>
        <w:rPr>
          <w:sz w:val="21"/>
        </w:rPr>
      </w:pPr>
      <w:bookmarkStart w:id="0" w:name="_Toc105753170"/>
      <w:r>
        <w:t>B</w:t>
      </w:r>
      <w:r w:rsidR="003F20E4">
        <w:t>a</w:t>
      </w:r>
      <w:r>
        <w:t>ckground</w:t>
      </w:r>
      <w:r w:rsidR="0036549E" w:rsidRPr="00DB03BF">
        <w:rPr>
          <w:sz w:val="21"/>
        </w:rPr>
        <w:t>:</w:t>
      </w:r>
      <w:bookmarkEnd w:id="0"/>
      <w:r w:rsidR="0036549E" w:rsidRPr="00DB03BF">
        <w:rPr>
          <w:sz w:val="21"/>
        </w:rPr>
        <w:t xml:space="preserve"> </w:t>
      </w:r>
    </w:p>
    <w:p w14:paraId="69393743" w14:textId="6BD153CA" w:rsidR="002377F2" w:rsidRPr="00830ED9" w:rsidRDefault="002377F2" w:rsidP="00830ED9">
      <w:pPr>
        <w:pStyle w:val="Body"/>
      </w:pPr>
      <w:r w:rsidRPr="00830ED9">
        <w:t>A limited supply of tixagevimab and cilgavimab (Evusheld</w:t>
      </w:r>
      <w:r w:rsidRPr="00830ED9">
        <w:rPr>
          <w:vertAlign w:val="superscript"/>
        </w:rPr>
        <w:t>TM</w:t>
      </w:r>
      <w:r w:rsidRPr="00830ED9">
        <w:t xml:space="preserve">) is available in Victoria for </w:t>
      </w:r>
      <w:r w:rsidR="00333CBE" w:rsidRPr="00830ED9">
        <w:t xml:space="preserve">use in </w:t>
      </w:r>
      <w:r w:rsidRPr="00830ED9">
        <w:t>high</w:t>
      </w:r>
      <w:r>
        <w:t>-</w:t>
      </w:r>
      <w:r w:rsidRPr="00830ED9">
        <w:t>risk</w:t>
      </w:r>
      <w:r w:rsidR="00333CBE" w:rsidRPr="00830ED9">
        <w:t xml:space="preserve"> people for </w:t>
      </w:r>
      <w:r w:rsidR="00333CBE" w:rsidRPr="009B5231">
        <w:rPr>
          <w:b/>
          <w:bCs/>
        </w:rPr>
        <w:t>pre-exposure prophylaxis</w:t>
      </w:r>
      <w:r w:rsidR="00333CBE" w:rsidRPr="00830ED9">
        <w:t xml:space="preserve"> of COVID-19</w:t>
      </w:r>
      <w:r w:rsidRPr="00830ED9">
        <w:t xml:space="preserve">. </w:t>
      </w:r>
    </w:p>
    <w:p w14:paraId="3E928490" w14:textId="5EB2CA48" w:rsidR="002377F2" w:rsidRPr="00010CC6" w:rsidRDefault="00333CBE" w:rsidP="00830ED9">
      <w:pPr>
        <w:pStyle w:val="Body"/>
        <w:rPr>
          <w:rFonts w:cs="Arial"/>
          <w:szCs w:val="21"/>
        </w:rPr>
      </w:pPr>
      <w:r w:rsidRPr="00010CC6">
        <w:rPr>
          <w:rFonts w:cs="Arial"/>
          <w:szCs w:val="21"/>
        </w:rPr>
        <w:t>Tixagevimab and cilgavimab (Evusheld</w:t>
      </w:r>
      <w:r w:rsidRPr="00010CC6">
        <w:rPr>
          <w:rFonts w:cs="Arial"/>
          <w:szCs w:val="21"/>
          <w:vertAlign w:val="superscript"/>
        </w:rPr>
        <w:t>TM</w:t>
      </w:r>
      <w:r w:rsidRPr="00010CC6">
        <w:rPr>
          <w:rFonts w:cs="Arial"/>
          <w:szCs w:val="21"/>
        </w:rPr>
        <w:t xml:space="preserve">) </w:t>
      </w:r>
      <w:r w:rsidR="002377F2" w:rsidRPr="00010CC6">
        <w:rPr>
          <w:rFonts w:cs="Arial"/>
          <w:szCs w:val="21"/>
        </w:rPr>
        <w:t xml:space="preserve">is currently </w:t>
      </w:r>
      <w:r w:rsidRPr="00010CC6">
        <w:rPr>
          <w:rFonts w:cs="Arial"/>
          <w:szCs w:val="21"/>
        </w:rPr>
        <w:t>available</w:t>
      </w:r>
      <w:r w:rsidR="00D747B6" w:rsidRPr="00010CC6">
        <w:rPr>
          <w:rFonts w:cs="Arial"/>
          <w:szCs w:val="21"/>
        </w:rPr>
        <w:t xml:space="preserve"> in Victoria</w:t>
      </w:r>
      <w:r w:rsidRPr="00010CC6">
        <w:rPr>
          <w:rFonts w:cs="Arial"/>
          <w:szCs w:val="21"/>
        </w:rPr>
        <w:t xml:space="preserve"> for the following patient groups:</w:t>
      </w:r>
    </w:p>
    <w:p w14:paraId="3D8E9A12" w14:textId="77777777" w:rsidR="0025263F" w:rsidRPr="0025263F" w:rsidRDefault="0025263F" w:rsidP="0025263F">
      <w:pPr>
        <w:shd w:val="clear" w:color="auto" w:fill="FFFFFF"/>
        <w:spacing w:after="0" w:line="240" w:lineRule="auto"/>
        <w:rPr>
          <w:rFonts w:cs="Arial"/>
          <w:color w:val="242424"/>
          <w:szCs w:val="21"/>
          <w:lang w:eastAsia="en-AU"/>
        </w:rPr>
      </w:pPr>
      <w:r w:rsidRPr="0025263F">
        <w:rPr>
          <w:rFonts w:cs="Arial"/>
          <w:color w:val="242424"/>
          <w:szCs w:val="21"/>
          <w:lang w:eastAsia="en-AU"/>
        </w:rPr>
        <w:t>Eligible patient groups for tixagevimab and cilgavimab (Evusheld™) pre-exposure prophylaxis have been expanded and now include:</w:t>
      </w:r>
    </w:p>
    <w:p w14:paraId="08AD744A" w14:textId="77777777" w:rsid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heart/lung transplant recipients</w:t>
      </w:r>
    </w:p>
    <w:p w14:paraId="417F4931" w14:textId="77777777" w:rsid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STEM Cell Transplant or CAR T-cell therapy recipients within 12 months OR STEM Cell recipients with GVHD OR still requiring significant ongoing immunosuppression for other reasons</w:t>
      </w:r>
    </w:p>
    <w:p w14:paraId="225995AD" w14:textId="77777777" w:rsid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kidney, pancreas/islet cell or liver transplant recipients within 12 months OR requiring therapy for acute rejection OR still requiring significant ongoing suppression for other reasons</w:t>
      </w:r>
    </w:p>
    <w:p w14:paraId="0BCD2BFC" w14:textId="77777777" w:rsid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individuals with primary immunodeficiency syndromes</w:t>
      </w:r>
    </w:p>
    <w:p w14:paraId="48711E4D" w14:textId="77777777" w:rsidR="00AD65F8" w:rsidRPr="00AD65F8" w:rsidRDefault="00AD65F8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highlight w:val="yellow"/>
          <w:lang w:eastAsia="en-AU"/>
        </w:rPr>
      </w:pPr>
      <w:r w:rsidRPr="00AD65F8">
        <w:rPr>
          <w:highlight w:val="yellow"/>
        </w:rPr>
        <w:t>haematologic disorders that may affect B cell function eg. CLL, CMML, myelodysplastic syndrome, myeloma</w:t>
      </w:r>
    </w:p>
    <w:p w14:paraId="4B99CDDC" w14:textId="0CC6F9FD" w:rsid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individuals unable to be immunised with COVID-19 vaccines due to genuine, severe allergy if ≥ 65 years old (≥ 50 years old if Aboriginal) and not recently infected with COVID-19 within 3 months</w:t>
      </w:r>
    </w:p>
    <w:p w14:paraId="60A1A3CF" w14:textId="77777777" w:rsid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individuals who have haematological malignancies and are receiving active therapy</w:t>
      </w:r>
    </w:p>
    <w:p w14:paraId="43735A25" w14:textId="77777777" w:rsid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individuals with HIV who have a CD4 cell count &lt; 50 cells/mm3</w:t>
      </w:r>
    </w:p>
    <w:p w14:paraId="21327EE4" w14:textId="62571FFF" w:rsidR="003714F1" w:rsidRPr="003714F1" w:rsidRDefault="003714F1" w:rsidP="003714F1">
      <w:pPr>
        <w:pStyle w:val="Body"/>
        <w:numPr>
          <w:ilvl w:val="0"/>
          <w:numId w:val="48"/>
        </w:numPr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individuals who within the last 12 months received:</w:t>
      </w:r>
    </w:p>
    <w:p w14:paraId="293AB29E" w14:textId="023C6B38" w:rsidR="003714F1" w:rsidRPr="003714F1" w:rsidRDefault="003714F1" w:rsidP="003714F1">
      <w:pPr>
        <w:pStyle w:val="Body"/>
        <w:ind w:left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anti-CD20 antibodies (rituximab, obinutuzumab, ocrelizumab, ofatumumab)</w:t>
      </w:r>
    </w:p>
    <w:p w14:paraId="4BE31D4E" w14:textId="77777777" w:rsidR="003714F1" w:rsidRPr="003714F1" w:rsidRDefault="003714F1" w:rsidP="003714F1">
      <w:pPr>
        <w:pStyle w:val="Body"/>
        <w:ind w:left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BTK inhibitors (ibrutinib, acalabrutinib, zanubrutinib)</w:t>
      </w:r>
    </w:p>
    <w:p w14:paraId="62E8253B" w14:textId="77777777" w:rsidR="003714F1" w:rsidRP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BLC2 inhibitor (venetoclax)</w:t>
      </w:r>
    </w:p>
    <w:p w14:paraId="7EE937D9" w14:textId="77777777" w:rsidR="003714F1" w:rsidRP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anti-CD38 (daratumumab)</w:t>
      </w:r>
    </w:p>
    <w:p w14:paraId="541083DB" w14:textId="77777777" w:rsidR="003714F1" w:rsidRP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anti-BCMA bi-specific antibody</w:t>
      </w:r>
    </w:p>
    <w:p w14:paraId="189F4480" w14:textId="77777777" w:rsidR="003714F1" w:rsidRP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sphingosine 1- phosphate receptor modulators (fingolimod, siponimod)</w:t>
      </w:r>
    </w:p>
    <w:p w14:paraId="3113911B" w14:textId="77777777" w:rsidR="003714F1" w:rsidRP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anti-CD52 antibodies (alemtuzumab)</w:t>
      </w:r>
    </w:p>
    <w:p w14:paraId="56B291E6" w14:textId="77777777" w:rsidR="003714F1" w:rsidRP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anti-complement antibodies (eculizumab)</w:t>
      </w:r>
    </w:p>
    <w:p w14:paraId="1B93FD46" w14:textId="77777777" w:rsidR="003714F1" w:rsidRP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anti-thymocyte globulin</w:t>
      </w:r>
    </w:p>
    <w:p w14:paraId="44CB66AC" w14:textId="77777777" w:rsidR="003714F1" w:rsidRDefault="003714F1" w:rsidP="003714F1">
      <w:pPr>
        <w:pStyle w:val="Body"/>
        <w:ind w:firstLine="720"/>
        <w:rPr>
          <w:rFonts w:eastAsia="Times New Roman" w:cs="Arial"/>
          <w:color w:val="000000" w:themeColor="text1"/>
          <w:szCs w:val="21"/>
          <w:lang w:eastAsia="en-AU"/>
        </w:rPr>
      </w:pPr>
      <w:r w:rsidRPr="003714F1">
        <w:rPr>
          <w:rFonts w:eastAsia="Times New Roman" w:cs="Arial"/>
          <w:color w:val="000000" w:themeColor="text1"/>
          <w:szCs w:val="21"/>
          <w:lang w:eastAsia="en-AU"/>
        </w:rPr>
        <w:t>- high dose (&gt; 1 g/m²) cyclophosphamide.</w:t>
      </w:r>
    </w:p>
    <w:p w14:paraId="4ED5EE14" w14:textId="77777777" w:rsidR="00E324C8" w:rsidRDefault="00E324C8" w:rsidP="00E324C8">
      <w:pPr>
        <w:pStyle w:val="Body"/>
        <w:rPr>
          <w:rFonts w:eastAsia="Times New Roman" w:cs="Arial"/>
          <w:color w:val="000000" w:themeColor="text1"/>
          <w:szCs w:val="21"/>
          <w:lang w:eastAsia="en-AU"/>
        </w:rPr>
      </w:pPr>
    </w:p>
    <w:p w14:paraId="5892B92E" w14:textId="2B394341" w:rsidR="00333CBE" w:rsidRPr="00830ED9" w:rsidRDefault="00333CBE" w:rsidP="00E324C8">
      <w:pPr>
        <w:pStyle w:val="Body"/>
      </w:pPr>
      <w:r w:rsidRPr="00010CC6">
        <w:rPr>
          <w:rFonts w:cs="Arial"/>
          <w:szCs w:val="21"/>
        </w:rPr>
        <w:t xml:space="preserve">The purpose of this </w:t>
      </w:r>
      <w:r w:rsidRPr="00830ED9">
        <w:t xml:space="preserve">document is to </w:t>
      </w:r>
      <w:r w:rsidR="00830ED9" w:rsidRPr="00830ED9">
        <w:t xml:space="preserve">address frequently asked questions (FAQs) to </w:t>
      </w:r>
      <w:r w:rsidRPr="00830ED9">
        <w:t>support</w:t>
      </w:r>
      <w:r w:rsidR="00830ED9" w:rsidRPr="00830ED9">
        <w:t xml:space="preserve"> clinicians in their use of </w:t>
      </w:r>
      <w:bookmarkStart w:id="1" w:name="_Hlk101527708"/>
      <w:r w:rsidR="00463035">
        <w:t>t</w:t>
      </w:r>
      <w:r w:rsidR="00830ED9" w:rsidRPr="00830ED9">
        <w:t>ixagevimab and cilgavimab (Evusheld</w:t>
      </w:r>
      <w:r w:rsidR="00830ED9" w:rsidRPr="00830ED9">
        <w:rPr>
          <w:vertAlign w:val="superscript"/>
        </w:rPr>
        <w:t>TM</w:t>
      </w:r>
      <w:r w:rsidR="00830ED9" w:rsidRPr="00830ED9">
        <w:t>)</w:t>
      </w:r>
      <w:bookmarkEnd w:id="1"/>
      <w:r w:rsidR="00830ED9" w:rsidRPr="00830ED9">
        <w:t>.</w:t>
      </w:r>
    </w:p>
    <w:p w14:paraId="5310DBD0" w14:textId="667AF5B0" w:rsidR="002377F2" w:rsidRPr="002377F2" w:rsidRDefault="002377F2" w:rsidP="00830ED9">
      <w:pPr>
        <w:pStyle w:val="Body"/>
      </w:pPr>
      <w:r w:rsidRPr="002377F2">
        <w:t>This document has been developed by an expert working group of Victorian clinicians</w:t>
      </w:r>
      <w:r w:rsidR="00333CBE" w:rsidRPr="00830ED9">
        <w:t>.</w:t>
      </w:r>
    </w:p>
    <w:p w14:paraId="4F911DA0" w14:textId="2470A92E" w:rsidR="0036549E" w:rsidRPr="00DB03BF" w:rsidRDefault="0036549E" w:rsidP="0036549E">
      <w:pPr>
        <w:pStyle w:val="Heading1"/>
        <w:rPr>
          <w:b/>
          <w:sz w:val="21"/>
          <w:szCs w:val="21"/>
        </w:rPr>
      </w:pPr>
      <w:bookmarkStart w:id="2" w:name="_Toc105753171"/>
      <w:bookmarkStart w:id="3" w:name="_Toc100512273"/>
      <w:r w:rsidRPr="00DB03BF">
        <w:rPr>
          <w:b/>
          <w:sz w:val="21"/>
          <w:szCs w:val="21"/>
        </w:rPr>
        <w:lastRenderedPageBreak/>
        <w:t xml:space="preserve">What is the benefit of </w:t>
      </w:r>
      <w:r w:rsidR="00D54F11" w:rsidRPr="006607A2">
        <w:rPr>
          <w:b/>
          <w:sz w:val="21"/>
          <w:szCs w:val="21"/>
        </w:rPr>
        <w:t xml:space="preserve">tixagevimab and cilgavimab </w:t>
      </w:r>
      <w:r w:rsidR="00D54F11">
        <w:rPr>
          <w:b/>
          <w:sz w:val="21"/>
          <w:szCs w:val="21"/>
        </w:rPr>
        <w:t>(</w:t>
      </w:r>
      <w:r w:rsidRPr="00DB03BF">
        <w:rPr>
          <w:b/>
          <w:sz w:val="21"/>
          <w:szCs w:val="21"/>
        </w:rPr>
        <w:t>Evusheld</w:t>
      </w:r>
      <w:r w:rsidR="00D54F11" w:rsidRPr="00D54F11">
        <w:rPr>
          <w:b/>
          <w:sz w:val="21"/>
          <w:szCs w:val="21"/>
          <w:vertAlign w:val="superscript"/>
        </w:rPr>
        <w:t>TM</w:t>
      </w:r>
      <w:r w:rsidR="00D54F11">
        <w:rPr>
          <w:b/>
          <w:sz w:val="21"/>
          <w:szCs w:val="21"/>
        </w:rPr>
        <w:t>)</w:t>
      </w:r>
      <w:r w:rsidRPr="00DB03BF">
        <w:rPr>
          <w:b/>
          <w:sz w:val="21"/>
          <w:szCs w:val="21"/>
        </w:rPr>
        <w:t>?</w:t>
      </w:r>
      <w:bookmarkEnd w:id="2"/>
    </w:p>
    <w:p w14:paraId="2F344AC6" w14:textId="5A9B7B22" w:rsidR="0036549E" w:rsidRPr="0088157F" w:rsidRDefault="00024F28" w:rsidP="79FC6581">
      <w:pPr>
        <w:pStyle w:val="Heading3"/>
        <w:shd w:val="clear" w:color="auto" w:fill="FFFFFF" w:themeFill="background1"/>
        <w:spacing w:before="0" w:after="60"/>
        <w:rPr>
          <w:rFonts w:cs="Arial"/>
          <w:color w:val="auto"/>
          <w:sz w:val="21"/>
          <w:szCs w:val="21"/>
          <w:lang w:eastAsia="en-AU"/>
        </w:rPr>
      </w:pPr>
      <w:r>
        <w:rPr>
          <w:color w:val="auto"/>
          <w:sz w:val="21"/>
          <w:szCs w:val="21"/>
        </w:rPr>
        <w:t>T</w:t>
      </w:r>
      <w:r w:rsidR="00D54F11" w:rsidRPr="00355EA3">
        <w:rPr>
          <w:color w:val="auto"/>
          <w:sz w:val="21"/>
          <w:szCs w:val="21"/>
        </w:rPr>
        <w:t>ixagevimab and cilgavimab (Evusheld</w:t>
      </w:r>
      <w:r w:rsidR="00D54F11" w:rsidRPr="00355EA3">
        <w:rPr>
          <w:color w:val="auto"/>
          <w:sz w:val="21"/>
          <w:szCs w:val="21"/>
          <w:vertAlign w:val="superscript"/>
        </w:rPr>
        <w:t>TM</w:t>
      </w:r>
      <w:r w:rsidR="00D54F11" w:rsidRPr="00355EA3">
        <w:rPr>
          <w:color w:val="auto"/>
          <w:sz w:val="21"/>
          <w:szCs w:val="21"/>
        </w:rPr>
        <w:t>)</w:t>
      </w:r>
      <w:r>
        <w:rPr>
          <w:color w:val="auto"/>
          <w:sz w:val="21"/>
          <w:szCs w:val="21"/>
        </w:rPr>
        <w:t xml:space="preserve"> are monoclonal antibodies designed to </w:t>
      </w:r>
      <w:r w:rsidR="00202AFA">
        <w:rPr>
          <w:color w:val="auto"/>
          <w:sz w:val="21"/>
          <w:szCs w:val="21"/>
        </w:rPr>
        <w:t xml:space="preserve">block viral attachment and </w:t>
      </w:r>
      <w:r w:rsidR="00202AFA" w:rsidRPr="008A7BC3">
        <w:rPr>
          <w:color w:val="auto"/>
          <w:sz w:val="21"/>
          <w:szCs w:val="21"/>
        </w:rPr>
        <w:t>entry in</w:t>
      </w:r>
      <w:r w:rsidR="009533A9" w:rsidRPr="008A7BC3">
        <w:rPr>
          <w:color w:val="auto"/>
          <w:sz w:val="21"/>
          <w:szCs w:val="21"/>
        </w:rPr>
        <w:t xml:space="preserve">to </w:t>
      </w:r>
      <w:r w:rsidR="008A7BC3" w:rsidRPr="008A7BC3">
        <w:rPr>
          <w:color w:val="auto"/>
          <w:sz w:val="21"/>
          <w:szCs w:val="21"/>
        </w:rPr>
        <w:t>cells.</w:t>
      </w:r>
      <w:r w:rsidR="00D54F11" w:rsidRPr="008A7BC3">
        <w:rPr>
          <w:rFonts w:eastAsia="Times New Roman" w:cs="Arial"/>
          <w:color w:val="auto"/>
          <w:sz w:val="21"/>
          <w:szCs w:val="21"/>
        </w:rPr>
        <w:t xml:space="preserve"> </w:t>
      </w:r>
      <w:r w:rsidR="0036549E" w:rsidRPr="0088157F">
        <w:rPr>
          <w:rFonts w:eastAsia="Times New Roman" w:cs="Arial"/>
          <w:color w:val="auto"/>
          <w:sz w:val="21"/>
          <w:szCs w:val="21"/>
        </w:rPr>
        <w:t xml:space="preserve">A large </w:t>
      </w:r>
      <w:r w:rsidR="00394C74">
        <w:rPr>
          <w:rFonts w:eastAsia="Times New Roman" w:cs="Arial"/>
          <w:color w:val="auto"/>
          <w:sz w:val="21"/>
          <w:szCs w:val="21"/>
        </w:rPr>
        <w:t xml:space="preserve">ongoing Phase III, </w:t>
      </w:r>
      <w:r w:rsidR="0036549E" w:rsidRPr="0088157F">
        <w:rPr>
          <w:rFonts w:eastAsia="Times New Roman" w:cs="Arial"/>
          <w:color w:val="auto"/>
          <w:sz w:val="21"/>
          <w:szCs w:val="21"/>
        </w:rPr>
        <w:t>randomised</w:t>
      </w:r>
      <w:r w:rsidR="00394C74">
        <w:rPr>
          <w:rFonts w:eastAsia="Times New Roman" w:cs="Arial"/>
          <w:color w:val="auto"/>
          <w:sz w:val="21"/>
          <w:szCs w:val="21"/>
        </w:rPr>
        <w:t>, double-blind</w:t>
      </w:r>
      <w:r w:rsidR="00A73400">
        <w:rPr>
          <w:rFonts w:eastAsia="Times New Roman" w:cs="Arial"/>
          <w:color w:val="auto"/>
          <w:sz w:val="21"/>
          <w:szCs w:val="21"/>
        </w:rPr>
        <w:t xml:space="preserve"> placebo-controlled</w:t>
      </w:r>
      <w:r w:rsidR="0036549E" w:rsidRPr="0088157F">
        <w:rPr>
          <w:rFonts w:eastAsia="Times New Roman" w:cs="Arial"/>
          <w:color w:val="auto"/>
          <w:sz w:val="21"/>
          <w:szCs w:val="21"/>
        </w:rPr>
        <w:t xml:space="preserve"> clinical trial</w:t>
      </w:r>
      <w:r w:rsidR="0088157F" w:rsidRPr="0088157F">
        <w:rPr>
          <w:rFonts w:eastAsia="Times New Roman" w:cs="Arial"/>
          <w:color w:val="auto"/>
          <w:sz w:val="21"/>
          <w:szCs w:val="21"/>
        </w:rPr>
        <w:t xml:space="preserve"> (PROVENT)</w:t>
      </w:r>
      <w:r w:rsidR="0036549E" w:rsidRPr="0088157F">
        <w:rPr>
          <w:rFonts w:eastAsia="Times New Roman" w:cs="Arial"/>
          <w:color w:val="auto"/>
          <w:sz w:val="21"/>
          <w:szCs w:val="21"/>
        </w:rPr>
        <w:t xml:space="preserve"> in high-risk individuals showed a</w:t>
      </w:r>
      <w:r w:rsidR="00530A81">
        <w:rPr>
          <w:rFonts w:eastAsia="Times New Roman" w:cs="Arial"/>
          <w:color w:val="auto"/>
          <w:sz w:val="21"/>
          <w:szCs w:val="21"/>
        </w:rPr>
        <w:t>n</w:t>
      </w:r>
      <w:r w:rsidR="0036549E" w:rsidRPr="0088157F">
        <w:rPr>
          <w:rFonts w:eastAsia="Times New Roman" w:cs="Arial"/>
          <w:color w:val="auto"/>
          <w:sz w:val="21"/>
          <w:szCs w:val="21"/>
        </w:rPr>
        <w:t xml:space="preserve"> 83% reduction of symptomatic COVID</w:t>
      </w:r>
      <w:r w:rsidR="0011507B" w:rsidRPr="0088157F">
        <w:rPr>
          <w:rFonts w:eastAsia="Times New Roman" w:cs="Arial"/>
          <w:color w:val="auto"/>
          <w:sz w:val="21"/>
          <w:szCs w:val="21"/>
        </w:rPr>
        <w:t>-19</w:t>
      </w:r>
      <w:r w:rsidR="0036549E" w:rsidRPr="0088157F">
        <w:rPr>
          <w:rFonts w:eastAsia="Times New Roman" w:cs="Arial"/>
          <w:color w:val="auto"/>
          <w:sz w:val="21"/>
          <w:szCs w:val="21"/>
        </w:rPr>
        <w:t xml:space="preserve"> in the six months after </w:t>
      </w:r>
      <w:r w:rsidR="00530A81">
        <w:rPr>
          <w:rFonts w:eastAsia="Times New Roman" w:cs="Arial"/>
          <w:color w:val="auto"/>
          <w:sz w:val="21"/>
          <w:szCs w:val="21"/>
        </w:rPr>
        <w:t>administration</w:t>
      </w:r>
      <w:r w:rsidR="009F025B" w:rsidRPr="0088157F">
        <w:rPr>
          <w:rFonts w:eastAsia="Times New Roman" w:cs="Arial"/>
          <w:color w:val="auto"/>
          <w:sz w:val="21"/>
          <w:szCs w:val="21"/>
        </w:rPr>
        <w:t xml:space="preserve">. </w:t>
      </w:r>
      <w:r w:rsidR="009F025B" w:rsidRPr="79FC6581">
        <w:rPr>
          <w:rFonts w:eastAsia="Times New Roman" w:cs="Arial"/>
          <w:color w:val="auto"/>
          <w:sz w:val="21"/>
          <w:szCs w:val="21"/>
        </w:rPr>
        <w:t xml:space="preserve">Please see </w:t>
      </w:r>
      <w:hyperlink r:id="rId19" w:anchor="/guideline/L4Q5An/section/j7Amwz">
        <w:r w:rsidR="009F025B" w:rsidRPr="79FC6581">
          <w:rPr>
            <w:rStyle w:val="Hyperlink"/>
            <w:rFonts w:eastAsia="Times New Roman" w:cs="Arial"/>
            <w:sz w:val="21"/>
            <w:szCs w:val="21"/>
          </w:rPr>
          <w:t xml:space="preserve">the </w:t>
        </w:r>
        <w:r w:rsidR="0088157F" w:rsidRPr="79FC6581">
          <w:rPr>
            <w:rStyle w:val="Hyperlink"/>
            <w:rFonts w:cs="Arial"/>
            <w:sz w:val="21"/>
            <w:szCs w:val="21"/>
          </w:rPr>
          <w:t>Australian guidelines for the clinical care of people with COVID-19</w:t>
        </w:r>
      </w:hyperlink>
      <w:r w:rsidR="0088157F" w:rsidRPr="79FC6581">
        <w:rPr>
          <w:rFonts w:eastAsia="Times New Roman" w:cs="Arial"/>
          <w:color w:val="auto"/>
          <w:sz w:val="21"/>
          <w:szCs w:val="21"/>
        </w:rPr>
        <w:t xml:space="preserve"> &lt;</w:t>
      </w:r>
      <w:hyperlink r:id="rId20">
        <w:r w:rsidR="0088157F" w:rsidRPr="79FC6581">
          <w:rPr>
            <w:rStyle w:val="Hyperlink"/>
            <w:rFonts w:eastAsia="Times New Roman" w:cs="Arial"/>
            <w:sz w:val="21"/>
            <w:szCs w:val="21"/>
          </w:rPr>
          <w:t>https://app.magicapp.org/#/guideline/L4Q5An/section/j7Amwz</w:t>
        </w:r>
      </w:hyperlink>
      <w:r w:rsidR="0088157F" w:rsidRPr="79FC6581">
        <w:rPr>
          <w:rFonts w:eastAsia="Times New Roman" w:cs="Arial"/>
          <w:color w:val="auto"/>
          <w:sz w:val="21"/>
          <w:szCs w:val="21"/>
        </w:rPr>
        <w:t>&gt;</w:t>
      </w:r>
      <w:r w:rsidR="0088157F" w:rsidRPr="79FC6581">
        <w:rPr>
          <w:rFonts w:cs="Arial"/>
          <w:color w:val="auto"/>
          <w:sz w:val="21"/>
          <w:szCs w:val="21"/>
          <w:lang w:eastAsia="en-AU"/>
        </w:rPr>
        <w:t xml:space="preserve"> </w:t>
      </w:r>
      <w:r w:rsidR="009F025B" w:rsidRPr="0088157F">
        <w:rPr>
          <w:rFonts w:eastAsia="Times New Roman" w:cs="Arial"/>
          <w:color w:val="auto"/>
          <w:sz w:val="21"/>
          <w:szCs w:val="21"/>
        </w:rPr>
        <w:t xml:space="preserve">for further details about the benefits of </w:t>
      </w:r>
      <w:r w:rsidR="00355EA3" w:rsidRPr="00355EA3">
        <w:rPr>
          <w:color w:val="auto"/>
          <w:sz w:val="21"/>
          <w:szCs w:val="21"/>
        </w:rPr>
        <w:t>tixagevimab and cilgavimab (Evusheld</w:t>
      </w:r>
      <w:r w:rsidR="00355EA3" w:rsidRPr="00355EA3">
        <w:rPr>
          <w:color w:val="auto"/>
          <w:sz w:val="21"/>
          <w:szCs w:val="21"/>
          <w:vertAlign w:val="superscript"/>
        </w:rPr>
        <w:t>TM</w:t>
      </w:r>
      <w:r w:rsidR="00355EA3" w:rsidRPr="00355EA3">
        <w:rPr>
          <w:color w:val="auto"/>
          <w:sz w:val="21"/>
          <w:szCs w:val="21"/>
        </w:rPr>
        <w:t>)</w:t>
      </w:r>
      <w:r w:rsidR="009F025B" w:rsidRPr="00355EA3">
        <w:rPr>
          <w:rFonts w:eastAsia="Times New Roman" w:cs="Arial"/>
          <w:color w:val="auto"/>
          <w:sz w:val="21"/>
          <w:szCs w:val="21"/>
        </w:rPr>
        <w:t xml:space="preserve"> a</w:t>
      </w:r>
      <w:r w:rsidR="009F025B" w:rsidRPr="0088157F">
        <w:rPr>
          <w:rFonts w:eastAsia="Times New Roman" w:cs="Arial"/>
          <w:color w:val="auto"/>
          <w:sz w:val="21"/>
          <w:szCs w:val="21"/>
        </w:rPr>
        <w:t xml:space="preserve">s a pre-exposure </w:t>
      </w:r>
      <w:r w:rsidR="009F025B" w:rsidRPr="79FC6581">
        <w:rPr>
          <w:rFonts w:eastAsia="Times New Roman" w:cs="Arial"/>
          <w:color w:val="auto"/>
          <w:sz w:val="21"/>
          <w:szCs w:val="21"/>
        </w:rPr>
        <w:t>prophylactic</w:t>
      </w:r>
      <w:r w:rsidR="009F025B" w:rsidRPr="0088157F">
        <w:rPr>
          <w:rFonts w:eastAsia="Times New Roman" w:cs="Arial"/>
          <w:color w:val="auto"/>
          <w:sz w:val="21"/>
          <w:szCs w:val="21"/>
        </w:rPr>
        <w:t xml:space="preserve"> treatment for </w:t>
      </w:r>
      <w:r w:rsidR="009F025B" w:rsidRPr="79FC6581">
        <w:rPr>
          <w:rFonts w:eastAsia="Times New Roman" w:cs="Arial"/>
          <w:color w:val="auto"/>
          <w:sz w:val="21"/>
          <w:szCs w:val="21"/>
        </w:rPr>
        <w:t>individuals</w:t>
      </w:r>
      <w:r w:rsidR="009F025B" w:rsidRPr="0088157F">
        <w:rPr>
          <w:rFonts w:eastAsia="Times New Roman" w:cs="Arial"/>
          <w:color w:val="auto"/>
          <w:sz w:val="21"/>
          <w:szCs w:val="21"/>
        </w:rPr>
        <w:t xml:space="preserve"> at risk of severe disease fr</w:t>
      </w:r>
      <w:r w:rsidR="00530A81">
        <w:rPr>
          <w:rFonts w:eastAsia="Times New Roman" w:cs="Arial"/>
          <w:color w:val="auto"/>
          <w:sz w:val="21"/>
          <w:szCs w:val="21"/>
        </w:rPr>
        <w:t>o</w:t>
      </w:r>
      <w:r w:rsidR="009F025B" w:rsidRPr="0088157F">
        <w:rPr>
          <w:rFonts w:eastAsia="Times New Roman" w:cs="Arial"/>
          <w:color w:val="auto"/>
          <w:sz w:val="21"/>
          <w:szCs w:val="21"/>
        </w:rPr>
        <w:t xml:space="preserve">m COVID-19. </w:t>
      </w:r>
    </w:p>
    <w:p w14:paraId="042548AD" w14:textId="644DFC5E" w:rsidR="0036549E" w:rsidRPr="00DB03BF" w:rsidRDefault="0036549E" w:rsidP="0036549E">
      <w:pPr>
        <w:pStyle w:val="Heading1"/>
        <w:rPr>
          <w:b/>
          <w:sz w:val="21"/>
          <w:szCs w:val="21"/>
        </w:rPr>
      </w:pPr>
      <w:bookmarkStart w:id="4" w:name="_Toc105753172"/>
      <w:r w:rsidRPr="00DB03BF">
        <w:rPr>
          <w:b/>
          <w:sz w:val="21"/>
          <w:szCs w:val="21"/>
        </w:rPr>
        <w:t xml:space="preserve">What patients are able to receive </w:t>
      </w:r>
      <w:r w:rsidR="006607A2" w:rsidRPr="006607A2">
        <w:rPr>
          <w:b/>
          <w:sz w:val="21"/>
          <w:szCs w:val="21"/>
        </w:rPr>
        <w:t>tixagevimab and cilgavimab (Evusheld</w:t>
      </w:r>
      <w:r w:rsidR="006607A2" w:rsidRPr="006607A2">
        <w:rPr>
          <w:b/>
          <w:sz w:val="21"/>
          <w:szCs w:val="21"/>
          <w:vertAlign w:val="superscript"/>
        </w:rPr>
        <w:t>TM</w:t>
      </w:r>
      <w:r w:rsidR="006607A2" w:rsidRPr="006607A2">
        <w:rPr>
          <w:b/>
          <w:sz w:val="21"/>
          <w:szCs w:val="21"/>
        </w:rPr>
        <w:t>)</w:t>
      </w:r>
      <w:r w:rsidRPr="00DB03BF">
        <w:rPr>
          <w:b/>
          <w:sz w:val="21"/>
          <w:szCs w:val="21"/>
        </w:rPr>
        <w:t>?</w:t>
      </w:r>
      <w:bookmarkEnd w:id="4"/>
    </w:p>
    <w:p w14:paraId="12571CB2" w14:textId="6F2BFCA1" w:rsidR="00381874" w:rsidRDefault="00381874" w:rsidP="00381874">
      <w:pPr>
        <w:pStyle w:val="Body"/>
        <w:rPr>
          <w:bCs/>
          <w:szCs w:val="21"/>
        </w:rPr>
      </w:pPr>
      <w:r>
        <w:rPr>
          <w:bCs/>
          <w:szCs w:val="21"/>
        </w:rPr>
        <w:t xml:space="preserve">Patients who would benefit from </w:t>
      </w:r>
      <w:r w:rsidRPr="00381874">
        <w:rPr>
          <w:bCs/>
          <w:szCs w:val="21"/>
        </w:rPr>
        <w:t>tixagevimab and cilgavimab (Evusheld</w:t>
      </w:r>
      <w:r w:rsidRPr="00381874">
        <w:rPr>
          <w:bCs/>
          <w:szCs w:val="21"/>
          <w:vertAlign w:val="superscript"/>
        </w:rPr>
        <w:t>TM</w:t>
      </w:r>
      <w:r w:rsidRPr="00381874">
        <w:rPr>
          <w:bCs/>
          <w:szCs w:val="21"/>
        </w:rPr>
        <w:t>)</w:t>
      </w:r>
      <w:r>
        <w:rPr>
          <w:bCs/>
          <w:szCs w:val="21"/>
        </w:rPr>
        <w:t xml:space="preserve"> include those with </w:t>
      </w:r>
      <w:r w:rsidRPr="00381874">
        <w:rPr>
          <w:bCs/>
          <w:szCs w:val="21"/>
        </w:rPr>
        <w:t>moderate to severe immune compromise that make it likely that they will not mount an</w:t>
      </w:r>
      <w:r w:rsidR="000C0357">
        <w:rPr>
          <w:bCs/>
          <w:szCs w:val="21"/>
        </w:rPr>
        <w:t xml:space="preserve"> </w:t>
      </w:r>
      <w:r w:rsidRPr="00381874">
        <w:rPr>
          <w:bCs/>
          <w:szCs w:val="21"/>
        </w:rPr>
        <w:t xml:space="preserve">adequate immune response to </w:t>
      </w:r>
      <w:r w:rsidR="00F1608E">
        <w:rPr>
          <w:bCs/>
          <w:szCs w:val="21"/>
        </w:rPr>
        <w:t xml:space="preserve">a </w:t>
      </w:r>
      <w:r w:rsidRPr="00381874">
        <w:rPr>
          <w:bCs/>
          <w:szCs w:val="21"/>
        </w:rPr>
        <w:t>COVID</w:t>
      </w:r>
      <w:r w:rsidRPr="00381874">
        <w:rPr>
          <w:rFonts w:ascii="Cambria Math" w:hAnsi="Cambria Math" w:cs="Cambria Math"/>
          <w:bCs/>
          <w:szCs w:val="21"/>
        </w:rPr>
        <w:t>‐</w:t>
      </w:r>
      <w:r w:rsidRPr="00381874">
        <w:rPr>
          <w:bCs/>
          <w:szCs w:val="21"/>
        </w:rPr>
        <w:t>19 vaccination or</w:t>
      </w:r>
      <w:r w:rsidR="000C0357">
        <w:rPr>
          <w:bCs/>
          <w:szCs w:val="21"/>
        </w:rPr>
        <w:t xml:space="preserve"> f</w:t>
      </w:r>
      <w:r w:rsidRPr="00381874">
        <w:rPr>
          <w:bCs/>
          <w:szCs w:val="21"/>
        </w:rPr>
        <w:t>or whom vaccination is not recommended due to a</w:t>
      </w:r>
      <w:r w:rsidR="000C0357">
        <w:rPr>
          <w:bCs/>
          <w:szCs w:val="21"/>
        </w:rPr>
        <w:t xml:space="preserve"> </w:t>
      </w:r>
      <w:r w:rsidRPr="00381874">
        <w:rPr>
          <w:bCs/>
          <w:szCs w:val="21"/>
        </w:rPr>
        <w:t>history of severe adverse reaction to a COVID</w:t>
      </w:r>
      <w:r w:rsidRPr="00381874">
        <w:rPr>
          <w:rFonts w:ascii="Cambria Math" w:hAnsi="Cambria Math" w:cs="Cambria Math"/>
          <w:bCs/>
          <w:szCs w:val="21"/>
        </w:rPr>
        <w:t>‐</w:t>
      </w:r>
      <w:r w:rsidRPr="00381874">
        <w:rPr>
          <w:bCs/>
          <w:szCs w:val="21"/>
        </w:rPr>
        <w:t>19 vaccine</w:t>
      </w:r>
      <w:r w:rsidR="000C0357">
        <w:rPr>
          <w:bCs/>
          <w:szCs w:val="21"/>
        </w:rPr>
        <w:t>/</w:t>
      </w:r>
      <w:r w:rsidRPr="00381874">
        <w:rPr>
          <w:bCs/>
          <w:szCs w:val="21"/>
        </w:rPr>
        <w:t>vaccine component</w:t>
      </w:r>
      <w:r w:rsidR="000C0357">
        <w:rPr>
          <w:bCs/>
          <w:szCs w:val="21"/>
        </w:rPr>
        <w:t>s.</w:t>
      </w:r>
    </w:p>
    <w:p w14:paraId="354BCD92" w14:textId="7B2217E4" w:rsidR="0036549E" w:rsidRPr="00DB03BF" w:rsidRDefault="00F1608E" w:rsidP="0036549E">
      <w:pPr>
        <w:pStyle w:val="Body"/>
      </w:pPr>
      <w:r>
        <w:t xml:space="preserve">Currently eligibility in Victoria is </w:t>
      </w:r>
      <w:r w:rsidR="00530A81">
        <w:t xml:space="preserve">available at </w:t>
      </w:r>
      <w:hyperlink r:id="rId21">
        <w:r w:rsidR="00530A81" w:rsidRPr="79FC6581">
          <w:rPr>
            <w:rStyle w:val="Hyperlink"/>
          </w:rPr>
          <w:t>Medications for patients with COVID-19</w:t>
        </w:r>
      </w:hyperlink>
      <w:r w:rsidR="00530A81">
        <w:t xml:space="preserve"> &lt;</w:t>
      </w:r>
      <w:hyperlink r:id="rId22">
        <w:r w:rsidR="00530A81" w:rsidRPr="79FC6581">
          <w:rPr>
            <w:rStyle w:val="Hyperlink"/>
          </w:rPr>
          <w:t>https://www.health.vic.gov.au/covid-19/vaccines-and-medications-in-patients-with-covid-19</w:t>
        </w:r>
      </w:hyperlink>
      <w:r w:rsidR="00530A81">
        <w:t>&gt; on the Department of Health website</w:t>
      </w:r>
      <w:r>
        <w:t xml:space="preserve">. </w:t>
      </w:r>
      <w:r w:rsidR="0082391F">
        <w:t>Eligibility</w:t>
      </w:r>
      <w:r>
        <w:t xml:space="preserve"> has been restricted in the first instance due to limited supply from the</w:t>
      </w:r>
      <w:r w:rsidR="00A94163">
        <w:t xml:space="preserve"> National Medical Stockpile. Eligibility criteria will be expanded as additional supply becomes available</w:t>
      </w:r>
      <w:r w:rsidR="000762D0">
        <w:t xml:space="preserve">. Updates will be </w:t>
      </w:r>
      <w:r w:rsidR="0032678C">
        <w:t>communicated to health services and</w:t>
      </w:r>
      <w:r w:rsidR="0036549E">
        <w:t xml:space="preserve"> updated at the </w:t>
      </w:r>
      <w:r w:rsidR="00AB5F9F">
        <w:t>web</w:t>
      </w:r>
      <w:r w:rsidR="006F7809">
        <w:t xml:space="preserve">page above. </w:t>
      </w:r>
    </w:p>
    <w:p w14:paraId="35A4CEED" w14:textId="1127226C" w:rsidR="0036549E" w:rsidRPr="00DB03BF" w:rsidRDefault="0036549E" w:rsidP="0036549E">
      <w:pPr>
        <w:pStyle w:val="Heading1"/>
        <w:rPr>
          <w:b/>
          <w:sz w:val="21"/>
          <w:szCs w:val="21"/>
        </w:rPr>
      </w:pPr>
      <w:bookmarkStart w:id="5" w:name="_Toc105753173"/>
      <w:r w:rsidRPr="00DB03BF">
        <w:rPr>
          <w:b/>
          <w:sz w:val="21"/>
          <w:szCs w:val="21"/>
        </w:rPr>
        <w:t>Is it necessary or desirable to check antibody status prior</w:t>
      </w:r>
      <w:r w:rsidR="00773B96">
        <w:rPr>
          <w:b/>
          <w:sz w:val="21"/>
          <w:szCs w:val="21"/>
        </w:rPr>
        <w:t xml:space="preserve"> to administration</w:t>
      </w:r>
      <w:r w:rsidRPr="00DB03BF">
        <w:rPr>
          <w:b/>
          <w:sz w:val="21"/>
          <w:szCs w:val="21"/>
        </w:rPr>
        <w:t>?</w:t>
      </w:r>
      <w:bookmarkEnd w:id="3"/>
      <w:bookmarkEnd w:id="5"/>
    </w:p>
    <w:p w14:paraId="0EA3264E" w14:textId="5103509A" w:rsidR="0036549E" w:rsidRPr="00355EA3" w:rsidRDefault="0036549E" w:rsidP="0036549E">
      <w:pPr>
        <w:pStyle w:val="Introtext"/>
        <w:rPr>
          <w:color w:val="auto"/>
          <w:sz w:val="21"/>
          <w:szCs w:val="21"/>
        </w:rPr>
      </w:pPr>
      <w:r w:rsidRPr="00DB03BF">
        <w:rPr>
          <w:color w:val="auto"/>
          <w:sz w:val="21"/>
          <w:szCs w:val="21"/>
        </w:rPr>
        <w:t xml:space="preserve">Serology testing is not required prior to </w:t>
      </w:r>
      <w:r w:rsidR="009F025B" w:rsidRPr="00DB03BF">
        <w:rPr>
          <w:color w:val="auto"/>
          <w:sz w:val="21"/>
          <w:szCs w:val="21"/>
        </w:rPr>
        <w:t xml:space="preserve">administration of </w:t>
      </w:r>
      <w:r w:rsidR="00355EA3" w:rsidRPr="00355EA3">
        <w:rPr>
          <w:color w:val="auto"/>
          <w:sz w:val="21"/>
          <w:szCs w:val="21"/>
        </w:rPr>
        <w:t>tixagevimab and cilgavimab (</w:t>
      </w:r>
      <w:r w:rsidRPr="00355EA3">
        <w:rPr>
          <w:color w:val="auto"/>
          <w:sz w:val="21"/>
          <w:szCs w:val="21"/>
        </w:rPr>
        <w:t>Evusheld</w:t>
      </w:r>
      <w:r w:rsidR="00355EA3" w:rsidRPr="00355EA3">
        <w:rPr>
          <w:color w:val="auto"/>
          <w:sz w:val="21"/>
          <w:szCs w:val="21"/>
          <w:vertAlign w:val="superscript"/>
        </w:rPr>
        <w:t>TM</w:t>
      </w:r>
      <w:r w:rsidR="00355EA3" w:rsidRPr="00355EA3">
        <w:rPr>
          <w:color w:val="auto"/>
          <w:sz w:val="21"/>
          <w:szCs w:val="21"/>
        </w:rPr>
        <w:t>)</w:t>
      </w:r>
      <w:r w:rsidRPr="00355EA3">
        <w:rPr>
          <w:color w:val="auto"/>
          <w:sz w:val="21"/>
          <w:szCs w:val="21"/>
        </w:rPr>
        <w:t xml:space="preserve">. </w:t>
      </w:r>
    </w:p>
    <w:p w14:paraId="24012766" w14:textId="4DC3925F" w:rsidR="0036549E" w:rsidRPr="00DB03BF" w:rsidRDefault="00A46675" w:rsidP="0036549E">
      <w:pPr>
        <w:pStyle w:val="Heading1"/>
        <w:rPr>
          <w:b/>
          <w:sz w:val="21"/>
          <w:szCs w:val="21"/>
        </w:rPr>
      </w:pPr>
      <w:bookmarkStart w:id="6" w:name="_Toc100512274"/>
      <w:bookmarkStart w:id="7" w:name="_Toc105753174"/>
      <w:r>
        <w:rPr>
          <w:b/>
          <w:sz w:val="21"/>
          <w:szCs w:val="21"/>
        </w:rPr>
        <w:t xml:space="preserve">Is the timing between a patient receiving a COVID-19 vaccine and being administered </w:t>
      </w:r>
      <w:r w:rsidRPr="00A46675">
        <w:rPr>
          <w:b/>
          <w:sz w:val="21"/>
          <w:szCs w:val="21"/>
        </w:rPr>
        <w:t>tixagevimab and cilgavimab (Evusheld</w:t>
      </w:r>
      <w:r w:rsidRPr="00A46675">
        <w:rPr>
          <w:b/>
          <w:sz w:val="21"/>
          <w:szCs w:val="21"/>
          <w:vertAlign w:val="superscript"/>
        </w:rPr>
        <w:t>TM</w:t>
      </w:r>
      <w:r w:rsidRPr="00A46675">
        <w:rPr>
          <w:b/>
          <w:sz w:val="21"/>
          <w:szCs w:val="21"/>
        </w:rPr>
        <w:t>)</w:t>
      </w:r>
      <w:r>
        <w:rPr>
          <w:b/>
          <w:sz w:val="21"/>
          <w:szCs w:val="21"/>
        </w:rPr>
        <w:t xml:space="preserve"> significant</w:t>
      </w:r>
      <w:r w:rsidR="0036549E" w:rsidRPr="00DB03BF">
        <w:rPr>
          <w:b/>
          <w:sz w:val="21"/>
          <w:szCs w:val="21"/>
        </w:rPr>
        <w:t>?</w:t>
      </w:r>
      <w:bookmarkEnd w:id="6"/>
      <w:bookmarkEnd w:id="7"/>
    </w:p>
    <w:p w14:paraId="5B513C36" w14:textId="36B4E81A" w:rsidR="0036549E" w:rsidRPr="00B11A05" w:rsidRDefault="00C323AE" w:rsidP="0036549E">
      <w:pPr>
        <w:pStyle w:val="Introtex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T</w:t>
      </w:r>
      <w:r w:rsidRPr="004418DC">
        <w:rPr>
          <w:color w:val="auto"/>
          <w:sz w:val="21"/>
          <w:szCs w:val="21"/>
        </w:rPr>
        <w:t>ixagevimab and cilgavimab (Evusheld</w:t>
      </w:r>
      <w:r w:rsidRPr="004418DC">
        <w:rPr>
          <w:color w:val="auto"/>
          <w:sz w:val="21"/>
          <w:szCs w:val="21"/>
          <w:vertAlign w:val="superscript"/>
        </w:rPr>
        <w:t>TM</w:t>
      </w:r>
      <w:r w:rsidRPr="004418DC">
        <w:rPr>
          <w:color w:val="auto"/>
          <w:sz w:val="21"/>
          <w:szCs w:val="21"/>
        </w:rPr>
        <w:t>)</w:t>
      </w:r>
      <w:r>
        <w:rPr>
          <w:color w:val="auto"/>
          <w:sz w:val="21"/>
          <w:szCs w:val="21"/>
        </w:rPr>
        <w:t xml:space="preserve"> can impact the body's immune response to a COVID-19 vaccination. </w:t>
      </w:r>
      <w:r w:rsidR="0036549E" w:rsidRPr="00B11A05">
        <w:rPr>
          <w:rFonts w:eastAsia="Times New Roman" w:cs="Arial"/>
          <w:color w:val="auto"/>
          <w:sz w:val="21"/>
          <w:szCs w:val="21"/>
          <w:shd w:val="clear" w:color="auto" w:fill="FFFFFF"/>
        </w:rPr>
        <w:t>I</w:t>
      </w:r>
      <w:r w:rsidR="0036549E" w:rsidRPr="00B11A05">
        <w:rPr>
          <w:rFonts w:eastAsia="Times New Roman" w:cs="Arial"/>
          <w:color w:val="auto"/>
          <w:sz w:val="21"/>
          <w:szCs w:val="21"/>
        </w:rPr>
        <w:t>f the patient has recently received a COVID-19 vaccine, you should wait at least two weeks fr</w:t>
      </w:r>
      <w:r w:rsidR="009F025B" w:rsidRPr="00B11A05">
        <w:rPr>
          <w:rFonts w:eastAsia="Times New Roman" w:cs="Arial"/>
          <w:color w:val="auto"/>
          <w:sz w:val="21"/>
          <w:szCs w:val="21"/>
        </w:rPr>
        <w:t>o</w:t>
      </w:r>
      <w:r w:rsidR="0036549E" w:rsidRPr="00B11A05">
        <w:rPr>
          <w:rFonts w:eastAsia="Times New Roman" w:cs="Arial"/>
          <w:color w:val="auto"/>
          <w:sz w:val="21"/>
          <w:szCs w:val="21"/>
        </w:rPr>
        <w:t xml:space="preserve">m the date of that vaccination to administer </w:t>
      </w:r>
      <w:r w:rsidR="00B50841" w:rsidRPr="00B11A05">
        <w:rPr>
          <w:color w:val="auto"/>
          <w:sz w:val="21"/>
          <w:szCs w:val="21"/>
        </w:rPr>
        <w:t>tixagevimab and cilgavimab (Evusheld</w:t>
      </w:r>
      <w:r w:rsidR="00B50841" w:rsidRPr="00B11A05">
        <w:rPr>
          <w:color w:val="auto"/>
          <w:sz w:val="21"/>
          <w:szCs w:val="21"/>
          <w:vertAlign w:val="superscript"/>
        </w:rPr>
        <w:t>TM</w:t>
      </w:r>
      <w:r w:rsidR="00B50841" w:rsidRPr="00B11A05">
        <w:rPr>
          <w:color w:val="auto"/>
          <w:sz w:val="21"/>
          <w:szCs w:val="21"/>
        </w:rPr>
        <w:t>)</w:t>
      </w:r>
      <w:r w:rsidR="0036549E" w:rsidRPr="00B11A05">
        <w:rPr>
          <w:color w:val="auto"/>
          <w:sz w:val="21"/>
          <w:szCs w:val="21"/>
        </w:rPr>
        <w:t>.</w:t>
      </w:r>
      <w:r w:rsidR="001413DF" w:rsidRPr="00B11A05">
        <w:rPr>
          <w:color w:val="auto"/>
          <w:sz w:val="21"/>
          <w:szCs w:val="21"/>
        </w:rPr>
        <w:t xml:space="preserve"> </w:t>
      </w:r>
    </w:p>
    <w:p w14:paraId="7D1E287A" w14:textId="09FB0729" w:rsidR="0036549E" w:rsidRPr="00DB03BF" w:rsidRDefault="00394E60" w:rsidP="0036549E">
      <w:pPr>
        <w:pStyle w:val="Heading1"/>
        <w:rPr>
          <w:b/>
          <w:sz w:val="21"/>
          <w:szCs w:val="21"/>
        </w:rPr>
      </w:pPr>
      <w:bookmarkStart w:id="8" w:name="_Toc105753175"/>
      <w:bookmarkStart w:id="9" w:name="_Toc100512276"/>
      <w:r w:rsidRPr="00394E60">
        <w:rPr>
          <w:b/>
          <w:sz w:val="21"/>
          <w:szCs w:val="21"/>
        </w:rPr>
        <w:t xml:space="preserve">Is the timing between a patient </w:t>
      </w:r>
      <w:r>
        <w:rPr>
          <w:b/>
          <w:sz w:val="21"/>
          <w:szCs w:val="21"/>
        </w:rPr>
        <w:t>having a confirmed COVID-19 infection</w:t>
      </w:r>
      <w:r w:rsidRPr="00394E60">
        <w:rPr>
          <w:b/>
          <w:sz w:val="21"/>
          <w:szCs w:val="21"/>
        </w:rPr>
        <w:t xml:space="preserve"> and being administered tixagevimab and cilgavimab (Evusheld</w:t>
      </w:r>
      <w:r w:rsidRPr="00394E60">
        <w:rPr>
          <w:b/>
          <w:sz w:val="21"/>
          <w:szCs w:val="21"/>
          <w:vertAlign w:val="superscript"/>
        </w:rPr>
        <w:t>TM</w:t>
      </w:r>
      <w:r w:rsidRPr="00394E60">
        <w:rPr>
          <w:b/>
          <w:sz w:val="21"/>
          <w:szCs w:val="21"/>
        </w:rPr>
        <w:t>) significant?</w:t>
      </w:r>
      <w:bookmarkEnd w:id="8"/>
      <w:r w:rsidR="0036549E" w:rsidRPr="00DB03BF">
        <w:rPr>
          <w:b/>
          <w:sz w:val="21"/>
          <w:szCs w:val="21"/>
        </w:rPr>
        <w:t xml:space="preserve"> </w:t>
      </w:r>
      <w:bookmarkEnd w:id="9"/>
    </w:p>
    <w:p w14:paraId="0903B939" w14:textId="7CE08B0A" w:rsidR="0036549E" w:rsidRPr="00DB03BF" w:rsidRDefault="0036549E" w:rsidP="0036549E">
      <w:pPr>
        <w:rPr>
          <w:rFonts w:cs="Arial"/>
          <w:color w:val="0B0C0C"/>
          <w:szCs w:val="21"/>
          <w:shd w:val="clear" w:color="auto" w:fill="FFFFFF"/>
        </w:rPr>
      </w:pPr>
      <w:bookmarkStart w:id="10" w:name="_Toc100512277"/>
      <w:r w:rsidRPr="00DB03BF">
        <w:rPr>
          <w:rFonts w:cs="Arial"/>
          <w:szCs w:val="21"/>
        </w:rPr>
        <w:t xml:space="preserve">If the patient </w:t>
      </w:r>
      <w:r w:rsidR="009F025B" w:rsidRPr="00DB03BF">
        <w:rPr>
          <w:rFonts w:cs="Arial"/>
          <w:szCs w:val="21"/>
        </w:rPr>
        <w:t>r</w:t>
      </w:r>
      <w:r w:rsidRPr="00DB03BF">
        <w:rPr>
          <w:rFonts w:cs="Arial"/>
          <w:szCs w:val="21"/>
        </w:rPr>
        <w:t xml:space="preserve">ecently had a confirmed COVID-19 infection, </w:t>
      </w:r>
      <w:r w:rsidR="009F025B" w:rsidRPr="00DB03BF">
        <w:rPr>
          <w:rFonts w:cs="Arial"/>
          <w:szCs w:val="21"/>
        </w:rPr>
        <w:t>it is</w:t>
      </w:r>
      <w:r w:rsidRPr="00DB03BF">
        <w:rPr>
          <w:rFonts w:cs="Arial"/>
          <w:szCs w:val="21"/>
        </w:rPr>
        <w:t xml:space="preserve"> suggest</w:t>
      </w:r>
      <w:r w:rsidR="009F025B" w:rsidRPr="00DB03BF">
        <w:rPr>
          <w:rFonts w:cs="Arial"/>
          <w:szCs w:val="21"/>
        </w:rPr>
        <w:t>ed to</w:t>
      </w:r>
      <w:r w:rsidRPr="00DB03BF">
        <w:rPr>
          <w:rFonts w:cs="Arial"/>
          <w:szCs w:val="21"/>
        </w:rPr>
        <w:t xml:space="preserve"> wait 30 days from the start of the infection before administering </w:t>
      </w:r>
      <w:r w:rsidR="00355EA3" w:rsidRPr="00355EA3">
        <w:rPr>
          <w:bCs/>
          <w:szCs w:val="21"/>
        </w:rPr>
        <w:t>tixagevimab and cilgavimab</w:t>
      </w:r>
      <w:r w:rsidR="00355EA3" w:rsidRPr="00394E60">
        <w:rPr>
          <w:b/>
          <w:szCs w:val="21"/>
        </w:rPr>
        <w:t xml:space="preserve"> </w:t>
      </w:r>
      <w:r w:rsidR="00355EA3">
        <w:rPr>
          <w:rFonts w:cs="Arial"/>
          <w:szCs w:val="21"/>
        </w:rPr>
        <w:t>(</w:t>
      </w:r>
      <w:r w:rsidRPr="00DB03BF">
        <w:rPr>
          <w:rFonts w:cs="Arial"/>
          <w:szCs w:val="21"/>
        </w:rPr>
        <w:t>Evusheld</w:t>
      </w:r>
      <w:r w:rsidR="00355EA3" w:rsidRPr="00830ED9">
        <w:rPr>
          <w:vertAlign w:val="superscript"/>
        </w:rPr>
        <w:t>TM</w:t>
      </w:r>
      <w:r w:rsidR="00355EA3" w:rsidRPr="00355EA3">
        <w:t>)</w:t>
      </w:r>
      <w:r w:rsidR="009F025B" w:rsidRPr="00DB03BF">
        <w:rPr>
          <w:rFonts w:cs="Arial"/>
          <w:szCs w:val="21"/>
        </w:rPr>
        <w:t>.</w:t>
      </w:r>
    </w:p>
    <w:p w14:paraId="01314D56" w14:textId="1798D98A" w:rsidR="00911D96" w:rsidRPr="00F84891" w:rsidRDefault="002C5F12" w:rsidP="4FE3A3E1">
      <w:pPr>
        <w:pStyle w:val="Heading1"/>
        <w:rPr>
          <w:b/>
          <w:sz w:val="21"/>
          <w:szCs w:val="21"/>
        </w:rPr>
      </w:pPr>
      <w:bookmarkStart w:id="11" w:name="_Toc105753176"/>
      <w:bookmarkEnd w:id="10"/>
      <w:r w:rsidRPr="00F84891">
        <w:rPr>
          <w:b/>
          <w:sz w:val="21"/>
          <w:szCs w:val="21"/>
        </w:rPr>
        <w:t>What is the recommended observation time for a patient after receiving tixagevimab and cilgavimab (Evusheld</w:t>
      </w:r>
      <w:r w:rsidRPr="00F84891">
        <w:rPr>
          <w:b/>
          <w:sz w:val="21"/>
          <w:szCs w:val="21"/>
          <w:vertAlign w:val="superscript"/>
        </w:rPr>
        <w:t>TM</w:t>
      </w:r>
      <w:r w:rsidRPr="00F84891">
        <w:rPr>
          <w:b/>
          <w:sz w:val="21"/>
          <w:szCs w:val="21"/>
        </w:rPr>
        <w:t>)?</w:t>
      </w:r>
      <w:bookmarkEnd w:id="11"/>
    </w:p>
    <w:p w14:paraId="54D7AB45" w14:textId="612F6982" w:rsidR="00DA59F0" w:rsidRPr="00F84891" w:rsidRDefault="00DA59F0" w:rsidP="4FE3A3E1">
      <w:pPr>
        <w:pStyle w:val="Body"/>
      </w:pPr>
      <w:r w:rsidRPr="00F84891">
        <w:t>Currently,</w:t>
      </w:r>
      <w:r w:rsidR="00911886" w:rsidRPr="00F84891">
        <w:t xml:space="preserve"> </w:t>
      </w:r>
      <w:r w:rsidRPr="00F84891">
        <w:t xml:space="preserve">a minimum 15-minute observation time is recommended. </w:t>
      </w:r>
    </w:p>
    <w:p w14:paraId="7A37FA35" w14:textId="234A7498" w:rsidR="002D7088" w:rsidRPr="00F84891" w:rsidRDefault="00897C6C" w:rsidP="4FE3A3E1">
      <w:pPr>
        <w:pStyle w:val="Body"/>
      </w:pPr>
      <w:r w:rsidRPr="00F84891">
        <w:lastRenderedPageBreak/>
        <w:t>In the PROVENT clinical trial, observation time post administration of tixagevimab and cilgavimab (Evusheld</w:t>
      </w:r>
      <w:r w:rsidRPr="00F84891">
        <w:rPr>
          <w:vertAlign w:val="superscript"/>
        </w:rPr>
        <w:t>TM</w:t>
      </w:r>
      <w:r w:rsidRPr="00F84891">
        <w:t>) was 60 minutes.</w:t>
      </w:r>
      <w:r w:rsidR="00B329C7" w:rsidRPr="00F84891">
        <w:t xml:space="preserve"> There</w:t>
      </w:r>
      <w:r w:rsidR="00BB4210" w:rsidRPr="00F84891">
        <w:t xml:space="preserve"> were no anaphylactic reactions</w:t>
      </w:r>
      <w:r w:rsidR="007D0526" w:rsidRPr="00F84891">
        <w:t xml:space="preserve"> to the medication after 15 minutes </w:t>
      </w:r>
      <w:r w:rsidR="00B718F6" w:rsidRPr="00F84891">
        <w:t>in</w:t>
      </w:r>
      <w:r w:rsidR="007D0526" w:rsidRPr="00F84891">
        <w:t xml:space="preserve"> the PROVENT trial</w:t>
      </w:r>
      <w:r w:rsidR="00B329C7" w:rsidRPr="00F84891">
        <w:t xml:space="preserve">. Observation time should balance individual patient risk of a reaction with risk of the patient being exposed to COVID-19 or other viruses in the </w:t>
      </w:r>
      <w:r w:rsidR="006A241D" w:rsidRPr="00F84891">
        <w:t>time spent in</w:t>
      </w:r>
      <w:r w:rsidR="002D7088" w:rsidRPr="00F84891">
        <w:t xml:space="preserve"> an indoor environment</w:t>
      </w:r>
      <w:r w:rsidR="00F162E0" w:rsidRPr="00F84891">
        <w:t xml:space="preserve"> with other people</w:t>
      </w:r>
      <w:r w:rsidR="002D7088" w:rsidRPr="00F84891">
        <w:t xml:space="preserve">. </w:t>
      </w:r>
    </w:p>
    <w:p w14:paraId="6EE57E92" w14:textId="7552B687" w:rsidR="0036549E" w:rsidRPr="00943113" w:rsidRDefault="00C2007A" w:rsidP="0036549E">
      <w:pPr>
        <w:pStyle w:val="Heading1"/>
        <w:rPr>
          <w:b/>
          <w:sz w:val="21"/>
          <w:szCs w:val="21"/>
        </w:rPr>
      </w:pPr>
      <w:bookmarkStart w:id="12" w:name="_Toc105753177"/>
      <w:r w:rsidRPr="00943113">
        <w:rPr>
          <w:b/>
          <w:sz w:val="21"/>
          <w:szCs w:val="21"/>
        </w:rPr>
        <w:t>Are patients required to obtain a negative PCR prior to receiving</w:t>
      </w:r>
      <w:r w:rsidR="003C0872" w:rsidRPr="00943113">
        <w:rPr>
          <w:b/>
          <w:sz w:val="21"/>
          <w:szCs w:val="21"/>
        </w:rPr>
        <w:t xml:space="preserve"> tixagevimab and cilgavimab (Evusheld</w:t>
      </w:r>
      <w:r w:rsidR="003C0872" w:rsidRPr="00943113">
        <w:rPr>
          <w:b/>
          <w:sz w:val="21"/>
          <w:szCs w:val="21"/>
          <w:vertAlign w:val="superscript"/>
        </w:rPr>
        <w:t>TM</w:t>
      </w:r>
      <w:r w:rsidR="003C0872" w:rsidRPr="00943113">
        <w:rPr>
          <w:b/>
          <w:sz w:val="21"/>
          <w:szCs w:val="21"/>
        </w:rPr>
        <w:t>)?</w:t>
      </w:r>
      <w:bookmarkEnd w:id="12"/>
    </w:p>
    <w:p w14:paraId="17E0166C" w14:textId="6283FB9B" w:rsidR="004418DC" w:rsidRPr="00943113" w:rsidRDefault="004418DC" w:rsidP="0036549E">
      <w:pPr>
        <w:pStyle w:val="Introtext"/>
        <w:rPr>
          <w:color w:val="auto"/>
          <w:sz w:val="21"/>
          <w:szCs w:val="21"/>
        </w:rPr>
      </w:pPr>
      <w:r w:rsidRPr="00943113">
        <w:rPr>
          <w:color w:val="auto"/>
          <w:sz w:val="21"/>
          <w:szCs w:val="21"/>
        </w:rPr>
        <w:t>The administration of tixagevimab and cilgavimab (Evusheld</w:t>
      </w:r>
      <w:r w:rsidRPr="00943113">
        <w:rPr>
          <w:color w:val="auto"/>
          <w:sz w:val="21"/>
          <w:szCs w:val="21"/>
          <w:vertAlign w:val="superscript"/>
        </w:rPr>
        <w:t>TM</w:t>
      </w:r>
      <w:r w:rsidRPr="00943113">
        <w:rPr>
          <w:color w:val="auto"/>
          <w:sz w:val="21"/>
          <w:szCs w:val="21"/>
        </w:rPr>
        <w:t>) does not require a negative PCR prior. However, patients should follow testing guidelines as per usual process</w:t>
      </w:r>
      <w:r w:rsidR="008B5DFA" w:rsidRPr="00943113">
        <w:rPr>
          <w:color w:val="auto"/>
          <w:sz w:val="21"/>
          <w:szCs w:val="21"/>
        </w:rPr>
        <w:t>. For example, getting tested if they have symptoms of COVID-19</w:t>
      </w:r>
      <w:r w:rsidR="00EC03C3" w:rsidRPr="00943113">
        <w:rPr>
          <w:color w:val="auto"/>
          <w:sz w:val="21"/>
          <w:szCs w:val="21"/>
        </w:rPr>
        <w:t>.</w:t>
      </w:r>
    </w:p>
    <w:p w14:paraId="22E58F4F" w14:textId="003B4598" w:rsidR="0036549E" w:rsidRPr="00943113" w:rsidRDefault="002C039D" w:rsidP="0036549E">
      <w:pPr>
        <w:pStyle w:val="Heading1"/>
        <w:rPr>
          <w:b/>
          <w:sz w:val="21"/>
          <w:szCs w:val="21"/>
        </w:rPr>
      </w:pPr>
      <w:bookmarkStart w:id="13" w:name="_Toc105753178"/>
      <w:bookmarkStart w:id="14" w:name="_Toc100512279"/>
      <w:r w:rsidRPr="00943113">
        <w:rPr>
          <w:b/>
          <w:sz w:val="21"/>
          <w:szCs w:val="21"/>
        </w:rPr>
        <w:t xml:space="preserve">What is the implication of a patient having </w:t>
      </w:r>
      <w:r w:rsidR="009665DA" w:rsidRPr="00943113">
        <w:rPr>
          <w:b/>
          <w:sz w:val="21"/>
          <w:szCs w:val="21"/>
        </w:rPr>
        <w:t xml:space="preserve">a past history of </w:t>
      </w:r>
      <w:r w:rsidRPr="00943113">
        <w:rPr>
          <w:b/>
          <w:sz w:val="21"/>
          <w:szCs w:val="21"/>
        </w:rPr>
        <w:t>receiv</w:t>
      </w:r>
      <w:r w:rsidR="009665DA" w:rsidRPr="00943113">
        <w:rPr>
          <w:b/>
          <w:sz w:val="21"/>
          <w:szCs w:val="21"/>
        </w:rPr>
        <w:t>ing</w:t>
      </w:r>
      <w:r w:rsidRPr="00943113">
        <w:rPr>
          <w:b/>
          <w:sz w:val="21"/>
          <w:szCs w:val="21"/>
        </w:rPr>
        <w:t xml:space="preserve"> COVID-19 medications such as</w:t>
      </w:r>
      <w:r w:rsidR="009665DA" w:rsidRPr="00943113">
        <w:rPr>
          <w:b/>
          <w:sz w:val="21"/>
          <w:szCs w:val="21"/>
        </w:rPr>
        <w:t xml:space="preserve"> </w:t>
      </w:r>
      <w:r w:rsidR="00E15BAE" w:rsidRPr="00943113">
        <w:rPr>
          <w:b/>
          <w:sz w:val="21"/>
          <w:szCs w:val="21"/>
        </w:rPr>
        <w:t>sotrovimab (Xevudy</w:t>
      </w:r>
      <w:r w:rsidR="00E15BAE" w:rsidRPr="00943113">
        <w:rPr>
          <w:b/>
          <w:sz w:val="21"/>
          <w:szCs w:val="21"/>
          <w:vertAlign w:val="superscript"/>
        </w:rPr>
        <w:t>TM</w:t>
      </w:r>
      <w:r w:rsidR="00E15BAE" w:rsidRPr="00943113">
        <w:rPr>
          <w:b/>
          <w:sz w:val="21"/>
          <w:szCs w:val="21"/>
        </w:rPr>
        <w:t>)</w:t>
      </w:r>
      <w:r w:rsidR="00802CB0" w:rsidRPr="00943113">
        <w:rPr>
          <w:b/>
          <w:sz w:val="21"/>
          <w:szCs w:val="21"/>
        </w:rPr>
        <w:t xml:space="preserve"> or antivirals?</w:t>
      </w:r>
      <w:bookmarkEnd w:id="13"/>
      <w:r w:rsidR="00E15BAE" w:rsidRPr="00943113">
        <w:rPr>
          <w:b/>
          <w:sz w:val="21"/>
          <w:szCs w:val="21"/>
        </w:rPr>
        <w:t xml:space="preserve"> </w:t>
      </w:r>
      <w:bookmarkEnd w:id="14"/>
    </w:p>
    <w:p w14:paraId="44C6DFC6" w14:textId="5B3BE68E" w:rsidR="009F025B" w:rsidRPr="00943113" w:rsidRDefault="00684EE3" w:rsidP="0036549E">
      <w:pPr>
        <w:rPr>
          <w:rFonts w:cs="Arial"/>
        </w:rPr>
      </w:pPr>
      <w:r w:rsidRPr="00943113">
        <w:rPr>
          <w:bCs/>
          <w:szCs w:val="21"/>
        </w:rPr>
        <w:t>T</w:t>
      </w:r>
      <w:r w:rsidR="00147B36" w:rsidRPr="00943113">
        <w:rPr>
          <w:bCs/>
          <w:szCs w:val="21"/>
        </w:rPr>
        <w:t>ixagevimab and cilgavimab</w:t>
      </w:r>
      <w:r w:rsidR="00147B36" w:rsidRPr="00943113">
        <w:rPr>
          <w:b/>
          <w:szCs w:val="21"/>
        </w:rPr>
        <w:t xml:space="preserve"> </w:t>
      </w:r>
      <w:r w:rsidR="00147B36" w:rsidRPr="00943113">
        <w:rPr>
          <w:szCs w:val="21"/>
        </w:rPr>
        <w:t>(Evusheld</w:t>
      </w:r>
      <w:r w:rsidR="00147B36" w:rsidRPr="00943113">
        <w:rPr>
          <w:szCs w:val="21"/>
          <w:vertAlign w:val="superscript"/>
        </w:rPr>
        <w:t>TM</w:t>
      </w:r>
      <w:r w:rsidR="00147B36" w:rsidRPr="00943113">
        <w:rPr>
          <w:szCs w:val="21"/>
        </w:rPr>
        <w:t>)</w:t>
      </w:r>
      <w:r w:rsidR="0036549E" w:rsidRPr="00943113">
        <w:rPr>
          <w:rFonts w:cs="Arial"/>
        </w:rPr>
        <w:t xml:space="preserve"> can still be given if a person has previously had sotrovimab or any </w:t>
      </w:r>
      <w:r w:rsidR="009F025B" w:rsidRPr="00943113">
        <w:rPr>
          <w:rFonts w:cs="Arial"/>
        </w:rPr>
        <w:t xml:space="preserve">other </w:t>
      </w:r>
      <w:r w:rsidR="0036549E" w:rsidRPr="00943113">
        <w:rPr>
          <w:rFonts w:cs="Arial"/>
        </w:rPr>
        <w:t>antivirals for the treatment of COVID</w:t>
      </w:r>
      <w:r w:rsidR="009F025B" w:rsidRPr="00943113">
        <w:rPr>
          <w:rFonts w:cs="Arial"/>
        </w:rPr>
        <w:t xml:space="preserve">-19. If the patient has had a previous COVID-19 infection which required treatment, it is suggested to wait 30 days from the start of the infection before administering </w:t>
      </w:r>
      <w:r w:rsidR="00147B36" w:rsidRPr="00943113">
        <w:rPr>
          <w:bCs/>
          <w:szCs w:val="21"/>
        </w:rPr>
        <w:t>tixagevimab and cilgavimab</w:t>
      </w:r>
      <w:r w:rsidR="00147B36" w:rsidRPr="00943113">
        <w:rPr>
          <w:b/>
          <w:szCs w:val="21"/>
        </w:rPr>
        <w:t xml:space="preserve"> </w:t>
      </w:r>
      <w:r w:rsidR="00147B36" w:rsidRPr="00943113">
        <w:rPr>
          <w:szCs w:val="21"/>
        </w:rPr>
        <w:t>(Evusheld</w:t>
      </w:r>
      <w:r w:rsidR="00147B36" w:rsidRPr="00943113">
        <w:rPr>
          <w:szCs w:val="21"/>
          <w:vertAlign w:val="superscript"/>
        </w:rPr>
        <w:t>TM</w:t>
      </w:r>
      <w:r w:rsidR="00147B36" w:rsidRPr="00943113">
        <w:rPr>
          <w:szCs w:val="21"/>
        </w:rPr>
        <w:t>)</w:t>
      </w:r>
      <w:r w:rsidR="009F025B" w:rsidRPr="00943113">
        <w:rPr>
          <w:rFonts w:cs="Arial"/>
        </w:rPr>
        <w:t xml:space="preserve">. </w:t>
      </w:r>
    </w:p>
    <w:p w14:paraId="32E6DF98" w14:textId="3C105F8D" w:rsidR="0036549E" w:rsidRPr="00943113" w:rsidRDefault="00864409" w:rsidP="0036549E">
      <w:pPr>
        <w:pStyle w:val="Heading1"/>
        <w:rPr>
          <w:b/>
          <w:sz w:val="21"/>
          <w:szCs w:val="21"/>
        </w:rPr>
      </w:pPr>
      <w:bookmarkStart w:id="15" w:name="_Toc105753179"/>
      <w:r w:rsidRPr="00943113">
        <w:rPr>
          <w:b/>
          <w:sz w:val="21"/>
          <w:szCs w:val="21"/>
        </w:rPr>
        <w:t>Are there any restrictions in the co-administration of tixagevimab and cilgavimab (Evusheld</w:t>
      </w:r>
      <w:r w:rsidRPr="00943113">
        <w:rPr>
          <w:b/>
          <w:sz w:val="21"/>
          <w:szCs w:val="21"/>
          <w:vertAlign w:val="superscript"/>
        </w:rPr>
        <w:t>TM</w:t>
      </w:r>
      <w:r w:rsidRPr="00943113">
        <w:rPr>
          <w:b/>
          <w:sz w:val="21"/>
          <w:szCs w:val="21"/>
        </w:rPr>
        <w:t>) with the administration of B cell depleting therapies?</w:t>
      </w:r>
      <w:bookmarkEnd w:id="15"/>
      <w:r w:rsidR="008F4753" w:rsidRPr="00943113">
        <w:rPr>
          <w:b/>
          <w:sz w:val="21"/>
          <w:szCs w:val="21"/>
        </w:rPr>
        <w:t xml:space="preserve"> </w:t>
      </w:r>
    </w:p>
    <w:p w14:paraId="7BCCFF4C" w14:textId="1DBA88F6" w:rsidR="0060196B" w:rsidRPr="00943113" w:rsidRDefault="0036549E" w:rsidP="0036549E">
      <w:pPr>
        <w:pStyle w:val="Introtext"/>
        <w:rPr>
          <w:color w:val="auto"/>
          <w:sz w:val="21"/>
          <w:szCs w:val="21"/>
        </w:rPr>
      </w:pPr>
      <w:r w:rsidRPr="00943113">
        <w:rPr>
          <w:color w:val="auto"/>
          <w:sz w:val="21"/>
          <w:szCs w:val="21"/>
        </w:rPr>
        <w:t xml:space="preserve">There are no current restrictions on timing of doses of </w:t>
      </w:r>
      <w:r w:rsidR="00355EA3" w:rsidRPr="00943113">
        <w:rPr>
          <w:bCs/>
          <w:color w:val="auto"/>
          <w:sz w:val="21"/>
          <w:szCs w:val="21"/>
        </w:rPr>
        <w:t>tixagevimab and cilgavimab</w:t>
      </w:r>
      <w:r w:rsidR="00355EA3" w:rsidRPr="00943113">
        <w:rPr>
          <w:b/>
          <w:color w:val="auto"/>
          <w:sz w:val="21"/>
          <w:szCs w:val="21"/>
        </w:rPr>
        <w:t xml:space="preserve"> </w:t>
      </w:r>
      <w:r w:rsidR="00355EA3" w:rsidRPr="00943113">
        <w:rPr>
          <w:color w:val="auto"/>
          <w:sz w:val="21"/>
          <w:szCs w:val="21"/>
        </w:rPr>
        <w:t>(</w:t>
      </w:r>
      <w:r w:rsidRPr="00943113">
        <w:rPr>
          <w:color w:val="auto"/>
          <w:sz w:val="21"/>
          <w:szCs w:val="21"/>
        </w:rPr>
        <w:t>Evusheld</w:t>
      </w:r>
      <w:r w:rsidR="00355EA3" w:rsidRPr="00943113">
        <w:rPr>
          <w:color w:val="auto"/>
          <w:sz w:val="21"/>
          <w:szCs w:val="21"/>
          <w:vertAlign w:val="superscript"/>
        </w:rPr>
        <w:t>TM</w:t>
      </w:r>
      <w:r w:rsidR="00355EA3" w:rsidRPr="00943113">
        <w:rPr>
          <w:color w:val="auto"/>
          <w:sz w:val="21"/>
          <w:szCs w:val="21"/>
        </w:rPr>
        <w:t>)</w:t>
      </w:r>
      <w:r w:rsidRPr="00943113">
        <w:rPr>
          <w:color w:val="auto"/>
          <w:sz w:val="21"/>
          <w:szCs w:val="21"/>
        </w:rPr>
        <w:t xml:space="preserve"> relative to timing of other immunosuppressive therapies</w:t>
      </w:r>
      <w:r w:rsidR="00AF31B3" w:rsidRPr="00943113">
        <w:rPr>
          <w:color w:val="auto"/>
          <w:sz w:val="21"/>
          <w:szCs w:val="21"/>
        </w:rPr>
        <w:t>, including B cell depleting therapies.</w:t>
      </w:r>
      <w:r w:rsidR="008F4753" w:rsidRPr="00943113">
        <w:rPr>
          <w:color w:val="auto"/>
          <w:sz w:val="21"/>
          <w:szCs w:val="21"/>
        </w:rPr>
        <w:t xml:space="preserve"> </w:t>
      </w:r>
      <w:r w:rsidRPr="00943113">
        <w:rPr>
          <w:color w:val="auto"/>
          <w:sz w:val="21"/>
          <w:szCs w:val="21"/>
        </w:rPr>
        <w:t xml:space="preserve"> </w:t>
      </w:r>
    </w:p>
    <w:p w14:paraId="088A2AC2" w14:textId="54CEF6D6" w:rsidR="0036549E" w:rsidRPr="00943113" w:rsidRDefault="0036549E" w:rsidP="0036549E">
      <w:pPr>
        <w:pStyle w:val="Heading1"/>
        <w:rPr>
          <w:b/>
          <w:sz w:val="21"/>
          <w:szCs w:val="21"/>
        </w:rPr>
      </w:pPr>
      <w:bookmarkStart w:id="16" w:name="_Toc100512280"/>
      <w:bookmarkStart w:id="17" w:name="_Toc105753180"/>
      <w:r w:rsidRPr="00943113">
        <w:rPr>
          <w:b/>
          <w:sz w:val="21"/>
          <w:szCs w:val="21"/>
        </w:rPr>
        <w:t xml:space="preserve">Would you </w:t>
      </w:r>
      <w:r w:rsidR="00F84D96" w:rsidRPr="00943113">
        <w:rPr>
          <w:b/>
          <w:sz w:val="21"/>
          <w:szCs w:val="21"/>
        </w:rPr>
        <w:t xml:space="preserve">prescribe </w:t>
      </w:r>
      <w:r w:rsidR="00147B36" w:rsidRPr="00943113">
        <w:rPr>
          <w:b/>
          <w:sz w:val="21"/>
          <w:szCs w:val="21"/>
        </w:rPr>
        <w:t>tixagevimab and cilgavimab (Evusheld</w:t>
      </w:r>
      <w:r w:rsidR="00147B36" w:rsidRPr="00943113">
        <w:rPr>
          <w:b/>
          <w:sz w:val="21"/>
          <w:szCs w:val="21"/>
          <w:vertAlign w:val="superscript"/>
        </w:rPr>
        <w:t>TM</w:t>
      </w:r>
      <w:r w:rsidR="00147B36" w:rsidRPr="00943113">
        <w:rPr>
          <w:b/>
          <w:sz w:val="21"/>
          <w:szCs w:val="21"/>
        </w:rPr>
        <w:t xml:space="preserve">) </w:t>
      </w:r>
      <w:r w:rsidRPr="00943113">
        <w:rPr>
          <w:b/>
          <w:sz w:val="21"/>
          <w:szCs w:val="21"/>
        </w:rPr>
        <w:t>to people with a history of ischemic heart disease?</w:t>
      </w:r>
      <w:bookmarkEnd w:id="16"/>
      <w:bookmarkEnd w:id="17"/>
    </w:p>
    <w:p w14:paraId="3985FCE4" w14:textId="2408CBD3" w:rsidR="0036549E" w:rsidRPr="00943113" w:rsidRDefault="0036549E" w:rsidP="0036549E">
      <w:pPr>
        <w:rPr>
          <w:rFonts w:cs="Arial"/>
        </w:rPr>
      </w:pPr>
      <w:r w:rsidRPr="00943113">
        <w:rPr>
          <w:rFonts w:cs="Arial"/>
        </w:rPr>
        <w:t xml:space="preserve">In </w:t>
      </w:r>
      <w:r w:rsidR="00024B15" w:rsidRPr="00943113">
        <w:rPr>
          <w:rFonts w:cs="Arial"/>
        </w:rPr>
        <w:t>the</w:t>
      </w:r>
      <w:r w:rsidRPr="00943113">
        <w:rPr>
          <w:rFonts w:cs="Arial"/>
        </w:rPr>
        <w:t xml:space="preserve"> </w:t>
      </w:r>
      <w:r w:rsidR="00024B15" w:rsidRPr="00943113">
        <w:rPr>
          <w:rFonts w:cs="Arial"/>
        </w:rPr>
        <w:t>PROVEN</w:t>
      </w:r>
      <w:r w:rsidR="00F36E9B" w:rsidRPr="00943113">
        <w:rPr>
          <w:rFonts w:cs="Arial"/>
        </w:rPr>
        <w:t xml:space="preserve">T </w:t>
      </w:r>
      <w:r w:rsidRPr="00943113">
        <w:rPr>
          <w:rFonts w:cs="Arial"/>
        </w:rPr>
        <w:t xml:space="preserve">clinical trial </w:t>
      </w:r>
      <w:r w:rsidR="00F36E9B" w:rsidRPr="00943113">
        <w:rPr>
          <w:rFonts w:cs="Arial"/>
        </w:rPr>
        <w:t xml:space="preserve">which </w:t>
      </w:r>
      <w:r w:rsidRPr="00943113">
        <w:rPr>
          <w:rFonts w:cs="Arial"/>
        </w:rPr>
        <w:t>stud</w:t>
      </w:r>
      <w:r w:rsidR="00F36E9B" w:rsidRPr="00943113">
        <w:rPr>
          <w:rFonts w:cs="Arial"/>
        </w:rPr>
        <w:t>ied</w:t>
      </w:r>
      <w:r w:rsidRPr="00943113">
        <w:rPr>
          <w:rFonts w:cs="Arial"/>
        </w:rPr>
        <w:t xml:space="preserve"> </w:t>
      </w:r>
      <w:r w:rsidR="00355EA3" w:rsidRPr="00943113">
        <w:t>tixagevimab and cilgavimab</w:t>
      </w:r>
      <w:r w:rsidR="00355EA3" w:rsidRPr="00943113">
        <w:rPr>
          <w:b/>
        </w:rPr>
        <w:t xml:space="preserve"> </w:t>
      </w:r>
      <w:r w:rsidR="00355EA3" w:rsidRPr="00943113">
        <w:t>(Evusheld</w:t>
      </w:r>
      <w:r w:rsidR="00355EA3" w:rsidRPr="00943113">
        <w:rPr>
          <w:vertAlign w:val="superscript"/>
        </w:rPr>
        <w:t>TM</w:t>
      </w:r>
      <w:r w:rsidR="00355EA3" w:rsidRPr="00943113">
        <w:t xml:space="preserve">) </w:t>
      </w:r>
      <w:r w:rsidRPr="00943113">
        <w:rPr>
          <w:rFonts w:cs="Arial"/>
        </w:rPr>
        <w:t xml:space="preserve">for prevention of </w:t>
      </w:r>
      <w:r w:rsidR="00AE4B7B" w:rsidRPr="00943113">
        <w:rPr>
          <w:rFonts w:cs="Arial"/>
        </w:rPr>
        <w:t xml:space="preserve">severe illness from </w:t>
      </w:r>
      <w:r w:rsidRPr="00943113">
        <w:rPr>
          <w:rFonts w:cs="Arial"/>
        </w:rPr>
        <w:t xml:space="preserve">COVID-19 </w:t>
      </w:r>
      <w:r w:rsidR="00AE4B7B" w:rsidRPr="00943113">
        <w:rPr>
          <w:rFonts w:cs="Arial"/>
        </w:rPr>
        <w:t xml:space="preserve">through pre-exposure prophylaxis treatment </w:t>
      </w:r>
      <w:r w:rsidRPr="00943113">
        <w:rPr>
          <w:rFonts w:cs="Arial"/>
        </w:rPr>
        <w:t xml:space="preserve">it was reported that </w:t>
      </w:r>
      <w:r w:rsidR="00355EA3" w:rsidRPr="00943113">
        <w:rPr>
          <w:rFonts w:cs="Arial"/>
        </w:rPr>
        <w:t>when</w:t>
      </w:r>
      <w:r w:rsidRPr="00943113">
        <w:rPr>
          <w:rFonts w:cs="Arial"/>
        </w:rPr>
        <w:t xml:space="preserve"> people had risk factors for cardiac events (including a history of </w:t>
      </w:r>
      <w:r w:rsidR="00355EA3" w:rsidRPr="00943113">
        <w:rPr>
          <w:rFonts w:cs="Arial"/>
        </w:rPr>
        <w:t>ischaemic heart disease</w:t>
      </w:r>
      <w:r w:rsidRPr="00943113">
        <w:rPr>
          <w:rFonts w:cs="Arial"/>
        </w:rPr>
        <w:t>), more people</w:t>
      </w:r>
      <w:r w:rsidR="00A35CBC" w:rsidRPr="00943113">
        <w:rPr>
          <w:rFonts w:cs="Arial"/>
        </w:rPr>
        <w:t xml:space="preserve"> (N=23</w:t>
      </w:r>
      <w:r w:rsidR="001106CE" w:rsidRPr="00943113">
        <w:rPr>
          <w:rFonts w:cs="Arial"/>
        </w:rPr>
        <w:t>, Exposure Adjusted Incidence (EAIR) 1.2</w:t>
      </w:r>
      <w:r w:rsidR="00A35CBC" w:rsidRPr="00943113">
        <w:rPr>
          <w:rFonts w:cs="Arial"/>
        </w:rPr>
        <w:t>)</w:t>
      </w:r>
      <w:r w:rsidRPr="00943113">
        <w:rPr>
          <w:rFonts w:cs="Arial"/>
        </w:rPr>
        <w:t xml:space="preserve"> who received </w:t>
      </w:r>
      <w:r w:rsidR="00AE5F04" w:rsidRPr="00943113">
        <w:t>tixagevimab and cilgavimab</w:t>
      </w:r>
      <w:r w:rsidR="00AE5F04" w:rsidRPr="00943113">
        <w:rPr>
          <w:b/>
        </w:rPr>
        <w:t xml:space="preserve"> </w:t>
      </w:r>
      <w:r w:rsidR="00AE5F04" w:rsidRPr="00943113">
        <w:t>(Evusheld</w:t>
      </w:r>
      <w:r w:rsidR="00AE5F04" w:rsidRPr="00943113">
        <w:rPr>
          <w:vertAlign w:val="superscript"/>
        </w:rPr>
        <w:t>TM</w:t>
      </w:r>
      <w:r w:rsidR="00AE5F04" w:rsidRPr="00943113">
        <w:t xml:space="preserve">) </w:t>
      </w:r>
      <w:r w:rsidRPr="00943113">
        <w:rPr>
          <w:rFonts w:cs="Arial"/>
        </w:rPr>
        <w:t xml:space="preserve">experienced cardiac </w:t>
      </w:r>
      <w:r w:rsidR="00D838E2" w:rsidRPr="00943113">
        <w:rPr>
          <w:rFonts w:cs="Arial"/>
        </w:rPr>
        <w:t>complications</w:t>
      </w:r>
      <w:r w:rsidRPr="00943113">
        <w:rPr>
          <w:rFonts w:cs="Arial"/>
        </w:rPr>
        <w:t xml:space="preserve"> than </w:t>
      </w:r>
      <w:r w:rsidR="00AE4B7B" w:rsidRPr="00943113">
        <w:rPr>
          <w:rFonts w:cs="Arial"/>
        </w:rPr>
        <w:t>the placebo group</w:t>
      </w:r>
      <w:r w:rsidR="00A35CBC" w:rsidRPr="00943113">
        <w:rPr>
          <w:rFonts w:cs="Arial"/>
        </w:rPr>
        <w:t xml:space="preserve"> (N=5</w:t>
      </w:r>
      <w:r w:rsidR="001106CE" w:rsidRPr="00943113">
        <w:rPr>
          <w:rFonts w:cs="Arial"/>
        </w:rPr>
        <w:t>, EAIR</w:t>
      </w:r>
      <w:r w:rsidR="00220E67" w:rsidRPr="00943113">
        <w:rPr>
          <w:rFonts w:cs="Arial"/>
        </w:rPr>
        <w:t xml:space="preserve"> 0.5</w:t>
      </w:r>
      <w:r w:rsidR="00A35CBC" w:rsidRPr="00943113">
        <w:rPr>
          <w:rFonts w:cs="Arial"/>
        </w:rPr>
        <w:t>)</w:t>
      </w:r>
      <w:r w:rsidRPr="00943113">
        <w:rPr>
          <w:rFonts w:cs="Arial"/>
        </w:rPr>
        <w:t xml:space="preserve">. </w:t>
      </w:r>
      <w:r w:rsidR="00D838E2" w:rsidRPr="00943113">
        <w:rPr>
          <w:rFonts w:cs="Arial"/>
        </w:rPr>
        <w:t>In this trial</w:t>
      </w:r>
      <w:r w:rsidR="00C04001" w:rsidRPr="00943113">
        <w:rPr>
          <w:rFonts w:cs="Arial"/>
        </w:rPr>
        <w:t xml:space="preserve"> comparing </w:t>
      </w:r>
      <w:r w:rsidR="00777E1B" w:rsidRPr="00943113">
        <w:t>tixagevimab and cilgavimab</w:t>
      </w:r>
      <w:r w:rsidR="00777E1B" w:rsidRPr="00943113">
        <w:rPr>
          <w:b/>
        </w:rPr>
        <w:t xml:space="preserve"> </w:t>
      </w:r>
      <w:r w:rsidR="00777E1B" w:rsidRPr="00943113">
        <w:t>(Evusheld</w:t>
      </w:r>
      <w:r w:rsidR="00777E1B" w:rsidRPr="00943113">
        <w:rPr>
          <w:vertAlign w:val="superscript"/>
        </w:rPr>
        <w:t>TM</w:t>
      </w:r>
      <w:r w:rsidR="00777E1B" w:rsidRPr="00943113">
        <w:t>) (N=3,461) to placebo (N=1,736)</w:t>
      </w:r>
      <w:r w:rsidR="00D838E2" w:rsidRPr="00943113">
        <w:rPr>
          <w:rFonts w:cs="Arial"/>
        </w:rPr>
        <w:t xml:space="preserve">, there was one </w:t>
      </w:r>
      <w:r w:rsidR="00777E1B" w:rsidRPr="00943113">
        <w:t>intervention</w:t>
      </w:r>
      <w:r w:rsidR="00D838E2" w:rsidRPr="00943113">
        <w:rPr>
          <w:rFonts w:cs="Arial"/>
        </w:rPr>
        <w:t xml:space="preserve"> recipient </w:t>
      </w:r>
      <w:r w:rsidR="00FE2FD7" w:rsidRPr="00943113">
        <w:rPr>
          <w:rFonts w:cs="Arial"/>
        </w:rPr>
        <w:t>(&lt;0.1%</w:t>
      </w:r>
      <w:r w:rsidR="007D54A6" w:rsidRPr="00943113">
        <w:rPr>
          <w:rFonts w:cs="Arial"/>
        </w:rPr>
        <w:t xml:space="preserve">) </w:t>
      </w:r>
      <w:r w:rsidR="00D838E2" w:rsidRPr="00943113">
        <w:rPr>
          <w:rFonts w:cs="Arial"/>
        </w:rPr>
        <w:t xml:space="preserve">and one </w:t>
      </w:r>
      <w:r w:rsidR="00A10804" w:rsidRPr="00943113">
        <w:rPr>
          <w:rFonts w:cs="Arial"/>
        </w:rPr>
        <w:t xml:space="preserve">placebo recipient </w:t>
      </w:r>
      <w:r w:rsidR="00A966DC" w:rsidRPr="00943113">
        <w:rPr>
          <w:rFonts w:cs="Arial"/>
        </w:rPr>
        <w:t xml:space="preserve">(&lt;0.1%) </w:t>
      </w:r>
      <w:r w:rsidR="00A10804" w:rsidRPr="00943113">
        <w:rPr>
          <w:rFonts w:cs="Arial"/>
        </w:rPr>
        <w:t xml:space="preserve">who each had two serious </w:t>
      </w:r>
      <w:r w:rsidR="00A966DC" w:rsidRPr="00943113">
        <w:rPr>
          <w:rFonts w:cs="Arial"/>
        </w:rPr>
        <w:t xml:space="preserve">cardiac </w:t>
      </w:r>
      <w:r w:rsidR="00A10804" w:rsidRPr="00943113">
        <w:rPr>
          <w:rFonts w:cs="Arial"/>
        </w:rPr>
        <w:t xml:space="preserve">adverse events. </w:t>
      </w:r>
      <w:r w:rsidRPr="00943113">
        <w:rPr>
          <w:rFonts w:cs="Arial"/>
        </w:rPr>
        <w:t xml:space="preserve">It is not known if this was related to the </w:t>
      </w:r>
      <w:r w:rsidR="00355EA3" w:rsidRPr="00943113">
        <w:t>tixagevimab and cilgavimab</w:t>
      </w:r>
      <w:r w:rsidR="00355EA3" w:rsidRPr="00943113">
        <w:rPr>
          <w:b/>
        </w:rPr>
        <w:t xml:space="preserve"> </w:t>
      </w:r>
      <w:r w:rsidR="00355EA3" w:rsidRPr="00943113">
        <w:t>(Evusheld</w:t>
      </w:r>
      <w:r w:rsidR="00355EA3" w:rsidRPr="00943113">
        <w:rPr>
          <w:vertAlign w:val="superscript"/>
        </w:rPr>
        <w:t>TM</w:t>
      </w:r>
      <w:r w:rsidR="00355EA3" w:rsidRPr="00943113">
        <w:t>)</w:t>
      </w:r>
      <w:r w:rsidRPr="00943113">
        <w:rPr>
          <w:rFonts w:cs="Arial"/>
        </w:rPr>
        <w:t xml:space="preserve"> or to the person’s pre-existing medical conditions</w:t>
      </w:r>
      <w:r w:rsidR="0060196B" w:rsidRPr="00943113">
        <w:rPr>
          <w:rFonts w:cs="Arial"/>
        </w:rPr>
        <w:t xml:space="preserve"> and is still under investigation.</w:t>
      </w:r>
      <w:r w:rsidR="00BC749C" w:rsidRPr="00943113">
        <w:rPr>
          <w:rFonts w:cs="Arial"/>
        </w:rPr>
        <w:t xml:space="preserve"> </w:t>
      </w:r>
      <w:r w:rsidR="0060196B" w:rsidRPr="00943113">
        <w:rPr>
          <w:rFonts w:cs="Arial"/>
        </w:rPr>
        <w:t xml:space="preserve"> </w:t>
      </w:r>
    </w:p>
    <w:p w14:paraId="691FD0C3" w14:textId="68E29B08" w:rsidR="0036549E" w:rsidRPr="00943113" w:rsidRDefault="0036549E" w:rsidP="0036549E">
      <w:pPr>
        <w:pStyle w:val="Heading1"/>
        <w:rPr>
          <w:b/>
          <w:sz w:val="21"/>
          <w:szCs w:val="21"/>
        </w:rPr>
      </w:pPr>
      <w:bookmarkStart w:id="18" w:name="_Toc105753181"/>
      <w:r w:rsidRPr="00943113">
        <w:rPr>
          <w:b/>
          <w:sz w:val="21"/>
          <w:szCs w:val="21"/>
        </w:rPr>
        <w:t xml:space="preserve">What is the current recommended dose of </w:t>
      </w:r>
      <w:r w:rsidR="00AE5F04" w:rsidRPr="00943113">
        <w:rPr>
          <w:b/>
          <w:bCs w:val="0"/>
          <w:sz w:val="21"/>
          <w:szCs w:val="21"/>
        </w:rPr>
        <w:t>tixagevimab and cilgavimab (</w:t>
      </w:r>
      <w:r w:rsidRPr="00943113">
        <w:rPr>
          <w:b/>
          <w:bCs w:val="0"/>
          <w:sz w:val="21"/>
          <w:szCs w:val="21"/>
        </w:rPr>
        <w:t>Evusheld</w:t>
      </w:r>
      <w:r w:rsidR="00AE5F04" w:rsidRPr="00943113">
        <w:rPr>
          <w:b/>
          <w:bCs w:val="0"/>
          <w:sz w:val="21"/>
          <w:szCs w:val="21"/>
          <w:vertAlign w:val="superscript"/>
        </w:rPr>
        <w:t>TM</w:t>
      </w:r>
      <w:r w:rsidR="00AE5F04" w:rsidRPr="00943113">
        <w:rPr>
          <w:b/>
          <w:bCs w:val="0"/>
          <w:sz w:val="21"/>
          <w:szCs w:val="21"/>
        </w:rPr>
        <w:t>)</w:t>
      </w:r>
      <w:r w:rsidRPr="00943113">
        <w:rPr>
          <w:b/>
          <w:bCs w:val="0"/>
          <w:sz w:val="21"/>
          <w:szCs w:val="21"/>
        </w:rPr>
        <w:t>?</w:t>
      </w:r>
      <w:bookmarkEnd w:id="18"/>
    </w:p>
    <w:p w14:paraId="4F3E100E" w14:textId="02E1919A" w:rsidR="00421879" w:rsidRPr="00F84891" w:rsidRDefault="0036549E" w:rsidP="003F20E4">
      <w:pPr>
        <w:pStyle w:val="Body"/>
      </w:pPr>
      <w:r>
        <w:t xml:space="preserve">Currently the dose recommendation </w:t>
      </w:r>
      <w:r w:rsidR="00AE5F04">
        <w:t>i</w:t>
      </w:r>
      <w:r>
        <w:t xml:space="preserve">s 150 mg of tixagevimab and 150 mg of cilgavimab </w:t>
      </w:r>
      <w:r w:rsidR="0038664E">
        <w:t>administered as separate sequential IM injections</w:t>
      </w:r>
      <w:r w:rsidR="00600C5E">
        <w:t>.</w:t>
      </w:r>
      <w:r w:rsidR="0038664E">
        <w:t xml:space="preserve"> </w:t>
      </w:r>
      <w:r w:rsidR="000936BD">
        <w:t xml:space="preserve">See the </w:t>
      </w:r>
      <w:hyperlink r:id="rId23">
        <w:r w:rsidR="000936BD" w:rsidRPr="4FE3A3E1">
          <w:rPr>
            <w:rStyle w:val="Hyperlink"/>
            <w:rFonts w:eastAsia="Times New Roman"/>
          </w:rPr>
          <w:t>product information</w:t>
        </w:r>
      </w:hyperlink>
      <w:r w:rsidR="000936BD">
        <w:t xml:space="preserve"> </w:t>
      </w:r>
      <w:r w:rsidR="003C280E">
        <w:t>&lt;</w:t>
      </w:r>
      <w:hyperlink r:id="rId24">
        <w:r w:rsidR="003C280E" w:rsidRPr="4FE3A3E1">
          <w:rPr>
            <w:rStyle w:val="Hyperlink"/>
          </w:rPr>
          <w:t>https://www.tga.gov.au/sites/default/files/evusheld-pi.pdf</w:t>
        </w:r>
      </w:hyperlink>
      <w:r w:rsidR="003C280E" w:rsidRPr="4FE3A3E1">
        <w:rPr>
          <w:rStyle w:val="Hyperlink"/>
        </w:rPr>
        <w:t xml:space="preserve">&gt; </w:t>
      </w:r>
      <w:r w:rsidR="000936BD">
        <w:t xml:space="preserve">for further information. It is noted that the U.S. </w:t>
      </w:r>
      <w:r w:rsidR="000936BD">
        <w:lastRenderedPageBreak/>
        <w:t xml:space="preserve">Food and Drug Administration (FDA) has recommended a higher dose in the United States due to circulating </w:t>
      </w:r>
      <w:r w:rsidR="16E807B7">
        <w:t>Omicron subvariants BA.1 and BA.1.1</w:t>
      </w:r>
      <w:r w:rsidR="16E807B7" w:rsidRPr="00F84891">
        <w:t xml:space="preserve">. </w:t>
      </w:r>
      <w:r w:rsidR="004A1084" w:rsidRPr="00F84891">
        <w:t xml:space="preserve">The activity against BA. 2 which is the current circulating strain is not </w:t>
      </w:r>
      <w:r w:rsidR="00B77F6A" w:rsidRPr="00F84891">
        <w:t xml:space="preserve">known to be </w:t>
      </w:r>
      <w:r w:rsidR="004A1084" w:rsidRPr="00F84891">
        <w:t>reduced and in vitro activity against BA</w:t>
      </w:r>
      <w:r w:rsidR="00B77F6A" w:rsidRPr="00F84891">
        <w:t>.</w:t>
      </w:r>
      <w:r w:rsidR="004A1084" w:rsidRPr="00F84891">
        <w:t xml:space="preserve"> 3,</w:t>
      </w:r>
      <w:r w:rsidR="00B77F6A" w:rsidRPr="00F84891">
        <w:t xml:space="preserve"> </w:t>
      </w:r>
      <w:r w:rsidR="004A1084" w:rsidRPr="00F84891">
        <w:t xml:space="preserve">4 and 5 are only slightly reduced. </w:t>
      </w:r>
      <w:r w:rsidR="00B77F6A" w:rsidRPr="00F84891">
        <w:t xml:space="preserve">There is no current rationale to </w:t>
      </w:r>
      <w:r w:rsidR="00D77810" w:rsidRPr="00F84891">
        <w:t>increase</w:t>
      </w:r>
      <w:r w:rsidR="00B77F6A" w:rsidRPr="00F84891">
        <w:t xml:space="preserve"> the dose in the Victorian context.</w:t>
      </w:r>
    </w:p>
    <w:p w14:paraId="711862B0" w14:textId="23EB824A" w:rsidR="0036549E" w:rsidRPr="00F84891" w:rsidRDefault="0036549E" w:rsidP="16E807B7">
      <w:pPr>
        <w:pStyle w:val="Heading1"/>
        <w:spacing w:line="240" w:lineRule="auto"/>
        <w:rPr>
          <w:b/>
          <w:sz w:val="21"/>
          <w:szCs w:val="21"/>
        </w:rPr>
      </w:pPr>
      <w:bookmarkStart w:id="19" w:name="_Toc105753182"/>
      <w:r w:rsidRPr="00F84891">
        <w:rPr>
          <w:b/>
          <w:sz w:val="21"/>
          <w:szCs w:val="21"/>
        </w:rPr>
        <w:t xml:space="preserve">Can </w:t>
      </w:r>
      <w:r w:rsidR="00115BB3" w:rsidRPr="00F84891">
        <w:rPr>
          <w:b/>
          <w:sz w:val="21"/>
          <w:szCs w:val="21"/>
        </w:rPr>
        <w:t>tixagevimab and cilgavimab (Evusheld</w:t>
      </w:r>
      <w:r w:rsidR="00115BB3" w:rsidRPr="00F84891">
        <w:rPr>
          <w:b/>
          <w:sz w:val="21"/>
          <w:szCs w:val="21"/>
          <w:vertAlign w:val="superscript"/>
        </w:rPr>
        <w:t>TM</w:t>
      </w:r>
      <w:r w:rsidR="00115BB3" w:rsidRPr="00F84891">
        <w:rPr>
          <w:b/>
          <w:sz w:val="21"/>
          <w:szCs w:val="21"/>
        </w:rPr>
        <w:t xml:space="preserve">) </w:t>
      </w:r>
      <w:r w:rsidRPr="00F84891">
        <w:rPr>
          <w:b/>
          <w:sz w:val="21"/>
          <w:szCs w:val="21"/>
        </w:rPr>
        <w:t>be given intravenously?</w:t>
      </w:r>
      <w:bookmarkEnd w:id="19"/>
    </w:p>
    <w:p w14:paraId="4F8EE9A8" w14:textId="59F65627" w:rsidR="0036549E" w:rsidRPr="00F84891" w:rsidRDefault="00277E83" w:rsidP="0036549E">
      <w:pPr>
        <w:pStyle w:val="Body"/>
      </w:pPr>
      <w:r w:rsidRPr="00F84891">
        <w:t>C</w:t>
      </w:r>
      <w:r w:rsidR="00667B92" w:rsidRPr="00F84891">
        <w:t>linically significant bleeding disorders</w:t>
      </w:r>
      <w:r w:rsidR="000B435A" w:rsidRPr="00F84891">
        <w:t>,</w:t>
      </w:r>
      <w:r w:rsidR="00667B92" w:rsidRPr="00F84891">
        <w:t xml:space="preserve"> such as thrombocytopenia and other coagulation disorders</w:t>
      </w:r>
      <w:r w:rsidR="000B435A" w:rsidRPr="00F84891">
        <w:t>,</w:t>
      </w:r>
      <w:r w:rsidRPr="00F84891">
        <w:t xml:space="preserve"> </w:t>
      </w:r>
      <w:r w:rsidR="000B435A" w:rsidRPr="00F84891">
        <w:t>are</w:t>
      </w:r>
      <w:r w:rsidRPr="00F84891">
        <w:t xml:space="preserve"> a precaution for </w:t>
      </w:r>
      <w:r w:rsidR="000B435A" w:rsidRPr="00F84891">
        <w:t>intramuscular</w:t>
      </w:r>
      <w:r w:rsidR="00252635" w:rsidRPr="00F84891">
        <w:t xml:space="preserve"> injections.</w:t>
      </w:r>
      <w:r w:rsidR="00E00475" w:rsidRPr="00F84891">
        <w:t xml:space="preserve"> F</w:t>
      </w:r>
      <w:r w:rsidR="000B435A" w:rsidRPr="00F84891">
        <w:t>or patients at high risk of bleeding, a</w:t>
      </w:r>
      <w:r w:rsidR="007441A8" w:rsidRPr="00F84891">
        <w:t xml:space="preserve">dministration via an </w:t>
      </w:r>
      <w:r w:rsidR="000B435A" w:rsidRPr="00F84891">
        <w:t>intravenous</w:t>
      </w:r>
      <w:r w:rsidR="007441A8" w:rsidRPr="00F84891">
        <w:t xml:space="preserve"> route may be an optio</w:t>
      </w:r>
      <w:r w:rsidR="000B435A" w:rsidRPr="00F84891">
        <w:t>n</w:t>
      </w:r>
      <w:r w:rsidR="007441A8" w:rsidRPr="00F84891">
        <w:t>.</w:t>
      </w:r>
      <w:r w:rsidR="0036549E" w:rsidRPr="00F84891">
        <w:t xml:space="preserve"> Seek specialist advice from a major health service</w:t>
      </w:r>
      <w:r w:rsidR="0060196B" w:rsidRPr="00F84891">
        <w:t xml:space="preserve"> regarding this</w:t>
      </w:r>
      <w:r w:rsidR="0036549E" w:rsidRPr="00F84891">
        <w:t xml:space="preserve">. </w:t>
      </w:r>
    </w:p>
    <w:p w14:paraId="0B7279F9" w14:textId="04956ECB" w:rsidR="0060196B" w:rsidRPr="00F84891" w:rsidRDefault="0060196B" w:rsidP="0060196B">
      <w:pPr>
        <w:pStyle w:val="Heading1"/>
        <w:rPr>
          <w:rFonts w:ascii="Calibri" w:hAnsi="Calibri"/>
          <w:b/>
          <w:sz w:val="21"/>
          <w:szCs w:val="21"/>
        </w:rPr>
      </w:pPr>
      <w:bookmarkStart w:id="20" w:name="_Toc105753183"/>
      <w:r w:rsidRPr="00F84891">
        <w:rPr>
          <w:b/>
          <w:sz w:val="21"/>
          <w:szCs w:val="21"/>
        </w:rPr>
        <w:t xml:space="preserve">Are there any medication related interactions with </w:t>
      </w:r>
      <w:r w:rsidR="00EB7E6C" w:rsidRPr="00F84891">
        <w:rPr>
          <w:b/>
          <w:bCs w:val="0"/>
          <w:sz w:val="21"/>
          <w:szCs w:val="21"/>
        </w:rPr>
        <w:t>tixagevimab and cilgavimab (</w:t>
      </w:r>
      <w:r w:rsidRPr="00F84891">
        <w:rPr>
          <w:b/>
          <w:sz w:val="21"/>
          <w:szCs w:val="21"/>
        </w:rPr>
        <w:t>Evusheld</w:t>
      </w:r>
      <w:r w:rsidR="00EB7E6C" w:rsidRPr="00F84891">
        <w:rPr>
          <w:b/>
          <w:sz w:val="21"/>
          <w:szCs w:val="21"/>
          <w:vertAlign w:val="superscript"/>
        </w:rPr>
        <w:t>TM</w:t>
      </w:r>
      <w:r w:rsidR="00EB7E6C" w:rsidRPr="00F84891">
        <w:rPr>
          <w:b/>
          <w:sz w:val="21"/>
          <w:szCs w:val="21"/>
        </w:rPr>
        <w:t>)</w:t>
      </w:r>
      <w:r w:rsidRPr="00F84891">
        <w:rPr>
          <w:b/>
          <w:sz w:val="21"/>
          <w:szCs w:val="21"/>
        </w:rPr>
        <w:t>?</w:t>
      </w:r>
      <w:bookmarkEnd w:id="20"/>
    </w:p>
    <w:p w14:paraId="6A50ADD3" w14:textId="2C1A60D5" w:rsidR="0060196B" w:rsidRPr="00F84891" w:rsidRDefault="0060196B" w:rsidP="0060196B">
      <w:pPr>
        <w:rPr>
          <w:szCs w:val="21"/>
        </w:rPr>
      </w:pPr>
      <w:r w:rsidRPr="00F84891">
        <w:rPr>
          <w:szCs w:val="21"/>
        </w:rPr>
        <w:t xml:space="preserve">Drug-drug interaction studies have not been performed. However, tixagevimab and cilgavimab </w:t>
      </w:r>
      <w:r w:rsidR="00EB7E6C" w:rsidRPr="00F84891">
        <w:rPr>
          <w:szCs w:val="21"/>
        </w:rPr>
        <w:t>(Evusheld</w:t>
      </w:r>
      <w:r w:rsidR="00EB7E6C" w:rsidRPr="00F84891">
        <w:rPr>
          <w:szCs w:val="21"/>
          <w:vertAlign w:val="superscript"/>
        </w:rPr>
        <w:t>TM</w:t>
      </w:r>
      <w:r w:rsidR="00EB7E6C" w:rsidRPr="00F84891">
        <w:rPr>
          <w:szCs w:val="21"/>
        </w:rPr>
        <w:t xml:space="preserve">) </w:t>
      </w:r>
      <w:r w:rsidRPr="00F84891">
        <w:rPr>
          <w:szCs w:val="21"/>
        </w:rPr>
        <w:t xml:space="preserve">are not renally excreted or metabolized by cytochrome P450 (CYP) enzymes; therefore, interactions with concomitant medications that are renally excreted or that are substrates, inducers, or inhibitors of CYP enzymes are unlikely and can be co-administered. The University of </w:t>
      </w:r>
      <w:hyperlink r:id="rId25" w:history="1">
        <w:r w:rsidRPr="00F84891">
          <w:rPr>
            <w:rStyle w:val="Hyperlink"/>
            <w:szCs w:val="21"/>
          </w:rPr>
          <w:t xml:space="preserve">Liverpool COVID-19 Drug Interactions </w:t>
        </w:r>
        <w:r w:rsidR="00EB7E6C" w:rsidRPr="00F84891">
          <w:rPr>
            <w:rStyle w:val="Hyperlink"/>
            <w:szCs w:val="21"/>
          </w:rPr>
          <w:t>checker</w:t>
        </w:r>
      </w:hyperlink>
      <w:r w:rsidR="00EB7E6C" w:rsidRPr="00F84891">
        <w:rPr>
          <w:szCs w:val="21"/>
        </w:rPr>
        <w:t xml:space="preserve"> &lt;</w:t>
      </w:r>
      <w:hyperlink r:id="rId26" w:history="1">
        <w:r w:rsidR="00EB7E6C" w:rsidRPr="00F84891">
          <w:rPr>
            <w:rStyle w:val="Hyperlink"/>
            <w:szCs w:val="21"/>
          </w:rPr>
          <w:t>https://www.covid19-druginteractions.org/</w:t>
        </w:r>
      </w:hyperlink>
      <w:r w:rsidR="00EB7E6C" w:rsidRPr="00F84891">
        <w:rPr>
          <w:szCs w:val="21"/>
        </w:rPr>
        <w:t>&gt;</w:t>
      </w:r>
      <w:r w:rsidRPr="00F84891">
        <w:rPr>
          <w:szCs w:val="21"/>
        </w:rPr>
        <w:t xml:space="preserve"> provides an interacti</w:t>
      </w:r>
      <w:r w:rsidR="00EB7E6C" w:rsidRPr="00F84891">
        <w:rPr>
          <w:szCs w:val="21"/>
        </w:rPr>
        <w:t>ve</w:t>
      </w:r>
      <w:r w:rsidRPr="00F84891">
        <w:rPr>
          <w:szCs w:val="21"/>
        </w:rPr>
        <w:t xml:space="preserve"> tool for COVID</w:t>
      </w:r>
      <w:r w:rsidR="00EB7E6C" w:rsidRPr="00F84891">
        <w:rPr>
          <w:szCs w:val="21"/>
        </w:rPr>
        <w:t>-19</w:t>
      </w:r>
      <w:r w:rsidRPr="00F84891">
        <w:rPr>
          <w:szCs w:val="21"/>
        </w:rPr>
        <w:t xml:space="preserve"> therapies and is a recommend resource for updates.  </w:t>
      </w:r>
    </w:p>
    <w:p w14:paraId="38A6A547" w14:textId="052FEA0E" w:rsidR="0036549E" w:rsidRPr="00F84891" w:rsidRDefault="0036549E" w:rsidP="0036549E">
      <w:pPr>
        <w:pStyle w:val="Heading1"/>
        <w:rPr>
          <w:b/>
          <w:sz w:val="21"/>
          <w:szCs w:val="21"/>
        </w:rPr>
      </w:pPr>
      <w:bookmarkStart w:id="21" w:name="_Toc105753184"/>
      <w:r w:rsidRPr="00F84891">
        <w:rPr>
          <w:b/>
          <w:sz w:val="21"/>
          <w:szCs w:val="21"/>
        </w:rPr>
        <w:t xml:space="preserve">Is </w:t>
      </w:r>
      <w:r w:rsidR="00EB7E6C" w:rsidRPr="00F84891">
        <w:rPr>
          <w:b/>
          <w:bCs w:val="0"/>
          <w:sz w:val="21"/>
          <w:szCs w:val="21"/>
        </w:rPr>
        <w:t>tixagevimab and cilgavimab (</w:t>
      </w:r>
      <w:r w:rsidR="00EB7E6C" w:rsidRPr="00F84891">
        <w:rPr>
          <w:b/>
          <w:sz w:val="21"/>
          <w:szCs w:val="21"/>
        </w:rPr>
        <w:t>Evusheld</w:t>
      </w:r>
      <w:r w:rsidR="00EB7E6C" w:rsidRPr="00F84891">
        <w:rPr>
          <w:b/>
          <w:sz w:val="21"/>
          <w:szCs w:val="21"/>
          <w:vertAlign w:val="superscript"/>
        </w:rPr>
        <w:t>TM</w:t>
      </w:r>
      <w:r w:rsidR="00EB7E6C" w:rsidRPr="00F84891">
        <w:rPr>
          <w:b/>
          <w:sz w:val="21"/>
          <w:szCs w:val="21"/>
        </w:rPr>
        <w:t xml:space="preserve">) </w:t>
      </w:r>
      <w:r w:rsidRPr="00F84891">
        <w:rPr>
          <w:b/>
          <w:sz w:val="21"/>
          <w:szCs w:val="21"/>
        </w:rPr>
        <w:t>being used in Paediatric populations?</w:t>
      </w:r>
      <w:bookmarkEnd w:id="21"/>
    </w:p>
    <w:p w14:paraId="1DDA3543" w14:textId="6CB31D52" w:rsidR="4ED149E0" w:rsidRPr="00F84891" w:rsidRDefault="007D63C6">
      <w:r w:rsidRPr="00F84891">
        <w:t xml:space="preserve">As the risk of severe COVID-19 is lower in children, </w:t>
      </w:r>
      <w:r w:rsidR="00D65984" w:rsidRPr="00F84891">
        <w:t>tixagevimab and cilgavimab (Evusheld</w:t>
      </w:r>
      <w:r w:rsidR="00D65984" w:rsidRPr="00F84891">
        <w:rPr>
          <w:vertAlign w:val="superscript"/>
        </w:rPr>
        <w:t>TM</w:t>
      </w:r>
      <w:r w:rsidR="00D65984" w:rsidRPr="00F84891">
        <w:t>)</w:t>
      </w:r>
      <w:r w:rsidRPr="00F84891">
        <w:t xml:space="preserve"> </w:t>
      </w:r>
      <w:r w:rsidR="1D714799" w:rsidRPr="00F84891">
        <w:t>is recommended to only be</w:t>
      </w:r>
      <w:r w:rsidRPr="00F84891">
        <w:t xml:space="preserve"> used in high-risk children who have significant immunosuppression in addition to another risk factor for severe disease. This should be discussed with a paediatric infectious diseases specialist and immunologist.</w:t>
      </w:r>
      <w:r w:rsidR="00CD2C85" w:rsidRPr="00F84891">
        <w:t xml:space="preserve"> </w:t>
      </w:r>
      <w:r w:rsidR="003110DC" w:rsidRPr="00F84891">
        <w:t xml:space="preserve">Please see the </w:t>
      </w:r>
      <w:hyperlink r:id="rId27">
        <w:r w:rsidR="003110DC" w:rsidRPr="00F84891">
          <w:rPr>
            <w:rStyle w:val="Hyperlink"/>
          </w:rPr>
          <w:t>Product Information</w:t>
        </w:r>
      </w:hyperlink>
      <w:r w:rsidR="003110DC" w:rsidRPr="00F84891">
        <w:rPr>
          <w:rStyle w:val="Hyperlink"/>
        </w:rPr>
        <w:t xml:space="preserve"> </w:t>
      </w:r>
      <w:r w:rsidR="008F1CA0" w:rsidRPr="00F84891">
        <w:rPr>
          <w:rStyle w:val="Hyperlink"/>
        </w:rPr>
        <w:t>&lt;</w:t>
      </w:r>
      <w:hyperlink r:id="rId28" w:history="1">
        <w:r w:rsidR="00FD3E0C" w:rsidRPr="00F84891">
          <w:rPr>
            <w:rStyle w:val="Hyperlink"/>
          </w:rPr>
          <w:t>https://www.tga.gov.au/sites/default/files/evusheld-pi.pdf</w:t>
        </w:r>
      </w:hyperlink>
      <w:r w:rsidR="008F1CA0" w:rsidRPr="00F84891">
        <w:rPr>
          <w:rStyle w:val="Hyperlink"/>
        </w:rPr>
        <w:t xml:space="preserve">&gt; </w:t>
      </w:r>
      <w:r w:rsidR="003110DC" w:rsidRPr="00F84891">
        <w:t xml:space="preserve">which outlines a summary of advice regarding administration of </w:t>
      </w:r>
      <w:r w:rsidR="00115BB3" w:rsidRPr="00F84891">
        <w:t>tixagevimab and cilgavimab</w:t>
      </w:r>
      <w:r w:rsidR="00115BB3" w:rsidRPr="00F84891">
        <w:rPr>
          <w:b/>
        </w:rPr>
        <w:t xml:space="preserve"> </w:t>
      </w:r>
      <w:r w:rsidR="00115BB3" w:rsidRPr="00F84891">
        <w:t>(Evusheld</w:t>
      </w:r>
      <w:r w:rsidR="00115BB3" w:rsidRPr="00F84891">
        <w:rPr>
          <w:vertAlign w:val="superscript"/>
        </w:rPr>
        <w:t>TM</w:t>
      </w:r>
      <w:r w:rsidR="00115BB3" w:rsidRPr="00F84891">
        <w:t>)</w:t>
      </w:r>
      <w:r w:rsidR="003110DC" w:rsidRPr="00F84891">
        <w:t xml:space="preserve"> in paediatric </w:t>
      </w:r>
      <w:r w:rsidR="00C4385A" w:rsidRPr="00F84891">
        <w:t>cohorts</w:t>
      </w:r>
      <w:r w:rsidR="003110DC" w:rsidRPr="00F84891">
        <w:t xml:space="preserve">. </w:t>
      </w:r>
      <w:r w:rsidR="2054C5BC" w:rsidRPr="00F84891">
        <w:t>As per the Product Information</w:t>
      </w:r>
      <w:r w:rsidR="00A52102" w:rsidRPr="00F84891">
        <w:t>, t</w:t>
      </w:r>
      <w:r w:rsidR="005A0D21" w:rsidRPr="00F84891">
        <w:t xml:space="preserve">he recommended dosing regimens are expected to result in comparable serum exposures of tixagevimab and cilgavimab </w:t>
      </w:r>
      <w:r w:rsidR="0056273B" w:rsidRPr="00F84891">
        <w:t>(Evusheld</w:t>
      </w:r>
      <w:r w:rsidR="0056273B" w:rsidRPr="00F84891">
        <w:rPr>
          <w:vertAlign w:val="superscript"/>
        </w:rPr>
        <w:t>TM</w:t>
      </w:r>
      <w:r w:rsidR="0056273B" w:rsidRPr="00F84891">
        <w:t xml:space="preserve">) </w:t>
      </w:r>
      <w:r w:rsidR="005A0D21" w:rsidRPr="00F84891">
        <w:t>in individuals 12 years of age and older and weighing at least 40 kg as observed in adults</w:t>
      </w:r>
      <w:r w:rsidR="646B2FB6" w:rsidRPr="00F84891">
        <w:t>.</w:t>
      </w:r>
      <w:r w:rsidR="005A0D21" w:rsidRPr="00F84891">
        <w:t xml:space="preserve"> The safety and efficacy of tixagevimab and cilgavimab (Evusheld</w:t>
      </w:r>
      <w:r w:rsidR="005A0D21" w:rsidRPr="00F84891">
        <w:rPr>
          <w:vertAlign w:val="superscript"/>
        </w:rPr>
        <w:t>TM</w:t>
      </w:r>
      <w:r w:rsidR="005A0D21" w:rsidRPr="00F84891">
        <w:t>) in children aged under 12</w:t>
      </w:r>
      <w:r w:rsidR="00E725CB" w:rsidRPr="00F84891">
        <w:t xml:space="preserve"> and </w:t>
      </w:r>
      <w:r w:rsidR="00E12105" w:rsidRPr="00F84891">
        <w:t xml:space="preserve">less than </w:t>
      </w:r>
      <w:r w:rsidR="0020B69A" w:rsidRPr="00F84891">
        <w:t>40 kg</w:t>
      </w:r>
      <w:r w:rsidR="005A0D21" w:rsidRPr="00F84891">
        <w:t xml:space="preserve"> is still b</w:t>
      </w:r>
      <w:r w:rsidR="00BC749C" w:rsidRPr="00F84891">
        <w:t>e</w:t>
      </w:r>
      <w:r w:rsidR="005A0D21" w:rsidRPr="00F84891">
        <w:t xml:space="preserve">ing investigated. </w:t>
      </w:r>
    </w:p>
    <w:p w14:paraId="47ED9298" w14:textId="71B7B117" w:rsidR="0036549E" w:rsidRPr="00F84891" w:rsidRDefault="0036549E" w:rsidP="0036549E">
      <w:pPr>
        <w:pStyle w:val="Heading1"/>
        <w:rPr>
          <w:b/>
          <w:sz w:val="21"/>
          <w:szCs w:val="21"/>
        </w:rPr>
      </w:pPr>
      <w:bookmarkStart w:id="22" w:name="_Toc105753185"/>
      <w:r w:rsidRPr="00F84891">
        <w:rPr>
          <w:b/>
          <w:sz w:val="21"/>
          <w:szCs w:val="21"/>
        </w:rPr>
        <w:t xml:space="preserve">Is the dose of </w:t>
      </w:r>
      <w:r w:rsidR="00EB7E6C" w:rsidRPr="00F84891">
        <w:rPr>
          <w:b/>
          <w:bCs w:val="0"/>
          <w:sz w:val="21"/>
          <w:szCs w:val="21"/>
        </w:rPr>
        <w:t>tixagevimab and cilgavimab (</w:t>
      </w:r>
      <w:r w:rsidR="00EB7E6C" w:rsidRPr="00F84891">
        <w:rPr>
          <w:b/>
          <w:sz w:val="21"/>
          <w:szCs w:val="21"/>
        </w:rPr>
        <w:t>Evusheld</w:t>
      </w:r>
      <w:r w:rsidR="00EB7E6C" w:rsidRPr="00F84891">
        <w:rPr>
          <w:b/>
          <w:sz w:val="21"/>
          <w:szCs w:val="21"/>
          <w:vertAlign w:val="superscript"/>
        </w:rPr>
        <w:t>TM</w:t>
      </w:r>
      <w:r w:rsidR="00EB7E6C" w:rsidRPr="00F84891">
        <w:rPr>
          <w:b/>
          <w:sz w:val="21"/>
          <w:szCs w:val="21"/>
        </w:rPr>
        <w:t>)</w:t>
      </w:r>
      <w:r w:rsidRPr="00F84891">
        <w:rPr>
          <w:b/>
          <w:sz w:val="21"/>
          <w:szCs w:val="21"/>
        </w:rPr>
        <w:t xml:space="preserve"> repeated after six months?</w:t>
      </w:r>
      <w:bookmarkEnd w:id="22"/>
    </w:p>
    <w:p w14:paraId="31924094" w14:textId="6661E2F5" w:rsidR="0036549E" w:rsidRPr="00F84891" w:rsidRDefault="0036549E" w:rsidP="00A428E8">
      <w:pPr>
        <w:pStyle w:val="Body"/>
        <w:rPr>
          <w:b/>
          <w:szCs w:val="21"/>
        </w:rPr>
      </w:pPr>
      <w:r w:rsidRPr="00F84891">
        <w:rPr>
          <w:szCs w:val="21"/>
        </w:rPr>
        <w:t xml:space="preserve">Current </w:t>
      </w:r>
      <w:r w:rsidR="5605F00F" w:rsidRPr="00F84891">
        <w:t xml:space="preserve">evidence supports </w:t>
      </w:r>
      <w:r w:rsidR="154C7BC1" w:rsidRPr="00F84891">
        <w:t>six-month efficacy with</w:t>
      </w:r>
      <w:r w:rsidR="5605F00F" w:rsidRPr="00F84891">
        <w:t xml:space="preserve"> a single</w:t>
      </w:r>
      <w:r w:rsidRPr="00F84891">
        <w:t xml:space="preserve"> dose of </w:t>
      </w:r>
      <w:r w:rsidR="0064488A" w:rsidRPr="00F84891">
        <w:t>tixagevimab and cilgavimab (Evusheld</w:t>
      </w:r>
      <w:r w:rsidR="0064488A" w:rsidRPr="00F84891">
        <w:rPr>
          <w:vertAlign w:val="superscript"/>
        </w:rPr>
        <w:t>TM</w:t>
      </w:r>
      <w:r w:rsidR="0064488A" w:rsidRPr="00F84891">
        <w:t>)</w:t>
      </w:r>
      <w:r w:rsidR="00BC749C" w:rsidRPr="00F84891">
        <w:t>.</w:t>
      </w:r>
      <w:r w:rsidRPr="00F84891">
        <w:t xml:space="preserve"> The need for </w:t>
      </w:r>
      <w:r w:rsidR="32C8AB4C" w:rsidRPr="00F84891">
        <w:t xml:space="preserve">subsequent doses </w:t>
      </w:r>
      <w:r w:rsidRPr="00F84891">
        <w:t xml:space="preserve">is </w:t>
      </w:r>
      <w:r w:rsidR="32C8AB4C" w:rsidRPr="00F84891">
        <w:t xml:space="preserve">under review. </w:t>
      </w:r>
    </w:p>
    <w:p w14:paraId="280A28F4" w14:textId="3AC7A804" w:rsidR="00C1329B" w:rsidRPr="00F84891" w:rsidRDefault="00C1329B" w:rsidP="4FE3A3E1">
      <w:pPr>
        <w:pStyle w:val="Heading1"/>
        <w:rPr>
          <w:b/>
          <w:sz w:val="21"/>
          <w:szCs w:val="21"/>
        </w:rPr>
      </w:pPr>
      <w:bookmarkStart w:id="23" w:name="_Toc105753186"/>
      <w:bookmarkStart w:id="24" w:name="_Toc100512282"/>
      <w:r w:rsidRPr="00F84891">
        <w:rPr>
          <w:b/>
          <w:sz w:val="21"/>
          <w:szCs w:val="21"/>
        </w:rPr>
        <w:t xml:space="preserve">What models of care are currently being used to </w:t>
      </w:r>
      <w:r w:rsidR="00144CC9" w:rsidRPr="00F84891">
        <w:rPr>
          <w:b/>
          <w:sz w:val="21"/>
          <w:szCs w:val="21"/>
        </w:rPr>
        <w:t>deliver</w:t>
      </w:r>
      <w:r w:rsidR="000B0342" w:rsidRPr="00F84891">
        <w:rPr>
          <w:b/>
          <w:sz w:val="21"/>
          <w:szCs w:val="21"/>
        </w:rPr>
        <w:t xml:space="preserve"> tixagevimab and cilgavimab (Evusheld</w:t>
      </w:r>
      <w:r w:rsidR="000B0342" w:rsidRPr="00F84891">
        <w:rPr>
          <w:b/>
          <w:sz w:val="21"/>
          <w:szCs w:val="21"/>
          <w:vertAlign w:val="superscript"/>
        </w:rPr>
        <w:t>TM</w:t>
      </w:r>
      <w:r w:rsidR="000B0342" w:rsidRPr="00F84891">
        <w:rPr>
          <w:b/>
          <w:sz w:val="21"/>
          <w:szCs w:val="21"/>
        </w:rPr>
        <w:t xml:space="preserve">) </w:t>
      </w:r>
      <w:r w:rsidR="00144CC9" w:rsidRPr="00F84891">
        <w:rPr>
          <w:b/>
          <w:sz w:val="21"/>
          <w:szCs w:val="21"/>
        </w:rPr>
        <w:t>to</w:t>
      </w:r>
      <w:r w:rsidR="000B0342" w:rsidRPr="00F84891">
        <w:rPr>
          <w:b/>
          <w:sz w:val="21"/>
          <w:szCs w:val="21"/>
        </w:rPr>
        <w:t xml:space="preserve"> eligible cohorts?</w:t>
      </w:r>
      <w:bookmarkEnd w:id="23"/>
    </w:p>
    <w:p w14:paraId="0DD88A4B" w14:textId="70D268C7" w:rsidR="000B0342" w:rsidRPr="00F84891" w:rsidRDefault="00144CC9" w:rsidP="4FE3A3E1">
      <w:pPr>
        <w:pStyle w:val="Body"/>
      </w:pPr>
      <w:r w:rsidRPr="00F84891">
        <w:t xml:space="preserve">Inpatient and outpatient models of care are being used currently to deliver </w:t>
      </w:r>
      <w:r w:rsidR="00116041" w:rsidRPr="00F84891">
        <w:t>Evusheld</w:t>
      </w:r>
      <w:r w:rsidR="00116041" w:rsidRPr="00F84891">
        <w:rPr>
          <w:vertAlign w:val="superscript"/>
        </w:rPr>
        <w:t>TM</w:t>
      </w:r>
      <w:r w:rsidR="00116041" w:rsidRPr="00F84891">
        <w:t xml:space="preserve">. This includes </w:t>
      </w:r>
      <w:r w:rsidR="00C94CA0" w:rsidRPr="00F84891">
        <w:t>an opportun</w:t>
      </w:r>
      <w:r w:rsidR="004E43C5" w:rsidRPr="00F84891">
        <w:t xml:space="preserve">istic approach </w:t>
      </w:r>
      <w:r w:rsidR="00116041" w:rsidRPr="00F84891">
        <w:t>where patients are being offered treatment as part of a routine</w:t>
      </w:r>
      <w:r w:rsidR="000B0342" w:rsidRPr="00F84891">
        <w:t xml:space="preserve"> outpatient </w:t>
      </w:r>
      <w:r w:rsidR="00116041" w:rsidRPr="00F84891">
        <w:t>appointment</w:t>
      </w:r>
      <w:r w:rsidR="000B0342" w:rsidRPr="00F84891">
        <w:t xml:space="preserve"> or </w:t>
      </w:r>
      <w:r w:rsidR="00116041" w:rsidRPr="00F84891">
        <w:t xml:space="preserve">during an inpatient </w:t>
      </w:r>
      <w:r w:rsidR="00CF3CE8" w:rsidRPr="00F84891">
        <w:t>admission.</w:t>
      </w:r>
      <w:r w:rsidR="004E43C5" w:rsidRPr="00F84891">
        <w:t xml:space="preserve"> Other successful models have included “blitz clinics”</w:t>
      </w:r>
      <w:r w:rsidR="00DE7081" w:rsidRPr="00F84891">
        <w:t>, outpatient weekend clinics where eligible patients have been invited to attend an appointment,</w:t>
      </w:r>
      <w:r w:rsidR="004E43C5" w:rsidRPr="00F84891">
        <w:t xml:space="preserve"> to administer </w:t>
      </w:r>
      <w:r w:rsidR="004730BF" w:rsidRPr="00F84891">
        <w:t>doses of the medication to larger eligible cohorts at a single point in time.</w:t>
      </w:r>
      <w:r w:rsidR="00ED60FD" w:rsidRPr="00F84891">
        <w:t xml:space="preserve"> </w:t>
      </w:r>
    </w:p>
    <w:p w14:paraId="530A9E04" w14:textId="6F146050" w:rsidR="00DA59F0" w:rsidRPr="00F84891" w:rsidRDefault="00DA59F0" w:rsidP="4FE3A3E1">
      <w:pPr>
        <w:pStyle w:val="Body"/>
      </w:pPr>
      <w:r w:rsidRPr="00F84891">
        <w:lastRenderedPageBreak/>
        <w:t>The Victorian Department of Health (the department) acknowledges curren</w:t>
      </w:r>
      <w:r w:rsidR="00911886" w:rsidRPr="00F84891">
        <w:t>t</w:t>
      </w:r>
      <w:r w:rsidRPr="00F84891">
        <w:t xml:space="preserve"> resourcing constraints and administration barriers within health services. The department continues to consult with sector representatives to improve access and prescribing pathways. </w:t>
      </w:r>
    </w:p>
    <w:p w14:paraId="52C443B5" w14:textId="3B1ECF79" w:rsidR="0036549E" w:rsidRPr="00DB03BF" w:rsidRDefault="0036549E" w:rsidP="0036549E">
      <w:pPr>
        <w:pStyle w:val="Heading1"/>
        <w:rPr>
          <w:b/>
          <w:sz w:val="21"/>
          <w:szCs w:val="21"/>
        </w:rPr>
      </w:pPr>
      <w:bookmarkStart w:id="25" w:name="_Toc105753187"/>
      <w:r w:rsidRPr="00DB03BF">
        <w:rPr>
          <w:b/>
          <w:sz w:val="21"/>
          <w:szCs w:val="21"/>
        </w:rPr>
        <w:t>How is the data going to be managed?</w:t>
      </w:r>
      <w:bookmarkEnd w:id="24"/>
      <w:bookmarkEnd w:id="25"/>
    </w:p>
    <w:p w14:paraId="4E665DB4" w14:textId="6A58EBAF" w:rsidR="0036549E" w:rsidRPr="00DB03BF" w:rsidRDefault="0036549E" w:rsidP="0036549E">
      <w:pPr>
        <w:pStyle w:val="Introtext"/>
        <w:rPr>
          <w:color w:val="auto"/>
          <w:sz w:val="21"/>
          <w:szCs w:val="21"/>
        </w:rPr>
      </w:pPr>
      <w:r w:rsidRPr="45C472FD">
        <w:rPr>
          <w:color w:val="auto"/>
          <w:sz w:val="21"/>
          <w:szCs w:val="21"/>
        </w:rPr>
        <w:t xml:space="preserve">Health services administering </w:t>
      </w:r>
      <w:r w:rsidR="00EB7E6C" w:rsidRPr="45C472FD">
        <w:rPr>
          <w:color w:val="auto"/>
          <w:sz w:val="21"/>
          <w:szCs w:val="21"/>
        </w:rPr>
        <w:t>tixagevimab and cilgavimab (Evusheld</w:t>
      </w:r>
      <w:r w:rsidR="00EB7E6C" w:rsidRPr="45C472FD">
        <w:rPr>
          <w:color w:val="auto"/>
          <w:sz w:val="21"/>
          <w:szCs w:val="21"/>
          <w:vertAlign w:val="superscript"/>
        </w:rPr>
        <w:t>TM</w:t>
      </w:r>
      <w:r w:rsidR="00EB7E6C" w:rsidRPr="45C472FD">
        <w:rPr>
          <w:color w:val="auto"/>
          <w:sz w:val="21"/>
          <w:szCs w:val="21"/>
        </w:rPr>
        <w:t>)</w:t>
      </w:r>
      <w:r w:rsidR="6ACE4DE6" w:rsidRPr="45C472FD">
        <w:rPr>
          <w:color w:val="auto"/>
          <w:sz w:val="21"/>
          <w:szCs w:val="21"/>
        </w:rPr>
        <w:t xml:space="preserve"> will be responsible for patient record documentation as per standard process for all clinical treatment</w:t>
      </w:r>
      <w:r w:rsidR="72E8A264" w:rsidRPr="45C472FD">
        <w:rPr>
          <w:color w:val="auto"/>
          <w:sz w:val="21"/>
          <w:szCs w:val="21"/>
        </w:rPr>
        <w:t xml:space="preserve">. Limited, deidentified patient information is collected as part of the request to access process which allows the department to monitor stock use and informs reporting </w:t>
      </w:r>
      <w:r w:rsidR="0FBCCBC7" w:rsidRPr="45C472FD">
        <w:rPr>
          <w:color w:val="auto"/>
          <w:sz w:val="21"/>
          <w:szCs w:val="21"/>
        </w:rPr>
        <w:t>obligations back to the Commonwealth. The department will</w:t>
      </w:r>
      <w:r w:rsidR="007D63C6" w:rsidRPr="45C472FD">
        <w:rPr>
          <w:color w:val="auto"/>
          <w:sz w:val="21"/>
          <w:szCs w:val="21"/>
        </w:rPr>
        <w:t xml:space="preserve"> </w:t>
      </w:r>
      <w:r w:rsidR="45C472FD" w:rsidRPr="45C472FD">
        <w:rPr>
          <w:color w:val="auto"/>
          <w:sz w:val="21"/>
          <w:szCs w:val="21"/>
        </w:rPr>
        <w:t xml:space="preserve">not be developing a central register for information such as </w:t>
      </w:r>
      <w:r w:rsidR="007D63C6" w:rsidRPr="45C472FD">
        <w:rPr>
          <w:color w:val="auto"/>
          <w:sz w:val="21"/>
          <w:szCs w:val="21"/>
        </w:rPr>
        <w:t>patient demographics, adverse events and other relevant clinical information</w:t>
      </w:r>
      <w:r w:rsidR="00DC0BA5" w:rsidRPr="45C472FD">
        <w:rPr>
          <w:color w:val="auto"/>
          <w:sz w:val="21"/>
          <w:szCs w:val="21"/>
        </w:rPr>
        <w:t xml:space="preserve"> for either early </w:t>
      </w:r>
      <w:r w:rsidR="00BB2AF9" w:rsidRPr="45C472FD">
        <w:rPr>
          <w:color w:val="auto"/>
          <w:sz w:val="21"/>
          <w:szCs w:val="21"/>
        </w:rPr>
        <w:t>t</w:t>
      </w:r>
      <w:r w:rsidR="00DC0BA5" w:rsidRPr="45C472FD">
        <w:rPr>
          <w:color w:val="auto"/>
          <w:sz w:val="21"/>
          <w:szCs w:val="21"/>
        </w:rPr>
        <w:t xml:space="preserve">herapies treatment </w:t>
      </w:r>
      <w:r w:rsidR="00BB2AF9" w:rsidRPr="45C472FD">
        <w:rPr>
          <w:color w:val="auto"/>
          <w:sz w:val="21"/>
          <w:szCs w:val="21"/>
        </w:rPr>
        <w:t xml:space="preserve">or pre-exposure prophylaxis </w:t>
      </w:r>
      <w:r w:rsidR="00DC0BA5" w:rsidRPr="45C472FD">
        <w:rPr>
          <w:color w:val="auto"/>
          <w:sz w:val="21"/>
          <w:szCs w:val="21"/>
        </w:rPr>
        <w:t>for COVID-19.</w:t>
      </w:r>
      <w:r w:rsidR="00A10804" w:rsidRPr="45C472FD">
        <w:rPr>
          <w:color w:val="auto"/>
          <w:sz w:val="21"/>
          <w:szCs w:val="21"/>
        </w:rPr>
        <w:t xml:space="preserve"> </w:t>
      </w:r>
      <w:r w:rsidR="00B77560" w:rsidRPr="45C472FD">
        <w:rPr>
          <w:color w:val="auto"/>
          <w:sz w:val="21"/>
          <w:szCs w:val="21"/>
        </w:rPr>
        <w:t xml:space="preserve">As per the </w:t>
      </w:r>
      <w:hyperlink r:id="rId29">
        <w:r w:rsidR="00B77560" w:rsidRPr="45C472FD">
          <w:rPr>
            <w:rStyle w:val="Hyperlink"/>
            <w:sz w:val="21"/>
            <w:szCs w:val="21"/>
          </w:rPr>
          <w:t>Product Information</w:t>
        </w:r>
      </w:hyperlink>
      <w:r w:rsidR="00B77560" w:rsidRPr="45C472FD">
        <w:rPr>
          <w:color w:val="auto"/>
          <w:sz w:val="21"/>
          <w:szCs w:val="21"/>
        </w:rPr>
        <w:t xml:space="preserve"> &lt;</w:t>
      </w:r>
      <w:hyperlink r:id="rId30">
        <w:r w:rsidR="00B77560" w:rsidRPr="45C472FD">
          <w:rPr>
            <w:rStyle w:val="Hyperlink"/>
            <w:sz w:val="21"/>
            <w:szCs w:val="21"/>
          </w:rPr>
          <w:t>https://www.tga.gov.au/sites/default/files/evusheld-pi.pdf</w:t>
        </w:r>
      </w:hyperlink>
      <w:r w:rsidR="00B77560" w:rsidRPr="45C472FD">
        <w:rPr>
          <w:color w:val="auto"/>
          <w:sz w:val="21"/>
          <w:szCs w:val="21"/>
        </w:rPr>
        <w:t>&gt;</w:t>
      </w:r>
      <w:r w:rsidR="000E0751" w:rsidRPr="45C472FD">
        <w:rPr>
          <w:color w:val="auto"/>
          <w:sz w:val="21"/>
          <w:szCs w:val="21"/>
        </w:rPr>
        <w:t>, healthcare professionals</w:t>
      </w:r>
      <w:r w:rsidR="008F4753" w:rsidRPr="45C472FD">
        <w:rPr>
          <w:color w:val="auto"/>
          <w:sz w:val="21"/>
          <w:szCs w:val="21"/>
        </w:rPr>
        <w:t xml:space="preserve"> should report any suspected adverse reactions at </w:t>
      </w:r>
      <w:hyperlink r:id="rId31">
        <w:r w:rsidR="008F4753" w:rsidRPr="45C472FD">
          <w:rPr>
            <w:rStyle w:val="Hyperlink"/>
            <w:sz w:val="21"/>
            <w:szCs w:val="21"/>
          </w:rPr>
          <w:t>www.tga.gov.au/reporting-problems</w:t>
        </w:r>
      </w:hyperlink>
      <w:r w:rsidR="008F4753" w:rsidRPr="45C472FD">
        <w:rPr>
          <w:color w:val="auto"/>
          <w:sz w:val="21"/>
          <w:szCs w:val="21"/>
        </w:rPr>
        <w:t xml:space="preserve">. </w:t>
      </w:r>
    </w:p>
    <w:p w14:paraId="67DB6756" w14:textId="737155EB" w:rsidR="00C1329B" w:rsidRPr="000545F2" w:rsidRDefault="00C1329B" w:rsidP="0036549E">
      <w:pPr>
        <w:pStyle w:val="Introtext"/>
        <w:rPr>
          <w:szCs w:val="24"/>
        </w:rPr>
      </w:pPr>
    </w:p>
    <w:tbl>
      <w:tblPr>
        <w:tblStyle w:val="TableGrid"/>
        <w:tblpPr w:leftFromText="180" w:rightFromText="180" w:vertAnchor="text" w:horzAnchor="margin" w:tblpXSpec="center" w:tblpY="54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849"/>
      </w:tblGrid>
      <w:tr w:rsidR="007B0830" w14:paraId="17B0B2F2" w14:textId="77777777" w:rsidTr="007B0830">
        <w:trPr>
          <w:trHeight w:val="234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1CD2" w14:textId="34041AE9" w:rsidR="007B0830" w:rsidRDefault="007B0830">
            <w:pPr>
              <w:pStyle w:val="Accessibilitypara"/>
              <w:rPr>
                <w:rFonts w:cs="Arial"/>
              </w:rPr>
            </w:pPr>
            <w:r>
              <w:rPr>
                <w:rFonts w:cs="Arial"/>
              </w:rPr>
              <w:t xml:space="preserve">To receive this document in another format, phone 1300 650 172, using the National Relay Service 13 36 77 if required, or </w:t>
            </w:r>
            <w:hyperlink r:id="rId32" w:history="1">
              <w:r>
                <w:rPr>
                  <w:rStyle w:val="Hyperlink"/>
                  <w:rFonts w:cs="Arial"/>
                </w:rPr>
                <w:t>email COVID Positive Pathways</w:t>
              </w:r>
            </w:hyperlink>
            <w:r>
              <w:rPr>
                <w:rFonts w:cs="Arial"/>
              </w:rPr>
              <w:t xml:space="preserve"> &lt;</w:t>
            </w:r>
            <w:r w:rsidR="00766390" w:rsidRPr="00990039">
              <w:rPr>
                <w:rFonts w:cs="Arial"/>
              </w:rPr>
              <w:t>mailto:COVID+pathways@health.vic.gov.au</w:t>
            </w:r>
            <w:r>
              <w:rPr>
                <w:rFonts w:cs="Arial"/>
              </w:rPr>
              <w:t>&gt;</w:t>
            </w:r>
            <w:r>
              <w:rPr>
                <w:rFonts w:cs="Arial"/>
                <w:color w:val="004C97"/>
              </w:rPr>
              <w:t>.</w:t>
            </w:r>
          </w:p>
          <w:p w14:paraId="0B6D8014" w14:textId="77777777" w:rsidR="007B0830" w:rsidRDefault="007B0830">
            <w:pPr>
              <w:pStyle w:val="Imprint"/>
              <w:rPr>
                <w:rFonts w:cs="Arial"/>
              </w:rPr>
            </w:pPr>
            <w:r>
              <w:rPr>
                <w:rFonts w:cs="Arial"/>
              </w:rPr>
              <w:t>Authorised and published by the Victorian Government, 1 Treasury Place, Melbourne.</w:t>
            </w:r>
          </w:p>
          <w:p w14:paraId="12B97B79" w14:textId="3494ECEA" w:rsidR="007B0830" w:rsidRDefault="007B0830">
            <w:pPr>
              <w:pStyle w:val="Imprint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© State of Victoria, Australia, Department of Health, </w:t>
            </w:r>
            <w:r w:rsidR="3C8F8B1C" w:rsidRPr="13BB8C09">
              <w:rPr>
                <w:rFonts w:cs="Arial"/>
              </w:rPr>
              <w:t>June</w:t>
            </w:r>
            <w:r w:rsidRPr="13BB8C0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2022.</w:t>
            </w:r>
          </w:p>
          <w:p w14:paraId="02D7464D" w14:textId="0F30EB9B" w:rsidR="00766390" w:rsidRDefault="00766390" w:rsidP="00766390">
            <w:pPr>
              <w:pStyle w:val="Imprint"/>
              <w:contextualSpacing/>
              <w:rPr>
                <w:rFonts w:cs="Arial"/>
              </w:rPr>
            </w:pPr>
            <w:r w:rsidRPr="003E64F4">
              <w:t xml:space="preserve">Available at: </w:t>
            </w:r>
            <w:hyperlink r:id="rId33" w:history="1">
              <w:r w:rsidRPr="00766390">
                <w:rPr>
                  <w:rStyle w:val="Hyperlink"/>
                </w:rPr>
                <w:t>health.vic.gov.au – Medication for patients with COVID-19</w:t>
              </w:r>
            </w:hyperlink>
            <w:r w:rsidRPr="003E64F4">
              <w:t xml:space="preserve"> </w:t>
            </w:r>
            <w:r w:rsidRPr="00766390">
              <w:t>&lt;</w:t>
            </w:r>
            <w:r w:rsidRPr="00766390">
              <w:rPr>
                <w:rStyle w:val="Hyperlink"/>
              </w:rPr>
              <w:t>https://www.health.vic.gov.au/covid-19/vaccines-and-medications-in-patients-with-covid-19</w:t>
            </w:r>
            <w:r w:rsidRPr="00766390">
              <w:t>&gt;</w:t>
            </w:r>
          </w:p>
        </w:tc>
      </w:tr>
    </w:tbl>
    <w:p w14:paraId="727BEE59" w14:textId="77777777" w:rsidR="0036549E" w:rsidRDefault="0036549E" w:rsidP="0036549E">
      <w:pPr>
        <w:pStyle w:val="Quotetext"/>
        <w:ind w:left="0"/>
        <w:rPr>
          <w:szCs w:val="21"/>
        </w:rPr>
      </w:pPr>
    </w:p>
    <w:p w14:paraId="0F907FC4" w14:textId="77777777" w:rsidR="00162CA9" w:rsidRDefault="00162CA9" w:rsidP="0036549E">
      <w:pPr>
        <w:pStyle w:val="Heading1"/>
      </w:pP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0F94" w14:textId="77777777" w:rsidR="00C52D47" w:rsidRDefault="00C52D47">
      <w:r>
        <w:separator/>
      </w:r>
    </w:p>
  </w:endnote>
  <w:endnote w:type="continuationSeparator" w:id="0">
    <w:p w14:paraId="3BC62B3B" w14:textId="77777777" w:rsidR="00C52D47" w:rsidRDefault="00C52D47">
      <w:r>
        <w:continuationSeparator/>
      </w:r>
    </w:p>
  </w:endnote>
  <w:endnote w:type="continuationNotice" w:id="1">
    <w:p w14:paraId="78342607" w14:textId="77777777" w:rsidR="00C52D47" w:rsidRDefault="00C52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4465" w14:textId="77777777" w:rsidR="00990039" w:rsidRDefault="00990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70D" w14:textId="77777777" w:rsidR="00E261B3" w:rsidRPr="00F65AA9" w:rsidRDefault="0072251A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6432" behindDoc="1" locked="1" layoutInCell="1" allowOverlap="1" wp14:anchorId="1F9DF3AE" wp14:editId="64CE410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8E609C2" wp14:editId="2C114C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1248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609C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031248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AB6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A8939E" wp14:editId="1433DAF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DD21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8939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17DD21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CA9" w14:textId="42F3B0BC" w:rsidR="00373890" w:rsidRPr="00F65AA9" w:rsidRDefault="00B07FF7" w:rsidP="00F84FA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9CFE74E" wp14:editId="689A26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BBF01" w14:textId="7F8F25A1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FE74E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B7BBF01" w14:textId="7F8F25A1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F2DB" w14:textId="77777777" w:rsidR="00C52D47" w:rsidRDefault="00C52D47" w:rsidP="002862F1">
      <w:pPr>
        <w:spacing w:before="120"/>
      </w:pPr>
      <w:r>
        <w:separator/>
      </w:r>
    </w:p>
  </w:footnote>
  <w:footnote w:type="continuationSeparator" w:id="0">
    <w:p w14:paraId="72FE4E76" w14:textId="77777777" w:rsidR="00C52D47" w:rsidRDefault="00C52D47">
      <w:r>
        <w:continuationSeparator/>
      </w:r>
    </w:p>
  </w:footnote>
  <w:footnote w:type="continuationNotice" w:id="1">
    <w:p w14:paraId="3AEF7DA3" w14:textId="77777777" w:rsidR="00C52D47" w:rsidRDefault="00C52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27B7" w14:textId="77777777" w:rsidR="00990039" w:rsidRDefault="00990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89C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D668" w14:textId="77777777" w:rsidR="00990039" w:rsidRDefault="009900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993A" w14:textId="3CA671D0" w:rsidR="00E261B3" w:rsidRPr="0051568D" w:rsidRDefault="009B5231" w:rsidP="0011701A">
    <w:pPr>
      <w:pStyle w:val="Header"/>
    </w:pPr>
    <w:r>
      <w:t>Pre-exposure prophylactic treatment for COVID-19: tixagevimab and cilgavimab (Evusheld</w:t>
    </w:r>
    <w:r w:rsidRPr="538879AC">
      <w:rPr>
        <w:vertAlign w:val="superscript"/>
      </w:rPr>
      <w:t>TM</w:t>
    </w:r>
    <w:r>
      <w:t>) – Frequently asked questions</w:t>
    </w:r>
    <w:r w:rsidR="008C3697">
      <w:ptab w:relativeTo="margin" w:alignment="right" w:leader="none"/>
    </w:r>
    <w:r w:rsidR="008C3697" w:rsidRPr="007E1227">
      <w:rPr>
        <w:b w:val="0"/>
        <w:color w:val="2B579A"/>
        <w:shd w:val="clear" w:color="auto" w:fill="E6E6E6"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color w:val="2B579A"/>
        <w:shd w:val="clear" w:color="auto" w:fill="E6E6E6"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301F3"/>
    <w:multiLevelType w:val="hybridMultilevel"/>
    <w:tmpl w:val="7F5A360A"/>
    <w:lvl w:ilvl="0" w:tplc="416A14C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2A08"/>
    <w:multiLevelType w:val="hybridMultilevel"/>
    <w:tmpl w:val="79C05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C765E"/>
    <w:multiLevelType w:val="hybridMultilevel"/>
    <w:tmpl w:val="8E62C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B796ECD"/>
    <w:multiLevelType w:val="multilevel"/>
    <w:tmpl w:val="093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CB1290"/>
    <w:multiLevelType w:val="hybridMultilevel"/>
    <w:tmpl w:val="B7387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4F64B1"/>
    <w:multiLevelType w:val="hybridMultilevel"/>
    <w:tmpl w:val="68388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C4ADF"/>
    <w:multiLevelType w:val="hybridMultilevel"/>
    <w:tmpl w:val="158E3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397D78"/>
    <w:multiLevelType w:val="hybridMultilevel"/>
    <w:tmpl w:val="5E3EF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0DF6"/>
    <w:multiLevelType w:val="hybridMultilevel"/>
    <w:tmpl w:val="BEA68F94"/>
    <w:lvl w:ilvl="0" w:tplc="B53689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22"/>
  </w:num>
  <w:num w:numId="27">
    <w:abstractNumId w:val="11"/>
  </w:num>
  <w:num w:numId="28">
    <w:abstractNumId w:val="3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4"/>
  </w:num>
  <w:num w:numId="42">
    <w:abstractNumId w:val="16"/>
  </w:num>
  <w:num w:numId="43">
    <w:abstractNumId w:val="35"/>
  </w:num>
  <w:num w:numId="44">
    <w:abstractNumId w:val="17"/>
  </w:num>
  <w:num w:numId="45">
    <w:abstractNumId w:val="18"/>
  </w:num>
  <w:num w:numId="46">
    <w:abstractNumId w:val="28"/>
  </w:num>
  <w:num w:numId="47">
    <w:abstractNumId w:val="25"/>
  </w:num>
  <w:num w:numId="4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D"/>
    <w:rsid w:val="00000719"/>
    <w:rsid w:val="00003403"/>
    <w:rsid w:val="00005347"/>
    <w:rsid w:val="00006DEC"/>
    <w:rsid w:val="0000705F"/>
    <w:rsid w:val="000072B6"/>
    <w:rsid w:val="0001021B"/>
    <w:rsid w:val="00010CC6"/>
    <w:rsid w:val="00011D89"/>
    <w:rsid w:val="000124C0"/>
    <w:rsid w:val="000154FD"/>
    <w:rsid w:val="00016FBF"/>
    <w:rsid w:val="00017819"/>
    <w:rsid w:val="00022271"/>
    <w:rsid w:val="000235E8"/>
    <w:rsid w:val="00024B15"/>
    <w:rsid w:val="00024D89"/>
    <w:rsid w:val="00024F28"/>
    <w:rsid w:val="000250B6"/>
    <w:rsid w:val="00025CA1"/>
    <w:rsid w:val="00033D81"/>
    <w:rsid w:val="00037366"/>
    <w:rsid w:val="0004018A"/>
    <w:rsid w:val="00041BF0"/>
    <w:rsid w:val="00042C8A"/>
    <w:rsid w:val="0004536B"/>
    <w:rsid w:val="00045F22"/>
    <w:rsid w:val="00046B68"/>
    <w:rsid w:val="000527DD"/>
    <w:rsid w:val="0005569B"/>
    <w:rsid w:val="000578B2"/>
    <w:rsid w:val="00057F2C"/>
    <w:rsid w:val="00060959"/>
    <w:rsid w:val="00060C8F"/>
    <w:rsid w:val="0006298A"/>
    <w:rsid w:val="00062A92"/>
    <w:rsid w:val="000663CD"/>
    <w:rsid w:val="00070219"/>
    <w:rsid w:val="000733FE"/>
    <w:rsid w:val="00074219"/>
    <w:rsid w:val="00074ED5"/>
    <w:rsid w:val="000762D0"/>
    <w:rsid w:val="00080E14"/>
    <w:rsid w:val="000835C6"/>
    <w:rsid w:val="0008508E"/>
    <w:rsid w:val="00087951"/>
    <w:rsid w:val="00087A0E"/>
    <w:rsid w:val="0009113B"/>
    <w:rsid w:val="00093402"/>
    <w:rsid w:val="000936BD"/>
    <w:rsid w:val="00094DA3"/>
    <w:rsid w:val="000961F4"/>
    <w:rsid w:val="0009645A"/>
    <w:rsid w:val="00096CD1"/>
    <w:rsid w:val="000A012C"/>
    <w:rsid w:val="000A0EB9"/>
    <w:rsid w:val="000A186C"/>
    <w:rsid w:val="000A1EA4"/>
    <w:rsid w:val="000A2476"/>
    <w:rsid w:val="000A36DF"/>
    <w:rsid w:val="000A641A"/>
    <w:rsid w:val="000B0342"/>
    <w:rsid w:val="000B3EDB"/>
    <w:rsid w:val="000B435A"/>
    <w:rsid w:val="000B543D"/>
    <w:rsid w:val="000B55F9"/>
    <w:rsid w:val="000B5BF7"/>
    <w:rsid w:val="000B6BC8"/>
    <w:rsid w:val="000C0303"/>
    <w:rsid w:val="000C0357"/>
    <w:rsid w:val="000C42EA"/>
    <w:rsid w:val="000C4540"/>
    <w:rsid w:val="000C4546"/>
    <w:rsid w:val="000D1242"/>
    <w:rsid w:val="000E0751"/>
    <w:rsid w:val="000E0970"/>
    <w:rsid w:val="000E1910"/>
    <w:rsid w:val="000E3170"/>
    <w:rsid w:val="000E3CC7"/>
    <w:rsid w:val="000E6BD4"/>
    <w:rsid w:val="000E6D6D"/>
    <w:rsid w:val="000F1F1E"/>
    <w:rsid w:val="000F2259"/>
    <w:rsid w:val="000F2DDA"/>
    <w:rsid w:val="000F5213"/>
    <w:rsid w:val="000F61EE"/>
    <w:rsid w:val="00101001"/>
    <w:rsid w:val="00103276"/>
    <w:rsid w:val="0010392D"/>
    <w:rsid w:val="0010447F"/>
    <w:rsid w:val="00104FE3"/>
    <w:rsid w:val="0010714F"/>
    <w:rsid w:val="001106CE"/>
    <w:rsid w:val="001120C5"/>
    <w:rsid w:val="0011507B"/>
    <w:rsid w:val="00115BB3"/>
    <w:rsid w:val="00116041"/>
    <w:rsid w:val="0011701A"/>
    <w:rsid w:val="00117C71"/>
    <w:rsid w:val="00120BD3"/>
    <w:rsid w:val="00122FEA"/>
    <w:rsid w:val="001232BD"/>
    <w:rsid w:val="0012420F"/>
    <w:rsid w:val="00124ED5"/>
    <w:rsid w:val="001256D5"/>
    <w:rsid w:val="00126111"/>
    <w:rsid w:val="001276FA"/>
    <w:rsid w:val="00133478"/>
    <w:rsid w:val="00134C14"/>
    <w:rsid w:val="001413DF"/>
    <w:rsid w:val="0014255B"/>
    <w:rsid w:val="001447B3"/>
    <w:rsid w:val="00144CC9"/>
    <w:rsid w:val="00147B36"/>
    <w:rsid w:val="00152073"/>
    <w:rsid w:val="00152904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40A"/>
    <w:rsid w:val="001979FF"/>
    <w:rsid w:val="00197B17"/>
    <w:rsid w:val="001A1950"/>
    <w:rsid w:val="001A1C54"/>
    <w:rsid w:val="001A3ACE"/>
    <w:rsid w:val="001B058F"/>
    <w:rsid w:val="001B2468"/>
    <w:rsid w:val="001B4B7E"/>
    <w:rsid w:val="001B688C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D7B15"/>
    <w:rsid w:val="001E0C5D"/>
    <w:rsid w:val="001E2A36"/>
    <w:rsid w:val="001E30F2"/>
    <w:rsid w:val="001E44DF"/>
    <w:rsid w:val="001E5058"/>
    <w:rsid w:val="001E68A5"/>
    <w:rsid w:val="001E6BB0"/>
    <w:rsid w:val="001E7282"/>
    <w:rsid w:val="001F16E8"/>
    <w:rsid w:val="001F3826"/>
    <w:rsid w:val="001F6E46"/>
    <w:rsid w:val="001F7186"/>
    <w:rsid w:val="001F7C91"/>
    <w:rsid w:val="00200176"/>
    <w:rsid w:val="00202AFA"/>
    <w:rsid w:val="00203003"/>
    <w:rsid w:val="002033B7"/>
    <w:rsid w:val="00206463"/>
    <w:rsid w:val="00206F2F"/>
    <w:rsid w:val="0020B69A"/>
    <w:rsid w:val="0021053D"/>
    <w:rsid w:val="00210A92"/>
    <w:rsid w:val="002130A6"/>
    <w:rsid w:val="00216C03"/>
    <w:rsid w:val="00220C04"/>
    <w:rsid w:val="00220E67"/>
    <w:rsid w:val="0022278D"/>
    <w:rsid w:val="00222CA1"/>
    <w:rsid w:val="0022701F"/>
    <w:rsid w:val="00227C68"/>
    <w:rsid w:val="002305CA"/>
    <w:rsid w:val="002333F5"/>
    <w:rsid w:val="00233724"/>
    <w:rsid w:val="002365B4"/>
    <w:rsid w:val="002377F2"/>
    <w:rsid w:val="002432E1"/>
    <w:rsid w:val="00246207"/>
    <w:rsid w:val="00246C5E"/>
    <w:rsid w:val="00250960"/>
    <w:rsid w:val="00251343"/>
    <w:rsid w:val="00252635"/>
    <w:rsid w:val="0025263F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22C4"/>
    <w:rsid w:val="00273BAC"/>
    <w:rsid w:val="002763B3"/>
    <w:rsid w:val="002774DC"/>
    <w:rsid w:val="00277E83"/>
    <w:rsid w:val="002802E3"/>
    <w:rsid w:val="0028213D"/>
    <w:rsid w:val="002862F1"/>
    <w:rsid w:val="00291373"/>
    <w:rsid w:val="00291424"/>
    <w:rsid w:val="002955B7"/>
    <w:rsid w:val="0029597D"/>
    <w:rsid w:val="002962C3"/>
    <w:rsid w:val="0029752B"/>
    <w:rsid w:val="002A0A9C"/>
    <w:rsid w:val="002A483C"/>
    <w:rsid w:val="002B0932"/>
    <w:rsid w:val="002B0C7C"/>
    <w:rsid w:val="002B1729"/>
    <w:rsid w:val="002B36C7"/>
    <w:rsid w:val="002B4DD4"/>
    <w:rsid w:val="002B5277"/>
    <w:rsid w:val="002B5375"/>
    <w:rsid w:val="002B77C1"/>
    <w:rsid w:val="002C039D"/>
    <w:rsid w:val="002C0ED7"/>
    <w:rsid w:val="002C25C0"/>
    <w:rsid w:val="002C2728"/>
    <w:rsid w:val="002C5F12"/>
    <w:rsid w:val="002D1E0D"/>
    <w:rsid w:val="002D5006"/>
    <w:rsid w:val="002D7088"/>
    <w:rsid w:val="002E01D0"/>
    <w:rsid w:val="002E161D"/>
    <w:rsid w:val="002E1B8F"/>
    <w:rsid w:val="002E3100"/>
    <w:rsid w:val="002E6C95"/>
    <w:rsid w:val="002E7C36"/>
    <w:rsid w:val="002F0107"/>
    <w:rsid w:val="002F3D32"/>
    <w:rsid w:val="002F5F31"/>
    <w:rsid w:val="002F5F46"/>
    <w:rsid w:val="002F7155"/>
    <w:rsid w:val="00302216"/>
    <w:rsid w:val="00303E53"/>
    <w:rsid w:val="00305CC1"/>
    <w:rsid w:val="00306E5F"/>
    <w:rsid w:val="0030731F"/>
    <w:rsid w:val="00307E14"/>
    <w:rsid w:val="003110DC"/>
    <w:rsid w:val="003122BC"/>
    <w:rsid w:val="003137E7"/>
    <w:rsid w:val="00314054"/>
    <w:rsid w:val="00315BD8"/>
    <w:rsid w:val="00316F27"/>
    <w:rsid w:val="003214F1"/>
    <w:rsid w:val="00322E4B"/>
    <w:rsid w:val="003243F6"/>
    <w:rsid w:val="0032678C"/>
    <w:rsid w:val="00327870"/>
    <w:rsid w:val="003309B4"/>
    <w:rsid w:val="0033259D"/>
    <w:rsid w:val="003333D2"/>
    <w:rsid w:val="00333CBE"/>
    <w:rsid w:val="003406C6"/>
    <w:rsid w:val="003418CC"/>
    <w:rsid w:val="003459BD"/>
    <w:rsid w:val="00350D38"/>
    <w:rsid w:val="00351B36"/>
    <w:rsid w:val="00352158"/>
    <w:rsid w:val="00355EA3"/>
    <w:rsid w:val="00357B4E"/>
    <w:rsid w:val="0036310C"/>
    <w:rsid w:val="00363876"/>
    <w:rsid w:val="0036549E"/>
    <w:rsid w:val="003714F1"/>
    <w:rsid w:val="003716FD"/>
    <w:rsid w:val="0037204B"/>
    <w:rsid w:val="00373890"/>
    <w:rsid w:val="003744CF"/>
    <w:rsid w:val="00374717"/>
    <w:rsid w:val="003761BC"/>
    <w:rsid w:val="0037676C"/>
    <w:rsid w:val="00381043"/>
    <w:rsid w:val="00381874"/>
    <w:rsid w:val="003829E5"/>
    <w:rsid w:val="00386109"/>
    <w:rsid w:val="00386322"/>
    <w:rsid w:val="0038664E"/>
    <w:rsid w:val="00386944"/>
    <w:rsid w:val="00387225"/>
    <w:rsid w:val="00394C74"/>
    <w:rsid w:val="00394E60"/>
    <w:rsid w:val="003956CC"/>
    <w:rsid w:val="00395C9A"/>
    <w:rsid w:val="003A0853"/>
    <w:rsid w:val="003A6AF1"/>
    <w:rsid w:val="003A6B67"/>
    <w:rsid w:val="003A6E50"/>
    <w:rsid w:val="003B13B6"/>
    <w:rsid w:val="003B14FB"/>
    <w:rsid w:val="003B15E6"/>
    <w:rsid w:val="003B408A"/>
    <w:rsid w:val="003B5733"/>
    <w:rsid w:val="003B57DE"/>
    <w:rsid w:val="003C0872"/>
    <w:rsid w:val="003C08A2"/>
    <w:rsid w:val="003C1DD5"/>
    <w:rsid w:val="003C2045"/>
    <w:rsid w:val="003C280E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F9D"/>
    <w:rsid w:val="003E25E7"/>
    <w:rsid w:val="003E375C"/>
    <w:rsid w:val="003E4086"/>
    <w:rsid w:val="003E40D7"/>
    <w:rsid w:val="003E639E"/>
    <w:rsid w:val="003E71E5"/>
    <w:rsid w:val="003F0445"/>
    <w:rsid w:val="003F0CF0"/>
    <w:rsid w:val="003F14B1"/>
    <w:rsid w:val="003F20E4"/>
    <w:rsid w:val="003F2B20"/>
    <w:rsid w:val="003F3289"/>
    <w:rsid w:val="003F5CB9"/>
    <w:rsid w:val="004013C7"/>
    <w:rsid w:val="00401E32"/>
    <w:rsid w:val="00401FCF"/>
    <w:rsid w:val="0040248F"/>
    <w:rsid w:val="004027D5"/>
    <w:rsid w:val="00406285"/>
    <w:rsid w:val="004112C6"/>
    <w:rsid w:val="00413A5D"/>
    <w:rsid w:val="004148F9"/>
    <w:rsid w:val="00414D4A"/>
    <w:rsid w:val="0042084E"/>
    <w:rsid w:val="00421879"/>
    <w:rsid w:val="00421EEF"/>
    <w:rsid w:val="00424D65"/>
    <w:rsid w:val="004418DC"/>
    <w:rsid w:val="00442C6C"/>
    <w:rsid w:val="00443CBE"/>
    <w:rsid w:val="00443E8A"/>
    <w:rsid w:val="00444048"/>
    <w:rsid w:val="004441BC"/>
    <w:rsid w:val="004468B4"/>
    <w:rsid w:val="0045192C"/>
    <w:rsid w:val="0045230A"/>
    <w:rsid w:val="00452A11"/>
    <w:rsid w:val="00454AD0"/>
    <w:rsid w:val="00457337"/>
    <w:rsid w:val="00462E3D"/>
    <w:rsid w:val="00463035"/>
    <w:rsid w:val="00466E79"/>
    <w:rsid w:val="00470D7D"/>
    <w:rsid w:val="004730BF"/>
    <w:rsid w:val="0047372D"/>
    <w:rsid w:val="00473BA3"/>
    <w:rsid w:val="004743DD"/>
    <w:rsid w:val="00474CEA"/>
    <w:rsid w:val="004764B7"/>
    <w:rsid w:val="00483968"/>
    <w:rsid w:val="00484F86"/>
    <w:rsid w:val="00490746"/>
    <w:rsid w:val="00490852"/>
    <w:rsid w:val="00491C9C"/>
    <w:rsid w:val="00491EC1"/>
    <w:rsid w:val="00492F30"/>
    <w:rsid w:val="004946F4"/>
    <w:rsid w:val="0049487E"/>
    <w:rsid w:val="004A1084"/>
    <w:rsid w:val="004A160D"/>
    <w:rsid w:val="004A32C9"/>
    <w:rsid w:val="004A3E81"/>
    <w:rsid w:val="004A4195"/>
    <w:rsid w:val="004A5C62"/>
    <w:rsid w:val="004A5CE5"/>
    <w:rsid w:val="004A707D"/>
    <w:rsid w:val="004C1CD8"/>
    <w:rsid w:val="004C20BF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BB0"/>
    <w:rsid w:val="004E43C5"/>
    <w:rsid w:val="004E4649"/>
    <w:rsid w:val="004E5C2B"/>
    <w:rsid w:val="004F00DD"/>
    <w:rsid w:val="004F1819"/>
    <w:rsid w:val="004F2133"/>
    <w:rsid w:val="004F5398"/>
    <w:rsid w:val="004F55F1"/>
    <w:rsid w:val="004F6936"/>
    <w:rsid w:val="00503DC6"/>
    <w:rsid w:val="00506F5D"/>
    <w:rsid w:val="00510BB6"/>
    <w:rsid w:val="00510C37"/>
    <w:rsid w:val="005126D0"/>
    <w:rsid w:val="0051568D"/>
    <w:rsid w:val="00516B74"/>
    <w:rsid w:val="005207DC"/>
    <w:rsid w:val="0052210C"/>
    <w:rsid w:val="00526AC7"/>
    <w:rsid w:val="00526C15"/>
    <w:rsid w:val="00530A81"/>
    <w:rsid w:val="00535FDE"/>
    <w:rsid w:val="00536395"/>
    <w:rsid w:val="00536499"/>
    <w:rsid w:val="00537063"/>
    <w:rsid w:val="00543903"/>
    <w:rsid w:val="00543F11"/>
    <w:rsid w:val="00546305"/>
    <w:rsid w:val="00547A95"/>
    <w:rsid w:val="0055119B"/>
    <w:rsid w:val="005548B5"/>
    <w:rsid w:val="00555656"/>
    <w:rsid w:val="0056060E"/>
    <w:rsid w:val="0056273B"/>
    <w:rsid w:val="00570A46"/>
    <w:rsid w:val="00572031"/>
    <w:rsid w:val="00572282"/>
    <w:rsid w:val="00573CE3"/>
    <w:rsid w:val="0057425C"/>
    <w:rsid w:val="00576E84"/>
    <w:rsid w:val="00580394"/>
    <w:rsid w:val="005809CD"/>
    <w:rsid w:val="00582B8C"/>
    <w:rsid w:val="0058757E"/>
    <w:rsid w:val="00596A4B"/>
    <w:rsid w:val="00597507"/>
    <w:rsid w:val="005A0D21"/>
    <w:rsid w:val="005A479D"/>
    <w:rsid w:val="005B0A1A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3B1"/>
    <w:rsid w:val="005D6597"/>
    <w:rsid w:val="005E14E7"/>
    <w:rsid w:val="005E16B3"/>
    <w:rsid w:val="005E26A3"/>
    <w:rsid w:val="005E2ECB"/>
    <w:rsid w:val="005E447E"/>
    <w:rsid w:val="005E4FD1"/>
    <w:rsid w:val="005E7036"/>
    <w:rsid w:val="005F0697"/>
    <w:rsid w:val="005F0775"/>
    <w:rsid w:val="005F0CF5"/>
    <w:rsid w:val="005F21EB"/>
    <w:rsid w:val="005F370B"/>
    <w:rsid w:val="005F5AAB"/>
    <w:rsid w:val="00600C5E"/>
    <w:rsid w:val="0060196B"/>
    <w:rsid w:val="006055A2"/>
    <w:rsid w:val="00605908"/>
    <w:rsid w:val="00610D7C"/>
    <w:rsid w:val="00613414"/>
    <w:rsid w:val="00620154"/>
    <w:rsid w:val="0062408D"/>
    <w:rsid w:val="006240CC"/>
    <w:rsid w:val="00624940"/>
    <w:rsid w:val="006254F8"/>
    <w:rsid w:val="0062745C"/>
    <w:rsid w:val="00627DA7"/>
    <w:rsid w:val="00630DA4"/>
    <w:rsid w:val="00631083"/>
    <w:rsid w:val="00632597"/>
    <w:rsid w:val="00632AFF"/>
    <w:rsid w:val="00632CD5"/>
    <w:rsid w:val="006358B4"/>
    <w:rsid w:val="006376E3"/>
    <w:rsid w:val="006419AA"/>
    <w:rsid w:val="00642038"/>
    <w:rsid w:val="00643CBE"/>
    <w:rsid w:val="0064488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7A2"/>
    <w:rsid w:val="006608D8"/>
    <w:rsid w:val="006621D7"/>
    <w:rsid w:val="0066302A"/>
    <w:rsid w:val="00667770"/>
    <w:rsid w:val="00667B92"/>
    <w:rsid w:val="00670597"/>
    <w:rsid w:val="006706D0"/>
    <w:rsid w:val="00677574"/>
    <w:rsid w:val="0068454C"/>
    <w:rsid w:val="00684EE3"/>
    <w:rsid w:val="0069023C"/>
    <w:rsid w:val="00691B62"/>
    <w:rsid w:val="006933B5"/>
    <w:rsid w:val="00693D14"/>
    <w:rsid w:val="00696F27"/>
    <w:rsid w:val="006A18C2"/>
    <w:rsid w:val="006A241D"/>
    <w:rsid w:val="006A2CEE"/>
    <w:rsid w:val="006A3383"/>
    <w:rsid w:val="006B077C"/>
    <w:rsid w:val="006B6803"/>
    <w:rsid w:val="006C1388"/>
    <w:rsid w:val="006C318B"/>
    <w:rsid w:val="006C50BC"/>
    <w:rsid w:val="006C7931"/>
    <w:rsid w:val="006D0F16"/>
    <w:rsid w:val="006D2575"/>
    <w:rsid w:val="006D2A3F"/>
    <w:rsid w:val="006D2FBC"/>
    <w:rsid w:val="006E0541"/>
    <w:rsid w:val="006E138B"/>
    <w:rsid w:val="006F0330"/>
    <w:rsid w:val="006F1FDC"/>
    <w:rsid w:val="006F6B8C"/>
    <w:rsid w:val="006F7809"/>
    <w:rsid w:val="007013EF"/>
    <w:rsid w:val="00703B98"/>
    <w:rsid w:val="007055BD"/>
    <w:rsid w:val="00705EBA"/>
    <w:rsid w:val="00707160"/>
    <w:rsid w:val="00712412"/>
    <w:rsid w:val="007173CA"/>
    <w:rsid w:val="00717ACB"/>
    <w:rsid w:val="007216AA"/>
    <w:rsid w:val="00721AB5"/>
    <w:rsid w:val="00721CFB"/>
    <w:rsid w:val="00721DEF"/>
    <w:rsid w:val="0072251A"/>
    <w:rsid w:val="00723DF3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1A8"/>
    <w:rsid w:val="007447DA"/>
    <w:rsid w:val="007450F8"/>
    <w:rsid w:val="0074696E"/>
    <w:rsid w:val="00746FE3"/>
    <w:rsid w:val="00750135"/>
    <w:rsid w:val="00750EC2"/>
    <w:rsid w:val="00752B28"/>
    <w:rsid w:val="007541A9"/>
    <w:rsid w:val="00754E36"/>
    <w:rsid w:val="007571A2"/>
    <w:rsid w:val="00763139"/>
    <w:rsid w:val="007638EC"/>
    <w:rsid w:val="00766390"/>
    <w:rsid w:val="007675D7"/>
    <w:rsid w:val="00770F37"/>
    <w:rsid w:val="007711A0"/>
    <w:rsid w:val="00772D5E"/>
    <w:rsid w:val="00773B96"/>
    <w:rsid w:val="0077463E"/>
    <w:rsid w:val="00776928"/>
    <w:rsid w:val="00776E0F"/>
    <w:rsid w:val="007774B1"/>
    <w:rsid w:val="00777BE1"/>
    <w:rsid w:val="00777E1B"/>
    <w:rsid w:val="007833D8"/>
    <w:rsid w:val="00785677"/>
    <w:rsid w:val="00786F16"/>
    <w:rsid w:val="00791BD7"/>
    <w:rsid w:val="007933F7"/>
    <w:rsid w:val="00796E20"/>
    <w:rsid w:val="00797C32"/>
    <w:rsid w:val="007A11E8"/>
    <w:rsid w:val="007A6706"/>
    <w:rsid w:val="007B0830"/>
    <w:rsid w:val="007B0914"/>
    <w:rsid w:val="007B1374"/>
    <w:rsid w:val="007B32E5"/>
    <w:rsid w:val="007B3DB9"/>
    <w:rsid w:val="007B589F"/>
    <w:rsid w:val="007B6186"/>
    <w:rsid w:val="007B7110"/>
    <w:rsid w:val="007B73BC"/>
    <w:rsid w:val="007C1838"/>
    <w:rsid w:val="007C20B9"/>
    <w:rsid w:val="007C7301"/>
    <w:rsid w:val="007C7859"/>
    <w:rsid w:val="007C7F28"/>
    <w:rsid w:val="007D0526"/>
    <w:rsid w:val="007D1466"/>
    <w:rsid w:val="007D2BDE"/>
    <w:rsid w:val="007D2FB6"/>
    <w:rsid w:val="007D4451"/>
    <w:rsid w:val="007D49EB"/>
    <w:rsid w:val="007D54A6"/>
    <w:rsid w:val="007D5E1C"/>
    <w:rsid w:val="007D63C6"/>
    <w:rsid w:val="007E0DE2"/>
    <w:rsid w:val="007E1227"/>
    <w:rsid w:val="007E3B98"/>
    <w:rsid w:val="007E417A"/>
    <w:rsid w:val="007E6C7D"/>
    <w:rsid w:val="007F31B6"/>
    <w:rsid w:val="007F546C"/>
    <w:rsid w:val="007F625F"/>
    <w:rsid w:val="007F665E"/>
    <w:rsid w:val="00800412"/>
    <w:rsid w:val="00800DD7"/>
    <w:rsid w:val="00802CB0"/>
    <w:rsid w:val="0080587B"/>
    <w:rsid w:val="00806468"/>
    <w:rsid w:val="008119CA"/>
    <w:rsid w:val="008130C4"/>
    <w:rsid w:val="008137CA"/>
    <w:rsid w:val="00813C89"/>
    <w:rsid w:val="008155F0"/>
    <w:rsid w:val="00816735"/>
    <w:rsid w:val="00820141"/>
    <w:rsid w:val="00820E0C"/>
    <w:rsid w:val="008213F0"/>
    <w:rsid w:val="00821BBA"/>
    <w:rsid w:val="008221F2"/>
    <w:rsid w:val="00823275"/>
    <w:rsid w:val="0082366F"/>
    <w:rsid w:val="0082391F"/>
    <w:rsid w:val="00830ED9"/>
    <w:rsid w:val="008338A2"/>
    <w:rsid w:val="00835326"/>
    <w:rsid w:val="00835FAF"/>
    <w:rsid w:val="00841AA9"/>
    <w:rsid w:val="008474FE"/>
    <w:rsid w:val="00847587"/>
    <w:rsid w:val="00853EE4"/>
    <w:rsid w:val="00855535"/>
    <w:rsid w:val="00855920"/>
    <w:rsid w:val="00857C5A"/>
    <w:rsid w:val="0086255E"/>
    <w:rsid w:val="008633F0"/>
    <w:rsid w:val="00864409"/>
    <w:rsid w:val="00867D9D"/>
    <w:rsid w:val="008701A3"/>
    <w:rsid w:val="00872E0A"/>
    <w:rsid w:val="00873594"/>
    <w:rsid w:val="00875285"/>
    <w:rsid w:val="0088157F"/>
    <w:rsid w:val="00884B62"/>
    <w:rsid w:val="0088529C"/>
    <w:rsid w:val="00887903"/>
    <w:rsid w:val="0089270A"/>
    <w:rsid w:val="00893AF6"/>
    <w:rsid w:val="00894BC4"/>
    <w:rsid w:val="00897C6C"/>
    <w:rsid w:val="008A28A8"/>
    <w:rsid w:val="008A5B32"/>
    <w:rsid w:val="008A7BC3"/>
    <w:rsid w:val="008B1DBB"/>
    <w:rsid w:val="008B2EE4"/>
    <w:rsid w:val="008B4D3D"/>
    <w:rsid w:val="008B57C7"/>
    <w:rsid w:val="008B5807"/>
    <w:rsid w:val="008B5DFA"/>
    <w:rsid w:val="008C0DEC"/>
    <w:rsid w:val="008C2F92"/>
    <w:rsid w:val="008C3697"/>
    <w:rsid w:val="008C4E63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CA0"/>
    <w:rsid w:val="008F4753"/>
    <w:rsid w:val="008F59F6"/>
    <w:rsid w:val="00900719"/>
    <w:rsid w:val="009017AC"/>
    <w:rsid w:val="009018D9"/>
    <w:rsid w:val="00902A9A"/>
    <w:rsid w:val="00904A1C"/>
    <w:rsid w:val="00905030"/>
    <w:rsid w:val="00906490"/>
    <w:rsid w:val="009111B2"/>
    <w:rsid w:val="00911886"/>
    <w:rsid w:val="00911D96"/>
    <w:rsid w:val="009151F5"/>
    <w:rsid w:val="009220CA"/>
    <w:rsid w:val="00924AE1"/>
    <w:rsid w:val="009269B1"/>
    <w:rsid w:val="0092724D"/>
    <w:rsid w:val="009272B3"/>
    <w:rsid w:val="009308BE"/>
    <w:rsid w:val="009315BE"/>
    <w:rsid w:val="0093338F"/>
    <w:rsid w:val="0093693B"/>
    <w:rsid w:val="00937BD9"/>
    <w:rsid w:val="00942113"/>
    <w:rsid w:val="00943113"/>
    <w:rsid w:val="00950E2C"/>
    <w:rsid w:val="00951D50"/>
    <w:rsid w:val="00952086"/>
    <w:rsid w:val="009525EB"/>
    <w:rsid w:val="009533A9"/>
    <w:rsid w:val="0095470B"/>
    <w:rsid w:val="00954874"/>
    <w:rsid w:val="009557AE"/>
    <w:rsid w:val="0095615A"/>
    <w:rsid w:val="00961400"/>
    <w:rsid w:val="00963646"/>
    <w:rsid w:val="0096632D"/>
    <w:rsid w:val="009665DA"/>
    <w:rsid w:val="009718C7"/>
    <w:rsid w:val="0097559F"/>
    <w:rsid w:val="0097761E"/>
    <w:rsid w:val="00981531"/>
    <w:rsid w:val="00982454"/>
    <w:rsid w:val="00982CF0"/>
    <w:rsid w:val="00984309"/>
    <w:rsid w:val="00984414"/>
    <w:rsid w:val="00984F9E"/>
    <w:rsid w:val="009853E1"/>
    <w:rsid w:val="00985B95"/>
    <w:rsid w:val="00986E6B"/>
    <w:rsid w:val="00990032"/>
    <w:rsid w:val="00990039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438B"/>
    <w:rsid w:val="009B5231"/>
    <w:rsid w:val="009B59E9"/>
    <w:rsid w:val="009B70AA"/>
    <w:rsid w:val="009C08FF"/>
    <w:rsid w:val="009C5E77"/>
    <w:rsid w:val="009C7A7E"/>
    <w:rsid w:val="009C7D33"/>
    <w:rsid w:val="009D02E8"/>
    <w:rsid w:val="009D51D0"/>
    <w:rsid w:val="009D70A4"/>
    <w:rsid w:val="009D7B14"/>
    <w:rsid w:val="009E08D1"/>
    <w:rsid w:val="009E0E17"/>
    <w:rsid w:val="009E1B95"/>
    <w:rsid w:val="009E3B63"/>
    <w:rsid w:val="009E496F"/>
    <w:rsid w:val="009E4B0D"/>
    <w:rsid w:val="009E5250"/>
    <w:rsid w:val="009E7F92"/>
    <w:rsid w:val="009F025B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804"/>
    <w:rsid w:val="00A10FB9"/>
    <w:rsid w:val="00A11421"/>
    <w:rsid w:val="00A1389F"/>
    <w:rsid w:val="00A157B1"/>
    <w:rsid w:val="00A173D9"/>
    <w:rsid w:val="00A22229"/>
    <w:rsid w:val="00A24442"/>
    <w:rsid w:val="00A27992"/>
    <w:rsid w:val="00A3250F"/>
    <w:rsid w:val="00A330BB"/>
    <w:rsid w:val="00A35CBC"/>
    <w:rsid w:val="00A428E8"/>
    <w:rsid w:val="00A44882"/>
    <w:rsid w:val="00A45125"/>
    <w:rsid w:val="00A46675"/>
    <w:rsid w:val="00A52102"/>
    <w:rsid w:val="00A54715"/>
    <w:rsid w:val="00A6061C"/>
    <w:rsid w:val="00A6142B"/>
    <w:rsid w:val="00A62D44"/>
    <w:rsid w:val="00A62FA2"/>
    <w:rsid w:val="00A67263"/>
    <w:rsid w:val="00A7161C"/>
    <w:rsid w:val="00A73400"/>
    <w:rsid w:val="00A77AA3"/>
    <w:rsid w:val="00A8147D"/>
    <w:rsid w:val="00A8236D"/>
    <w:rsid w:val="00A82E85"/>
    <w:rsid w:val="00A84031"/>
    <w:rsid w:val="00A854EB"/>
    <w:rsid w:val="00A872E5"/>
    <w:rsid w:val="00A91406"/>
    <w:rsid w:val="00A94163"/>
    <w:rsid w:val="00A966DC"/>
    <w:rsid w:val="00A96E65"/>
    <w:rsid w:val="00A97C72"/>
    <w:rsid w:val="00AA04A9"/>
    <w:rsid w:val="00AA08EF"/>
    <w:rsid w:val="00AA268E"/>
    <w:rsid w:val="00AA310B"/>
    <w:rsid w:val="00AA63D4"/>
    <w:rsid w:val="00AB06E8"/>
    <w:rsid w:val="00AB1CD3"/>
    <w:rsid w:val="00AB352F"/>
    <w:rsid w:val="00AB5F9F"/>
    <w:rsid w:val="00AC274B"/>
    <w:rsid w:val="00AC4764"/>
    <w:rsid w:val="00AC54B8"/>
    <w:rsid w:val="00AC6D36"/>
    <w:rsid w:val="00AD0CBA"/>
    <w:rsid w:val="00AD177A"/>
    <w:rsid w:val="00AD19DD"/>
    <w:rsid w:val="00AD26E2"/>
    <w:rsid w:val="00AD382A"/>
    <w:rsid w:val="00AD65F8"/>
    <w:rsid w:val="00AD784C"/>
    <w:rsid w:val="00AE126A"/>
    <w:rsid w:val="00AE1BAE"/>
    <w:rsid w:val="00AE3005"/>
    <w:rsid w:val="00AE3ADB"/>
    <w:rsid w:val="00AE3BD5"/>
    <w:rsid w:val="00AE4B7B"/>
    <w:rsid w:val="00AE59A0"/>
    <w:rsid w:val="00AE5F04"/>
    <w:rsid w:val="00AF0C57"/>
    <w:rsid w:val="00AF26F3"/>
    <w:rsid w:val="00AF31B3"/>
    <w:rsid w:val="00AF550B"/>
    <w:rsid w:val="00AF5F04"/>
    <w:rsid w:val="00AF6F16"/>
    <w:rsid w:val="00B00672"/>
    <w:rsid w:val="00B01B4D"/>
    <w:rsid w:val="00B06571"/>
    <w:rsid w:val="00B068BA"/>
    <w:rsid w:val="00B07FF7"/>
    <w:rsid w:val="00B11A05"/>
    <w:rsid w:val="00B13851"/>
    <w:rsid w:val="00B13B1C"/>
    <w:rsid w:val="00B14780"/>
    <w:rsid w:val="00B215ED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9C7"/>
    <w:rsid w:val="00B33D34"/>
    <w:rsid w:val="00B3588E"/>
    <w:rsid w:val="00B41F3D"/>
    <w:rsid w:val="00B431E8"/>
    <w:rsid w:val="00B45141"/>
    <w:rsid w:val="00B46DE7"/>
    <w:rsid w:val="00B47329"/>
    <w:rsid w:val="00B50841"/>
    <w:rsid w:val="00B519CD"/>
    <w:rsid w:val="00B5273A"/>
    <w:rsid w:val="00B549DC"/>
    <w:rsid w:val="00B57329"/>
    <w:rsid w:val="00B5D542"/>
    <w:rsid w:val="00B60E61"/>
    <w:rsid w:val="00B62B50"/>
    <w:rsid w:val="00B635B7"/>
    <w:rsid w:val="00B63AE8"/>
    <w:rsid w:val="00B65950"/>
    <w:rsid w:val="00B66D83"/>
    <w:rsid w:val="00B672C0"/>
    <w:rsid w:val="00B676FD"/>
    <w:rsid w:val="00B718F6"/>
    <w:rsid w:val="00B7252E"/>
    <w:rsid w:val="00B73892"/>
    <w:rsid w:val="00B73E10"/>
    <w:rsid w:val="00B75646"/>
    <w:rsid w:val="00B77560"/>
    <w:rsid w:val="00B77F6A"/>
    <w:rsid w:val="00B90729"/>
    <w:rsid w:val="00B907DA"/>
    <w:rsid w:val="00B94CD5"/>
    <w:rsid w:val="00B950BC"/>
    <w:rsid w:val="00B9714C"/>
    <w:rsid w:val="00BA29AD"/>
    <w:rsid w:val="00BA33CF"/>
    <w:rsid w:val="00BA3F8D"/>
    <w:rsid w:val="00BA5A6D"/>
    <w:rsid w:val="00BA6BB7"/>
    <w:rsid w:val="00BB2AF9"/>
    <w:rsid w:val="00BB4210"/>
    <w:rsid w:val="00BB7A10"/>
    <w:rsid w:val="00BB7B3D"/>
    <w:rsid w:val="00BC0FF5"/>
    <w:rsid w:val="00BC13DE"/>
    <w:rsid w:val="00BC3E82"/>
    <w:rsid w:val="00BC3E8F"/>
    <w:rsid w:val="00BC60BE"/>
    <w:rsid w:val="00BC658F"/>
    <w:rsid w:val="00BC7468"/>
    <w:rsid w:val="00BC749C"/>
    <w:rsid w:val="00BC7D4F"/>
    <w:rsid w:val="00BC7ED7"/>
    <w:rsid w:val="00BD0539"/>
    <w:rsid w:val="00BD2850"/>
    <w:rsid w:val="00BE0782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4001"/>
    <w:rsid w:val="00C06137"/>
    <w:rsid w:val="00C079B8"/>
    <w:rsid w:val="00C10037"/>
    <w:rsid w:val="00C1121E"/>
    <w:rsid w:val="00C123EA"/>
    <w:rsid w:val="00C12A49"/>
    <w:rsid w:val="00C1329B"/>
    <w:rsid w:val="00C133EE"/>
    <w:rsid w:val="00C149D0"/>
    <w:rsid w:val="00C2007A"/>
    <w:rsid w:val="00C2287C"/>
    <w:rsid w:val="00C26588"/>
    <w:rsid w:val="00C27DE9"/>
    <w:rsid w:val="00C323AE"/>
    <w:rsid w:val="00C32989"/>
    <w:rsid w:val="00C33388"/>
    <w:rsid w:val="00C35484"/>
    <w:rsid w:val="00C4173A"/>
    <w:rsid w:val="00C4385A"/>
    <w:rsid w:val="00C465DF"/>
    <w:rsid w:val="00C50DED"/>
    <w:rsid w:val="00C52D4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9C"/>
    <w:rsid w:val="00C863C4"/>
    <w:rsid w:val="00C8746D"/>
    <w:rsid w:val="00C920EA"/>
    <w:rsid w:val="00C93C3E"/>
    <w:rsid w:val="00C94CA0"/>
    <w:rsid w:val="00CA12E3"/>
    <w:rsid w:val="00CA1476"/>
    <w:rsid w:val="00CA1E34"/>
    <w:rsid w:val="00CA3F4A"/>
    <w:rsid w:val="00CA4BA3"/>
    <w:rsid w:val="00CA6611"/>
    <w:rsid w:val="00CA6AE6"/>
    <w:rsid w:val="00CA782F"/>
    <w:rsid w:val="00CB0754"/>
    <w:rsid w:val="00CB187B"/>
    <w:rsid w:val="00CB2835"/>
    <w:rsid w:val="00CB3285"/>
    <w:rsid w:val="00CB4500"/>
    <w:rsid w:val="00CB58EF"/>
    <w:rsid w:val="00CB7800"/>
    <w:rsid w:val="00CC003B"/>
    <w:rsid w:val="00CC0C72"/>
    <w:rsid w:val="00CC26A8"/>
    <w:rsid w:val="00CC2BFD"/>
    <w:rsid w:val="00CD2C85"/>
    <w:rsid w:val="00CD3476"/>
    <w:rsid w:val="00CD64DF"/>
    <w:rsid w:val="00CE225F"/>
    <w:rsid w:val="00CF2F50"/>
    <w:rsid w:val="00CF3CE8"/>
    <w:rsid w:val="00CF6198"/>
    <w:rsid w:val="00D013FA"/>
    <w:rsid w:val="00D01758"/>
    <w:rsid w:val="00D02847"/>
    <w:rsid w:val="00D02919"/>
    <w:rsid w:val="00D03C19"/>
    <w:rsid w:val="00D04C61"/>
    <w:rsid w:val="00D05B8D"/>
    <w:rsid w:val="00D05CC5"/>
    <w:rsid w:val="00D065A2"/>
    <w:rsid w:val="00D079AA"/>
    <w:rsid w:val="00D07F00"/>
    <w:rsid w:val="00D1130F"/>
    <w:rsid w:val="00D17B72"/>
    <w:rsid w:val="00D25616"/>
    <w:rsid w:val="00D3185C"/>
    <w:rsid w:val="00D3205F"/>
    <w:rsid w:val="00D3318E"/>
    <w:rsid w:val="00D33E72"/>
    <w:rsid w:val="00D35BD6"/>
    <w:rsid w:val="00D361B5"/>
    <w:rsid w:val="00D405AC"/>
    <w:rsid w:val="00D40E6F"/>
    <w:rsid w:val="00D411A2"/>
    <w:rsid w:val="00D442FB"/>
    <w:rsid w:val="00D4606D"/>
    <w:rsid w:val="00D46C92"/>
    <w:rsid w:val="00D50B9C"/>
    <w:rsid w:val="00D52A1D"/>
    <w:rsid w:val="00D52D73"/>
    <w:rsid w:val="00D52E58"/>
    <w:rsid w:val="00D54F11"/>
    <w:rsid w:val="00D56B20"/>
    <w:rsid w:val="00D578B3"/>
    <w:rsid w:val="00D618F4"/>
    <w:rsid w:val="00D62232"/>
    <w:rsid w:val="00D65984"/>
    <w:rsid w:val="00D714CC"/>
    <w:rsid w:val="00D747B6"/>
    <w:rsid w:val="00D75EA7"/>
    <w:rsid w:val="00D77289"/>
    <w:rsid w:val="00D77810"/>
    <w:rsid w:val="00D81ADF"/>
    <w:rsid w:val="00D81F21"/>
    <w:rsid w:val="00D838E2"/>
    <w:rsid w:val="00D84351"/>
    <w:rsid w:val="00D864F2"/>
    <w:rsid w:val="00D92F95"/>
    <w:rsid w:val="00D943F8"/>
    <w:rsid w:val="00D95470"/>
    <w:rsid w:val="00D96B55"/>
    <w:rsid w:val="00DA2619"/>
    <w:rsid w:val="00DA4239"/>
    <w:rsid w:val="00DA59F0"/>
    <w:rsid w:val="00DA65DE"/>
    <w:rsid w:val="00DB03BF"/>
    <w:rsid w:val="00DB0B61"/>
    <w:rsid w:val="00DB1474"/>
    <w:rsid w:val="00DB2962"/>
    <w:rsid w:val="00DB52FB"/>
    <w:rsid w:val="00DC013B"/>
    <w:rsid w:val="00DC090B"/>
    <w:rsid w:val="00DC0BA5"/>
    <w:rsid w:val="00DC1679"/>
    <w:rsid w:val="00DC219B"/>
    <w:rsid w:val="00DC2CF1"/>
    <w:rsid w:val="00DC43B6"/>
    <w:rsid w:val="00DC4FCF"/>
    <w:rsid w:val="00DC50E0"/>
    <w:rsid w:val="00DC5F40"/>
    <w:rsid w:val="00DC6386"/>
    <w:rsid w:val="00DD1130"/>
    <w:rsid w:val="00DD1951"/>
    <w:rsid w:val="00DD29C0"/>
    <w:rsid w:val="00DD487D"/>
    <w:rsid w:val="00DD4B50"/>
    <w:rsid w:val="00DD4E83"/>
    <w:rsid w:val="00DD6628"/>
    <w:rsid w:val="00DD6945"/>
    <w:rsid w:val="00DE27C2"/>
    <w:rsid w:val="00DE2D04"/>
    <w:rsid w:val="00DE3250"/>
    <w:rsid w:val="00DE423C"/>
    <w:rsid w:val="00DE451A"/>
    <w:rsid w:val="00DE6028"/>
    <w:rsid w:val="00DE7081"/>
    <w:rsid w:val="00DE7129"/>
    <w:rsid w:val="00DE78A3"/>
    <w:rsid w:val="00DF001E"/>
    <w:rsid w:val="00DF1A71"/>
    <w:rsid w:val="00DF50FC"/>
    <w:rsid w:val="00DF68C7"/>
    <w:rsid w:val="00DF731A"/>
    <w:rsid w:val="00E00475"/>
    <w:rsid w:val="00E02928"/>
    <w:rsid w:val="00E06B75"/>
    <w:rsid w:val="00E11332"/>
    <w:rsid w:val="00E11352"/>
    <w:rsid w:val="00E12105"/>
    <w:rsid w:val="00E12E23"/>
    <w:rsid w:val="00E15BAE"/>
    <w:rsid w:val="00E170DC"/>
    <w:rsid w:val="00E17546"/>
    <w:rsid w:val="00E17726"/>
    <w:rsid w:val="00E210B5"/>
    <w:rsid w:val="00E234B3"/>
    <w:rsid w:val="00E24DBE"/>
    <w:rsid w:val="00E261B3"/>
    <w:rsid w:val="00E26818"/>
    <w:rsid w:val="00E27FFC"/>
    <w:rsid w:val="00E30B15"/>
    <w:rsid w:val="00E324C8"/>
    <w:rsid w:val="00E33237"/>
    <w:rsid w:val="00E37702"/>
    <w:rsid w:val="00E37C6B"/>
    <w:rsid w:val="00E40181"/>
    <w:rsid w:val="00E46A74"/>
    <w:rsid w:val="00E54950"/>
    <w:rsid w:val="00E56A01"/>
    <w:rsid w:val="00E62622"/>
    <w:rsid w:val="00E629A1"/>
    <w:rsid w:val="00E6794C"/>
    <w:rsid w:val="00E71591"/>
    <w:rsid w:val="00E71CEB"/>
    <w:rsid w:val="00E725CB"/>
    <w:rsid w:val="00E7474F"/>
    <w:rsid w:val="00E80DE3"/>
    <w:rsid w:val="00E82C55"/>
    <w:rsid w:val="00E85320"/>
    <w:rsid w:val="00E8787E"/>
    <w:rsid w:val="00E92AC3"/>
    <w:rsid w:val="00EA1360"/>
    <w:rsid w:val="00EA2F6A"/>
    <w:rsid w:val="00EB00E0"/>
    <w:rsid w:val="00EB2B61"/>
    <w:rsid w:val="00EB5A7C"/>
    <w:rsid w:val="00EB7E6C"/>
    <w:rsid w:val="00EC03C3"/>
    <w:rsid w:val="00EC059F"/>
    <w:rsid w:val="00EC1F24"/>
    <w:rsid w:val="00EC22F6"/>
    <w:rsid w:val="00EC40D5"/>
    <w:rsid w:val="00ED5B9B"/>
    <w:rsid w:val="00ED5F27"/>
    <w:rsid w:val="00ED60FD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9E1"/>
    <w:rsid w:val="00EF53EB"/>
    <w:rsid w:val="00EF59A3"/>
    <w:rsid w:val="00EF5F25"/>
    <w:rsid w:val="00EF6675"/>
    <w:rsid w:val="00F00F9C"/>
    <w:rsid w:val="00F01E5F"/>
    <w:rsid w:val="00F024F3"/>
    <w:rsid w:val="00F029A8"/>
    <w:rsid w:val="00F02ABA"/>
    <w:rsid w:val="00F0437A"/>
    <w:rsid w:val="00F101B8"/>
    <w:rsid w:val="00F11037"/>
    <w:rsid w:val="00F1608E"/>
    <w:rsid w:val="00F162E0"/>
    <w:rsid w:val="00F16F1B"/>
    <w:rsid w:val="00F250A9"/>
    <w:rsid w:val="00F25909"/>
    <w:rsid w:val="00F267AF"/>
    <w:rsid w:val="00F30FF4"/>
    <w:rsid w:val="00F3122E"/>
    <w:rsid w:val="00F32368"/>
    <w:rsid w:val="00F331AD"/>
    <w:rsid w:val="00F35287"/>
    <w:rsid w:val="00F35B85"/>
    <w:rsid w:val="00F36E9B"/>
    <w:rsid w:val="00F37734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EE0"/>
    <w:rsid w:val="00F72C2C"/>
    <w:rsid w:val="00F76CAB"/>
    <w:rsid w:val="00F772C6"/>
    <w:rsid w:val="00F815B5"/>
    <w:rsid w:val="00F84891"/>
    <w:rsid w:val="00F84D96"/>
    <w:rsid w:val="00F84FA0"/>
    <w:rsid w:val="00F85195"/>
    <w:rsid w:val="00F868E3"/>
    <w:rsid w:val="00F905DF"/>
    <w:rsid w:val="00F92A00"/>
    <w:rsid w:val="00F938BA"/>
    <w:rsid w:val="00F97919"/>
    <w:rsid w:val="00FA0891"/>
    <w:rsid w:val="00FA2C46"/>
    <w:rsid w:val="00FA3525"/>
    <w:rsid w:val="00FA58C5"/>
    <w:rsid w:val="00FA5A53"/>
    <w:rsid w:val="00FB2551"/>
    <w:rsid w:val="00FB2CED"/>
    <w:rsid w:val="00FB4769"/>
    <w:rsid w:val="00FB4CDA"/>
    <w:rsid w:val="00FB6481"/>
    <w:rsid w:val="00FB6878"/>
    <w:rsid w:val="00FB6D36"/>
    <w:rsid w:val="00FC0965"/>
    <w:rsid w:val="00FC0F81"/>
    <w:rsid w:val="00FC252F"/>
    <w:rsid w:val="00FC27A1"/>
    <w:rsid w:val="00FC395C"/>
    <w:rsid w:val="00FC5E8E"/>
    <w:rsid w:val="00FD3766"/>
    <w:rsid w:val="00FD3978"/>
    <w:rsid w:val="00FD3E0C"/>
    <w:rsid w:val="00FD47C4"/>
    <w:rsid w:val="00FD722A"/>
    <w:rsid w:val="00FE2DCF"/>
    <w:rsid w:val="00FE2FD7"/>
    <w:rsid w:val="00FE3FA7"/>
    <w:rsid w:val="00FF2A4E"/>
    <w:rsid w:val="00FF2FCE"/>
    <w:rsid w:val="00FF422C"/>
    <w:rsid w:val="00FF4DE4"/>
    <w:rsid w:val="00FF4F7D"/>
    <w:rsid w:val="00FF54DF"/>
    <w:rsid w:val="00FF6D9D"/>
    <w:rsid w:val="00FF7466"/>
    <w:rsid w:val="00FF7DD5"/>
    <w:rsid w:val="010B7C3B"/>
    <w:rsid w:val="01DEC0C3"/>
    <w:rsid w:val="01E9546D"/>
    <w:rsid w:val="0232FA4B"/>
    <w:rsid w:val="0331A75B"/>
    <w:rsid w:val="033FB897"/>
    <w:rsid w:val="04FA25C4"/>
    <w:rsid w:val="0534CAE3"/>
    <w:rsid w:val="053B0B77"/>
    <w:rsid w:val="05DE20FA"/>
    <w:rsid w:val="05F97EBB"/>
    <w:rsid w:val="06983560"/>
    <w:rsid w:val="07B899AB"/>
    <w:rsid w:val="08AD3C9B"/>
    <w:rsid w:val="09207C1E"/>
    <w:rsid w:val="096FD2EB"/>
    <w:rsid w:val="09BF6E11"/>
    <w:rsid w:val="0AE243E5"/>
    <w:rsid w:val="0AEFA2F5"/>
    <w:rsid w:val="0BB0D8C0"/>
    <w:rsid w:val="0C3A186F"/>
    <w:rsid w:val="0CF6775B"/>
    <w:rsid w:val="0D57D5A6"/>
    <w:rsid w:val="0D87ED1D"/>
    <w:rsid w:val="0F31AC8A"/>
    <w:rsid w:val="0F656C20"/>
    <w:rsid w:val="0FA392C7"/>
    <w:rsid w:val="0FBCCBC7"/>
    <w:rsid w:val="129933B3"/>
    <w:rsid w:val="13BB8C09"/>
    <w:rsid w:val="146F7C06"/>
    <w:rsid w:val="1545E8B7"/>
    <w:rsid w:val="154C7BC1"/>
    <w:rsid w:val="156DBD98"/>
    <w:rsid w:val="16E807B7"/>
    <w:rsid w:val="170A88B5"/>
    <w:rsid w:val="17F6AC55"/>
    <w:rsid w:val="183FD9C3"/>
    <w:rsid w:val="1986E71F"/>
    <w:rsid w:val="19E69C3F"/>
    <w:rsid w:val="1A3ECF78"/>
    <w:rsid w:val="1B1402E4"/>
    <w:rsid w:val="1B44C961"/>
    <w:rsid w:val="1C0E07ED"/>
    <w:rsid w:val="1C326794"/>
    <w:rsid w:val="1D03E451"/>
    <w:rsid w:val="1D714799"/>
    <w:rsid w:val="1DE96F93"/>
    <w:rsid w:val="1E220A78"/>
    <w:rsid w:val="1E3954D7"/>
    <w:rsid w:val="1EDDBB35"/>
    <w:rsid w:val="1F0D486D"/>
    <w:rsid w:val="2054C5BC"/>
    <w:rsid w:val="228E40D4"/>
    <w:rsid w:val="230C7A4C"/>
    <w:rsid w:val="256B81EB"/>
    <w:rsid w:val="26B34A9A"/>
    <w:rsid w:val="26F84189"/>
    <w:rsid w:val="29A2F7D6"/>
    <w:rsid w:val="29EA5CA8"/>
    <w:rsid w:val="2A4C3C6E"/>
    <w:rsid w:val="2A6468AC"/>
    <w:rsid w:val="2DA091A5"/>
    <w:rsid w:val="32C8AB4C"/>
    <w:rsid w:val="34A29EB5"/>
    <w:rsid w:val="35A3C442"/>
    <w:rsid w:val="35EB89DE"/>
    <w:rsid w:val="372E4B8E"/>
    <w:rsid w:val="3909F32F"/>
    <w:rsid w:val="399B68F1"/>
    <w:rsid w:val="3A37D609"/>
    <w:rsid w:val="3A71D5A2"/>
    <w:rsid w:val="3BE5B261"/>
    <w:rsid w:val="3C186CE6"/>
    <w:rsid w:val="3C8F8B1C"/>
    <w:rsid w:val="3E96DF68"/>
    <w:rsid w:val="408AC8BF"/>
    <w:rsid w:val="42B6407E"/>
    <w:rsid w:val="4346E556"/>
    <w:rsid w:val="435F7F4B"/>
    <w:rsid w:val="44030A25"/>
    <w:rsid w:val="458FC208"/>
    <w:rsid w:val="45C472FD"/>
    <w:rsid w:val="47CA809D"/>
    <w:rsid w:val="4832F06E"/>
    <w:rsid w:val="4883E9EB"/>
    <w:rsid w:val="48BD97F2"/>
    <w:rsid w:val="49DD8542"/>
    <w:rsid w:val="4BC938B4"/>
    <w:rsid w:val="4C3B694B"/>
    <w:rsid w:val="4C8616FE"/>
    <w:rsid w:val="4ED149E0"/>
    <w:rsid w:val="4F1640CF"/>
    <w:rsid w:val="4FE3A3E1"/>
    <w:rsid w:val="5161A8E0"/>
    <w:rsid w:val="538879AC"/>
    <w:rsid w:val="5605F00F"/>
    <w:rsid w:val="56EE140F"/>
    <w:rsid w:val="585122F1"/>
    <w:rsid w:val="59421908"/>
    <w:rsid w:val="596C8691"/>
    <w:rsid w:val="5B21CD5B"/>
    <w:rsid w:val="5B795FE7"/>
    <w:rsid w:val="5C171247"/>
    <w:rsid w:val="5C19A1FD"/>
    <w:rsid w:val="5C355A53"/>
    <w:rsid w:val="5DC3EBA9"/>
    <w:rsid w:val="5E35E01A"/>
    <w:rsid w:val="5E973E65"/>
    <w:rsid w:val="5EC755DC"/>
    <w:rsid w:val="5EDC2720"/>
    <w:rsid w:val="5F29667D"/>
    <w:rsid w:val="616A0B50"/>
    <w:rsid w:val="61747148"/>
    <w:rsid w:val="61E8F56F"/>
    <w:rsid w:val="628FD4E8"/>
    <w:rsid w:val="62BCD26A"/>
    <w:rsid w:val="62EC5FA2"/>
    <w:rsid w:val="645A010F"/>
    <w:rsid w:val="6465BF65"/>
    <w:rsid w:val="646B2FB6"/>
    <w:rsid w:val="65F3DBB4"/>
    <w:rsid w:val="66405A87"/>
    <w:rsid w:val="66B4DEAE"/>
    <w:rsid w:val="67AB00E4"/>
    <w:rsid w:val="67BD0E3E"/>
    <w:rsid w:val="69326CE2"/>
    <w:rsid w:val="6994EFE3"/>
    <w:rsid w:val="69A6F109"/>
    <w:rsid w:val="69EF0F69"/>
    <w:rsid w:val="6A65644D"/>
    <w:rsid w:val="6ACE4DE6"/>
    <w:rsid w:val="6C0FADF9"/>
    <w:rsid w:val="6C9673AE"/>
    <w:rsid w:val="6DFE5621"/>
    <w:rsid w:val="6F06488B"/>
    <w:rsid w:val="6F1AFA8D"/>
    <w:rsid w:val="6FE0E53C"/>
    <w:rsid w:val="704CB12C"/>
    <w:rsid w:val="71AEDBC0"/>
    <w:rsid w:val="7238C99E"/>
    <w:rsid w:val="72E8A264"/>
    <w:rsid w:val="752D4383"/>
    <w:rsid w:val="76ECB970"/>
    <w:rsid w:val="77F2B359"/>
    <w:rsid w:val="78A8B476"/>
    <w:rsid w:val="79CC8A3D"/>
    <w:rsid w:val="79FC6581"/>
    <w:rsid w:val="7ACBAE66"/>
    <w:rsid w:val="7B46AE3E"/>
    <w:rsid w:val="7BA338F8"/>
    <w:rsid w:val="7BBB3265"/>
    <w:rsid w:val="7C7B9E2A"/>
    <w:rsid w:val="7E26FEA6"/>
    <w:rsid w:val="7F6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FC930E8"/>
  <w15:docId w15:val="{E4CB16B2-6B5A-4E11-9E0D-470ACEF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3250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E37C6B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37C6B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004EA8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37C6B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3250F"/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37C6B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37C6B"/>
    <w:rPr>
      <w:rFonts w:ascii="Arial" w:eastAsia="MS Gothic" w:hAnsi="Arial"/>
      <w:bCs/>
      <w:color w:val="004EA8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37C6B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3250F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3250F"/>
    <w:pPr>
      <w:spacing w:line="320" w:lineRule="atLeast"/>
    </w:pPr>
    <w:rPr>
      <w:color w:val="004EA8"/>
      <w:sz w:val="24"/>
    </w:rPr>
  </w:style>
  <w:style w:type="character" w:styleId="Mention">
    <w:name w:val="Mention"/>
    <w:basedOn w:val="DefaultParagraphFont"/>
    <w:uiPriority w:val="99"/>
    <w:unhideWhenUsed/>
    <w:rsid w:val="00F92A0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10CC6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2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s://www.covid19-druginteraction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covid-19/vaccines-and-medications-in-patients-with-covid-19" TargetMode="Externa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g"/><Relationship Id="rId25" Type="http://schemas.openxmlformats.org/officeDocument/2006/relationships/hyperlink" Target="https://www.covid19-druginteractions.org/" TargetMode="External"/><Relationship Id="rId33" Type="http://schemas.openxmlformats.org/officeDocument/2006/relationships/hyperlink" Target="https://www.health.vic.gov.au/covid-19/vaccines-and-medications-in-patients-with-covid-1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app.magicapp.org/%23/guideline/L4Q5An/section/j7Amwz" TargetMode="External"/><Relationship Id="rId29" Type="http://schemas.openxmlformats.org/officeDocument/2006/relationships/hyperlink" Target="https://www.tga.gov.au/sites/default/files/evusheld-p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tga.gov.au/sites/default/files/evusheld-pi.pdf" TargetMode="External"/><Relationship Id="rId32" Type="http://schemas.openxmlformats.org/officeDocument/2006/relationships/hyperlink" Target="mailto:COVID+pathways@health.vic.gov.au" TargetMode="External"/><Relationship Id="rId37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tga.gov.au/sites/default/files/evusheld-pi.pdf" TargetMode="External"/><Relationship Id="rId28" Type="http://schemas.openxmlformats.org/officeDocument/2006/relationships/hyperlink" Target="https://www.tga.gov.au/sites/default/files/evusheld-pi.pdf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.magicapp.org/" TargetMode="External"/><Relationship Id="rId31" Type="http://schemas.openxmlformats.org/officeDocument/2006/relationships/hyperlink" Target="http://www.tga.gov.au/reporting-proble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covid-19/vaccines-and-medications-in-patients-with-covid-19" TargetMode="External"/><Relationship Id="rId27" Type="http://schemas.openxmlformats.org/officeDocument/2006/relationships/hyperlink" Target="https://www.tga.gov.au/sites/default/files/evusheld-pi.pdf" TargetMode="External"/><Relationship Id="rId30" Type="http://schemas.openxmlformats.org/officeDocument/2006/relationships/hyperlink" Target="https://www.tga.gov.au/sites/default/files/evusheld-pi.pdf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2E59DE0-E88F-4D75-854A-857334343193}">
    <t:Anchor>
      <t:Comment id="1286803394"/>
    </t:Anchor>
    <t:History>
      <t:Event id="{4269E4B9-6B20-40A3-A39D-047F4FD85BF8}" time="2022-04-22T02:50:21.322Z">
        <t:Attribution userId="S::laura.hewett@health.vic.gov.au::62053906-ef6d-42b8-87a1-f7137c7dfa4d" userProvider="AD" userName="Laura Hewett (Health)"/>
        <t:Anchor>
          <t:Comment id="1286803394"/>
        </t:Anchor>
        <t:Create/>
      </t:Event>
      <t:Event id="{4577FE11-A725-4490-ADB1-5DCED6ACE990}" time="2022-04-22T02:50:21.322Z">
        <t:Attribution userId="S::laura.hewett@health.vic.gov.au::62053906-ef6d-42b8-87a1-f7137c7dfa4d" userProvider="AD" userName="Laura Hewett (Health)"/>
        <t:Anchor>
          <t:Comment id="1286803394"/>
        </t:Anchor>
        <t:Assign userId="S::ash.donovan@health.vic.gov.au::d4f33a25-e3a2-4c18-a3f6-bc1d1a2184cf" userProvider="AD" userName="Ash Donovan (Health)"/>
      </t:Event>
      <t:Event id="{38B40995-E199-4AEE-85EC-CBAB93BF803F}" time="2022-04-22T02:50:21.322Z">
        <t:Attribution userId="S::laura.hewett@health.vic.gov.au::62053906-ef6d-42b8-87a1-f7137c7dfa4d" userProvider="AD" userName="Laura Hewett (Health)"/>
        <t:Anchor>
          <t:Comment id="1286803394"/>
        </t:Anchor>
        <t:SetTitle title="@Ash Donovan (Health) we need to align with pharmacy guidelines here. Evusheld in this document should be tixagevimab and cilgavimab (EvusheldTM)"/>
      </t:Event>
      <t:Event id="{AC6C92CD-A418-4A78-B214-B4DF516197E1}" time="2022-04-22T02:59:50.119Z">
        <t:Attribution userId="S::ash.donovan@health.vic.gov.au::d4f33a25-e3a2-4c18-a3f6-bc1d1a2184cf" userProvider="AD" userName="Ash Donovan (Healt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EBACB09F7943AE9007C90CB29198" ma:contentTypeVersion="12" ma:contentTypeDescription="Create a new document." ma:contentTypeScope="" ma:versionID="d2273c82507a3e56d943dbae0000f1d6">
  <xsd:schema xmlns:xsd="http://www.w3.org/2001/XMLSchema" xmlns:xs="http://www.w3.org/2001/XMLSchema" xmlns:p="http://schemas.microsoft.com/office/2006/metadata/properties" xmlns:ns2="44283bbd-cbd3-4545-9aa6-8cdecb1b4ebf" xmlns:ns3="22b2a996-90f2-4093-9cfd-0e684e15c3cd" targetNamespace="http://schemas.microsoft.com/office/2006/metadata/properties" ma:root="true" ma:fieldsID="9782338615734e2086a53ad170e73407" ns2:_="" ns3:_="">
    <xsd:import namespace="44283bbd-cbd3-4545-9aa6-8cdecb1b4ebf"/>
    <xsd:import namespace="22b2a996-90f2-4093-9cfd-0e684e15c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83bbd-cbd3-4545-9aa6-8cdecb1b4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996-90f2-4093-9cfd-0e684e15c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4283bbd-cbd3-4545-9aa6-8cdecb1b4ebf"/>
    <ds:schemaRef ds:uri="http://purl.org/dc/terms/"/>
    <ds:schemaRef ds:uri="http://schemas.openxmlformats.org/package/2006/metadata/core-properties"/>
    <ds:schemaRef ds:uri="22b2a996-90f2-4093-9cfd-0e684e15c3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43D211-69D5-4753-B005-284AC9B0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83bbd-cbd3-4545-9aa6-8cdecb1b4ebf"/>
    <ds:schemaRef ds:uri="22b2a996-90f2-4093-9cfd-0e684e15c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Evusheld FAQ for clinicians</vt:lpstr>
    </vt:vector>
  </TitlesOfParts>
  <Manager/>
  <Company>Victoria State Government, Department of Health</Company>
  <LinksUpToDate>false</LinksUpToDate>
  <CharactersWithSpaces>16947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Evusheld FAQ for clinicians</dc:title>
  <dc:subject/>
  <dc:creator>Department of Health</dc:creator>
  <cp:keywords/>
  <dc:description/>
  <cp:lastModifiedBy>Tyler McPherson (Health)</cp:lastModifiedBy>
  <cp:revision>2</cp:revision>
  <cp:lastPrinted>2020-03-29T09:28:00Z</cp:lastPrinted>
  <dcterms:created xsi:type="dcterms:W3CDTF">2022-06-17T06:13:00Z</dcterms:created>
  <dcterms:modified xsi:type="dcterms:W3CDTF">2022-06-17T06:13:00Z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0x0101004AB4EBACB09F7943AE9007C90CB29198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2022-06-17T06:13:38Z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490fcfbe-52c2-4b75-aa73-53ba675f4dd9</vt:lpwstr>
  </property>
  <property fmtid="{D5CDD505-2E9C-101B-9397-08002B2CF9AE}" pid="11" name="MSIP_Label_43e64453-338c-4f93-8a4d-0039a0a41f2a_ContentBits">
    <vt:lpwstr>2</vt:lpwstr>
  </property>
</Properties>
</file>