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26E32C79" w:rsidR="003B5733" w:rsidRPr="003B5733" w:rsidRDefault="00D15CBA" w:rsidP="003B5733">
            <w:pPr>
              <w:pStyle w:val="Documenttitle"/>
            </w:pPr>
            <w:r>
              <w:t>Victoria</w:t>
            </w:r>
            <w:r w:rsidR="006A7227">
              <w:t>’s</w:t>
            </w:r>
            <w:r>
              <w:t xml:space="preserve"> Digital Health Maturity Model</w:t>
            </w:r>
          </w:p>
        </w:tc>
      </w:tr>
      <w:tr w:rsidR="003B5733" w14:paraId="2B0FB168" w14:textId="77777777" w:rsidTr="00B07FF7">
        <w:tc>
          <w:tcPr>
            <w:tcW w:w="10348" w:type="dxa"/>
          </w:tcPr>
          <w:p w14:paraId="6C198BA9" w14:textId="20DC18F2" w:rsidR="003B5733" w:rsidRPr="00A1389F" w:rsidRDefault="003B5733" w:rsidP="005F44C0">
            <w:pPr>
              <w:pStyle w:val="Documentsubtitle"/>
            </w:pPr>
          </w:p>
        </w:tc>
      </w:tr>
      <w:tr w:rsidR="003B5733" w14:paraId="1D099E71" w14:textId="77777777" w:rsidTr="00B07FF7">
        <w:tc>
          <w:tcPr>
            <w:tcW w:w="10348" w:type="dxa"/>
          </w:tcPr>
          <w:p w14:paraId="1415A28C" w14:textId="77777777" w:rsidR="003B5733" w:rsidRPr="001E5058" w:rsidRDefault="006A7227" w:rsidP="001E5058">
            <w:pPr>
              <w:pStyle w:val="Bannermarking"/>
            </w:pPr>
            <w:fldSimple w:instr=" FILLIN  &quot;Type the protective marking&quot; \d OFFICIAL \o  \* MERGEFORMAT ">
              <w:r w:rsidR="009F1300">
                <w:t>OFFICIAL</w:t>
              </w:r>
            </w:fldSimple>
          </w:p>
        </w:tc>
      </w:tr>
    </w:tbl>
    <w:p w14:paraId="151016C4" w14:textId="77777777" w:rsidR="00AD784C" w:rsidRPr="00B57329" w:rsidRDefault="00AD784C" w:rsidP="002365B4">
      <w:pPr>
        <w:pStyle w:val="TOCheadingfactsheet"/>
      </w:pPr>
      <w:r w:rsidRPr="00B57329">
        <w:t>Contents</w:t>
      </w:r>
    </w:p>
    <w:p w14:paraId="12DAF78F" w14:textId="75E47FBC" w:rsidR="00F07DA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3931036" w:history="1">
        <w:r w:rsidR="00F07DA1" w:rsidRPr="00653071">
          <w:rPr>
            <w:rStyle w:val="Hyperlink"/>
          </w:rPr>
          <w:t>The Problem</w:t>
        </w:r>
        <w:r w:rsidR="00F07DA1">
          <w:rPr>
            <w:webHidden/>
          </w:rPr>
          <w:tab/>
        </w:r>
        <w:r w:rsidR="00F07DA1">
          <w:rPr>
            <w:webHidden/>
          </w:rPr>
          <w:fldChar w:fldCharType="begin"/>
        </w:r>
        <w:r w:rsidR="00F07DA1">
          <w:rPr>
            <w:webHidden/>
          </w:rPr>
          <w:instrText xml:space="preserve"> PAGEREF _Toc93931036 \h </w:instrText>
        </w:r>
        <w:r w:rsidR="00F07DA1">
          <w:rPr>
            <w:webHidden/>
          </w:rPr>
        </w:r>
        <w:r w:rsidR="00F07DA1">
          <w:rPr>
            <w:webHidden/>
          </w:rPr>
          <w:fldChar w:fldCharType="separate"/>
        </w:r>
        <w:r w:rsidR="00F07DA1">
          <w:rPr>
            <w:webHidden/>
          </w:rPr>
          <w:t>1</w:t>
        </w:r>
        <w:r w:rsidR="00F07DA1">
          <w:rPr>
            <w:webHidden/>
          </w:rPr>
          <w:fldChar w:fldCharType="end"/>
        </w:r>
      </w:hyperlink>
    </w:p>
    <w:p w14:paraId="7557F72C" w14:textId="2CC76721" w:rsidR="00F07DA1" w:rsidRDefault="00B1391D">
      <w:pPr>
        <w:pStyle w:val="TOC1"/>
        <w:rPr>
          <w:rFonts w:asciiTheme="minorHAnsi" w:eastAsiaTheme="minorEastAsia" w:hAnsiTheme="minorHAnsi" w:cstheme="minorBidi"/>
          <w:b w:val="0"/>
          <w:sz w:val="22"/>
          <w:szCs w:val="22"/>
          <w:lang w:eastAsia="en-AU"/>
        </w:rPr>
      </w:pPr>
      <w:hyperlink w:anchor="_Toc93931037" w:history="1">
        <w:r w:rsidR="00F07DA1" w:rsidRPr="00653071">
          <w:rPr>
            <w:rStyle w:val="Hyperlink"/>
          </w:rPr>
          <w:t>Our approach to assessing digital health maturity</w:t>
        </w:r>
        <w:r w:rsidR="00F07DA1">
          <w:rPr>
            <w:webHidden/>
          </w:rPr>
          <w:tab/>
        </w:r>
        <w:r w:rsidR="00F07DA1">
          <w:rPr>
            <w:webHidden/>
          </w:rPr>
          <w:fldChar w:fldCharType="begin"/>
        </w:r>
        <w:r w:rsidR="00F07DA1">
          <w:rPr>
            <w:webHidden/>
          </w:rPr>
          <w:instrText xml:space="preserve"> PAGEREF _Toc93931037 \h </w:instrText>
        </w:r>
        <w:r w:rsidR="00F07DA1">
          <w:rPr>
            <w:webHidden/>
          </w:rPr>
        </w:r>
        <w:r w:rsidR="00F07DA1">
          <w:rPr>
            <w:webHidden/>
          </w:rPr>
          <w:fldChar w:fldCharType="separate"/>
        </w:r>
        <w:r w:rsidR="00F07DA1">
          <w:rPr>
            <w:webHidden/>
          </w:rPr>
          <w:t>1</w:t>
        </w:r>
        <w:r w:rsidR="00F07DA1">
          <w:rPr>
            <w:webHidden/>
          </w:rPr>
          <w:fldChar w:fldCharType="end"/>
        </w:r>
      </w:hyperlink>
    </w:p>
    <w:p w14:paraId="4AB2451A" w14:textId="362CEEC6" w:rsidR="00F07DA1" w:rsidRDefault="00B1391D">
      <w:pPr>
        <w:pStyle w:val="TOC1"/>
        <w:rPr>
          <w:rFonts w:asciiTheme="minorHAnsi" w:eastAsiaTheme="minorEastAsia" w:hAnsiTheme="minorHAnsi" w:cstheme="minorBidi"/>
          <w:b w:val="0"/>
          <w:sz w:val="22"/>
          <w:szCs w:val="22"/>
          <w:lang w:eastAsia="en-AU"/>
        </w:rPr>
      </w:pPr>
      <w:hyperlink w:anchor="_Toc93931038" w:history="1">
        <w:r w:rsidR="00F07DA1" w:rsidRPr="00653071">
          <w:rPr>
            <w:rStyle w:val="Hyperlink"/>
          </w:rPr>
          <w:t>The journey and approach to assessment</w:t>
        </w:r>
        <w:r w:rsidR="00F07DA1">
          <w:rPr>
            <w:webHidden/>
          </w:rPr>
          <w:tab/>
        </w:r>
        <w:r w:rsidR="00F07DA1">
          <w:rPr>
            <w:webHidden/>
          </w:rPr>
          <w:fldChar w:fldCharType="begin"/>
        </w:r>
        <w:r w:rsidR="00F07DA1">
          <w:rPr>
            <w:webHidden/>
          </w:rPr>
          <w:instrText xml:space="preserve"> PAGEREF _Toc93931038 \h </w:instrText>
        </w:r>
        <w:r w:rsidR="00F07DA1">
          <w:rPr>
            <w:webHidden/>
          </w:rPr>
        </w:r>
        <w:r w:rsidR="00F07DA1">
          <w:rPr>
            <w:webHidden/>
          </w:rPr>
          <w:fldChar w:fldCharType="separate"/>
        </w:r>
        <w:r w:rsidR="00F07DA1">
          <w:rPr>
            <w:webHidden/>
          </w:rPr>
          <w:t>2</w:t>
        </w:r>
        <w:r w:rsidR="00F07DA1">
          <w:rPr>
            <w:webHidden/>
          </w:rPr>
          <w:fldChar w:fldCharType="end"/>
        </w:r>
      </w:hyperlink>
    </w:p>
    <w:p w14:paraId="3411C280" w14:textId="4CCFB70B" w:rsidR="00F07DA1" w:rsidRDefault="00B1391D">
      <w:pPr>
        <w:pStyle w:val="TOC1"/>
        <w:rPr>
          <w:rFonts w:asciiTheme="minorHAnsi" w:eastAsiaTheme="minorEastAsia" w:hAnsiTheme="minorHAnsi" w:cstheme="minorBidi"/>
          <w:b w:val="0"/>
          <w:sz w:val="22"/>
          <w:szCs w:val="22"/>
          <w:lang w:eastAsia="en-AU"/>
        </w:rPr>
      </w:pPr>
      <w:hyperlink w:anchor="_Toc93931039" w:history="1">
        <w:r w:rsidR="00F07DA1" w:rsidRPr="00653071">
          <w:rPr>
            <w:rStyle w:val="Hyperlink"/>
          </w:rPr>
          <w:t>Measuring digital health maturity</w:t>
        </w:r>
        <w:r w:rsidR="00F07DA1">
          <w:rPr>
            <w:webHidden/>
          </w:rPr>
          <w:tab/>
        </w:r>
        <w:r w:rsidR="00F07DA1">
          <w:rPr>
            <w:webHidden/>
          </w:rPr>
          <w:fldChar w:fldCharType="begin"/>
        </w:r>
        <w:r w:rsidR="00F07DA1">
          <w:rPr>
            <w:webHidden/>
          </w:rPr>
          <w:instrText xml:space="preserve"> PAGEREF _Toc93931039 \h </w:instrText>
        </w:r>
        <w:r w:rsidR="00F07DA1">
          <w:rPr>
            <w:webHidden/>
          </w:rPr>
        </w:r>
        <w:r w:rsidR="00F07DA1">
          <w:rPr>
            <w:webHidden/>
          </w:rPr>
          <w:fldChar w:fldCharType="separate"/>
        </w:r>
        <w:r w:rsidR="00F07DA1">
          <w:rPr>
            <w:webHidden/>
          </w:rPr>
          <w:t>4</w:t>
        </w:r>
        <w:r w:rsidR="00F07DA1">
          <w:rPr>
            <w:webHidden/>
          </w:rPr>
          <w:fldChar w:fldCharType="end"/>
        </w:r>
      </w:hyperlink>
    </w:p>
    <w:p w14:paraId="285F69FD" w14:textId="58137A72" w:rsidR="00F07DA1" w:rsidRDefault="00B1391D">
      <w:pPr>
        <w:pStyle w:val="TOC1"/>
        <w:rPr>
          <w:rFonts w:asciiTheme="minorHAnsi" w:eastAsiaTheme="minorEastAsia" w:hAnsiTheme="minorHAnsi" w:cstheme="minorBidi"/>
          <w:b w:val="0"/>
          <w:sz w:val="22"/>
          <w:szCs w:val="22"/>
          <w:lang w:eastAsia="en-AU"/>
        </w:rPr>
      </w:pPr>
      <w:hyperlink w:anchor="_Toc93931040" w:history="1">
        <w:r w:rsidR="00F07DA1" w:rsidRPr="00653071">
          <w:rPr>
            <w:rStyle w:val="Hyperlink"/>
          </w:rPr>
          <w:t>Independent evaluation of the model</w:t>
        </w:r>
        <w:r w:rsidR="00F07DA1">
          <w:rPr>
            <w:webHidden/>
          </w:rPr>
          <w:tab/>
        </w:r>
        <w:r w:rsidR="00F07DA1">
          <w:rPr>
            <w:webHidden/>
          </w:rPr>
          <w:fldChar w:fldCharType="begin"/>
        </w:r>
        <w:r w:rsidR="00F07DA1">
          <w:rPr>
            <w:webHidden/>
          </w:rPr>
          <w:instrText xml:space="preserve"> PAGEREF _Toc93931040 \h </w:instrText>
        </w:r>
        <w:r w:rsidR="00F07DA1">
          <w:rPr>
            <w:webHidden/>
          </w:rPr>
        </w:r>
        <w:r w:rsidR="00F07DA1">
          <w:rPr>
            <w:webHidden/>
          </w:rPr>
          <w:fldChar w:fldCharType="separate"/>
        </w:r>
        <w:r w:rsidR="00F07DA1">
          <w:rPr>
            <w:webHidden/>
          </w:rPr>
          <w:t>4</w:t>
        </w:r>
        <w:r w:rsidR="00F07DA1">
          <w:rPr>
            <w:webHidden/>
          </w:rPr>
          <w:fldChar w:fldCharType="end"/>
        </w:r>
      </w:hyperlink>
    </w:p>
    <w:p w14:paraId="6F71DF4E" w14:textId="6D1401FC" w:rsidR="00F07DA1" w:rsidRDefault="00B1391D">
      <w:pPr>
        <w:pStyle w:val="TOC1"/>
        <w:rPr>
          <w:rFonts w:asciiTheme="minorHAnsi" w:eastAsiaTheme="minorEastAsia" w:hAnsiTheme="minorHAnsi" w:cstheme="minorBidi"/>
          <w:b w:val="0"/>
          <w:sz w:val="22"/>
          <w:szCs w:val="22"/>
          <w:lang w:eastAsia="en-AU"/>
        </w:rPr>
      </w:pPr>
      <w:hyperlink w:anchor="_Toc93931041" w:history="1">
        <w:r w:rsidR="00F07DA1" w:rsidRPr="00653071">
          <w:rPr>
            <w:rStyle w:val="Hyperlink"/>
          </w:rPr>
          <w:t>Victoria’s digital health roadmap</w:t>
        </w:r>
        <w:r w:rsidR="00F07DA1">
          <w:rPr>
            <w:webHidden/>
          </w:rPr>
          <w:tab/>
        </w:r>
        <w:r w:rsidR="00F07DA1">
          <w:rPr>
            <w:webHidden/>
          </w:rPr>
          <w:fldChar w:fldCharType="begin"/>
        </w:r>
        <w:r w:rsidR="00F07DA1">
          <w:rPr>
            <w:webHidden/>
          </w:rPr>
          <w:instrText xml:space="preserve"> PAGEREF _Toc93931041 \h </w:instrText>
        </w:r>
        <w:r w:rsidR="00F07DA1">
          <w:rPr>
            <w:webHidden/>
          </w:rPr>
        </w:r>
        <w:r w:rsidR="00F07DA1">
          <w:rPr>
            <w:webHidden/>
          </w:rPr>
          <w:fldChar w:fldCharType="separate"/>
        </w:r>
        <w:r w:rsidR="00F07DA1">
          <w:rPr>
            <w:webHidden/>
          </w:rPr>
          <w:t>5</w:t>
        </w:r>
        <w:r w:rsidR="00F07DA1">
          <w:rPr>
            <w:webHidden/>
          </w:rPr>
          <w:fldChar w:fldCharType="end"/>
        </w:r>
      </w:hyperlink>
    </w:p>
    <w:p w14:paraId="721EA635" w14:textId="7E90AFB7" w:rsidR="007173CA" w:rsidRDefault="00AD784C" w:rsidP="00D079AA">
      <w:pPr>
        <w:pStyle w:val="Body"/>
      </w:pPr>
      <w:r>
        <w:fldChar w:fldCharType="end"/>
      </w:r>
    </w:p>
    <w:p w14:paraId="02960BB4" w14:textId="3B3D45DC" w:rsidR="00EE29AD" w:rsidRDefault="00D15CBA" w:rsidP="00E261B3">
      <w:pPr>
        <w:pStyle w:val="Heading1"/>
      </w:pPr>
      <w:bookmarkStart w:id="0" w:name="_Toc93931036"/>
      <w:r>
        <w:t>The Problem</w:t>
      </w:r>
      <w:bookmarkEnd w:id="0"/>
    </w:p>
    <w:p w14:paraId="580503B3" w14:textId="4D0738E9" w:rsidR="00185F08" w:rsidRPr="00185F08" w:rsidRDefault="00185F08" w:rsidP="00185F08">
      <w:pPr>
        <w:spacing w:line="276" w:lineRule="auto"/>
        <w:jc w:val="both"/>
        <w:rPr>
          <w:rFonts w:eastAsiaTheme="minorHAnsi" w:cs="Arial"/>
          <w:sz w:val="22"/>
          <w:szCs w:val="22"/>
        </w:rPr>
      </w:pPr>
      <w:r w:rsidRPr="00185F08">
        <w:rPr>
          <w:rFonts w:eastAsia="Times"/>
          <w:sz w:val="20"/>
        </w:rPr>
        <w:t xml:space="preserve">In May 2017 the Victorian Auditor-General report, </w:t>
      </w:r>
      <w:r w:rsidRPr="00185F08">
        <w:rPr>
          <w:rFonts w:eastAsia="Times"/>
          <w:i/>
          <w:iCs/>
          <w:sz w:val="20"/>
        </w:rPr>
        <w:t>ICT Strategic Planning in the Health Sector</w:t>
      </w:r>
      <w:r w:rsidRPr="00185F08">
        <w:rPr>
          <w:rFonts w:eastAsia="Times"/>
          <w:sz w:val="20"/>
        </w:rPr>
        <w:t>, recommended that the department require</w:t>
      </w:r>
      <w:r>
        <w:rPr>
          <w:rFonts w:eastAsia="Times"/>
          <w:sz w:val="20"/>
        </w:rPr>
        <w:t>d</w:t>
      </w:r>
      <w:r w:rsidRPr="00185F08">
        <w:rPr>
          <w:rFonts w:eastAsia="Times"/>
          <w:sz w:val="20"/>
        </w:rPr>
        <w:t xml:space="preserve"> comprehensive assessment of clinical ICT maturity. This is to ensure investment decisions are directed to addressing the most critical health ICT needs</w:t>
      </w:r>
      <w:r w:rsidRPr="00185F08">
        <w:rPr>
          <w:rFonts w:eastAsiaTheme="minorHAnsi" w:cs="Arial"/>
          <w:sz w:val="22"/>
          <w:szCs w:val="22"/>
        </w:rPr>
        <w:t>.</w:t>
      </w:r>
    </w:p>
    <w:p w14:paraId="6A3CF6B0" w14:textId="12C9DEBA" w:rsidR="00185F08" w:rsidRPr="006A7227" w:rsidRDefault="00185F08" w:rsidP="00185F08">
      <w:pPr>
        <w:spacing w:line="270" w:lineRule="atLeast"/>
        <w:ind w:left="720"/>
        <w:rPr>
          <w:rFonts w:eastAsia="MS PGothic"/>
          <w:color w:val="000000" w:themeColor="text1"/>
          <w:kern w:val="24"/>
          <w:sz w:val="20"/>
        </w:rPr>
      </w:pPr>
      <w:r w:rsidRPr="00185F08">
        <w:rPr>
          <w:rFonts w:eastAsia="MS PGothic"/>
          <w:b/>
          <w:bCs/>
          <w:color w:val="000000" w:themeColor="text1"/>
          <w:kern w:val="24"/>
          <w:sz w:val="20"/>
        </w:rPr>
        <w:t>“</w:t>
      </w:r>
      <w:r w:rsidRPr="00185F08">
        <w:rPr>
          <w:rFonts w:eastAsia="MS PGothic"/>
          <w:color w:val="000000" w:themeColor="text1"/>
          <w:kern w:val="24"/>
          <w:sz w:val="20"/>
        </w:rPr>
        <w:t xml:space="preserve">The department’s </w:t>
      </w:r>
      <w:r w:rsidRPr="006A7227">
        <w:rPr>
          <w:rFonts w:eastAsia="MS PGothic"/>
          <w:color w:val="000000" w:themeColor="text1"/>
          <w:kern w:val="24"/>
          <w:sz w:val="20"/>
        </w:rPr>
        <w:t>(</w:t>
      </w:r>
      <w:r w:rsidRPr="006A7227">
        <w:rPr>
          <w:rFonts w:eastAsia="MS PGothic"/>
          <w:i/>
          <w:iCs/>
          <w:color w:val="000000" w:themeColor="text1"/>
          <w:kern w:val="24"/>
          <w:sz w:val="20"/>
        </w:rPr>
        <w:t>digital health</w:t>
      </w:r>
      <w:r w:rsidRPr="006A7227">
        <w:rPr>
          <w:rFonts w:eastAsia="MS PGothic"/>
          <w:color w:val="000000" w:themeColor="text1"/>
          <w:kern w:val="24"/>
          <w:sz w:val="20"/>
        </w:rPr>
        <w:t xml:space="preserve">) investment decisions have not been informed by a comprehensive understanding of clinical ICT maturity or an inventory of key ICT assets in the sector. As a result, there is limited assurance that scarce government funding has been directed to address the most critical health ICT needs or has been appropriately distributed.” </w:t>
      </w:r>
      <w:r w:rsidRPr="006A7227">
        <w:rPr>
          <w:rFonts w:eastAsia="MS PGothic" w:cs="Arial"/>
          <w:color w:val="000000" w:themeColor="text1"/>
          <w:kern w:val="24"/>
          <w:sz w:val="20"/>
          <w:vertAlign w:val="superscript"/>
        </w:rPr>
        <w:footnoteReference w:id="1"/>
      </w:r>
    </w:p>
    <w:p w14:paraId="50B3F149" w14:textId="20C5B0C2" w:rsidR="007106EA" w:rsidRDefault="007106EA" w:rsidP="007106EA">
      <w:pPr>
        <w:spacing w:line="270" w:lineRule="atLeast"/>
        <w:jc w:val="both"/>
        <w:rPr>
          <w:rFonts w:eastAsia="Times"/>
          <w:sz w:val="20"/>
        </w:rPr>
      </w:pPr>
      <w:r w:rsidRPr="006A7227">
        <w:rPr>
          <w:rFonts w:eastAsia="Times"/>
          <w:sz w:val="20"/>
        </w:rPr>
        <w:t>The department accepted this recommendation and in response, has developed Victoria’s Digital Health Maturity Model</w:t>
      </w:r>
      <w:r w:rsidR="00B55668" w:rsidRPr="006A7227">
        <w:rPr>
          <w:rFonts w:eastAsia="Times"/>
          <w:sz w:val="20"/>
        </w:rPr>
        <w:t xml:space="preserve"> (‘the Model’)</w:t>
      </w:r>
      <w:r w:rsidR="00151BB2" w:rsidRPr="006A7227">
        <w:rPr>
          <w:rFonts w:eastAsia="Times"/>
          <w:sz w:val="20"/>
        </w:rPr>
        <w:t>. The Model</w:t>
      </w:r>
      <w:r w:rsidRPr="006A7227">
        <w:rPr>
          <w:rFonts w:eastAsia="Times"/>
          <w:sz w:val="20"/>
        </w:rPr>
        <w:t xml:space="preserve"> is tailored to</w:t>
      </w:r>
      <w:r w:rsidRPr="00185F08">
        <w:rPr>
          <w:rFonts w:eastAsia="Times"/>
          <w:sz w:val="20"/>
        </w:rPr>
        <w:t xml:space="preserve"> the needs of the </w:t>
      </w:r>
      <w:r w:rsidR="00151BB2">
        <w:rPr>
          <w:rFonts w:eastAsia="Times"/>
          <w:sz w:val="20"/>
        </w:rPr>
        <w:t>Victoria</w:t>
      </w:r>
      <w:r w:rsidRPr="00185F08">
        <w:rPr>
          <w:rFonts w:eastAsia="Times"/>
          <w:sz w:val="20"/>
        </w:rPr>
        <w:t xml:space="preserve">’s public health service </w:t>
      </w:r>
      <w:r w:rsidR="00C475E5" w:rsidRPr="00185F08">
        <w:rPr>
          <w:rFonts w:eastAsia="Times"/>
          <w:sz w:val="20"/>
        </w:rPr>
        <w:t>providers</w:t>
      </w:r>
      <w:r w:rsidR="00C475E5">
        <w:rPr>
          <w:rFonts w:eastAsia="Times"/>
          <w:sz w:val="20"/>
        </w:rPr>
        <w:t xml:space="preserve"> and</w:t>
      </w:r>
      <w:r w:rsidRPr="00185F08">
        <w:rPr>
          <w:rFonts w:eastAsia="Times"/>
          <w:sz w:val="20"/>
        </w:rPr>
        <w:t xml:space="preserve"> aligned to Victoria’s and Australia’s public health care system. </w:t>
      </w:r>
    </w:p>
    <w:p w14:paraId="0B6FAA2B" w14:textId="77777777" w:rsidR="00BD1328" w:rsidRPr="00BD1328" w:rsidRDefault="00BD1328" w:rsidP="00344920">
      <w:pPr>
        <w:pStyle w:val="Heading1"/>
      </w:pPr>
      <w:bookmarkStart w:id="1" w:name="_Toc93931037"/>
      <w:r w:rsidRPr="00BD1328">
        <w:t>Our approach to assessing digital health maturity</w:t>
      </w:r>
      <w:bookmarkEnd w:id="1"/>
    </w:p>
    <w:p w14:paraId="3D53FB8A" w14:textId="134FF19D" w:rsidR="00BD1328" w:rsidRPr="00BD1328" w:rsidRDefault="00B55668" w:rsidP="00BD1328">
      <w:pPr>
        <w:spacing w:line="270" w:lineRule="atLeast"/>
        <w:rPr>
          <w:rFonts w:eastAsia="Times"/>
          <w:sz w:val="20"/>
        </w:rPr>
      </w:pPr>
      <w:r>
        <w:rPr>
          <w:rFonts w:eastAsia="Times"/>
          <w:sz w:val="20"/>
        </w:rPr>
        <w:t xml:space="preserve">Prior to the Model, </w:t>
      </w:r>
      <w:r w:rsidR="00BD1328" w:rsidRPr="00BD1328">
        <w:rPr>
          <w:rFonts w:eastAsia="Times"/>
          <w:sz w:val="20"/>
        </w:rPr>
        <w:t>Victorian health service</w:t>
      </w:r>
      <w:r>
        <w:rPr>
          <w:rFonts w:eastAsia="Times"/>
          <w:sz w:val="20"/>
        </w:rPr>
        <w:t>s used</w:t>
      </w:r>
      <w:r w:rsidR="00BD1328" w:rsidRPr="00BD1328">
        <w:rPr>
          <w:rFonts w:eastAsia="Times"/>
          <w:sz w:val="20"/>
        </w:rPr>
        <w:t xml:space="preserve"> </w:t>
      </w:r>
      <w:r>
        <w:rPr>
          <w:rFonts w:eastAsia="Times"/>
          <w:sz w:val="20"/>
        </w:rPr>
        <w:t xml:space="preserve">internationally available </w:t>
      </w:r>
      <w:r w:rsidR="00BD1328" w:rsidRPr="002148BA">
        <w:rPr>
          <w:rFonts w:eastAsia="Times"/>
          <w:sz w:val="20"/>
        </w:rPr>
        <w:t>assessments</w:t>
      </w:r>
      <w:r w:rsidR="00403EC0" w:rsidRPr="002148BA">
        <w:rPr>
          <w:rFonts w:eastAsia="Times"/>
          <w:sz w:val="20"/>
        </w:rPr>
        <w:t xml:space="preserve"> </w:t>
      </w:r>
      <w:r w:rsidR="00BD1328" w:rsidRPr="002148BA">
        <w:rPr>
          <w:rFonts w:eastAsia="Times"/>
          <w:sz w:val="20"/>
        </w:rPr>
        <w:t xml:space="preserve">focussed on hospitals and international </w:t>
      </w:r>
      <w:r w:rsidRPr="002148BA">
        <w:rPr>
          <w:rFonts w:eastAsia="Times"/>
          <w:sz w:val="20"/>
        </w:rPr>
        <w:t>context</w:t>
      </w:r>
      <w:r w:rsidR="002148BA">
        <w:rPr>
          <w:rFonts w:eastAsia="Times"/>
          <w:sz w:val="20"/>
        </w:rPr>
        <w:t xml:space="preserve">. </w:t>
      </w:r>
      <w:r w:rsidR="00BD1328" w:rsidRPr="002148BA">
        <w:rPr>
          <w:rFonts w:eastAsia="Times"/>
          <w:sz w:val="20"/>
        </w:rPr>
        <w:t>These models did not provide a comprehensive picture</w:t>
      </w:r>
      <w:r w:rsidR="00BD1328" w:rsidRPr="00B55668">
        <w:rPr>
          <w:rFonts w:eastAsia="Times"/>
          <w:sz w:val="20"/>
        </w:rPr>
        <w:t xml:space="preserve"> of the components of health service digital maturity. </w:t>
      </w:r>
      <w:r w:rsidR="00BD1328" w:rsidRPr="002148BA">
        <w:rPr>
          <w:rFonts w:eastAsia="Times"/>
          <w:sz w:val="20"/>
        </w:rPr>
        <w:t>They</w:t>
      </w:r>
      <w:r w:rsidR="00BD1328" w:rsidRPr="00B55668">
        <w:rPr>
          <w:rFonts w:eastAsia="Times"/>
          <w:sz w:val="20"/>
        </w:rPr>
        <w:t xml:space="preserve"> were</w:t>
      </w:r>
      <w:r w:rsidR="00BD1328" w:rsidRPr="00BD1328">
        <w:rPr>
          <w:rFonts w:eastAsia="Times"/>
          <w:sz w:val="20"/>
        </w:rPr>
        <w:t xml:space="preserve"> not suited to our health services, nor to community health and aged care.</w:t>
      </w:r>
    </w:p>
    <w:p w14:paraId="59E5C13C" w14:textId="7D78CA5E" w:rsidR="00BD1328" w:rsidRPr="00BD1328" w:rsidRDefault="00BD1328" w:rsidP="00BD1328">
      <w:pPr>
        <w:spacing w:line="270" w:lineRule="atLeast"/>
        <w:rPr>
          <w:rFonts w:eastAsia="Times"/>
          <w:sz w:val="20"/>
        </w:rPr>
      </w:pPr>
      <w:r w:rsidRPr="00BD1328">
        <w:rPr>
          <w:rFonts w:eastAsia="Times"/>
          <w:sz w:val="20"/>
        </w:rPr>
        <w:t>In the absence of a</w:t>
      </w:r>
      <w:r w:rsidR="00403EC0">
        <w:rPr>
          <w:rFonts w:eastAsia="Times"/>
          <w:sz w:val="20"/>
        </w:rPr>
        <w:t>n</w:t>
      </w:r>
      <w:r w:rsidRPr="00BD1328">
        <w:rPr>
          <w:rFonts w:eastAsia="Times"/>
          <w:sz w:val="20"/>
        </w:rPr>
        <w:t xml:space="preserve"> ‘off-the-shelf’ digital maturity model, the department set about defining a model and self-assessment tool. It needed to be practical, and applicable to a range of health care settings.</w:t>
      </w:r>
    </w:p>
    <w:p w14:paraId="5E330E69" w14:textId="7CF4C050" w:rsidR="00BD1328" w:rsidRPr="00BD1328" w:rsidRDefault="00BD1328" w:rsidP="00BD1328">
      <w:pPr>
        <w:spacing w:line="270" w:lineRule="atLeast"/>
        <w:rPr>
          <w:rFonts w:eastAsia="Times"/>
          <w:sz w:val="20"/>
        </w:rPr>
      </w:pPr>
      <w:r w:rsidRPr="00BD1328">
        <w:rPr>
          <w:rFonts w:eastAsia="Times"/>
          <w:sz w:val="20"/>
        </w:rPr>
        <w:lastRenderedPageBreak/>
        <w:t xml:space="preserve">Following </w:t>
      </w:r>
      <w:r w:rsidR="00DC54AD">
        <w:rPr>
          <w:rFonts w:eastAsia="Times"/>
          <w:sz w:val="20"/>
        </w:rPr>
        <w:t>ex</w:t>
      </w:r>
      <w:r w:rsidRPr="00BD1328">
        <w:rPr>
          <w:rFonts w:eastAsia="Times"/>
          <w:sz w:val="20"/>
        </w:rPr>
        <w:t>tensive consultation and research, Victoria’s digital health maturity model was documented, comprising nine pillars. This model was piloted in 76 health services. That experience produced a comprehensive maturity model that:</w:t>
      </w:r>
    </w:p>
    <w:p w14:paraId="67BCB666" w14:textId="0B42A5D4" w:rsidR="00BD1328" w:rsidRPr="00BD1328" w:rsidRDefault="00BD1328" w:rsidP="004A7050">
      <w:pPr>
        <w:pStyle w:val="ListParagraph"/>
        <w:numPr>
          <w:ilvl w:val="0"/>
          <w:numId w:val="7"/>
        </w:numPr>
        <w:spacing w:after="40" w:line="240" w:lineRule="auto"/>
        <w:rPr>
          <w:rFonts w:eastAsia="Times"/>
          <w:sz w:val="20"/>
        </w:rPr>
      </w:pPr>
      <w:r w:rsidRPr="00BD1328">
        <w:rPr>
          <w:rFonts w:eastAsia="Times"/>
          <w:sz w:val="20"/>
        </w:rPr>
        <w:t xml:space="preserve">meets the needs of </w:t>
      </w:r>
      <w:r w:rsidR="00E64EAE">
        <w:rPr>
          <w:rFonts w:eastAsia="Times"/>
          <w:sz w:val="20"/>
        </w:rPr>
        <w:t xml:space="preserve">Victoria’s </w:t>
      </w:r>
      <w:r w:rsidRPr="00BD1328">
        <w:rPr>
          <w:rFonts w:eastAsia="Times"/>
          <w:sz w:val="20"/>
        </w:rPr>
        <w:t xml:space="preserve">health service Boards and executives </w:t>
      </w:r>
    </w:p>
    <w:p w14:paraId="4DAE423E" w14:textId="77777777" w:rsidR="00BD1328" w:rsidRPr="00BD1328" w:rsidRDefault="00BD1328" w:rsidP="004A7050">
      <w:pPr>
        <w:pStyle w:val="ListParagraph"/>
        <w:numPr>
          <w:ilvl w:val="0"/>
          <w:numId w:val="7"/>
        </w:numPr>
        <w:spacing w:after="40" w:line="240" w:lineRule="auto"/>
        <w:rPr>
          <w:rFonts w:eastAsia="Times"/>
          <w:sz w:val="20"/>
        </w:rPr>
      </w:pPr>
      <w:r w:rsidRPr="00BD1328">
        <w:rPr>
          <w:rFonts w:eastAsia="Times"/>
          <w:sz w:val="20"/>
        </w:rPr>
        <w:t xml:space="preserve">considers a validated suite of eHealth enablers </w:t>
      </w:r>
    </w:p>
    <w:p w14:paraId="31302089" w14:textId="77777777" w:rsidR="00BD1328" w:rsidRPr="00BD1328" w:rsidRDefault="00BD1328" w:rsidP="004A7050">
      <w:pPr>
        <w:pStyle w:val="ListParagraph"/>
        <w:numPr>
          <w:ilvl w:val="0"/>
          <w:numId w:val="7"/>
        </w:numPr>
        <w:spacing w:after="40" w:line="240" w:lineRule="auto"/>
        <w:rPr>
          <w:rFonts w:eastAsia="Times"/>
          <w:sz w:val="20"/>
        </w:rPr>
      </w:pPr>
      <w:r w:rsidRPr="00BD1328">
        <w:rPr>
          <w:rFonts w:eastAsia="Times"/>
          <w:sz w:val="20"/>
        </w:rPr>
        <w:t>enables the department to assess ICT capability and clinical ICT maturity</w:t>
      </w:r>
      <w:r w:rsidRPr="00BD1328">
        <w:rPr>
          <w:rFonts w:eastAsia="Times" w:cs="Arial"/>
          <w:vertAlign w:val="superscript"/>
        </w:rPr>
        <w:footnoteReference w:id="2"/>
      </w:r>
    </w:p>
    <w:p w14:paraId="6650AF3F" w14:textId="77777777" w:rsidR="004033AD" w:rsidRPr="004033AD" w:rsidRDefault="004033AD" w:rsidP="004033AD">
      <w:pPr>
        <w:pStyle w:val="Heading1"/>
      </w:pPr>
      <w:bookmarkStart w:id="2" w:name="_Toc93931038"/>
      <w:r w:rsidRPr="004033AD">
        <w:t>The journey and approach to assessment</w:t>
      </w:r>
      <w:bookmarkEnd w:id="2"/>
    </w:p>
    <w:p w14:paraId="405FF51B" w14:textId="4CC8F53A" w:rsidR="004033AD" w:rsidRPr="00B06E30" w:rsidRDefault="004033AD" w:rsidP="004033AD">
      <w:pPr>
        <w:pStyle w:val="DHHSbody"/>
        <w:jc w:val="both"/>
      </w:pPr>
      <w:r w:rsidRPr="00B06E30">
        <w:t xml:space="preserve">In 2018, the department </w:t>
      </w:r>
      <w:r>
        <w:t xml:space="preserve">engaged </w:t>
      </w:r>
      <w:r w:rsidRPr="00B06E30">
        <w:t>Ernst and Young</w:t>
      </w:r>
      <w:r w:rsidR="00773B1B">
        <w:rPr>
          <w:rStyle w:val="FootnoteReference"/>
        </w:rPr>
        <w:footnoteReference w:id="3"/>
      </w:r>
      <w:r w:rsidRPr="00B06E30">
        <w:t xml:space="preserve"> to co-design a digital health maturity model </w:t>
      </w:r>
      <w:r>
        <w:t xml:space="preserve">and </w:t>
      </w:r>
      <w:r w:rsidRPr="00B06E30">
        <w:t xml:space="preserve">assessment </w:t>
      </w:r>
      <w:r>
        <w:t xml:space="preserve">tool. The tool was designed to assess </w:t>
      </w:r>
      <w:r w:rsidRPr="00B06E30">
        <w:t>Victorian public health</w:t>
      </w:r>
      <w:r>
        <w:t xml:space="preserve"> services and align with the </w:t>
      </w:r>
      <w:r w:rsidRPr="00B06E30">
        <w:t>Australian healthcare system.</w:t>
      </w:r>
    </w:p>
    <w:p w14:paraId="3C4AD1E5" w14:textId="736AA03A" w:rsidR="004033AD" w:rsidRPr="00B06E30" w:rsidRDefault="004033AD" w:rsidP="004033AD">
      <w:pPr>
        <w:pStyle w:val="DHHSbody"/>
        <w:jc w:val="both"/>
      </w:pPr>
      <w:r w:rsidRPr="00B06E30">
        <w:t xml:space="preserve">The model is built around </w:t>
      </w:r>
      <w:r>
        <w:t xml:space="preserve">nine </w:t>
      </w:r>
      <w:r w:rsidRPr="00B06E30">
        <w:t>pillars</w:t>
      </w:r>
      <w:r>
        <w:t>.</w:t>
      </w:r>
      <w:r w:rsidRPr="00B06E30">
        <w:t xml:space="preserve"> ‘Governance and stewardship’ </w:t>
      </w:r>
      <w:r>
        <w:t xml:space="preserve">sits across the </w:t>
      </w:r>
      <w:r w:rsidR="00396D50">
        <w:t xml:space="preserve">nine </w:t>
      </w:r>
      <w:r>
        <w:t>pillars</w:t>
      </w:r>
      <w:r w:rsidRPr="00B06E30">
        <w:t xml:space="preserve">. </w:t>
      </w:r>
    </w:p>
    <w:p w14:paraId="1D6303CD" w14:textId="77777777" w:rsidR="004033AD" w:rsidRPr="00B06E30" w:rsidRDefault="004033AD" w:rsidP="004033AD">
      <w:pPr>
        <w:pStyle w:val="Figurecaption"/>
        <w:jc w:val="center"/>
        <w:rPr>
          <w:rFonts w:cs="Arial"/>
        </w:rPr>
      </w:pPr>
      <w:r w:rsidRPr="00B06E30">
        <w:rPr>
          <w:rFonts w:cs="Arial"/>
        </w:rPr>
        <w:t>Figure 1: Overview of the Victoria’s Digital Health Maturity Model</w:t>
      </w:r>
    </w:p>
    <w:p w14:paraId="400B2B07" w14:textId="4C48C629" w:rsidR="004033AD" w:rsidRDefault="0008630D" w:rsidP="00E261B3">
      <w:pPr>
        <w:pStyle w:val="Figurecaption"/>
      </w:pPr>
      <w:r w:rsidRPr="00B06E30">
        <w:rPr>
          <w:rFonts w:cs="Arial"/>
          <w:noProof/>
        </w:rPr>
        <w:drawing>
          <wp:inline distT="0" distB="0" distL="0" distR="0" wp14:anchorId="1EE6FB7F" wp14:editId="7C72C01F">
            <wp:extent cx="5731231" cy="2824223"/>
            <wp:effectExtent l="0" t="0" r="3175" b="0"/>
            <wp:docPr id="44" name="Picture 44" descr="A text-equivalent description of this figure is available in Appendix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text-equivalent description of this figure is available in Appendix 2. "/>
                    <pic:cNvPicPr/>
                  </pic:nvPicPr>
                  <pic:blipFill>
                    <a:blip r:embed="rId15"/>
                    <a:stretch>
                      <a:fillRect/>
                    </a:stretch>
                  </pic:blipFill>
                  <pic:spPr>
                    <a:xfrm>
                      <a:off x="0" y="0"/>
                      <a:ext cx="5738956" cy="2828030"/>
                    </a:xfrm>
                    <a:prstGeom prst="rect">
                      <a:avLst/>
                    </a:prstGeom>
                  </pic:spPr>
                </pic:pic>
              </a:graphicData>
            </a:graphic>
          </wp:inline>
        </w:drawing>
      </w:r>
    </w:p>
    <w:p w14:paraId="5641FD15" w14:textId="77777777" w:rsidR="00D31B24" w:rsidRPr="00D31B24" w:rsidRDefault="00D31B24" w:rsidP="00D31B24">
      <w:pPr>
        <w:spacing w:line="270" w:lineRule="atLeast"/>
        <w:jc w:val="both"/>
        <w:rPr>
          <w:rFonts w:eastAsia="Times"/>
          <w:sz w:val="20"/>
        </w:rPr>
      </w:pPr>
      <w:r w:rsidRPr="00D31B24">
        <w:rPr>
          <w:rFonts w:eastAsia="Times"/>
          <w:sz w:val="20"/>
        </w:rPr>
        <w:t>The assessment consists of 40 targeted questions. Approximately 730 data points are collated across the pillars of the model measuring a comprehensive suite of eHealth enablers. Four domains underpin Governance and Stewardship in the model:</w:t>
      </w:r>
    </w:p>
    <w:p w14:paraId="3C96E4CC" w14:textId="77777777" w:rsidR="00D31B24" w:rsidRPr="00D31B24" w:rsidRDefault="00D31B24" w:rsidP="00D31B24">
      <w:pPr>
        <w:spacing w:after="40"/>
        <w:ind w:left="851"/>
        <w:rPr>
          <w:rFonts w:eastAsia="Times"/>
          <w:i/>
          <w:iCs/>
          <w:sz w:val="20"/>
        </w:rPr>
      </w:pPr>
      <w:r w:rsidRPr="00D31B24">
        <w:rPr>
          <w:rFonts w:eastAsia="Times"/>
          <w:i/>
          <w:iCs/>
          <w:sz w:val="20"/>
        </w:rPr>
        <w:t>Alignment of leadership, oversight and assurance</w:t>
      </w:r>
    </w:p>
    <w:p w14:paraId="03D43B9B" w14:textId="77777777" w:rsidR="00D31B24" w:rsidRPr="00D31B24" w:rsidRDefault="00D31B24" w:rsidP="004A7050">
      <w:pPr>
        <w:pStyle w:val="ListParagraph"/>
        <w:numPr>
          <w:ilvl w:val="0"/>
          <w:numId w:val="8"/>
        </w:numPr>
        <w:spacing w:after="40"/>
        <w:rPr>
          <w:rFonts w:eastAsia="Times"/>
          <w:sz w:val="20"/>
        </w:rPr>
      </w:pPr>
      <w:r w:rsidRPr="00D31B24">
        <w:rPr>
          <w:rFonts w:eastAsia="Times"/>
          <w:sz w:val="20"/>
        </w:rPr>
        <w:t>Details of the leadership function and integration of digital health within the structure as well as evaluation of the digital health related roles within the organisation.</w:t>
      </w:r>
    </w:p>
    <w:p w14:paraId="7FFF6672" w14:textId="77777777" w:rsidR="00D31B24" w:rsidRPr="00D31B24" w:rsidRDefault="00D31B24" w:rsidP="00D31B24">
      <w:pPr>
        <w:spacing w:after="40"/>
        <w:ind w:left="851"/>
        <w:rPr>
          <w:rFonts w:eastAsia="Times"/>
          <w:i/>
          <w:iCs/>
          <w:sz w:val="20"/>
        </w:rPr>
      </w:pPr>
      <w:r w:rsidRPr="00D31B24">
        <w:rPr>
          <w:rFonts w:eastAsia="Times"/>
          <w:i/>
          <w:iCs/>
          <w:sz w:val="20"/>
        </w:rPr>
        <w:t>Investment and direction</w:t>
      </w:r>
    </w:p>
    <w:p w14:paraId="040A2C03" w14:textId="77777777" w:rsidR="00D31B24" w:rsidRPr="00D31B24" w:rsidRDefault="00D31B24" w:rsidP="004A7050">
      <w:pPr>
        <w:pStyle w:val="ListParagraph"/>
        <w:numPr>
          <w:ilvl w:val="0"/>
          <w:numId w:val="9"/>
        </w:numPr>
        <w:spacing w:after="40"/>
        <w:rPr>
          <w:rFonts w:eastAsia="Times"/>
          <w:sz w:val="20"/>
        </w:rPr>
      </w:pPr>
      <w:r w:rsidRPr="00D31B24">
        <w:rPr>
          <w:rFonts w:eastAsia="Times"/>
          <w:sz w:val="20"/>
        </w:rPr>
        <w:t>Definition of funding pathways and establishment of alignment between funding decisions and organisational strategy and decision making.</w:t>
      </w:r>
    </w:p>
    <w:p w14:paraId="154727AA" w14:textId="77777777" w:rsidR="00D31B24" w:rsidRPr="00D31B24" w:rsidRDefault="00D31B24" w:rsidP="00D31B24">
      <w:pPr>
        <w:spacing w:after="40"/>
        <w:ind w:left="851"/>
        <w:rPr>
          <w:rFonts w:eastAsia="Times"/>
          <w:i/>
          <w:iCs/>
          <w:sz w:val="20"/>
        </w:rPr>
      </w:pPr>
      <w:r w:rsidRPr="00D31B24">
        <w:rPr>
          <w:rFonts w:eastAsia="Times"/>
          <w:i/>
          <w:iCs/>
          <w:sz w:val="20"/>
        </w:rPr>
        <w:t>Operational, program, technical and clinical governance</w:t>
      </w:r>
    </w:p>
    <w:p w14:paraId="65C95D8D" w14:textId="77777777" w:rsidR="00D31B24" w:rsidRPr="00D31B24" w:rsidRDefault="00D31B24" w:rsidP="004A7050">
      <w:pPr>
        <w:pStyle w:val="ListParagraph"/>
        <w:numPr>
          <w:ilvl w:val="0"/>
          <w:numId w:val="10"/>
        </w:numPr>
        <w:spacing w:after="40"/>
        <w:rPr>
          <w:rFonts w:eastAsia="Times"/>
          <w:sz w:val="20"/>
        </w:rPr>
      </w:pPr>
      <w:r w:rsidRPr="00D31B24">
        <w:rPr>
          <w:rFonts w:eastAsia="Times"/>
          <w:sz w:val="20"/>
        </w:rPr>
        <w:t>The governance frameworks are in place. Processes / policies ensuring adequate representation from a range of professions within the organisation.</w:t>
      </w:r>
    </w:p>
    <w:p w14:paraId="6852461C" w14:textId="374349B2" w:rsidR="00771438" w:rsidRDefault="00771438">
      <w:pPr>
        <w:spacing w:after="0" w:line="240" w:lineRule="auto"/>
        <w:rPr>
          <w:rFonts w:eastAsia="Times"/>
          <w:i/>
          <w:iCs/>
          <w:sz w:val="20"/>
        </w:rPr>
      </w:pPr>
    </w:p>
    <w:p w14:paraId="7916DE49" w14:textId="651EC401" w:rsidR="00D31B24" w:rsidRPr="00D31B24" w:rsidRDefault="00D31B24" w:rsidP="00D31B24">
      <w:pPr>
        <w:spacing w:after="40"/>
        <w:ind w:left="851"/>
        <w:rPr>
          <w:rFonts w:eastAsia="Times"/>
          <w:i/>
          <w:iCs/>
          <w:sz w:val="20"/>
        </w:rPr>
      </w:pPr>
      <w:r w:rsidRPr="00D31B24">
        <w:rPr>
          <w:rFonts w:eastAsia="Times"/>
          <w:i/>
          <w:iCs/>
          <w:sz w:val="20"/>
        </w:rPr>
        <w:t>Clinical, business and ICT strategy</w:t>
      </w:r>
    </w:p>
    <w:p w14:paraId="7D5A7E38" w14:textId="77777777" w:rsidR="00D31B24" w:rsidRPr="00D31B24" w:rsidRDefault="00D31B24" w:rsidP="004A7050">
      <w:pPr>
        <w:pStyle w:val="ListParagraph"/>
        <w:numPr>
          <w:ilvl w:val="0"/>
          <w:numId w:val="11"/>
        </w:numPr>
        <w:spacing w:after="40"/>
        <w:rPr>
          <w:rFonts w:eastAsia="Times"/>
          <w:sz w:val="20"/>
        </w:rPr>
      </w:pPr>
      <w:r w:rsidRPr="00D31B24">
        <w:rPr>
          <w:rFonts w:eastAsia="Times"/>
          <w:sz w:val="20"/>
        </w:rPr>
        <w:t>This section assesses strategic goals across business and clinical outcomes as well as IT and digital health strategy. Adoption of the strategies within the organisation is assessed.</w:t>
      </w:r>
    </w:p>
    <w:p w14:paraId="13A9132C" w14:textId="77777777" w:rsidR="00D31B24" w:rsidRPr="00D31B24" w:rsidRDefault="00D31B24" w:rsidP="00D31B24">
      <w:pPr>
        <w:spacing w:after="40"/>
        <w:ind w:left="284"/>
        <w:rPr>
          <w:rFonts w:eastAsia="Times" w:cs="Arial"/>
          <w:sz w:val="20"/>
        </w:rPr>
      </w:pPr>
    </w:p>
    <w:p w14:paraId="585136F4" w14:textId="304A6750" w:rsidR="00D31B24" w:rsidRPr="00D31B24" w:rsidRDefault="00D31B24" w:rsidP="00D31B24">
      <w:pPr>
        <w:spacing w:after="200" w:line="276" w:lineRule="auto"/>
        <w:rPr>
          <w:rFonts w:eastAsiaTheme="minorHAnsi" w:cs="Arial"/>
          <w:color w:val="000000"/>
          <w:sz w:val="20"/>
        </w:rPr>
      </w:pPr>
      <w:r w:rsidRPr="00D31B24">
        <w:rPr>
          <w:rFonts w:eastAsiaTheme="minorHAnsi" w:cs="Arial"/>
          <w:color w:val="000000"/>
          <w:sz w:val="20"/>
        </w:rPr>
        <w:t>The nine pillars of digital health maturity present:</w:t>
      </w:r>
    </w:p>
    <w:p w14:paraId="3EB622C8" w14:textId="77777777" w:rsidR="00D31B24" w:rsidRPr="00DC54AD" w:rsidRDefault="00D31B24" w:rsidP="00DC54AD">
      <w:pPr>
        <w:pStyle w:val="ListParagraph"/>
        <w:spacing w:after="40"/>
        <w:ind w:left="1440"/>
        <w:rPr>
          <w:rFonts w:eastAsia="Times" w:cs="Arial"/>
          <w:i/>
          <w:iCs/>
          <w:sz w:val="20"/>
        </w:rPr>
      </w:pPr>
      <w:r w:rsidRPr="00DC54AD">
        <w:rPr>
          <w:rFonts w:eastAsia="Times" w:cs="Arial"/>
          <w:i/>
          <w:iCs/>
          <w:sz w:val="20"/>
        </w:rPr>
        <w:t>Organisational capability</w:t>
      </w:r>
    </w:p>
    <w:p w14:paraId="6C611AF6" w14:textId="77777777" w:rsidR="00D31B24" w:rsidRPr="002B0ABD" w:rsidRDefault="00D31B24" w:rsidP="004A7050">
      <w:pPr>
        <w:pStyle w:val="ListParagraph"/>
        <w:numPr>
          <w:ilvl w:val="0"/>
          <w:numId w:val="13"/>
        </w:numPr>
        <w:spacing w:after="40"/>
        <w:rPr>
          <w:rFonts w:eastAsia="Times" w:cs="Arial"/>
          <w:sz w:val="20"/>
        </w:rPr>
      </w:pPr>
      <w:r w:rsidRPr="002B0ABD">
        <w:rPr>
          <w:rFonts w:eastAsia="Times" w:cs="Arial"/>
          <w:sz w:val="20"/>
        </w:rPr>
        <w:t xml:space="preserve">organisation wide capabilities such as project management, workforce enablement, business continuity and change management procedures. </w:t>
      </w:r>
    </w:p>
    <w:p w14:paraId="64543412" w14:textId="77777777" w:rsidR="00D31B24" w:rsidRPr="002B0ABD" w:rsidRDefault="00D31B24" w:rsidP="004A7050">
      <w:pPr>
        <w:pStyle w:val="ListParagraph"/>
        <w:numPr>
          <w:ilvl w:val="0"/>
          <w:numId w:val="13"/>
        </w:numPr>
        <w:spacing w:after="40"/>
        <w:rPr>
          <w:rFonts w:eastAsia="Times" w:cs="Arial"/>
          <w:sz w:val="20"/>
        </w:rPr>
      </w:pPr>
      <w:r w:rsidRPr="002B0ABD">
        <w:rPr>
          <w:rFonts w:eastAsia="Times" w:cs="Arial"/>
          <w:sz w:val="20"/>
        </w:rPr>
        <w:t>ongoing business function through continuous improvement cycles and benefits realisation.</w:t>
      </w:r>
    </w:p>
    <w:p w14:paraId="0D5E752D" w14:textId="77777777" w:rsidR="00D31B24" w:rsidRPr="00DC54AD" w:rsidRDefault="00D31B24" w:rsidP="00DC54AD">
      <w:pPr>
        <w:pStyle w:val="ListParagraph"/>
        <w:spacing w:after="40"/>
        <w:ind w:left="1713"/>
        <w:rPr>
          <w:rFonts w:eastAsia="Times" w:cs="Arial"/>
          <w:i/>
          <w:iCs/>
          <w:sz w:val="20"/>
        </w:rPr>
      </w:pPr>
      <w:r w:rsidRPr="00DC54AD">
        <w:rPr>
          <w:rFonts w:eastAsia="Times" w:cs="Arial"/>
          <w:i/>
          <w:iCs/>
          <w:sz w:val="20"/>
        </w:rPr>
        <w:t>IT operations and infrastructure</w:t>
      </w:r>
    </w:p>
    <w:p w14:paraId="7BC202A1" w14:textId="77777777" w:rsidR="00D31B24" w:rsidRPr="002B0ABD" w:rsidRDefault="00D31B24" w:rsidP="004A7050">
      <w:pPr>
        <w:pStyle w:val="ListParagraph"/>
        <w:numPr>
          <w:ilvl w:val="0"/>
          <w:numId w:val="14"/>
        </w:numPr>
        <w:spacing w:after="40"/>
        <w:rPr>
          <w:rFonts w:eastAsia="Times" w:cs="Arial"/>
          <w:sz w:val="20"/>
        </w:rPr>
      </w:pPr>
      <w:r w:rsidRPr="002B0ABD">
        <w:rPr>
          <w:rFonts w:eastAsia="Times" w:cs="Arial"/>
          <w:sz w:val="20"/>
        </w:rPr>
        <w:t>the technology in place to support business functions as well as support structures to ensure efficient ongoing operations of the technology in place.</w:t>
      </w:r>
    </w:p>
    <w:p w14:paraId="5CEBDF09" w14:textId="77777777" w:rsidR="00D31B24" w:rsidRPr="002B0ABD" w:rsidRDefault="00D31B24" w:rsidP="004A7050">
      <w:pPr>
        <w:pStyle w:val="ListParagraph"/>
        <w:numPr>
          <w:ilvl w:val="0"/>
          <w:numId w:val="14"/>
        </w:numPr>
        <w:spacing w:after="40" w:line="276" w:lineRule="auto"/>
        <w:rPr>
          <w:rFonts w:eastAsia="Times" w:cs="Arial"/>
          <w:sz w:val="20"/>
        </w:rPr>
      </w:pPr>
      <w:r w:rsidRPr="002B0ABD">
        <w:rPr>
          <w:rFonts w:eastAsia="Times" w:cs="Arial"/>
          <w:sz w:val="20"/>
        </w:rPr>
        <w:t>this includes budget management, IT capability and managing IT for business value.</w:t>
      </w:r>
    </w:p>
    <w:p w14:paraId="5FD8428C" w14:textId="77777777" w:rsidR="00D31B24" w:rsidRPr="00DC54AD" w:rsidRDefault="00D31B24" w:rsidP="00DC54AD">
      <w:pPr>
        <w:pStyle w:val="ListParagraph"/>
        <w:spacing w:after="40"/>
        <w:ind w:left="1440"/>
        <w:rPr>
          <w:rFonts w:eastAsia="Times" w:cs="Arial"/>
          <w:i/>
          <w:iCs/>
          <w:sz w:val="20"/>
        </w:rPr>
      </w:pPr>
      <w:r w:rsidRPr="00DC54AD">
        <w:rPr>
          <w:rFonts w:eastAsia="Times" w:cs="Arial"/>
          <w:i/>
          <w:iCs/>
          <w:sz w:val="20"/>
        </w:rPr>
        <w:t>Level of digitisation and functional adoption</w:t>
      </w:r>
    </w:p>
    <w:p w14:paraId="067DCC61" w14:textId="77777777" w:rsidR="00D31B24" w:rsidRPr="002B0ABD" w:rsidRDefault="00D31B24" w:rsidP="004A7050">
      <w:pPr>
        <w:pStyle w:val="ListParagraph"/>
        <w:numPr>
          <w:ilvl w:val="0"/>
          <w:numId w:val="15"/>
        </w:numPr>
        <w:spacing w:after="40"/>
        <w:rPr>
          <w:rFonts w:eastAsia="Times" w:cs="Arial"/>
          <w:sz w:val="20"/>
        </w:rPr>
      </w:pPr>
      <w:r w:rsidRPr="002B0ABD">
        <w:rPr>
          <w:rFonts w:eastAsia="Times" w:cs="Arial"/>
          <w:sz w:val="20"/>
        </w:rPr>
        <w:t>technology and functionality available, and its level of adoption.</w:t>
      </w:r>
    </w:p>
    <w:p w14:paraId="23165EB6" w14:textId="77777777" w:rsidR="00D31B24" w:rsidRPr="002B0ABD" w:rsidRDefault="00D31B24" w:rsidP="004A7050">
      <w:pPr>
        <w:pStyle w:val="ListParagraph"/>
        <w:numPr>
          <w:ilvl w:val="0"/>
          <w:numId w:val="15"/>
        </w:numPr>
        <w:spacing w:after="40"/>
        <w:rPr>
          <w:rFonts w:eastAsia="Times" w:cs="Arial"/>
          <w:sz w:val="20"/>
        </w:rPr>
      </w:pPr>
      <w:r w:rsidRPr="002B0ABD">
        <w:rPr>
          <w:rFonts w:eastAsia="Times" w:cs="Arial"/>
          <w:sz w:val="20"/>
        </w:rPr>
        <w:t>the range of digital health technologies including electronic health records, departmental systems and administrative systems.</w:t>
      </w:r>
    </w:p>
    <w:p w14:paraId="2C3C2BCF" w14:textId="77777777" w:rsidR="00D31B24" w:rsidRPr="00DC54AD" w:rsidRDefault="00D31B24" w:rsidP="00DC54AD">
      <w:pPr>
        <w:pStyle w:val="ListParagraph"/>
        <w:spacing w:after="40"/>
        <w:ind w:left="1440"/>
        <w:rPr>
          <w:rFonts w:eastAsia="Times" w:cs="Arial"/>
          <w:i/>
          <w:iCs/>
          <w:sz w:val="20"/>
        </w:rPr>
      </w:pPr>
      <w:r w:rsidRPr="00DC54AD">
        <w:rPr>
          <w:rFonts w:eastAsia="Times" w:cs="Arial"/>
          <w:i/>
          <w:iCs/>
          <w:sz w:val="20"/>
        </w:rPr>
        <w:t>Security and privacy</w:t>
      </w:r>
    </w:p>
    <w:p w14:paraId="1B6966D0" w14:textId="77777777" w:rsidR="00D31B24" w:rsidRPr="002B0ABD" w:rsidRDefault="00D31B24" w:rsidP="004A7050">
      <w:pPr>
        <w:pStyle w:val="ListParagraph"/>
        <w:numPr>
          <w:ilvl w:val="0"/>
          <w:numId w:val="16"/>
        </w:numPr>
        <w:spacing w:after="40"/>
        <w:rPr>
          <w:rFonts w:eastAsia="Times" w:cs="Arial"/>
          <w:sz w:val="20"/>
        </w:rPr>
      </w:pPr>
      <w:r w:rsidRPr="002B0ABD">
        <w:rPr>
          <w:rFonts w:eastAsia="Times" w:cs="Arial"/>
          <w:sz w:val="20"/>
        </w:rPr>
        <w:t>cyber security framework and maturity, as well as adoption and continuous improvement of security controls.</w:t>
      </w:r>
    </w:p>
    <w:p w14:paraId="3599FF66" w14:textId="77777777" w:rsidR="00D31B24" w:rsidRPr="00DC54AD" w:rsidRDefault="00D31B24" w:rsidP="00DC54AD">
      <w:pPr>
        <w:pStyle w:val="ListParagraph"/>
        <w:spacing w:after="40"/>
        <w:ind w:left="1440"/>
        <w:rPr>
          <w:rFonts w:eastAsia="Times" w:cs="Arial"/>
          <w:i/>
          <w:iCs/>
          <w:sz w:val="20"/>
        </w:rPr>
      </w:pPr>
      <w:r w:rsidRPr="00DC54AD">
        <w:rPr>
          <w:rFonts w:eastAsia="Times" w:cs="Arial"/>
          <w:i/>
          <w:iCs/>
          <w:sz w:val="20"/>
        </w:rPr>
        <w:t>Information sharing and integration</w:t>
      </w:r>
    </w:p>
    <w:p w14:paraId="6FE7AA9E" w14:textId="77777777" w:rsidR="00D31B24" w:rsidRPr="002B0ABD" w:rsidRDefault="00D31B24" w:rsidP="004A7050">
      <w:pPr>
        <w:pStyle w:val="ListParagraph"/>
        <w:numPr>
          <w:ilvl w:val="0"/>
          <w:numId w:val="17"/>
        </w:numPr>
        <w:spacing w:after="40"/>
        <w:rPr>
          <w:rFonts w:eastAsia="Times" w:cs="Arial"/>
          <w:sz w:val="20"/>
        </w:rPr>
      </w:pPr>
      <w:r w:rsidRPr="002B0ABD">
        <w:rPr>
          <w:rFonts w:eastAsia="Times" w:cs="Arial"/>
          <w:sz w:val="20"/>
        </w:rPr>
        <w:t>what data is integrated or shared with internal and external applications, including information management and data quality related aspects of the organisation.</w:t>
      </w:r>
    </w:p>
    <w:p w14:paraId="258962F1" w14:textId="77777777" w:rsidR="00D31B24" w:rsidRPr="002B0ABD" w:rsidRDefault="00D31B24" w:rsidP="004A7050">
      <w:pPr>
        <w:pStyle w:val="ListParagraph"/>
        <w:numPr>
          <w:ilvl w:val="0"/>
          <w:numId w:val="17"/>
        </w:numPr>
        <w:spacing w:after="40"/>
        <w:rPr>
          <w:rFonts w:eastAsia="Times" w:cs="Arial"/>
          <w:sz w:val="20"/>
        </w:rPr>
      </w:pPr>
      <w:r w:rsidRPr="002B0ABD">
        <w:rPr>
          <w:rFonts w:eastAsia="Times" w:cs="Arial"/>
          <w:sz w:val="20"/>
        </w:rPr>
        <w:t>this pillar defines nomenclatures adopted to support interoperability.</w:t>
      </w:r>
    </w:p>
    <w:p w14:paraId="22A56EA0" w14:textId="77777777" w:rsidR="00D31B24" w:rsidRPr="00DC54AD" w:rsidRDefault="00D31B24" w:rsidP="00DC54AD">
      <w:pPr>
        <w:pStyle w:val="ListParagraph"/>
        <w:spacing w:after="40"/>
        <w:ind w:left="1440"/>
        <w:rPr>
          <w:rFonts w:eastAsia="Times" w:cs="Arial"/>
          <w:i/>
          <w:iCs/>
          <w:sz w:val="20"/>
        </w:rPr>
      </w:pPr>
      <w:r w:rsidRPr="00DC54AD">
        <w:rPr>
          <w:rFonts w:eastAsia="Times" w:cs="Arial"/>
          <w:i/>
          <w:iCs/>
          <w:sz w:val="20"/>
        </w:rPr>
        <w:t>Data and analytics</w:t>
      </w:r>
    </w:p>
    <w:p w14:paraId="3F91B702" w14:textId="77777777" w:rsidR="00D31B24" w:rsidRPr="002B0ABD" w:rsidRDefault="00D31B24" w:rsidP="004A7050">
      <w:pPr>
        <w:pStyle w:val="ListParagraph"/>
        <w:numPr>
          <w:ilvl w:val="0"/>
          <w:numId w:val="18"/>
        </w:numPr>
        <w:spacing w:after="40"/>
        <w:rPr>
          <w:rFonts w:eastAsia="Times" w:cs="Arial"/>
          <w:sz w:val="20"/>
        </w:rPr>
      </w:pPr>
      <w:r w:rsidRPr="002B0ABD">
        <w:rPr>
          <w:rFonts w:eastAsia="Times" w:cs="Arial"/>
          <w:sz w:val="20"/>
        </w:rPr>
        <w:t>data principles and associated governance arrangements, reporting and business intelligence capabilities.</w:t>
      </w:r>
    </w:p>
    <w:p w14:paraId="54269B1F" w14:textId="77777777" w:rsidR="00D31B24" w:rsidRPr="00DC54AD" w:rsidRDefault="00D31B24" w:rsidP="00DC54AD">
      <w:pPr>
        <w:pStyle w:val="ListParagraph"/>
        <w:spacing w:after="40"/>
        <w:ind w:left="1440"/>
        <w:rPr>
          <w:rFonts w:eastAsia="Times" w:cs="Arial"/>
          <w:i/>
          <w:iCs/>
          <w:sz w:val="20"/>
        </w:rPr>
      </w:pPr>
      <w:r w:rsidRPr="00DC54AD">
        <w:rPr>
          <w:rFonts w:eastAsia="Times" w:cs="Arial"/>
          <w:i/>
          <w:iCs/>
          <w:sz w:val="20"/>
        </w:rPr>
        <w:t>Consumer participatory health</w:t>
      </w:r>
    </w:p>
    <w:p w14:paraId="6819D478" w14:textId="77777777" w:rsidR="00D31B24" w:rsidRPr="002B0ABD" w:rsidRDefault="00D31B24" w:rsidP="004A7050">
      <w:pPr>
        <w:pStyle w:val="ListParagraph"/>
        <w:numPr>
          <w:ilvl w:val="0"/>
          <w:numId w:val="19"/>
        </w:numPr>
        <w:spacing w:after="40"/>
        <w:rPr>
          <w:rFonts w:eastAsia="Times" w:cs="Arial"/>
          <w:sz w:val="20"/>
        </w:rPr>
      </w:pPr>
      <w:r w:rsidRPr="002B0ABD">
        <w:rPr>
          <w:rFonts w:eastAsia="Times" w:cs="Arial"/>
          <w:sz w:val="20"/>
        </w:rPr>
        <w:t>the level of consumer interaction with their data and the organisation, ranging from availability of telehealth through to use of patient portals and access to health information to support wellness.</w:t>
      </w:r>
    </w:p>
    <w:p w14:paraId="41F8E220" w14:textId="77777777" w:rsidR="00D31B24" w:rsidRPr="002B0ABD" w:rsidRDefault="00D31B24" w:rsidP="004A7050">
      <w:pPr>
        <w:pStyle w:val="ListParagraph"/>
        <w:numPr>
          <w:ilvl w:val="0"/>
          <w:numId w:val="19"/>
        </w:numPr>
        <w:spacing w:after="40"/>
        <w:rPr>
          <w:rFonts w:eastAsia="Times" w:cs="Arial"/>
          <w:sz w:val="20"/>
        </w:rPr>
      </w:pPr>
      <w:r w:rsidRPr="002B0ABD">
        <w:rPr>
          <w:rFonts w:eastAsia="Times" w:cs="Arial"/>
          <w:sz w:val="20"/>
        </w:rPr>
        <w:t>consumer representation within appropriate governance.</w:t>
      </w:r>
    </w:p>
    <w:p w14:paraId="0407BA00" w14:textId="77777777" w:rsidR="00D31B24" w:rsidRPr="00DC54AD" w:rsidRDefault="00D31B24" w:rsidP="00DC54AD">
      <w:pPr>
        <w:pStyle w:val="ListParagraph"/>
        <w:spacing w:after="40"/>
        <w:ind w:left="1440"/>
        <w:rPr>
          <w:rFonts w:eastAsia="Times" w:cs="Arial"/>
          <w:i/>
          <w:iCs/>
          <w:sz w:val="20"/>
        </w:rPr>
      </w:pPr>
      <w:r w:rsidRPr="00DC54AD">
        <w:rPr>
          <w:rFonts w:eastAsia="Times" w:cs="Arial"/>
          <w:i/>
          <w:iCs/>
          <w:sz w:val="20"/>
        </w:rPr>
        <w:t>User experience</w:t>
      </w:r>
    </w:p>
    <w:p w14:paraId="37773358" w14:textId="77777777" w:rsidR="00D31B24" w:rsidRPr="002B0ABD" w:rsidRDefault="00D31B24" w:rsidP="004A7050">
      <w:pPr>
        <w:pStyle w:val="ListParagraph"/>
        <w:numPr>
          <w:ilvl w:val="0"/>
          <w:numId w:val="20"/>
        </w:numPr>
        <w:spacing w:after="40"/>
        <w:rPr>
          <w:rFonts w:eastAsia="Times" w:cs="Arial"/>
          <w:sz w:val="20"/>
        </w:rPr>
      </w:pPr>
      <w:r w:rsidRPr="002B0ABD">
        <w:rPr>
          <w:rFonts w:eastAsia="Times" w:cs="Arial"/>
          <w:sz w:val="20"/>
        </w:rPr>
        <w:t>satisfaction of system users within the organisation regarding design, adoption, availability and outcomes of digital health technologies.</w:t>
      </w:r>
    </w:p>
    <w:p w14:paraId="72F98A49" w14:textId="77777777" w:rsidR="00D31B24" w:rsidRPr="00DC54AD" w:rsidRDefault="00D31B24" w:rsidP="00DC54AD">
      <w:pPr>
        <w:pStyle w:val="ListParagraph"/>
        <w:spacing w:after="40"/>
        <w:ind w:left="1440"/>
        <w:rPr>
          <w:rFonts w:eastAsia="Times" w:cs="Arial"/>
          <w:i/>
          <w:iCs/>
          <w:sz w:val="20"/>
        </w:rPr>
      </w:pPr>
      <w:r w:rsidRPr="00DC54AD">
        <w:rPr>
          <w:rFonts w:eastAsia="Times" w:cs="Arial"/>
          <w:i/>
          <w:iCs/>
          <w:sz w:val="20"/>
        </w:rPr>
        <w:t>Innovation</w:t>
      </w:r>
    </w:p>
    <w:p w14:paraId="6A3B121F" w14:textId="77777777" w:rsidR="00D31B24" w:rsidRPr="002B0ABD" w:rsidRDefault="00D31B24" w:rsidP="004A7050">
      <w:pPr>
        <w:pStyle w:val="ListParagraph"/>
        <w:numPr>
          <w:ilvl w:val="0"/>
          <w:numId w:val="21"/>
        </w:numPr>
        <w:spacing w:after="40"/>
        <w:rPr>
          <w:rFonts w:eastAsia="Times" w:cs="Arial"/>
          <w:sz w:val="20"/>
        </w:rPr>
      </w:pPr>
      <w:r w:rsidRPr="002B0ABD">
        <w:rPr>
          <w:rFonts w:eastAsia="Times" w:cs="Arial"/>
          <w:sz w:val="20"/>
        </w:rPr>
        <w:t>mechanisms for innovation within the organisation towards improvement of digital health initiatives. It captures research and funding partnerships.</w:t>
      </w:r>
    </w:p>
    <w:p w14:paraId="288812C9" w14:textId="77777777" w:rsidR="000E1746" w:rsidRPr="000E1746" w:rsidRDefault="000E1746" w:rsidP="000E1746">
      <w:pPr>
        <w:pStyle w:val="Heading1"/>
      </w:pPr>
      <w:bookmarkStart w:id="3" w:name="_Toc93931039"/>
      <w:r w:rsidRPr="000E1746">
        <w:lastRenderedPageBreak/>
        <w:t>Measuring digital health maturity</w:t>
      </w:r>
      <w:bookmarkEnd w:id="3"/>
    </w:p>
    <w:p w14:paraId="333F3ABC" w14:textId="2CEE25A3" w:rsidR="000E1746" w:rsidRPr="000E1746" w:rsidRDefault="000E1746" w:rsidP="000E1746">
      <w:pPr>
        <w:pStyle w:val="Figurecaption"/>
        <w:ind w:left="2160" w:firstLine="720"/>
      </w:pPr>
      <w:r w:rsidRPr="000E1746">
        <w:t>Figure 2: Levels of digital health maturity</w:t>
      </w:r>
    </w:p>
    <w:p w14:paraId="7BF9014A" w14:textId="56EC8A96" w:rsidR="00D31B24" w:rsidRPr="00D31B24" w:rsidRDefault="000E1746" w:rsidP="00DC54AD">
      <w:pPr>
        <w:keepNext/>
        <w:keepLines/>
        <w:spacing w:before="240" w:line="276" w:lineRule="auto"/>
        <w:jc w:val="center"/>
        <w:outlineLvl w:val="0"/>
        <w:rPr>
          <w:rFonts w:eastAsiaTheme="majorEastAsia" w:cs="Arial"/>
          <w:sz w:val="24"/>
          <w:szCs w:val="24"/>
        </w:rPr>
      </w:pPr>
      <w:r w:rsidRPr="00B06E30">
        <w:rPr>
          <w:rFonts w:cs="Arial"/>
          <w:noProof/>
        </w:rPr>
        <w:drawing>
          <wp:inline distT="0" distB="0" distL="0" distR="0" wp14:anchorId="4B8D90A1" wp14:editId="662DBF92">
            <wp:extent cx="5526911" cy="3289426"/>
            <wp:effectExtent l="0" t="0" r="0" b="6350"/>
            <wp:docPr id="30" name="Picture 30" descr="A text-equivalent description of this figure is available in Appendix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text-equivalent description of this figure is available in Appendix 2. "/>
                    <pic:cNvPicPr/>
                  </pic:nvPicPr>
                  <pic:blipFill>
                    <a:blip r:embed="rId16"/>
                    <a:stretch>
                      <a:fillRect/>
                    </a:stretch>
                  </pic:blipFill>
                  <pic:spPr>
                    <a:xfrm>
                      <a:off x="0" y="0"/>
                      <a:ext cx="5566559" cy="3313023"/>
                    </a:xfrm>
                    <a:prstGeom prst="rect">
                      <a:avLst/>
                    </a:prstGeom>
                  </pic:spPr>
                </pic:pic>
              </a:graphicData>
            </a:graphic>
          </wp:inline>
        </w:drawing>
      </w:r>
    </w:p>
    <w:p w14:paraId="6E03E992" w14:textId="5482CAAD" w:rsidR="00D31B24" w:rsidRDefault="00D31B24" w:rsidP="00D31B24">
      <w:pPr>
        <w:keepNext/>
        <w:keepLines/>
        <w:spacing w:before="240" w:line="276" w:lineRule="auto"/>
        <w:outlineLvl w:val="0"/>
        <w:rPr>
          <w:rFonts w:eastAsiaTheme="majorEastAsia" w:cs="Arial"/>
          <w:b/>
          <w:bCs/>
          <w:sz w:val="32"/>
          <w:szCs w:val="32"/>
        </w:rPr>
      </w:pPr>
    </w:p>
    <w:p w14:paraId="3B8743BE" w14:textId="3C33203E" w:rsidR="00B55668" w:rsidRPr="00B55668" w:rsidRDefault="00B55668" w:rsidP="00D31B24">
      <w:pPr>
        <w:keepNext/>
        <w:keepLines/>
        <w:spacing w:before="240" w:line="276" w:lineRule="auto"/>
        <w:outlineLvl w:val="0"/>
        <w:rPr>
          <w:rFonts w:eastAsia="Times"/>
          <w:sz w:val="20"/>
        </w:rPr>
      </w:pPr>
      <w:r w:rsidRPr="002148BA">
        <w:rPr>
          <w:rFonts w:eastAsia="Times"/>
          <w:sz w:val="20"/>
        </w:rPr>
        <w:t>Victorian</w:t>
      </w:r>
      <w:r>
        <w:rPr>
          <w:rFonts w:eastAsia="Times"/>
          <w:sz w:val="20"/>
        </w:rPr>
        <w:t xml:space="preserve"> public health s</w:t>
      </w:r>
      <w:r w:rsidRPr="00B55668">
        <w:rPr>
          <w:rFonts w:eastAsia="Times"/>
          <w:sz w:val="20"/>
        </w:rPr>
        <w:t xml:space="preserve">ervices undertook their first assessment in 2019. 76 health services </w:t>
      </w:r>
      <w:r w:rsidR="0001056E">
        <w:rPr>
          <w:rFonts w:eastAsia="Times"/>
          <w:sz w:val="20"/>
        </w:rPr>
        <w:t>conducted</w:t>
      </w:r>
      <w:r w:rsidRPr="00B55668">
        <w:rPr>
          <w:rFonts w:eastAsia="Times"/>
          <w:sz w:val="20"/>
        </w:rPr>
        <w:t xml:space="preserve"> assessments. The overall level for Victoria's public health system in 2019 was </w:t>
      </w:r>
      <w:r w:rsidRPr="002148BA">
        <w:rPr>
          <w:rFonts w:eastAsia="Times"/>
          <w:i/>
          <w:iCs/>
          <w:sz w:val="20"/>
        </w:rPr>
        <w:t>Basic</w:t>
      </w:r>
      <w:r w:rsidRPr="00B55668">
        <w:rPr>
          <w:rFonts w:eastAsia="Times"/>
          <w:sz w:val="20"/>
        </w:rPr>
        <w:t xml:space="preserve">, however a number of health services were trending towards </w:t>
      </w:r>
      <w:r w:rsidR="00667543" w:rsidRPr="00667543">
        <w:rPr>
          <w:rFonts w:eastAsia="Times"/>
          <w:i/>
          <w:iCs/>
          <w:sz w:val="20"/>
        </w:rPr>
        <w:t>D</w:t>
      </w:r>
      <w:r w:rsidRPr="00667543">
        <w:rPr>
          <w:rFonts w:eastAsia="Times"/>
          <w:i/>
          <w:iCs/>
          <w:sz w:val="20"/>
        </w:rPr>
        <w:t>eveloping</w:t>
      </w:r>
      <w:r w:rsidRPr="00B55668">
        <w:rPr>
          <w:rFonts w:eastAsia="Times"/>
          <w:sz w:val="20"/>
        </w:rPr>
        <w:t>.</w:t>
      </w:r>
    </w:p>
    <w:p w14:paraId="7C8DECF4" w14:textId="31A14D91" w:rsidR="00B55668" w:rsidRPr="00C475E5" w:rsidRDefault="00B55668" w:rsidP="00D31B24">
      <w:pPr>
        <w:keepNext/>
        <w:keepLines/>
        <w:spacing w:before="240" w:line="276" w:lineRule="auto"/>
        <w:outlineLvl w:val="0"/>
        <w:rPr>
          <w:rFonts w:eastAsia="Times"/>
          <w:sz w:val="20"/>
        </w:rPr>
      </w:pPr>
      <w:r w:rsidRPr="00B55668">
        <w:rPr>
          <w:rFonts w:eastAsia="Times"/>
          <w:sz w:val="20"/>
        </w:rPr>
        <w:t xml:space="preserve">Overall scores and those for each pillar were reviewed. For each health service, a maturity objective was identified for each pillar. These objectives varied by peer grouping of health service </w:t>
      </w:r>
      <w:r>
        <w:rPr>
          <w:rFonts w:eastAsia="Times"/>
          <w:sz w:val="20"/>
        </w:rPr>
        <w:t>(</w:t>
      </w:r>
      <w:r w:rsidRPr="00B55668">
        <w:rPr>
          <w:rFonts w:eastAsia="Times"/>
          <w:sz w:val="20"/>
        </w:rPr>
        <w:t>large metro, large regional, medium metro</w:t>
      </w:r>
      <w:r>
        <w:rPr>
          <w:rFonts w:eastAsia="Times"/>
          <w:sz w:val="20"/>
        </w:rPr>
        <w:t>/</w:t>
      </w:r>
      <w:r w:rsidRPr="00B55668">
        <w:rPr>
          <w:rFonts w:eastAsia="Times"/>
          <w:sz w:val="20"/>
        </w:rPr>
        <w:t>regional, small services</w:t>
      </w:r>
      <w:r>
        <w:rPr>
          <w:rFonts w:eastAsia="Times"/>
          <w:sz w:val="20"/>
        </w:rPr>
        <w:t>)</w:t>
      </w:r>
      <w:r w:rsidRPr="00B55668">
        <w:rPr>
          <w:rFonts w:eastAsia="Times"/>
          <w:sz w:val="20"/>
        </w:rPr>
        <w:t>. These objectives are intended to be met within five years, by 2024. They represent ambitious but achievable goals, based on the current maturity of health services.</w:t>
      </w:r>
    </w:p>
    <w:p w14:paraId="133B9200" w14:textId="65E6879F" w:rsidR="00B55668" w:rsidRPr="002148BA" w:rsidRDefault="00B55668" w:rsidP="00D31B24">
      <w:pPr>
        <w:keepNext/>
        <w:keepLines/>
        <w:spacing w:before="240" w:line="276" w:lineRule="auto"/>
        <w:outlineLvl w:val="0"/>
        <w:rPr>
          <w:rFonts w:eastAsia="Times"/>
          <w:sz w:val="20"/>
        </w:rPr>
      </w:pPr>
      <w:r w:rsidRPr="004A61FA">
        <w:rPr>
          <w:rFonts w:eastAsia="Times"/>
          <w:sz w:val="20"/>
        </w:rPr>
        <w:t xml:space="preserve">Assessments are now undertaken </w:t>
      </w:r>
      <w:r w:rsidR="0001056E">
        <w:rPr>
          <w:rFonts w:eastAsia="Times"/>
          <w:sz w:val="20"/>
        </w:rPr>
        <w:t>every second year</w:t>
      </w:r>
      <w:r w:rsidRPr="0001056E">
        <w:rPr>
          <w:rFonts w:eastAsia="Times"/>
          <w:sz w:val="20"/>
        </w:rPr>
        <w:t>. The results inform digital health investment planning at both health service and state levels</w:t>
      </w:r>
      <w:r>
        <w:rPr>
          <w:rFonts w:eastAsia="Times"/>
          <w:sz w:val="20"/>
        </w:rPr>
        <w:t>.</w:t>
      </w:r>
    </w:p>
    <w:p w14:paraId="63B5A373" w14:textId="2105140F" w:rsidR="003969C6" w:rsidRPr="003969C6" w:rsidRDefault="003969C6" w:rsidP="003969C6">
      <w:pPr>
        <w:pStyle w:val="Heading1"/>
      </w:pPr>
      <w:bookmarkStart w:id="4" w:name="_Toc93931040"/>
      <w:r w:rsidRPr="003969C6">
        <w:t>Independent evaluation of the model</w:t>
      </w:r>
      <w:bookmarkEnd w:id="4"/>
    </w:p>
    <w:p w14:paraId="2DB0FDAB" w14:textId="3C517934" w:rsidR="003969C6" w:rsidRPr="003969C6" w:rsidRDefault="003969C6" w:rsidP="003969C6">
      <w:pPr>
        <w:spacing w:line="270" w:lineRule="atLeast"/>
        <w:rPr>
          <w:rFonts w:eastAsia="Times"/>
          <w:sz w:val="20"/>
        </w:rPr>
      </w:pPr>
      <w:r w:rsidRPr="003969C6">
        <w:rPr>
          <w:rFonts w:eastAsia="Times"/>
          <w:sz w:val="20"/>
        </w:rPr>
        <w:t>In 2020, Deakin University was appointed to conduct an independent evaluation of the model. The Deakin team concluded that the model:</w:t>
      </w:r>
    </w:p>
    <w:p w14:paraId="7A006102" w14:textId="10E4B297" w:rsidR="003969C6" w:rsidRPr="003969C6" w:rsidRDefault="003969C6" w:rsidP="004A7050">
      <w:pPr>
        <w:pStyle w:val="ListParagraph"/>
        <w:numPr>
          <w:ilvl w:val="0"/>
          <w:numId w:val="22"/>
        </w:numPr>
        <w:spacing w:after="40"/>
        <w:rPr>
          <w:rFonts w:eastAsia="Times"/>
        </w:rPr>
      </w:pPr>
      <w:r w:rsidRPr="003969C6">
        <w:rPr>
          <w:rFonts w:eastAsia="Times"/>
        </w:rPr>
        <w:t>Was the most comprehensive maturity model reviewed</w:t>
      </w:r>
    </w:p>
    <w:p w14:paraId="7B968C66" w14:textId="77777777" w:rsidR="003969C6" w:rsidRPr="003969C6" w:rsidRDefault="003969C6" w:rsidP="004A7050">
      <w:pPr>
        <w:pStyle w:val="ListParagraph"/>
        <w:numPr>
          <w:ilvl w:val="0"/>
          <w:numId w:val="22"/>
        </w:numPr>
        <w:spacing w:after="40"/>
        <w:rPr>
          <w:rFonts w:eastAsia="Times"/>
        </w:rPr>
      </w:pPr>
      <w:r w:rsidRPr="003969C6">
        <w:rPr>
          <w:rFonts w:eastAsia="Times"/>
        </w:rPr>
        <w:t>Is appropriate for Victoria’s health services</w:t>
      </w:r>
    </w:p>
    <w:p w14:paraId="59951CDD" w14:textId="77777777" w:rsidR="003969C6" w:rsidRPr="003969C6" w:rsidRDefault="003969C6" w:rsidP="004A7050">
      <w:pPr>
        <w:pStyle w:val="ListParagraph"/>
        <w:numPr>
          <w:ilvl w:val="0"/>
          <w:numId w:val="22"/>
        </w:numPr>
        <w:spacing w:after="40"/>
        <w:rPr>
          <w:rFonts w:eastAsia="Times"/>
        </w:rPr>
      </w:pPr>
      <w:r w:rsidRPr="003969C6">
        <w:rPr>
          <w:rFonts w:eastAsia="Times"/>
        </w:rPr>
        <w:t>Allows structured and consistent measurement which is valuable to health services to plan for and improve digital maturity, as part of their strategic planning processes</w:t>
      </w:r>
    </w:p>
    <w:p w14:paraId="48813535" w14:textId="77777777" w:rsidR="003969C6" w:rsidRPr="003969C6" w:rsidRDefault="003969C6" w:rsidP="003969C6">
      <w:pPr>
        <w:spacing w:line="270" w:lineRule="atLeast"/>
        <w:rPr>
          <w:rFonts w:eastAsia="Times"/>
          <w:color w:val="000000"/>
          <w:sz w:val="20"/>
        </w:rPr>
      </w:pPr>
    </w:p>
    <w:p w14:paraId="3AF79B9E" w14:textId="4B2CC53F" w:rsidR="00D31B24" w:rsidRDefault="003969C6" w:rsidP="003969C6">
      <w:pPr>
        <w:keepNext/>
        <w:keepLines/>
        <w:spacing w:before="240" w:line="276" w:lineRule="auto"/>
        <w:outlineLvl w:val="0"/>
        <w:rPr>
          <w:rFonts w:eastAsiaTheme="majorEastAsia" w:cs="Arial"/>
          <w:b/>
          <w:bCs/>
          <w:sz w:val="32"/>
          <w:szCs w:val="32"/>
        </w:rPr>
      </w:pPr>
      <w:r w:rsidRPr="00111D69">
        <w:rPr>
          <w:rFonts w:eastAsiaTheme="minorHAnsi" w:cs="Arial"/>
          <w:color w:val="000000"/>
          <w:sz w:val="20"/>
        </w:rPr>
        <w:lastRenderedPageBreak/>
        <w:t>Victoria’s model</w:t>
      </w:r>
      <w:r w:rsidR="0001056E">
        <w:rPr>
          <w:rFonts w:eastAsiaTheme="minorHAnsi" w:cs="Arial"/>
          <w:color w:val="000000"/>
          <w:sz w:val="20"/>
        </w:rPr>
        <w:t xml:space="preserve"> is a comprehensive digital health maturity model</w:t>
      </w:r>
      <w:r w:rsidR="00C475E5">
        <w:rPr>
          <w:rFonts w:eastAsiaTheme="minorHAnsi" w:cs="Arial"/>
          <w:color w:val="000000"/>
          <w:sz w:val="20"/>
        </w:rPr>
        <w:t>.</w:t>
      </w:r>
      <w:r w:rsidRPr="00111D69">
        <w:rPr>
          <w:rFonts w:eastAsiaTheme="minorHAnsi" w:cs="Arial"/>
          <w:color w:val="000000"/>
          <w:sz w:val="20"/>
        </w:rPr>
        <w:t xml:space="preserve"> </w:t>
      </w:r>
      <w:r w:rsidRPr="00111D69">
        <w:rPr>
          <w:rFonts w:eastAsiaTheme="minorHAnsi" w:cs="Arial"/>
          <w:sz w:val="20"/>
        </w:rPr>
        <w:t xml:space="preserve">Health services </w:t>
      </w:r>
      <w:r w:rsidR="00C475E5">
        <w:rPr>
          <w:rFonts w:eastAsiaTheme="minorHAnsi" w:cs="Arial"/>
          <w:sz w:val="20"/>
        </w:rPr>
        <w:t xml:space="preserve">can complete the assessment independently and they </w:t>
      </w:r>
      <w:r w:rsidRPr="00111D69">
        <w:rPr>
          <w:rFonts w:eastAsiaTheme="minorHAnsi" w:cs="Arial"/>
          <w:sz w:val="20"/>
        </w:rPr>
        <w:t>find the assessment report easy to</w:t>
      </w:r>
      <w:r w:rsidR="000C7964" w:rsidRPr="00111D69">
        <w:rPr>
          <w:rFonts w:eastAsiaTheme="minorHAnsi" w:cs="Arial"/>
          <w:sz w:val="20"/>
        </w:rPr>
        <w:t xml:space="preserve"> understand. The model is applicable beyond Victoria</w:t>
      </w:r>
      <w:r w:rsidR="000C7964" w:rsidRPr="00111D69">
        <w:rPr>
          <w:rFonts w:eastAsiaTheme="minorHAnsi" w:cs="Arial"/>
          <w:sz w:val="20"/>
          <w:vertAlign w:val="superscript"/>
        </w:rPr>
        <w:footnoteReference w:id="4"/>
      </w:r>
      <w:r w:rsidR="000C7964" w:rsidRPr="00111D69">
        <w:rPr>
          <w:rFonts w:eastAsiaTheme="minorHAnsi" w:cs="Arial"/>
          <w:sz w:val="20"/>
        </w:rPr>
        <w:t>, and other Australian jurisdictions are considering it closely</w:t>
      </w:r>
      <w:r w:rsidR="000C7964" w:rsidRPr="000C7964">
        <w:rPr>
          <w:rFonts w:asciiTheme="minorHAnsi" w:eastAsiaTheme="minorHAnsi" w:hAnsiTheme="minorHAnsi" w:cstheme="minorBidi"/>
          <w:sz w:val="22"/>
          <w:szCs w:val="22"/>
        </w:rPr>
        <w:t>.</w:t>
      </w:r>
    </w:p>
    <w:p w14:paraId="6C6166C0" w14:textId="77777777" w:rsidR="00501133" w:rsidRPr="00501133" w:rsidRDefault="00501133" w:rsidP="00501133">
      <w:pPr>
        <w:pStyle w:val="Heading1"/>
      </w:pPr>
      <w:bookmarkStart w:id="5" w:name="_Toc93931041"/>
      <w:r w:rsidRPr="00501133">
        <w:t>Victoria’s digital health roadmap</w:t>
      </w:r>
      <w:bookmarkEnd w:id="5"/>
    </w:p>
    <w:p w14:paraId="3725A10B" w14:textId="77777777" w:rsidR="00501133" w:rsidRPr="00501133" w:rsidRDefault="00501133" w:rsidP="00501133">
      <w:pPr>
        <w:spacing w:line="270" w:lineRule="atLeast"/>
        <w:rPr>
          <w:rFonts w:eastAsia="Times"/>
          <w:sz w:val="20"/>
        </w:rPr>
      </w:pPr>
      <w:r w:rsidRPr="00501133">
        <w:rPr>
          <w:rFonts w:eastAsia="Times"/>
          <w:i/>
          <w:iCs/>
          <w:color w:val="000000"/>
          <w:sz w:val="20"/>
        </w:rPr>
        <w:t xml:space="preserve">Victoria’s digital health roadmap </w:t>
      </w:r>
      <w:r w:rsidRPr="00501133">
        <w:rPr>
          <w:rFonts w:eastAsia="Times"/>
          <w:color w:val="000000"/>
          <w:sz w:val="20"/>
        </w:rPr>
        <w:t xml:space="preserve">(the </w:t>
      </w:r>
      <w:r w:rsidRPr="00501133">
        <w:rPr>
          <w:rFonts w:eastAsia="Times"/>
          <w:i/>
          <w:iCs/>
          <w:color w:val="000000"/>
          <w:sz w:val="20"/>
        </w:rPr>
        <w:t>Roadmap</w:t>
      </w:r>
      <w:r w:rsidRPr="00501133">
        <w:rPr>
          <w:rFonts w:eastAsia="Times"/>
          <w:color w:val="000000"/>
          <w:sz w:val="20"/>
        </w:rPr>
        <w:t xml:space="preserve">) is the Victorian </w:t>
      </w:r>
      <w:r w:rsidRPr="00501133">
        <w:rPr>
          <w:rFonts w:eastAsia="Times"/>
          <w:sz w:val="20"/>
        </w:rPr>
        <w:t xml:space="preserve">Government’s plan for digital health technology over the next five years. It aims to further improve the safety and efficiency of Victoria’s healthcare system, and to keep patients at the centre of care. The </w:t>
      </w:r>
      <w:r w:rsidRPr="0068029C">
        <w:rPr>
          <w:rFonts w:eastAsia="Times"/>
          <w:i/>
          <w:iCs/>
          <w:sz w:val="20"/>
        </w:rPr>
        <w:t>Roadmap</w:t>
      </w:r>
      <w:r w:rsidRPr="00501133">
        <w:rPr>
          <w:rFonts w:eastAsia="Times"/>
          <w:sz w:val="20"/>
        </w:rPr>
        <w:t xml:space="preserve"> describes five programs of work to realise this objective:</w:t>
      </w:r>
    </w:p>
    <w:p w14:paraId="399FE9F4" w14:textId="77777777" w:rsidR="00501133" w:rsidRPr="00501133" w:rsidRDefault="00501133" w:rsidP="004A7050">
      <w:pPr>
        <w:numPr>
          <w:ilvl w:val="0"/>
          <w:numId w:val="23"/>
        </w:numPr>
        <w:spacing w:after="200" w:line="270" w:lineRule="atLeast"/>
        <w:rPr>
          <w:rFonts w:eastAsia="Times"/>
          <w:color w:val="000000"/>
          <w:sz w:val="20"/>
        </w:rPr>
      </w:pPr>
      <w:r w:rsidRPr="00501133">
        <w:rPr>
          <w:rFonts w:eastAsia="Times"/>
          <w:color w:val="000000"/>
          <w:sz w:val="20"/>
        </w:rPr>
        <w:t>Reliable and resilient systems</w:t>
      </w:r>
    </w:p>
    <w:p w14:paraId="46DF1001" w14:textId="77777777" w:rsidR="00501133" w:rsidRPr="00501133" w:rsidRDefault="00501133" w:rsidP="004A7050">
      <w:pPr>
        <w:numPr>
          <w:ilvl w:val="0"/>
          <w:numId w:val="23"/>
        </w:numPr>
        <w:spacing w:after="200" w:line="270" w:lineRule="atLeast"/>
        <w:rPr>
          <w:rFonts w:eastAsia="Times"/>
          <w:color w:val="000000"/>
          <w:sz w:val="20"/>
        </w:rPr>
      </w:pPr>
      <w:r w:rsidRPr="00501133">
        <w:rPr>
          <w:rFonts w:eastAsia="Times"/>
          <w:color w:val="000000"/>
          <w:sz w:val="20"/>
        </w:rPr>
        <w:t>Efficient, secure, paper-light health care</w:t>
      </w:r>
    </w:p>
    <w:p w14:paraId="7675D272" w14:textId="77777777" w:rsidR="00501133" w:rsidRPr="00501133" w:rsidRDefault="00501133" w:rsidP="004A7050">
      <w:pPr>
        <w:numPr>
          <w:ilvl w:val="0"/>
          <w:numId w:val="23"/>
        </w:numPr>
        <w:spacing w:after="200" w:line="270" w:lineRule="atLeast"/>
        <w:rPr>
          <w:rFonts w:eastAsia="Times"/>
          <w:color w:val="000000"/>
          <w:sz w:val="20"/>
        </w:rPr>
      </w:pPr>
      <w:r w:rsidRPr="00501133">
        <w:rPr>
          <w:rFonts w:eastAsia="Times"/>
          <w:color w:val="000000"/>
          <w:sz w:val="20"/>
        </w:rPr>
        <w:t>Continuity of care</w:t>
      </w:r>
    </w:p>
    <w:p w14:paraId="211768AF" w14:textId="77777777" w:rsidR="00501133" w:rsidRPr="00501133" w:rsidRDefault="00501133" w:rsidP="004A7050">
      <w:pPr>
        <w:numPr>
          <w:ilvl w:val="0"/>
          <w:numId w:val="23"/>
        </w:numPr>
        <w:spacing w:after="200" w:line="270" w:lineRule="atLeast"/>
        <w:rPr>
          <w:rFonts w:eastAsia="Times"/>
          <w:color w:val="000000"/>
          <w:sz w:val="20"/>
        </w:rPr>
      </w:pPr>
      <w:r w:rsidRPr="00501133">
        <w:rPr>
          <w:rFonts w:eastAsia="Times"/>
          <w:color w:val="000000"/>
          <w:sz w:val="20"/>
        </w:rPr>
        <w:t>Enabling virtual care and care closer to home</w:t>
      </w:r>
    </w:p>
    <w:p w14:paraId="1A17D26D" w14:textId="77777777" w:rsidR="00501133" w:rsidRPr="00501133" w:rsidRDefault="00501133" w:rsidP="004A7050">
      <w:pPr>
        <w:numPr>
          <w:ilvl w:val="0"/>
          <w:numId w:val="23"/>
        </w:numPr>
        <w:spacing w:after="200" w:line="270" w:lineRule="atLeast"/>
        <w:rPr>
          <w:rFonts w:eastAsia="Times"/>
          <w:color w:val="000000"/>
          <w:sz w:val="20"/>
        </w:rPr>
      </w:pPr>
      <w:r w:rsidRPr="00501133">
        <w:rPr>
          <w:rFonts w:eastAsia="Times"/>
          <w:color w:val="000000"/>
          <w:sz w:val="20"/>
        </w:rPr>
        <w:t>Consumer access and engagement.</w:t>
      </w:r>
    </w:p>
    <w:p w14:paraId="1EF052B3" w14:textId="77777777" w:rsidR="00501133" w:rsidRPr="00501133" w:rsidRDefault="00501133" w:rsidP="00501133">
      <w:pPr>
        <w:spacing w:line="270" w:lineRule="atLeast"/>
        <w:rPr>
          <w:rFonts w:eastAsia="Times"/>
          <w:color w:val="000000"/>
          <w:sz w:val="20"/>
        </w:rPr>
      </w:pPr>
    </w:p>
    <w:p w14:paraId="04A1723A" w14:textId="77777777" w:rsidR="00501133" w:rsidRPr="00501133" w:rsidRDefault="00501133" w:rsidP="00501133">
      <w:pPr>
        <w:spacing w:line="270" w:lineRule="atLeast"/>
        <w:rPr>
          <w:rFonts w:eastAsia="Times"/>
          <w:color w:val="000000"/>
          <w:sz w:val="20"/>
        </w:rPr>
      </w:pPr>
      <w:r w:rsidRPr="00501133">
        <w:rPr>
          <w:rFonts w:eastAsia="Times"/>
          <w:color w:val="000000"/>
          <w:sz w:val="20"/>
        </w:rPr>
        <w:t xml:space="preserve">The model underpins the </w:t>
      </w:r>
      <w:r w:rsidRPr="002148BA">
        <w:rPr>
          <w:rFonts w:eastAsia="Times"/>
          <w:i/>
          <w:iCs/>
          <w:color w:val="000000"/>
          <w:sz w:val="20"/>
        </w:rPr>
        <w:t>Roadmap</w:t>
      </w:r>
      <w:r w:rsidRPr="00501133">
        <w:rPr>
          <w:rFonts w:eastAsia="Times"/>
          <w:color w:val="000000"/>
          <w:sz w:val="20"/>
        </w:rPr>
        <w:t>. Assessments conducted using the model, with reference to the five programs of work, provide the Victorian public health sector with an objective basis for digital health investment planning.</w:t>
      </w:r>
    </w:p>
    <w:p w14:paraId="40A7BC57" w14:textId="4991CDA6" w:rsidR="00501133" w:rsidRPr="00501133" w:rsidRDefault="00501133" w:rsidP="00501133">
      <w:pPr>
        <w:spacing w:line="270" w:lineRule="atLeast"/>
        <w:rPr>
          <w:rFonts w:eastAsia="Times"/>
          <w:color w:val="000000"/>
          <w:sz w:val="20"/>
        </w:rPr>
      </w:pPr>
      <w:r w:rsidRPr="00501133">
        <w:rPr>
          <w:rFonts w:eastAsia="Times"/>
          <w:color w:val="000000"/>
          <w:sz w:val="20"/>
        </w:rPr>
        <w:t>More information about the model can be obtained by contacting</w:t>
      </w:r>
      <w:r w:rsidR="002148BA">
        <w:rPr>
          <w:rFonts w:eastAsia="Times"/>
          <w:color w:val="000000"/>
          <w:sz w:val="20"/>
        </w:rPr>
        <w:t xml:space="preserve"> </w:t>
      </w:r>
      <w:hyperlink r:id="rId17" w:history="1">
        <w:r w:rsidR="002148BA" w:rsidRPr="00BC68A5">
          <w:rPr>
            <w:rStyle w:val="Hyperlink"/>
            <w:rFonts w:eastAsia="Times"/>
            <w:sz w:val="20"/>
          </w:rPr>
          <w:t>VDHMM@health.vic.gov.au</w:t>
        </w:r>
      </w:hyperlink>
      <w:r w:rsidR="002148BA">
        <w:rPr>
          <w:rFonts w:eastAsia="Times"/>
          <w:color w:val="000000"/>
          <w:sz w:val="20"/>
        </w:rPr>
        <w:t xml:space="preserve"> </w:t>
      </w:r>
    </w:p>
    <w:sectPr w:rsidR="00501133" w:rsidRPr="00501133"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F118" w14:textId="77777777" w:rsidR="004A7050" w:rsidRDefault="004A7050">
      <w:r>
        <w:separator/>
      </w:r>
    </w:p>
  </w:endnote>
  <w:endnote w:type="continuationSeparator" w:id="0">
    <w:p w14:paraId="2EE61FD5" w14:textId="77777777" w:rsidR="004A7050" w:rsidRDefault="004A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8B71"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408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8368" w14:textId="771EB0D6" w:rsidR="00373890" w:rsidRPr="00F65AA9" w:rsidRDefault="00771438" w:rsidP="00F84FA0">
    <w:pPr>
      <w:pStyle w:val="Footer"/>
    </w:pPr>
    <w:r>
      <w:rPr>
        <w:noProof/>
      </w:rPr>
      <mc:AlternateContent>
        <mc:Choice Requires="wps">
          <w:drawing>
            <wp:anchor distT="0" distB="0" distL="114300" distR="114300" simplePos="0" relativeHeight="251676160" behindDoc="0" locked="0" layoutInCell="0" allowOverlap="1" wp14:anchorId="6F72E7A4" wp14:editId="3110AFA4">
              <wp:simplePos x="0" y="0"/>
              <wp:positionH relativeFrom="page">
                <wp:posOffset>0</wp:posOffset>
              </wp:positionH>
              <wp:positionV relativeFrom="page">
                <wp:posOffset>10189210</wp:posOffset>
              </wp:positionV>
              <wp:extent cx="7560310" cy="311785"/>
              <wp:effectExtent l="0" t="0" r="0" b="12065"/>
              <wp:wrapNone/>
              <wp:docPr id="4" name="MSIPCM60eb42ef9b77d693bc75aeb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C83E07" w14:textId="3C4DA9BD" w:rsidR="00771438" w:rsidRPr="00771438" w:rsidRDefault="00771438" w:rsidP="00771438">
                          <w:pPr>
                            <w:spacing w:after="0"/>
                            <w:jc w:val="center"/>
                            <w:rPr>
                              <w:rFonts w:ascii="Arial Black" w:hAnsi="Arial Black"/>
                              <w:color w:val="000000"/>
                              <w:sz w:val="20"/>
                            </w:rPr>
                          </w:pPr>
                          <w:r w:rsidRPr="0077143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72E7A4" id="_x0000_t202" coordsize="21600,21600" o:spt="202" path="m,l,21600r21600,l21600,xe">
              <v:stroke joinstyle="miter"/>
              <v:path gradientshapeok="t" o:connecttype="rect"/>
            </v:shapetype>
            <v:shape id="MSIPCM60eb42ef9b77d693bc75aeba"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uADy9rgIAAEwFAAAOAAAA&#10;AAAAAAAAAAAAAC4CAABkcnMvZTJvRG9jLnhtbFBLAQItABQABgAIAAAAIQBIDV6a3wAAAAsBAAAP&#10;AAAAAAAAAAAAAAAAAAgFAABkcnMvZG93bnJldi54bWxQSwUGAAAAAAQABADzAAAAFAYAAAAA&#10;" o:allowincell="f" filled="f" stroked="f" strokeweight=".5pt">
              <v:textbox inset=",0,,0">
                <w:txbxContent>
                  <w:p w14:paraId="49C83E07" w14:textId="3C4DA9BD" w:rsidR="00771438" w:rsidRPr="00771438" w:rsidRDefault="00771438" w:rsidP="00771438">
                    <w:pPr>
                      <w:spacing w:after="0"/>
                      <w:jc w:val="center"/>
                      <w:rPr>
                        <w:rFonts w:ascii="Arial Black" w:hAnsi="Arial Black"/>
                        <w:color w:val="000000"/>
                        <w:sz w:val="20"/>
                      </w:rPr>
                    </w:pPr>
                    <w:r w:rsidRPr="0077143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470651C"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0A64" w14:textId="77777777" w:rsidR="004A7050" w:rsidRDefault="004A7050" w:rsidP="002862F1">
      <w:pPr>
        <w:spacing w:before="120"/>
      </w:pPr>
      <w:r>
        <w:separator/>
      </w:r>
    </w:p>
  </w:footnote>
  <w:footnote w:type="continuationSeparator" w:id="0">
    <w:p w14:paraId="56F04A4C" w14:textId="77777777" w:rsidR="004A7050" w:rsidRDefault="004A7050">
      <w:r>
        <w:continuationSeparator/>
      </w:r>
    </w:p>
  </w:footnote>
  <w:footnote w:id="1">
    <w:p w14:paraId="3FD09F0B" w14:textId="77777777" w:rsidR="00185F08" w:rsidRDefault="00185F08" w:rsidP="00185F08">
      <w:pPr>
        <w:pStyle w:val="FootnoteText"/>
      </w:pPr>
      <w:r>
        <w:rPr>
          <w:rStyle w:val="FootnoteReference"/>
        </w:rPr>
        <w:footnoteRef/>
      </w:r>
      <w:r>
        <w:t xml:space="preserve"> Victorian Auditor-General Report, </w:t>
      </w:r>
      <w:r w:rsidRPr="00327267">
        <w:rPr>
          <w:i/>
          <w:iCs/>
        </w:rPr>
        <w:t>ICT Strategic Planning in the Health Sector</w:t>
      </w:r>
      <w:r>
        <w:t>, 2017</w:t>
      </w:r>
    </w:p>
  </w:footnote>
  <w:footnote w:id="2">
    <w:p w14:paraId="1E5D03B5" w14:textId="77777777" w:rsidR="00BD1328" w:rsidRDefault="00BD1328" w:rsidP="00BD1328">
      <w:pPr>
        <w:pStyle w:val="FootnoteText"/>
      </w:pPr>
      <w:r>
        <w:rPr>
          <w:rStyle w:val="FootnoteReference"/>
        </w:rPr>
        <w:footnoteRef/>
      </w:r>
      <w:r>
        <w:t xml:space="preserve"> VDHMM Fact Sheet, Victorian Department of Health</w:t>
      </w:r>
    </w:p>
  </w:footnote>
  <w:footnote w:id="3">
    <w:p w14:paraId="54749726" w14:textId="02D2FFA3" w:rsidR="00773B1B" w:rsidRDefault="00773B1B">
      <w:pPr>
        <w:pStyle w:val="FootnoteText"/>
      </w:pPr>
      <w:r>
        <w:rPr>
          <w:rStyle w:val="FootnoteReference"/>
        </w:rPr>
        <w:footnoteRef/>
      </w:r>
      <w:r>
        <w:t xml:space="preserve"> EY, </w:t>
      </w:r>
      <w:r w:rsidRPr="0085783D">
        <w:rPr>
          <w:i/>
          <w:iCs/>
        </w:rPr>
        <w:t>Victoria’s Digital Health Maturity Model: a progressive framework of digital health technology adoption</w:t>
      </w:r>
      <w:r>
        <w:t xml:space="preserve">, August 2021 </w:t>
      </w:r>
      <w:hyperlink r:id="rId1" w:tgtFrame="_blank" w:tooltip="https://ey.com/en_au/health/growth-in-digital-health-care.html" w:history="1">
        <w:r>
          <w:rPr>
            <w:rStyle w:val="Hyperlink"/>
            <w:rFonts w:ascii="Segoe UI" w:hAnsi="Segoe UI" w:cs="Segoe UI"/>
            <w:color w:val="6264A7"/>
            <w:szCs w:val="21"/>
            <w:shd w:val="clear" w:color="auto" w:fill="FFFFFF"/>
          </w:rPr>
          <w:t>https://ey.com/en_au/health/growth-in-digital-health-care.html</w:t>
        </w:r>
      </w:hyperlink>
    </w:p>
  </w:footnote>
  <w:footnote w:id="4">
    <w:p w14:paraId="288403B4" w14:textId="77777777" w:rsidR="000C7964" w:rsidRDefault="000C7964" w:rsidP="000C79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4E2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9A9"/>
    <w:multiLevelType w:val="hybridMultilevel"/>
    <w:tmpl w:val="061EF53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48A3ED4"/>
    <w:multiLevelType w:val="hybridMultilevel"/>
    <w:tmpl w:val="FF0E4486"/>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AD2396"/>
    <w:multiLevelType w:val="hybridMultilevel"/>
    <w:tmpl w:val="EFAE9840"/>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72C3102"/>
    <w:multiLevelType w:val="hybridMultilevel"/>
    <w:tmpl w:val="38CEBD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C73300C"/>
    <w:multiLevelType w:val="hybridMultilevel"/>
    <w:tmpl w:val="11BEF082"/>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F1B0ABB"/>
    <w:multiLevelType w:val="hybridMultilevel"/>
    <w:tmpl w:val="A78E8E9C"/>
    <w:lvl w:ilvl="0" w:tplc="6B2E2A40">
      <w:start w:val="1"/>
      <w:numFmt w:val="bullet"/>
      <w:lvlText w:val="­"/>
      <w:lvlJc w:val="left"/>
      <w:pPr>
        <w:ind w:left="1713" w:hanging="360"/>
      </w:pPr>
      <w:rPr>
        <w:rFonts w:ascii="Courier New" w:hAnsi="Courier New"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2540510F"/>
    <w:multiLevelType w:val="hybridMultilevel"/>
    <w:tmpl w:val="CA026942"/>
    <w:lvl w:ilvl="0" w:tplc="6B2E2A40">
      <w:start w:val="1"/>
      <w:numFmt w:val="bullet"/>
      <w:lvlText w:val="­"/>
      <w:lvlJc w:val="left"/>
      <w:pPr>
        <w:ind w:left="1713" w:hanging="360"/>
      </w:pPr>
      <w:rPr>
        <w:rFonts w:ascii="Courier New" w:hAnsi="Courier New"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8" w15:restartNumberingAfterBreak="0">
    <w:nsid w:val="25F27EB4"/>
    <w:multiLevelType w:val="hybridMultilevel"/>
    <w:tmpl w:val="0B926324"/>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8F618C9"/>
    <w:multiLevelType w:val="hybridMultilevel"/>
    <w:tmpl w:val="0A0A6B06"/>
    <w:lvl w:ilvl="0" w:tplc="6B2E2A40">
      <w:start w:val="1"/>
      <w:numFmt w:val="bullet"/>
      <w:lvlText w:val="­"/>
      <w:lvlJc w:val="left"/>
      <w:pPr>
        <w:ind w:left="1713" w:hanging="360"/>
      </w:pPr>
      <w:rPr>
        <w:rFonts w:ascii="Courier New" w:hAnsi="Courier New"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0" w15:restartNumberingAfterBreak="0">
    <w:nsid w:val="2A507418"/>
    <w:multiLevelType w:val="hybridMultilevel"/>
    <w:tmpl w:val="10D63AB0"/>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425087C"/>
    <w:multiLevelType w:val="hybridMultilevel"/>
    <w:tmpl w:val="66C4CAEA"/>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18E5298"/>
    <w:multiLevelType w:val="hybridMultilevel"/>
    <w:tmpl w:val="A232C5A6"/>
    <w:lvl w:ilvl="0" w:tplc="6B2E2A40">
      <w:start w:val="1"/>
      <w:numFmt w:val="bullet"/>
      <w:lvlText w:val="­"/>
      <w:lvlJc w:val="left"/>
      <w:pPr>
        <w:ind w:left="1713" w:hanging="360"/>
      </w:pPr>
      <w:rPr>
        <w:rFonts w:ascii="Courier New" w:hAnsi="Courier New"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84F6569"/>
    <w:multiLevelType w:val="hybridMultilevel"/>
    <w:tmpl w:val="5698A1A6"/>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6C2E6CF1"/>
    <w:multiLevelType w:val="hybridMultilevel"/>
    <w:tmpl w:val="2AB019F0"/>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772060A8"/>
    <w:multiLevelType w:val="hybridMultilevel"/>
    <w:tmpl w:val="C75CC408"/>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7A4867F0"/>
    <w:multiLevelType w:val="hybridMultilevel"/>
    <w:tmpl w:val="3D3EE87E"/>
    <w:lvl w:ilvl="0" w:tplc="6B2E2A4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A48769D"/>
    <w:multiLevelType w:val="hybridMultilevel"/>
    <w:tmpl w:val="69AA1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5"/>
  </w:num>
  <w:num w:numId="3">
    <w:abstractNumId w:val="14"/>
  </w:num>
  <w:num w:numId="4">
    <w:abstractNumId w:val="17"/>
  </w:num>
  <w:num w:numId="5">
    <w:abstractNumId w:val="12"/>
  </w:num>
  <w:num w:numId="6">
    <w:abstractNumId w:val="2"/>
  </w:num>
  <w:num w:numId="7">
    <w:abstractNumId w:val="4"/>
  </w:num>
  <w:num w:numId="8">
    <w:abstractNumId w:val="7"/>
  </w:num>
  <w:num w:numId="9">
    <w:abstractNumId w:val="16"/>
  </w:num>
  <w:num w:numId="10">
    <w:abstractNumId w:val="9"/>
  </w:num>
  <w:num w:numId="11">
    <w:abstractNumId w:val="6"/>
  </w:num>
  <w:num w:numId="12">
    <w:abstractNumId w:val="13"/>
  </w:num>
  <w:num w:numId="13">
    <w:abstractNumId w:val="21"/>
  </w:num>
  <w:num w:numId="14">
    <w:abstractNumId w:val="3"/>
  </w:num>
  <w:num w:numId="15">
    <w:abstractNumId w:val="1"/>
  </w:num>
  <w:num w:numId="16">
    <w:abstractNumId w:val="19"/>
  </w:num>
  <w:num w:numId="17">
    <w:abstractNumId w:val="18"/>
  </w:num>
  <w:num w:numId="18">
    <w:abstractNumId w:val="5"/>
  </w:num>
  <w:num w:numId="19">
    <w:abstractNumId w:val="20"/>
  </w:num>
  <w:num w:numId="20">
    <w:abstractNumId w:val="8"/>
  </w:num>
  <w:num w:numId="21">
    <w:abstractNumId w:val="10"/>
  </w:num>
  <w:num w:numId="22">
    <w:abstractNumId w:val="0"/>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056E"/>
    <w:rsid w:val="00011D89"/>
    <w:rsid w:val="000154FD"/>
    <w:rsid w:val="00016FBF"/>
    <w:rsid w:val="00022271"/>
    <w:rsid w:val="000235E8"/>
    <w:rsid w:val="00024D89"/>
    <w:rsid w:val="000250B6"/>
    <w:rsid w:val="00033D81"/>
    <w:rsid w:val="00037366"/>
    <w:rsid w:val="00041BF0"/>
    <w:rsid w:val="00042C8A"/>
    <w:rsid w:val="00042CDC"/>
    <w:rsid w:val="0004536B"/>
    <w:rsid w:val="00046B68"/>
    <w:rsid w:val="000527DD"/>
    <w:rsid w:val="000578B2"/>
    <w:rsid w:val="00060959"/>
    <w:rsid w:val="00060C8F"/>
    <w:rsid w:val="0006298A"/>
    <w:rsid w:val="000663CD"/>
    <w:rsid w:val="000733FE"/>
    <w:rsid w:val="00074219"/>
    <w:rsid w:val="00074ED5"/>
    <w:rsid w:val="000835C6"/>
    <w:rsid w:val="0008508E"/>
    <w:rsid w:val="0008630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7964"/>
    <w:rsid w:val="000D1242"/>
    <w:rsid w:val="000E0970"/>
    <w:rsid w:val="000E1746"/>
    <w:rsid w:val="000E1910"/>
    <w:rsid w:val="000E3CC7"/>
    <w:rsid w:val="000E6BD4"/>
    <w:rsid w:val="000E6D6D"/>
    <w:rsid w:val="000F041F"/>
    <w:rsid w:val="000F1F1E"/>
    <w:rsid w:val="000F2259"/>
    <w:rsid w:val="000F2DDA"/>
    <w:rsid w:val="000F5213"/>
    <w:rsid w:val="00101001"/>
    <w:rsid w:val="00103276"/>
    <w:rsid w:val="0010392D"/>
    <w:rsid w:val="0010447F"/>
    <w:rsid w:val="00104FE3"/>
    <w:rsid w:val="0010714F"/>
    <w:rsid w:val="00111D69"/>
    <w:rsid w:val="001120C5"/>
    <w:rsid w:val="0011701A"/>
    <w:rsid w:val="00120BD3"/>
    <w:rsid w:val="00122FEA"/>
    <w:rsid w:val="001232BD"/>
    <w:rsid w:val="00124ED5"/>
    <w:rsid w:val="001276FA"/>
    <w:rsid w:val="0014255B"/>
    <w:rsid w:val="001447B3"/>
    <w:rsid w:val="00151BB2"/>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5F08"/>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48BA"/>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ABD"/>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4920"/>
    <w:rsid w:val="003459BD"/>
    <w:rsid w:val="00350D38"/>
    <w:rsid w:val="00351765"/>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969C6"/>
    <w:rsid w:val="00396D50"/>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33AD"/>
    <w:rsid w:val="00403EC0"/>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61FA"/>
    <w:rsid w:val="004A7050"/>
    <w:rsid w:val="004A707D"/>
    <w:rsid w:val="004C344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1133"/>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80B"/>
    <w:rsid w:val="005C5D80"/>
    <w:rsid w:val="005C5D91"/>
    <w:rsid w:val="005D07B8"/>
    <w:rsid w:val="005D6597"/>
    <w:rsid w:val="005E14E7"/>
    <w:rsid w:val="005E26A3"/>
    <w:rsid w:val="005E2ECB"/>
    <w:rsid w:val="005E447E"/>
    <w:rsid w:val="005E4FD1"/>
    <w:rsid w:val="005F0775"/>
    <w:rsid w:val="005F0CF5"/>
    <w:rsid w:val="005F21EB"/>
    <w:rsid w:val="005F6009"/>
    <w:rsid w:val="00605908"/>
    <w:rsid w:val="00610D7C"/>
    <w:rsid w:val="00613414"/>
    <w:rsid w:val="00620154"/>
    <w:rsid w:val="0062408D"/>
    <w:rsid w:val="006240CC"/>
    <w:rsid w:val="00624940"/>
    <w:rsid w:val="006254F8"/>
    <w:rsid w:val="00627D35"/>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543"/>
    <w:rsid w:val="00667770"/>
    <w:rsid w:val="00670597"/>
    <w:rsid w:val="006706D0"/>
    <w:rsid w:val="00677574"/>
    <w:rsid w:val="0068029C"/>
    <w:rsid w:val="0068454C"/>
    <w:rsid w:val="00691B62"/>
    <w:rsid w:val="006933B5"/>
    <w:rsid w:val="00693D14"/>
    <w:rsid w:val="00696F27"/>
    <w:rsid w:val="006A18C2"/>
    <w:rsid w:val="006A3383"/>
    <w:rsid w:val="006A7227"/>
    <w:rsid w:val="006B077C"/>
    <w:rsid w:val="006B6803"/>
    <w:rsid w:val="006D0F16"/>
    <w:rsid w:val="006D2A3F"/>
    <w:rsid w:val="006D2FBC"/>
    <w:rsid w:val="006E0541"/>
    <w:rsid w:val="006E138B"/>
    <w:rsid w:val="006F0330"/>
    <w:rsid w:val="006F1D3B"/>
    <w:rsid w:val="006F1FDC"/>
    <w:rsid w:val="006F6B8C"/>
    <w:rsid w:val="007013EF"/>
    <w:rsid w:val="007055BD"/>
    <w:rsid w:val="007106E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1438"/>
    <w:rsid w:val="00772D5E"/>
    <w:rsid w:val="00773B1B"/>
    <w:rsid w:val="0077463E"/>
    <w:rsid w:val="00776928"/>
    <w:rsid w:val="00776CC7"/>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1B3B"/>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91D"/>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5668"/>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1328"/>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75E5"/>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D6ED3"/>
    <w:rsid w:val="00CE225F"/>
    <w:rsid w:val="00CF2F50"/>
    <w:rsid w:val="00CF6198"/>
    <w:rsid w:val="00D01B99"/>
    <w:rsid w:val="00D02919"/>
    <w:rsid w:val="00D04C61"/>
    <w:rsid w:val="00D05B8D"/>
    <w:rsid w:val="00D065A2"/>
    <w:rsid w:val="00D079AA"/>
    <w:rsid w:val="00D07F00"/>
    <w:rsid w:val="00D1130F"/>
    <w:rsid w:val="00D15CBA"/>
    <w:rsid w:val="00D17B72"/>
    <w:rsid w:val="00D3185C"/>
    <w:rsid w:val="00D31B24"/>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B60BB"/>
    <w:rsid w:val="00DC013B"/>
    <w:rsid w:val="00DC090B"/>
    <w:rsid w:val="00DC1679"/>
    <w:rsid w:val="00DC219B"/>
    <w:rsid w:val="00DC2CF1"/>
    <w:rsid w:val="00DC4FCF"/>
    <w:rsid w:val="00DC50E0"/>
    <w:rsid w:val="00DC54AD"/>
    <w:rsid w:val="00DC6386"/>
    <w:rsid w:val="00DD1130"/>
    <w:rsid w:val="00DD1951"/>
    <w:rsid w:val="00DD487D"/>
    <w:rsid w:val="00DD4E83"/>
    <w:rsid w:val="00DD6628"/>
    <w:rsid w:val="00DD6945"/>
    <w:rsid w:val="00DE2D04"/>
    <w:rsid w:val="00DE3250"/>
    <w:rsid w:val="00DE451A"/>
    <w:rsid w:val="00DE6028"/>
    <w:rsid w:val="00DE78A3"/>
    <w:rsid w:val="00DF1A71"/>
    <w:rsid w:val="00DF2B1E"/>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4EAE"/>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7DA1"/>
    <w:rsid w:val="00F101B8"/>
    <w:rsid w:val="00F11037"/>
    <w:rsid w:val="00F137B3"/>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ListParagraph">
    <w:name w:val="List Paragraph"/>
    <w:basedOn w:val="Normal"/>
    <w:uiPriority w:val="72"/>
    <w:semiHidden/>
    <w:qFormat/>
    <w:rsid w:val="00BD1328"/>
    <w:pPr>
      <w:ind w:left="720"/>
      <w:contextualSpacing/>
    </w:pPr>
  </w:style>
  <w:style w:type="paragraph" w:customStyle="1" w:styleId="DHHSbody">
    <w:name w:val="DHHS body"/>
    <w:link w:val="DHHSbodyChar"/>
    <w:qFormat/>
    <w:rsid w:val="004033AD"/>
    <w:pPr>
      <w:spacing w:after="120" w:line="270" w:lineRule="atLeast"/>
    </w:pPr>
    <w:rPr>
      <w:rFonts w:ascii="Arial" w:eastAsia="Times" w:hAnsi="Arial"/>
      <w:lang w:eastAsia="en-US"/>
    </w:rPr>
  </w:style>
  <w:style w:type="character" w:customStyle="1" w:styleId="DHHSbodyChar">
    <w:name w:val="DHHS body Char"/>
    <w:link w:val="DHHSbody"/>
    <w:locked/>
    <w:rsid w:val="004033AD"/>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DHMM@health.vic.gov.au"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urldefense.proofpoint.com/v2/url?u=https-3A__ey.com_en-5Fau_health_growth-2Din-2Ddigital-2Dhealth-2Dcare.html&amp;d=DwMFAg&amp;c=JnBkUqWXzx2bz-3a05d47Q&amp;r=xZOMb46fUHj3g59lAQFcyby2R4_bbpcfgoq_FwMmReI_-XMXVfATQ1dEtEXSOJve&amp;m=UludqkAoTAbAFexjCyc1PPcPNIOGNzq5ZfI2xsYpzfa-v6CKx9soRUlCps1SEr-M&amp;s=gLywM2jdqxXVn6T169K0qPuYSc-N3o6XJ8-jka4IRlM&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https://dhhsvicgovau.sharepoint.com/:w:/s/health/EZWEl9KhoINOtvdTc0vI6fcB2xFLTwl0vjCf_o6G9rYw3g</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2.xml><?xml version="1.0" encoding="utf-8"?>
<ds:datastoreItem xmlns:ds="http://schemas.openxmlformats.org/officeDocument/2006/customXml" ds:itemID="{3D39149B-460A-434E-A739-FDC53CE3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7397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LinksUpToDate>false</LinksUpToDate>
  <CharactersWithSpaces>8677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2020-03-30T03:28:00Z</cp:lastPrinted>
  <dcterms:created xsi:type="dcterms:W3CDTF">2022-02-15T22:46:00Z</dcterms:created>
  <dcterms:modified xsi:type="dcterms:W3CDTF">2022-02-15T22:46:00Z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Factsheet</vt:lpwstr>
  </property>
  <property fmtid="{D5CDD505-2E9C-101B-9397-08002B2CF9AE}" pid="12" name="xd_Signature">
    <vt:bool>false</vt:bool>
  </property>
  <property fmtid="{D5CDD505-2E9C-101B-9397-08002B2CF9AE}" pid="13" name="WebPage">
    <vt:lpwstr>https://dhhsvicgovau.sharepoint.com/:w:/s/health/EZWEl9KhoINOtvdTc0vI6fcB2xFLTwl0vjCf_o6G9rYw3g, https://dhhsvicgovau.sharepoint.com/:w:/s/health/EZWEl9KhoINOtvdTc0vI6fcB2xFLTwl0vjCf_o6G9rYw3g</vt:lpwstr>
  </property>
  <property fmtid="{D5CDD505-2E9C-101B-9397-08002B2CF9AE}" pid="14" name="Days before next review">
    <vt:r8>365</vt:r8>
  </property>
  <property fmtid="{D5CDD505-2E9C-101B-9397-08002B2CF9AE}" pid="15" name="_ExtendedDescription">
    <vt:lpwstr/>
  </property>
  <property fmtid="{D5CDD505-2E9C-101B-9397-08002B2CF9AE}" pid="16" name="_MarkAsFinal">
    <vt:lpwstr>true</vt:lpwstr>
  </property>
  <property fmtid="{D5CDD505-2E9C-101B-9397-08002B2CF9AE}" pid="17" name="MSIP_Label_43e64453-338c-4f93-8a4d-0039a0a41f2a_Enabled">
    <vt:lpwstr>true</vt:lpwstr>
  </property>
  <property fmtid="{D5CDD505-2E9C-101B-9397-08002B2CF9AE}" pid="18" name="MSIP_Label_43e64453-338c-4f93-8a4d-0039a0a41f2a_SetDate">
    <vt:lpwstr>2022-02-15T22:46:23Z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54912b29-25c0-467c-aeba-e810dbabbcec</vt:lpwstr>
  </property>
  <property fmtid="{D5CDD505-2E9C-101B-9397-08002B2CF9AE}" pid="23" name="MSIP_Label_43e64453-338c-4f93-8a4d-0039a0a41f2a_ContentBits">
    <vt:lpwstr>2</vt:lpwstr>
  </property>
</Properties>
</file>