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729E"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176DA2E9" wp14:editId="640F786B">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610F48"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FDADCED" w14:textId="77777777" w:rsidTr="00B07FF7">
        <w:trPr>
          <w:trHeight w:val="622"/>
        </w:trPr>
        <w:tc>
          <w:tcPr>
            <w:tcW w:w="10348" w:type="dxa"/>
            <w:tcMar>
              <w:top w:w="1531" w:type="dxa"/>
              <w:left w:w="0" w:type="dxa"/>
              <w:right w:w="0" w:type="dxa"/>
            </w:tcMar>
          </w:tcPr>
          <w:p w14:paraId="40942EF9" w14:textId="77777777" w:rsidR="003B5733" w:rsidRPr="003B5733" w:rsidRDefault="00886938" w:rsidP="003B5733">
            <w:pPr>
              <w:pStyle w:val="Documenttitle"/>
            </w:pPr>
            <w:r>
              <w:t>Blood Matters on the Bench and Beyond</w:t>
            </w:r>
          </w:p>
        </w:tc>
      </w:tr>
      <w:tr w:rsidR="003B5733" w14:paraId="529A2777" w14:textId="77777777" w:rsidTr="00B07FF7">
        <w:tc>
          <w:tcPr>
            <w:tcW w:w="10348" w:type="dxa"/>
          </w:tcPr>
          <w:p w14:paraId="5A5A3B19" w14:textId="1AC1710E" w:rsidR="003B5733" w:rsidRPr="00A1389F" w:rsidRDefault="00886938" w:rsidP="005F44C0">
            <w:pPr>
              <w:pStyle w:val="Documentsubtitle"/>
            </w:pPr>
            <w:r>
              <w:t xml:space="preserve">Issue </w:t>
            </w:r>
            <w:r w:rsidR="00BD5345">
              <w:t>9</w:t>
            </w:r>
            <w:r>
              <w:t xml:space="preserve"> – </w:t>
            </w:r>
            <w:r w:rsidR="00BD5345">
              <w:t>February</w:t>
            </w:r>
            <w:r>
              <w:t xml:space="preserve"> 202</w:t>
            </w:r>
            <w:r w:rsidR="00BD5345">
              <w:t>2</w:t>
            </w:r>
          </w:p>
        </w:tc>
      </w:tr>
      <w:tr w:rsidR="003B5733" w14:paraId="477E2524" w14:textId="77777777" w:rsidTr="00B07FF7">
        <w:tc>
          <w:tcPr>
            <w:tcW w:w="10348" w:type="dxa"/>
          </w:tcPr>
          <w:p w14:paraId="7EE8E3F5" w14:textId="77777777" w:rsidR="003B5733" w:rsidRPr="001E5058" w:rsidRDefault="00B93102" w:rsidP="001E5058">
            <w:pPr>
              <w:pStyle w:val="Bannermarking"/>
            </w:pPr>
            <w:r>
              <w:fldChar w:fldCharType="begin"/>
            </w:r>
            <w:r>
              <w:instrText xml:space="preserve"> FILLIN  "Type the protective marking" \d OFFICIAL \o  \* MERGEFORMAT </w:instrText>
            </w:r>
            <w:r>
              <w:fldChar w:fldCharType="separate"/>
            </w:r>
            <w:r w:rsidR="006B55FB">
              <w:t>OFFICIAL</w:t>
            </w:r>
            <w:r>
              <w:fldChar w:fldCharType="end"/>
            </w:r>
          </w:p>
        </w:tc>
      </w:tr>
    </w:tbl>
    <w:p w14:paraId="4D63A8B9"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34CA876" w14:textId="77777777" w:rsidR="0050221C" w:rsidRDefault="0050221C" w:rsidP="0050221C">
      <w:pPr>
        <w:pStyle w:val="Body"/>
        <w:rPr>
          <w:rFonts w:eastAsia="MS Mincho"/>
          <w:b/>
          <w:bCs/>
          <w:noProof/>
          <w:sz w:val="24"/>
          <w:szCs w:val="24"/>
          <w:lang w:eastAsia="en-AU"/>
        </w:rPr>
      </w:pPr>
      <w:r>
        <w:t xml:space="preserve">Welcome to the Blood Matters newsletter for Scientists. It will </w:t>
      </w:r>
      <w:r w:rsidR="00BC39C7">
        <w:t>be distributed throughout the year to share information that may be helpful to you, and to let you know of upcoming activities which may be of interest.</w:t>
      </w:r>
      <w:r w:rsidR="00BC39C7" w:rsidRPr="00BC39C7">
        <w:rPr>
          <w:rFonts w:eastAsia="MS Mincho"/>
          <w:b/>
          <w:bCs/>
          <w:noProof/>
          <w:sz w:val="24"/>
          <w:szCs w:val="24"/>
          <w:lang w:eastAsia="en-AU"/>
        </w:rPr>
        <w:t xml:space="preserve"> </w:t>
      </w:r>
    </w:p>
    <w:p w14:paraId="2EE775E2" w14:textId="4D630C4D" w:rsidR="008770B1" w:rsidRDefault="008770B1" w:rsidP="00633B21">
      <w:pPr>
        <w:pStyle w:val="Heading2"/>
        <w:rPr>
          <w:noProof/>
          <w:lang w:eastAsia="en-AU"/>
        </w:rPr>
      </w:pPr>
      <w:r>
        <w:rPr>
          <w:noProof/>
          <w:lang w:eastAsia="en-AU"/>
        </w:rPr>
        <w:t>Blood Matters online events</w:t>
      </w:r>
      <w:r w:rsidR="005206B7">
        <w:rPr>
          <w:noProof/>
          <w:lang w:eastAsia="en-AU"/>
        </w:rPr>
        <w:t xml:space="preserve"> 2022</w:t>
      </w:r>
    </w:p>
    <w:p w14:paraId="064FA2B7" w14:textId="28CA341B" w:rsidR="005206B7" w:rsidRPr="005206B7" w:rsidRDefault="005206B7" w:rsidP="005206B7">
      <w:pPr>
        <w:pStyle w:val="Body"/>
        <w:rPr>
          <w:lang w:eastAsia="en-AU"/>
        </w:rPr>
      </w:pPr>
      <w:r>
        <w:rPr>
          <w:lang w:eastAsia="en-AU"/>
        </w:rPr>
        <w:t xml:space="preserve">We have been </w:t>
      </w:r>
      <w:r w:rsidR="009F4906">
        <w:rPr>
          <w:lang w:eastAsia="en-AU"/>
        </w:rPr>
        <w:t>thrilled</w:t>
      </w:r>
      <w:r>
        <w:rPr>
          <w:lang w:eastAsia="en-AU"/>
        </w:rPr>
        <w:t xml:space="preserve"> with the </w:t>
      </w:r>
      <w:r w:rsidR="009F4906">
        <w:rPr>
          <w:lang w:eastAsia="en-AU"/>
        </w:rPr>
        <w:t xml:space="preserve">level of </w:t>
      </w:r>
      <w:r>
        <w:rPr>
          <w:lang w:eastAsia="en-AU"/>
        </w:rPr>
        <w:t xml:space="preserve">interest and participation in Blood Matters online events since they began in 2020. These </w:t>
      </w:r>
      <w:r w:rsidR="009F4906">
        <w:rPr>
          <w:lang w:eastAsia="en-AU"/>
        </w:rPr>
        <w:t>have</w:t>
      </w:r>
      <w:r>
        <w:rPr>
          <w:lang w:eastAsia="en-AU"/>
        </w:rPr>
        <w:t xml:space="preserve"> become a regular fixture </w:t>
      </w:r>
      <w:r w:rsidR="009F4906">
        <w:rPr>
          <w:lang w:eastAsia="en-AU"/>
        </w:rPr>
        <w:t xml:space="preserve">in our education calendar, continuing to </w:t>
      </w:r>
      <w:r>
        <w:rPr>
          <w:lang w:eastAsia="en-AU"/>
        </w:rPr>
        <w:t>support scientists and our multidisciplinary network</w:t>
      </w:r>
      <w:r w:rsidR="009F4906">
        <w:rPr>
          <w:lang w:eastAsia="en-AU"/>
        </w:rPr>
        <w:t xml:space="preserve"> of transfusion professionals</w:t>
      </w:r>
      <w:r>
        <w:rPr>
          <w:lang w:eastAsia="en-AU"/>
        </w:rPr>
        <w:t xml:space="preserve">. </w:t>
      </w:r>
    </w:p>
    <w:p w14:paraId="2B716771" w14:textId="6ECCB533" w:rsidR="00FD5A71" w:rsidRPr="00633B21" w:rsidRDefault="005206B7" w:rsidP="00633B21">
      <w:pPr>
        <w:pStyle w:val="Heading3"/>
        <w:rPr>
          <w:color w:val="C00000"/>
        </w:rPr>
      </w:pPr>
      <w:r>
        <w:rPr>
          <w:color w:val="C00000"/>
        </w:rPr>
        <w:t>Five in 5 blood management education series</w:t>
      </w:r>
    </w:p>
    <w:p w14:paraId="389A341E" w14:textId="571D1310" w:rsidR="00FD5A71" w:rsidRDefault="00B576D3" w:rsidP="00B576D3">
      <w:pPr>
        <w:pStyle w:val="Heading3"/>
        <w:ind w:left="1701"/>
      </w:pPr>
      <w:r w:rsidRPr="00FD5A71">
        <w:rPr>
          <w:noProof/>
        </w:rPr>
        <w:drawing>
          <wp:anchor distT="0" distB="0" distL="114300" distR="114300" simplePos="0" relativeHeight="251662336" behindDoc="0" locked="0" layoutInCell="1" allowOverlap="1" wp14:anchorId="63110D04" wp14:editId="202D367C">
            <wp:simplePos x="0" y="0"/>
            <wp:positionH relativeFrom="column">
              <wp:posOffset>0</wp:posOffset>
            </wp:positionH>
            <wp:positionV relativeFrom="paragraph">
              <wp:posOffset>-635</wp:posOffset>
            </wp:positionV>
            <wp:extent cx="914400" cy="943309"/>
            <wp:effectExtent l="0" t="0" r="0" b="9525"/>
            <wp:wrapNone/>
            <wp:docPr id="1" name="Picture 1" descr="Image of calendar and clock" title="Calen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motion\2020\Icons\Blood Maters Icon and PNG formats\Blood Maters Icon and PNG formats\Calendar_blac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0208" cy="9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06B7">
        <w:rPr>
          <w:noProof/>
        </w:rPr>
        <w:t>21 – 25 March</w:t>
      </w:r>
      <w:r w:rsidR="00FD5A71">
        <w:t xml:space="preserve"> 202</w:t>
      </w:r>
      <w:r w:rsidR="005206B7">
        <w:t>2</w:t>
      </w:r>
    </w:p>
    <w:p w14:paraId="0ECE231E" w14:textId="19A247EE" w:rsidR="00FD5A71" w:rsidRDefault="00521C34" w:rsidP="00521C34">
      <w:pPr>
        <w:pStyle w:val="Body"/>
        <w:spacing w:after="0"/>
        <w:ind w:left="1701"/>
      </w:pPr>
      <w:r>
        <w:t>10.30 – 11.30am daily</w:t>
      </w:r>
    </w:p>
    <w:p w14:paraId="1525DC90" w14:textId="7659BB85" w:rsidR="00FD5A71" w:rsidRDefault="00FD5A71" w:rsidP="00521C34">
      <w:pPr>
        <w:pStyle w:val="Body"/>
        <w:ind w:left="1701"/>
      </w:pPr>
      <w:r>
        <w:t>Virtual education session</w:t>
      </w:r>
      <w:r w:rsidR="00521C34">
        <w:t>s</w:t>
      </w:r>
      <w:r>
        <w:t xml:space="preserve"> via Webex</w:t>
      </w:r>
    </w:p>
    <w:p w14:paraId="2FBE4809" w14:textId="4553C28D" w:rsidR="005206B7" w:rsidRDefault="00404A62" w:rsidP="00B576D3">
      <w:pPr>
        <w:pStyle w:val="Body"/>
        <w:ind w:left="1701"/>
      </w:pPr>
      <w:r>
        <w:rPr>
          <w:b/>
        </w:rPr>
        <w:t>Each topic (day) requires individual r</w:t>
      </w:r>
      <w:r w:rsidR="009F4906" w:rsidRPr="00521C34">
        <w:rPr>
          <w:b/>
        </w:rPr>
        <w:t>egistration</w:t>
      </w:r>
      <w:r>
        <w:rPr>
          <w:b/>
        </w:rPr>
        <w:t>.</w:t>
      </w:r>
      <w:r w:rsidR="00521C34">
        <w:t xml:space="preserve"> </w:t>
      </w:r>
      <w:r>
        <w:t>L</w:t>
      </w:r>
      <w:r w:rsidR="00521C34">
        <w:t>inks</w:t>
      </w:r>
      <w:r w:rsidR="005D7E48">
        <w:t xml:space="preserve"> provided</w:t>
      </w:r>
      <w:r w:rsidR="00521C34">
        <w:t xml:space="preserve"> </w:t>
      </w:r>
      <w:r>
        <w:t>below.</w:t>
      </w:r>
    </w:p>
    <w:tbl>
      <w:tblPr>
        <w:tblStyle w:val="TableGrid"/>
        <w:tblW w:w="0" w:type="auto"/>
        <w:tblLook w:val="04A0" w:firstRow="1" w:lastRow="0" w:firstColumn="1" w:lastColumn="0" w:noHBand="0" w:noVBand="1"/>
      </w:tblPr>
      <w:tblGrid>
        <w:gridCol w:w="2547"/>
        <w:gridCol w:w="4819"/>
        <w:gridCol w:w="3090"/>
      </w:tblGrid>
      <w:tr w:rsidR="00404A62" w14:paraId="44572139" w14:textId="3B542647" w:rsidTr="00404A62">
        <w:tc>
          <w:tcPr>
            <w:tcW w:w="2547" w:type="dxa"/>
          </w:tcPr>
          <w:p w14:paraId="694B0E3E" w14:textId="3EEE66B3" w:rsidR="00404A62" w:rsidRPr="00690220" w:rsidRDefault="00404A62" w:rsidP="00404A62">
            <w:pPr>
              <w:spacing w:line="22" w:lineRule="atLeast"/>
              <w:rPr>
                <w:rFonts w:eastAsia="Times"/>
                <w:color w:val="000000" w:themeColor="text1"/>
                <w:sz w:val="22"/>
                <w:szCs w:val="22"/>
              </w:rPr>
            </w:pPr>
            <w:r w:rsidRPr="00690220">
              <w:rPr>
                <w:rFonts w:eastAsia="Times"/>
                <w:color w:val="000000" w:themeColor="text1"/>
                <w:sz w:val="22"/>
                <w:szCs w:val="22"/>
              </w:rPr>
              <w:t xml:space="preserve">Monday </w:t>
            </w:r>
            <w:r>
              <w:rPr>
                <w:rFonts w:eastAsia="Times"/>
                <w:color w:val="000000" w:themeColor="text1"/>
                <w:sz w:val="22"/>
                <w:szCs w:val="22"/>
              </w:rPr>
              <w:t>21</w:t>
            </w:r>
            <w:r w:rsidRPr="00521C34">
              <w:rPr>
                <w:rFonts w:eastAsia="Times"/>
                <w:color w:val="000000" w:themeColor="text1"/>
                <w:sz w:val="22"/>
                <w:szCs w:val="22"/>
                <w:vertAlign w:val="superscript"/>
              </w:rPr>
              <w:t>st</w:t>
            </w:r>
            <w:r>
              <w:rPr>
                <w:rFonts w:eastAsia="Times"/>
                <w:color w:val="000000" w:themeColor="text1"/>
                <w:sz w:val="22"/>
                <w:szCs w:val="22"/>
              </w:rPr>
              <w:t xml:space="preserve"> March</w:t>
            </w:r>
          </w:p>
        </w:tc>
        <w:tc>
          <w:tcPr>
            <w:tcW w:w="4819" w:type="dxa"/>
          </w:tcPr>
          <w:p w14:paraId="7F6E44EC" w14:textId="15FFD4C3" w:rsidR="00404A62" w:rsidRPr="00690220" w:rsidRDefault="00404A62" w:rsidP="00404A62">
            <w:pPr>
              <w:spacing w:line="22" w:lineRule="atLeast"/>
              <w:rPr>
                <w:rFonts w:eastAsia="Times"/>
                <w:b/>
                <w:color w:val="000000" w:themeColor="text1"/>
                <w:sz w:val="22"/>
                <w:szCs w:val="22"/>
              </w:rPr>
            </w:pPr>
            <w:r>
              <w:rPr>
                <w:rFonts w:eastAsia="Times"/>
                <w:color w:val="000000" w:themeColor="text1"/>
                <w:sz w:val="22"/>
                <w:szCs w:val="22"/>
              </w:rPr>
              <w:t>Safe transfusion practice</w:t>
            </w:r>
          </w:p>
        </w:tc>
        <w:tc>
          <w:tcPr>
            <w:tcW w:w="3090" w:type="dxa"/>
          </w:tcPr>
          <w:p w14:paraId="264D4531" w14:textId="4BFE654A" w:rsidR="00404A62" w:rsidRPr="00404A62" w:rsidRDefault="00B93102" w:rsidP="00404A62">
            <w:pPr>
              <w:spacing w:line="22" w:lineRule="atLeast"/>
              <w:rPr>
                <w:rFonts w:eastAsia="Times"/>
                <w:color w:val="000000" w:themeColor="text1"/>
                <w:sz w:val="22"/>
                <w:szCs w:val="22"/>
              </w:rPr>
            </w:pPr>
            <w:hyperlink r:id="rId20" w:history="1">
              <w:r w:rsidR="00404A62" w:rsidRPr="00404A62">
                <w:rPr>
                  <w:rStyle w:val="Hyperlink"/>
                  <w:b/>
                  <w:bCs/>
                  <w:color w:val="0070C0"/>
                  <w:sz w:val="22"/>
                  <w:szCs w:val="22"/>
                </w:rPr>
                <w:t>Register</w:t>
              </w:r>
            </w:hyperlink>
            <w:r w:rsidR="00404A62" w:rsidRPr="00404A62">
              <w:rPr>
                <w:rFonts w:cs="Arial"/>
                <w:b/>
                <w:sz w:val="22"/>
                <w:szCs w:val="22"/>
              </w:rPr>
              <w:t xml:space="preserve"> here for day 1</w:t>
            </w:r>
          </w:p>
        </w:tc>
      </w:tr>
      <w:tr w:rsidR="00404A62" w14:paraId="7519731C" w14:textId="7D6422A4" w:rsidTr="00404A62">
        <w:tc>
          <w:tcPr>
            <w:tcW w:w="2547" w:type="dxa"/>
          </w:tcPr>
          <w:p w14:paraId="5DA25B8D" w14:textId="5CF92715" w:rsidR="00404A62" w:rsidRPr="00690220" w:rsidRDefault="00404A62" w:rsidP="00404A62">
            <w:pPr>
              <w:spacing w:line="22" w:lineRule="atLeast"/>
              <w:rPr>
                <w:rFonts w:eastAsia="Times"/>
                <w:color w:val="000000" w:themeColor="text1"/>
                <w:sz w:val="22"/>
                <w:szCs w:val="22"/>
              </w:rPr>
            </w:pPr>
            <w:r w:rsidRPr="00690220">
              <w:rPr>
                <w:rFonts w:eastAsia="Times"/>
                <w:color w:val="000000" w:themeColor="text1"/>
                <w:sz w:val="22"/>
                <w:szCs w:val="22"/>
              </w:rPr>
              <w:t xml:space="preserve">Tuesday </w:t>
            </w:r>
            <w:r>
              <w:rPr>
                <w:rFonts w:eastAsia="Times"/>
                <w:color w:val="000000" w:themeColor="text1"/>
                <w:sz w:val="22"/>
                <w:szCs w:val="22"/>
              </w:rPr>
              <w:t>22</w:t>
            </w:r>
            <w:r w:rsidRPr="00521C34">
              <w:rPr>
                <w:rFonts w:eastAsia="Times"/>
                <w:color w:val="000000" w:themeColor="text1"/>
                <w:sz w:val="22"/>
                <w:szCs w:val="22"/>
                <w:vertAlign w:val="superscript"/>
              </w:rPr>
              <w:t>nd</w:t>
            </w:r>
            <w:r>
              <w:rPr>
                <w:rFonts w:eastAsia="Times"/>
                <w:color w:val="000000" w:themeColor="text1"/>
                <w:sz w:val="22"/>
                <w:szCs w:val="22"/>
              </w:rPr>
              <w:t xml:space="preserve"> March</w:t>
            </w:r>
          </w:p>
        </w:tc>
        <w:tc>
          <w:tcPr>
            <w:tcW w:w="4819" w:type="dxa"/>
          </w:tcPr>
          <w:p w14:paraId="49CA688B" w14:textId="1291EE25" w:rsidR="00404A62" w:rsidRPr="00690220" w:rsidRDefault="00404A62" w:rsidP="00404A62">
            <w:pPr>
              <w:spacing w:line="22" w:lineRule="atLeast"/>
              <w:rPr>
                <w:rFonts w:eastAsia="Times"/>
                <w:b/>
                <w:color w:val="000000" w:themeColor="text1"/>
                <w:sz w:val="22"/>
                <w:szCs w:val="22"/>
              </w:rPr>
            </w:pPr>
            <w:r>
              <w:rPr>
                <w:rFonts w:eastAsia="Times"/>
                <w:color w:val="000000" w:themeColor="text1"/>
                <w:sz w:val="22"/>
                <w:szCs w:val="22"/>
              </w:rPr>
              <w:t>Blood grouping and compatibility testing</w:t>
            </w:r>
          </w:p>
        </w:tc>
        <w:tc>
          <w:tcPr>
            <w:tcW w:w="3090" w:type="dxa"/>
          </w:tcPr>
          <w:p w14:paraId="0591F67A" w14:textId="7980A8FD" w:rsidR="00404A62" w:rsidRPr="00404A62" w:rsidRDefault="00B93102" w:rsidP="00404A62">
            <w:pPr>
              <w:spacing w:line="22" w:lineRule="atLeast"/>
              <w:rPr>
                <w:rFonts w:eastAsia="Times"/>
                <w:color w:val="000000" w:themeColor="text1"/>
                <w:sz w:val="22"/>
                <w:szCs w:val="22"/>
              </w:rPr>
            </w:pPr>
            <w:hyperlink r:id="rId21" w:history="1">
              <w:r w:rsidR="00404A62" w:rsidRPr="00404A62">
                <w:rPr>
                  <w:rStyle w:val="Hyperlink"/>
                  <w:b/>
                  <w:bCs/>
                  <w:color w:val="0070C0"/>
                  <w:sz w:val="22"/>
                  <w:szCs w:val="22"/>
                </w:rPr>
                <w:t>Register</w:t>
              </w:r>
            </w:hyperlink>
            <w:r w:rsidR="00404A62" w:rsidRPr="00404A62">
              <w:rPr>
                <w:rFonts w:cs="Arial"/>
                <w:b/>
                <w:bCs/>
                <w:color w:val="000000" w:themeColor="text1"/>
                <w:sz w:val="22"/>
                <w:szCs w:val="22"/>
              </w:rPr>
              <w:t xml:space="preserve"> </w:t>
            </w:r>
            <w:r w:rsidR="00404A62" w:rsidRPr="00404A62">
              <w:rPr>
                <w:rFonts w:cs="Arial"/>
                <w:b/>
                <w:sz w:val="22"/>
                <w:szCs w:val="22"/>
              </w:rPr>
              <w:t>here for day 2</w:t>
            </w:r>
          </w:p>
        </w:tc>
      </w:tr>
      <w:tr w:rsidR="00404A62" w14:paraId="4FBFA1CD" w14:textId="4BA95467" w:rsidTr="00404A62">
        <w:tc>
          <w:tcPr>
            <w:tcW w:w="2547" w:type="dxa"/>
          </w:tcPr>
          <w:p w14:paraId="6C61F879" w14:textId="6BA632F5" w:rsidR="00404A62" w:rsidRPr="00690220" w:rsidRDefault="00404A62" w:rsidP="00404A62">
            <w:pPr>
              <w:spacing w:line="22" w:lineRule="atLeast"/>
              <w:rPr>
                <w:rFonts w:eastAsia="Times"/>
                <w:color w:val="000000" w:themeColor="text1"/>
                <w:sz w:val="22"/>
                <w:szCs w:val="22"/>
              </w:rPr>
            </w:pPr>
            <w:r w:rsidRPr="00690220">
              <w:rPr>
                <w:rFonts w:eastAsia="Times"/>
                <w:color w:val="000000" w:themeColor="text1"/>
                <w:sz w:val="22"/>
                <w:szCs w:val="22"/>
              </w:rPr>
              <w:t xml:space="preserve">Wednesday </w:t>
            </w:r>
            <w:r>
              <w:rPr>
                <w:rFonts w:eastAsia="Times"/>
                <w:color w:val="000000" w:themeColor="text1"/>
                <w:sz w:val="22"/>
                <w:szCs w:val="22"/>
              </w:rPr>
              <w:t>23</w:t>
            </w:r>
            <w:r w:rsidRPr="00521C34">
              <w:rPr>
                <w:rFonts w:eastAsia="Times"/>
                <w:color w:val="000000" w:themeColor="text1"/>
                <w:sz w:val="22"/>
                <w:szCs w:val="22"/>
                <w:vertAlign w:val="superscript"/>
              </w:rPr>
              <w:t>rd</w:t>
            </w:r>
            <w:r>
              <w:rPr>
                <w:rFonts w:eastAsia="Times"/>
                <w:color w:val="000000" w:themeColor="text1"/>
                <w:sz w:val="22"/>
                <w:szCs w:val="22"/>
              </w:rPr>
              <w:t xml:space="preserve"> March</w:t>
            </w:r>
          </w:p>
        </w:tc>
        <w:tc>
          <w:tcPr>
            <w:tcW w:w="4819" w:type="dxa"/>
          </w:tcPr>
          <w:p w14:paraId="07332283" w14:textId="0369C8DA" w:rsidR="00404A62" w:rsidRPr="00690220" w:rsidRDefault="00404A62" w:rsidP="00404A62">
            <w:pPr>
              <w:spacing w:line="22" w:lineRule="atLeast"/>
              <w:rPr>
                <w:rFonts w:eastAsia="Times"/>
                <w:b/>
                <w:color w:val="000000" w:themeColor="text1"/>
                <w:sz w:val="22"/>
                <w:szCs w:val="22"/>
              </w:rPr>
            </w:pPr>
            <w:r>
              <w:rPr>
                <w:rFonts w:eastAsia="Times"/>
                <w:color w:val="000000" w:themeColor="text1"/>
                <w:sz w:val="22"/>
                <w:szCs w:val="22"/>
              </w:rPr>
              <w:t>Adverse events</w:t>
            </w:r>
          </w:p>
        </w:tc>
        <w:tc>
          <w:tcPr>
            <w:tcW w:w="3090" w:type="dxa"/>
          </w:tcPr>
          <w:p w14:paraId="3A17C218" w14:textId="57DFE6CC" w:rsidR="00404A62" w:rsidRPr="00404A62" w:rsidRDefault="00B93102" w:rsidP="00404A62">
            <w:pPr>
              <w:spacing w:line="22" w:lineRule="atLeast"/>
              <w:rPr>
                <w:rFonts w:eastAsia="Times"/>
                <w:color w:val="000000" w:themeColor="text1"/>
                <w:sz w:val="22"/>
                <w:szCs w:val="22"/>
              </w:rPr>
            </w:pPr>
            <w:hyperlink r:id="rId22" w:history="1">
              <w:r w:rsidR="00404A62" w:rsidRPr="00404A62">
                <w:rPr>
                  <w:rStyle w:val="Hyperlink"/>
                  <w:rFonts w:cs="Arial"/>
                  <w:b/>
                  <w:color w:val="0070C0"/>
                  <w:sz w:val="22"/>
                  <w:szCs w:val="22"/>
                </w:rPr>
                <w:t>Register</w:t>
              </w:r>
            </w:hyperlink>
            <w:r w:rsidR="00404A62" w:rsidRPr="00404A62">
              <w:rPr>
                <w:rFonts w:cs="Arial"/>
                <w:b/>
                <w:color w:val="000000" w:themeColor="text1"/>
                <w:sz w:val="22"/>
                <w:szCs w:val="22"/>
              </w:rPr>
              <w:t xml:space="preserve"> </w:t>
            </w:r>
            <w:r w:rsidR="00404A62" w:rsidRPr="00404A62">
              <w:rPr>
                <w:rFonts w:cs="Arial"/>
                <w:b/>
                <w:sz w:val="22"/>
                <w:szCs w:val="22"/>
              </w:rPr>
              <w:t>here for day 3</w:t>
            </w:r>
          </w:p>
        </w:tc>
      </w:tr>
      <w:tr w:rsidR="00404A62" w14:paraId="74F07B0A" w14:textId="3C7DE1EB" w:rsidTr="00404A62">
        <w:tc>
          <w:tcPr>
            <w:tcW w:w="2547" w:type="dxa"/>
          </w:tcPr>
          <w:p w14:paraId="05AF27BE" w14:textId="4C5D008C" w:rsidR="00404A62" w:rsidRPr="00690220" w:rsidRDefault="00404A62" w:rsidP="00404A62">
            <w:pPr>
              <w:spacing w:line="22" w:lineRule="atLeast"/>
              <w:rPr>
                <w:rFonts w:eastAsia="Times"/>
                <w:color w:val="000000" w:themeColor="text1"/>
                <w:sz w:val="22"/>
                <w:szCs w:val="22"/>
              </w:rPr>
            </w:pPr>
            <w:r w:rsidRPr="00690220">
              <w:rPr>
                <w:rFonts w:eastAsia="Times"/>
                <w:color w:val="000000" w:themeColor="text1"/>
                <w:sz w:val="22"/>
                <w:szCs w:val="22"/>
              </w:rPr>
              <w:t xml:space="preserve">Thursday </w:t>
            </w:r>
            <w:r>
              <w:rPr>
                <w:rFonts w:eastAsia="Times"/>
                <w:color w:val="000000" w:themeColor="text1"/>
                <w:sz w:val="22"/>
                <w:szCs w:val="22"/>
              </w:rPr>
              <w:t>24</w:t>
            </w:r>
            <w:r w:rsidRPr="00521C34">
              <w:rPr>
                <w:rFonts w:eastAsia="Times"/>
                <w:color w:val="000000" w:themeColor="text1"/>
                <w:sz w:val="22"/>
                <w:szCs w:val="22"/>
                <w:vertAlign w:val="superscript"/>
              </w:rPr>
              <w:t>th</w:t>
            </w:r>
            <w:r>
              <w:rPr>
                <w:rFonts w:eastAsia="Times"/>
                <w:color w:val="000000" w:themeColor="text1"/>
                <w:sz w:val="22"/>
                <w:szCs w:val="22"/>
              </w:rPr>
              <w:t xml:space="preserve"> March</w:t>
            </w:r>
          </w:p>
        </w:tc>
        <w:tc>
          <w:tcPr>
            <w:tcW w:w="4819" w:type="dxa"/>
          </w:tcPr>
          <w:p w14:paraId="2B945793" w14:textId="5B789B39" w:rsidR="00404A62" w:rsidRPr="00690220" w:rsidRDefault="00404A62" w:rsidP="00404A62">
            <w:pPr>
              <w:spacing w:line="22" w:lineRule="atLeast"/>
              <w:rPr>
                <w:rFonts w:eastAsia="Times"/>
                <w:color w:val="000000" w:themeColor="text1"/>
                <w:sz w:val="22"/>
                <w:szCs w:val="22"/>
              </w:rPr>
            </w:pPr>
            <w:r w:rsidRPr="00690220">
              <w:rPr>
                <w:rFonts w:eastAsia="Times"/>
                <w:color w:val="000000" w:themeColor="text1"/>
                <w:sz w:val="22"/>
                <w:szCs w:val="22"/>
              </w:rPr>
              <w:t>Patient blood management</w:t>
            </w:r>
            <w:r>
              <w:rPr>
                <w:rFonts w:eastAsia="Times"/>
                <w:color w:val="000000" w:themeColor="text1"/>
                <w:sz w:val="22"/>
                <w:szCs w:val="22"/>
              </w:rPr>
              <w:t xml:space="preserve"> (PBM)</w:t>
            </w:r>
            <w:r w:rsidRPr="00690220">
              <w:rPr>
                <w:rFonts w:eastAsia="Times"/>
                <w:color w:val="000000" w:themeColor="text1"/>
                <w:sz w:val="22"/>
                <w:szCs w:val="22"/>
              </w:rPr>
              <w:t xml:space="preserve">, iron deficiency anaemia </w:t>
            </w:r>
            <w:r>
              <w:rPr>
                <w:rFonts w:eastAsia="Times"/>
                <w:color w:val="000000" w:themeColor="text1"/>
                <w:sz w:val="22"/>
                <w:szCs w:val="22"/>
              </w:rPr>
              <w:t>(IDA)</w:t>
            </w:r>
            <w:r w:rsidR="0022181E">
              <w:rPr>
                <w:rFonts w:eastAsia="Times"/>
                <w:color w:val="000000" w:themeColor="text1"/>
                <w:sz w:val="22"/>
                <w:szCs w:val="22"/>
              </w:rPr>
              <w:t xml:space="preserve"> </w:t>
            </w:r>
            <w:r w:rsidRPr="00690220">
              <w:rPr>
                <w:rFonts w:eastAsia="Times"/>
                <w:color w:val="000000" w:themeColor="text1"/>
                <w:sz w:val="22"/>
                <w:szCs w:val="22"/>
              </w:rPr>
              <w:t>and iron infusions</w:t>
            </w:r>
          </w:p>
        </w:tc>
        <w:tc>
          <w:tcPr>
            <w:tcW w:w="3090" w:type="dxa"/>
          </w:tcPr>
          <w:p w14:paraId="4450CDFC" w14:textId="43A607BC" w:rsidR="00404A62" w:rsidRPr="00404A62" w:rsidRDefault="00B93102" w:rsidP="00404A62">
            <w:pPr>
              <w:spacing w:line="22" w:lineRule="atLeast"/>
              <w:rPr>
                <w:rFonts w:eastAsia="Times"/>
                <w:color w:val="000000" w:themeColor="text1"/>
                <w:sz w:val="22"/>
                <w:szCs w:val="22"/>
              </w:rPr>
            </w:pPr>
            <w:hyperlink r:id="rId23" w:history="1">
              <w:r w:rsidR="00404A62" w:rsidRPr="00404A62">
                <w:rPr>
                  <w:rStyle w:val="Hyperlink"/>
                  <w:b/>
                  <w:bCs/>
                  <w:color w:val="0070C0"/>
                  <w:sz w:val="22"/>
                  <w:szCs w:val="22"/>
                </w:rPr>
                <w:t>Register</w:t>
              </w:r>
            </w:hyperlink>
            <w:r w:rsidR="00404A62" w:rsidRPr="00404A62">
              <w:rPr>
                <w:rFonts w:cs="Arial"/>
                <w:b/>
                <w:bCs/>
                <w:color w:val="000000" w:themeColor="text1"/>
                <w:sz w:val="22"/>
                <w:szCs w:val="22"/>
              </w:rPr>
              <w:t xml:space="preserve"> here for</w:t>
            </w:r>
            <w:r w:rsidR="00404A62" w:rsidRPr="00404A62">
              <w:rPr>
                <w:rFonts w:cs="Arial"/>
                <w:b/>
                <w:sz w:val="22"/>
                <w:szCs w:val="22"/>
              </w:rPr>
              <w:t xml:space="preserve"> day 4</w:t>
            </w:r>
          </w:p>
        </w:tc>
      </w:tr>
      <w:tr w:rsidR="00404A62" w14:paraId="1A4AD550" w14:textId="6AFB1FAD" w:rsidTr="00404A62">
        <w:tc>
          <w:tcPr>
            <w:tcW w:w="2547" w:type="dxa"/>
          </w:tcPr>
          <w:p w14:paraId="48AD2A44" w14:textId="51B67B55" w:rsidR="00404A62" w:rsidRPr="00690220" w:rsidRDefault="00404A62" w:rsidP="00404A62">
            <w:pPr>
              <w:spacing w:line="22" w:lineRule="atLeast"/>
              <w:rPr>
                <w:rFonts w:eastAsia="Times"/>
                <w:color w:val="000000" w:themeColor="text1"/>
                <w:sz w:val="22"/>
                <w:szCs w:val="22"/>
              </w:rPr>
            </w:pPr>
            <w:r w:rsidRPr="00690220">
              <w:rPr>
                <w:rFonts w:eastAsia="Times"/>
                <w:color w:val="000000" w:themeColor="text1"/>
                <w:sz w:val="22"/>
                <w:szCs w:val="22"/>
              </w:rPr>
              <w:t xml:space="preserve">Friday </w:t>
            </w:r>
            <w:r>
              <w:rPr>
                <w:rFonts w:eastAsia="Times"/>
                <w:color w:val="000000" w:themeColor="text1"/>
                <w:sz w:val="22"/>
                <w:szCs w:val="22"/>
              </w:rPr>
              <w:t>25</w:t>
            </w:r>
            <w:r w:rsidRPr="00521C34">
              <w:rPr>
                <w:rFonts w:eastAsia="Times"/>
                <w:color w:val="000000" w:themeColor="text1"/>
                <w:sz w:val="22"/>
                <w:szCs w:val="22"/>
                <w:vertAlign w:val="superscript"/>
              </w:rPr>
              <w:t>th</w:t>
            </w:r>
            <w:r>
              <w:rPr>
                <w:rFonts w:eastAsia="Times"/>
                <w:color w:val="000000" w:themeColor="text1"/>
                <w:sz w:val="22"/>
                <w:szCs w:val="22"/>
              </w:rPr>
              <w:t xml:space="preserve"> March</w:t>
            </w:r>
          </w:p>
        </w:tc>
        <w:tc>
          <w:tcPr>
            <w:tcW w:w="4819" w:type="dxa"/>
          </w:tcPr>
          <w:p w14:paraId="363B4174" w14:textId="3AFCCA06" w:rsidR="00404A62" w:rsidRPr="00690220" w:rsidRDefault="00404A62" w:rsidP="00404A62">
            <w:pPr>
              <w:spacing w:line="22" w:lineRule="atLeast"/>
              <w:rPr>
                <w:rFonts w:eastAsia="Times"/>
                <w:color w:val="000000" w:themeColor="text1"/>
                <w:sz w:val="22"/>
                <w:szCs w:val="22"/>
              </w:rPr>
            </w:pPr>
            <w:r>
              <w:rPr>
                <w:rFonts w:eastAsia="Times"/>
                <w:color w:val="000000" w:themeColor="text1"/>
                <w:sz w:val="22"/>
                <w:szCs w:val="22"/>
              </w:rPr>
              <w:t>Massive Transfusion</w:t>
            </w:r>
          </w:p>
        </w:tc>
        <w:tc>
          <w:tcPr>
            <w:tcW w:w="3090" w:type="dxa"/>
          </w:tcPr>
          <w:p w14:paraId="3EFB159A" w14:textId="53839927" w:rsidR="00404A62" w:rsidRPr="00404A62" w:rsidRDefault="00B93102" w:rsidP="00404A62">
            <w:pPr>
              <w:spacing w:line="22" w:lineRule="atLeast"/>
              <w:rPr>
                <w:rFonts w:eastAsia="Times"/>
                <w:color w:val="000000" w:themeColor="text1"/>
                <w:sz w:val="22"/>
                <w:szCs w:val="22"/>
              </w:rPr>
            </w:pPr>
            <w:hyperlink r:id="rId24" w:history="1">
              <w:r w:rsidR="00404A62" w:rsidRPr="00404A62">
                <w:rPr>
                  <w:rStyle w:val="Hyperlink"/>
                  <w:b/>
                  <w:bCs/>
                  <w:color w:val="0070C0"/>
                  <w:sz w:val="22"/>
                  <w:szCs w:val="22"/>
                </w:rPr>
                <w:t>Register</w:t>
              </w:r>
            </w:hyperlink>
            <w:r w:rsidR="00404A62" w:rsidRPr="00404A62">
              <w:rPr>
                <w:rFonts w:cs="Arial"/>
                <w:b/>
                <w:bCs/>
                <w:color w:val="000000" w:themeColor="text1"/>
                <w:sz w:val="22"/>
                <w:szCs w:val="22"/>
              </w:rPr>
              <w:t xml:space="preserve"> h</w:t>
            </w:r>
            <w:r w:rsidR="00404A62" w:rsidRPr="00404A62">
              <w:rPr>
                <w:rFonts w:cs="Arial"/>
                <w:b/>
                <w:sz w:val="22"/>
                <w:szCs w:val="22"/>
              </w:rPr>
              <w:t>ere for day 5</w:t>
            </w:r>
          </w:p>
        </w:tc>
      </w:tr>
    </w:tbl>
    <w:p w14:paraId="58267ECE" w14:textId="541C1CD3" w:rsidR="00404A62" w:rsidRDefault="00521C34" w:rsidP="00521C34">
      <w:pPr>
        <w:spacing w:before="120" w:after="160" w:line="22" w:lineRule="atLeast"/>
        <w:rPr>
          <w:rFonts w:eastAsia="Times"/>
          <w:color w:val="000000" w:themeColor="text1"/>
          <w:sz w:val="22"/>
          <w:szCs w:val="22"/>
        </w:rPr>
      </w:pPr>
      <w:r w:rsidRPr="00B509F9">
        <w:rPr>
          <w:rFonts w:eastAsia="Times"/>
          <w:color w:val="000000" w:themeColor="text1"/>
          <w:sz w:val="22"/>
          <w:szCs w:val="22"/>
        </w:rPr>
        <w:t>Staff can register for as many sessions as they would like to attend.</w:t>
      </w:r>
      <w:r w:rsidR="00404A62">
        <w:rPr>
          <w:rFonts w:eastAsia="Times"/>
          <w:color w:val="000000" w:themeColor="text1"/>
          <w:sz w:val="22"/>
          <w:szCs w:val="22"/>
        </w:rPr>
        <w:t xml:space="preserve"> Sessions are </w:t>
      </w:r>
      <w:r w:rsidR="00EC5DF4">
        <w:rPr>
          <w:rFonts w:eastAsia="Times"/>
          <w:color w:val="000000" w:themeColor="text1"/>
          <w:sz w:val="22"/>
          <w:szCs w:val="22"/>
        </w:rPr>
        <w:t>primarily focussed</w:t>
      </w:r>
      <w:r w:rsidR="00404A62">
        <w:rPr>
          <w:rFonts w:eastAsia="Times"/>
          <w:color w:val="000000" w:themeColor="text1"/>
          <w:sz w:val="22"/>
          <w:szCs w:val="22"/>
        </w:rPr>
        <w:t xml:space="preserve"> at </w:t>
      </w:r>
      <w:r w:rsidR="00EC5DF4">
        <w:rPr>
          <w:rFonts w:eastAsia="Times"/>
          <w:color w:val="000000" w:themeColor="text1"/>
          <w:sz w:val="22"/>
          <w:szCs w:val="22"/>
        </w:rPr>
        <w:t>nursing</w:t>
      </w:r>
      <w:r w:rsidR="00404A62">
        <w:rPr>
          <w:rFonts w:eastAsia="Times"/>
          <w:color w:val="000000" w:themeColor="text1"/>
          <w:sz w:val="22"/>
          <w:szCs w:val="22"/>
        </w:rPr>
        <w:t xml:space="preserve"> staff, but may also be of interest to scientific staff. </w:t>
      </w:r>
    </w:p>
    <w:p w14:paraId="6B94F44E" w14:textId="780DCB08" w:rsidR="00521C34" w:rsidRPr="00404A62" w:rsidRDefault="00404A62" w:rsidP="00521C34">
      <w:pPr>
        <w:spacing w:before="120" w:after="160" w:line="22" w:lineRule="atLeast"/>
        <w:rPr>
          <w:rFonts w:eastAsia="Times"/>
          <w:i/>
          <w:color w:val="000000" w:themeColor="text1"/>
          <w:sz w:val="22"/>
          <w:szCs w:val="22"/>
        </w:rPr>
      </w:pPr>
      <w:r w:rsidRPr="00404A62">
        <w:rPr>
          <w:rFonts w:eastAsia="Times"/>
          <w:i/>
          <w:color w:val="000000" w:themeColor="text1"/>
          <w:sz w:val="22"/>
          <w:szCs w:val="22"/>
        </w:rPr>
        <w:t xml:space="preserve">Please note: No prior immunohaematology knowledge is </w:t>
      </w:r>
      <w:r w:rsidR="009C1787">
        <w:rPr>
          <w:rFonts w:eastAsia="Times"/>
          <w:i/>
          <w:color w:val="000000" w:themeColor="text1"/>
          <w:sz w:val="22"/>
          <w:szCs w:val="22"/>
        </w:rPr>
        <w:t>required</w:t>
      </w:r>
      <w:r w:rsidRPr="00404A62">
        <w:rPr>
          <w:rFonts w:eastAsia="Times"/>
          <w:i/>
          <w:color w:val="000000" w:themeColor="text1"/>
          <w:sz w:val="22"/>
          <w:szCs w:val="22"/>
        </w:rPr>
        <w:t xml:space="preserve"> for </w:t>
      </w:r>
      <w:r>
        <w:rPr>
          <w:rFonts w:eastAsia="Times"/>
          <w:i/>
          <w:color w:val="000000" w:themeColor="text1"/>
          <w:sz w:val="22"/>
          <w:szCs w:val="22"/>
        </w:rPr>
        <w:t xml:space="preserve">the </w:t>
      </w:r>
      <w:r w:rsidRPr="00404A62">
        <w:rPr>
          <w:rFonts w:eastAsia="Times"/>
          <w:i/>
          <w:color w:val="000000" w:themeColor="text1"/>
          <w:sz w:val="22"/>
          <w:szCs w:val="22"/>
        </w:rPr>
        <w:t>“Blood grouping and compatibility testing” session. If you currently work in blood bank, your existing knowledge will exceed the content covered in this session.</w:t>
      </w:r>
    </w:p>
    <w:p w14:paraId="0013989F" w14:textId="79D62470" w:rsidR="005206B7" w:rsidRPr="00633B21" w:rsidRDefault="00521C34" w:rsidP="005206B7">
      <w:pPr>
        <w:pStyle w:val="Heading3"/>
        <w:rPr>
          <w:color w:val="C00000"/>
        </w:rPr>
      </w:pPr>
      <w:r>
        <w:rPr>
          <w:color w:val="C00000"/>
        </w:rPr>
        <w:t>Save the date – scientist education session</w:t>
      </w:r>
    </w:p>
    <w:p w14:paraId="0AD2AE4F" w14:textId="77777777" w:rsidR="005206B7" w:rsidRDefault="005206B7" w:rsidP="005206B7">
      <w:pPr>
        <w:pStyle w:val="Heading3"/>
        <w:ind w:left="1701"/>
      </w:pPr>
      <w:r w:rsidRPr="00FD5A71">
        <w:rPr>
          <w:noProof/>
        </w:rPr>
        <w:drawing>
          <wp:anchor distT="0" distB="0" distL="114300" distR="114300" simplePos="0" relativeHeight="251666432" behindDoc="0" locked="0" layoutInCell="1" allowOverlap="1" wp14:anchorId="45A6B261" wp14:editId="271603CA">
            <wp:simplePos x="0" y="0"/>
            <wp:positionH relativeFrom="column">
              <wp:posOffset>0</wp:posOffset>
            </wp:positionH>
            <wp:positionV relativeFrom="paragraph">
              <wp:posOffset>-635</wp:posOffset>
            </wp:positionV>
            <wp:extent cx="914400" cy="943309"/>
            <wp:effectExtent l="0" t="0" r="0" b="9525"/>
            <wp:wrapNone/>
            <wp:docPr id="10" name="Picture 10" descr="Image of calendar and clock" title="Calen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motion\2020\Icons\Blood Maters Icon and PNG formats\Blood Maters Icon and PNG formats\Calendar_blac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0208" cy="94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12 May</w:t>
      </w:r>
      <w:r>
        <w:t xml:space="preserve"> 2022</w:t>
      </w:r>
    </w:p>
    <w:p w14:paraId="4F75B60F" w14:textId="77777777" w:rsidR="005206B7" w:rsidRDefault="005206B7" w:rsidP="005206B7">
      <w:pPr>
        <w:pStyle w:val="Body"/>
        <w:ind w:left="1701"/>
      </w:pPr>
      <w:r>
        <w:t>TBA</w:t>
      </w:r>
    </w:p>
    <w:p w14:paraId="71D64F22" w14:textId="77777777" w:rsidR="005206B7" w:rsidRDefault="005206B7" w:rsidP="005206B7">
      <w:pPr>
        <w:pStyle w:val="Body"/>
        <w:ind w:left="1701"/>
      </w:pPr>
      <w:r>
        <w:t>Virtual education session via Webex</w:t>
      </w:r>
    </w:p>
    <w:p w14:paraId="26412B43" w14:textId="77777777" w:rsidR="00404A62" w:rsidRDefault="00404A62" w:rsidP="00FD5A71">
      <w:pPr>
        <w:pStyle w:val="Body"/>
      </w:pPr>
    </w:p>
    <w:p w14:paraId="13BD99FA" w14:textId="0B430C72" w:rsidR="00FA1B81" w:rsidRDefault="00FA1B81" w:rsidP="00FD5A71">
      <w:pPr>
        <w:pStyle w:val="Body"/>
      </w:pPr>
      <w:r>
        <w:t xml:space="preserve">Further information to be provided shortly, </w:t>
      </w:r>
      <w:hyperlink r:id="rId25" w:history="1">
        <w:r w:rsidRPr="00FA1B81">
          <w:rPr>
            <w:rStyle w:val="Hyperlink"/>
          </w:rPr>
          <w:t>contact Rae</w:t>
        </w:r>
      </w:hyperlink>
      <w:r>
        <w:t xml:space="preserve"> if you would like to be added to the distribution list.</w:t>
      </w:r>
    </w:p>
    <w:p w14:paraId="4C9E34AA" w14:textId="6F9B7546" w:rsidR="00837648" w:rsidRDefault="005206B7" w:rsidP="001E09F0">
      <w:pPr>
        <w:pStyle w:val="Heading2"/>
      </w:pPr>
      <w:bookmarkStart w:id="0" w:name="_Hlk84949942"/>
      <w:r>
        <w:lastRenderedPageBreak/>
        <w:t>Festive season wastage interim results</w:t>
      </w:r>
    </w:p>
    <w:p w14:paraId="1E97969A" w14:textId="6F9769BB" w:rsidR="005206B7" w:rsidRDefault="005206B7" w:rsidP="00837648">
      <w:pPr>
        <w:pStyle w:val="Body"/>
      </w:pPr>
      <w:r>
        <w:t xml:space="preserve">With the festive period drawing to a close, </w:t>
      </w:r>
      <w:r w:rsidR="0095427F">
        <w:t>we</w:t>
      </w:r>
      <w:r>
        <w:t xml:space="preserve"> would like to applaud your outstanding efforts once again in keeping blood component wastage to a minimum over this period. </w:t>
      </w:r>
    </w:p>
    <w:p w14:paraId="24026503" w14:textId="6BADD1C3" w:rsidR="005206B7" w:rsidRDefault="005206B7" w:rsidP="00837648">
      <w:pPr>
        <w:pStyle w:val="Body"/>
      </w:pPr>
      <w:r>
        <w:t xml:space="preserve">Victorians can be very proud of the result of all your hard work and perseverance with regards to inventory management in such </w:t>
      </w:r>
      <w:r w:rsidR="0095427F">
        <w:t>difficult</w:t>
      </w:r>
      <w:r>
        <w:t xml:space="preserve"> circumstances.</w:t>
      </w:r>
    </w:p>
    <w:p w14:paraId="2CED5587" w14:textId="5394DB71" w:rsidR="005206B7" w:rsidRDefault="005206B7" w:rsidP="00837648">
      <w:pPr>
        <w:pStyle w:val="Body"/>
      </w:pPr>
      <w:r>
        <w:t>Thank you for your part in maintaining sufficiency of the blood supply over this most challenging of periods.</w:t>
      </w:r>
    </w:p>
    <w:p w14:paraId="4838B12E" w14:textId="273190DC" w:rsidR="0068584D" w:rsidRPr="00837648" w:rsidRDefault="00077309" w:rsidP="0068584D">
      <w:pPr>
        <w:pStyle w:val="Body"/>
      </w:pPr>
      <w:r>
        <w:rPr>
          <w:noProof/>
        </w:rPr>
        <w:drawing>
          <wp:inline distT="0" distB="0" distL="0" distR="0" wp14:anchorId="338F0A3C" wp14:editId="7A4B0052">
            <wp:extent cx="6645910" cy="3457575"/>
            <wp:effectExtent l="0" t="0" r="2540" b="9525"/>
            <wp:docPr id="17" name="Chart 17" descr="Graph showing wastage data over the festive period (November-February). Decreasing from 2014-15 through to December 2021 (current data). From a peak of 5.5% in January 2015 to a low of 1.2% in December 2021.">
              <a:extLst xmlns:a="http://schemas.openxmlformats.org/drawingml/2006/main">
                <a:ext uri="{FF2B5EF4-FFF2-40B4-BE49-F238E27FC236}">
                  <a16:creationId xmlns:a16="http://schemas.microsoft.com/office/drawing/2014/main" id="{F81D4313-1E85-42FD-BCEB-52BA535F76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bookmarkEnd w:id="0"/>
    <w:p w14:paraId="3DD15460" w14:textId="10C45E50" w:rsidR="00122771" w:rsidRDefault="00122771" w:rsidP="005206B7">
      <w:pPr>
        <w:pStyle w:val="Heading2"/>
        <w:rPr>
          <w:rFonts w:eastAsia="Calibri"/>
          <w:lang w:eastAsia="en-AU"/>
        </w:rPr>
      </w:pPr>
      <w:r>
        <w:rPr>
          <w:rFonts w:eastAsia="Calibri"/>
          <w:lang w:eastAsia="en-AU"/>
        </w:rPr>
        <w:t>Transition from gamma-irradiation to X-ray irradiation</w:t>
      </w:r>
      <w:r w:rsidR="00022560">
        <w:rPr>
          <w:rFonts w:eastAsia="Calibri"/>
          <w:lang w:eastAsia="en-AU"/>
        </w:rPr>
        <w:t>: 12 Jan 2022</w:t>
      </w:r>
    </w:p>
    <w:p w14:paraId="36C1264D" w14:textId="58A2F7DE" w:rsidR="00122771" w:rsidRDefault="00122771" w:rsidP="00122771">
      <w:pPr>
        <w:pStyle w:val="Body"/>
        <w:rPr>
          <w:rFonts w:cs="Arial"/>
          <w:lang w:eastAsia="en-AU"/>
        </w:rPr>
      </w:pPr>
      <w:r w:rsidRPr="00122771">
        <w:rPr>
          <w:rFonts w:cs="Arial"/>
          <w:lang w:eastAsia="en-AU"/>
        </w:rPr>
        <w:t>Australian Red Cross Lifeblood</w:t>
      </w:r>
      <w:r>
        <w:rPr>
          <w:rFonts w:cs="Arial"/>
          <w:lang w:eastAsia="en-AU"/>
        </w:rPr>
        <w:t xml:space="preserve"> is now using an X-ray irradiator for the irradiation </w:t>
      </w:r>
      <w:r w:rsidRPr="00122771">
        <w:rPr>
          <w:rFonts w:cs="Arial"/>
          <w:lang w:eastAsia="en-AU"/>
        </w:rPr>
        <w:t xml:space="preserve">of blood components at </w:t>
      </w:r>
      <w:r w:rsidR="00022560">
        <w:rPr>
          <w:rFonts w:cs="Arial"/>
          <w:lang w:eastAsia="en-AU"/>
        </w:rPr>
        <w:t>M</w:t>
      </w:r>
      <w:r w:rsidRPr="00122771">
        <w:rPr>
          <w:rFonts w:cs="Arial"/>
          <w:lang w:eastAsia="en-AU"/>
        </w:rPr>
        <w:t>elbourne Processing Centre.</w:t>
      </w:r>
    </w:p>
    <w:p w14:paraId="3512B044" w14:textId="385224A8" w:rsidR="00122771" w:rsidRDefault="00122771" w:rsidP="00122771">
      <w:pPr>
        <w:pStyle w:val="Body"/>
        <w:rPr>
          <w:lang w:eastAsia="en-AU"/>
        </w:rPr>
      </w:pPr>
      <w:r w:rsidRPr="00122771">
        <w:rPr>
          <w:lang w:eastAsia="en-AU"/>
        </w:rPr>
        <w:t>Lifeblood performed an extensive evaluation that demonstrated that X-ray irradiation is comparable to gamma irradiation in its effects on blood component quality and ability to inactivate lymphocytes for the prevention of Transfusion–associated Graft-vs-Host Disease.</w:t>
      </w:r>
    </w:p>
    <w:p w14:paraId="5D0B61F4" w14:textId="77777777" w:rsidR="00077309" w:rsidRDefault="00122771" w:rsidP="00A861E3">
      <w:pPr>
        <w:pStyle w:val="Body"/>
        <w:numPr>
          <w:ilvl w:val="0"/>
          <w:numId w:val="48"/>
        </w:numPr>
        <w:rPr>
          <w:lang w:eastAsia="en-AU"/>
        </w:rPr>
      </w:pPr>
      <w:r>
        <w:rPr>
          <w:lang w:eastAsia="en-AU"/>
        </w:rPr>
        <w:t>The gamma irradiator will be maintained as a backup until decommissioning and disposal can be arranged.</w:t>
      </w:r>
    </w:p>
    <w:p w14:paraId="42550764" w14:textId="6D45DEE6" w:rsidR="00122771" w:rsidRDefault="007A3DE9" w:rsidP="00A861E3">
      <w:pPr>
        <w:pStyle w:val="Body"/>
        <w:numPr>
          <w:ilvl w:val="0"/>
          <w:numId w:val="48"/>
        </w:numPr>
        <w:rPr>
          <w:lang w:eastAsia="en-AU"/>
        </w:rPr>
      </w:pPr>
      <w:r>
        <w:rPr>
          <w:noProof/>
          <w:lang w:eastAsia="en-AU"/>
        </w:rPr>
        <mc:AlternateContent>
          <mc:Choice Requires="wps">
            <w:drawing>
              <wp:anchor distT="45720" distB="45720" distL="114300" distR="114300" simplePos="0" relativeHeight="251668480" behindDoc="0" locked="0" layoutInCell="1" allowOverlap="1" wp14:anchorId="008D8F21" wp14:editId="53FFA121">
                <wp:simplePos x="0" y="0"/>
                <wp:positionH relativeFrom="column">
                  <wp:posOffset>4178300</wp:posOffset>
                </wp:positionH>
                <wp:positionV relativeFrom="paragraph">
                  <wp:posOffset>260350</wp:posOffset>
                </wp:positionV>
                <wp:extent cx="2679700" cy="20828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2082800"/>
                        </a:xfrm>
                        <a:prstGeom prst="rect">
                          <a:avLst/>
                        </a:prstGeom>
                        <a:solidFill>
                          <a:srgbClr val="FFFFFF"/>
                        </a:solidFill>
                        <a:ln w="9525">
                          <a:solidFill>
                            <a:schemeClr val="tx1"/>
                          </a:solidFill>
                          <a:miter lim="800000"/>
                          <a:headEnd/>
                          <a:tailEnd/>
                        </a:ln>
                      </wps:spPr>
                      <wps:txbx>
                        <w:txbxContent>
                          <w:p w14:paraId="49AECEE6" w14:textId="77777777" w:rsidR="00022560" w:rsidRPr="007A3DE9" w:rsidRDefault="00022560" w:rsidP="00022560">
                            <w:pPr>
                              <w:pStyle w:val="Body"/>
                              <w:spacing w:after="0"/>
                              <w:rPr>
                                <w:b/>
                                <w:sz w:val="20"/>
                                <w:lang w:eastAsia="en-AU"/>
                              </w:rPr>
                            </w:pPr>
                            <w:r w:rsidRPr="007A3DE9">
                              <w:rPr>
                                <w:b/>
                                <w:sz w:val="20"/>
                                <w:lang w:eastAsia="en-AU"/>
                              </w:rPr>
                              <w:t xml:space="preserve">1a. Rad-Sure label for X-ray irradiation showing that irradiation has NOT been performed  </w:t>
                            </w:r>
                          </w:p>
                          <w:p w14:paraId="524422BF" w14:textId="77777777" w:rsidR="00022560" w:rsidRPr="007A3DE9" w:rsidRDefault="00022560" w:rsidP="00022560">
                            <w:pPr>
                              <w:pStyle w:val="Body"/>
                              <w:spacing w:after="0"/>
                              <w:rPr>
                                <w:b/>
                                <w:sz w:val="20"/>
                                <w:lang w:eastAsia="en-AU"/>
                              </w:rPr>
                            </w:pPr>
                            <w:r w:rsidRPr="007A3DE9">
                              <w:rPr>
                                <w:b/>
                                <w:sz w:val="20"/>
                                <w:lang w:eastAsia="en-AU"/>
                              </w:rPr>
                              <w:t xml:space="preserve">1b. Rad-Sure label for X-ray irradiation showing that irradiation has been performed     </w:t>
                            </w:r>
                          </w:p>
                          <w:p w14:paraId="1AF5E762" w14:textId="77777777" w:rsidR="00022560" w:rsidRPr="007A3DE9" w:rsidRDefault="00022560" w:rsidP="00022560">
                            <w:pPr>
                              <w:pStyle w:val="Body"/>
                              <w:spacing w:after="0"/>
                              <w:rPr>
                                <w:sz w:val="20"/>
                                <w:lang w:eastAsia="en-AU"/>
                              </w:rPr>
                            </w:pPr>
                            <w:r w:rsidRPr="007A3DE9">
                              <w:rPr>
                                <w:sz w:val="20"/>
                                <w:lang w:eastAsia="en-AU"/>
                              </w:rPr>
                              <w:t xml:space="preserve">1c. Rad-Sure label for gamma irradiation showing that irradiation has NOT been performed </w:t>
                            </w:r>
                          </w:p>
                          <w:p w14:paraId="4BF175B8" w14:textId="42FC797D" w:rsidR="00022560" w:rsidRPr="007A3DE9" w:rsidRDefault="00022560" w:rsidP="007A3DE9">
                            <w:pPr>
                              <w:pStyle w:val="Body"/>
                              <w:spacing w:after="0"/>
                            </w:pPr>
                            <w:r w:rsidRPr="007A3DE9">
                              <w:rPr>
                                <w:sz w:val="20"/>
                                <w:lang w:eastAsia="en-AU"/>
                              </w:rPr>
                              <w:t>1d. Rad-Sure label for gamma irradiation showing that irradiation has been performed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D8F21" id="_x0000_t202" coordsize="21600,21600" o:spt="202" path="m,l,21600r21600,l21600,xe">
                <v:stroke joinstyle="miter"/>
                <v:path gradientshapeok="t" o:connecttype="rect"/>
              </v:shapetype>
              <v:shape id="Text Box 2" o:spid="_x0000_s1026" type="#_x0000_t202" style="position:absolute;left:0;text-align:left;margin-left:329pt;margin-top:20.5pt;width:211pt;height:16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" strokecolor="black [3213]">
                <v:textbox>
                  <w:txbxContent>
                    <w:p w14:paraId="49AECEE6" w14:textId="77777777" w:rsidR="00022560" w:rsidRPr="007A3DE9" w:rsidRDefault="00022560" w:rsidP="00022560">
                      <w:pPr>
                        <w:pStyle w:val="Body"/>
                        <w:spacing w:after="0"/>
                        <w:rPr>
                          <w:b/>
                          <w:sz w:val="20"/>
                          <w:lang w:eastAsia="en-AU"/>
                        </w:rPr>
                      </w:pPr>
                      <w:r w:rsidRPr="007A3DE9">
                        <w:rPr>
                          <w:b/>
                          <w:sz w:val="20"/>
                          <w:lang w:eastAsia="en-AU"/>
                        </w:rPr>
                        <w:t xml:space="preserve">1a. Rad-Sure label for X-ray irradiation showing that irradiation has NOT been performed  </w:t>
                      </w:r>
                    </w:p>
                    <w:p w14:paraId="524422BF" w14:textId="77777777" w:rsidR="00022560" w:rsidRPr="007A3DE9" w:rsidRDefault="00022560" w:rsidP="00022560">
                      <w:pPr>
                        <w:pStyle w:val="Body"/>
                        <w:spacing w:after="0"/>
                        <w:rPr>
                          <w:b/>
                          <w:sz w:val="20"/>
                          <w:lang w:eastAsia="en-AU"/>
                        </w:rPr>
                      </w:pPr>
                      <w:r w:rsidRPr="007A3DE9">
                        <w:rPr>
                          <w:b/>
                          <w:sz w:val="20"/>
                          <w:lang w:eastAsia="en-AU"/>
                        </w:rPr>
                        <w:t xml:space="preserve">1b. Rad-Sure label for X-ray irradiation showing that irradiation has been performed     </w:t>
                      </w:r>
                    </w:p>
                    <w:p w14:paraId="1AF5E762" w14:textId="77777777" w:rsidR="00022560" w:rsidRPr="007A3DE9" w:rsidRDefault="00022560" w:rsidP="00022560">
                      <w:pPr>
                        <w:pStyle w:val="Body"/>
                        <w:spacing w:after="0"/>
                        <w:rPr>
                          <w:sz w:val="20"/>
                          <w:lang w:eastAsia="en-AU"/>
                        </w:rPr>
                      </w:pPr>
                      <w:r w:rsidRPr="007A3DE9">
                        <w:rPr>
                          <w:sz w:val="20"/>
                          <w:lang w:eastAsia="en-AU"/>
                        </w:rPr>
                        <w:t xml:space="preserve">1c. Rad-Sure label for gamma irradiation showing that irradiation has NOT been performed </w:t>
                      </w:r>
                    </w:p>
                    <w:p w14:paraId="4BF175B8" w14:textId="42FC797D" w:rsidR="00022560" w:rsidRPr="007A3DE9" w:rsidRDefault="00022560" w:rsidP="007A3DE9">
                      <w:pPr>
                        <w:pStyle w:val="Body"/>
                        <w:spacing w:after="0"/>
                      </w:pPr>
                      <w:r w:rsidRPr="007A3DE9">
                        <w:rPr>
                          <w:sz w:val="20"/>
                          <w:lang w:eastAsia="en-AU"/>
                        </w:rPr>
                        <w:t>1d. Rad-Sure label for gamma irradiation showing that irradiation has been performed</w:t>
                      </w:r>
                    </w:p>
                  </w:txbxContent>
                </v:textbox>
                <w10:wrap type="square"/>
              </v:shape>
            </w:pict>
          </mc:Fallback>
        </mc:AlternateContent>
      </w:r>
      <w:r w:rsidRPr="00122771">
        <w:rPr>
          <w:noProof/>
          <w:lang w:eastAsia="en-AU"/>
        </w:rPr>
        <w:drawing>
          <wp:anchor distT="0" distB="0" distL="114300" distR="114300" simplePos="0" relativeHeight="251669504" behindDoc="0" locked="0" layoutInCell="1" allowOverlap="1" wp14:anchorId="449FEB41" wp14:editId="193CC4E1">
            <wp:simplePos x="0" y="0"/>
            <wp:positionH relativeFrom="column">
              <wp:posOffset>-158750</wp:posOffset>
            </wp:positionH>
            <wp:positionV relativeFrom="paragraph">
              <wp:posOffset>279400</wp:posOffset>
            </wp:positionV>
            <wp:extent cx="4311650" cy="1924050"/>
            <wp:effectExtent l="0" t="0" r="0" b="0"/>
            <wp:wrapThrough wrapText="bothSides">
              <wp:wrapPolygon edited="0">
                <wp:start x="0" y="0"/>
                <wp:lineTo x="0" y="21386"/>
                <wp:lineTo x="21473" y="21386"/>
                <wp:lineTo x="21473" y="0"/>
                <wp:lineTo x="0" y="0"/>
              </wp:wrapPolygon>
            </wp:wrapThrough>
            <wp:docPr id="13" name="Picture 13" descr="Images of Rad-Sure label pre- and post- X-Ray irradiation compared to pre- and post- gamma irradiation.&#10;The indicator strip is now grey rather than purple, and a red NOT is blacked out after irrad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a:extLst>
                        <a:ext uri="{28A0092B-C50C-407E-A947-70E740481C1C}">
                          <a14:useLocalDpi xmlns:a14="http://schemas.microsoft.com/office/drawing/2010/main" val="0"/>
                        </a:ext>
                      </a:extLst>
                    </a:blip>
                    <a:srcRect r="1251"/>
                    <a:stretch/>
                  </pic:blipFill>
                  <pic:spPr bwMode="auto">
                    <a:xfrm>
                      <a:off x="0" y="0"/>
                      <a:ext cx="4311650" cy="192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2771">
        <w:rPr>
          <w:lang w:eastAsia="en-AU"/>
        </w:rPr>
        <w:t xml:space="preserve">The Rad-Sure label will be a different colour, with a grey stripe to indicate X-ray irradiation. </w:t>
      </w:r>
    </w:p>
    <w:p w14:paraId="3B9FFAA5" w14:textId="58DA8D09" w:rsidR="00122771" w:rsidRDefault="00122771" w:rsidP="00122771">
      <w:pPr>
        <w:pStyle w:val="Body"/>
        <w:rPr>
          <w:lang w:eastAsia="en-AU"/>
        </w:rPr>
      </w:pPr>
    </w:p>
    <w:p w14:paraId="42EBD5B7" w14:textId="0B43A9AF" w:rsidR="005206B7" w:rsidRPr="005206B7" w:rsidRDefault="005206B7" w:rsidP="005206B7">
      <w:pPr>
        <w:pStyle w:val="Heading2"/>
        <w:rPr>
          <w:rFonts w:eastAsia="Calibri"/>
          <w:sz w:val="28"/>
          <w:lang w:eastAsia="en-AU"/>
        </w:rPr>
      </w:pPr>
      <w:r w:rsidRPr="005206B7">
        <w:rPr>
          <w:rFonts w:eastAsia="Calibri"/>
          <w:lang w:eastAsia="en-AU"/>
        </w:rPr>
        <w:lastRenderedPageBreak/>
        <w:t>ANZSBT Addendum: Transfusion management of patients treated with monoclonal antibody therapies</w:t>
      </w:r>
    </w:p>
    <w:p w14:paraId="6C72A5D2" w14:textId="792F9B9C" w:rsidR="005206B7" w:rsidRPr="005206B7" w:rsidRDefault="005206B7" w:rsidP="005206B7">
      <w:pPr>
        <w:pStyle w:val="Body"/>
        <w:rPr>
          <w:lang w:eastAsia="en-AU"/>
        </w:rPr>
      </w:pPr>
      <w:r w:rsidRPr="005206B7">
        <w:rPr>
          <w:lang w:eastAsia="en-AU"/>
        </w:rPr>
        <w:t>ANZSBT has published an addendum to ANZSBT Guidelines for Transfusion and Immunohaematology Laboratory Practice (revised 1</w:t>
      </w:r>
      <w:r w:rsidRPr="005206B7">
        <w:rPr>
          <w:vertAlign w:val="superscript"/>
          <w:lang w:eastAsia="en-AU"/>
        </w:rPr>
        <w:t>st</w:t>
      </w:r>
      <w:r w:rsidRPr="005206B7">
        <w:rPr>
          <w:lang w:eastAsia="en-AU"/>
        </w:rPr>
        <w:t xml:space="preserve"> edition; January 2020). </w:t>
      </w:r>
    </w:p>
    <w:p w14:paraId="0550490D" w14:textId="36BA443B" w:rsidR="005206B7" w:rsidRPr="005206B7" w:rsidRDefault="005206B7" w:rsidP="005206B7">
      <w:pPr>
        <w:pStyle w:val="Body"/>
        <w:rPr>
          <w:lang w:eastAsia="en-AU"/>
        </w:rPr>
      </w:pPr>
      <w:r w:rsidRPr="005206B7">
        <w:rPr>
          <w:lang w:eastAsia="en-AU"/>
        </w:rPr>
        <w:t>Transfusion management of patients treated with monoclonal antibody therapies has been written to guide laboratories in provision of compatible blood for transfusion in patients treated with monoclonal antibody (MAb) therapies that interfere with immunohaematology testing.</w:t>
      </w:r>
    </w:p>
    <w:p w14:paraId="740F3097" w14:textId="77777777" w:rsidR="005206B7" w:rsidRPr="007B0883" w:rsidRDefault="00B93102" w:rsidP="005206B7">
      <w:pPr>
        <w:pStyle w:val="Body"/>
        <w:rPr>
          <w:color w:val="31849B" w:themeColor="accent5" w:themeShade="BF"/>
          <w:u w:val="dotted"/>
          <w:lang w:eastAsia="en-AU"/>
        </w:rPr>
      </w:pPr>
      <w:hyperlink r:id="rId28" w:history="1">
        <w:r w:rsidR="005206B7" w:rsidRPr="007B0883">
          <w:rPr>
            <w:color w:val="0070C0"/>
            <w:u w:val="dotted"/>
            <w:lang w:eastAsia="en-AU"/>
          </w:rPr>
          <w:t>https://anzsbt.org.au/guidelines-standards/anzsbt-guidelines/</w:t>
        </w:r>
      </w:hyperlink>
    </w:p>
    <w:p w14:paraId="5E475164" w14:textId="3613E7D2" w:rsidR="00B650D2" w:rsidRDefault="007B0883" w:rsidP="001E09F0">
      <w:pPr>
        <w:pStyle w:val="Heading2"/>
      </w:pPr>
      <w:r>
        <w:t>BloodNet update December 2021</w:t>
      </w:r>
    </w:p>
    <w:p w14:paraId="710A4C88" w14:textId="51C84674" w:rsidR="00B650D2" w:rsidRDefault="00C4692C" w:rsidP="00B650D2">
      <w:pPr>
        <w:pStyle w:val="Body"/>
      </w:pPr>
      <w:r>
        <w:t>There was an update to BloodNet on 5</w:t>
      </w:r>
      <w:r w:rsidRPr="00C4692C">
        <w:rPr>
          <w:vertAlign w:val="superscript"/>
        </w:rPr>
        <w:t>th</w:t>
      </w:r>
      <w:r>
        <w:t xml:space="preserve"> December</w:t>
      </w:r>
      <w:r w:rsidR="00122771">
        <w:t xml:space="preserve"> 2021</w:t>
      </w:r>
      <w:r>
        <w:t>.</w:t>
      </w:r>
    </w:p>
    <w:p w14:paraId="410FE086" w14:textId="77777777" w:rsidR="009F4906" w:rsidRPr="009F4906" w:rsidRDefault="00C4692C" w:rsidP="009F4906">
      <w:pPr>
        <w:pStyle w:val="Body"/>
      </w:pPr>
      <w:r>
        <w:t xml:space="preserve">BloodNet users can now cancel </w:t>
      </w:r>
      <w:r w:rsidR="009F4906" w:rsidRPr="009F4906">
        <w:t xml:space="preserve">orders when Lifeblood has cancelled an issue note. This then moves the order details to the cancelled orders list rather than remaining in the active orders list. </w:t>
      </w:r>
    </w:p>
    <w:p w14:paraId="19253C17" w14:textId="77777777" w:rsidR="009F4906" w:rsidRPr="009F4906" w:rsidRDefault="009F4906" w:rsidP="009F4906">
      <w:pPr>
        <w:pStyle w:val="Body"/>
      </w:pPr>
      <w:r w:rsidRPr="009F4906">
        <w:t>There are two new discard reasons:</w:t>
      </w:r>
    </w:p>
    <w:p w14:paraId="447EF5CD" w14:textId="39DB6317" w:rsidR="009F4906" w:rsidRPr="00122771" w:rsidRDefault="009F4906" w:rsidP="00122771">
      <w:pPr>
        <w:pStyle w:val="Body"/>
        <w:numPr>
          <w:ilvl w:val="0"/>
          <w:numId w:val="47"/>
        </w:numPr>
        <w:ind w:left="284" w:hanging="284"/>
        <w:rPr>
          <w:b/>
        </w:rPr>
      </w:pPr>
      <w:r w:rsidRPr="00122771">
        <w:rPr>
          <w:b/>
        </w:rPr>
        <w:t>Damaged – Possible Contamination</w:t>
      </w:r>
    </w:p>
    <w:p w14:paraId="55A8A332" w14:textId="77777777" w:rsidR="009F4906" w:rsidRPr="009F4906" w:rsidRDefault="009F4906" w:rsidP="00122771">
      <w:pPr>
        <w:pStyle w:val="Body"/>
        <w:ind w:left="284"/>
      </w:pPr>
      <w:r w:rsidRPr="009F4906">
        <w:t>Used to record discarded blood and blood products due to being dispensed to COVID wards and potentially being contaminated. This allows facilities to report on potential COVID wastage data</w:t>
      </w:r>
    </w:p>
    <w:p w14:paraId="41899A51" w14:textId="4E92F6D7" w:rsidR="009F4906" w:rsidRPr="00122771" w:rsidRDefault="009F4906" w:rsidP="00122771">
      <w:pPr>
        <w:pStyle w:val="Body"/>
        <w:numPr>
          <w:ilvl w:val="0"/>
          <w:numId w:val="47"/>
        </w:numPr>
        <w:ind w:left="284" w:hanging="284"/>
        <w:rPr>
          <w:b/>
        </w:rPr>
      </w:pPr>
      <w:r w:rsidRPr="00122771">
        <w:rPr>
          <w:b/>
        </w:rPr>
        <w:t>Other – Stocktake adjustment</w:t>
      </w:r>
    </w:p>
    <w:p w14:paraId="56F1F781" w14:textId="4BE09883" w:rsidR="009F4906" w:rsidRPr="009F4906" w:rsidRDefault="009F4906" w:rsidP="00122771">
      <w:pPr>
        <w:pStyle w:val="Body"/>
        <w:ind w:left="284"/>
      </w:pPr>
      <w:r w:rsidRPr="009F4906">
        <w:t>Allows facilities to discard products not found during a physical stocktake</w:t>
      </w:r>
    </w:p>
    <w:p w14:paraId="1BB10727" w14:textId="39859269" w:rsidR="009F4906" w:rsidRPr="009F4906" w:rsidRDefault="009F4906" w:rsidP="009F4906">
      <w:pPr>
        <w:pStyle w:val="Body"/>
      </w:pPr>
      <w:r w:rsidRPr="009F4906">
        <w:t xml:space="preserve">Remember to use </w:t>
      </w:r>
      <w:r w:rsidRPr="009F4906">
        <w:rPr>
          <w:b/>
          <w:bCs/>
        </w:rPr>
        <w:t xml:space="preserve">correct BloodNet discard reason </w:t>
      </w:r>
      <w:r w:rsidRPr="009F4906">
        <w:t>this ensures consistency of reporting across transfusion laboratories,</w:t>
      </w:r>
      <w:r>
        <w:t xml:space="preserve"> within Victoria and also </w:t>
      </w:r>
      <w:r w:rsidRPr="009F4906">
        <w:t>nationally</w:t>
      </w:r>
      <w:r>
        <w:t>.</w:t>
      </w:r>
    </w:p>
    <w:p w14:paraId="574321CC" w14:textId="472F96B3" w:rsidR="00C4692C" w:rsidRDefault="00122771" w:rsidP="00B650D2">
      <w:pPr>
        <w:pStyle w:val="Body"/>
      </w:pPr>
      <w:r>
        <w:t xml:space="preserve">Please also </w:t>
      </w:r>
      <w:r w:rsidRPr="00122771">
        <w:rPr>
          <w:b/>
        </w:rPr>
        <w:t>add comments</w:t>
      </w:r>
      <w:r>
        <w:t xml:space="preserve"> to BloodNet discards, particularly when discarding with “Other” reason.</w:t>
      </w:r>
    </w:p>
    <w:p w14:paraId="7CAA730F" w14:textId="77777777" w:rsidR="00B650D2" w:rsidRDefault="00A3584B" w:rsidP="001E09F0">
      <w:pPr>
        <w:pStyle w:val="Heading2"/>
      </w:pPr>
      <w:r>
        <w:t>COVID-19 infection control</w:t>
      </w:r>
    </w:p>
    <w:p w14:paraId="320D05E7" w14:textId="77777777" w:rsidR="008A77B8" w:rsidRDefault="008A77B8" w:rsidP="00A3584B">
      <w:r>
        <w:t xml:space="preserve">With an increase in COVID-19 positive patients within Victorian Health Services, it is more important than ever to ensure measures are in place to reduce the risk of wasting blood components or products due to </w:t>
      </w:r>
      <w:r w:rsidR="00D66B79">
        <w:t xml:space="preserve">internal </w:t>
      </w:r>
      <w:r>
        <w:t>infection control measures.</w:t>
      </w:r>
    </w:p>
    <w:p w14:paraId="38A847B5" w14:textId="6F1EB0CF" w:rsidR="008A77B8" w:rsidRDefault="00A03633" w:rsidP="00A3584B">
      <w:r>
        <w:t>T</w:t>
      </w:r>
      <w:r w:rsidR="008A77B8">
        <w:t>he</w:t>
      </w:r>
      <w:r w:rsidR="00A3584B">
        <w:t xml:space="preserve"> </w:t>
      </w:r>
      <w:r w:rsidR="00D66B79">
        <w:t>most</w:t>
      </w:r>
      <w:r>
        <w:t xml:space="preserve"> important</w:t>
      </w:r>
      <w:r w:rsidR="00D66B79">
        <w:t xml:space="preserve"> </w:t>
      </w:r>
      <w:r w:rsidR="008770B1">
        <w:t xml:space="preserve">factor in </w:t>
      </w:r>
      <w:r w:rsidR="008A77B8">
        <w:t>reduc</w:t>
      </w:r>
      <w:r w:rsidR="008770B1">
        <w:t>ing</w:t>
      </w:r>
      <w:r w:rsidR="008A77B8">
        <w:t xml:space="preserve"> the risk of wastage is to ensure blood components and products are </w:t>
      </w:r>
      <w:r w:rsidR="008A77B8" w:rsidRPr="00D66B79">
        <w:rPr>
          <w:b/>
        </w:rPr>
        <w:t xml:space="preserve">issued from the transfusion laboratory </w:t>
      </w:r>
      <w:r w:rsidRPr="009446D3">
        <w:rPr>
          <w:b/>
          <w:u w:val="single"/>
        </w:rPr>
        <w:t>only</w:t>
      </w:r>
      <w:r>
        <w:rPr>
          <w:b/>
        </w:rPr>
        <w:t xml:space="preserve"> </w:t>
      </w:r>
      <w:r w:rsidR="00D66B79" w:rsidRPr="00D66B79">
        <w:rPr>
          <w:b/>
        </w:rPr>
        <w:t>when</w:t>
      </w:r>
      <w:r w:rsidR="008A77B8" w:rsidRPr="00D66B79">
        <w:rPr>
          <w:b/>
        </w:rPr>
        <w:t xml:space="preserve"> they are ready for transfusion</w:t>
      </w:r>
      <w:r w:rsidR="008A77B8">
        <w:t xml:space="preserve">. </w:t>
      </w:r>
    </w:p>
    <w:p w14:paraId="763AD43A" w14:textId="49ECB50C" w:rsidR="009446D3" w:rsidRDefault="005A68CE" w:rsidP="009446D3">
      <w:pPr>
        <w:spacing w:line="276" w:lineRule="auto"/>
        <w:ind w:right="600"/>
        <w:rPr>
          <w:rFonts w:ascii="Calibri" w:hAnsi="Calibri"/>
          <w:sz w:val="22"/>
        </w:rPr>
      </w:pPr>
      <w:r>
        <w:t xml:space="preserve">Blood Matters COVID 19 Newsletters include many hints and ideas to assist health services around transfusion issues. They can be found </w:t>
      </w:r>
      <w:r w:rsidR="009446D3">
        <w:rPr>
          <w:rFonts w:cs="Arial"/>
        </w:rPr>
        <w:t xml:space="preserve">at: </w:t>
      </w:r>
      <w:hyperlink r:id="rId29" w:history="1">
        <w:r w:rsidR="009446D3">
          <w:rPr>
            <w:rStyle w:val="Hyperlink"/>
            <w:rFonts w:cs="Arial"/>
          </w:rPr>
          <w:t>COVID-19 – Blood Matters newsletters - health.vic</w:t>
        </w:r>
      </w:hyperlink>
    </w:p>
    <w:p w14:paraId="392C7257" w14:textId="01526306" w:rsidR="00236210" w:rsidRPr="00C335AA" w:rsidRDefault="00236210" w:rsidP="0067151A">
      <w:pPr>
        <w:pStyle w:val="Heading2"/>
      </w:pPr>
      <w:r w:rsidRPr="00C335AA">
        <w:rPr>
          <w:noProof/>
          <w:lang w:eastAsia="en-AU"/>
        </w:rPr>
        <w:drawing>
          <wp:anchor distT="0" distB="0" distL="114300" distR="114300" simplePos="0" relativeHeight="251664384" behindDoc="1" locked="0" layoutInCell="1" allowOverlap="1" wp14:anchorId="77ADF910" wp14:editId="7949CC27">
            <wp:simplePos x="0" y="0"/>
            <wp:positionH relativeFrom="column">
              <wp:posOffset>-6985</wp:posOffset>
            </wp:positionH>
            <wp:positionV relativeFrom="paragraph">
              <wp:posOffset>119177</wp:posOffset>
            </wp:positionV>
            <wp:extent cx="733425" cy="847725"/>
            <wp:effectExtent l="0" t="0" r="9525" b="9525"/>
            <wp:wrapTight wrapText="bothSides">
              <wp:wrapPolygon edited="0">
                <wp:start x="0" y="0"/>
                <wp:lineTo x="0" y="21357"/>
                <wp:lineTo x="21319" y="21357"/>
                <wp:lineTo x="21319" y="0"/>
                <wp:lineTo x="0" y="0"/>
              </wp:wrapPolygon>
            </wp:wrapTight>
            <wp:docPr id="8" name="Picture 8" descr="image of a certification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E0F2.D78F070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anchor>
        </w:drawing>
      </w:r>
      <w:r w:rsidRPr="00C335AA">
        <w:t>National certification of the medical scientist profession</w:t>
      </w:r>
    </w:p>
    <w:p w14:paraId="0B0AD9D3" w14:textId="6A72ABCA" w:rsidR="00236210" w:rsidRPr="004340C6" w:rsidRDefault="00236210" w:rsidP="0067151A">
      <w:pPr>
        <w:pStyle w:val="Body"/>
      </w:pPr>
      <w:r w:rsidRPr="004340C6">
        <w:t xml:space="preserve">The Australian Council for </w:t>
      </w:r>
      <w:r w:rsidRPr="0067151A">
        <w:rPr>
          <w:b/>
        </w:rPr>
        <w:t>C</w:t>
      </w:r>
      <w:r w:rsidRPr="004340C6">
        <w:t xml:space="preserve">ertification of the </w:t>
      </w:r>
      <w:r w:rsidRPr="0067151A">
        <w:rPr>
          <w:b/>
        </w:rPr>
        <w:t>M</w:t>
      </w:r>
      <w:r w:rsidRPr="004340C6">
        <w:t xml:space="preserve">edical </w:t>
      </w:r>
      <w:r w:rsidRPr="0067151A">
        <w:rPr>
          <w:b/>
        </w:rPr>
        <w:t>L</w:t>
      </w:r>
      <w:r w:rsidRPr="004340C6">
        <w:t xml:space="preserve">aboratory </w:t>
      </w:r>
      <w:r w:rsidRPr="0067151A">
        <w:rPr>
          <w:b/>
        </w:rPr>
        <w:t>S</w:t>
      </w:r>
      <w:r w:rsidRPr="004340C6">
        <w:t xml:space="preserve">cientific Workforce </w:t>
      </w:r>
      <w:r w:rsidR="00633B21">
        <w:t xml:space="preserve">has simplified its acronym to CMLS. </w:t>
      </w:r>
      <w:r w:rsidR="00633B21" w:rsidRPr="00633B21">
        <w:rPr>
          <w:szCs w:val="21"/>
        </w:rPr>
        <w:t xml:space="preserve">Join now at </w:t>
      </w:r>
      <w:hyperlink r:id="rId32" w:history="1">
        <w:r w:rsidR="00633B21" w:rsidRPr="00633B21">
          <w:rPr>
            <w:rStyle w:val="Hyperlink"/>
            <w:rFonts w:cs="Arial"/>
            <w:szCs w:val="21"/>
          </w:rPr>
          <w:t>www.cmls.org.au</w:t>
        </w:r>
      </w:hyperlink>
      <w:r w:rsidR="00633B21" w:rsidRPr="00633B21">
        <w:rPr>
          <w:rStyle w:val="Hyperlink"/>
          <w:rFonts w:cs="Arial"/>
          <w:color w:val="auto"/>
          <w:szCs w:val="21"/>
          <w:u w:val="none"/>
        </w:rPr>
        <w:t>.</w:t>
      </w:r>
    </w:p>
    <w:p w14:paraId="24E4910A" w14:textId="77777777" w:rsidR="00633B21" w:rsidRDefault="00633B21" w:rsidP="0067151A">
      <w:pPr>
        <w:pStyle w:val="DHHSbody"/>
      </w:pPr>
    </w:p>
    <w:p w14:paraId="1DB3B103" w14:textId="77777777" w:rsidR="00236210" w:rsidRPr="006258B2" w:rsidRDefault="00236210" w:rsidP="00633B21">
      <w:pPr>
        <w:pStyle w:val="Heading4"/>
      </w:pPr>
      <w:r w:rsidRPr="006258B2">
        <w:t>Why become certified?</w:t>
      </w:r>
    </w:p>
    <w:p w14:paraId="119A8CF8" w14:textId="02D51899" w:rsidR="00236210" w:rsidRPr="00633B21" w:rsidRDefault="00633B21" w:rsidP="00633B21">
      <w:pPr>
        <w:pStyle w:val="DHHSbody"/>
        <w:numPr>
          <w:ilvl w:val="0"/>
          <w:numId w:val="45"/>
        </w:numPr>
        <w:ind w:left="284" w:hanging="284"/>
        <w:rPr>
          <w:sz w:val="21"/>
          <w:szCs w:val="21"/>
        </w:rPr>
      </w:pPr>
      <w:r>
        <w:rPr>
          <w:sz w:val="21"/>
          <w:szCs w:val="21"/>
        </w:rPr>
        <w:t>D</w:t>
      </w:r>
      <w:r w:rsidR="00236210" w:rsidRPr="00633B21">
        <w:rPr>
          <w:sz w:val="21"/>
          <w:szCs w:val="21"/>
        </w:rPr>
        <w:t xml:space="preserve">emand recognition of our professional standing as part of Australia’s health service workforce. </w:t>
      </w:r>
    </w:p>
    <w:p w14:paraId="711EC781" w14:textId="77777777" w:rsidR="00236210" w:rsidRPr="00633B21" w:rsidRDefault="00236210" w:rsidP="00633B21">
      <w:pPr>
        <w:pStyle w:val="DHHSbody"/>
        <w:numPr>
          <w:ilvl w:val="0"/>
          <w:numId w:val="45"/>
        </w:numPr>
        <w:ind w:left="284" w:hanging="284"/>
        <w:rPr>
          <w:sz w:val="21"/>
          <w:szCs w:val="21"/>
        </w:rPr>
      </w:pPr>
      <w:r w:rsidRPr="00633B21">
        <w:rPr>
          <w:sz w:val="21"/>
          <w:szCs w:val="21"/>
        </w:rPr>
        <w:t>Certification will be the best benchmark available to assure competent professional practice.</w:t>
      </w:r>
    </w:p>
    <w:p w14:paraId="44D88FA8" w14:textId="77777777" w:rsidR="00236210" w:rsidRPr="00633B21" w:rsidRDefault="00236210" w:rsidP="00633B21">
      <w:pPr>
        <w:pStyle w:val="DHHSbody"/>
        <w:numPr>
          <w:ilvl w:val="0"/>
          <w:numId w:val="45"/>
        </w:numPr>
        <w:ind w:left="284" w:hanging="284"/>
        <w:rPr>
          <w:sz w:val="21"/>
          <w:szCs w:val="21"/>
        </w:rPr>
      </w:pPr>
      <w:r w:rsidRPr="00633B21">
        <w:rPr>
          <w:sz w:val="21"/>
          <w:szCs w:val="21"/>
        </w:rPr>
        <w:t>With a certified workforce there will be more obligation on the employer to ensure staff have professional development opportunities afforded to them.</w:t>
      </w:r>
    </w:p>
    <w:p w14:paraId="430BFA2C" w14:textId="77777777" w:rsidR="00236210" w:rsidRPr="00633B21" w:rsidRDefault="00236210" w:rsidP="00633B21">
      <w:pPr>
        <w:pStyle w:val="DHHSbody"/>
        <w:numPr>
          <w:ilvl w:val="0"/>
          <w:numId w:val="45"/>
        </w:numPr>
        <w:ind w:left="284" w:hanging="284"/>
        <w:rPr>
          <w:sz w:val="21"/>
          <w:szCs w:val="21"/>
        </w:rPr>
      </w:pPr>
      <w:r w:rsidRPr="00633B21">
        <w:rPr>
          <w:sz w:val="21"/>
          <w:szCs w:val="21"/>
        </w:rPr>
        <w:lastRenderedPageBreak/>
        <w:t>As a nationally certified medical scientist you can demonstrate your ongoing commitment to professional development and self-improvement and be recognised as passionate, progressive and pro-active.</w:t>
      </w:r>
    </w:p>
    <w:p w14:paraId="3D89312B" w14:textId="77777777" w:rsidR="00236210" w:rsidRPr="00236210" w:rsidRDefault="00B93102" w:rsidP="00633B21">
      <w:pPr>
        <w:pStyle w:val="Body"/>
        <w:rPr>
          <w:szCs w:val="21"/>
        </w:rPr>
      </w:pPr>
      <w:hyperlink r:id="rId33" w:history="1">
        <w:r w:rsidR="00236210" w:rsidRPr="00633B21">
          <w:rPr>
            <w:rStyle w:val="Hyperlink"/>
            <w:rFonts w:cs="Arial"/>
            <w:szCs w:val="21"/>
          </w:rPr>
          <w:t>Click here to view a short video about the certification scheme</w:t>
        </w:r>
      </w:hyperlink>
      <w:r w:rsidR="00236210" w:rsidRPr="00236210">
        <w:rPr>
          <w:szCs w:val="21"/>
        </w:rPr>
        <w:t xml:space="preserve"> </w:t>
      </w:r>
    </w:p>
    <w:p w14:paraId="749D95C4" w14:textId="77777777" w:rsidR="00236210" w:rsidRPr="005511DF" w:rsidRDefault="00236210" w:rsidP="00633B21">
      <w:pPr>
        <w:pStyle w:val="Body"/>
        <w:rPr>
          <w:rStyle w:val="Hyperlink"/>
          <w:rFonts w:cs="Arial"/>
          <w:color w:val="0070C0"/>
          <w:sz w:val="22"/>
          <w:szCs w:val="22"/>
        </w:rPr>
      </w:pPr>
      <w:r>
        <w:t>A Blood Matters education session was held in May 2021 which included information about the certification scheme</w:t>
      </w:r>
      <w:r w:rsidRPr="005511DF">
        <w:t>.</w:t>
      </w:r>
      <w:r w:rsidRPr="00236210">
        <w:rPr>
          <w:szCs w:val="21"/>
        </w:rPr>
        <w:t xml:space="preserve"> </w:t>
      </w:r>
      <w:hyperlink r:id="rId34" w:history="1">
        <w:r w:rsidRPr="00633B21">
          <w:rPr>
            <w:rStyle w:val="Hyperlink"/>
            <w:rFonts w:cs="Arial"/>
            <w:color w:val="0070C0"/>
            <w:szCs w:val="21"/>
          </w:rPr>
          <w:t>Click here for to view meeting recording</w:t>
        </w:r>
      </w:hyperlink>
      <w:r w:rsidRPr="005511DF">
        <w:t xml:space="preserve"> (the certification presentation begins at time point 20:38).</w:t>
      </w:r>
    </w:p>
    <w:p w14:paraId="5C87643B" w14:textId="77777777" w:rsidR="00236210" w:rsidRDefault="00236210" w:rsidP="00633B21">
      <w:pPr>
        <w:pStyle w:val="Body"/>
      </w:pPr>
      <w:r w:rsidRPr="004340C6">
        <w:t>Blood Matters is committed to providing support and education to assist in the early stages of this scheme</w:t>
      </w:r>
      <w:r>
        <w:t>.</w:t>
      </w:r>
    </w:p>
    <w:p w14:paraId="511D1827" w14:textId="77777777" w:rsidR="00236210" w:rsidRPr="00C335AA" w:rsidRDefault="00236210" w:rsidP="00633B21">
      <w:pPr>
        <w:pStyle w:val="Heading2"/>
      </w:pPr>
      <w:r w:rsidRPr="00C335AA">
        <w:t>How can Blood Matters help you?</w:t>
      </w:r>
    </w:p>
    <w:p w14:paraId="64347F82" w14:textId="77777777" w:rsidR="00236210" w:rsidRPr="00BE7F06" w:rsidRDefault="00236210" w:rsidP="00633B21">
      <w:pPr>
        <w:pStyle w:val="Body"/>
        <w:rPr>
          <w:szCs w:val="21"/>
        </w:rPr>
      </w:pPr>
      <w:r w:rsidRPr="00BE7F06">
        <w:rPr>
          <w:szCs w:val="21"/>
        </w:rPr>
        <w:t xml:space="preserve">The Blood Matters team are here to assist health services and laboratories through education and providing resources. </w:t>
      </w:r>
    </w:p>
    <w:p w14:paraId="4D0C9B48" w14:textId="5B544C16" w:rsidR="00236210" w:rsidRPr="00BE7F06" w:rsidRDefault="00236210" w:rsidP="00633B21">
      <w:pPr>
        <w:pStyle w:val="DHHSbody"/>
        <w:rPr>
          <w:rFonts w:cs="Arial"/>
          <w:sz w:val="21"/>
          <w:szCs w:val="21"/>
        </w:rPr>
        <w:sectPr w:rsidR="00236210" w:rsidRPr="00BE7F06" w:rsidSect="00633B21">
          <w:headerReference w:type="default" r:id="rId35"/>
          <w:footerReference w:type="default" r:id="rId36"/>
          <w:type w:val="continuous"/>
          <w:pgSz w:w="11906" w:h="16838" w:code="9"/>
          <w:pgMar w:top="720" w:right="720" w:bottom="1418" w:left="720" w:header="567" w:footer="510" w:gutter="0"/>
          <w:cols w:space="340"/>
          <w:titlePg/>
          <w:docGrid w:linePitch="360"/>
        </w:sectPr>
      </w:pPr>
      <w:r w:rsidRPr="00BE7F06">
        <w:rPr>
          <w:rFonts w:eastAsia="Times New Roman" w:cs="Arial"/>
          <w:sz w:val="21"/>
          <w:szCs w:val="21"/>
        </w:rPr>
        <w:t xml:space="preserve">If you have suggestions for tools and resources that could assist in day to day activities and towards achieving accreditation please let Rae French or any of the Blood Matters team know by email to at </w:t>
      </w:r>
      <w:hyperlink r:id="rId37" w:history="1">
        <w:r w:rsidRPr="00BE7F06">
          <w:rPr>
            <w:rStyle w:val="Hyperlink"/>
            <w:rFonts w:eastAsia="Times New Roman" w:cs="Arial"/>
            <w:sz w:val="21"/>
            <w:szCs w:val="21"/>
          </w:rPr>
          <w:t>rfrench@redcrossblood.org.au</w:t>
        </w:r>
      </w:hyperlink>
      <w:r w:rsidRPr="00BE7F06">
        <w:rPr>
          <w:rFonts w:eastAsia="Times New Roman" w:cs="Arial"/>
          <w:sz w:val="21"/>
          <w:szCs w:val="21"/>
        </w:rPr>
        <w:t xml:space="preserve"> or </w:t>
      </w:r>
      <w:hyperlink r:id="rId38" w:history="1">
        <w:r w:rsidRPr="00BE7F06">
          <w:rPr>
            <w:rStyle w:val="Hyperlink"/>
            <w:rFonts w:eastAsia="Times New Roman" w:cs="Arial"/>
            <w:sz w:val="21"/>
            <w:szCs w:val="21"/>
          </w:rPr>
          <w:t>bloodmatters@redcrossblood.org.au</w:t>
        </w:r>
      </w:hyperlink>
      <w:r w:rsidRPr="00BE7F06">
        <w:rPr>
          <w:rFonts w:eastAsia="Times New Roman" w:cs="Arial"/>
          <w:sz w:val="21"/>
          <w:szCs w:val="21"/>
        </w:rPr>
        <w:t xml:space="preserve"> or phone 03 9694 3524.</w:t>
      </w:r>
    </w:p>
    <w:p w14:paraId="776DB672" w14:textId="77777777" w:rsidR="008770B1" w:rsidRDefault="008770B1" w:rsidP="00096A20">
      <w:pPr>
        <w:pStyle w:val="Body"/>
        <w:rPr>
          <w:szCs w:val="18"/>
        </w:rPr>
      </w:pPr>
    </w:p>
    <w:tbl>
      <w:tblPr>
        <w:tblStyle w:val="TableGrid"/>
        <w:tblW w:w="0" w:type="auto"/>
        <w:tblCellMar>
          <w:bottom w:w="108" w:type="dxa"/>
        </w:tblCellMar>
        <w:tblLook w:val="0600" w:firstRow="0" w:lastRow="0" w:firstColumn="0" w:lastColumn="0" w:noHBand="1" w:noVBand="1"/>
      </w:tblPr>
      <w:tblGrid>
        <w:gridCol w:w="10194"/>
      </w:tblGrid>
      <w:tr w:rsidR="0055119B" w14:paraId="45111B43" w14:textId="77777777" w:rsidTr="00EC40D5">
        <w:tc>
          <w:tcPr>
            <w:tcW w:w="10194" w:type="dxa"/>
          </w:tcPr>
          <w:p w14:paraId="46FD3620" w14:textId="77777777" w:rsidR="0055119B" w:rsidRPr="0055119B" w:rsidRDefault="0055119B" w:rsidP="0055119B">
            <w:pPr>
              <w:pStyle w:val="Accessibilitypara"/>
            </w:pPr>
            <w:bookmarkStart w:id="1" w:name="_Hlk37240926"/>
            <w:r w:rsidRPr="0055119B">
              <w:t>To receive this document in another format</w:t>
            </w:r>
            <w:r>
              <w:t>,</w:t>
            </w:r>
            <w:r w:rsidRPr="0055119B">
              <w:t xml:space="preserve"> phone </w:t>
            </w:r>
            <w:r w:rsidR="00B650D2">
              <w:rPr>
                <w:color w:val="004C97"/>
              </w:rPr>
              <w:t>03 9694 0102</w:t>
            </w:r>
            <w:r w:rsidRPr="0055119B">
              <w:t xml:space="preserve">, using the National Relay Service 13 36 77 if required, or </w:t>
            </w:r>
            <w:hyperlink r:id="rId39" w:history="1">
              <w:r w:rsidRPr="00B650D2">
                <w:rPr>
                  <w:rStyle w:val="Hyperlink"/>
                </w:rPr>
                <w:t xml:space="preserve">email </w:t>
              </w:r>
              <w:r w:rsidR="00B650D2" w:rsidRPr="00B650D2">
                <w:rPr>
                  <w:rStyle w:val="Hyperlink"/>
                </w:rPr>
                <w:t>Blood Matters</w:t>
              </w:r>
            </w:hyperlink>
            <w:r w:rsidRPr="0055119B">
              <w:rPr>
                <w:color w:val="004C97"/>
              </w:rPr>
              <w:t xml:space="preserve"> </w:t>
            </w:r>
            <w:r w:rsidRPr="0055119B">
              <w:t>&lt;</w:t>
            </w:r>
            <w:r w:rsidR="00B650D2">
              <w:t>bloodmatters@redcrossblood.org.au</w:t>
            </w:r>
            <w:r w:rsidRPr="0055119B">
              <w:t>&gt;.</w:t>
            </w:r>
          </w:p>
          <w:p w14:paraId="7B1251D9" w14:textId="77777777" w:rsidR="0055119B" w:rsidRPr="0055119B" w:rsidRDefault="0055119B" w:rsidP="00E33237">
            <w:pPr>
              <w:pStyle w:val="Imprint"/>
            </w:pPr>
            <w:r w:rsidRPr="0055119B">
              <w:t>Authorised and published by the Victorian Government, 1 Treasury Place, Melbourne.</w:t>
            </w:r>
          </w:p>
          <w:p w14:paraId="08DAE513" w14:textId="77777777" w:rsidR="0055119B" w:rsidRPr="0055119B" w:rsidRDefault="0055119B" w:rsidP="00E33237">
            <w:pPr>
              <w:pStyle w:val="Imprint"/>
            </w:pPr>
            <w:r w:rsidRPr="0055119B">
              <w:t xml:space="preserve">© State of Victoria, Australia, </w:t>
            </w:r>
            <w:r w:rsidR="001E2A36" w:rsidRPr="001E2A36">
              <w:t>Department of Health</w:t>
            </w:r>
            <w:r w:rsidRPr="009446D3">
              <w:rPr>
                <w:color w:val="auto"/>
              </w:rPr>
              <w:t xml:space="preserve">, </w:t>
            </w:r>
            <w:r w:rsidR="00E601B1" w:rsidRPr="009446D3">
              <w:rPr>
                <w:color w:val="auto"/>
              </w:rPr>
              <w:t>October 2021</w:t>
            </w:r>
            <w:r w:rsidRPr="009446D3">
              <w:rPr>
                <w:color w:val="auto"/>
              </w:rPr>
              <w:t>.</w:t>
            </w:r>
          </w:p>
          <w:p w14:paraId="1AF09E7B" w14:textId="266E0037" w:rsidR="0055119B" w:rsidRPr="0055119B" w:rsidRDefault="0055119B" w:rsidP="00E33237">
            <w:pPr>
              <w:pStyle w:val="Imprint"/>
            </w:pPr>
            <w:r w:rsidRPr="009446D3">
              <w:rPr>
                <w:b/>
              </w:rPr>
              <w:t>ISSN</w:t>
            </w:r>
            <w:r w:rsidRPr="0055119B">
              <w:t xml:space="preserve"> </w:t>
            </w:r>
            <w:r w:rsidR="00E601B1">
              <w:t>2652-7278</w:t>
            </w:r>
            <w:r w:rsidR="009446D3">
              <w:t xml:space="preserve"> –</w:t>
            </w:r>
            <w:r w:rsidRPr="00E33237">
              <w:rPr>
                <w:color w:val="004C97"/>
              </w:rPr>
              <w:t xml:space="preserve"> </w:t>
            </w:r>
            <w:r w:rsidR="009446D3" w:rsidRPr="009446D3">
              <w:rPr>
                <w:b/>
                <w:color w:val="auto"/>
              </w:rPr>
              <w:t>O</w:t>
            </w:r>
            <w:r w:rsidRPr="009446D3">
              <w:rPr>
                <w:b/>
                <w:color w:val="auto"/>
              </w:rPr>
              <w:t>nline</w:t>
            </w:r>
            <w:r w:rsidR="009446D3" w:rsidRPr="009446D3">
              <w:rPr>
                <w:b/>
                <w:color w:val="auto"/>
              </w:rPr>
              <w:t xml:space="preserve"> (pdf </w:t>
            </w:r>
            <w:r w:rsidRPr="009446D3">
              <w:rPr>
                <w:b/>
                <w:color w:val="auto"/>
              </w:rPr>
              <w:t>/</w:t>
            </w:r>
            <w:r w:rsidR="009446D3" w:rsidRPr="009446D3">
              <w:rPr>
                <w:b/>
                <w:color w:val="auto"/>
              </w:rPr>
              <w:t xml:space="preserve"> w</w:t>
            </w:r>
            <w:r w:rsidRPr="009446D3">
              <w:rPr>
                <w:b/>
                <w:color w:val="auto"/>
              </w:rPr>
              <w:t>ord)</w:t>
            </w:r>
            <w:r w:rsidRPr="009446D3">
              <w:rPr>
                <w:color w:val="auto"/>
              </w:rPr>
              <w:t xml:space="preserve"> </w:t>
            </w:r>
          </w:p>
          <w:p w14:paraId="1BFC9C9E" w14:textId="77777777" w:rsidR="0055119B" w:rsidRDefault="0055119B" w:rsidP="00E33237">
            <w:pPr>
              <w:pStyle w:val="Imprint"/>
            </w:pPr>
            <w:r w:rsidRPr="0055119B">
              <w:t xml:space="preserve">Available at </w:t>
            </w:r>
            <w:hyperlink r:id="rId40" w:history="1">
              <w:r w:rsidR="00E601B1" w:rsidRPr="00E601B1">
                <w:rPr>
                  <w:rStyle w:val="Hyperlink"/>
                </w:rPr>
                <w:t>Blood Matters</w:t>
              </w:r>
            </w:hyperlink>
            <w:r w:rsidR="00E601B1">
              <w:t xml:space="preserve"> </w:t>
            </w:r>
            <w:r w:rsidRPr="0055119B">
              <w:t>&lt;</w:t>
            </w:r>
            <w:r w:rsidR="00E601B1" w:rsidRPr="00E601B1">
              <w:rPr>
                <w:color w:val="004C97"/>
              </w:rPr>
              <w:t>https://www2.health.vic.gov.au/hospitals-and-health-services/patient-care/speciality-diagnostics-therapeutics/blood-matters/transfusion-science-blood-stewardship</w:t>
            </w:r>
            <w:r w:rsidRPr="0055119B">
              <w:t>&gt;</w:t>
            </w:r>
          </w:p>
        </w:tc>
      </w:tr>
      <w:bookmarkEnd w:id="1"/>
    </w:tbl>
    <w:p w14:paraId="3C4FA638" w14:textId="77777777" w:rsidR="00162CA9" w:rsidRDefault="00162CA9" w:rsidP="00162CA9">
      <w:pPr>
        <w:pStyle w:val="Body"/>
      </w:pPr>
    </w:p>
    <w:p w14:paraId="56A873C1" w14:textId="77777777" w:rsidR="008173B4" w:rsidRDefault="008173B4" w:rsidP="00162CA9">
      <w:pPr>
        <w:pStyle w:val="Body"/>
      </w:pPr>
    </w:p>
    <w:sectPr w:rsidR="008173B4" w:rsidSect="0001677A">
      <w:footerReference w:type="default" r:id="rId41"/>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77E7" w14:textId="77777777" w:rsidR="006B55FB" w:rsidRDefault="006B55FB">
      <w:r>
        <w:separator/>
      </w:r>
    </w:p>
  </w:endnote>
  <w:endnote w:type="continuationSeparator" w:id="0">
    <w:p w14:paraId="62F5C604" w14:textId="77777777" w:rsidR="006B55FB" w:rsidRDefault="006B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0959" w14:textId="77777777" w:rsidR="00B93102" w:rsidRDefault="00B93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0305"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279BBFA8" wp14:editId="1D145844">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08AE014" wp14:editId="5AC31BA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2BA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8AE014"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002BA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E69E"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0A08E54F" wp14:editId="1251C30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5580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08E54F"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2855580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D8AA" w14:textId="77777777" w:rsidR="00236210" w:rsidRPr="00A11421" w:rsidRDefault="00236210" w:rsidP="0051568D">
    <w:pPr>
      <w:pStyle w:val="DHHSfooter"/>
    </w:pPr>
    <w:r>
      <w:rPr>
        <w:noProof/>
        <w:lang w:eastAsia="en-AU"/>
      </w:rPr>
      <w:drawing>
        <wp:anchor distT="0" distB="0" distL="114300" distR="114300" simplePos="0" relativeHeight="251680256" behindDoc="1" locked="1" layoutInCell="1" allowOverlap="1" wp14:anchorId="1BEB9708" wp14:editId="380DC701">
          <wp:simplePos x="0" y="0"/>
          <wp:positionH relativeFrom="page">
            <wp:posOffset>13335</wp:posOffset>
          </wp:positionH>
          <wp:positionV relativeFrom="page">
            <wp:posOffset>9610090</wp:posOffset>
          </wp:positionV>
          <wp:extent cx="7559040" cy="1060450"/>
          <wp:effectExtent l="0" t="0" r="3810" b="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Information sheet Blood Matters footerbranding.png"/>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6DA5" w14:textId="02377188" w:rsidR="00373890" w:rsidRPr="00F65AA9" w:rsidRDefault="00B93102" w:rsidP="00F84FA0">
    <w:pPr>
      <w:pStyle w:val="Footer"/>
    </w:pPr>
    <w:r>
      <w:rPr>
        <w:noProof/>
        <w:lang w:eastAsia="en-AU"/>
      </w:rPr>
      <mc:AlternateContent>
        <mc:Choice Requires="wps">
          <w:drawing>
            <wp:anchor distT="0" distB="0" distL="114300" distR="114300" simplePos="1" relativeHeight="251681280" behindDoc="0" locked="0" layoutInCell="0" allowOverlap="1" wp14:anchorId="240B16B8" wp14:editId="2ADB0066">
              <wp:simplePos x="0" y="10189687"/>
              <wp:positionH relativeFrom="page">
                <wp:posOffset>0</wp:posOffset>
              </wp:positionH>
              <wp:positionV relativeFrom="page">
                <wp:posOffset>10189210</wp:posOffset>
              </wp:positionV>
              <wp:extent cx="7560310" cy="311785"/>
              <wp:effectExtent l="0" t="0" r="0" b="12065"/>
              <wp:wrapNone/>
              <wp:docPr id="2" name="MSIPCMd22944f794f6f707b469f17e"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B3F19" w14:textId="49127C8D" w:rsidR="00B93102" w:rsidRPr="00B93102" w:rsidRDefault="00B93102" w:rsidP="00B93102">
                          <w:pPr>
                            <w:spacing w:after="0"/>
                            <w:jc w:val="center"/>
                            <w:rPr>
                              <w:rFonts w:ascii="Arial Black" w:hAnsi="Arial Black"/>
                              <w:color w:val="000000"/>
                              <w:sz w:val="20"/>
                            </w:rPr>
                          </w:pPr>
                          <w:r w:rsidRPr="00B931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0B16B8" id="_x0000_t202" coordsize="21600,21600" o:spt="202" path="m,l,21600r21600,l21600,xe">
              <v:stroke joinstyle="miter"/>
              <v:path gradientshapeok="t" o:connecttype="rect"/>
            </v:shapetype>
            <v:shape id="MSIPCMd22944f794f6f707b469f17e" o:spid="_x0000_s1029" type="#_x0000_t202" alt="{&quot;HashCode&quot;:904758361,&quot;Height&quot;:841.0,&quot;Width&quot;:595.0,&quot;Placement&quot;:&quot;Footer&quot;,&quot;Index&quot;:&quot;Primary&quot;,&quot;Section&quot;:4,&quot;Top&quot;:0.0,&quot;Left&quot;:0.0}" style="position:absolute;left:0;text-align:left;margin-left:0;margin-top:802.3pt;width:595.3pt;height:24.55pt;z-index:251681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b0OxXsQIAAEwFAAAO&#10;AAAAAAAAAAAAAAAAAC4CAABkcnMvZTJvRG9jLnhtbFBLAQItABQABgAIAAAAIQBIDV6a3wAAAAsB&#10;AAAPAAAAAAAAAAAAAAAAAAsFAABkcnMvZG93bnJldi54bWxQSwUGAAAAAAQABADzAAAAFwYAAAAA&#10;" o:allowincell="f" filled="f" stroked="f" strokeweight=".5pt">
              <v:fill o:detectmouseclick="t"/>
              <v:textbox inset=",0,,0">
                <w:txbxContent>
                  <w:p w14:paraId="5A2B3F19" w14:textId="49127C8D" w:rsidR="00B93102" w:rsidRPr="00B93102" w:rsidRDefault="00B93102" w:rsidP="00B93102">
                    <w:pPr>
                      <w:spacing w:after="0"/>
                      <w:jc w:val="center"/>
                      <w:rPr>
                        <w:rFonts w:ascii="Arial Black" w:hAnsi="Arial Black"/>
                        <w:color w:val="000000"/>
                        <w:sz w:val="20"/>
                      </w:rPr>
                    </w:pPr>
                    <w:r w:rsidRPr="00B93102">
                      <w:rPr>
                        <w:rFonts w:ascii="Arial Black" w:hAnsi="Arial Black"/>
                        <w:color w:val="000000"/>
                        <w:sz w:val="20"/>
                      </w:rPr>
                      <w:t>OFFICIAL</w:t>
                    </w:r>
                  </w:p>
                </w:txbxContent>
              </v:textbox>
              <w10:wrap anchorx="page" anchory="page"/>
            </v:shape>
          </w:pict>
        </mc:Fallback>
      </mc:AlternateContent>
    </w:r>
    <w:r w:rsidR="0001677A">
      <w:rPr>
        <w:noProof/>
        <w:lang w:eastAsia="en-AU"/>
      </w:rPr>
      <w:drawing>
        <wp:anchor distT="0" distB="0" distL="114300" distR="114300" simplePos="0" relativeHeight="251678208" behindDoc="1" locked="1" layoutInCell="1" allowOverlap="1" wp14:anchorId="65B45170" wp14:editId="51A52ABA">
          <wp:simplePos x="0" y="0"/>
          <wp:positionH relativeFrom="page">
            <wp:align>left</wp:align>
          </wp:positionH>
          <wp:positionV relativeFrom="page">
            <wp:align>bottom</wp:align>
          </wp:positionV>
          <wp:extent cx="7560000" cy="1155600"/>
          <wp:effectExtent l="0" t="0" r="0" b="0"/>
          <wp:wrapNone/>
          <wp:docPr id="9" name="Picture 9"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10;Australian Red Cross&#10;Blood Matters"/>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anchor distT="0" distB="0" distL="114300" distR="114300" simplePos="0" relativeHeight="251675136" behindDoc="0" locked="0" layoutInCell="0" allowOverlap="1" wp14:anchorId="4864F0C5" wp14:editId="63758F2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22F7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64F0C5"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4E022F7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ACA2" w14:textId="77777777" w:rsidR="006B55FB" w:rsidRDefault="006B55FB" w:rsidP="002862F1">
      <w:pPr>
        <w:spacing w:before="120"/>
      </w:pPr>
      <w:r>
        <w:separator/>
      </w:r>
    </w:p>
  </w:footnote>
  <w:footnote w:type="continuationSeparator" w:id="0">
    <w:p w14:paraId="46FFBE9B" w14:textId="77777777" w:rsidR="006B55FB" w:rsidRDefault="006B5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CA4C" w14:textId="77777777" w:rsidR="00B93102" w:rsidRDefault="00B93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F1CB"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57B4" w14:textId="77777777" w:rsidR="00B93102" w:rsidRDefault="00B931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29EA" w14:textId="77777777" w:rsidR="00E261B3" w:rsidRPr="0051568D" w:rsidRDefault="00B650D2" w:rsidP="0011701A">
    <w:pPr>
      <w:pStyle w:val="Header"/>
    </w:pPr>
    <w:r>
      <w:t>Blood Matters on the Bench and Beyond. Issue 8 – October 2021.</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1B4E" w14:textId="77777777" w:rsidR="00236210" w:rsidRPr="0051568D" w:rsidRDefault="00236210"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60E68DC"/>
    <w:multiLevelType w:val="hybridMultilevel"/>
    <w:tmpl w:val="CE784A54"/>
    <w:lvl w:ilvl="0" w:tplc="256AA394">
      <w:start w:val="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5811E81"/>
    <w:multiLevelType w:val="hybridMultilevel"/>
    <w:tmpl w:val="F0DA76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A4024"/>
    <w:multiLevelType w:val="hybridMultilevel"/>
    <w:tmpl w:val="EA903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8C4F94"/>
    <w:multiLevelType w:val="hybridMultilevel"/>
    <w:tmpl w:val="01D0E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90F3FDD"/>
    <w:multiLevelType w:val="hybridMultilevel"/>
    <w:tmpl w:val="47144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CCA0192"/>
    <w:multiLevelType w:val="hybridMultilevel"/>
    <w:tmpl w:val="C1FC6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5201FD4"/>
    <w:multiLevelType w:val="multilevel"/>
    <w:tmpl w:val="8EFE1918"/>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136627"/>
    <w:multiLevelType w:val="hybridMultilevel"/>
    <w:tmpl w:val="755CB0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856127"/>
    <w:multiLevelType w:val="hybridMultilevel"/>
    <w:tmpl w:val="F25C45A6"/>
    <w:lvl w:ilvl="0" w:tplc="C0727EF0">
      <w:start w:val="1"/>
      <w:numFmt w:val="bullet"/>
      <w:lvlText w:val=""/>
      <w:lvlJc w:val="left"/>
      <w:pPr>
        <w:ind w:left="360" w:hanging="360"/>
      </w:pPr>
      <w:rPr>
        <w:rFonts w:ascii="Wingdings" w:hAnsi="Wingdings" w:hint="default"/>
        <w:color w:val="C60C30"/>
        <w:sz w:val="18"/>
      </w:rPr>
    </w:lvl>
    <w:lvl w:ilvl="1" w:tplc="C0727EF0">
      <w:start w:val="1"/>
      <w:numFmt w:val="bullet"/>
      <w:lvlText w:val=""/>
      <w:lvlJc w:val="left"/>
      <w:pPr>
        <w:ind w:left="1080" w:hanging="360"/>
      </w:pPr>
      <w:rPr>
        <w:rFonts w:ascii="Wingdings" w:hAnsi="Wingdings" w:hint="default"/>
        <w:color w:val="C60C30"/>
        <w:sz w:val="18"/>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0"/>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3"/>
  </w:num>
  <w:num w:numId="25">
    <w:abstractNumId w:val="29"/>
  </w:num>
  <w:num w:numId="26">
    <w:abstractNumId w:val="24"/>
  </w:num>
  <w:num w:numId="27">
    <w:abstractNumId w:val="11"/>
  </w:num>
  <w:num w:numId="28">
    <w:abstractNumId w:val="3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18"/>
  </w:num>
  <w:num w:numId="42">
    <w:abstractNumId w:val="27"/>
  </w:num>
  <w:num w:numId="43">
    <w:abstractNumId w:val="16"/>
  </w:num>
  <w:num w:numId="44">
    <w:abstractNumId w:val="31"/>
  </w:num>
  <w:num w:numId="45">
    <w:abstractNumId w:val="21"/>
  </w:num>
  <w:num w:numId="46">
    <w:abstractNumId w:val="19"/>
  </w:num>
  <w:num w:numId="47">
    <w:abstractNumId w:val="32"/>
  </w:num>
  <w:num w:numId="4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120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FB"/>
    <w:rsid w:val="00000719"/>
    <w:rsid w:val="00003403"/>
    <w:rsid w:val="00005347"/>
    <w:rsid w:val="000058C2"/>
    <w:rsid w:val="000072B6"/>
    <w:rsid w:val="0001021B"/>
    <w:rsid w:val="00011D89"/>
    <w:rsid w:val="000154FD"/>
    <w:rsid w:val="0001677A"/>
    <w:rsid w:val="00016FBF"/>
    <w:rsid w:val="00022271"/>
    <w:rsid w:val="00022560"/>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7309"/>
    <w:rsid w:val="000835C6"/>
    <w:rsid w:val="0008508E"/>
    <w:rsid w:val="000865AF"/>
    <w:rsid w:val="00087951"/>
    <w:rsid w:val="0009113B"/>
    <w:rsid w:val="00093402"/>
    <w:rsid w:val="00094DA3"/>
    <w:rsid w:val="00096A20"/>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1A1"/>
    <w:rsid w:val="00103276"/>
    <w:rsid w:val="0010392D"/>
    <w:rsid w:val="0010447F"/>
    <w:rsid w:val="00104FE3"/>
    <w:rsid w:val="0010714F"/>
    <w:rsid w:val="001120C5"/>
    <w:rsid w:val="0011701A"/>
    <w:rsid w:val="00120BD3"/>
    <w:rsid w:val="00122771"/>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9F0"/>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181E"/>
    <w:rsid w:val="0022278D"/>
    <w:rsid w:val="0022701F"/>
    <w:rsid w:val="00227C68"/>
    <w:rsid w:val="002333F5"/>
    <w:rsid w:val="00233724"/>
    <w:rsid w:val="00236210"/>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A5D39"/>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12D9"/>
    <w:rsid w:val="00302216"/>
    <w:rsid w:val="00303E53"/>
    <w:rsid w:val="00305CC1"/>
    <w:rsid w:val="00306E5F"/>
    <w:rsid w:val="00307E14"/>
    <w:rsid w:val="00314054"/>
    <w:rsid w:val="00315BD8"/>
    <w:rsid w:val="00316F27"/>
    <w:rsid w:val="003214F1"/>
    <w:rsid w:val="00322E4B"/>
    <w:rsid w:val="00327870"/>
    <w:rsid w:val="0033259D"/>
    <w:rsid w:val="003333D2"/>
    <w:rsid w:val="00335D70"/>
    <w:rsid w:val="003406C6"/>
    <w:rsid w:val="003418CC"/>
    <w:rsid w:val="003451C7"/>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52C"/>
    <w:rsid w:val="003D3E8F"/>
    <w:rsid w:val="003D6475"/>
    <w:rsid w:val="003E254E"/>
    <w:rsid w:val="003E375C"/>
    <w:rsid w:val="003E4086"/>
    <w:rsid w:val="003E639E"/>
    <w:rsid w:val="003E71E5"/>
    <w:rsid w:val="003F0445"/>
    <w:rsid w:val="003F0CF0"/>
    <w:rsid w:val="003F14B1"/>
    <w:rsid w:val="003F2B20"/>
    <w:rsid w:val="003F3289"/>
    <w:rsid w:val="003F5CB9"/>
    <w:rsid w:val="004013C7"/>
    <w:rsid w:val="00401FCF"/>
    <w:rsid w:val="0040248F"/>
    <w:rsid w:val="00404A62"/>
    <w:rsid w:val="00406285"/>
    <w:rsid w:val="004112C6"/>
    <w:rsid w:val="00413D07"/>
    <w:rsid w:val="004148F9"/>
    <w:rsid w:val="00414D4A"/>
    <w:rsid w:val="0042084E"/>
    <w:rsid w:val="00421EEF"/>
    <w:rsid w:val="00424917"/>
    <w:rsid w:val="00424D65"/>
    <w:rsid w:val="00427A56"/>
    <w:rsid w:val="004364C5"/>
    <w:rsid w:val="00442C6C"/>
    <w:rsid w:val="00443CBE"/>
    <w:rsid w:val="00443E8A"/>
    <w:rsid w:val="004441BC"/>
    <w:rsid w:val="004442FF"/>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5B3A"/>
    <w:rsid w:val="004F6936"/>
    <w:rsid w:val="0050221C"/>
    <w:rsid w:val="00503DC6"/>
    <w:rsid w:val="00506426"/>
    <w:rsid w:val="00506F5D"/>
    <w:rsid w:val="00510C37"/>
    <w:rsid w:val="005126D0"/>
    <w:rsid w:val="00515614"/>
    <w:rsid w:val="0051568D"/>
    <w:rsid w:val="005206B7"/>
    <w:rsid w:val="00520B4F"/>
    <w:rsid w:val="00521C34"/>
    <w:rsid w:val="00526AC7"/>
    <w:rsid w:val="00526C15"/>
    <w:rsid w:val="00536395"/>
    <w:rsid w:val="00536499"/>
    <w:rsid w:val="00543903"/>
    <w:rsid w:val="00543F11"/>
    <w:rsid w:val="00546305"/>
    <w:rsid w:val="00547A95"/>
    <w:rsid w:val="0055119B"/>
    <w:rsid w:val="005548B5"/>
    <w:rsid w:val="0057060F"/>
    <w:rsid w:val="00572031"/>
    <w:rsid w:val="00572282"/>
    <w:rsid w:val="00573CE3"/>
    <w:rsid w:val="00576E84"/>
    <w:rsid w:val="00580394"/>
    <w:rsid w:val="005809CD"/>
    <w:rsid w:val="00582B8C"/>
    <w:rsid w:val="0058757E"/>
    <w:rsid w:val="00596A4B"/>
    <w:rsid w:val="00597507"/>
    <w:rsid w:val="005A3612"/>
    <w:rsid w:val="005A479D"/>
    <w:rsid w:val="005A68CE"/>
    <w:rsid w:val="005B1C6D"/>
    <w:rsid w:val="005B21B6"/>
    <w:rsid w:val="005B3A08"/>
    <w:rsid w:val="005B7A63"/>
    <w:rsid w:val="005C0955"/>
    <w:rsid w:val="005C49DA"/>
    <w:rsid w:val="005C50F3"/>
    <w:rsid w:val="005C54B5"/>
    <w:rsid w:val="005C5D80"/>
    <w:rsid w:val="005C5D91"/>
    <w:rsid w:val="005D07B8"/>
    <w:rsid w:val="005D6597"/>
    <w:rsid w:val="005D6A94"/>
    <w:rsid w:val="005D7E48"/>
    <w:rsid w:val="005E14E7"/>
    <w:rsid w:val="005E26A3"/>
    <w:rsid w:val="005E2ECB"/>
    <w:rsid w:val="005E447E"/>
    <w:rsid w:val="005E4FD1"/>
    <w:rsid w:val="005F0775"/>
    <w:rsid w:val="005F0CF5"/>
    <w:rsid w:val="005F21EB"/>
    <w:rsid w:val="005F7303"/>
    <w:rsid w:val="00605908"/>
    <w:rsid w:val="00610D7C"/>
    <w:rsid w:val="00613414"/>
    <w:rsid w:val="00620154"/>
    <w:rsid w:val="0062408D"/>
    <w:rsid w:val="006240CC"/>
    <w:rsid w:val="00624940"/>
    <w:rsid w:val="006254F8"/>
    <w:rsid w:val="00627DA7"/>
    <w:rsid w:val="00630DA4"/>
    <w:rsid w:val="00632597"/>
    <w:rsid w:val="00633B21"/>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66AD"/>
    <w:rsid w:val="00667770"/>
    <w:rsid w:val="00670597"/>
    <w:rsid w:val="006706D0"/>
    <w:rsid w:val="0067151A"/>
    <w:rsid w:val="00677574"/>
    <w:rsid w:val="0068454C"/>
    <w:rsid w:val="0068584D"/>
    <w:rsid w:val="00691B62"/>
    <w:rsid w:val="006933B5"/>
    <w:rsid w:val="00693D14"/>
    <w:rsid w:val="00696F27"/>
    <w:rsid w:val="006A18C2"/>
    <w:rsid w:val="006A3383"/>
    <w:rsid w:val="006B077C"/>
    <w:rsid w:val="006B55FB"/>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5CD8"/>
    <w:rsid w:val="00786F16"/>
    <w:rsid w:val="00791BD7"/>
    <w:rsid w:val="007933F7"/>
    <w:rsid w:val="00796E20"/>
    <w:rsid w:val="00797C32"/>
    <w:rsid w:val="007A11E8"/>
    <w:rsid w:val="007A3DE9"/>
    <w:rsid w:val="007B0883"/>
    <w:rsid w:val="007B0914"/>
    <w:rsid w:val="007B1374"/>
    <w:rsid w:val="007B32E5"/>
    <w:rsid w:val="007B3DB9"/>
    <w:rsid w:val="007B589F"/>
    <w:rsid w:val="007B6186"/>
    <w:rsid w:val="007B73BC"/>
    <w:rsid w:val="007C1838"/>
    <w:rsid w:val="007C1930"/>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4DF5"/>
    <w:rsid w:val="008155F0"/>
    <w:rsid w:val="00816735"/>
    <w:rsid w:val="008173B4"/>
    <w:rsid w:val="00820141"/>
    <w:rsid w:val="008201B8"/>
    <w:rsid w:val="00820E0C"/>
    <w:rsid w:val="008213F0"/>
    <w:rsid w:val="00823275"/>
    <w:rsid w:val="0082366F"/>
    <w:rsid w:val="008338A2"/>
    <w:rsid w:val="00835FAF"/>
    <w:rsid w:val="00837648"/>
    <w:rsid w:val="00841AA9"/>
    <w:rsid w:val="008474FE"/>
    <w:rsid w:val="00853EE4"/>
    <w:rsid w:val="00855535"/>
    <w:rsid w:val="00855920"/>
    <w:rsid w:val="00857C5A"/>
    <w:rsid w:val="0086255E"/>
    <w:rsid w:val="008633F0"/>
    <w:rsid w:val="00867D9D"/>
    <w:rsid w:val="00872E0A"/>
    <w:rsid w:val="00873594"/>
    <w:rsid w:val="00875285"/>
    <w:rsid w:val="008770B1"/>
    <w:rsid w:val="00884B62"/>
    <w:rsid w:val="0088529C"/>
    <w:rsid w:val="00886938"/>
    <w:rsid w:val="00887903"/>
    <w:rsid w:val="0089270A"/>
    <w:rsid w:val="00893AF6"/>
    <w:rsid w:val="00894BC4"/>
    <w:rsid w:val="008A28A8"/>
    <w:rsid w:val="008A5B32"/>
    <w:rsid w:val="008A77B8"/>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6AF4"/>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46D3"/>
    <w:rsid w:val="00950E2C"/>
    <w:rsid w:val="00951D50"/>
    <w:rsid w:val="009525EB"/>
    <w:rsid w:val="0095427F"/>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1787"/>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4374"/>
    <w:rsid w:val="009F4906"/>
    <w:rsid w:val="009F6BCB"/>
    <w:rsid w:val="009F7B78"/>
    <w:rsid w:val="00A0057A"/>
    <w:rsid w:val="00A02FA1"/>
    <w:rsid w:val="00A03633"/>
    <w:rsid w:val="00A04CCE"/>
    <w:rsid w:val="00A07421"/>
    <w:rsid w:val="00A0776B"/>
    <w:rsid w:val="00A10FB9"/>
    <w:rsid w:val="00A11421"/>
    <w:rsid w:val="00A1389F"/>
    <w:rsid w:val="00A157B1"/>
    <w:rsid w:val="00A22229"/>
    <w:rsid w:val="00A24442"/>
    <w:rsid w:val="00A330BB"/>
    <w:rsid w:val="00A3584B"/>
    <w:rsid w:val="00A44882"/>
    <w:rsid w:val="00A45125"/>
    <w:rsid w:val="00A54715"/>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576D3"/>
    <w:rsid w:val="00B603C4"/>
    <w:rsid w:val="00B60E61"/>
    <w:rsid w:val="00B62B50"/>
    <w:rsid w:val="00B635B7"/>
    <w:rsid w:val="00B63AE8"/>
    <w:rsid w:val="00B650D2"/>
    <w:rsid w:val="00B65950"/>
    <w:rsid w:val="00B66D83"/>
    <w:rsid w:val="00B672C0"/>
    <w:rsid w:val="00B676FD"/>
    <w:rsid w:val="00B75646"/>
    <w:rsid w:val="00B90729"/>
    <w:rsid w:val="00B907DA"/>
    <w:rsid w:val="00B93102"/>
    <w:rsid w:val="00B94CD5"/>
    <w:rsid w:val="00B950BC"/>
    <w:rsid w:val="00B9714C"/>
    <w:rsid w:val="00BA29AD"/>
    <w:rsid w:val="00BA33CF"/>
    <w:rsid w:val="00BA3F8D"/>
    <w:rsid w:val="00BB7A10"/>
    <w:rsid w:val="00BC39C7"/>
    <w:rsid w:val="00BC3E8F"/>
    <w:rsid w:val="00BC60BE"/>
    <w:rsid w:val="00BC7468"/>
    <w:rsid w:val="00BC7D4F"/>
    <w:rsid w:val="00BC7ED7"/>
    <w:rsid w:val="00BD2850"/>
    <w:rsid w:val="00BD5345"/>
    <w:rsid w:val="00BE28D2"/>
    <w:rsid w:val="00BE4A64"/>
    <w:rsid w:val="00BE5E43"/>
    <w:rsid w:val="00BE7F06"/>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692C"/>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261F"/>
    <w:rsid w:val="00D66B79"/>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38C6"/>
    <w:rsid w:val="00E40181"/>
    <w:rsid w:val="00E419C8"/>
    <w:rsid w:val="00E54950"/>
    <w:rsid w:val="00E56A01"/>
    <w:rsid w:val="00E601B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C5DF4"/>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592"/>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24C"/>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815B5"/>
    <w:rsid w:val="00F84FA0"/>
    <w:rsid w:val="00F85195"/>
    <w:rsid w:val="00F868E3"/>
    <w:rsid w:val="00F938BA"/>
    <w:rsid w:val="00F97919"/>
    <w:rsid w:val="00FA1B81"/>
    <w:rsid w:val="00FA2C46"/>
    <w:rsid w:val="00FA3525"/>
    <w:rsid w:val="00FA5A53"/>
    <w:rsid w:val="00FB2551"/>
    <w:rsid w:val="00FB4769"/>
    <w:rsid w:val="00FB4CDA"/>
    <w:rsid w:val="00FB6481"/>
    <w:rsid w:val="00FB6D36"/>
    <w:rsid w:val="00FC0965"/>
    <w:rsid w:val="00FC0F81"/>
    <w:rsid w:val="00FC252F"/>
    <w:rsid w:val="00FC395C"/>
    <w:rsid w:val="00FC5E8E"/>
    <w:rsid w:val="00FC6D26"/>
    <w:rsid w:val="00FD3766"/>
    <w:rsid w:val="00FD47C4"/>
    <w:rsid w:val="00FD5A71"/>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7F5F7F0"/>
  <w15:docId w15:val="{96B4B3F3-0E5E-4D4C-8B07-A90BC2D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HHSbody">
    <w:name w:val="DHHS body"/>
    <w:uiPriority w:val="99"/>
    <w:qFormat/>
    <w:rsid w:val="008173B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236210"/>
    <w:pPr>
      <w:spacing w:after="40"/>
      <w:ind w:left="284" w:hanging="284"/>
    </w:pPr>
  </w:style>
  <w:style w:type="paragraph" w:customStyle="1" w:styleId="DHHSbullet2">
    <w:name w:val="DHHS bullet 2"/>
    <w:basedOn w:val="DHHSbody"/>
    <w:uiPriority w:val="2"/>
    <w:qFormat/>
    <w:rsid w:val="00236210"/>
    <w:pPr>
      <w:spacing w:after="40"/>
      <w:ind w:left="567" w:hanging="283"/>
    </w:pPr>
  </w:style>
  <w:style w:type="paragraph" w:customStyle="1" w:styleId="DHHSfooter">
    <w:name w:val="DHHS footer"/>
    <w:uiPriority w:val="11"/>
    <w:rsid w:val="00236210"/>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236210"/>
  </w:style>
  <w:style w:type="paragraph" w:styleId="ListParagraph">
    <w:name w:val="List Paragraph"/>
    <w:basedOn w:val="Normal"/>
    <w:uiPriority w:val="72"/>
    <w:semiHidden/>
    <w:qFormat/>
    <w:rsid w:val="000865AF"/>
    <w:pPr>
      <w:ind w:left="720"/>
      <w:contextualSpacing/>
    </w:pPr>
  </w:style>
  <w:style w:type="paragraph" w:styleId="NormalWeb">
    <w:name w:val="Normal (Web)"/>
    <w:basedOn w:val="Normal"/>
    <w:uiPriority w:val="99"/>
    <w:semiHidden/>
    <w:unhideWhenUsed/>
    <w:rsid w:val="009F490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891218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4577777">
      <w:bodyDiv w:val="1"/>
      <w:marLeft w:val="0"/>
      <w:marRight w:val="0"/>
      <w:marTop w:val="0"/>
      <w:marBottom w:val="0"/>
      <w:divBdr>
        <w:top w:val="none" w:sz="0" w:space="0" w:color="auto"/>
        <w:left w:val="none" w:sz="0" w:space="0" w:color="auto"/>
        <w:bottom w:val="none" w:sz="0" w:space="0" w:color="auto"/>
        <w:right w:val="none" w:sz="0" w:space="0" w:color="auto"/>
      </w:divBdr>
    </w:div>
    <w:div w:id="553009307">
      <w:bodyDiv w:val="1"/>
      <w:marLeft w:val="0"/>
      <w:marRight w:val="0"/>
      <w:marTop w:val="0"/>
      <w:marBottom w:val="0"/>
      <w:divBdr>
        <w:top w:val="none" w:sz="0" w:space="0" w:color="auto"/>
        <w:left w:val="none" w:sz="0" w:space="0" w:color="auto"/>
        <w:bottom w:val="none" w:sz="0" w:space="0" w:color="auto"/>
        <w:right w:val="none" w:sz="0" w:space="0" w:color="auto"/>
      </w:divBdr>
    </w:div>
    <w:div w:id="8119422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1230522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2230095">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hart" Target="charts/chart1.xml"/><Relationship Id="rId39" Type="http://schemas.openxmlformats.org/officeDocument/2006/relationships/hyperlink" Target="mailto:bloodmatters@redcrossblood.org.au?subject=Accessible%20document" TargetMode="External"/><Relationship Id="rId3" Type="http://schemas.openxmlformats.org/officeDocument/2006/relationships/customXml" Target="../customXml/item3.xml"/><Relationship Id="rId21" Type="http://schemas.openxmlformats.org/officeDocument/2006/relationships/hyperlink" Target="https://lifeblood.webex.com/lifeblood/j.php?RGID=rf45d8141968bb76184e29e3374698e5a" TargetMode="External"/><Relationship Id="rId34" Type="http://schemas.openxmlformats.org/officeDocument/2006/relationships/hyperlink" Target="https://urldefense.com/v3/__https:/lifeblood.webex.com/recordingservice/sites/lifeblood/recording/3d6d869b9a801039b77f005056baad9d/playback__;!!FNSAje27EPQO!9z4B_6kTDzMvUPqe14jyDtZuJza4nzuaLDPUzZhE7LJH45b0vpBE8c-eKrkcEPPKP-NdJ8UR$"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rfrench@redcrossblood.org.au" TargetMode="External"/><Relationship Id="rId33" Type="http://schemas.openxmlformats.org/officeDocument/2006/relationships/hyperlink" Target="https://www.youtube.com/watch?v=6Zc4QQJEijs" TargetMode="External"/><Relationship Id="rId38" Type="http://schemas.openxmlformats.org/officeDocument/2006/relationships/hyperlink" Target="mailto:bloodmatters@redcrossblood.org.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lifeblood.webex.com/lifeblood/j.php?RGID=re2404eb7a7d652ef4234acd08a86bc48" TargetMode="External"/><Relationship Id="rId29" Type="http://schemas.openxmlformats.org/officeDocument/2006/relationships/hyperlink" Target="https://www2.health.vic.gov.au/about/publications/researchandreports/covid-19-blood-matters-newsletters"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ifeblood.webex.com/lifeblood/j.php?RGID=r2d8670b79c29eeb8f24fdb43ac208c9b" TargetMode="External"/><Relationship Id="rId32" Type="http://schemas.openxmlformats.org/officeDocument/2006/relationships/hyperlink" Target="http://www.cmls.org.au/" TargetMode="External"/><Relationship Id="rId37" Type="http://schemas.openxmlformats.org/officeDocument/2006/relationships/hyperlink" Target="mailto:rfrench@redcrossblood.org.au" TargetMode="External"/><Relationship Id="rId40" Type="http://schemas.openxmlformats.org/officeDocument/2006/relationships/hyperlink" Target="https://www2.health.vic.gov.au/hospitals-and-health-services/patient-care/speciality-diagnostics-therapeutics/blood-matters/transfusion-science-blood-stewardship"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lifeblood.webex.com/lifeblood/j.php?RGID=r535ed89626036426dbcb0b8869537c5e" TargetMode="External"/><Relationship Id="rId28" Type="http://schemas.openxmlformats.org/officeDocument/2006/relationships/hyperlink" Target="https://anzsbt.org.au/guidelines-standards/anzsbt-guidelines/"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cid:image003.jpg@01D5E0F2.D78F07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lifeblood.webex.com/lifeblood/j.php?RGID=ra4ce210440a9d6705e1fd3e269f09766" TargetMode="External"/><Relationship Id="rId27" Type="http://schemas.openxmlformats.org/officeDocument/2006/relationships/image" Target="media/image4.emf"/><Relationship Id="rId30" Type="http://schemas.openxmlformats.org/officeDocument/2006/relationships/image" Target="media/image5.jpeg"/><Relationship Id="rId35" Type="http://schemas.openxmlformats.org/officeDocument/2006/relationships/header" Target="header5.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1\Branding%20and%20templates\New%20templates%20July%202021\Blood%20Matters%20DH%20red%20factshee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fpsou03\Bloodmatters$\Projects\2022\Scientist\Festive%20campaign\Festive%20campaign%20results%202014%20-%20202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1100">
                <a:latin typeface="Arial" panose="020B0604020202020204" pitchFamily="34" charset="0"/>
                <a:cs typeface="Arial" panose="020B0604020202020204" pitchFamily="34" charset="0"/>
              </a:rPr>
              <a:t>Festive</a:t>
            </a:r>
            <a:r>
              <a:rPr lang="en-AU" sz="1100" baseline="0">
                <a:latin typeface="Arial" panose="020B0604020202020204" pitchFamily="34" charset="0"/>
                <a:cs typeface="Arial" panose="020B0604020202020204" pitchFamily="34" charset="0"/>
              </a:rPr>
              <a:t> period RBC wastage 2014/15 - 2021/22</a:t>
            </a:r>
            <a:endParaRPr lang="en-AU" sz="11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4.8960133929753832E-2"/>
          <c:y val="9.6883256049765901E-2"/>
          <c:w val="0.92542789800763092"/>
          <c:h val="0.6814740905478418"/>
        </c:manualLayout>
      </c:layout>
      <c:lineChart>
        <c:grouping val="standard"/>
        <c:varyColors val="0"/>
        <c:ser>
          <c:idx val="0"/>
          <c:order val="0"/>
          <c:tx>
            <c:strRef>
              <c:f>'Loss Rate'!$C$1</c:f>
              <c:strCache>
                <c:ptCount val="1"/>
                <c:pt idx="0">
                  <c:v>Victorian RBC Waste</c:v>
                </c:pt>
              </c:strCache>
            </c:strRef>
          </c:tx>
          <c:spPr>
            <a:ln w="28575" cap="rnd">
              <a:solidFill>
                <a:srgbClr val="C00000"/>
              </a:solidFill>
              <a:round/>
            </a:ln>
            <a:effectLst/>
          </c:spPr>
          <c:marker>
            <c:symbol val="none"/>
          </c:marker>
          <c:dLbls>
            <c:dLbl>
              <c:idx val="29"/>
              <c:layout>
                <c:manualLayout>
                  <c:x val="-2.6753296388305127E-2"/>
                  <c:y val="7.124681933842239E-2"/>
                </c:manualLayout>
              </c:layout>
              <c:tx>
                <c:rich>
                  <a:bodyPr/>
                  <a:lstStyle/>
                  <a:p>
                    <a:fld id="{2CD26D83-5214-49C3-BE1A-B1280AB0B520}" type="VALUE">
                      <a:rPr lang="en-US" b="1">
                        <a:solidFill>
                          <a:srgbClr val="C00000"/>
                        </a:solidFill>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198-41C8-826A-4974444365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'Loss Rate'!$A$2:$B$33</c:f>
              <c:multiLvlStrCache>
                <c:ptCount val="32"/>
                <c:lvl>
                  <c:pt idx="0">
                    <c:v>Nov</c:v>
                  </c:pt>
                  <c:pt idx="1">
                    <c:v>Dec</c:v>
                  </c:pt>
                  <c:pt idx="2">
                    <c:v>Jan</c:v>
                  </c:pt>
                  <c:pt idx="3">
                    <c:v>Feb</c:v>
                  </c:pt>
                  <c:pt idx="4">
                    <c:v>Nov</c:v>
                  </c:pt>
                  <c:pt idx="5">
                    <c:v>Dec</c:v>
                  </c:pt>
                  <c:pt idx="6">
                    <c:v>Jan</c:v>
                  </c:pt>
                  <c:pt idx="7">
                    <c:v>Feb</c:v>
                  </c:pt>
                  <c:pt idx="8">
                    <c:v>Nov</c:v>
                  </c:pt>
                  <c:pt idx="9">
                    <c:v>Dec</c:v>
                  </c:pt>
                  <c:pt idx="10">
                    <c:v>Jan</c:v>
                  </c:pt>
                  <c:pt idx="11">
                    <c:v>Feb</c:v>
                  </c:pt>
                  <c:pt idx="12">
                    <c:v>Nov</c:v>
                  </c:pt>
                  <c:pt idx="13">
                    <c:v>Dec</c:v>
                  </c:pt>
                  <c:pt idx="14">
                    <c:v>Jan</c:v>
                  </c:pt>
                  <c:pt idx="15">
                    <c:v>Feb</c:v>
                  </c:pt>
                  <c:pt idx="16">
                    <c:v>Nov</c:v>
                  </c:pt>
                  <c:pt idx="17">
                    <c:v>Dec</c:v>
                  </c:pt>
                  <c:pt idx="18">
                    <c:v>Jan</c:v>
                  </c:pt>
                  <c:pt idx="19">
                    <c:v>Feb</c:v>
                  </c:pt>
                  <c:pt idx="20">
                    <c:v>Nov</c:v>
                  </c:pt>
                  <c:pt idx="21">
                    <c:v>Dec</c:v>
                  </c:pt>
                  <c:pt idx="22">
                    <c:v>Jan</c:v>
                  </c:pt>
                  <c:pt idx="23">
                    <c:v>Feb</c:v>
                  </c:pt>
                  <c:pt idx="24">
                    <c:v>Nov</c:v>
                  </c:pt>
                  <c:pt idx="25">
                    <c:v>Dec</c:v>
                  </c:pt>
                  <c:pt idx="26">
                    <c:v>Jan</c:v>
                  </c:pt>
                  <c:pt idx="27">
                    <c:v>Feb</c:v>
                  </c:pt>
                  <c:pt idx="28">
                    <c:v>Nov</c:v>
                  </c:pt>
                  <c:pt idx="29">
                    <c:v>Dec</c:v>
                  </c:pt>
                  <c:pt idx="30">
                    <c:v>Jan</c:v>
                  </c:pt>
                  <c:pt idx="31">
                    <c:v>Feb</c:v>
                  </c:pt>
                </c:lvl>
                <c:lvl>
                  <c:pt idx="0">
                    <c:v>2014-15</c:v>
                  </c:pt>
                  <c:pt idx="4">
                    <c:v>2015-16</c:v>
                  </c:pt>
                  <c:pt idx="8">
                    <c:v>2016-17</c:v>
                  </c:pt>
                  <c:pt idx="12">
                    <c:v>2017-18</c:v>
                  </c:pt>
                  <c:pt idx="16">
                    <c:v>2018-19</c:v>
                  </c:pt>
                  <c:pt idx="20">
                    <c:v>2019-20</c:v>
                  </c:pt>
                  <c:pt idx="24">
                    <c:v>2020-21</c:v>
                  </c:pt>
                  <c:pt idx="28">
                    <c:v>2021-22</c:v>
                  </c:pt>
                </c:lvl>
              </c:multiLvlStrCache>
            </c:multiLvlStrRef>
          </c:cat>
          <c:val>
            <c:numRef>
              <c:f>'Loss Rate'!$C$2:$C$33</c:f>
              <c:numCache>
                <c:formatCode>0.0%</c:formatCode>
                <c:ptCount val="32"/>
                <c:pt idx="0">
                  <c:v>4.2999999999999997E-2</c:v>
                </c:pt>
                <c:pt idx="1">
                  <c:v>4.9000000000000002E-2</c:v>
                </c:pt>
                <c:pt idx="2">
                  <c:v>5.5E-2</c:v>
                </c:pt>
                <c:pt idx="3">
                  <c:v>4.8000000000000001E-2</c:v>
                </c:pt>
                <c:pt idx="4">
                  <c:v>3.5000000000000003E-2</c:v>
                </c:pt>
                <c:pt idx="5">
                  <c:v>3.5000000000000003E-2</c:v>
                </c:pt>
                <c:pt idx="6">
                  <c:v>4.1000000000000002E-2</c:v>
                </c:pt>
                <c:pt idx="7">
                  <c:v>3.5999999999999997E-2</c:v>
                </c:pt>
                <c:pt idx="8">
                  <c:v>1.9E-2</c:v>
                </c:pt>
                <c:pt idx="9">
                  <c:v>2.1000000000000001E-2</c:v>
                </c:pt>
                <c:pt idx="10">
                  <c:v>1.7999999999999999E-2</c:v>
                </c:pt>
                <c:pt idx="11">
                  <c:v>2.1999999999999999E-2</c:v>
                </c:pt>
                <c:pt idx="12">
                  <c:v>2.1000000000000001E-2</c:v>
                </c:pt>
                <c:pt idx="13">
                  <c:v>2.1999999999999999E-2</c:v>
                </c:pt>
                <c:pt idx="14">
                  <c:v>2.1000000000000001E-2</c:v>
                </c:pt>
                <c:pt idx="15">
                  <c:v>1.7000000000000001E-2</c:v>
                </c:pt>
                <c:pt idx="16">
                  <c:v>1.7999999999999999E-2</c:v>
                </c:pt>
                <c:pt idx="17">
                  <c:v>1.9E-2</c:v>
                </c:pt>
                <c:pt idx="18">
                  <c:v>0.02</c:v>
                </c:pt>
                <c:pt idx="19">
                  <c:v>1.9E-2</c:v>
                </c:pt>
                <c:pt idx="20">
                  <c:v>2.1000000000000001E-2</c:v>
                </c:pt>
                <c:pt idx="21">
                  <c:v>1.6E-2</c:v>
                </c:pt>
                <c:pt idx="22">
                  <c:v>2.1999999999999999E-2</c:v>
                </c:pt>
                <c:pt idx="23">
                  <c:v>0.02</c:v>
                </c:pt>
                <c:pt idx="24">
                  <c:v>1.4E-2</c:v>
                </c:pt>
                <c:pt idx="25">
                  <c:v>1.4E-2</c:v>
                </c:pt>
                <c:pt idx="26">
                  <c:v>1.7000000000000001E-2</c:v>
                </c:pt>
                <c:pt idx="27">
                  <c:v>1.4999999999999999E-2</c:v>
                </c:pt>
                <c:pt idx="28">
                  <c:v>1.32E-2</c:v>
                </c:pt>
                <c:pt idx="29">
                  <c:v>1.2E-2</c:v>
                </c:pt>
              </c:numCache>
            </c:numRef>
          </c:val>
          <c:smooth val="0"/>
          <c:extLst>
            <c:ext xmlns:c16="http://schemas.microsoft.com/office/drawing/2014/chart" uri="{C3380CC4-5D6E-409C-BE32-E72D297353CC}">
              <c16:uniqueId val="{00000001-F198-41C8-826A-497444436523}"/>
            </c:ext>
          </c:extLst>
        </c:ser>
        <c:ser>
          <c:idx val="1"/>
          <c:order val="1"/>
          <c:tx>
            <c:strRef>
              <c:f>'Loss Rate'!$D$1</c:f>
              <c:strCache>
                <c:ptCount val="1"/>
                <c:pt idx="0">
                  <c:v>National RBC waste</c:v>
                </c:pt>
              </c:strCache>
            </c:strRef>
          </c:tx>
          <c:spPr>
            <a:ln w="28575" cap="rnd">
              <a:solidFill>
                <a:srgbClr val="0070C0"/>
              </a:solidFill>
              <a:round/>
            </a:ln>
            <a:effectLst/>
          </c:spPr>
          <c:marker>
            <c:symbol val="none"/>
          </c:marker>
          <c:dLbls>
            <c:dLbl>
              <c:idx val="29"/>
              <c:layout>
                <c:manualLayout>
                  <c:x val="-3.0575195872348557E-2"/>
                  <c:y val="-6.4461407972858292E-2"/>
                </c:manualLayout>
              </c:layout>
              <c:tx>
                <c:rich>
                  <a:bodyPr/>
                  <a:lstStyle/>
                  <a:p>
                    <a:fld id="{E4E85758-A364-4BD1-9EEA-D55F842DF94A}" type="VALUE">
                      <a:rPr lang="en-US" b="1">
                        <a:solidFill>
                          <a:srgbClr val="0070C0"/>
                        </a:solidFill>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198-41C8-826A-4974444365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'Loss Rate'!$A$2:$B$33</c:f>
              <c:multiLvlStrCache>
                <c:ptCount val="32"/>
                <c:lvl>
                  <c:pt idx="0">
                    <c:v>Nov</c:v>
                  </c:pt>
                  <c:pt idx="1">
                    <c:v>Dec</c:v>
                  </c:pt>
                  <c:pt idx="2">
                    <c:v>Jan</c:v>
                  </c:pt>
                  <c:pt idx="3">
                    <c:v>Feb</c:v>
                  </c:pt>
                  <c:pt idx="4">
                    <c:v>Nov</c:v>
                  </c:pt>
                  <c:pt idx="5">
                    <c:v>Dec</c:v>
                  </c:pt>
                  <c:pt idx="6">
                    <c:v>Jan</c:v>
                  </c:pt>
                  <c:pt idx="7">
                    <c:v>Feb</c:v>
                  </c:pt>
                  <c:pt idx="8">
                    <c:v>Nov</c:v>
                  </c:pt>
                  <c:pt idx="9">
                    <c:v>Dec</c:v>
                  </c:pt>
                  <c:pt idx="10">
                    <c:v>Jan</c:v>
                  </c:pt>
                  <c:pt idx="11">
                    <c:v>Feb</c:v>
                  </c:pt>
                  <c:pt idx="12">
                    <c:v>Nov</c:v>
                  </c:pt>
                  <c:pt idx="13">
                    <c:v>Dec</c:v>
                  </c:pt>
                  <c:pt idx="14">
                    <c:v>Jan</c:v>
                  </c:pt>
                  <c:pt idx="15">
                    <c:v>Feb</c:v>
                  </c:pt>
                  <c:pt idx="16">
                    <c:v>Nov</c:v>
                  </c:pt>
                  <c:pt idx="17">
                    <c:v>Dec</c:v>
                  </c:pt>
                  <c:pt idx="18">
                    <c:v>Jan</c:v>
                  </c:pt>
                  <c:pt idx="19">
                    <c:v>Feb</c:v>
                  </c:pt>
                  <c:pt idx="20">
                    <c:v>Nov</c:v>
                  </c:pt>
                  <c:pt idx="21">
                    <c:v>Dec</c:v>
                  </c:pt>
                  <c:pt idx="22">
                    <c:v>Jan</c:v>
                  </c:pt>
                  <c:pt idx="23">
                    <c:v>Feb</c:v>
                  </c:pt>
                  <c:pt idx="24">
                    <c:v>Nov</c:v>
                  </c:pt>
                  <c:pt idx="25">
                    <c:v>Dec</c:v>
                  </c:pt>
                  <c:pt idx="26">
                    <c:v>Jan</c:v>
                  </c:pt>
                  <c:pt idx="27">
                    <c:v>Feb</c:v>
                  </c:pt>
                  <c:pt idx="28">
                    <c:v>Nov</c:v>
                  </c:pt>
                  <c:pt idx="29">
                    <c:v>Dec</c:v>
                  </c:pt>
                  <c:pt idx="30">
                    <c:v>Jan</c:v>
                  </c:pt>
                  <c:pt idx="31">
                    <c:v>Feb</c:v>
                  </c:pt>
                </c:lvl>
                <c:lvl>
                  <c:pt idx="0">
                    <c:v>2014-15</c:v>
                  </c:pt>
                  <c:pt idx="4">
                    <c:v>2015-16</c:v>
                  </c:pt>
                  <c:pt idx="8">
                    <c:v>2016-17</c:v>
                  </c:pt>
                  <c:pt idx="12">
                    <c:v>2017-18</c:v>
                  </c:pt>
                  <c:pt idx="16">
                    <c:v>2018-19</c:v>
                  </c:pt>
                  <c:pt idx="20">
                    <c:v>2019-20</c:v>
                  </c:pt>
                  <c:pt idx="24">
                    <c:v>2020-21</c:v>
                  </c:pt>
                  <c:pt idx="28">
                    <c:v>2021-22</c:v>
                  </c:pt>
                </c:lvl>
              </c:multiLvlStrCache>
            </c:multiLvlStrRef>
          </c:cat>
          <c:val>
            <c:numRef>
              <c:f>'Loss Rate'!$D$2:$D$33</c:f>
              <c:numCache>
                <c:formatCode>0.0%</c:formatCode>
                <c:ptCount val="32"/>
                <c:pt idx="0">
                  <c:v>3.9E-2</c:v>
                </c:pt>
                <c:pt idx="1">
                  <c:v>4.3999999999999997E-2</c:v>
                </c:pt>
                <c:pt idx="2">
                  <c:v>5.0999999999999997E-2</c:v>
                </c:pt>
                <c:pt idx="3">
                  <c:v>4.1000000000000002E-2</c:v>
                </c:pt>
                <c:pt idx="4">
                  <c:v>2.9000000000000001E-2</c:v>
                </c:pt>
                <c:pt idx="5">
                  <c:v>0.03</c:v>
                </c:pt>
                <c:pt idx="6">
                  <c:v>3.6999999999999998E-2</c:v>
                </c:pt>
                <c:pt idx="7">
                  <c:v>0.03</c:v>
                </c:pt>
                <c:pt idx="8">
                  <c:v>2.4E-2</c:v>
                </c:pt>
                <c:pt idx="9">
                  <c:v>2.1999999999999999E-2</c:v>
                </c:pt>
                <c:pt idx="10">
                  <c:v>2.5999999999999999E-2</c:v>
                </c:pt>
                <c:pt idx="11">
                  <c:v>2.5000000000000001E-2</c:v>
                </c:pt>
                <c:pt idx="12">
                  <c:v>2.3E-2</c:v>
                </c:pt>
                <c:pt idx="13">
                  <c:v>2.4E-2</c:v>
                </c:pt>
                <c:pt idx="14">
                  <c:v>2.7E-2</c:v>
                </c:pt>
                <c:pt idx="15">
                  <c:v>2.5000000000000001E-2</c:v>
                </c:pt>
                <c:pt idx="16">
                  <c:v>2.1000000000000001E-2</c:v>
                </c:pt>
                <c:pt idx="17">
                  <c:v>2.1999999999999999E-2</c:v>
                </c:pt>
                <c:pt idx="18">
                  <c:v>2.3E-2</c:v>
                </c:pt>
                <c:pt idx="19">
                  <c:v>2.1999999999999999E-2</c:v>
                </c:pt>
                <c:pt idx="20">
                  <c:v>2.1000000000000001E-2</c:v>
                </c:pt>
                <c:pt idx="21">
                  <c:v>1.9E-2</c:v>
                </c:pt>
                <c:pt idx="22">
                  <c:v>2.5000000000000001E-2</c:v>
                </c:pt>
                <c:pt idx="23">
                  <c:v>2.1000000000000001E-2</c:v>
                </c:pt>
                <c:pt idx="24">
                  <c:v>1.6E-2</c:v>
                </c:pt>
                <c:pt idx="25">
                  <c:v>1.4999999999999999E-2</c:v>
                </c:pt>
                <c:pt idx="26">
                  <c:v>1.9E-2</c:v>
                </c:pt>
                <c:pt idx="27">
                  <c:v>1.7000000000000001E-2</c:v>
                </c:pt>
                <c:pt idx="28">
                  <c:v>1.7000000000000001E-2</c:v>
                </c:pt>
                <c:pt idx="29">
                  <c:v>1.7999999999999999E-2</c:v>
                </c:pt>
              </c:numCache>
            </c:numRef>
          </c:val>
          <c:smooth val="0"/>
          <c:extLst>
            <c:ext xmlns:c16="http://schemas.microsoft.com/office/drawing/2014/chart" uri="{C3380CC4-5D6E-409C-BE32-E72D297353CC}">
              <c16:uniqueId val="{00000002-F198-41C8-826A-497444436523}"/>
            </c:ext>
          </c:extLst>
        </c:ser>
        <c:dLbls>
          <c:showLegendKey val="0"/>
          <c:showVal val="0"/>
          <c:showCatName val="0"/>
          <c:showSerName val="0"/>
          <c:showPercent val="0"/>
          <c:showBubbleSize val="0"/>
        </c:dLbls>
        <c:smooth val="0"/>
        <c:axId val="1975862240"/>
        <c:axId val="1977442528"/>
      </c:lineChart>
      <c:catAx>
        <c:axId val="197586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77442528"/>
        <c:crosses val="autoZero"/>
        <c:auto val="1"/>
        <c:lblAlgn val="ctr"/>
        <c:lblOffset val="100"/>
        <c:noMultiLvlLbl val="0"/>
      </c:catAx>
      <c:valAx>
        <c:axId val="19774425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75862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0.27996</cdr:x>
      <cdr:y>0.09756</cdr:y>
    </cdr:from>
    <cdr:to>
      <cdr:x>0.28084</cdr:x>
      <cdr:y>0.83767</cdr:y>
    </cdr:to>
    <cdr:cxnSp macro="">
      <cdr:nvCxnSpPr>
        <cdr:cNvPr id="3" name="Straight Connector 2">
          <a:extLst xmlns:a="http://schemas.openxmlformats.org/drawingml/2006/main">
            <a:ext uri="{FF2B5EF4-FFF2-40B4-BE49-F238E27FC236}">
              <a16:creationId xmlns:a16="http://schemas.microsoft.com/office/drawing/2014/main" id="{4EBC70E3-ADC8-43DB-A052-89FF3702AD38}"/>
            </a:ext>
          </a:extLst>
        </cdr:cNvPr>
        <cdr:cNvCxnSpPr/>
      </cdr:nvCxnSpPr>
      <cdr:spPr>
        <a:xfrm xmlns:a="http://schemas.openxmlformats.org/drawingml/2006/main" flipH="1">
          <a:off x="2601170" y="592210"/>
          <a:ext cx="8176" cy="4492485"/>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0.51159</cdr:x>
      <cdr:y>0.09489</cdr:y>
    </cdr:from>
    <cdr:to>
      <cdr:x>0.51247</cdr:x>
      <cdr:y>0.83499</cdr:y>
    </cdr:to>
    <cdr:cxnSp macro="">
      <cdr:nvCxnSpPr>
        <cdr:cNvPr id="5" name="Straight Connector 4">
          <a:extLst xmlns:a="http://schemas.openxmlformats.org/drawingml/2006/main">
            <a:ext uri="{FF2B5EF4-FFF2-40B4-BE49-F238E27FC236}">
              <a16:creationId xmlns:a16="http://schemas.microsoft.com/office/drawing/2014/main" id="{9E8D7C3D-FBAC-4DE6-8F23-56C10BEA1C67}"/>
            </a:ext>
          </a:extLst>
        </cdr:cNvPr>
        <cdr:cNvCxnSpPr/>
      </cdr:nvCxnSpPr>
      <cdr:spPr>
        <a:xfrm xmlns:a="http://schemas.openxmlformats.org/drawingml/2006/main" flipH="1">
          <a:off x="4753266" y="576006"/>
          <a:ext cx="8177" cy="4492424"/>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0.3949</cdr:x>
      <cdr:y>0.09496</cdr:y>
    </cdr:from>
    <cdr:to>
      <cdr:x>0.39578</cdr:x>
      <cdr:y>0.83507</cdr:y>
    </cdr:to>
    <cdr:cxnSp macro="">
      <cdr:nvCxnSpPr>
        <cdr:cNvPr id="6" name="Straight Connector 5">
          <a:extLst xmlns:a="http://schemas.openxmlformats.org/drawingml/2006/main">
            <a:ext uri="{FF2B5EF4-FFF2-40B4-BE49-F238E27FC236}">
              <a16:creationId xmlns:a16="http://schemas.microsoft.com/office/drawing/2014/main" id="{52F23008-0F2A-4D55-83CA-FDDAE04BAE8F}"/>
            </a:ext>
          </a:extLst>
        </cdr:cNvPr>
        <cdr:cNvCxnSpPr/>
      </cdr:nvCxnSpPr>
      <cdr:spPr>
        <a:xfrm xmlns:a="http://schemas.openxmlformats.org/drawingml/2006/main" flipH="1">
          <a:off x="3669106" y="576409"/>
          <a:ext cx="8176" cy="4492485"/>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0.62738</cdr:x>
      <cdr:y>0.09632</cdr:y>
    </cdr:from>
    <cdr:to>
      <cdr:x>0.62826</cdr:x>
      <cdr:y>0.83642</cdr:y>
    </cdr:to>
    <cdr:cxnSp macro="">
      <cdr:nvCxnSpPr>
        <cdr:cNvPr id="7" name="Straight Connector 6">
          <a:extLst xmlns:a="http://schemas.openxmlformats.org/drawingml/2006/main">
            <a:ext uri="{FF2B5EF4-FFF2-40B4-BE49-F238E27FC236}">
              <a16:creationId xmlns:a16="http://schemas.microsoft.com/office/drawing/2014/main" id="{52F23008-0F2A-4D55-83CA-FDDAE04BAE8F}"/>
            </a:ext>
          </a:extLst>
        </cdr:cNvPr>
        <cdr:cNvCxnSpPr/>
      </cdr:nvCxnSpPr>
      <cdr:spPr>
        <a:xfrm xmlns:a="http://schemas.openxmlformats.org/drawingml/2006/main" flipH="1">
          <a:off x="5829156" y="584665"/>
          <a:ext cx="8176" cy="4492424"/>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0.74319</cdr:x>
      <cdr:y>0.09624</cdr:y>
    </cdr:from>
    <cdr:to>
      <cdr:x>0.74407</cdr:x>
      <cdr:y>0.83634</cdr:y>
    </cdr:to>
    <cdr:cxnSp macro="">
      <cdr:nvCxnSpPr>
        <cdr:cNvPr id="8" name="Straight Connector 7">
          <a:extLst xmlns:a="http://schemas.openxmlformats.org/drawingml/2006/main">
            <a:ext uri="{FF2B5EF4-FFF2-40B4-BE49-F238E27FC236}">
              <a16:creationId xmlns:a16="http://schemas.microsoft.com/office/drawing/2014/main" id="{52F23008-0F2A-4D55-83CA-FDDAE04BAE8F}"/>
            </a:ext>
          </a:extLst>
        </cdr:cNvPr>
        <cdr:cNvCxnSpPr/>
      </cdr:nvCxnSpPr>
      <cdr:spPr>
        <a:xfrm xmlns:a="http://schemas.openxmlformats.org/drawingml/2006/main" flipH="1">
          <a:off x="6905138" y="584200"/>
          <a:ext cx="8176" cy="4492424"/>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0.85801</cdr:x>
      <cdr:y>0.09489</cdr:y>
    </cdr:from>
    <cdr:to>
      <cdr:x>0.85889</cdr:x>
      <cdr:y>0.83499</cdr:y>
    </cdr:to>
    <cdr:cxnSp macro="">
      <cdr:nvCxnSpPr>
        <cdr:cNvPr id="9" name="Straight Connector 8">
          <a:extLst xmlns:a="http://schemas.openxmlformats.org/drawingml/2006/main">
            <a:ext uri="{FF2B5EF4-FFF2-40B4-BE49-F238E27FC236}">
              <a16:creationId xmlns:a16="http://schemas.microsoft.com/office/drawing/2014/main" id="{52F23008-0F2A-4D55-83CA-FDDAE04BAE8F}"/>
            </a:ext>
          </a:extLst>
        </cdr:cNvPr>
        <cdr:cNvCxnSpPr/>
      </cdr:nvCxnSpPr>
      <cdr:spPr>
        <a:xfrm xmlns:a="http://schemas.openxmlformats.org/drawingml/2006/main" flipH="1">
          <a:off x="7971979" y="576006"/>
          <a:ext cx="8176" cy="4492424"/>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0.97469</cdr:x>
      <cdr:y>0.09496</cdr:y>
    </cdr:from>
    <cdr:to>
      <cdr:x>0.97558</cdr:x>
      <cdr:y>0.83507</cdr:y>
    </cdr:to>
    <cdr:cxnSp macro="">
      <cdr:nvCxnSpPr>
        <cdr:cNvPr id="10" name="Straight Connector 9">
          <a:extLst xmlns:a="http://schemas.openxmlformats.org/drawingml/2006/main">
            <a:ext uri="{FF2B5EF4-FFF2-40B4-BE49-F238E27FC236}">
              <a16:creationId xmlns:a16="http://schemas.microsoft.com/office/drawing/2014/main" id="{52F23008-0F2A-4D55-83CA-FDDAE04BAE8F}"/>
            </a:ext>
          </a:extLst>
        </cdr:cNvPr>
        <cdr:cNvCxnSpPr/>
      </cdr:nvCxnSpPr>
      <cdr:spPr>
        <a:xfrm xmlns:a="http://schemas.openxmlformats.org/drawingml/2006/main" flipH="1">
          <a:off x="9058494" y="576318"/>
          <a:ext cx="8211" cy="4491531"/>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0.1639</cdr:x>
      <cdr:y>0.09539</cdr:y>
    </cdr:from>
    <cdr:to>
      <cdr:x>0.16478</cdr:x>
      <cdr:y>0.8355</cdr:y>
    </cdr:to>
    <cdr:cxnSp macro="">
      <cdr:nvCxnSpPr>
        <cdr:cNvPr id="11" name="Straight Connector 10">
          <a:extLst xmlns:a="http://schemas.openxmlformats.org/drawingml/2006/main">
            <a:ext uri="{FF2B5EF4-FFF2-40B4-BE49-F238E27FC236}">
              <a16:creationId xmlns:a16="http://schemas.microsoft.com/office/drawing/2014/main" id="{D6575ED3-20D7-4C27-9146-135C68386F36}"/>
            </a:ext>
          </a:extLst>
        </cdr:cNvPr>
        <cdr:cNvCxnSpPr/>
      </cdr:nvCxnSpPr>
      <cdr:spPr>
        <a:xfrm xmlns:a="http://schemas.openxmlformats.org/drawingml/2006/main" flipH="1">
          <a:off x="1522845" y="579004"/>
          <a:ext cx="8176" cy="4492485"/>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D63BA-B351-43B1-A975-E7FD9CE6B7A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f9efe166-4f28-4f85-8235-ea2c89133434"/>
    <ds:schemaRef ds:uri="http://purl.org/dc/dcmitype/"/>
    <ds:schemaRef ds:uri="71bad440-a7e7-46c6-81bd-18ed54663c6a"/>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Blood Matters DH red factsheet.dotx</Template>
  <TotalTime>0</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Blood Matters on the Bench and Beyond February 2022</vt:lpstr>
    </vt:vector>
  </TitlesOfParts>
  <Manager/>
  <Company>Victoria State Government, Department of Health, Blood Matters</Company>
  <LinksUpToDate>false</LinksUpToDate>
  <CharactersWithSpaces>8795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on the Bench and Beyond February 2022</dc:title>
  <dc:subject/>
  <dc:creator>Blood Matters (VIC)</dc:creator>
  <cp:keywords/>
  <dc:description/>
  <cp:lastModifiedBy>Kate Nichols (Health)</cp:lastModifiedBy>
  <cp:revision>2</cp:revision>
  <cp:lastPrinted>2020-03-30T03:28:00Z</cp:lastPrinted>
  <dcterms:created xsi:type="dcterms:W3CDTF">2022-02-21T00:07:00Z</dcterms:created>
  <dcterms:modified xsi:type="dcterms:W3CDTF">2022-02-21T00:07:00Z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2022-02-21T00:07:25Z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