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457A5D" w:rsidRPr="00431F42" w14:paraId="79BE1695" w14:textId="77777777" w:rsidTr="0058234E">
        <w:trPr>
          <w:cantSplit/>
        </w:trPr>
        <w:tc>
          <w:tcPr>
            <w:tcW w:w="0" w:type="auto"/>
            <w:tcMar>
              <w:top w:w="0" w:type="dxa"/>
              <w:left w:w="0" w:type="dxa"/>
              <w:right w:w="0" w:type="dxa"/>
            </w:tcMar>
          </w:tcPr>
          <w:p w14:paraId="12344169" w14:textId="24FD6022" w:rsidR="00721E5D" w:rsidRPr="00431F42" w:rsidRDefault="00457A5D" w:rsidP="0058234E">
            <w:pPr>
              <w:pStyle w:val="Documenttitle"/>
            </w:pPr>
            <w:r w:rsidRPr="00BF577E">
              <w:t xml:space="preserve">Victorian </w:t>
            </w:r>
            <w:r w:rsidR="00A31B2B">
              <w:t>g</w:t>
            </w:r>
            <w:r w:rsidRPr="00BF577E">
              <w:t xml:space="preserve">uidelines for </w:t>
            </w:r>
            <w:r w:rsidR="00A31B2B">
              <w:t>m</w:t>
            </w:r>
            <w:r w:rsidRPr="00BF577E">
              <w:t xml:space="preserve">anaging HIV </w:t>
            </w:r>
            <w:r w:rsidR="00A31B2B">
              <w:t>t</w:t>
            </w:r>
            <w:r w:rsidRPr="00BF577E">
              <w:t xml:space="preserve">ransmission </w:t>
            </w:r>
            <w:r w:rsidR="00A31B2B">
              <w:t>r</w:t>
            </w:r>
            <w:r w:rsidRPr="00BF577E">
              <w:t xml:space="preserve">isk </w:t>
            </w:r>
            <w:r w:rsidR="00A31B2B">
              <w:t>b</w:t>
            </w:r>
            <w:r w:rsidRPr="00BF577E">
              <w:t>ehaviours (2021)</w:t>
            </w:r>
          </w:p>
        </w:tc>
      </w:tr>
      <w:tr w:rsidR="00457A5D" w14:paraId="26C6E37A" w14:textId="77777777" w:rsidTr="0058234E">
        <w:trPr>
          <w:cantSplit/>
        </w:trPr>
        <w:tc>
          <w:tcPr>
            <w:tcW w:w="0" w:type="auto"/>
          </w:tcPr>
          <w:p w14:paraId="42753D8B" w14:textId="77777777" w:rsidR="00457A5D" w:rsidRDefault="00D705C9" w:rsidP="0058234E">
            <w:pPr>
              <w:pStyle w:val="Bannermarking"/>
            </w:pPr>
            <w:fldSimple w:instr="FILLIN  &quot;Type the protective marking&quot; \d OFFICIAL \o  \* MERGEFORMAT">
              <w:r w:rsidR="00457A5D">
                <w:t>OFFICIAL</w:t>
              </w:r>
            </w:fldSimple>
          </w:p>
        </w:tc>
      </w:tr>
    </w:tbl>
    <w:p w14:paraId="37617F8B" w14:textId="497896DC" w:rsidR="00002990" w:rsidRPr="009439E8" w:rsidRDefault="00D42C6B" w:rsidP="00A55989">
      <w:pPr>
        <w:pStyle w:val="DHHSbodynospace"/>
      </w:pPr>
      <w:r>
        <w:rPr>
          <w:noProof/>
        </w:rPr>
        <w:drawing>
          <wp:anchor distT="0" distB="0" distL="114300" distR="114300" simplePos="0" relativeHeight="251656704" behindDoc="1" locked="1" layoutInCell="1" allowOverlap="0" wp14:anchorId="54CCA6D2" wp14:editId="36DFEDEB">
            <wp:simplePos x="0" y="0"/>
            <wp:positionH relativeFrom="page">
              <wp:posOffset>1905</wp:posOffset>
            </wp:positionH>
            <wp:positionV relativeFrom="page">
              <wp:posOffset>635</wp:posOffset>
            </wp:positionV>
            <wp:extent cx="7555865" cy="10146665"/>
            <wp:effectExtent l="0" t="0" r="635" b="635"/>
            <wp:wrapNone/>
            <wp:docPr id="1" name="Picture 1"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8"/>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9439E8" w14:paraId="253E498B" w14:textId="77777777" w:rsidTr="00457A5D">
        <w:trPr>
          <w:trHeight w:val="4664"/>
        </w:trPr>
        <w:tc>
          <w:tcPr>
            <w:tcW w:w="7938" w:type="dxa"/>
            <w:shd w:val="clear" w:color="auto" w:fill="auto"/>
          </w:tcPr>
          <w:p w14:paraId="20B6F0BD" w14:textId="77777777" w:rsidR="00BC01C1" w:rsidRPr="009439E8" w:rsidRDefault="00BC01C1" w:rsidP="004F3441">
            <w:pPr>
              <w:pStyle w:val="Coverinstructions"/>
            </w:pPr>
          </w:p>
        </w:tc>
      </w:tr>
    </w:tbl>
    <w:p w14:paraId="61982CE4" w14:textId="77777777" w:rsidR="00C51B1C" w:rsidRPr="009439E8" w:rsidRDefault="00C51B1C" w:rsidP="00CA6D4E">
      <w:pPr>
        <w:pStyle w:val="DHHSbodynospace"/>
        <w:sectPr w:rsidR="00C51B1C" w:rsidRPr="009439E8" w:rsidSect="00A55989">
          <w:headerReference w:type="even" r:id="rId9"/>
          <w:headerReference w:type="default" r:id="rId10"/>
          <w:footerReference w:type="even" r:id="rId11"/>
          <w:footerReference w:type="default" r:id="rId12"/>
          <w:headerReference w:type="first" r:id="rId13"/>
          <w:footerReference w:type="first" r:id="rId14"/>
          <w:type w:val="oddPage"/>
          <w:pgSz w:w="11906" w:h="16838"/>
          <w:pgMar w:top="3969" w:right="1304" w:bottom="1134" w:left="1304" w:header="454" w:footer="567" w:gutter="0"/>
          <w:cols w:space="720"/>
          <w:docGrid w:linePitch="360"/>
        </w:sectPr>
      </w:pPr>
    </w:p>
    <w:p w14:paraId="43BDC6CD" w14:textId="738CB400" w:rsidR="00AC0C3B" w:rsidRPr="009439E8" w:rsidRDefault="00AC0C3B" w:rsidP="00A31B2B">
      <w:pPr>
        <w:pStyle w:val="DHHSbody"/>
      </w:pPr>
    </w:p>
    <w:tbl>
      <w:tblPr>
        <w:tblW w:w="0" w:type="auto"/>
        <w:tblInd w:w="1701" w:type="dxa"/>
        <w:tblCellMar>
          <w:left w:w="0" w:type="dxa"/>
          <w:right w:w="0" w:type="dxa"/>
        </w:tblCellMar>
        <w:tblLook w:val="04A0" w:firstRow="1" w:lastRow="0" w:firstColumn="1" w:lastColumn="0" w:noHBand="0" w:noVBand="1"/>
      </w:tblPr>
      <w:tblGrid>
        <w:gridCol w:w="7597"/>
      </w:tblGrid>
      <w:tr w:rsidR="00DE24E6" w:rsidRPr="009439E8" w14:paraId="75F5782C" w14:textId="77777777" w:rsidTr="00CA6D4E">
        <w:trPr>
          <w:trHeight w:val="7402"/>
        </w:trPr>
        <w:tc>
          <w:tcPr>
            <w:tcW w:w="9298" w:type="dxa"/>
            <w:shd w:val="clear" w:color="auto" w:fill="auto"/>
            <w:vAlign w:val="center"/>
          </w:tcPr>
          <w:p w14:paraId="21DEE477" w14:textId="2E81E60B" w:rsidR="00A31B2B" w:rsidRPr="009439E8" w:rsidRDefault="00A31B2B" w:rsidP="0075383D">
            <w:pPr>
              <w:pStyle w:val="Documenttitle"/>
            </w:pPr>
            <w:r w:rsidRPr="009439E8">
              <w:rPr>
                <w:noProof/>
                <w:lang w:eastAsia="en-AU"/>
              </w:rPr>
              <mc:AlternateContent>
                <mc:Choice Requires="wps">
                  <w:drawing>
                    <wp:anchor distT="0" distB="0" distL="114300" distR="114300" simplePos="0" relativeHeight="251654656" behindDoc="0" locked="0" layoutInCell="1" allowOverlap="1" wp14:anchorId="7EEF6026" wp14:editId="4048977A">
                      <wp:simplePos x="0" y="0"/>
                      <wp:positionH relativeFrom="column">
                        <wp:posOffset>4572000</wp:posOffset>
                      </wp:positionH>
                      <wp:positionV relativeFrom="paragraph">
                        <wp:posOffset>10172700</wp:posOffset>
                      </wp:positionV>
                      <wp:extent cx="2514600" cy="342900"/>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34DDE" w14:textId="77777777" w:rsidR="0092724D" w:rsidRDefault="0092724D" w:rsidP="00A31B2B">
                                  <w:pPr>
                                    <w:jc w:val="right"/>
                                  </w:pPr>
                                  <w:r w:rsidRPr="000147AF">
                                    <w:rPr>
                                      <w:rFonts w:ascii="Arial" w:hAnsi="Arial" w:cs="Arial"/>
                                      <w:color w:val="808080"/>
                                      <w:sz w:val="22"/>
                                      <w:szCs w:val="2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EF6026" id="_x0000_t202" coordsize="21600,21600" o:spt="202" path="m,l,21600r21600,l21600,xe">
                      <v:stroke joinstyle="miter"/>
                      <v:path gradientshapeok="t" o:connecttype="rect"/>
                    </v:shapetype>
                    <v:shape id="Text Box 43" o:spid="_x0000_s1026" type="#_x0000_t202" style="position:absolute;margin-left:5in;margin-top:801pt;width:198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" filled="f" stroked="f">
                      <v:textbox>
                        <w:txbxContent>
                          <w:p w14:paraId="07534DDE" w14:textId="77777777" w:rsidR="0092724D" w:rsidRDefault="0092724D" w:rsidP="00A31B2B">
                            <w:pPr>
                              <w:jc w:val="right"/>
                            </w:pPr>
                            <w:r w:rsidRPr="000147AF">
                              <w:rPr>
                                <w:rFonts w:ascii="Arial" w:hAnsi="Arial" w:cs="Arial"/>
                                <w:color w:val="808080"/>
                                <w:sz w:val="22"/>
                                <w:szCs w:val="22"/>
                              </w:rPr>
                              <w:t>Department of Health</w:t>
                            </w:r>
                          </w:p>
                        </w:txbxContent>
                      </v:textbox>
                    </v:shape>
                  </w:pict>
                </mc:Fallback>
              </mc:AlternateContent>
            </w:r>
            <w:r w:rsidRPr="009439E8">
              <w:t xml:space="preserve">Victorian guidelines for </w:t>
            </w:r>
            <w:r w:rsidRPr="008B360D">
              <w:t>managing HIV transmission risk behaviours</w:t>
            </w:r>
          </w:p>
          <w:p w14:paraId="62807AD7" w14:textId="7E2CA775" w:rsidR="00BB47D7" w:rsidRPr="009439E8" w:rsidRDefault="00B35B3B" w:rsidP="00A31B2B">
            <w:pPr>
              <w:pStyle w:val="DHHSreportsubtitle"/>
            </w:pPr>
            <w:r>
              <w:t xml:space="preserve">December </w:t>
            </w:r>
            <w:r w:rsidR="00A31B2B">
              <w:t>2021</w:t>
            </w:r>
          </w:p>
        </w:tc>
      </w:tr>
      <w:tr w:rsidR="009906C7" w:rsidRPr="009439E8" w14:paraId="381B5E5D" w14:textId="77777777" w:rsidTr="009906C7">
        <w:tc>
          <w:tcPr>
            <w:tcW w:w="9298" w:type="dxa"/>
            <w:shd w:val="clear" w:color="auto" w:fill="auto"/>
            <w:vAlign w:val="center"/>
          </w:tcPr>
          <w:p w14:paraId="651029AA" w14:textId="77777777" w:rsidR="009906C7" w:rsidRPr="009439E8" w:rsidRDefault="009906C7" w:rsidP="009906C7">
            <w:pPr>
              <w:pStyle w:val="DHHSbody"/>
            </w:pPr>
          </w:p>
        </w:tc>
      </w:tr>
    </w:tbl>
    <w:p w14:paraId="0CFFD614" w14:textId="77777777" w:rsidR="00CA6D4E" w:rsidRPr="009439E8" w:rsidRDefault="00CA6D4E" w:rsidP="00CA6D4E">
      <w:pPr>
        <w:pStyle w:val="DHHSbodynospace"/>
      </w:pPr>
    </w:p>
    <w:p w14:paraId="4DC46AE5" w14:textId="77777777" w:rsidR="00AC0C3B" w:rsidRPr="009439E8" w:rsidRDefault="00C81BA6" w:rsidP="00CA6D4E">
      <w:pPr>
        <w:pStyle w:val="DHHSbodynospace"/>
      </w:pPr>
      <w:r w:rsidRPr="009439E8">
        <w:br w:type="page"/>
      </w:r>
    </w:p>
    <w:tbl>
      <w:tblPr>
        <w:tblW w:w="0" w:type="auto"/>
        <w:tblCellMar>
          <w:top w:w="113" w:type="dxa"/>
          <w:left w:w="0" w:type="dxa"/>
          <w:bottom w:w="57" w:type="dxa"/>
          <w:right w:w="0" w:type="dxa"/>
        </w:tblCellMar>
        <w:tblLook w:val="00A0" w:firstRow="1" w:lastRow="0" w:firstColumn="1" w:lastColumn="0" w:noHBand="0" w:noVBand="0"/>
      </w:tblPr>
      <w:tblGrid>
        <w:gridCol w:w="9298"/>
      </w:tblGrid>
      <w:tr w:rsidR="00564E8F" w:rsidRPr="009439E8" w14:paraId="67D92031" w14:textId="77777777" w:rsidTr="00564E8F">
        <w:trPr>
          <w:trHeight w:val="4313"/>
        </w:trPr>
        <w:tc>
          <w:tcPr>
            <w:tcW w:w="9401" w:type="dxa"/>
          </w:tcPr>
          <w:p w14:paraId="2ADFD41D" w14:textId="44AD5D3B" w:rsidR="00564E8F" w:rsidRPr="009439E8" w:rsidRDefault="00564E8F" w:rsidP="00DC0A37">
            <w:pPr>
              <w:pStyle w:val="DHHSbody"/>
              <w:rPr>
                <w:color w:val="D50032"/>
                <w:sz w:val="26"/>
                <w:szCs w:val="26"/>
              </w:rPr>
            </w:pPr>
          </w:p>
        </w:tc>
      </w:tr>
      <w:tr w:rsidR="00564E8F" w:rsidRPr="009439E8" w14:paraId="637274D4" w14:textId="77777777" w:rsidTr="001F09DC">
        <w:trPr>
          <w:trHeight w:val="6336"/>
        </w:trPr>
        <w:tc>
          <w:tcPr>
            <w:tcW w:w="9401" w:type="dxa"/>
            <w:vAlign w:val="bottom"/>
          </w:tcPr>
          <w:p w14:paraId="0FB4F8D5" w14:textId="4302D4A5" w:rsidR="00605B5B" w:rsidRPr="009439E8" w:rsidRDefault="00605B5B" w:rsidP="00605B5B">
            <w:pPr>
              <w:spacing w:after="200" w:line="300" w:lineRule="atLeast"/>
              <w:rPr>
                <w:rFonts w:ascii="Arial" w:eastAsia="Times" w:hAnsi="Arial"/>
                <w:sz w:val="24"/>
                <w:szCs w:val="19"/>
              </w:rPr>
            </w:pPr>
            <w:r w:rsidRPr="009439E8">
              <w:rPr>
                <w:rFonts w:ascii="Arial" w:eastAsia="Times" w:hAnsi="Arial"/>
                <w:sz w:val="24"/>
                <w:szCs w:val="19"/>
              </w:rPr>
              <w:t xml:space="preserve">To receive this publication in an accessible format phone </w:t>
            </w:r>
            <w:r w:rsidR="0092724D" w:rsidRPr="003B7221">
              <w:rPr>
                <w:rFonts w:ascii="Arial" w:eastAsia="Times" w:hAnsi="Arial"/>
                <w:sz w:val="24"/>
                <w:szCs w:val="19"/>
              </w:rPr>
              <w:t>1300 650 172</w:t>
            </w:r>
            <w:r w:rsidR="0092724D">
              <w:rPr>
                <w:rFonts w:ascii="Arial" w:eastAsia="Times" w:hAnsi="Arial"/>
                <w:color w:val="D50032"/>
                <w:sz w:val="24"/>
                <w:szCs w:val="19"/>
              </w:rPr>
              <w:t xml:space="preserve"> </w:t>
            </w:r>
            <w:r w:rsidRPr="009439E8">
              <w:rPr>
                <w:rFonts w:ascii="Arial" w:eastAsia="Times" w:hAnsi="Arial"/>
                <w:sz w:val="24"/>
                <w:szCs w:val="19"/>
              </w:rPr>
              <w:t xml:space="preserve">using the National Relay Service 13 36 77 if required, or email </w:t>
            </w:r>
            <w:r w:rsidRPr="003B7221">
              <w:rPr>
                <w:rFonts w:ascii="Arial" w:eastAsia="Times" w:hAnsi="Arial"/>
                <w:sz w:val="24"/>
                <w:szCs w:val="19"/>
              </w:rPr>
              <w:t>&lt;</w:t>
            </w:r>
            <w:r w:rsidR="006925E5">
              <w:rPr>
                <w:rFonts w:ascii="Arial" w:eastAsia="Times" w:hAnsi="Arial"/>
                <w:sz w:val="24"/>
                <w:szCs w:val="19"/>
              </w:rPr>
              <w:t>i</w:t>
            </w:r>
            <w:r w:rsidR="003B7221" w:rsidRPr="003B7221">
              <w:rPr>
                <w:rFonts w:ascii="Arial" w:eastAsia="Times" w:hAnsi="Arial"/>
                <w:sz w:val="24"/>
                <w:szCs w:val="19"/>
              </w:rPr>
              <w:t>nfectious.</w:t>
            </w:r>
            <w:r w:rsidR="003B7221">
              <w:rPr>
                <w:rFonts w:ascii="Arial" w:eastAsia="Times" w:hAnsi="Arial"/>
                <w:sz w:val="24"/>
                <w:szCs w:val="19"/>
              </w:rPr>
              <w:t>d</w:t>
            </w:r>
            <w:r w:rsidR="003B7221" w:rsidRPr="003B7221">
              <w:rPr>
                <w:rFonts w:ascii="Arial" w:eastAsia="Times" w:hAnsi="Arial"/>
                <w:sz w:val="24"/>
                <w:szCs w:val="19"/>
              </w:rPr>
              <w:t>iseases@health.vic.gov.au</w:t>
            </w:r>
            <w:r w:rsidRPr="003B7221">
              <w:rPr>
                <w:rFonts w:ascii="Arial" w:eastAsia="Times" w:hAnsi="Arial"/>
                <w:sz w:val="24"/>
                <w:szCs w:val="19"/>
              </w:rPr>
              <w:t>&gt;</w:t>
            </w:r>
          </w:p>
          <w:p w14:paraId="2CBAAE9D" w14:textId="77777777" w:rsidR="00605B5B" w:rsidRPr="009439E8" w:rsidRDefault="00605B5B" w:rsidP="00605B5B">
            <w:pPr>
              <w:spacing w:after="120" w:line="270" w:lineRule="atLeast"/>
              <w:rPr>
                <w:rFonts w:ascii="Arial" w:eastAsia="Times" w:hAnsi="Arial"/>
              </w:rPr>
            </w:pPr>
            <w:r w:rsidRPr="009439E8">
              <w:rPr>
                <w:rFonts w:ascii="Arial" w:eastAsia="Times" w:hAnsi="Arial"/>
              </w:rPr>
              <w:t>Authorised and published by the Victorian Government, 1 Treasury Place, Melbourne.</w:t>
            </w:r>
          </w:p>
          <w:p w14:paraId="10C98F76" w14:textId="2A6319A0" w:rsidR="00605B5B" w:rsidRPr="009439E8" w:rsidRDefault="00605B5B" w:rsidP="00605B5B">
            <w:pPr>
              <w:spacing w:after="120" w:line="270" w:lineRule="atLeast"/>
              <w:rPr>
                <w:rFonts w:ascii="Arial" w:eastAsia="Times" w:hAnsi="Arial"/>
              </w:rPr>
            </w:pPr>
            <w:r w:rsidRPr="009439E8">
              <w:rPr>
                <w:rFonts w:ascii="Arial" w:eastAsia="Times" w:hAnsi="Arial"/>
              </w:rPr>
              <w:t>© State of Victoria, Department of Health</w:t>
            </w:r>
            <w:r w:rsidR="00A31B2B">
              <w:rPr>
                <w:rFonts w:ascii="Arial" w:eastAsia="Times" w:hAnsi="Arial"/>
              </w:rPr>
              <w:t>, December 2021.</w:t>
            </w:r>
          </w:p>
          <w:p w14:paraId="2C69520B" w14:textId="10112400" w:rsidR="00605B5B" w:rsidRPr="0092724D" w:rsidRDefault="00605B5B" w:rsidP="00605B5B">
            <w:pPr>
              <w:spacing w:after="120" w:line="270" w:lineRule="atLeast"/>
              <w:rPr>
                <w:rFonts w:ascii="Arial" w:eastAsia="Times" w:hAnsi="Arial"/>
              </w:rPr>
            </w:pPr>
            <w:r w:rsidRPr="009439E8">
              <w:rPr>
                <w:rFonts w:ascii="Arial" w:eastAsia="Times" w:hAnsi="Arial"/>
                <w:szCs w:val="19"/>
              </w:rPr>
              <w:t xml:space="preserve">Available at </w:t>
            </w:r>
            <w:r w:rsidRPr="0092724D">
              <w:rPr>
                <w:rFonts w:ascii="Arial" w:eastAsia="Times" w:hAnsi="Arial"/>
              </w:rPr>
              <w:t>&lt;</w:t>
            </w:r>
            <w:r w:rsidR="0092724D" w:rsidRPr="0092724D">
              <w:rPr>
                <w:rFonts w:ascii="Arial" w:eastAsia="Times" w:hAnsi="Arial"/>
              </w:rPr>
              <w:t>https://www.health.vic.gov.au/publications/policies-and-guidelines&gt;</w:t>
            </w:r>
          </w:p>
          <w:p w14:paraId="5F7D42A4" w14:textId="179B24B0" w:rsidR="00564E8F" w:rsidRPr="009439E8" w:rsidRDefault="00564E8F" w:rsidP="00605B5B">
            <w:pPr>
              <w:pStyle w:val="DHHSbody"/>
            </w:pPr>
          </w:p>
        </w:tc>
      </w:tr>
      <w:tr w:rsidR="009906C7" w:rsidRPr="009439E8" w14:paraId="3C12C951" w14:textId="77777777" w:rsidTr="009906C7">
        <w:tc>
          <w:tcPr>
            <w:tcW w:w="9401" w:type="dxa"/>
            <w:vAlign w:val="bottom"/>
          </w:tcPr>
          <w:p w14:paraId="38F8CE65" w14:textId="77777777" w:rsidR="009906C7" w:rsidRPr="009439E8" w:rsidRDefault="009906C7" w:rsidP="009906C7">
            <w:pPr>
              <w:pStyle w:val="DHHSbody"/>
            </w:pPr>
          </w:p>
        </w:tc>
      </w:tr>
    </w:tbl>
    <w:p w14:paraId="37C1ECFC" w14:textId="77777777" w:rsidR="00ED4D17" w:rsidRPr="009439E8" w:rsidRDefault="00ED4D17" w:rsidP="003072C6">
      <w:pPr>
        <w:pStyle w:val="DHHSbody"/>
      </w:pPr>
    </w:p>
    <w:p w14:paraId="25AD611B" w14:textId="77777777" w:rsidR="00AC0C3B" w:rsidRPr="009439E8" w:rsidRDefault="00AC0C3B" w:rsidP="00E91933">
      <w:pPr>
        <w:pStyle w:val="DHHSbody"/>
        <w:sectPr w:rsidR="00AC0C3B" w:rsidRPr="009439E8" w:rsidSect="00C51B1C">
          <w:pgSz w:w="11906" w:h="16838"/>
          <w:pgMar w:top="1701" w:right="1304" w:bottom="1134" w:left="1304" w:header="454" w:footer="567" w:gutter="0"/>
          <w:cols w:space="720"/>
          <w:docGrid w:linePitch="360"/>
        </w:sectPr>
      </w:pPr>
    </w:p>
    <w:p w14:paraId="07730F52" w14:textId="77777777" w:rsidR="00FF59B8" w:rsidRPr="009439E8" w:rsidRDefault="00FF59B8" w:rsidP="0075383D">
      <w:pPr>
        <w:pStyle w:val="DHHSTOCheadingreport"/>
      </w:pPr>
      <w:bookmarkStart w:id="0" w:name="_Toc442704387"/>
      <w:r w:rsidRPr="009439E8">
        <w:lastRenderedPageBreak/>
        <w:t>Contents</w:t>
      </w:r>
    </w:p>
    <w:p w14:paraId="344B39A3" w14:textId="3A778572" w:rsidR="00470E40" w:rsidRDefault="00CB4783">
      <w:pPr>
        <w:pStyle w:val="TOC1"/>
        <w:rPr>
          <w:rFonts w:asciiTheme="minorHAnsi" w:eastAsiaTheme="minorEastAsia" w:hAnsiTheme="minorHAnsi" w:cstheme="minorBidi"/>
          <w:b w:val="0"/>
          <w:sz w:val="22"/>
          <w:szCs w:val="22"/>
          <w:lang w:eastAsia="en-AU"/>
        </w:rPr>
      </w:pPr>
      <w:r w:rsidRPr="009439E8">
        <w:rPr>
          <w:noProof w:val="0"/>
        </w:rPr>
        <w:fldChar w:fldCharType="begin"/>
      </w:r>
      <w:r w:rsidRPr="009439E8">
        <w:rPr>
          <w:noProof w:val="0"/>
        </w:rPr>
        <w:instrText xml:space="preserve"> TOC \h \z \t "Heading 1,1,Heading 2,2" </w:instrText>
      </w:r>
      <w:r w:rsidRPr="009439E8">
        <w:rPr>
          <w:noProof w:val="0"/>
        </w:rPr>
        <w:fldChar w:fldCharType="separate"/>
      </w:r>
      <w:hyperlink w:anchor="_Toc89268495" w:history="1">
        <w:r w:rsidR="00470E40" w:rsidRPr="00FD1150">
          <w:rPr>
            <w:rStyle w:val="Hyperlink"/>
          </w:rPr>
          <w:t>Summary of revision history</w:t>
        </w:r>
        <w:r w:rsidR="00470E40">
          <w:rPr>
            <w:webHidden/>
          </w:rPr>
          <w:tab/>
        </w:r>
        <w:r w:rsidR="00470E40">
          <w:rPr>
            <w:webHidden/>
          </w:rPr>
          <w:fldChar w:fldCharType="begin"/>
        </w:r>
        <w:r w:rsidR="00470E40">
          <w:rPr>
            <w:webHidden/>
          </w:rPr>
          <w:instrText xml:space="preserve"> PAGEREF _Toc89268495 \h </w:instrText>
        </w:r>
        <w:r w:rsidR="00470E40">
          <w:rPr>
            <w:webHidden/>
          </w:rPr>
        </w:r>
        <w:r w:rsidR="00470E40">
          <w:rPr>
            <w:webHidden/>
          </w:rPr>
          <w:fldChar w:fldCharType="separate"/>
        </w:r>
        <w:r w:rsidR="00D162A1">
          <w:rPr>
            <w:webHidden/>
          </w:rPr>
          <w:t>5</w:t>
        </w:r>
        <w:r w:rsidR="00470E40">
          <w:rPr>
            <w:webHidden/>
          </w:rPr>
          <w:fldChar w:fldCharType="end"/>
        </w:r>
      </w:hyperlink>
    </w:p>
    <w:p w14:paraId="44EEFCCE" w14:textId="7E272D4F" w:rsidR="00470E40" w:rsidRDefault="0092724D">
      <w:pPr>
        <w:pStyle w:val="TOC1"/>
        <w:rPr>
          <w:rFonts w:asciiTheme="minorHAnsi" w:eastAsiaTheme="minorEastAsia" w:hAnsiTheme="minorHAnsi" w:cstheme="minorBidi"/>
          <w:b w:val="0"/>
          <w:sz w:val="22"/>
          <w:szCs w:val="22"/>
          <w:lang w:eastAsia="en-AU"/>
        </w:rPr>
      </w:pPr>
      <w:hyperlink w:anchor="_Toc89268496" w:history="1">
        <w:r w:rsidR="00470E40" w:rsidRPr="00FD1150">
          <w:rPr>
            <w:rStyle w:val="Hyperlink"/>
          </w:rPr>
          <w:t>Introduction</w:t>
        </w:r>
        <w:r w:rsidR="00470E40">
          <w:rPr>
            <w:webHidden/>
          </w:rPr>
          <w:tab/>
        </w:r>
        <w:r w:rsidR="00470E40">
          <w:rPr>
            <w:webHidden/>
          </w:rPr>
          <w:fldChar w:fldCharType="begin"/>
        </w:r>
        <w:r w:rsidR="00470E40">
          <w:rPr>
            <w:webHidden/>
          </w:rPr>
          <w:instrText xml:space="preserve"> PAGEREF _Toc89268496 \h </w:instrText>
        </w:r>
        <w:r w:rsidR="00470E40">
          <w:rPr>
            <w:webHidden/>
          </w:rPr>
        </w:r>
        <w:r w:rsidR="00470E40">
          <w:rPr>
            <w:webHidden/>
          </w:rPr>
          <w:fldChar w:fldCharType="separate"/>
        </w:r>
        <w:r w:rsidR="00D162A1">
          <w:rPr>
            <w:webHidden/>
          </w:rPr>
          <w:t>6</w:t>
        </w:r>
        <w:r w:rsidR="00470E40">
          <w:rPr>
            <w:webHidden/>
          </w:rPr>
          <w:fldChar w:fldCharType="end"/>
        </w:r>
      </w:hyperlink>
    </w:p>
    <w:p w14:paraId="1F653578" w14:textId="3058F2A1" w:rsidR="00470E40" w:rsidRDefault="0092724D">
      <w:pPr>
        <w:pStyle w:val="TOC1"/>
        <w:rPr>
          <w:rFonts w:asciiTheme="minorHAnsi" w:eastAsiaTheme="minorEastAsia" w:hAnsiTheme="minorHAnsi" w:cstheme="minorBidi"/>
          <w:b w:val="0"/>
          <w:sz w:val="22"/>
          <w:szCs w:val="22"/>
          <w:lang w:eastAsia="en-AU"/>
        </w:rPr>
      </w:pPr>
      <w:hyperlink w:anchor="_Toc89268497" w:history="1">
        <w:r w:rsidR="00470E40" w:rsidRPr="00FD1150">
          <w:rPr>
            <w:rStyle w:val="Hyperlink"/>
          </w:rPr>
          <w:t>Principles</w:t>
        </w:r>
        <w:r w:rsidR="00470E40">
          <w:rPr>
            <w:webHidden/>
          </w:rPr>
          <w:tab/>
        </w:r>
        <w:r w:rsidR="00470E40">
          <w:rPr>
            <w:webHidden/>
          </w:rPr>
          <w:fldChar w:fldCharType="begin"/>
        </w:r>
        <w:r w:rsidR="00470E40">
          <w:rPr>
            <w:webHidden/>
          </w:rPr>
          <w:instrText xml:space="preserve"> PAGEREF _Toc89268497 \h </w:instrText>
        </w:r>
        <w:r w:rsidR="00470E40">
          <w:rPr>
            <w:webHidden/>
          </w:rPr>
        </w:r>
        <w:r w:rsidR="00470E40">
          <w:rPr>
            <w:webHidden/>
          </w:rPr>
          <w:fldChar w:fldCharType="separate"/>
        </w:r>
        <w:r w:rsidR="00D162A1">
          <w:rPr>
            <w:webHidden/>
          </w:rPr>
          <w:t>7</w:t>
        </w:r>
        <w:r w:rsidR="00470E40">
          <w:rPr>
            <w:webHidden/>
          </w:rPr>
          <w:fldChar w:fldCharType="end"/>
        </w:r>
      </w:hyperlink>
    </w:p>
    <w:p w14:paraId="08C0ECC7" w14:textId="2246E626" w:rsidR="00470E40" w:rsidRDefault="0092724D">
      <w:pPr>
        <w:pStyle w:val="TOC1"/>
        <w:rPr>
          <w:rFonts w:asciiTheme="minorHAnsi" w:eastAsiaTheme="minorEastAsia" w:hAnsiTheme="minorHAnsi" w:cstheme="minorBidi"/>
          <w:b w:val="0"/>
          <w:sz w:val="22"/>
          <w:szCs w:val="22"/>
          <w:lang w:eastAsia="en-AU"/>
        </w:rPr>
      </w:pPr>
      <w:hyperlink w:anchor="_Toc89268498" w:history="1">
        <w:r w:rsidR="00470E40" w:rsidRPr="00FD1150">
          <w:rPr>
            <w:rStyle w:val="Hyperlink"/>
            <w:rFonts w:eastAsia="Arial"/>
          </w:rPr>
          <w:t>The scope of the guidelines</w:t>
        </w:r>
        <w:r w:rsidR="00470E40">
          <w:rPr>
            <w:webHidden/>
          </w:rPr>
          <w:tab/>
        </w:r>
        <w:r w:rsidR="00470E40">
          <w:rPr>
            <w:webHidden/>
          </w:rPr>
          <w:fldChar w:fldCharType="begin"/>
        </w:r>
        <w:r w:rsidR="00470E40">
          <w:rPr>
            <w:webHidden/>
          </w:rPr>
          <w:instrText xml:space="preserve"> PAGEREF _Toc89268498 \h </w:instrText>
        </w:r>
        <w:r w:rsidR="00470E40">
          <w:rPr>
            <w:webHidden/>
          </w:rPr>
        </w:r>
        <w:r w:rsidR="00470E40">
          <w:rPr>
            <w:webHidden/>
          </w:rPr>
          <w:fldChar w:fldCharType="separate"/>
        </w:r>
        <w:r w:rsidR="00D162A1">
          <w:rPr>
            <w:webHidden/>
          </w:rPr>
          <w:t>9</w:t>
        </w:r>
        <w:r w:rsidR="00470E40">
          <w:rPr>
            <w:webHidden/>
          </w:rPr>
          <w:fldChar w:fldCharType="end"/>
        </w:r>
      </w:hyperlink>
    </w:p>
    <w:p w14:paraId="6C4839E6" w14:textId="08BB31A2" w:rsidR="00470E40" w:rsidRDefault="0092724D">
      <w:pPr>
        <w:pStyle w:val="TOC1"/>
        <w:rPr>
          <w:rFonts w:asciiTheme="minorHAnsi" w:eastAsiaTheme="minorEastAsia" w:hAnsiTheme="minorHAnsi" w:cstheme="minorBidi"/>
          <w:b w:val="0"/>
          <w:sz w:val="22"/>
          <w:szCs w:val="22"/>
          <w:lang w:eastAsia="en-AU"/>
        </w:rPr>
      </w:pPr>
      <w:hyperlink w:anchor="_Toc89268499" w:history="1">
        <w:r w:rsidR="00470E40" w:rsidRPr="00FD1150">
          <w:rPr>
            <w:rStyle w:val="Hyperlink"/>
            <w:rFonts w:eastAsia="Arial"/>
          </w:rPr>
          <w:t>Legislative provision</w:t>
        </w:r>
        <w:r w:rsidR="00470E40">
          <w:rPr>
            <w:webHidden/>
          </w:rPr>
          <w:tab/>
        </w:r>
        <w:r w:rsidR="00470E40">
          <w:rPr>
            <w:webHidden/>
          </w:rPr>
          <w:fldChar w:fldCharType="begin"/>
        </w:r>
        <w:r w:rsidR="00470E40">
          <w:rPr>
            <w:webHidden/>
          </w:rPr>
          <w:instrText xml:space="preserve"> PAGEREF _Toc89268499 \h </w:instrText>
        </w:r>
        <w:r w:rsidR="00470E40">
          <w:rPr>
            <w:webHidden/>
          </w:rPr>
        </w:r>
        <w:r w:rsidR="00470E40">
          <w:rPr>
            <w:webHidden/>
          </w:rPr>
          <w:fldChar w:fldCharType="separate"/>
        </w:r>
        <w:r w:rsidR="00D162A1">
          <w:rPr>
            <w:webHidden/>
          </w:rPr>
          <w:t>11</w:t>
        </w:r>
        <w:r w:rsidR="00470E40">
          <w:rPr>
            <w:webHidden/>
          </w:rPr>
          <w:fldChar w:fldCharType="end"/>
        </w:r>
      </w:hyperlink>
    </w:p>
    <w:p w14:paraId="29E221D2" w14:textId="1012E6FA" w:rsidR="00470E40" w:rsidRDefault="0092724D">
      <w:pPr>
        <w:pStyle w:val="TOC2"/>
        <w:rPr>
          <w:rFonts w:asciiTheme="minorHAnsi" w:eastAsiaTheme="minorEastAsia" w:hAnsiTheme="minorHAnsi" w:cstheme="minorBidi"/>
          <w:sz w:val="22"/>
          <w:szCs w:val="22"/>
          <w:lang w:eastAsia="en-AU"/>
        </w:rPr>
      </w:pPr>
      <w:hyperlink w:anchor="_Toc89268500" w:history="1">
        <w:r w:rsidR="00470E40" w:rsidRPr="00FD1150">
          <w:rPr>
            <w:rStyle w:val="Hyperlink"/>
          </w:rPr>
          <w:t>Crimes Act</w:t>
        </w:r>
        <w:r w:rsidR="00470E40">
          <w:rPr>
            <w:webHidden/>
          </w:rPr>
          <w:tab/>
        </w:r>
        <w:r w:rsidR="00470E40">
          <w:rPr>
            <w:webHidden/>
          </w:rPr>
          <w:fldChar w:fldCharType="begin"/>
        </w:r>
        <w:r w:rsidR="00470E40">
          <w:rPr>
            <w:webHidden/>
          </w:rPr>
          <w:instrText xml:space="preserve"> PAGEREF _Toc89268500 \h </w:instrText>
        </w:r>
        <w:r w:rsidR="00470E40">
          <w:rPr>
            <w:webHidden/>
          </w:rPr>
        </w:r>
        <w:r w:rsidR="00470E40">
          <w:rPr>
            <w:webHidden/>
          </w:rPr>
          <w:fldChar w:fldCharType="separate"/>
        </w:r>
        <w:r w:rsidR="00D162A1">
          <w:rPr>
            <w:webHidden/>
          </w:rPr>
          <w:t>11</w:t>
        </w:r>
        <w:r w:rsidR="00470E40">
          <w:rPr>
            <w:webHidden/>
          </w:rPr>
          <w:fldChar w:fldCharType="end"/>
        </w:r>
      </w:hyperlink>
    </w:p>
    <w:p w14:paraId="6338331A" w14:textId="1DA1D138" w:rsidR="00470E40" w:rsidRDefault="0092724D">
      <w:pPr>
        <w:pStyle w:val="TOC2"/>
        <w:rPr>
          <w:rFonts w:asciiTheme="minorHAnsi" w:eastAsiaTheme="minorEastAsia" w:hAnsiTheme="minorHAnsi" w:cstheme="minorBidi"/>
          <w:sz w:val="22"/>
          <w:szCs w:val="22"/>
          <w:lang w:eastAsia="en-AU"/>
        </w:rPr>
      </w:pPr>
      <w:hyperlink w:anchor="_Toc89268501" w:history="1">
        <w:r w:rsidR="00470E40" w:rsidRPr="00FD1150">
          <w:rPr>
            <w:rStyle w:val="Hyperlink"/>
          </w:rPr>
          <w:t>Charter of Human Rights and Responsibilities Act</w:t>
        </w:r>
        <w:r w:rsidR="00470E40">
          <w:rPr>
            <w:webHidden/>
          </w:rPr>
          <w:tab/>
        </w:r>
        <w:r w:rsidR="00470E40">
          <w:rPr>
            <w:webHidden/>
          </w:rPr>
          <w:fldChar w:fldCharType="begin"/>
        </w:r>
        <w:r w:rsidR="00470E40">
          <w:rPr>
            <w:webHidden/>
          </w:rPr>
          <w:instrText xml:space="preserve"> PAGEREF _Toc89268501 \h </w:instrText>
        </w:r>
        <w:r w:rsidR="00470E40">
          <w:rPr>
            <w:webHidden/>
          </w:rPr>
        </w:r>
        <w:r w:rsidR="00470E40">
          <w:rPr>
            <w:webHidden/>
          </w:rPr>
          <w:fldChar w:fldCharType="separate"/>
        </w:r>
        <w:r w:rsidR="00D162A1">
          <w:rPr>
            <w:webHidden/>
          </w:rPr>
          <w:t>12</w:t>
        </w:r>
        <w:r w:rsidR="00470E40">
          <w:rPr>
            <w:webHidden/>
          </w:rPr>
          <w:fldChar w:fldCharType="end"/>
        </w:r>
      </w:hyperlink>
    </w:p>
    <w:p w14:paraId="7E0D6706" w14:textId="417F3116" w:rsidR="00470E40" w:rsidRDefault="0092724D">
      <w:pPr>
        <w:pStyle w:val="TOC1"/>
        <w:rPr>
          <w:rFonts w:asciiTheme="minorHAnsi" w:eastAsiaTheme="minorEastAsia" w:hAnsiTheme="minorHAnsi" w:cstheme="minorBidi"/>
          <w:b w:val="0"/>
          <w:sz w:val="22"/>
          <w:szCs w:val="22"/>
          <w:lang w:eastAsia="en-AU"/>
        </w:rPr>
      </w:pPr>
      <w:hyperlink w:anchor="_Toc89268502" w:history="1">
        <w:r w:rsidR="00470E40" w:rsidRPr="00FD1150">
          <w:rPr>
            <w:rStyle w:val="Hyperlink"/>
            <w:rFonts w:eastAsia="Arial"/>
          </w:rPr>
          <w:t>Privacy and confidentiality</w:t>
        </w:r>
        <w:r w:rsidR="00470E40">
          <w:rPr>
            <w:webHidden/>
          </w:rPr>
          <w:tab/>
        </w:r>
        <w:r w:rsidR="00470E40">
          <w:rPr>
            <w:webHidden/>
          </w:rPr>
          <w:fldChar w:fldCharType="begin"/>
        </w:r>
        <w:r w:rsidR="00470E40">
          <w:rPr>
            <w:webHidden/>
          </w:rPr>
          <w:instrText xml:space="preserve"> PAGEREF _Toc89268502 \h </w:instrText>
        </w:r>
        <w:r w:rsidR="00470E40">
          <w:rPr>
            <w:webHidden/>
          </w:rPr>
        </w:r>
        <w:r w:rsidR="00470E40">
          <w:rPr>
            <w:webHidden/>
          </w:rPr>
          <w:fldChar w:fldCharType="separate"/>
        </w:r>
        <w:r w:rsidR="00D162A1">
          <w:rPr>
            <w:webHidden/>
          </w:rPr>
          <w:t>14</w:t>
        </w:r>
        <w:r w:rsidR="00470E40">
          <w:rPr>
            <w:webHidden/>
          </w:rPr>
          <w:fldChar w:fldCharType="end"/>
        </w:r>
      </w:hyperlink>
    </w:p>
    <w:p w14:paraId="633657AD" w14:textId="36EC1A10" w:rsidR="00470E40" w:rsidRDefault="0092724D">
      <w:pPr>
        <w:pStyle w:val="TOC1"/>
        <w:rPr>
          <w:rFonts w:asciiTheme="minorHAnsi" w:eastAsiaTheme="minorEastAsia" w:hAnsiTheme="minorHAnsi" w:cstheme="minorBidi"/>
          <w:b w:val="0"/>
          <w:sz w:val="22"/>
          <w:szCs w:val="22"/>
          <w:lang w:eastAsia="en-AU"/>
        </w:rPr>
      </w:pPr>
      <w:hyperlink w:anchor="_Toc89268503" w:history="1">
        <w:r w:rsidR="00470E40" w:rsidRPr="00FD1150">
          <w:rPr>
            <w:rStyle w:val="Hyperlink"/>
          </w:rPr>
          <w:t>Considerations when working with diverse communities</w:t>
        </w:r>
        <w:r w:rsidR="00470E40">
          <w:rPr>
            <w:webHidden/>
          </w:rPr>
          <w:tab/>
        </w:r>
        <w:r w:rsidR="00470E40">
          <w:rPr>
            <w:webHidden/>
          </w:rPr>
          <w:fldChar w:fldCharType="begin"/>
        </w:r>
        <w:r w:rsidR="00470E40">
          <w:rPr>
            <w:webHidden/>
          </w:rPr>
          <w:instrText xml:space="preserve"> PAGEREF _Toc89268503 \h </w:instrText>
        </w:r>
        <w:r w:rsidR="00470E40">
          <w:rPr>
            <w:webHidden/>
          </w:rPr>
        </w:r>
        <w:r w:rsidR="00470E40">
          <w:rPr>
            <w:webHidden/>
          </w:rPr>
          <w:fldChar w:fldCharType="separate"/>
        </w:r>
        <w:r w:rsidR="00D162A1">
          <w:rPr>
            <w:webHidden/>
          </w:rPr>
          <w:t>15</w:t>
        </w:r>
        <w:r w:rsidR="00470E40">
          <w:rPr>
            <w:webHidden/>
          </w:rPr>
          <w:fldChar w:fldCharType="end"/>
        </w:r>
      </w:hyperlink>
    </w:p>
    <w:p w14:paraId="36CE637C" w14:textId="065753F5" w:rsidR="00470E40" w:rsidRDefault="0092724D">
      <w:pPr>
        <w:pStyle w:val="TOC1"/>
        <w:rPr>
          <w:rFonts w:asciiTheme="minorHAnsi" w:eastAsiaTheme="minorEastAsia" w:hAnsiTheme="minorHAnsi" w:cstheme="minorBidi"/>
          <w:b w:val="0"/>
          <w:sz w:val="22"/>
          <w:szCs w:val="22"/>
          <w:lang w:eastAsia="en-AU"/>
        </w:rPr>
      </w:pPr>
      <w:hyperlink w:anchor="_Toc89268504" w:history="1">
        <w:r w:rsidR="00470E40" w:rsidRPr="00FD1150">
          <w:rPr>
            <w:rStyle w:val="Hyperlink"/>
          </w:rPr>
          <w:t>Implementation</w:t>
        </w:r>
        <w:r w:rsidR="00470E40">
          <w:rPr>
            <w:webHidden/>
          </w:rPr>
          <w:tab/>
        </w:r>
        <w:r w:rsidR="00470E40">
          <w:rPr>
            <w:webHidden/>
          </w:rPr>
          <w:fldChar w:fldCharType="begin"/>
        </w:r>
        <w:r w:rsidR="00470E40">
          <w:rPr>
            <w:webHidden/>
          </w:rPr>
          <w:instrText xml:space="preserve"> PAGEREF _Toc89268504 \h </w:instrText>
        </w:r>
        <w:r w:rsidR="00470E40">
          <w:rPr>
            <w:webHidden/>
          </w:rPr>
        </w:r>
        <w:r w:rsidR="00470E40">
          <w:rPr>
            <w:webHidden/>
          </w:rPr>
          <w:fldChar w:fldCharType="separate"/>
        </w:r>
        <w:r w:rsidR="00D162A1">
          <w:rPr>
            <w:webHidden/>
          </w:rPr>
          <w:t>16</w:t>
        </w:r>
        <w:r w:rsidR="00470E40">
          <w:rPr>
            <w:webHidden/>
          </w:rPr>
          <w:fldChar w:fldCharType="end"/>
        </w:r>
      </w:hyperlink>
    </w:p>
    <w:p w14:paraId="26CB6B82" w14:textId="3260C4F3" w:rsidR="00470E40" w:rsidRDefault="0092724D">
      <w:pPr>
        <w:pStyle w:val="TOC2"/>
        <w:rPr>
          <w:rFonts w:asciiTheme="minorHAnsi" w:eastAsiaTheme="minorEastAsia" w:hAnsiTheme="minorHAnsi" w:cstheme="minorBidi"/>
          <w:sz w:val="22"/>
          <w:szCs w:val="22"/>
          <w:lang w:eastAsia="en-AU"/>
        </w:rPr>
      </w:pPr>
      <w:hyperlink w:anchor="_Toc89268505" w:history="1">
        <w:r w:rsidR="00470E40" w:rsidRPr="00FD1150">
          <w:rPr>
            <w:rStyle w:val="Hyperlink"/>
            <w:rFonts w:eastAsia="Arial"/>
          </w:rPr>
          <w:t>Notification</w:t>
        </w:r>
        <w:r w:rsidR="00470E40">
          <w:rPr>
            <w:webHidden/>
          </w:rPr>
          <w:tab/>
        </w:r>
        <w:r w:rsidR="00470E40">
          <w:rPr>
            <w:webHidden/>
          </w:rPr>
          <w:fldChar w:fldCharType="begin"/>
        </w:r>
        <w:r w:rsidR="00470E40">
          <w:rPr>
            <w:webHidden/>
          </w:rPr>
          <w:instrText xml:space="preserve"> PAGEREF _Toc89268505 \h </w:instrText>
        </w:r>
        <w:r w:rsidR="00470E40">
          <w:rPr>
            <w:webHidden/>
          </w:rPr>
        </w:r>
        <w:r w:rsidR="00470E40">
          <w:rPr>
            <w:webHidden/>
          </w:rPr>
          <w:fldChar w:fldCharType="separate"/>
        </w:r>
        <w:r w:rsidR="00D162A1">
          <w:rPr>
            <w:webHidden/>
          </w:rPr>
          <w:t>16</w:t>
        </w:r>
        <w:r w:rsidR="00470E40">
          <w:rPr>
            <w:webHidden/>
          </w:rPr>
          <w:fldChar w:fldCharType="end"/>
        </w:r>
      </w:hyperlink>
    </w:p>
    <w:p w14:paraId="64E81D6F" w14:textId="06C58830" w:rsidR="00470E40" w:rsidRDefault="0092724D">
      <w:pPr>
        <w:pStyle w:val="TOC2"/>
        <w:rPr>
          <w:rFonts w:asciiTheme="minorHAnsi" w:eastAsiaTheme="minorEastAsia" w:hAnsiTheme="minorHAnsi" w:cstheme="minorBidi"/>
          <w:sz w:val="22"/>
          <w:szCs w:val="22"/>
          <w:lang w:eastAsia="en-AU"/>
        </w:rPr>
      </w:pPr>
      <w:hyperlink w:anchor="_Toc89268506" w:history="1">
        <w:r w:rsidR="00470E40" w:rsidRPr="00FD1150">
          <w:rPr>
            <w:rStyle w:val="Hyperlink"/>
            <w:rFonts w:eastAsia="Arial"/>
          </w:rPr>
          <w:t>Role of partner notification officers</w:t>
        </w:r>
        <w:r w:rsidR="00470E40">
          <w:rPr>
            <w:webHidden/>
          </w:rPr>
          <w:tab/>
        </w:r>
        <w:r w:rsidR="00470E40">
          <w:rPr>
            <w:webHidden/>
          </w:rPr>
          <w:fldChar w:fldCharType="begin"/>
        </w:r>
        <w:r w:rsidR="00470E40">
          <w:rPr>
            <w:webHidden/>
          </w:rPr>
          <w:instrText xml:space="preserve"> PAGEREF _Toc89268506 \h </w:instrText>
        </w:r>
        <w:r w:rsidR="00470E40">
          <w:rPr>
            <w:webHidden/>
          </w:rPr>
        </w:r>
        <w:r w:rsidR="00470E40">
          <w:rPr>
            <w:webHidden/>
          </w:rPr>
          <w:fldChar w:fldCharType="separate"/>
        </w:r>
        <w:r w:rsidR="00D162A1">
          <w:rPr>
            <w:webHidden/>
          </w:rPr>
          <w:t>16</w:t>
        </w:r>
        <w:r w:rsidR="00470E40">
          <w:rPr>
            <w:webHidden/>
          </w:rPr>
          <w:fldChar w:fldCharType="end"/>
        </w:r>
      </w:hyperlink>
    </w:p>
    <w:p w14:paraId="37BE28E8" w14:textId="01D5F4CC" w:rsidR="00470E40" w:rsidRDefault="0092724D">
      <w:pPr>
        <w:pStyle w:val="TOC2"/>
        <w:rPr>
          <w:rFonts w:asciiTheme="minorHAnsi" w:eastAsiaTheme="minorEastAsia" w:hAnsiTheme="minorHAnsi" w:cstheme="minorBidi"/>
          <w:sz w:val="22"/>
          <w:szCs w:val="22"/>
          <w:lang w:eastAsia="en-AU"/>
        </w:rPr>
      </w:pPr>
      <w:hyperlink w:anchor="_Toc89268507" w:history="1">
        <w:r w:rsidR="00470E40" w:rsidRPr="00FD1150">
          <w:rPr>
            <w:rStyle w:val="Hyperlink"/>
          </w:rPr>
          <w:t>Role of clinical service providers</w:t>
        </w:r>
        <w:r w:rsidR="00470E40">
          <w:rPr>
            <w:webHidden/>
          </w:rPr>
          <w:tab/>
        </w:r>
        <w:r w:rsidR="00470E40">
          <w:rPr>
            <w:webHidden/>
          </w:rPr>
          <w:fldChar w:fldCharType="begin"/>
        </w:r>
        <w:r w:rsidR="00470E40">
          <w:rPr>
            <w:webHidden/>
          </w:rPr>
          <w:instrText xml:space="preserve"> PAGEREF _Toc89268507 \h </w:instrText>
        </w:r>
        <w:r w:rsidR="00470E40">
          <w:rPr>
            <w:webHidden/>
          </w:rPr>
        </w:r>
        <w:r w:rsidR="00470E40">
          <w:rPr>
            <w:webHidden/>
          </w:rPr>
          <w:fldChar w:fldCharType="separate"/>
        </w:r>
        <w:r w:rsidR="00D162A1">
          <w:rPr>
            <w:webHidden/>
          </w:rPr>
          <w:t>18</w:t>
        </w:r>
        <w:r w:rsidR="00470E40">
          <w:rPr>
            <w:webHidden/>
          </w:rPr>
          <w:fldChar w:fldCharType="end"/>
        </w:r>
      </w:hyperlink>
    </w:p>
    <w:p w14:paraId="1534103F" w14:textId="5A47F980" w:rsidR="00470E40" w:rsidRDefault="0092724D">
      <w:pPr>
        <w:pStyle w:val="TOC2"/>
        <w:rPr>
          <w:rFonts w:asciiTheme="minorHAnsi" w:eastAsiaTheme="minorEastAsia" w:hAnsiTheme="minorHAnsi" w:cstheme="minorBidi"/>
          <w:sz w:val="22"/>
          <w:szCs w:val="22"/>
          <w:lang w:eastAsia="en-AU"/>
        </w:rPr>
      </w:pPr>
      <w:hyperlink w:anchor="_Toc89268508" w:history="1">
        <w:r w:rsidR="00470E40" w:rsidRPr="00FD1150">
          <w:rPr>
            <w:rStyle w:val="Hyperlink"/>
            <w:rFonts w:eastAsiaTheme="minorHAnsi"/>
          </w:rPr>
          <w:t>Role of the HIV Case Advisory Panel</w:t>
        </w:r>
        <w:r w:rsidR="00470E40">
          <w:rPr>
            <w:webHidden/>
          </w:rPr>
          <w:tab/>
        </w:r>
        <w:r w:rsidR="00470E40">
          <w:rPr>
            <w:webHidden/>
          </w:rPr>
          <w:fldChar w:fldCharType="begin"/>
        </w:r>
        <w:r w:rsidR="00470E40">
          <w:rPr>
            <w:webHidden/>
          </w:rPr>
          <w:instrText xml:space="preserve"> PAGEREF _Toc89268508 \h </w:instrText>
        </w:r>
        <w:r w:rsidR="00470E40">
          <w:rPr>
            <w:webHidden/>
          </w:rPr>
        </w:r>
        <w:r w:rsidR="00470E40">
          <w:rPr>
            <w:webHidden/>
          </w:rPr>
          <w:fldChar w:fldCharType="separate"/>
        </w:r>
        <w:r w:rsidR="00D162A1">
          <w:rPr>
            <w:webHidden/>
          </w:rPr>
          <w:t>18</w:t>
        </w:r>
        <w:r w:rsidR="00470E40">
          <w:rPr>
            <w:webHidden/>
          </w:rPr>
          <w:fldChar w:fldCharType="end"/>
        </w:r>
      </w:hyperlink>
    </w:p>
    <w:p w14:paraId="095FEAB3" w14:textId="02DC6CED" w:rsidR="00470E40" w:rsidRDefault="0092724D">
      <w:pPr>
        <w:pStyle w:val="TOC1"/>
        <w:rPr>
          <w:rFonts w:asciiTheme="minorHAnsi" w:eastAsiaTheme="minorEastAsia" w:hAnsiTheme="minorHAnsi" w:cstheme="minorBidi"/>
          <w:b w:val="0"/>
          <w:sz w:val="22"/>
          <w:szCs w:val="22"/>
          <w:lang w:eastAsia="en-AU"/>
        </w:rPr>
      </w:pPr>
      <w:hyperlink w:anchor="_Toc89268509" w:history="1">
        <w:r w:rsidR="00470E40" w:rsidRPr="00FD1150">
          <w:rPr>
            <w:rStyle w:val="Hyperlink"/>
          </w:rPr>
          <w:t>The four-stage approach</w:t>
        </w:r>
        <w:r w:rsidR="00470E40">
          <w:rPr>
            <w:webHidden/>
          </w:rPr>
          <w:tab/>
        </w:r>
        <w:r w:rsidR="00470E40">
          <w:rPr>
            <w:webHidden/>
          </w:rPr>
          <w:fldChar w:fldCharType="begin"/>
        </w:r>
        <w:r w:rsidR="00470E40">
          <w:rPr>
            <w:webHidden/>
          </w:rPr>
          <w:instrText xml:space="preserve"> PAGEREF _Toc89268509 \h </w:instrText>
        </w:r>
        <w:r w:rsidR="00470E40">
          <w:rPr>
            <w:webHidden/>
          </w:rPr>
        </w:r>
        <w:r w:rsidR="00470E40">
          <w:rPr>
            <w:webHidden/>
          </w:rPr>
          <w:fldChar w:fldCharType="separate"/>
        </w:r>
        <w:r w:rsidR="00D162A1">
          <w:rPr>
            <w:webHidden/>
          </w:rPr>
          <w:t>20</w:t>
        </w:r>
        <w:r w:rsidR="00470E40">
          <w:rPr>
            <w:webHidden/>
          </w:rPr>
          <w:fldChar w:fldCharType="end"/>
        </w:r>
      </w:hyperlink>
    </w:p>
    <w:p w14:paraId="3FBB9624" w14:textId="31786D45" w:rsidR="00470E40" w:rsidRDefault="0092724D">
      <w:pPr>
        <w:pStyle w:val="TOC2"/>
        <w:rPr>
          <w:rFonts w:asciiTheme="minorHAnsi" w:eastAsiaTheme="minorEastAsia" w:hAnsiTheme="minorHAnsi" w:cstheme="minorBidi"/>
          <w:sz w:val="22"/>
          <w:szCs w:val="22"/>
          <w:lang w:eastAsia="en-AU"/>
        </w:rPr>
      </w:pPr>
      <w:hyperlink w:anchor="_Toc89268510" w:history="1">
        <w:r w:rsidR="00470E40" w:rsidRPr="00FD1150">
          <w:rPr>
            <w:rStyle w:val="Hyperlink"/>
            <w:rFonts w:eastAsia="Arial"/>
          </w:rPr>
          <w:t>Stage 1: Counselling, education and support</w:t>
        </w:r>
        <w:r w:rsidR="00470E40">
          <w:rPr>
            <w:webHidden/>
          </w:rPr>
          <w:tab/>
        </w:r>
        <w:r w:rsidR="00470E40">
          <w:rPr>
            <w:webHidden/>
          </w:rPr>
          <w:fldChar w:fldCharType="begin"/>
        </w:r>
        <w:r w:rsidR="00470E40">
          <w:rPr>
            <w:webHidden/>
          </w:rPr>
          <w:instrText xml:space="preserve"> PAGEREF _Toc89268510 \h </w:instrText>
        </w:r>
        <w:r w:rsidR="00470E40">
          <w:rPr>
            <w:webHidden/>
          </w:rPr>
        </w:r>
        <w:r w:rsidR="00470E40">
          <w:rPr>
            <w:webHidden/>
          </w:rPr>
          <w:fldChar w:fldCharType="separate"/>
        </w:r>
        <w:r w:rsidR="00D162A1">
          <w:rPr>
            <w:webHidden/>
          </w:rPr>
          <w:t>22</w:t>
        </w:r>
        <w:r w:rsidR="00470E40">
          <w:rPr>
            <w:webHidden/>
          </w:rPr>
          <w:fldChar w:fldCharType="end"/>
        </w:r>
      </w:hyperlink>
    </w:p>
    <w:p w14:paraId="1A7BB700" w14:textId="7424D915" w:rsidR="00470E40" w:rsidRDefault="0092724D">
      <w:pPr>
        <w:pStyle w:val="TOC2"/>
        <w:rPr>
          <w:rFonts w:asciiTheme="minorHAnsi" w:eastAsiaTheme="minorEastAsia" w:hAnsiTheme="minorHAnsi" w:cstheme="minorBidi"/>
          <w:sz w:val="22"/>
          <w:szCs w:val="22"/>
          <w:lang w:eastAsia="en-AU"/>
        </w:rPr>
      </w:pPr>
      <w:hyperlink w:anchor="_Toc89268511" w:history="1">
        <w:r w:rsidR="00470E40" w:rsidRPr="00FD1150">
          <w:rPr>
            <w:rStyle w:val="Hyperlink"/>
            <w:rFonts w:eastAsia="Arial"/>
          </w:rPr>
          <w:t>Stage 2a: Counselling, education and support under advice from the HIV Case Advisory Panel or the Chief Health Officer</w:t>
        </w:r>
        <w:r w:rsidR="00470E40">
          <w:rPr>
            <w:webHidden/>
          </w:rPr>
          <w:tab/>
        </w:r>
        <w:r w:rsidR="00470E40">
          <w:rPr>
            <w:webHidden/>
          </w:rPr>
          <w:fldChar w:fldCharType="begin"/>
        </w:r>
        <w:r w:rsidR="00470E40">
          <w:rPr>
            <w:webHidden/>
          </w:rPr>
          <w:instrText xml:space="preserve"> PAGEREF _Toc89268511 \h </w:instrText>
        </w:r>
        <w:r w:rsidR="00470E40">
          <w:rPr>
            <w:webHidden/>
          </w:rPr>
        </w:r>
        <w:r w:rsidR="00470E40">
          <w:rPr>
            <w:webHidden/>
          </w:rPr>
          <w:fldChar w:fldCharType="separate"/>
        </w:r>
        <w:r w:rsidR="00D162A1">
          <w:rPr>
            <w:webHidden/>
          </w:rPr>
          <w:t>22</w:t>
        </w:r>
        <w:r w:rsidR="00470E40">
          <w:rPr>
            <w:webHidden/>
          </w:rPr>
          <w:fldChar w:fldCharType="end"/>
        </w:r>
      </w:hyperlink>
    </w:p>
    <w:p w14:paraId="17283F43" w14:textId="21C84DD6" w:rsidR="00470E40" w:rsidRDefault="0092724D">
      <w:pPr>
        <w:pStyle w:val="TOC2"/>
        <w:rPr>
          <w:rFonts w:asciiTheme="minorHAnsi" w:eastAsiaTheme="minorEastAsia" w:hAnsiTheme="minorHAnsi" w:cstheme="minorBidi"/>
          <w:sz w:val="22"/>
          <w:szCs w:val="22"/>
          <w:lang w:eastAsia="en-AU"/>
        </w:rPr>
      </w:pPr>
      <w:hyperlink w:anchor="_Toc89268512" w:history="1">
        <w:r w:rsidR="00470E40" w:rsidRPr="00FD1150">
          <w:rPr>
            <w:rStyle w:val="Hyperlink"/>
            <w:rFonts w:eastAsia="Arial"/>
          </w:rPr>
          <w:t>Stage 2b: Letter of warning</w:t>
        </w:r>
        <w:r w:rsidR="00470E40">
          <w:rPr>
            <w:webHidden/>
          </w:rPr>
          <w:tab/>
        </w:r>
        <w:r w:rsidR="00470E40">
          <w:rPr>
            <w:webHidden/>
          </w:rPr>
          <w:fldChar w:fldCharType="begin"/>
        </w:r>
        <w:r w:rsidR="00470E40">
          <w:rPr>
            <w:webHidden/>
          </w:rPr>
          <w:instrText xml:space="preserve"> PAGEREF _Toc89268512 \h </w:instrText>
        </w:r>
        <w:r w:rsidR="00470E40">
          <w:rPr>
            <w:webHidden/>
          </w:rPr>
        </w:r>
        <w:r w:rsidR="00470E40">
          <w:rPr>
            <w:webHidden/>
          </w:rPr>
          <w:fldChar w:fldCharType="separate"/>
        </w:r>
        <w:r w:rsidR="00D162A1">
          <w:rPr>
            <w:webHidden/>
          </w:rPr>
          <w:t>22</w:t>
        </w:r>
        <w:r w:rsidR="00470E40">
          <w:rPr>
            <w:webHidden/>
          </w:rPr>
          <w:fldChar w:fldCharType="end"/>
        </w:r>
      </w:hyperlink>
    </w:p>
    <w:p w14:paraId="7E0FB305" w14:textId="7A4115AD" w:rsidR="00470E40" w:rsidRDefault="0092724D">
      <w:pPr>
        <w:pStyle w:val="TOC2"/>
        <w:rPr>
          <w:rFonts w:asciiTheme="minorHAnsi" w:eastAsiaTheme="minorEastAsia" w:hAnsiTheme="minorHAnsi" w:cstheme="minorBidi"/>
          <w:sz w:val="22"/>
          <w:szCs w:val="22"/>
          <w:lang w:eastAsia="en-AU"/>
        </w:rPr>
      </w:pPr>
      <w:hyperlink w:anchor="_Toc89268513" w:history="1">
        <w:r w:rsidR="00470E40" w:rsidRPr="00FD1150">
          <w:rPr>
            <w:rStyle w:val="Hyperlink"/>
            <w:rFonts w:eastAsia="Arial"/>
          </w:rPr>
          <w:t>Stage 3: Public health orders (behavioural)</w:t>
        </w:r>
        <w:r w:rsidR="00470E40">
          <w:rPr>
            <w:webHidden/>
          </w:rPr>
          <w:tab/>
        </w:r>
        <w:r w:rsidR="00470E40">
          <w:rPr>
            <w:webHidden/>
          </w:rPr>
          <w:fldChar w:fldCharType="begin"/>
        </w:r>
        <w:r w:rsidR="00470E40">
          <w:rPr>
            <w:webHidden/>
          </w:rPr>
          <w:instrText xml:space="preserve"> PAGEREF _Toc89268513 \h </w:instrText>
        </w:r>
        <w:r w:rsidR="00470E40">
          <w:rPr>
            <w:webHidden/>
          </w:rPr>
        </w:r>
        <w:r w:rsidR="00470E40">
          <w:rPr>
            <w:webHidden/>
          </w:rPr>
          <w:fldChar w:fldCharType="separate"/>
        </w:r>
        <w:r w:rsidR="00D162A1">
          <w:rPr>
            <w:webHidden/>
          </w:rPr>
          <w:t>23</w:t>
        </w:r>
        <w:r w:rsidR="00470E40">
          <w:rPr>
            <w:webHidden/>
          </w:rPr>
          <w:fldChar w:fldCharType="end"/>
        </w:r>
      </w:hyperlink>
    </w:p>
    <w:p w14:paraId="3B53C42C" w14:textId="72660CC7" w:rsidR="00470E40" w:rsidRDefault="0092724D">
      <w:pPr>
        <w:pStyle w:val="TOC2"/>
        <w:rPr>
          <w:rFonts w:asciiTheme="minorHAnsi" w:eastAsiaTheme="minorEastAsia" w:hAnsiTheme="minorHAnsi" w:cstheme="minorBidi"/>
          <w:sz w:val="22"/>
          <w:szCs w:val="22"/>
          <w:lang w:eastAsia="en-AU"/>
        </w:rPr>
      </w:pPr>
      <w:hyperlink w:anchor="_Toc89268514" w:history="1">
        <w:r w:rsidR="00470E40" w:rsidRPr="00FD1150">
          <w:rPr>
            <w:rStyle w:val="Hyperlink"/>
            <w:rFonts w:eastAsia="Arial"/>
          </w:rPr>
          <w:t>Stage 4: Public health orders (detention and/or isolation orders)</w:t>
        </w:r>
        <w:r w:rsidR="00470E40">
          <w:rPr>
            <w:webHidden/>
          </w:rPr>
          <w:tab/>
        </w:r>
        <w:r w:rsidR="00470E40">
          <w:rPr>
            <w:webHidden/>
          </w:rPr>
          <w:fldChar w:fldCharType="begin"/>
        </w:r>
        <w:r w:rsidR="00470E40">
          <w:rPr>
            <w:webHidden/>
          </w:rPr>
          <w:instrText xml:space="preserve"> PAGEREF _Toc89268514 \h </w:instrText>
        </w:r>
        <w:r w:rsidR="00470E40">
          <w:rPr>
            <w:webHidden/>
          </w:rPr>
        </w:r>
        <w:r w:rsidR="00470E40">
          <w:rPr>
            <w:webHidden/>
          </w:rPr>
          <w:fldChar w:fldCharType="separate"/>
        </w:r>
        <w:r w:rsidR="00D162A1">
          <w:rPr>
            <w:webHidden/>
          </w:rPr>
          <w:t>24</w:t>
        </w:r>
        <w:r w:rsidR="00470E40">
          <w:rPr>
            <w:webHidden/>
          </w:rPr>
          <w:fldChar w:fldCharType="end"/>
        </w:r>
      </w:hyperlink>
    </w:p>
    <w:p w14:paraId="1799A17B" w14:textId="6EF2D131" w:rsidR="00470E40" w:rsidRDefault="0092724D">
      <w:pPr>
        <w:pStyle w:val="TOC1"/>
        <w:rPr>
          <w:rFonts w:asciiTheme="minorHAnsi" w:eastAsiaTheme="minorEastAsia" w:hAnsiTheme="minorHAnsi" w:cstheme="minorBidi"/>
          <w:b w:val="0"/>
          <w:sz w:val="22"/>
          <w:szCs w:val="22"/>
          <w:lang w:eastAsia="en-AU"/>
        </w:rPr>
      </w:pPr>
      <w:hyperlink w:anchor="_Toc89268515" w:history="1">
        <w:r w:rsidR="00470E40" w:rsidRPr="00FD1150">
          <w:rPr>
            <w:rStyle w:val="Hyperlink"/>
          </w:rPr>
          <w:t>Review of public health orders</w:t>
        </w:r>
        <w:r w:rsidR="00470E40">
          <w:rPr>
            <w:webHidden/>
          </w:rPr>
          <w:tab/>
        </w:r>
        <w:r w:rsidR="00470E40">
          <w:rPr>
            <w:webHidden/>
          </w:rPr>
          <w:fldChar w:fldCharType="begin"/>
        </w:r>
        <w:r w:rsidR="00470E40">
          <w:rPr>
            <w:webHidden/>
          </w:rPr>
          <w:instrText xml:space="preserve"> PAGEREF _Toc89268515 \h </w:instrText>
        </w:r>
        <w:r w:rsidR="00470E40">
          <w:rPr>
            <w:webHidden/>
          </w:rPr>
        </w:r>
        <w:r w:rsidR="00470E40">
          <w:rPr>
            <w:webHidden/>
          </w:rPr>
          <w:fldChar w:fldCharType="separate"/>
        </w:r>
        <w:r w:rsidR="00D162A1">
          <w:rPr>
            <w:webHidden/>
          </w:rPr>
          <w:t>25</w:t>
        </w:r>
        <w:r w:rsidR="00470E40">
          <w:rPr>
            <w:webHidden/>
          </w:rPr>
          <w:fldChar w:fldCharType="end"/>
        </w:r>
      </w:hyperlink>
    </w:p>
    <w:p w14:paraId="7BD4A8D2" w14:textId="4637ABE7" w:rsidR="00470E40" w:rsidRDefault="0092724D">
      <w:pPr>
        <w:pStyle w:val="TOC2"/>
        <w:rPr>
          <w:rFonts w:asciiTheme="minorHAnsi" w:eastAsiaTheme="minorEastAsia" w:hAnsiTheme="minorHAnsi" w:cstheme="minorBidi"/>
          <w:sz w:val="22"/>
          <w:szCs w:val="22"/>
          <w:lang w:eastAsia="en-AU"/>
        </w:rPr>
      </w:pPr>
      <w:hyperlink w:anchor="_Toc89268516" w:history="1">
        <w:r w:rsidR="00470E40" w:rsidRPr="00FD1150">
          <w:rPr>
            <w:rStyle w:val="Hyperlink"/>
          </w:rPr>
          <w:t>Internal review by the Chief Health Officer</w:t>
        </w:r>
        <w:r w:rsidR="00470E40">
          <w:rPr>
            <w:webHidden/>
          </w:rPr>
          <w:tab/>
        </w:r>
        <w:r w:rsidR="00470E40">
          <w:rPr>
            <w:webHidden/>
          </w:rPr>
          <w:fldChar w:fldCharType="begin"/>
        </w:r>
        <w:r w:rsidR="00470E40">
          <w:rPr>
            <w:webHidden/>
          </w:rPr>
          <w:instrText xml:space="preserve"> PAGEREF _Toc89268516 \h </w:instrText>
        </w:r>
        <w:r w:rsidR="00470E40">
          <w:rPr>
            <w:webHidden/>
          </w:rPr>
        </w:r>
        <w:r w:rsidR="00470E40">
          <w:rPr>
            <w:webHidden/>
          </w:rPr>
          <w:fldChar w:fldCharType="separate"/>
        </w:r>
        <w:r w:rsidR="00D162A1">
          <w:rPr>
            <w:webHidden/>
          </w:rPr>
          <w:t>25</w:t>
        </w:r>
        <w:r w:rsidR="00470E40">
          <w:rPr>
            <w:webHidden/>
          </w:rPr>
          <w:fldChar w:fldCharType="end"/>
        </w:r>
      </w:hyperlink>
    </w:p>
    <w:p w14:paraId="285D88E3" w14:textId="54C77C03" w:rsidR="00470E40" w:rsidRDefault="0092724D">
      <w:pPr>
        <w:pStyle w:val="TOC2"/>
        <w:rPr>
          <w:rFonts w:asciiTheme="minorHAnsi" w:eastAsiaTheme="minorEastAsia" w:hAnsiTheme="minorHAnsi" w:cstheme="minorBidi"/>
          <w:sz w:val="22"/>
          <w:szCs w:val="22"/>
          <w:lang w:eastAsia="en-AU"/>
        </w:rPr>
      </w:pPr>
      <w:hyperlink w:anchor="_Toc89268517" w:history="1">
        <w:r w:rsidR="00470E40" w:rsidRPr="00FD1150">
          <w:rPr>
            <w:rStyle w:val="Hyperlink"/>
          </w:rPr>
          <w:t>Statement of reason and external review by the Victorian Civil and Administrative Tribunal</w:t>
        </w:r>
        <w:r w:rsidR="00470E40">
          <w:rPr>
            <w:webHidden/>
          </w:rPr>
          <w:tab/>
        </w:r>
        <w:r w:rsidR="00470E40">
          <w:rPr>
            <w:webHidden/>
          </w:rPr>
          <w:fldChar w:fldCharType="begin"/>
        </w:r>
        <w:r w:rsidR="00470E40">
          <w:rPr>
            <w:webHidden/>
          </w:rPr>
          <w:instrText xml:space="preserve"> PAGEREF _Toc89268517 \h </w:instrText>
        </w:r>
        <w:r w:rsidR="00470E40">
          <w:rPr>
            <w:webHidden/>
          </w:rPr>
        </w:r>
        <w:r w:rsidR="00470E40">
          <w:rPr>
            <w:webHidden/>
          </w:rPr>
          <w:fldChar w:fldCharType="separate"/>
        </w:r>
        <w:r w:rsidR="00D162A1">
          <w:rPr>
            <w:webHidden/>
          </w:rPr>
          <w:t>25</w:t>
        </w:r>
        <w:r w:rsidR="00470E40">
          <w:rPr>
            <w:webHidden/>
          </w:rPr>
          <w:fldChar w:fldCharType="end"/>
        </w:r>
      </w:hyperlink>
    </w:p>
    <w:p w14:paraId="2759250A" w14:textId="463114D6" w:rsidR="00470E40" w:rsidRDefault="0092724D">
      <w:pPr>
        <w:pStyle w:val="TOC1"/>
        <w:rPr>
          <w:rFonts w:asciiTheme="minorHAnsi" w:eastAsiaTheme="minorEastAsia" w:hAnsiTheme="minorHAnsi" w:cstheme="minorBidi"/>
          <w:b w:val="0"/>
          <w:sz w:val="22"/>
          <w:szCs w:val="22"/>
          <w:lang w:eastAsia="en-AU"/>
        </w:rPr>
      </w:pPr>
      <w:hyperlink w:anchor="_Toc89268518" w:history="1">
        <w:r w:rsidR="00470E40" w:rsidRPr="00FD1150">
          <w:rPr>
            <w:rStyle w:val="Hyperlink"/>
          </w:rPr>
          <w:t>Referral to police</w:t>
        </w:r>
        <w:r w:rsidR="00470E40">
          <w:rPr>
            <w:webHidden/>
          </w:rPr>
          <w:tab/>
        </w:r>
        <w:r w:rsidR="00470E40">
          <w:rPr>
            <w:webHidden/>
          </w:rPr>
          <w:fldChar w:fldCharType="begin"/>
        </w:r>
        <w:r w:rsidR="00470E40">
          <w:rPr>
            <w:webHidden/>
          </w:rPr>
          <w:instrText xml:space="preserve"> PAGEREF _Toc89268518 \h </w:instrText>
        </w:r>
        <w:r w:rsidR="00470E40">
          <w:rPr>
            <w:webHidden/>
          </w:rPr>
        </w:r>
        <w:r w:rsidR="00470E40">
          <w:rPr>
            <w:webHidden/>
          </w:rPr>
          <w:fldChar w:fldCharType="separate"/>
        </w:r>
        <w:r w:rsidR="00D162A1">
          <w:rPr>
            <w:webHidden/>
          </w:rPr>
          <w:t>26</w:t>
        </w:r>
        <w:r w:rsidR="00470E40">
          <w:rPr>
            <w:webHidden/>
          </w:rPr>
          <w:fldChar w:fldCharType="end"/>
        </w:r>
      </w:hyperlink>
    </w:p>
    <w:p w14:paraId="21EEA96E" w14:textId="6997B951" w:rsidR="00470E40" w:rsidRDefault="0092724D">
      <w:pPr>
        <w:pStyle w:val="TOC1"/>
        <w:rPr>
          <w:rFonts w:asciiTheme="minorHAnsi" w:eastAsiaTheme="minorEastAsia" w:hAnsiTheme="minorHAnsi" w:cstheme="minorBidi"/>
          <w:b w:val="0"/>
          <w:sz w:val="22"/>
          <w:szCs w:val="22"/>
          <w:lang w:eastAsia="en-AU"/>
        </w:rPr>
      </w:pPr>
      <w:hyperlink w:anchor="_Toc89268519" w:history="1">
        <w:r w:rsidR="00470E40" w:rsidRPr="00FD1150">
          <w:rPr>
            <w:rStyle w:val="Hyperlink"/>
          </w:rPr>
          <w:t>Appendix: Public health orders (behavioural)</w:t>
        </w:r>
        <w:r w:rsidR="00470E40">
          <w:rPr>
            <w:webHidden/>
          </w:rPr>
          <w:tab/>
        </w:r>
        <w:r w:rsidR="00470E40">
          <w:rPr>
            <w:webHidden/>
          </w:rPr>
          <w:fldChar w:fldCharType="begin"/>
        </w:r>
        <w:r w:rsidR="00470E40">
          <w:rPr>
            <w:webHidden/>
          </w:rPr>
          <w:instrText xml:space="preserve"> PAGEREF _Toc89268519 \h </w:instrText>
        </w:r>
        <w:r w:rsidR="00470E40">
          <w:rPr>
            <w:webHidden/>
          </w:rPr>
        </w:r>
        <w:r w:rsidR="00470E40">
          <w:rPr>
            <w:webHidden/>
          </w:rPr>
          <w:fldChar w:fldCharType="separate"/>
        </w:r>
        <w:r w:rsidR="00D162A1">
          <w:rPr>
            <w:webHidden/>
          </w:rPr>
          <w:t>27</w:t>
        </w:r>
        <w:r w:rsidR="00470E40">
          <w:rPr>
            <w:webHidden/>
          </w:rPr>
          <w:fldChar w:fldCharType="end"/>
        </w:r>
      </w:hyperlink>
    </w:p>
    <w:p w14:paraId="5BE6AEA9" w14:textId="1DD550B4" w:rsidR="00470E40" w:rsidRDefault="0092724D">
      <w:pPr>
        <w:pStyle w:val="TOC2"/>
        <w:rPr>
          <w:rFonts w:asciiTheme="minorHAnsi" w:eastAsiaTheme="minorEastAsia" w:hAnsiTheme="minorHAnsi" w:cstheme="minorBidi"/>
          <w:sz w:val="22"/>
          <w:szCs w:val="22"/>
          <w:lang w:eastAsia="en-AU"/>
        </w:rPr>
      </w:pPr>
      <w:hyperlink w:anchor="_Toc89268520" w:history="1">
        <w:r w:rsidR="00470E40" w:rsidRPr="00FD1150">
          <w:rPr>
            <w:rStyle w:val="Hyperlink"/>
          </w:rPr>
          <w:t>Statutory preconditions</w:t>
        </w:r>
        <w:r w:rsidR="00470E40">
          <w:rPr>
            <w:webHidden/>
          </w:rPr>
          <w:tab/>
        </w:r>
        <w:r w:rsidR="00470E40">
          <w:rPr>
            <w:webHidden/>
          </w:rPr>
          <w:fldChar w:fldCharType="begin"/>
        </w:r>
        <w:r w:rsidR="00470E40">
          <w:rPr>
            <w:webHidden/>
          </w:rPr>
          <w:instrText xml:space="preserve"> PAGEREF _Toc89268520 \h </w:instrText>
        </w:r>
        <w:r w:rsidR="00470E40">
          <w:rPr>
            <w:webHidden/>
          </w:rPr>
        </w:r>
        <w:r w:rsidR="00470E40">
          <w:rPr>
            <w:webHidden/>
          </w:rPr>
          <w:fldChar w:fldCharType="separate"/>
        </w:r>
        <w:r w:rsidR="00D162A1">
          <w:rPr>
            <w:webHidden/>
          </w:rPr>
          <w:t>27</w:t>
        </w:r>
        <w:r w:rsidR="00470E40">
          <w:rPr>
            <w:webHidden/>
          </w:rPr>
          <w:fldChar w:fldCharType="end"/>
        </w:r>
      </w:hyperlink>
    </w:p>
    <w:p w14:paraId="3BC77119" w14:textId="74AB6251" w:rsidR="00470E40" w:rsidRDefault="0092724D">
      <w:pPr>
        <w:pStyle w:val="TOC2"/>
        <w:rPr>
          <w:rFonts w:asciiTheme="minorHAnsi" w:eastAsiaTheme="minorEastAsia" w:hAnsiTheme="minorHAnsi" w:cstheme="minorBidi"/>
          <w:sz w:val="22"/>
          <w:szCs w:val="22"/>
          <w:lang w:eastAsia="en-AU"/>
        </w:rPr>
      </w:pPr>
      <w:hyperlink w:anchor="_Toc89268521" w:history="1">
        <w:r w:rsidR="00470E40" w:rsidRPr="00FD1150">
          <w:rPr>
            <w:rStyle w:val="Hyperlink"/>
          </w:rPr>
          <w:t>Form requirements</w:t>
        </w:r>
        <w:r w:rsidR="00470E40">
          <w:rPr>
            <w:webHidden/>
          </w:rPr>
          <w:tab/>
        </w:r>
        <w:r w:rsidR="00470E40">
          <w:rPr>
            <w:webHidden/>
          </w:rPr>
          <w:fldChar w:fldCharType="begin"/>
        </w:r>
        <w:r w:rsidR="00470E40">
          <w:rPr>
            <w:webHidden/>
          </w:rPr>
          <w:instrText xml:space="preserve"> PAGEREF _Toc89268521 \h </w:instrText>
        </w:r>
        <w:r w:rsidR="00470E40">
          <w:rPr>
            <w:webHidden/>
          </w:rPr>
        </w:r>
        <w:r w:rsidR="00470E40">
          <w:rPr>
            <w:webHidden/>
          </w:rPr>
          <w:fldChar w:fldCharType="separate"/>
        </w:r>
        <w:r w:rsidR="00D162A1">
          <w:rPr>
            <w:webHidden/>
          </w:rPr>
          <w:t>27</w:t>
        </w:r>
        <w:r w:rsidR="00470E40">
          <w:rPr>
            <w:webHidden/>
          </w:rPr>
          <w:fldChar w:fldCharType="end"/>
        </w:r>
      </w:hyperlink>
    </w:p>
    <w:p w14:paraId="6D4A8E8A" w14:textId="6E515C02" w:rsidR="00470E40" w:rsidRDefault="0092724D">
      <w:pPr>
        <w:pStyle w:val="TOC2"/>
        <w:rPr>
          <w:rFonts w:asciiTheme="minorHAnsi" w:eastAsiaTheme="minorEastAsia" w:hAnsiTheme="minorHAnsi" w:cstheme="minorBidi"/>
          <w:sz w:val="22"/>
          <w:szCs w:val="22"/>
          <w:lang w:eastAsia="en-AU"/>
        </w:rPr>
      </w:pPr>
      <w:hyperlink w:anchor="_Toc89268522" w:history="1">
        <w:r w:rsidR="00470E40" w:rsidRPr="00FD1150">
          <w:rPr>
            <w:rStyle w:val="Hyperlink"/>
          </w:rPr>
          <w:t>The rights of a person subject to an order</w:t>
        </w:r>
        <w:r w:rsidR="00470E40">
          <w:rPr>
            <w:webHidden/>
          </w:rPr>
          <w:tab/>
        </w:r>
        <w:r w:rsidR="00470E40">
          <w:rPr>
            <w:webHidden/>
          </w:rPr>
          <w:fldChar w:fldCharType="begin"/>
        </w:r>
        <w:r w:rsidR="00470E40">
          <w:rPr>
            <w:webHidden/>
          </w:rPr>
          <w:instrText xml:space="preserve"> PAGEREF _Toc89268522 \h </w:instrText>
        </w:r>
        <w:r w:rsidR="00470E40">
          <w:rPr>
            <w:webHidden/>
          </w:rPr>
        </w:r>
        <w:r w:rsidR="00470E40">
          <w:rPr>
            <w:webHidden/>
          </w:rPr>
          <w:fldChar w:fldCharType="separate"/>
        </w:r>
        <w:r w:rsidR="00D162A1">
          <w:rPr>
            <w:webHidden/>
          </w:rPr>
          <w:t>28</w:t>
        </w:r>
        <w:r w:rsidR="00470E40">
          <w:rPr>
            <w:webHidden/>
          </w:rPr>
          <w:fldChar w:fldCharType="end"/>
        </w:r>
      </w:hyperlink>
    </w:p>
    <w:p w14:paraId="604B48C1" w14:textId="3A0C205D" w:rsidR="00470E40" w:rsidRDefault="0092724D">
      <w:pPr>
        <w:pStyle w:val="TOC1"/>
        <w:rPr>
          <w:rFonts w:asciiTheme="minorHAnsi" w:eastAsiaTheme="minorEastAsia" w:hAnsiTheme="minorHAnsi" w:cstheme="minorBidi"/>
          <w:b w:val="0"/>
          <w:sz w:val="22"/>
          <w:szCs w:val="22"/>
          <w:lang w:eastAsia="en-AU"/>
        </w:rPr>
      </w:pPr>
      <w:hyperlink w:anchor="_Toc89268523" w:history="1">
        <w:r w:rsidR="00470E40" w:rsidRPr="00FD1150">
          <w:rPr>
            <w:rStyle w:val="Hyperlink"/>
          </w:rPr>
          <w:t>References</w:t>
        </w:r>
        <w:r w:rsidR="00470E40">
          <w:rPr>
            <w:webHidden/>
          </w:rPr>
          <w:tab/>
        </w:r>
        <w:r w:rsidR="00470E40">
          <w:rPr>
            <w:webHidden/>
          </w:rPr>
          <w:fldChar w:fldCharType="begin"/>
        </w:r>
        <w:r w:rsidR="00470E40">
          <w:rPr>
            <w:webHidden/>
          </w:rPr>
          <w:instrText xml:space="preserve"> PAGEREF _Toc89268523 \h </w:instrText>
        </w:r>
        <w:r w:rsidR="00470E40">
          <w:rPr>
            <w:webHidden/>
          </w:rPr>
        </w:r>
        <w:r w:rsidR="00470E40">
          <w:rPr>
            <w:webHidden/>
          </w:rPr>
          <w:fldChar w:fldCharType="separate"/>
        </w:r>
        <w:r w:rsidR="00D162A1">
          <w:rPr>
            <w:webHidden/>
          </w:rPr>
          <w:t>29</w:t>
        </w:r>
        <w:r w:rsidR="00470E40">
          <w:rPr>
            <w:webHidden/>
          </w:rPr>
          <w:fldChar w:fldCharType="end"/>
        </w:r>
      </w:hyperlink>
    </w:p>
    <w:p w14:paraId="03D5AA15" w14:textId="4333016F" w:rsidR="009D3430" w:rsidRPr="009439E8" w:rsidRDefault="00CB4783" w:rsidP="009D3430">
      <w:pPr>
        <w:pStyle w:val="TOC1"/>
        <w:rPr>
          <w:b w:val="0"/>
        </w:rPr>
      </w:pPr>
      <w:r w:rsidRPr="009439E8">
        <w:rPr>
          <w:noProof w:val="0"/>
        </w:rPr>
        <w:fldChar w:fldCharType="end"/>
      </w:r>
    </w:p>
    <w:p w14:paraId="4D10BD6F" w14:textId="77777777" w:rsidR="00FF59B8" w:rsidRPr="009439E8" w:rsidRDefault="00FF59B8" w:rsidP="00FF59B8">
      <w:pPr>
        <w:pStyle w:val="DHHSbody"/>
        <w:sectPr w:rsidR="00FF59B8" w:rsidRPr="009439E8" w:rsidSect="00C51B1C">
          <w:pgSz w:w="11906" w:h="16838"/>
          <w:pgMar w:top="1701" w:right="1304" w:bottom="1134" w:left="1304" w:header="454" w:footer="567" w:gutter="0"/>
          <w:cols w:space="720"/>
          <w:docGrid w:linePitch="360"/>
        </w:sectPr>
      </w:pPr>
    </w:p>
    <w:tbl>
      <w:tblPr>
        <w:tblStyle w:val="TableGrid"/>
        <w:tblpPr w:leftFromText="180" w:rightFromText="180" w:vertAnchor="text" w:horzAnchor="margin" w:tblpY="1021"/>
        <w:tblW w:w="5016" w:type="pct"/>
        <w:tblInd w:w="0" w:type="dxa"/>
        <w:tblLook w:val="04A0" w:firstRow="1" w:lastRow="0" w:firstColumn="1" w:lastColumn="0" w:noHBand="0" w:noVBand="1"/>
        <w:tblCaption w:val="Revision history"/>
        <w:tblDescription w:val="Version 1.0 dated 2018. First release. Version 2.0 dated 21 November 2018 Revised by BBVSS. Second release - full update."/>
      </w:tblPr>
      <w:tblGrid>
        <w:gridCol w:w="2458"/>
        <w:gridCol w:w="1134"/>
        <w:gridCol w:w="5952"/>
      </w:tblGrid>
      <w:tr w:rsidR="00CE5EB5" w:rsidRPr="009439E8" w14:paraId="14387352" w14:textId="77777777" w:rsidTr="00CE5EB5">
        <w:tc>
          <w:tcPr>
            <w:tcW w:w="5000" w:type="pct"/>
            <w:gridSpan w:val="3"/>
          </w:tcPr>
          <w:p w14:paraId="0815F1A0" w14:textId="46855F86" w:rsidR="00CE5EB5" w:rsidRPr="009439E8" w:rsidRDefault="00CE5EB5" w:rsidP="004B2E44">
            <w:pPr>
              <w:pStyle w:val="DHHSbullet1"/>
              <w:numPr>
                <w:ilvl w:val="0"/>
                <w:numId w:val="0"/>
              </w:numPr>
            </w:pPr>
            <w:r w:rsidRPr="009439E8">
              <w:lastRenderedPageBreak/>
              <w:t xml:space="preserve">Revisions of the </w:t>
            </w:r>
            <w:r w:rsidR="00FB3C1D">
              <w:t>g</w:t>
            </w:r>
            <w:r w:rsidRPr="009439E8">
              <w:t>uidelines for the management of people living with HIV who put others at risk</w:t>
            </w:r>
            <w:r w:rsidR="00FB3C1D">
              <w:t>.</w:t>
            </w:r>
          </w:p>
          <w:p w14:paraId="19029C72" w14:textId="0856E182" w:rsidR="002B4A27" w:rsidRPr="009439E8" w:rsidRDefault="002B4A27" w:rsidP="004B2E44">
            <w:pPr>
              <w:pStyle w:val="DHHSbullet1"/>
              <w:numPr>
                <w:ilvl w:val="0"/>
                <w:numId w:val="0"/>
              </w:numPr>
              <w:rPr>
                <w:b/>
              </w:rPr>
            </w:pPr>
          </w:p>
        </w:tc>
      </w:tr>
      <w:tr w:rsidR="00CE5EB5" w:rsidRPr="009439E8" w14:paraId="458F4FF6" w14:textId="77777777" w:rsidTr="00CE5EB5">
        <w:tc>
          <w:tcPr>
            <w:tcW w:w="1288" w:type="pct"/>
            <w:hideMark/>
          </w:tcPr>
          <w:p w14:paraId="4B9E1A0B" w14:textId="18F7CA95" w:rsidR="004B2E44" w:rsidRPr="009439E8" w:rsidRDefault="004B2E44" w:rsidP="004F085C">
            <w:pPr>
              <w:pStyle w:val="DHHSbullet1"/>
              <w:numPr>
                <w:ilvl w:val="0"/>
                <w:numId w:val="0"/>
              </w:numPr>
              <w:rPr>
                <w:b/>
              </w:rPr>
            </w:pPr>
            <w:r w:rsidRPr="009439E8">
              <w:rPr>
                <w:b/>
              </w:rPr>
              <w:t>Version</w:t>
            </w:r>
          </w:p>
        </w:tc>
        <w:tc>
          <w:tcPr>
            <w:tcW w:w="594" w:type="pct"/>
            <w:hideMark/>
          </w:tcPr>
          <w:p w14:paraId="0B59F489" w14:textId="77777777" w:rsidR="004B2E44" w:rsidRPr="009439E8" w:rsidRDefault="004B2E44" w:rsidP="004B2E44">
            <w:pPr>
              <w:pStyle w:val="DHHSbullet1"/>
              <w:numPr>
                <w:ilvl w:val="0"/>
                <w:numId w:val="0"/>
              </w:numPr>
              <w:rPr>
                <w:b/>
              </w:rPr>
            </w:pPr>
            <w:r w:rsidRPr="009439E8">
              <w:rPr>
                <w:b/>
              </w:rPr>
              <w:t>Date</w:t>
            </w:r>
          </w:p>
        </w:tc>
        <w:tc>
          <w:tcPr>
            <w:tcW w:w="3118" w:type="pct"/>
            <w:hideMark/>
          </w:tcPr>
          <w:p w14:paraId="1506EBC3" w14:textId="05AE7425" w:rsidR="004B2E44" w:rsidRPr="009439E8" w:rsidRDefault="004B2E44" w:rsidP="004B2E44">
            <w:pPr>
              <w:pStyle w:val="DHHSbullet1"/>
              <w:numPr>
                <w:ilvl w:val="0"/>
                <w:numId w:val="0"/>
              </w:numPr>
              <w:rPr>
                <w:b/>
              </w:rPr>
            </w:pPr>
            <w:r w:rsidRPr="009439E8">
              <w:rPr>
                <w:b/>
              </w:rPr>
              <w:t>Review/</w:t>
            </w:r>
            <w:r w:rsidR="00A31B2B">
              <w:rPr>
                <w:b/>
              </w:rPr>
              <w:t>r</w:t>
            </w:r>
            <w:r w:rsidRPr="009439E8">
              <w:rPr>
                <w:b/>
              </w:rPr>
              <w:t>evisions</w:t>
            </w:r>
          </w:p>
        </w:tc>
      </w:tr>
      <w:tr w:rsidR="00CE5EB5" w:rsidRPr="009439E8" w14:paraId="49265F31" w14:textId="77777777" w:rsidTr="00CE5EB5">
        <w:tc>
          <w:tcPr>
            <w:tcW w:w="1288" w:type="pct"/>
            <w:hideMark/>
          </w:tcPr>
          <w:p w14:paraId="396E21B1" w14:textId="752377B0" w:rsidR="004B2E44" w:rsidRPr="009439E8" w:rsidRDefault="004B2E44" w:rsidP="004F085C">
            <w:pPr>
              <w:pStyle w:val="DHHSbullet1"/>
              <w:numPr>
                <w:ilvl w:val="0"/>
                <w:numId w:val="0"/>
              </w:numPr>
            </w:pPr>
            <w:r w:rsidRPr="009439E8">
              <w:t xml:space="preserve">Original guidelines </w:t>
            </w:r>
          </w:p>
        </w:tc>
        <w:tc>
          <w:tcPr>
            <w:tcW w:w="594" w:type="pct"/>
            <w:hideMark/>
          </w:tcPr>
          <w:p w14:paraId="510F68C1" w14:textId="77777777" w:rsidR="004B2E44" w:rsidRPr="009439E8" w:rsidRDefault="004B2E44" w:rsidP="004B2E44">
            <w:pPr>
              <w:pStyle w:val="DHHSbullet1"/>
              <w:numPr>
                <w:ilvl w:val="0"/>
                <w:numId w:val="0"/>
              </w:numPr>
            </w:pPr>
            <w:r w:rsidRPr="009439E8">
              <w:t>1989</w:t>
            </w:r>
          </w:p>
        </w:tc>
        <w:tc>
          <w:tcPr>
            <w:tcW w:w="3118" w:type="pct"/>
            <w:hideMark/>
          </w:tcPr>
          <w:p w14:paraId="57328BB4" w14:textId="77777777" w:rsidR="004B2E44" w:rsidRPr="009439E8" w:rsidRDefault="004B2E44" w:rsidP="004B2E44">
            <w:pPr>
              <w:pStyle w:val="DHHSbullet1"/>
              <w:numPr>
                <w:ilvl w:val="0"/>
                <w:numId w:val="0"/>
              </w:numPr>
            </w:pPr>
          </w:p>
        </w:tc>
      </w:tr>
      <w:tr w:rsidR="00CE5EB5" w:rsidRPr="009439E8" w14:paraId="066EA072" w14:textId="77777777" w:rsidTr="00CE5EB5">
        <w:tc>
          <w:tcPr>
            <w:tcW w:w="1288" w:type="pct"/>
            <w:hideMark/>
          </w:tcPr>
          <w:p w14:paraId="601EBCBB" w14:textId="77777777" w:rsidR="004B2E44" w:rsidRPr="009439E8" w:rsidRDefault="004B2E44" w:rsidP="004B2E44">
            <w:pPr>
              <w:pStyle w:val="DHHSbullet1"/>
              <w:numPr>
                <w:ilvl w:val="0"/>
                <w:numId w:val="0"/>
              </w:numPr>
            </w:pPr>
            <w:r w:rsidRPr="009439E8">
              <w:t xml:space="preserve">First revision </w:t>
            </w:r>
          </w:p>
        </w:tc>
        <w:tc>
          <w:tcPr>
            <w:tcW w:w="594" w:type="pct"/>
            <w:hideMark/>
          </w:tcPr>
          <w:p w14:paraId="163B3B49" w14:textId="77777777" w:rsidR="004B2E44" w:rsidRPr="009439E8" w:rsidRDefault="004B2E44" w:rsidP="004B2E44">
            <w:pPr>
              <w:pStyle w:val="DHHSbullet1"/>
              <w:numPr>
                <w:ilvl w:val="0"/>
                <w:numId w:val="0"/>
              </w:numPr>
            </w:pPr>
            <w:r w:rsidRPr="009439E8">
              <w:t xml:space="preserve">2002 </w:t>
            </w:r>
          </w:p>
        </w:tc>
        <w:tc>
          <w:tcPr>
            <w:tcW w:w="3118" w:type="pct"/>
            <w:hideMark/>
          </w:tcPr>
          <w:p w14:paraId="2B44B8B4" w14:textId="1634A380" w:rsidR="004B2E44" w:rsidRPr="009439E8" w:rsidRDefault="004B2E44" w:rsidP="004F085C">
            <w:pPr>
              <w:pStyle w:val="DHHSbullet1"/>
              <w:numPr>
                <w:ilvl w:val="0"/>
                <w:numId w:val="0"/>
              </w:numPr>
            </w:pPr>
            <w:r w:rsidRPr="009439E8">
              <w:t>Department of Human Services and key stakeholders undertook a review</w:t>
            </w:r>
          </w:p>
        </w:tc>
      </w:tr>
      <w:tr w:rsidR="00CE5EB5" w:rsidRPr="009439E8" w14:paraId="39F9B1BB" w14:textId="77777777" w:rsidTr="00CE5EB5">
        <w:tc>
          <w:tcPr>
            <w:tcW w:w="1288" w:type="pct"/>
            <w:hideMark/>
          </w:tcPr>
          <w:p w14:paraId="5D0DDABA" w14:textId="77777777" w:rsidR="004B2E44" w:rsidRPr="009439E8" w:rsidRDefault="004B2E44" w:rsidP="004B2E44">
            <w:pPr>
              <w:pStyle w:val="DHHSbullet1"/>
              <w:numPr>
                <w:ilvl w:val="0"/>
                <w:numId w:val="0"/>
              </w:numPr>
            </w:pPr>
            <w:r w:rsidRPr="009439E8">
              <w:t xml:space="preserve">Second revision </w:t>
            </w:r>
          </w:p>
        </w:tc>
        <w:tc>
          <w:tcPr>
            <w:tcW w:w="594" w:type="pct"/>
            <w:hideMark/>
          </w:tcPr>
          <w:p w14:paraId="778CFCF1" w14:textId="77777777" w:rsidR="004B2E44" w:rsidRPr="009439E8" w:rsidRDefault="004B2E44" w:rsidP="004B2E44">
            <w:pPr>
              <w:pStyle w:val="DHHSbullet1"/>
              <w:numPr>
                <w:ilvl w:val="0"/>
                <w:numId w:val="0"/>
              </w:numPr>
            </w:pPr>
            <w:r w:rsidRPr="009439E8">
              <w:t>2008</w:t>
            </w:r>
          </w:p>
        </w:tc>
        <w:tc>
          <w:tcPr>
            <w:tcW w:w="3118" w:type="pct"/>
            <w:hideMark/>
          </w:tcPr>
          <w:p w14:paraId="76D08E8D" w14:textId="74765978" w:rsidR="004B2E44" w:rsidRPr="009439E8" w:rsidRDefault="004B2E44" w:rsidP="004B2E44">
            <w:pPr>
              <w:pStyle w:val="DHHSbullet1"/>
              <w:numPr>
                <w:ilvl w:val="0"/>
                <w:numId w:val="0"/>
              </w:numPr>
            </w:pPr>
            <w:r w:rsidRPr="009439E8">
              <w:t>Griew-Leach</w:t>
            </w:r>
            <w:r w:rsidRPr="009439E8">
              <w:rPr>
                <w:vertAlign w:val="superscript"/>
              </w:rPr>
              <w:t xml:space="preserve"> </w:t>
            </w:r>
            <w:r w:rsidRPr="009439E8">
              <w:t xml:space="preserve">and the Scott- Falconer review was submitted to the Blood Borne Viruses and STI Sub-Committee of the Australian Population Health Development Principal Committee. This review formed the basis for the </w:t>
            </w:r>
            <w:r w:rsidR="00FB3C1D">
              <w:t>n</w:t>
            </w:r>
            <w:r w:rsidRPr="009439E8">
              <w:t xml:space="preserve">ational </w:t>
            </w:r>
            <w:r w:rsidR="00FB3C1D">
              <w:t>g</w:t>
            </w:r>
            <w:r w:rsidRPr="009439E8">
              <w:t>uidelines.</w:t>
            </w:r>
          </w:p>
        </w:tc>
      </w:tr>
      <w:tr w:rsidR="00CE5EB5" w:rsidRPr="009439E8" w14:paraId="4D9CAB44" w14:textId="77777777" w:rsidTr="00CE5EB5">
        <w:tc>
          <w:tcPr>
            <w:tcW w:w="1288" w:type="pct"/>
            <w:hideMark/>
          </w:tcPr>
          <w:p w14:paraId="3B242C2C" w14:textId="77777777" w:rsidR="004B2E44" w:rsidRPr="009439E8" w:rsidRDefault="004B2E44" w:rsidP="004B2E44">
            <w:pPr>
              <w:pStyle w:val="DHHSbullet1"/>
              <w:numPr>
                <w:ilvl w:val="0"/>
                <w:numId w:val="0"/>
              </w:numPr>
            </w:pPr>
            <w:r w:rsidRPr="009439E8">
              <w:t>Third revision</w:t>
            </w:r>
          </w:p>
        </w:tc>
        <w:tc>
          <w:tcPr>
            <w:tcW w:w="594" w:type="pct"/>
            <w:hideMark/>
          </w:tcPr>
          <w:p w14:paraId="75BF7AA2" w14:textId="77777777" w:rsidR="004B2E44" w:rsidRPr="009439E8" w:rsidRDefault="004B2E44" w:rsidP="004B2E44">
            <w:pPr>
              <w:pStyle w:val="DHHSbullet1"/>
              <w:numPr>
                <w:ilvl w:val="0"/>
                <w:numId w:val="0"/>
              </w:numPr>
            </w:pPr>
            <w:r w:rsidRPr="009439E8">
              <w:t>2009</w:t>
            </w:r>
          </w:p>
        </w:tc>
        <w:tc>
          <w:tcPr>
            <w:tcW w:w="3118" w:type="pct"/>
            <w:hideMark/>
          </w:tcPr>
          <w:p w14:paraId="55AC49EB" w14:textId="6A8C8C10" w:rsidR="004B2E44" w:rsidRPr="009439E8" w:rsidRDefault="004B2E44" w:rsidP="004F085C">
            <w:pPr>
              <w:pStyle w:val="DHHSbullet1"/>
              <w:numPr>
                <w:ilvl w:val="0"/>
                <w:numId w:val="0"/>
              </w:numPr>
            </w:pPr>
            <w:r w:rsidRPr="009439E8">
              <w:t xml:space="preserve">Revision to account for the commencement of the </w:t>
            </w:r>
            <w:r w:rsidRPr="009439E8">
              <w:rPr>
                <w:i/>
              </w:rPr>
              <w:t>Public Health and Wellbeing Act</w:t>
            </w:r>
            <w:r w:rsidRPr="009439E8">
              <w:t xml:space="preserve"> </w:t>
            </w:r>
            <w:r w:rsidRPr="009439E8">
              <w:rPr>
                <w:i/>
              </w:rPr>
              <w:t>2008,</w:t>
            </w:r>
            <w:r w:rsidRPr="009439E8">
              <w:t xml:space="preserve"> which replaced the former </w:t>
            </w:r>
            <w:r w:rsidRPr="009439E8">
              <w:rPr>
                <w:i/>
              </w:rPr>
              <w:t>Health Act 1958</w:t>
            </w:r>
            <w:r w:rsidRPr="009439E8">
              <w:t xml:space="preserve">, under which the guidelines were first made. </w:t>
            </w:r>
          </w:p>
        </w:tc>
      </w:tr>
      <w:tr w:rsidR="00CE5EB5" w:rsidRPr="009439E8" w14:paraId="25FE7EEC" w14:textId="77777777" w:rsidTr="00CE5EB5">
        <w:tc>
          <w:tcPr>
            <w:tcW w:w="1288" w:type="pct"/>
            <w:hideMark/>
          </w:tcPr>
          <w:p w14:paraId="0E6322F4" w14:textId="77777777" w:rsidR="004B2E44" w:rsidRPr="009439E8" w:rsidRDefault="004B2E44" w:rsidP="004B2E44">
            <w:pPr>
              <w:pStyle w:val="DHHSbullet1"/>
              <w:numPr>
                <w:ilvl w:val="0"/>
                <w:numId w:val="0"/>
              </w:numPr>
            </w:pPr>
            <w:r w:rsidRPr="009439E8">
              <w:t>Fourth revision</w:t>
            </w:r>
          </w:p>
        </w:tc>
        <w:tc>
          <w:tcPr>
            <w:tcW w:w="594" w:type="pct"/>
            <w:hideMark/>
          </w:tcPr>
          <w:p w14:paraId="0C40968D" w14:textId="77777777" w:rsidR="004B2E44" w:rsidRPr="009439E8" w:rsidRDefault="004B2E44" w:rsidP="004B2E44">
            <w:pPr>
              <w:pStyle w:val="DHHSbullet1"/>
              <w:numPr>
                <w:ilvl w:val="0"/>
                <w:numId w:val="0"/>
              </w:numPr>
            </w:pPr>
            <w:r w:rsidRPr="009439E8">
              <w:t>2016</w:t>
            </w:r>
          </w:p>
        </w:tc>
        <w:tc>
          <w:tcPr>
            <w:tcW w:w="3118" w:type="pct"/>
            <w:hideMark/>
          </w:tcPr>
          <w:p w14:paraId="24DC63A2" w14:textId="77777777" w:rsidR="004B2E44" w:rsidRPr="009439E8" w:rsidRDefault="004B2E44" w:rsidP="004B2E44">
            <w:pPr>
              <w:pStyle w:val="DHHSbullet1"/>
              <w:numPr>
                <w:ilvl w:val="0"/>
                <w:numId w:val="0"/>
              </w:numPr>
            </w:pPr>
            <w:r w:rsidRPr="009439E8">
              <w:t xml:space="preserve">Revisions to reflect legislative changes: </w:t>
            </w:r>
          </w:p>
          <w:p w14:paraId="7C961DB4" w14:textId="7B53524B" w:rsidR="004B2E44" w:rsidRPr="009439E8" w:rsidRDefault="004B2E44" w:rsidP="004F085C">
            <w:pPr>
              <w:pStyle w:val="DHHSbullet1"/>
              <w:numPr>
                <w:ilvl w:val="0"/>
                <w:numId w:val="0"/>
              </w:numPr>
            </w:pPr>
            <w:r w:rsidRPr="009439E8">
              <w:t xml:space="preserve">Repeal of </w:t>
            </w:r>
            <w:r w:rsidR="0075383D">
              <w:t>s</w:t>
            </w:r>
            <w:r w:rsidR="007B3625">
              <w:t>.</w:t>
            </w:r>
            <w:r w:rsidRPr="009439E8">
              <w:t xml:space="preserve"> 19A of the </w:t>
            </w:r>
            <w:r w:rsidRPr="009439E8">
              <w:rPr>
                <w:i/>
              </w:rPr>
              <w:t xml:space="preserve">Crimes Act 1958 </w:t>
            </w:r>
            <w:r w:rsidRPr="009439E8">
              <w:t xml:space="preserve">and </w:t>
            </w:r>
            <w:r w:rsidRPr="009439E8">
              <w:rPr>
                <w:i/>
              </w:rPr>
              <w:t>Privacy and Data Protection Act 2014</w:t>
            </w:r>
            <w:r w:rsidRPr="009439E8">
              <w:t xml:space="preserve"> replacing the </w:t>
            </w:r>
            <w:r w:rsidRPr="009439E8">
              <w:rPr>
                <w:i/>
              </w:rPr>
              <w:t>Information Privacy Act 2000.</w:t>
            </w:r>
            <w:r w:rsidRPr="009439E8">
              <w:t xml:space="preserve"> </w:t>
            </w:r>
          </w:p>
        </w:tc>
      </w:tr>
      <w:tr w:rsidR="00CE5EB5" w:rsidRPr="009439E8" w14:paraId="6FAAD4F9" w14:textId="77777777" w:rsidTr="00CE5EB5">
        <w:tc>
          <w:tcPr>
            <w:tcW w:w="1288" w:type="pct"/>
          </w:tcPr>
          <w:p w14:paraId="2F57F961" w14:textId="77777777" w:rsidR="004B2E44" w:rsidRPr="009439E8" w:rsidRDefault="004B2E44" w:rsidP="004B2E44">
            <w:pPr>
              <w:pStyle w:val="DHHSbullet1"/>
              <w:numPr>
                <w:ilvl w:val="0"/>
                <w:numId w:val="0"/>
              </w:numPr>
            </w:pPr>
            <w:r w:rsidRPr="009439E8">
              <w:t xml:space="preserve">Fifth revision </w:t>
            </w:r>
          </w:p>
        </w:tc>
        <w:tc>
          <w:tcPr>
            <w:tcW w:w="594" w:type="pct"/>
          </w:tcPr>
          <w:p w14:paraId="5D06C951" w14:textId="77777777" w:rsidR="004B2E44" w:rsidRPr="009439E8" w:rsidRDefault="004B2E44" w:rsidP="004B2E44">
            <w:pPr>
              <w:pStyle w:val="DHHSbullet1"/>
              <w:numPr>
                <w:ilvl w:val="0"/>
                <w:numId w:val="0"/>
              </w:numPr>
            </w:pPr>
            <w:r w:rsidRPr="009439E8">
              <w:t>2019</w:t>
            </w:r>
          </w:p>
        </w:tc>
        <w:tc>
          <w:tcPr>
            <w:tcW w:w="3118" w:type="pct"/>
          </w:tcPr>
          <w:p w14:paraId="6866026A" w14:textId="4688F145" w:rsidR="004B2E44" w:rsidRPr="009439E8" w:rsidRDefault="004B2E44" w:rsidP="004B2E44">
            <w:pPr>
              <w:pStyle w:val="DHHSbullet1"/>
              <w:numPr>
                <w:ilvl w:val="0"/>
                <w:numId w:val="0"/>
              </w:numPr>
            </w:pPr>
            <w:r w:rsidRPr="009439E8">
              <w:t xml:space="preserve">The Victorian </w:t>
            </w:r>
            <w:r w:rsidR="00FB3C1D">
              <w:t>g</w:t>
            </w:r>
            <w:r w:rsidRPr="009439E8">
              <w:t xml:space="preserve">uidelines </w:t>
            </w:r>
            <w:bookmarkStart w:id="1" w:name="_Hlk30594324"/>
            <w:r w:rsidRPr="009439E8">
              <w:t xml:space="preserve">were reviewed to reflect latest scientific evidence on treatment as prevention (TasP) for reducing HIV transmission and ensuring alignment with the revised </w:t>
            </w:r>
            <w:r w:rsidRPr="009439E8">
              <w:rPr>
                <w:i/>
              </w:rPr>
              <w:t xml:space="preserve">National </w:t>
            </w:r>
            <w:r w:rsidR="00FB3C1D" w:rsidRPr="009439E8">
              <w:rPr>
                <w:i/>
              </w:rPr>
              <w:t xml:space="preserve">guidelines for managing </w:t>
            </w:r>
            <w:r w:rsidRPr="009439E8">
              <w:rPr>
                <w:i/>
              </w:rPr>
              <w:t xml:space="preserve">HIV </w:t>
            </w:r>
            <w:r w:rsidR="00FB3C1D" w:rsidRPr="009439E8">
              <w:rPr>
                <w:i/>
              </w:rPr>
              <w:t xml:space="preserve">transmission risk behaviours </w:t>
            </w:r>
            <w:r w:rsidRPr="009439E8">
              <w:rPr>
                <w:i/>
              </w:rPr>
              <w:t xml:space="preserve">2018. </w:t>
            </w:r>
            <w:r w:rsidRPr="009439E8">
              <w:t xml:space="preserve">Changes include: </w:t>
            </w:r>
          </w:p>
          <w:p w14:paraId="2C777C1E" w14:textId="2E50BD67" w:rsidR="004B2E44" w:rsidRPr="009439E8" w:rsidRDefault="0075383D" w:rsidP="00020FC4">
            <w:pPr>
              <w:pStyle w:val="DHHSbullet1"/>
              <w:numPr>
                <w:ilvl w:val="0"/>
                <w:numId w:val="5"/>
              </w:numPr>
            </w:pPr>
            <w:r>
              <w:t>r</w:t>
            </w:r>
            <w:r w:rsidR="004B2E44" w:rsidRPr="009439E8">
              <w:t>eiterating the latest scientific evidence of U=U (undetectable viral load equals untransmissible)</w:t>
            </w:r>
          </w:p>
          <w:p w14:paraId="7EE15C0B" w14:textId="0C227485" w:rsidR="004B2E44" w:rsidRPr="009439E8" w:rsidRDefault="0075383D" w:rsidP="00020FC4">
            <w:pPr>
              <w:pStyle w:val="DHHSbullet1"/>
              <w:numPr>
                <w:ilvl w:val="0"/>
                <w:numId w:val="5"/>
              </w:numPr>
            </w:pPr>
            <w:r>
              <w:t>r</w:t>
            </w:r>
            <w:r w:rsidR="004B2E44" w:rsidRPr="009439E8">
              <w:t xml:space="preserve">emoving stigmatising language such as </w:t>
            </w:r>
            <w:r w:rsidR="00B35B3B">
              <w:t>‘</w:t>
            </w:r>
            <w:r w:rsidR="004B2E44" w:rsidRPr="009439E8">
              <w:t>peopl</w:t>
            </w:r>
            <w:r w:rsidR="00694223" w:rsidRPr="009439E8">
              <w:t>e</w:t>
            </w:r>
            <w:r w:rsidR="004B2E44" w:rsidRPr="009439E8">
              <w:t xml:space="preserve"> placing others at risk</w:t>
            </w:r>
            <w:r w:rsidR="00B35B3B">
              <w:t>’</w:t>
            </w:r>
            <w:r w:rsidR="004B2E44" w:rsidRPr="009439E8">
              <w:t xml:space="preserve"> and using non stigmatising language such as </w:t>
            </w:r>
            <w:r w:rsidR="00B35B3B">
              <w:t>‘</w:t>
            </w:r>
            <w:r w:rsidR="004B2E44" w:rsidRPr="009439E8">
              <w:t>managing risk behaviours</w:t>
            </w:r>
            <w:r w:rsidR="00B35B3B">
              <w:t>’</w:t>
            </w:r>
            <w:r w:rsidR="004B2E44" w:rsidRPr="009439E8">
              <w:t xml:space="preserve"> instead</w:t>
            </w:r>
          </w:p>
          <w:p w14:paraId="29BF2DB8" w14:textId="20DCB8E8" w:rsidR="00711453" w:rsidRPr="009439E8" w:rsidRDefault="0075383D" w:rsidP="00020FC4">
            <w:pPr>
              <w:pStyle w:val="DHHSbullet1"/>
              <w:numPr>
                <w:ilvl w:val="0"/>
                <w:numId w:val="5"/>
              </w:numPr>
            </w:pPr>
            <w:r>
              <w:t>a</w:t>
            </w:r>
            <w:r w:rsidR="004B2E44" w:rsidRPr="009439E8">
              <w:t xml:space="preserve"> more detailed description of roles and responsibilities </w:t>
            </w:r>
          </w:p>
          <w:p w14:paraId="3E47331A" w14:textId="7AF5C2F5" w:rsidR="004B2E44" w:rsidRPr="009439E8" w:rsidRDefault="0075383D" w:rsidP="00020FC4">
            <w:pPr>
              <w:pStyle w:val="DHHSbullet1"/>
              <w:numPr>
                <w:ilvl w:val="0"/>
                <w:numId w:val="5"/>
              </w:numPr>
            </w:pPr>
            <w:r>
              <w:t>c</w:t>
            </w:r>
            <w:r w:rsidR="00711453" w:rsidRPr="009439E8">
              <w:t>hanging</w:t>
            </w:r>
            <w:r w:rsidR="004B2E44" w:rsidRPr="009439E8">
              <w:t xml:space="preserve"> the management framework from five levels to four in line with the </w:t>
            </w:r>
            <w:r w:rsidR="00FB3C1D">
              <w:t>n</w:t>
            </w:r>
            <w:r w:rsidR="004B2E44" w:rsidRPr="009439E8">
              <w:t xml:space="preserve">ational </w:t>
            </w:r>
            <w:r w:rsidR="00FB3C1D">
              <w:t>g</w:t>
            </w:r>
            <w:r w:rsidR="004B2E44" w:rsidRPr="009439E8">
              <w:t>uidelines</w:t>
            </w:r>
          </w:p>
          <w:p w14:paraId="4C804383" w14:textId="41453208" w:rsidR="004B2E44" w:rsidRPr="009439E8" w:rsidRDefault="0075383D" w:rsidP="00020FC4">
            <w:pPr>
              <w:pStyle w:val="DHHSbullet1"/>
              <w:numPr>
                <w:ilvl w:val="0"/>
                <w:numId w:val="5"/>
              </w:numPr>
            </w:pPr>
            <w:r>
              <w:t>r</w:t>
            </w:r>
            <w:r w:rsidR="004B2E44" w:rsidRPr="009439E8">
              <w:t>emoving referral to police from the management levels</w:t>
            </w:r>
            <w:bookmarkEnd w:id="1"/>
            <w:r>
              <w:t>.</w:t>
            </w:r>
          </w:p>
        </w:tc>
      </w:tr>
      <w:tr w:rsidR="00D361C5" w:rsidRPr="009439E8" w14:paraId="77FFC96E" w14:textId="77777777" w:rsidTr="00CE5EB5">
        <w:tc>
          <w:tcPr>
            <w:tcW w:w="1288" w:type="pct"/>
          </w:tcPr>
          <w:p w14:paraId="52DCDFCE" w14:textId="32CC86E4" w:rsidR="00D361C5" w:rsidRPr="009439E8" w:rsidRDefault="00D361C5" w:rsidP="004B2E44">
            <w:pPr>
              <w:pStyle w:val="DHHSbullet1"/>
              <w:numPr>
                <w:ilvl w:val="0"/>
                <w:numId w:val="0"/>
              </w:numPr>
            </w:pPr>
            <w:r>
              <w:t>Sixth revision</w:t>
            </w:r>
          </w:p>
        </w:tc>
        <w:tc>
          <w:tcPr>
            <w:tcW w:w="594" w:type="pct"/>
          </w:tcPr>
          <w:p w14:paraId="7E82D286" w14:textId="7AD2C0C1" w:rsidR="00D361C5" w:rsidRPr="009439E8" w:rsidRDefault="00D361C5" w:rsidP="004B2E44">
            <w:pPr>
              <w:pStyle w:val="DHHSbullet1"/>
              <w:numPr>
                <w:ilvl w:val="0"/>
                <w:numId w:val="0"/>
              </w:numPr>
            </w:pPr>
            <w:r>
              <w:t>2021</w:t>
            </w:r>
          </w:p>
        </w:tc>
        <w:tc>
          <w:tcPr>
            <w:tcW w:w="3118" w:type="pct"/>
          </w:tcPr>
          <w:p w14:paraId="71E63D07" w14:textId="027B264A" w:rsidR="00D361C5" w:rsidRDefault="00512184" w:rsidP="004B2E44">
            <w:pPr>
              <w:pStyle w:val="DHHSbullet1"/>
              <w:numPr>
                <w:ilvl w:val="0"/>
                <w:numId w:val="0"/>
              </w:numPr>
              <w:rPr>
                <w:color w:val="D50032"/>
              </w:rPr>
            </w:pPr>
            <w:r w:rsidRPr="009439E8">
              <w:t xml:space="preserve">Department of </w:t>
            </w:r>
            <w:r>
              <w:t>Health</w:t>
            </w:r>
            <w:r w:rsidRPr="009439E8">
              <w:t xml:space="preserve"> and key stakeholders undertook a review</w:t>
            </w:r>
            <w:r>
              <w:t xml:space="preserve">. List of key stakeholders available on Department of Health website </w:t>
            </w:r>
            <w:r w:rsidRPr="009439E8">
              <w:rPr>
                <w:color w:val="D50032"/>
              </w:rPr>
              <w:t>&lt;web page address</w:t>
            </w:r>
            <w:r w:rsidR="00A21211">
              <w:rPr>
                <w:color w:val="D50032"/>
              </w:rPr>
              <w:t xml:space="preserve"> TBC</w:t>
            </w:r>
            <w:r w:rsidRPr="009439E8">
              <w:rPr>
                <w:color w:val="D50032"/>
              </w:rPr>
              <w:t>&gt;</w:t>
            </w:r>
          </w:p>
          <w:p w14:paraId="72D2E84A" w14:textId="4D7FDA6A" w:rsidR="00490855" w:rsidRPr="00CE74F1" w:rsidRDefault="008A502E" w:rsidP="004B2E44">
            <w:pPr>
              <w:pStyle w:val="DHHSbullet1"/>
              <w:numPr>
                <w:ilvl w:val="0"/>
                <w:numId w:val="0"/>
              </w:numPr>
            </w:pPr>
            <w:r w:rsidRPr="00CE74F1">
              <w:t>Changes include:</w:t>
            </w:r>
          </w:p>
          <w:p w14:paraId="13A780C0" w14:textId="27139D07" w:rsidR="00490855" w:rsidRPr="006E4010" w:rsidRDefault="0075383D" w:rsidP="00020FC4">
            <w:pPr>
              <w:pStyle w:val="DHHSbullet1"/>
              <w:numPr>
                <w:ilvl w:val="0"/>
                <w:numId w:val="5"/>
              </w:numPr>
            </w:pPr>
            <w:r>
              <w:t>c</w:t>
            </w:r>
            <w:r w:rsidR="00490855" w:rsidRPr="006E4010">
              <w:t>hanging the management framework from five levels to four</w:t>
            </w:r>
            <w:r w:rsidR="00F35DAD">
              <w:t>,</w:t>
            </w:r>
            <w:r w:rsidR="00490855" w:rsidRPr="006E4010">
              <w:t xml:space="preserve"> in line with the updated </w:t>
            </w:r>
            <w:r w:rsidR="00365026" w:rsidRPr="009439E8">
              <w:rPr>
                <w:i/>
              </w:rPr>
              <w:t xml:space="preserve">National </w:t>
            </w:r>
            <w:r>
              <w:rPr>
                <w:i/>
              </w:rPr>
              <w:t>g</w:t>
            </w:r>
            <w:r w:rsidR="00365026" w:rsidRPr="009439E8">
              <w:rPr>
                <w:i/>
              </w:rPr>
              <w:t xml:space="preserve">uidelines for </w:t>
            </w:r>
            <w:r w:rsidR="00FB3C1D" w:rsidRPr="009439E8">
              <w:rPr>
                <w:i/>
              </w:rPr>
              <w:t xml:space="preserve">managing </w:t>
            </w:r>
            <w:r w:rsidR="00365026" w:rsidRPr="009439E8">
              <w:rPr>
                <w:i/>
              </w:rPr>
              <w:t xml:space="preserve">HIV </w:t>
            </w:r>
            <w:r w:rsidR="00FB3C1D" w:rsidRPr="009439E8">
              <w:rPr>
                <w:i/>
              </w:rPr>
              <w:t>transmission risk behaviours</w:t>
            </w:r>
            <w:r w:rsidR="00365026">
              <w:rPr>
                <w:i/>
              </w:rPr>
              <w:t>, 2018</w:t>
            </w:r>
            <w:r w:rsidR="00490855" w:rsidRPr="006E4010">
              <w:t xml:space="preserve"> </w:t>
            </w:r>
            <w:sdt>
              <w:sdtPr>
                <w:rPr>
                  <w:i/>
                </w:rPr>
                <w:id w:val="1196883352"/>
                <w:citation/>
              </w:sdtPr>
              <w:sdtContent>
                <w:r w:rsidR="00365026">
                  <w:rPr>
                    <w:i/>
                  </w:rPr>
                  <w:fldChar w:fldCharType="begin"/>
                </w:r>
                <w:r w:rsidR="00BC4409">
                  <w:rPr>
                    <w:i/>
                  </w:rPr>
                  <w:instrText xml:space="preserve">CITATION Aus19 \l 3081 </w:instrText>
                </w:r>
                <w:r w:rsidR="00365026">
                  <w:rPr>
                    <w:i/>
                  </w:rPr>
                  <w:fldChar w:fldCharType="separate"/>
                </w:r>
                <w:r w:rsidR="00BC4409">
                  <w:rPr>
                    <w:noProof/>
                  </w:rPr>
                  <w:t>(1)</w:t>
                </w:r>
                <w:r w:rsidR="00365026">
                  <w:rPr>
                    <w:i/>
                  </w:rPr>
                  <w:fldChar w:fldCharType="end"/>
                </w:r>
              </w:sdtContent>
            </w:sdt>
          </w:p>
          <w:p w14:paraId="1C02FD0D" w14:textId="367BDFA6" w:rsidR="00490855" w:rsidRPr="006E4010" w:rsidRDefault="0075383D" w:rsidP="00020FC4">
            <w:pPr>
              <w:pStyle w:val="DHHSbullet1"/>
              <w:numPr>
                <w:ilvl w:val="0"/>
                <w:numId w:val="5"/>
              </w:numPr>
            </w:pPr>
            <w:r>
              <w:t>r</w:t>
            </w:r>
            <w:r w:rsidR="00490855" w:rsidRPr="006E4010">
              <w:t>emoving referral to police from the management levels </w:t>
            </w:r>
          </w:p>
          <w:p w14:paraId="7BD36612" w14:textId="493FAF6E" w:rsidR="00490855" w:rsidRPr="009439E8" w:rsidRDefault="0075383D" w:rsidP="00020FC4">
            <w:pPr>
              <w:pStyle w:val="DHHSbullet1"/>
              <w:numPr>
                <w:ilvl w:val="0"/>
                <w:numId w:val="5"/>
              </w:numPr>
            </w:pPr>
            <w:r>
              <w:t>f</w:t>
            </w:r>
            <w:r w:rsidR="00284D85">
              <w:t>urther r</w:t>
            </w:r>
            <w:r w:rsidR="00284D85" w:rsidRPr="009439E8">
              <w:t xml:space="preserve">eiterating </w:t>
            </w:r>
            <w:r w:rsidR="00490855" w:rsidRPr="006E4010">
              <w:t xml:space="preserve">the concept of </w:t>
            </w:r>
            <w:r w:rsidR="00421CBE" w:rsidRPr="009439E8">
              <w:t>U=U (undetectable viral load equals untransmissible)</w:t>
            </w:r>
            <w:r>
              <w:t>.</w:t>
            </w:r>
          </w:p>
        </w:tc>
      </w:tr>
    </w:tbl>
    <w:p w14:paraId="41A20FCE" w14:textId="6AC9ADEE" w:rsidR="00EC194B" w:rsidRPr="009439E8" w:rsidRDefault="006A3CFD" w:rsidP="004B2E44">
      <w:pPr>
        <w:pStyle w:val="Heading1"/>
      </w:pPr>
      <w:bookmarkStart w:id="2" w:name="_Toc89268495"/>
      <w:r w:rsidRPr="009439E8">
        <w:t xml:space="preserve">Summary of </w:t>
      </w:r>
      <w:r w:rsidR="00A31B2B">
        <w:t>r</w:t>
      </w:r>
      <w:r w:rsidRPr="009439E8">
        <w:t xml:space="preserve">evision </w:t>
      </w:r>
      <w:r w:rsidR="00A31B2B">
        <w:t>h</w:t>
      </w:r>
      <w:r w:rsidRPr="009439E8">
        <w:t>istory</w:t>
      </w:r>
      <w:bookmarkEnd w:id="2"/>
      <w:r w:rsidRPr="009439E8">
        <w:t xml:space="preserve"> </w:t>
      </w:r>
    </w:p>
    <w:p w14:paraId="6BBB0B85" w14:textId="77777777" w:rsidR="004B2E44" w:rsidRPr="009439E8" w:rsidRDefault="004B2E44">
      <w:pPr>
        <w:rPr>
          <w:rFonts w:ascii="Arial" w:hAnsi="Arial"/>
          <w:bCs/>
          <w:color w:val="004EA8"/>
          <w:sz w:val="44"/>
          <w:szCs w:val="44"/>
        </w:rPr>
      </w:pPr>
      <w:bookmarkStart w:id="3" w:name="_Toc20311917"/>
      <w:r w:rsidRPr="009439E8">
        <w:br w:type="page"/>
      </w:r>
    </w:p>
    <w:p w14:paraId="16402D69" w14:textId="07B9533D" w:rsidR="00FF59B8" w:rsidRPr="009439E8" w:rsidRDefault="0043457D" w:rsidP="004B2E44">
      <w:pPr>
        <w:pStyle w:val="Heading1"/>
      </w:pPr>
      <w:bookmarkStart w:id="4" w:name="_Toc89268496"/>
      <w:r w:rsidRPr="009439E8">
        <w:lastRenderedPageBreak/>
        <w:t>Introduction</w:t>
      </w:r>
      <w:bookmarkEnd w:id="3"/>
      <w:bookmarkEnd w:id="4"/>
      <w:r w:rsidRPr="009439E8">
        <w:t xml:space="preserve"> </w:t>
      </w:r>
    </w:p>
    <w:p w14:paraId="219898DE" w14:textId="3613A229" w:rsidR="00B14B2D" w:rsidRPr="00483E37" w:rsidRDefault="00B14B2D" w:rsidP="00F51A80">
      <w:pPr>
        <w:pStyle w:val="DHHSbody"/>
      </w:pPr>
      <w:r>
        <w:t xml:space="preserve">While most people living with </w:t>
      </w:r>
      <w:r w:rsidR="003E3081">
        <w:t>h</w:t>
      </w:r>
      <w:r w:rsidR="00CE5C10">
        <w:t xml:space="preserve">uman </w:t>
      </w:r>
      <w:r w:rsidR="003E3081">
        <w:t>i</w:t>
      </w:r>
      <w:r w:rsidR="00CE5C10">
        <w:t xml:space="preserve">mmunodeficiency </w:t>
      </w:r>
      <w:r w:rsidR="003E3081">
        <w:t>v</w:t>
      </w:r>
      <w:r w:rsidR="00CE5C10">
        <w:t>irus (</w:t>
      </w:r>
      <w:r>
        <w:t>HIV</w:t>
      </w:r>
      <w:r w:rsidR="00CE5C10">
        <w:t>)</w:t>
      </w:r>
      <w:r>
        <w:t xml:space="preserve"> conscientiously avoid </w:t>
      </w:r>
      <w:r w:rsidR="00154C25">
        <w:t>practices</w:t>
      </w:r>
      <w:r>
        <w:t xml:space="preserve"> that expose others</w:t>
      </w:r>
      <w:r w:rsidR="5499081C">
        <w:t xml:space="preserve"> to transmission</w:t>
      </w:r>
      <w:r>
        <w:t xml:space="preserve">, a small number of people may engage in </w:t>
      </w:r>
      <w:r w:rsidR="00154C25">
        <w:t xml:space="preserve">practices </w:t>
      </w:r>
      <w:r>
        <w:t xml:space="preserve">that require interventions and support to prevent transmission. </w:t>
      </w:r>
      <w:r w:rsidR="00FF59B8">
        <w:t>Th</w:t>
      </w:r>
      <w:r w:rsidR="00403659">
        <w:t>is document</w:t>
      </w:r>
      <w:r w:rsidR="00EA407E">
        <w:t xml:space="preserve"> </w:t>
      </w:r>
      <w:r w:rsidR="00403659">
        <w:t>o</w:t>
      </w:r>
      <w:r w:rsidR="00FF59B8">
        <w:t>utline</w:t>
      </w:r>
      <w:r w:rsidR="00403659">
        <w:t>s</w:t>
      </w:r>
      <w:r w:rsidR="00FF59B8">
        <w:t xml:space="preserve"> the Department of Health’</w:t>
      </w:r>
      <w:r w:rsidR="00EE42F3">
        <w:t>s</w:t>
      </w:r>
      <w:r>
        <w:t xml:space="preserve"> (the department)</w:t>
      </w:r>
      <w:r w:rsidR="00FF59B8">
        <w:t xml:space="preserve"> policy in managing</w:t>
      </w:r>
      <w:r w:rsidR="00CE5C10">
        <w:t xml:space="preserve"> </w:t>
      </w:r>
      <w:r w:rsidR="14BF4584" w:rsidRPr="00483E37">
        <w:t xml:space="preserve">behaviours associated with </w:t>
      </w:r>
      <w:r w:rsidR="007E64DC" w:rsidRPr="00483E37">
        <w:t>HIV</w:t>
      </w:r>
      <w:r w:rsidR="2837A9B2" w:rsidRPr="00483E37">
        <w:t>.</w:t>
      </w:r>
      <w:r w:rsidR="0014006F" w:rsidRPr="00483E37">
        <w:t xml:space="preserve"> </w:t>
      </w:r>
    </w:p>
    <w:p w14:paraId="6616768D" w14:textId="529D2D88" w:rsidR="00403659" w:rsidRPr="009439E8" w:rsidRDefault="0058234E" w:rsidP="00F51A80">
      <w:pPr>
        <w:pStyle w:val="DHHSbody"/>
      </w:pPr>
      <w:r w:rsidRPr="00483E37">
        <w:t xml:space="preserve">The Victorian </w:t>
      </w:r>
      <w:r w:rsidR="00FB3C1D">
        <w:t>g</w:t>
      </w:r>
      <w:r w:rsidRPr="00483E37">
        <w:t xml:space="preserve">uidelines </w:t>
      </w:r>
      <w:r w:rsidR="00236668" w:rsidRPr="00483E37">
        <w:t>are</w:t>
      </w:r>
      <w:r w:rsidR="00FD6B9B">
        <w:t xml:space="preserve"> </w:t>
      </w:r>
      <w:r w:rsidR="00236668" w:rsidRPr="00483E37">
        <w:t xml:space="preserve">for </w:t>
      </w:r>
      <w:r w:rsidR="4432C012" w:rsidRPr="00483E37">
        <w:t>all</w:t>
      </w:r>
      <w:r w:rsidR="0C0B8B48" w:rsidRPr="00483E37">
        <w:t xml:space="preserve"> stakeholders</w:t>
      </w:r>
      <w:r w:rsidR="00FD6B9B">
        <w:t xml:space="preserve"> who, as part of their job,</w:t>
      </w:r>
      <w:r w:rsidR="0C0B8B48" w:rsidRPr="00483E37">
        <w:t xml:space="preserve"> </w:t>
      </w:r>
      <w:r w:rsidR="00FD6B9B">
        <w:t xml:space="preserve">need </w:t>
      </w:r>
      <w:r w:rsidR="4432C012" w:rsidRPr="00483E37">
        <w:t>spec</w:t>
      </w:r>
      <w:r w:rsidR="45CE9073" w:rsidRPr="00483E37">
        <w:t>ific</w:t>
      </w:r>
      <w:r w:rsidR="17840787" w:rsidRPr="00483E37">
        <w:t xml:space="preserve"> guidance </w:t>
      </w:r>
      <w:r w:rsidR="00FD6B9B">
        <w:t xml:space="preserve">for managing people </w:t>
      </w:r>
      <w:r w:rsidR="17840787" w:rsidRPr="00483E37">
        <w:t>engaging in HIV</w:t>
      </w:r>
      <w:r w:rsidR="00FD6B9B">
        <w:t>-</w:t>
      </w:r>
      <w:r w:rsidR="17840787" w:rsidRPr="00483E37">
        <w:t>related risk behaviour</w:t>
      </w:r>
      <w:r w:rsidR="00FD6B9B">
        <w:t>.</w:t>
      </w:r>
      <w:r w:rsidR="17840787" w:rsidRPr="00483E37">
        <w:t xml:space="preserve"> </w:t>
      </w:r>
      <w:r w:rsidR="00FD6B9B">
        <w:t>H</w:t>
      </w:r>
      <w:r w:rsidR="17840787" w:rsidRPr="00483E37">
        <w:t>owever</w:t>
      </w:r>
      <w:r w:rsidR="00FD6B9B">
        <w:t>, these guidelines are mostly for</w:t>
      </w:r>
      <w:r w:rsidR="17840787" w:rsidRPr="00483E37">
        <w:t xml:space="preserve"> the </w:t>
      </w:r>
      <w:r w:rsidR="00FD6B9B">
        <w:t>d</w:t>
      </w:r>
      <w:r w:rsidR="17840787" w:rsidRPr="00483E37">
        <w:t>epartment</w:t>
      </w:r>
      <w:r w:rsidR="00FD6B9B">
        <w:t>’s</w:t>
      </w:r>
      <w:r w:rsidR="17840787" w:rsidRPr="00483E37">
        <w:t xml:space="preserve"> </w:t>
      </w:r>
      <w:r w:rsidR="4AB07079" w:rsidRPr="00483E37">
        <w:t>Partner Notification Unit officers.</w:t>
      </w:r>
      <w:r w:rsidR="00236668">
        <w:t xml:space="preserve"> </w:t>
      </w:r>
      <w:r w:rsidR="00616986">
        <w:t>The</w:t>
      </w:r>
      <w:r w:rsidR="00FD6B9B">
        <w:t>y</w:t>
      </w:r>
      <w:r w:rsidR="00616986">
        <w:t xml:space="preserve"> </w:t>
      </w:r>
      <w:r w:rsidRPr="009439E8">
        <w:t xml:space="preserve">have been revised and </w:t>
      </w:r>
      <w:r>
        <w:t>align with the</w:t>
      </w:r>
      <w:r w:rsidRPr="009439E8">
        <w:t xml:space="preserve"> </w:t>
      </w:r>
      <w:hyperlink r:id="rId15" w:history="1">
        <w:r w:rsidRPr="00FD6B9B">
          <w:rPr>
            <w:rStyle w:val="Hyperlink"/>
            <w:i/>
          </w:rPr>
          <w:t xml:space="preserve">National </w:t>
        </w:r>
        <w:r w:rsidR="004F6B53" w:rsidRPr="00FD6B9B">
          <w:rPr>
            <w:rStyle w:val="Hyperlink"/>
            <w:i/>
          </w:rPr>
          <w:t>g</w:t>
        </w:r>
        <w:r w:rsidRPr="00FD6B9B">
          <w:rPr>
            <w:rStyle w:val="Hyperlink"/>
            <w:i/>
          </w:rPr>
          <w:t xml:space="preserve">uidelines for </w:t>
        </w:r>
        <w:r w:rsidR="004F6B53" w:rsidRPr="00FD6B9B">
          <w:rPr>
            <w:rStyle w:val="Hyperlink"/>
            <w:i/>
          </w:rPr>
          <w:t>m</w:t>
        </w:r>
        <w:r w:rsidRPr="00FD6B9B">
          <w:rPr>
            <w:rStyle w:val="Hyperlink"/>
            <w:i/>
          </w:rPr>
          <w:t xml:space="preserve">anaging HIV </w:t>
        </w:r>
        <w:r w:rsidR="004F6B53" w:rsidRPr="00FD6B9B">
          <w:rPr>
            <w:rStyle w:val="Hyperlink"/>
            <w:i/>
          </w:rPr>
          <w:t>t</w:t>
        </w:r>
        <w:r w:rsidRPr="00FD6B9B">
          <w:rPr>
            <w:rStyle w:val="Hyperlink"/>
            <w:i/>
          </w:rPr>
          <w:t xml:space="preserve">ransmission </w:t>
        </w:r>
        <w:r w:rsidR="004F6B53" w:rsidRPr="00FD6B9B">
          <w:rPr>
            <w:rStyle w:val="Hyperlink"/>
            <w:i/>
          </w:rPr>
          <w:t>r</w:t>
        </w:r>
        <w:r w:rsidRPr="00FD6B9B">
          <w:rPr>
            <w:rStyle w:val="Hyperlink"/>
            <w:i/>
          </w:rPr>
          <w:t xml:space="preserve">isk </w:t>
        </w:r>
        <w:r w:rsidR="004F6B53" w:rsidRPr="00FD6B9B">
          <w:rPr>
            <w:rStyle w:val="Hyperlink"/>
            <w:i/>
          </w:rPr>
          <w:t>b</w:t>
        </w:r>
        <w:r w:rsidRPr="00FD6B9B">
          <w:rPr>
            <w:rStyle w:val="Hyperlink"/>
            <w:i/>
          </w:rPr>
          <w:t>ehaviours, 2018</w:t>
        </w:r>
      </w:hyperlink>
      <w:r w:rsidRPr="009439E8">
        <w:t xml:space="preserve"> </w:t>
      </w:r>
      <w:r w:rsidR="00FD6B9B">
        <w:t>&lt;</w:t>
      </w:r>
      <w:r w:rsidR="00FD6B9B" w:rsidRPr="00B925AB">
        <w:t>www.health.gov.au/internet/main/publishing.nsf/Content/ohp-hiv-guideline-at-risk</w:t>
      </w:r>
      <w:r w:rsidR="00FD6B9B">
        <w:t>&gt;</w:t>
      </w:r>
      <w:sdt>
        <w:sdtPr>
          <w:rPr>
            <w:i/>
          </w:rPr>
          <w:id w:val="791402526"/>
          <w:placeholder>
            <w:docPart w:val="A9E17C8AB1EA45BAA847D83D21D1BF01"/>
          </w:placeholder>
          <w:citation/>
        </w:sdtPr>
        <w:sdtContent>
          <w:r>
            <w:rPr>
              <w:i/>
            </w:rPr>
            <w:fldChar w:fldCharType="begin"/>
          </w:r>
          <w:r w:rsidR="00BC4409">
            <w:rPr>
              <w:i/>
            </w:rPr>
            <w:instrText xml:space="preserve">CITATION Aus19 \l 3081 </w:instrText>
          </w:r>
          <w:r>
            <w:rPr>
              <w:i/>
            </w:rPr>
            <w:fldChar w:fldCharType="separate"/>
          </w:r>
          <w:r w:rsidR="00BC4409">
            <w:rPr>
              <w:noProof/>
            </w:rPr>
            <w:t>(1)</w:t>
          </w:r>
          <w:r>
            <w:rPr>
              <w:i/>
            </w:rPr>
            <w:fldChar w:fldCharType="end"/>
          </w:r>
        </w:sdtContent>
      </w:sdt>
      <w:r w:rsidR="00D2502B">
        <w:rPr>
          <w:iCs/>
        </w:rPr>
        <w:t>.</w:t>
      </w:r>
      <w:r w:rsidRPr="009439E8">
        <w:t xml:space="preserve"> </w:t>
      </w:r>
    </w:p>
    <w:p w14:paraId="62F8A705" w14:textId="7F3A3A3D" w:rsidR="00CA70B1" w:rsidRPr="009439E8" w:rsidRDefault="00EA407E" w:rsidP="00F51A80">
      <w:pPr>
        <w:pStyle w:val="DHHSbody"/>
      </w:pPr>
      <w:r w:rsidRPr="009439E8">
        <w:t xml:space="preserve">The revisions </w:t>
      </w:r>
      <w:r w:rsidR="002877C6" w:rsidRPr="009439E8">
        <w:t xml:space="preserve">of the National and Victorian </w:t>
      </w:r>
      <w:r w:rsidR="004F6B53">
        <w:t>g</w:t>
      </w:r>
      <w:r w:rsidR="002877C6" w:rsidRPr="009439E8">
        <w:t xml:space="preserve">uidelines </w:t>
      </w:r>
      <w:r w:rsidR="00F51A80" w:rsidRPr="009439E8">
        <w:t xml:space="preserve">reflect </w:t>
      </w:r>
      <w:r w:rsidR="00DD798C">
        <w:t xml:space="preserve">the </w:t>
      </w:r>
      <w:r w:rsidR="00F51A80" w:rsidRPr="009439E8">
        <w:t xml:space="preserve">latest scientific </w:t>
      </w:r>
      <w:r w:rsidR="001E5FFF" w:rsidRPr="009439E8">
        <w:t xml:space="preserve">evidence </w:t>
      </w:r>
      <w:r w:rsidR="00F51A80" w:rsidRPr="009439E8">
        <w:t xml:space="preserve">on the individual and public health </w:t>
      </w:r>
      <w:r w:rsidR="3203F769">
        <w:t>benefit</w:t>
      </w:r>
      <w:r w:rsidR="24A6E8D2">
        <w:t xml:space="preserve"> of interventions to reduce HIV transmission </w:t>
      </w:r>
      <w:r w:rsidR="6144E667">
        <w:t xml:space="preserve">including </w:t>
      </w:r>
      <w:r w:rsidR="00322F72" w:rsidRPr="009439E8">
        <w:t xml:space="preserve">antiretroviral </w:t>
      </w:r>
      <w:r w:rsidR="00F51A80" w:rsidRPr="009439E8">
        <w:t>treatment as prevention for reducing HIV transmission. Research show</w:t>
      </w:r>
      <w:r w:rsidR="00A64ED8">
        <w:t>s</w:t>
      </w:r>
      <w:r w:rsidR="00F51A80" w:rsidRPr="009439E8">
        <w:t xml:space="preserve"> that people </w:t>
      </w:r>
      <w:r w:rsidR="00405C64" w:rsidRPr="009439E8">
        <w:t xml:space="preserve">living </w:t>
      </w:r>
      <w:r w:rsidR="00F51A80" w:rsidRPr="009439E8">
        <w:t xml:space="preserve">with HIV who take </w:t>
      </w:r>
      <w:r w:rsidR="00A64ED8" w:rsidRPr="009439E8">
        <w:t xml:space="preserve">daily </w:t>
      </w:r>
      <w:r w:rsidR="00286452" w:rsidRPr="009439E8">
        <w:t xml:space="preserve">antiretroviral treatment </w:t>
      </w:r>
      <w:r w:rsidR="00F51A80" w:rsidRPr="009439E8">
        <w:t xml:space="preserve">as prescribed and </w:t>
      </w:r>
      <w:r w:rsidR="001E5FFF" w:rsidRPr="009439E8">
        <w:t xml:space="preserve">achieve </w:t>
      </w:r>
      <w:r w:rsidR="00F51A80" w:rsidRPr="009439E8">
        <w:t>viral suppressio</w:t>
      </w:r>
      <w:r w:rsidR="001E5FFF" w:rsidRPr="009439E8">
        <w:t xml:space="preserve">n (defined as an </w:t>
      </w:r>
      <w:r w:rsidR="00F51A80" w:rsidRPr="009439E8">
        <w:t>undetectable viral load or a viral load of less than 200 copies/mL</w:t>
      </w:r>
      <w:r w:rsidR="00405C64" w:rsidRPr="009439E8">
        <w:t>)</w:t>
      </w:r>
      <w:r w:rsidR="00F51A80" w:rsidRPr="009439E8">
        <w:t xml:space="preserve"> have effectively no risk of sexually transmitting the virus to a</w:t>
      </w:r>
      <w:r w:rsidR="00A64ED8">
        <w:t>n</w:t>
      </w:r>
      <w:r w:rsidR="00F51A80" w:rsidRPr="009439E8">
        <w:t xml:space="preserve"> HIV-negative </w:t>
      </w:r>
      <w:r w:rsidR="1E68A345">
        <w:t xml:space="preserve">sexual </w:t>
      </w:r>
      <w:r w:rsidR="00F51A80" w:rsidRPr="009439E8">
        <w:t xml:space="preserve">partner </w:t>
      </w:r>
      <w:r w:rsidR="00D705C9">
        <w:rPr>
          <w:noProof/>
        </w:rPr>
        <w:t xml:space="preserve">(2-8). </w:t>
      </w:r>
      <w:r w:rsidR="3E5C064D">
        <w:t xml:space="preserve">This approach to </w:t>
      </w:r>
      <w:r w:rsidR="31B45F54">
        <w:t>a</w:t>
      </w:r>
      <w:r w:rsidR="0CEAF03E">
        <w:t>ntiretroviral</w:t>
      </w:r>
      <w:r w:rsidR="00286452" w:rsidRPr="009439E8">
        <w:t xml:space="preserve"> treatment </w:t>
      </w:r>
      <w:r w:rsidR="00B66726" w:rsidRPr="009439E8">
        <w:t>is referred to as treatment as prevention</w:t>
      </w:r>
      <w:r w:rsidR="00EC3C12" w:rsidRPr="009439E8">
        <w:t xml:space="preserve"> (TasP)</w:t>
      </w:r>
      <w:r w:rsidR="00EC3C12">
        <w:t>.</w:t>
      </w:r>
    </w:p>
    <w:p w14:paraId="371ABFB4" w14:textId="2346785E" w:rsidR="00F51A80" w:rsidRPr="009439E8" w:rsidRDefault="00A64ED8" w:rsidP="00F51A80">
      <w:pPr>
        <w:pStyle w:val="DHHSbody"/>
      </w:pPr>
      <w:r>
        <w:t>T</w:t>
      </w:r>
      <w:r w:rsidR="00CA70B1">
        <w:t xml:space="preserve">here is </w:t>
      </w:r>
      <w:r>
        <w:t xml:space="preserve">not enough </w:t>
      </w:r>
      <w:r w:rsidR="00F51A80">
        <w:t xml:space="preserve">evidence to </w:t>
      </w:r>
      <w:r w:rsidR="0414AE78">
        <w:t>conclude</w:t>
      </w:r>
      <w:r w:rsidR="00F51A80">
        <w:t xml:space="preserve"> the same for non-sexual routes of exposure (</w:t>
      </w:r>
      <w:r w:rsidR="00F46CD9">
        <w:t>for example,</w:t>
      </w:r>
      <w:r w:rsidR="00F51A80">
        <w:t xml:space="preserve"> injecting drug use)</w:t>
      </w:r>
      <w:r w:rsidR="00CA70B1">
        <w:t>. However,</w:t>
      </w:r>
      <w:r w:rsidR="00F51A80">
        <w:t xml:space="preserve"> it is likely that sustained viral suppression will also </w:t>
      </w:r>
      <w:r w:rsidR="26368AEB">
        <w:t>substantially reduce</w:t>
      </w:r>
      <w:r w:rsidR="00F51A80">
        <w:t xml:space="preserve"> the risk of HIV transmission in these situations.</w:t>
      </w:r>
    </w:p>
    <w:p w14:paraId="3A46DA12" w14:textId="6DAD2298" w:rsidR="00F46CD9" w:rsidRDefault="00802D84" w:rsidP="00B942B8">
      <w:pPr>
        <w:pStyle w:val="DHHSbody"/>
      </w:pPr>
      <w:r w:rsidRPr="009439E8">
        <w:t xml:space="preserve">The </w:t>
      </w:r>
      <w:r w:rsidR="004F6B53">
        <w:t>g</w:t>
      </w:r>
      <w:r w:rsidR="00405C64" w:rsidRPr="009439E8">
        <w:t>uideline</w:t>
      </w:r>
      <w:r w:rsidRPr="009439E8">
        <w:t xml:space="preserve">s </w:t>
      </w:r>
      <w:r w:rsidR="00405C64" w:rsidRPr="009439E8">
        <w:t>have</w:t>
      </w:r>
      <w:r w:rsidR="00BF48C8" w:rsidRPr="009439E8">
        <w:t xml:space="preserve"> </w:t>
      </w:r>
      <w:r w:rsidR="00405C64" w:rsidRPr="009439E8">
        <w:t>been renamed</w:t>
      </w:r>
      <w:r w:rsidR="00CA70B1" w:rsidRPr="009439E8">
        <w:t xml:space="preserve"> </w:t>
      </w:r>
      <w:r w:rsidR="00405C64" w:rsidRPr="009439E8">
        <w:t>to</w:t>
      </w:r>
      <w:r w:rsidR="00D21F79" w:rsidRPr="009439E8">
        <w:t xml:space="preserve"> </w:t>
      </w:r>
      <w:r w:rsidR="00CA70B1" w:rsidRPr="009439E8">
        <w:t xml:space="preserve">remove stigmatising language and </w:t>
      </w:r>
      <w:r w:rsidR="00D21F79" w:rsidRPr="009439E8">
        <w:t xml:space="preserve">better </w:t>
      </w:r>
      <w:r w:rsidR="00405C64" w:rsidRPr="009439E8">
        <w:t>reflect</w:t>
      </w:r>
      <w:r w:rsidR="00601AA5" w:rsidRPr="009439E8">
        <w:t xml:space="preserve"> the</w:t>
      </w:r>
      <w:r w:rsidR="002877C6" w:rsidRPr="009439E8">
        <w:t>ir</w:t>
      </w:r>
      <w:r w:rsidR="00B920BC" w:rsidRPr="009439E8">
        <w:t xml:space="preserve"> scope</w:t>
      </w:r>
      <w:r w:rsidR="0028286D" w:rsidRPr="009439E8">
        <w:t xml:space="preserve"> in</w:t>
      </w:r>
      <w:r w:rsidR="00574F93" w:rsidRPr="009439E8">
        <w:t xml:space="preserve"> </w:t>
      </w:r>
      <w:r w:rsidR="004F6B53">
        <w:t>‘</w:t>
      </w:r>
      <w:r w:rsidR="00403659" w:rsidRPr="009439E8">
        <w:t xml:space="preserve">managing HIV transmission risk </w:t>
      </w:r>
      <w:r w:rsidR="008C4E37">
        <w:t>behaviours</w:t>
      </w:r>
      <w:r w:rsidR="004F6B53">
        <w:t>’</w:t>
      </w:r>
      <w:r w:rsidR="00CE5C10" w:rsidRPr="009439E8">
        <w:t xml:space="preserve"> </w:t>
      </w:r>
      <w:r w:rsidR="00403659" w:rsidRPr="009439E8">
        <w:t xml:space="preserve">through supporting people </w:t>
      </w:r>
      <w:r w:rsidR="771674C7">
        <w:t>in</w:t>
      </w:r>
      <w:r w:rsidR="0028286D" w:rsidRPr="009439E8">
        <w:t xml:space="preserve"> </w:t>
      </w:r>
      <w:r w:rsidR="00BF48C8" w:rsidRPr="009439E8">
        <w:t xml:space="preserve">achieving </w:t>
      </w:r>
      <w:r w:rsidR="00403659" w:rsidRPr="009439E8">
        <w:t>positive behaviour changes.</w:t>
      </w:r>
      <w:r w:rsidR="00254DEB" w:rsidRPr="009439E8">
        <w:t xml:space="preserve"> </w:t>
      </w:r>
      <w:r w:rsidR="00CA70B1" w:rsidRPr="009439E8">
        <w:t>T</w:t>
      </w:r>
      <w:r w:rsidR="00BF48C8" w:rsidRPr="009439E8">
        <w:t>he</w:t>
      </w:r>
      <w:r w:rsidR="00711453" w:rsidRPr="009439E8">
        <w:t xml:space="preserve"> updates a</w:t>
      </w:r>
      <w:r w:rsidR="00CA70B1" w:rsidRPr="009439E8">
        <w:t xml:space="preserve">lso </w:t>
      </w:r>
      <w:r w:rsidR="00B942B8" w:rsidRPr="009439E8">
        <w:t>include</w:t>
      </w:r>
      <w:r w:rsidR="00F46CD9">
        <w:t>:</w:t>
      </w:r>
      <w:r w:rsidR="00B942B8" w:rsidRPr="009439E8">
        <w:t xml:space="preserve"> </w:t>
      </w:r>
    </w:p>
    <w:p w14:paraId="417BEDD2" w14:textId="26151BA7" w:rsidR="00F46CD9" w:rsidRDefault="00B942B8" w:rsidP="00470E40">
      <w:pPr>
        <w:pStyle w:val="DHHSbullet1"/>
      </w:pPr>
      <w:r w:rsidRPr="009439E8">
        <w:t>the use of</w:t>
      </w:r>
      <w:r w:rsidR="009836C2" w:rsidRPr="009439E8">
        <w:t xml:space="preserve"> person-first</w:t>
      </w:r>
      <w:r w:rsidR="002877C6" w:rsidRPr="009439E8">
        <w:t xml:space="preserve"> </w:t>
      </w:r>
      <w:r w:rsidRPr="009439E8">
        <w:t>language</w:t>
      </w:r>
    </w:p>
    <w:p w14:paraId="470B6047" w14:textId="77777777" w:rsidR="00F46CD9" w:rsidRDefault="00305FBA" w:rsidP="00470E40">
      <w:pPr>
        <w:pStyle w:val="DHHSbullet1"/>
      </w:pPr>
      <w:r w:rsidRPr="009439E8">
        <w:t>a more detailed description of roles and responsibilities</w:t>
      </w:r>
    </w:p>
    <w:p w14:paraId="197C8079" w14:textId="114FF6E2" w:rsidR="00B942B8" w:rsidRPr="009439E8" w:rsidRDefault="00B942B8" w:rsidP="00470E40">
      <w:pPr>
        <w:pStyle w:val="DHHSbullet1lastline"/>
      </w:pPr>
      <w:r w:rsidRPr="009439E8">
        <w:t>chang</w:t>
      </w:r>
      <w:r w:rsidR="00B71D5E" w:rsidRPr="009439E8">
        <w:t>es to</w:t>
      </w:r>
      <w:r w:rsidRPr="009439E8">
        <w:t xml:space="preserve"> </w:t>
      </w:r>
      <w:r w:rsidR="00B14B2D" w:rsidRPr="009439E8">
        <w:t xml:space="preserve">the management framework </w:t>
      </w:r>
      <w:r w:rsidRPr="009439E8">
        <w:t>from</w:t>
      </w:r>
      <w:r w:rsidR="0028286D" w:rsidRPr="009439E8">
        <w:t xml:space="preserve"> </w:t>
      </w:r>
      <w:r w:rsidRPr="009439E8">
        <w:t>five to four</w:t>
      </w:r>
      <w:r w:rsidR="0028286D" w:rsidRPr="009439E8">
        <w:t xml:space="preserve"> </w:t>
      </w:r>
      <w:r w:rsidR="00B71D5E" w:rsidRPr="009439E8">
        <w:t xml:space="preserve">levels in line </w:t>
      </w:r>
      <w:r w:rsidRPr="009439E8">
        <w:t xml:space="preserve">with the </w:t>
      </w:r>
      <w:r w:rsidR="00F46CD9">
        <w:t>n</w:t>
      </w:r>
      <w:r w:rsidRPr="009439E8">
        <w:t xml:space="preserve">ational </w:t>
      </w:r>
      <w:r w:rsidR="004F6B53">
        <w:t>g</w:t>
      </w:r>
      <w:r w:rsidRPr="009439E8">
        <w:t>uidelines</w:t>
      </w:r>
      <w:r w:rsidR="00BF48C8" w:rsidRPr="009439E8">
        <w:t>.</w:t>
      </w:r>
      <w:r w:rsidRPr="009439E8">
        <w:t xml:space="preserve"> </w:t>
      </w:r>
    </w:p>
    <w:p w14:paraId="42B10495" w14:textId="0D5EC4EF" w:rsidR="00E1015F" w:rsidRPr="009439E8" w:rsidRDefault="00EA2234" w:rsidP="00FF59B8">
      <w:pPr>
        <w:pStyle w:val="DHHSbody"/>
      </w:pPr>
      <w:r w:rsidRPr="009439E8">
        <w:t>Invoking the law in</w:t>
      </w:r>
      <w:r w:rsidR="0001630F" w:rsidRPr="009439E8">
        <w:t xml:space="preserve"> </w:t>
      </w:r>
      <w:r w:rsidRPr="009439E8">
        <w:t>the</w:t>
      </w:r>
      <w:r w:rsidR="0028286D" w:rsidRPr="009439E8">
        <w:t xml:space="preserve"> </w:t>
      </w:r>
      <w:r w:rsidRPr="009439E8">
        <w:t xml:space="preserve">situation of HIV transmission risk </w:t>
      </w:r>
      <w:r w:rsidR="00A0652F">
        <w:t>behaviours</w:t>
      </w:r>
      <w:r w:rsidR="00701FE5">
        <w:t xml:space="preserve"> </w:t>
      </w:r>
      <w:r w:rsidRPr="009439E8">
        <w:t>present</w:t>
      </w:r>
      <w:r w:rsidRPr="009439E8" w:rsidDel="00701FE5">
        <w:t>s</w:t>
      </w:r>
      <w:r w:rsidRPr="009439E8">
        <w:t xml:space="preserve"> a wide range of complex legal and ethical issues</w:t>
      </w:r>
      <w:r w:rsidR="00B71D5E" w:rsidRPr="009439E8">
        <w:t>. T</w:t>
      </w:r>
      <w:r w:rsidRPr="009439E8">
        <w:t xml:space="preserve">he overall aim </w:t>
      </w:r>
      <w:r w:rsidR="00B71D5E" w:rsidRPr="009439E8">
        <w:t xml:space="preserve">is </w:t>
      </w:r>
      <w:r w:rsidRPr="009439E8">
        <w:t xml:space="preserve">to strike the right balance between </w:t>
      </w:r>
      <w:r w:rsidR="563F33FC">
        <w:t>mitigating the risk of HIV</w:t>
      </w:r>
      <w:r w:rsidR="00087A2A">
        <w:t xml:space="preserve"> </w:t>
      </w:r>
      <w:r w:rsidR="2204AA01">
        <w:t xml:space="preserve">to </w:t>
      </w:r>
      <w:r w:rsidR="00087A2A">
        <w:t>the</w:t>
      </w:r>
      <w:r w:rsidR="00CF2473">
        <w:t xml:space="preserve"> </w:t>
      </w:r>
      <w:r w:rsidRPr="009439E8">
        <w:t xml:space="preserve">community and </w:t>
      </w:r>
      <w:r w:rsidR="320800D4">
        <w:t>protecting</w:t>
      </w:r>
      <w:r w:rsidR="382D4B4F">
        <w:t xml:space="preserve"> </w:t>
      </w:r>
      <w:r w:rsidRPr="009439E8">
        <w:t xml:space="preserve">the rights of individuals. </w:t>
      </w:r>
      <w:r w:rsidR="00B71D5E" w:rsidRPr="009439E8">
        <w:t>Appl</w:t>
      </w:r>
      <w:r w:rsidR="00F46CD9">
        <w:t>ying</w:t>
      </w:r>
      <w:r w:rsidR="00B71D5E" w:rsidRPr="009439E8">
        <w:t xml:space="preserve"> t</w:t>
      </w:r>
      <w:r w:rsidRPr="009439E8">
        <w:t xml:space="preserve">he Victorian </w:t>
      </w:r>
      <w:r w:rsidR="004F6B53">
        <w:t>g</w:t>
      </w:r>
      <w:r w:rsidRPr="009439E8">
        <w:t xml:space="preserve">uidelines </w:t>
      </w:r>
      <w:r w:rsidR="00B71D5E" w:rsidRPr="009439E8">
        <w:t xml:space="preserve">is the responsibility of the </w:t>
      </w:r>
      <w:r w:rsidR="00DF0978" w:rsidRPr="009439E8">
        <w:t xml:space="preserve">Victorian </w:t>
      </w:r>
      <w:r w:rsidRPr="009439E8">
        <w:t>Chief Health Officer</w:t>
      </w:r>
      <w:r w:rsidR="00E1015F" w:rsidRPr="009439E8">
        <w:t xml:space="preserve"> (CHO)</w:t>
      </w:r>
      <w:r w:rsidR="00F46CD9">
        <w:t>,</w:t>
      </w:r>
      <w:r w:rsidRPr="009439E8">
        <w:t xml:space="preserve"> wh</w:t>
      </w:r>
      <w:r w:rsidR="00603571" w:rsidRPr="009439E8">
        <w:t xml:space="preserve">o has </w:t>
      </w:r>
      <w:r w:rsidRPr="009439E8">
        <w:t>legal powers to manage</w:t>
      </w:r>
      <w:r w:rsidR="00603571" w:rsidRPr="009439E8">
        <w:t xml:space="preserve"> </w:t>
      </w:r>
      <w:r w:rsidR="29729691">
        <w:t>risk</w:t>
      </w:r>
      <w:r w:rsidR="55155750">
        <w:t>s</w:t>
      </w:r>
      <w:r w:rsidR="00603571" w:rsidRPr="009439E8">
        <w:t xml:space="preserve"> </w:t>
      </w:r>
      <w:r w:rsidR="55155750">
        <w:t>associated with</w:t>
      </w:r>
      <w:r w:rsidR="00603571" w:rsidRPr="009439E8">
        <w:t xml:space="preserve"> </w:t>
      </w:r>
      <w:r w:rsidRPr="009439E8">
        <w:t>HIV transmission</w:t>
      </w:r>
      <w:r w:rsidR="00603571" w:rsidRPr="009439E8">
        <w:t xml:space="preserve"> in the community</w:t>
      </w:r>
      <w:r w:rsidR="002877C6" w:rsidRPr="009439E8">
        <w:t xml:space="preserve"> </w:t>
      </w:r>
      <w:r w:rsidRPr="009439E8">
        <w:t>to protect the</w:t>
      </w:r>
      <w:r w:rsidR="00E1015F" w:rsidRPr="009439E8">
        <w:t xml:space="preserve"> public. </w:t>
      </w:r>
    </w:p>
    <w:p w14:paraId="23C6AC14" w14:textId="072DF7F6" w:rsidR="004B37A7" w:rsidRPr="009439E8" w:rsidRDefault="003F6E0D" w:rsidP="009C3460">
      <w:pPr>
        <w:pStyle w:val="DHHSbullet1"/>
        <w:numPr>
          <w:ilvl w:val="0"/>
          <w:numId w:val="0"/>
        </w:numPr>
        <w:rPr>
          <w:rFonts w:cs="Arial"/>
        </w:rPr>
      </w:pPr>
      <w:r w:rsidRPr="009439E8">
        <w:t>The</w:t>
      </w:r>
      <w:r w:rsidR="00FF59B8" w:rsidRPr="009439E8">
        <w:t xml:space="preserve"> powers </w:t>
      </w:r>
      <w:r w:rsidRPr="009439E8">
        <w:t>of</w:t>
      </w:r>
      <w:r w:rsidR="00FF59B8" w:rsidRPr="009439E8">
        <w:t xml:space="preserve"> </w:t>
      </w:r>
      <w:r w:rsidR="00DF0978" w:rsidRPr="009439E8">
        <w:t xml:space="preserve">the </w:t>
      </w:r>
      <w:r w:rsidR="008C0311" w:rsidRPr="009439E8">
        <w:t>CHO</w:t>
      </w:r>
      <w:r w:rsidR="008E3EC9" w:rsidRPr="009439E8">
        <w:t xml:space="preserve"> </w:t>
      </w:r>
      <w:r w:rsidRPr="009439E8">
        <w:t xml:space="preserve">to manage </w:t>
      </w:r>
      <w:r w:rsidR="00F46CD9">
        <w:t>disease</w:t>
      </w:r>
      <w:r w:rsidR="00F46CD9" w:rsidRPr="009439E8">
        <w:t xml:space="preserve"> </w:t>
      </w:r>
      <w:r w:rsidRPr="009439E8">
        <w:t xml:space="preserve">transmission </w:t>
      </w:r>
      <w:r w:rsidR="00F46CD9" w:rsidRPr="009439E8">
        <w:t xml:space="preserve">risk </w:t>
      </w:r>
      <w:r w:rsidRPr="009439E8">
        <w:t>are set out in</w:t>
      </w:r>
      <w:r w:rsidR="008E3EC9" w:rsidRPr="009439E8">
        <w:t xml:space="preserve"> the </w:t>
      </w:r>
      <w:r w:rsidR="00FF59B8" w:rsidRPr="009439E8">
        <w:rPr>
          <w:i/>
        </w:rPr>
        <w:t xml:space="preserve">Public Health and Wellbeing Act 2008 </w:t>
      </w:r>
      <w:r w:rsidR="00FF59B8" w:rsidRPr="009439E8">
        <w:t>(PHW Act)</w:t>
      </w:r>
      <w:r w:rsidR="00B71D5E" w:rsidRPr="009439E8">
        <w:t xml:space="preserve">. These capabilities include </w:t>
      </w:r>
      <w:r w:rsidR="00FF59B8" w:rsidRPr="009439E8">
        <w:t xml:space="preserve">examination and testing, education and counselling, requiring certain assessments be undertaken (psychiatric or neurological), placing restrictions on certain </w:t>
      </w:r>
      <w:r w:rsidR="00034D0E">
        <w:t xml:space="preserve">practices </w:t>
      </w:r>
      <w:r w:rsidR="00FF59B8" w:rsidRPr="009439E8">
        <w:t xml:space="preserve">or movements and, in extreme circumstances, detaining or isolating </w:t>
      </w:r>
      <w:r w:rsidR="008E3EC9" w:rsidRPr="009439E8">
        <w:t>a</w:t>
      </w:r>
      <w:r w:rsidR="00FF59B8" w:rsidRPr="009439E8">
        <w:t xml:space="preserve"> person</w:t>
      </w:r>
      <w:r w:rsidR="00637BBB">
        <w:t xml:space="preserve">. </w:t>
      </w:r>
      <w:r w:rsidR="00FF59B8" w:rsidRPr="009439E8">
        <w:t xml:space="preserve">The primary objective of all measures is to </w:t>
      </w:r>
      <w:r w:rsidR="72F0CE9A">
        <w:t>eliminate</w:t>
      </w:r>
      <w:r w:rsidR="00FF59B8" w:rsidRPr="009439E8">
        <w:t xml:space="preserve"> HIV transmission</w:t>
      </w:r>
      <w:r w:rsidR="16A504D8">
        <w:t xml:space="preserve"> in Victoria</w:t>
      </w:r>
      <w:r w:rsidR="311FFEF7">
        <w:t>.</w:t>
      </w:r>
      <w:r w:rsidR="00FF59B8" w:rsidRPr="009439E8">
        <w:t xml:space="preserve"> </w:t>
      </w:r>
      <w:r w:rsidR="00E6702A" w:rsidRPr="00637BBB">
        <w:t xml:space="preserve">A key to successfully managing HIV transmission risk </w:t>
      </w:r>
      <w:r w:rsidR="000C32C6">
        <w:t>behaviours</w:t>
      </w:r>
      <w:r w:rsidR="00034D0E">
        <w:t xml:space="preserve"> </w:t>
      </w:r>
      <w:r w:rsidR="00E6702A" w:rsidRPr="00637BBB">
        <w:t xml:space="preserve">is </w:t>
      </w:r>
      <w:r w:rsidR="00B71D5E" w:rsidRPr="00637BBB">
        <w:t xml:space="preserve">to </w:t>
      </w:r>
      <w:r w:rsidR="00E6702A" w:rsidRPr="00637BBB">
        <w:t>ensur</w:t>
      </w:r>
      <w:r w:rsidR="00B71D5E" w:rsidRPr="00637BBB">
        <w:t xml:space="preserve">e </w:t>
      </w:r>
      <w:r w:rsidR="00E6702A" w:rsidRPr="00637BBB">
        <w:t xml:space="preserve">the person of concern </w:t>
      </w:r>
      <w:r w:rsidR="00637BBB" w:rsidRPr="00637BBB">
        <w:t>is supported</w:t>
      </w:r>
      <w:r w:rsidR="12E94327" w:rsidRPr="00682CA1">
        <w:t xml:space="preserve"> and empowered to achieve and maintain a suppressed viral load</w:t>
      </w:r>
      <w:r w:rsidR="00F46CD9">
        <w:t>. They can do this</w:t>
      </w:r>
      <w:r w:rsidR="12E94327" w:rsidRPr="00682CA1">
        <w:t xml:space="preserve"> by link</w:t>
      </w:r>
      <w:r w:rsidR="00F46CD9">
        <w:t>ing with</w:t>
      </w:r>
      <w:r w:rsidR="12E94327" w:rsidRPr="00682CA1">
        <w:t xml:space="preserve"> and continued engagement in clinical care, </w:t>
      </w:r>
      <w:r w:rsidR="00F46CD9">
        <w:t xml:space="preserve">and </w:t>
      </w:r>
      <w:r w:rsidR="12E94327" w:rsidRPr="00682CA1">
        <w:t>with effective antiretroviral treatment.</w:t>
      </w:r>
      <w:r w:rsidR="6E56D506" w:rsidRPr="03828148">
        <w:rPr>
          <w:rFonts w:cs="Arial"/>
        </w:rPr>
        <w:t xml:space="preserve"> </w:t>
      </w:r>
    </w:p>
    <w:p w14:paraId="54E4F2DF" w14:textId="6E462E19" w:rsidR="004B37A7" w:rsidRPr="009439E8" w:rsidRDefault="004B37A7">
      <w:pPr>
        <w:rPr>
          <w:rFonts w:ascii="Arial" w:eastAsia="Times" w:hAnsi="Arial" w:cs="Arial"/>
        </w:rPr>
      </w:pPr>
      <w:r w:rsidRPr="009439E8">
        <w:rPr>
          <w:rFonts w:cs="Arial"/>
        </w:rPr>
        <w:br w:type="page"/>
      </w:r>
    </w:p>
    <w:p w14:paraId="211EC0F1" w14:textId="06D953D6" w:rsidR="00FF59B8" w:rsidRPr="009439E8" w:rsidRDefault="0075163D" w:rsidP="004B2E44">
      <w:pPr>
        <w:pStyle w:val="Heading1"/>
      </w:pPr>
      <w:bookmarkStart w:id="5" w:name="_Toc89268497"/>
      <w:bookmarkStart w:id="6" w:name="_Toc20311918"/>
      <w:r w:rsidRPr="009439E8">
        <w:lastRenderedPageBreak/>
        <w:t>Principles</w:t>
      </w:r>
      <w:bookmarkEnd w:id="5"/>
      <w:r w:rsidRPr="009439E8">
        <w:t xml:space="preserve"> </w:t>
      </w:r>
      <w:bookmarkEnd w:id="6"/>
    </w:p>
    <w:p w14:paraId="790469F8" w14:textId="3030B09F" w:rsidR="00F468FB" w:rsidRPr="009439E8" w:rsidRDefault="00364EE5" w:rsidP="00F01822">
      <w:pPr>
        <w:pStyle w:val="DHHSbody"/>
      </w:pPr>
      <w:r w:rsidRPr="009439E8">
        <w:t xml:space="preserve">The department recognises and adopts all principles outlined in the </w:t>
      </w:r>
      <w:r w:rsidR="00711453" w:rsidRPr="009439E8">
        <w:t>revised</w:t>
      </w:r>
      <w:r w:rsidR="00F01822" w:rsidRPr="009439E8">
        <w:t xml:space="preserve"> </w:t>
      </w:r>
      <w:r w:rsidR="00F01822" w:rsidRPr="009439E8">
        <w:rPr>
          <w:i/>
        </w:rPr>
        <w:t xml:space="preserve">National </w:t>
      </w:r>
      <w:r w:rsidR="004F6B53">
        <w:rPr>
          <w:i/>
        </w:rPr>
        <w:t>g</w:t>
      </w:r>
      <w:r w:rsidR="00F01822" w:rsidRPr="009439E8">
        <w:rPr>
          <w:i/>
        </w:rPr>
        <w:t xml:space="preserve">uidelines for </w:t>
      </w:r>
      <w:r w:rsidR="004F6B53">
        <w:rPr>
          <w:i/>
        </w:rPr>
        <w:t>m</w:t>
      </w:r>
      <w:r w:rsidR="00F01822" w:rsidRPr="009439E8">
        <w:rPr>
          <w:i/>
        </w:rPr>
        <w:t xml:space="preserve">anaging HIV </w:t>
      </w:r>
      <w:r w:rsidR="004F6B53">
        <w:rPr>
          <w:i/>
        </w:rPr>
        <w:t>t</w:t>
      </w:r>
      <w:r w:rsidR="00F01822" w:rsidRPr="009439E8">
        <w:rPr>
          <w:i/>
        </w:rPr>
        <w:t xml:space="preserve">ransmission </w:t>
      </w:r>
      <w:r w:rsidR="004F6B53">
        <w:rPr>
          <w:i/>
        </w:rPr>
        <w:t>r</w:t>
      </w:r>
      <w:r w:rsidR="00F01822" w:rsidRPr="009439E8">
        <w:rPr>
          <w:i/>
        </w:rPr>
        <w:t xml:space="preserve">isk </w:t>
      </w:r>
      <w:r w:rsidR="004F6B53">
        <w:rPr>
          <w:i/>
        </w:rPr>
        <w:t>b</w:t>
      </w:r>
      <w:r w:rsidR="00F01822" w:rsidRPr="009439E8">
        <w:rPr>
          <w:i/>
        </w:rPr>
        <w:t>ehaviours</w:t>
      </w:r>
      <w:r w:rsidR="00711453" w:rsidRPr="009439E8">
        <w:rPr>
          <w:i/>
        </w:rPr>
        <w:t>,</w:t>
      </w:r>
      <w:r w:rsidR="00F01822" w:rsidRPr="009439E8">
        <w:rPr>
          <w:i/>
        </w:rPr>
        <w:t xml:space="preserve"> 2018</w:t>
      </w:r>
      <w:r w:rsidR="00034158">
        <w:rPr>
          <w:i/>
        </w:rPr>
        <w:t xml:space="preserve"> </w:t>
      </w:r>
      <w:sdt>
        <w:sdtPr>
          <w:rPr>
            <w:i/>
          </w:rPr>
          <w:id w:val="-51470274"/>
          <w:citation/>
        </w:sdtPr>
        <w:sdtContent>
          <w:r w:rsidR="00034158">
            <w:rPr>
              <w:i/>
            </w:rPr>
            <w:fldChar w:fldCharType="begin"/>
          </w:r>
          <w:r w:rsidR="00BC4409">
            <w:rPr>
              <w:i/>
            </w:rPr>
            <w:instrText xml:space="preserve">CITATION Aus19 \l 3081 </w:instrText>
          </w:r>
          <w:r w:rsidR="00034158">
            <w:rPr>
              <w:i/>
            </w:rPr>
            <w:fldChar w:fldCharType="separate"/>
          </w:r>
          <w:r w:rsidR="00BC4409">
            <w:rPr>
              <w:noProof/>
            </w:rPr>
            <w:t>(1)</w:t>
          </w:r>
          <w:r w:rsidR="00034158">
            <w:rPr>
              <w:i/>
            </w:rPr>
            <w:fldChar w:fldCharType="end"/>
          </w:r>
        </w:sdtContent>
      </w:sdt>
      <w:r w:rsidR="00DD798C">
        <w:rPr>
          <w:i/>
        </w:rPr>
        <w:t>.</w:t>
      </w:r>
      <w:r w:rsidR="00F01822" w:rsidRPr="009439E8">
        <w:t xml:space="preserve"> </w:t>
      </w:r>
      <w:r w:rsidR="00F468FB" w:rsidRPr="009439E8">
        <w:t>The</w:t>
      </w:r>
      <w:r w:rsidRPr="009439E8">
        <w:t>se principles include</w:t>
      </w:r>
      <w:r w:rsidR="001E5FFF" w:rsidRPr="009439E8">
        <w:t xml:space="preserve"> but are not limited to</w:t>
      </w:r>
      <w:r w:rsidR="00A0474A">
        <w:t xml:space="preserve"> the following</w:t>
      </w:r>
      <w:r w:rsidRPr="009439E8">
        <w:t xml:space="preserve">: </w:t>
      </w:r>
    </w:p>
    <w:p w14:paraId="1E69EBD6" w14:textId="5A7D03C5" w:rsidR="006B32D3" w:rsidRPr="009439E8" w:rsidRDefault="039D9388" w:rsidP="00364EE5">
      <w:pPr>
        <w:pStyle w:val="DHHSbullet1"/>
        <w:rPr>
          <w:rFonts w:eastAsia="Arial" w:cs="Arial"/>
        </w:rPr>
      </w:pPr>
      <w:r>
        <w:t xml:space="preserve">Management under the </w:t>
      </w:r>
      <w:r w:rsidR="004F6B53">
        <w:t>n</w:t>
      </w:r>
      <w:r>
        <w:t xml:space="preserve">ational </w:t>
      </w:r>
      <w:r w:rsidR="004F6B53">
        <w:t>g</w:t>
      </w:r>
      <w:r>
        <w:t>uidelines requires a consisten</w:t>
      </w:r>
      <w:r w:rsidR="00015D2C">
        <w:t>t</w:t>
      </w:r>
      <w:r>
        <w:t xml:space="preserve"> approach across all client groups regardless of gender, gender identity, disabilities, mental health diagnoses, sexual practices</w:t>
      </w:r>
      <w:r w:rsidR="00A0474A">
        <w:t>/</w:t>
      </w:r>
      <w:r>
        <w:t>orientation, work practices (including sex work), injecting drug use, cultural background or religious beliefs</w:t>
      </w:r>
      <w:r w:rsidR="00A0474A">
        <w:t>. This will help</w:t>
      </w:r>
      <w:r>
        <w:t xml:space="preserve"> maintain transparency, ensure fair treatment and avoid any implication of stigma or discrimination. Such factors, and HIV</w:t>
      </w:r>
      <w:r w:rsidR="00A0474A">
        <w:t>-</w:t>
      </w:r>
      <w:r>
        <w:t xml:space="preserve">positive status, are not in and of themselves markers of risk </w:t>
      </w:r>
      <w:r w:rsidR="001C26E2">
        <w:t>behaviours</w:t>
      </w:r>
      <w:r w:rsidR="00A0652F">
        <w:t xml:space="preserve"> </w:t>
      </w:r>
      <w:r>
        <w:t>and should not be taken as proxy evidence of placing others at risk</w:t>
      </w:r>
      <w:r w:rsidR="00A0474A">
        <w:t>.</w:t>
      </w:r>
      <w:r>
        <w:t xml:space="preserve"> </w:t>
      </w:r>
      <w:r w:rsidR="00A0474A">
        <w:t>M</w:t>
      </w:r>
      <w:r>
        <w:t xml:space="preserve">ost people with HIV are motivated to avoid placing others at risk and will respond when given access to the information, education and resources needed to prevent transmission including condoms, sterile needles and syringes and access to </w:t>
      </w:r>
      <w:r w:rsidR="001E6D18" w:rsidRPr="001E6D18">
        <w:t>antiretroviral therapies</w:t>
      </w:r>
      <w:r w:rsidR="00D2502B">
        <w:t>.</w:t>
      </w:r>
    </w:p>
    <w:p w14:paraId="3F003FCD" w14:textId="1AAAFB11" w:rsidR="006B32D3" w:rsidRPr="009439E8" w:rsidRDefault="00D2502B" w:rsidP="00364EE5">
      <w:pPr>
        <w:pStyle w:val="DHHSbullet1"/>
      </w:pPr>
      <w:r>
        <w:t>E</w:t>
      </w:r>
      <w:r w:rsidR="006B32D3" w:rsidRPr="009439E8">
        <w:t>very</w:t>
      </w:r>
      <w:r>
        <w:t>one</w:t>
      </w:r>
      <w:r w:rsidR="006B32D3" w:rsidRPr="009439E8">
        <w:t xml:space="preserve"> has a responsibility to prevent themselves and others from </w:t>
      </w:r>
      <w:r w:rsidR="00BD36A1">
        <w:t>acquiring</w:t>
      </w:r>
      <w:r w:rsidR="006B32D3" w:rsidRPr="009439E8">
        <w:t xml:space="preserve"> HIV and for preventing further transmission of the virus</w:t>
      </w:r>
      <w:r>
        <w:t>.</w:t>
      </w:r>
    </w:p>
    <w:p w14:paraId="39623B38" w14:textId="3BBEA020" w:rsidR="00F468FB" w:rsidRPr="009439E8" w:rsidRDefault="00D2502B" w:rsidP="00F468FB">
      <w:pPr>
        <w:pStyle w:val="DHHSbullet1"/>
      </w:pPr>
      <w:r>
        <w:t>Most</w:t>
      </w:r>
      <w:r w:rsidR="00F468FB" w:rsidRPr="009439E8">
        <w:t xml:space="preserve"> people living with HIV who </w:t>
      </w:r>
      <w:r w:rsidR="00322F72" w:rsidRPr="009439E8">
        <w:t xml:space="preserve">engage in HIV transmission risk </w:t>
      </w:r>
      <w:r w:rsidR="00591E20">
        <w:t>behaviours</w:t>
      </w:r>
      <w:r w:rsidR="00A0652F">
        <w:t xml:space="preserve"> </w:t>
      </w:r>
      <w:r w:rsidR="00F468FB" w:rsidRPr="009439E8">
        <w:t xml:space="preserve">live with complex social, emotional, educational, cultural, intellectual and/or </w:t>
      </w:r>
      <w:r w:rsidR="00BD36A1">
        <w:t xml:space="preserve">mental health </w:t>
      </w:r>
      <w:r w:rsidR="00F468FB" w:rsidRPr="009439E8">
        <w:t xml:space="preserve">factors </w:t>
      </w:r>
      <w:r w:rsidR="00A0474A">
        <w:t>that</w:t>
      </w:r>
      <w:r w:rsidR="00A0474A" w:rsidRPr="009439E8">
        <w:t xml:space="preserve"> </w:t>
      </w:r>
      <w:r w:rsidR="00F468FB" w:rsidRPr="009439E8">
        <w:t>affect their daily lives</w:t>
      </w:r>
      <w:r w:rsidR="0020319A" w:rsidRPr="009439E8">
        <w:t>. This</w:t>
      </w:r>
      <w:r w:rsidR="00F468FB" w:rsidRPr="009439E8">
        <w:t xml:space="preserve"> includ</w:t>
      </w:r>
      <w:r w:rsidR="0020319A" w:rsidRPr="009439E8">
        <w:t>es</w:t>
      </w:r>
      <w:r w:rsidR="00F468FB" w:rsidRPr="009439E8">
        <w:t xml:space="preserve"> financial issues, homelessness and drug and alcohol use. The concept of safe </w:t>
      </w:r>
      <w:r w:rsidR="00C47329">
        <w:t xml:space="preserve">practices </w:t>
      </w:r>
      <w:r w:rsidR="00F468FB" w:rsidRPr="009439E8">
        <w:t xml:space="preserve">may therefore be difficult for a person to manage in their daily life in the presence of any, or a combination, of these factors. Finding strategies that will flexibly address these causal factors is fundamental to reducing or resolving risk </w:t>
      </w:r>
      <w:r w:rsidR="00591E20">
        <w:t>behaviours</w:t>
      </w:r>
      <w:r>
        <w:t>.</w:t>
      </w:r>
    </w:p>
    <w:p w14:paraId="0886A1F2" w14:textId="68403F1E" w:rsidR="007A2315" w:rsidRPr="007A2315" w:rsidRDefault="00D2502B" w:rsidP="007A2315">
      <w:pPr>
        <w:pStyle w:val="DHHSbullet1"/>
      </w:pPr>
      <w:r>
        <w:t>I</w:t>
      </w:r>
      <w:r w:rsidR="00F468FB" w:rsidRPr="009439E8">
        <w:t xml:space="preserve">n all relationships a range of factors including cognitive ability and power differences can affect a person’s ability to take preventive </w:t>
      </w:r>
      <w:r w:rsidR="0090314B" w:rsidRPr="009439E8">
        <w:t>measures</w:t>
      </w:r>
      <w:r>
        <w:t>.</w:t>
      </w:r>
    </w:p>
    <w:p w14:paraId="45CC431E" w14:textId="4F04619D" w:rsidR="5371612B" w:rsidRDefault="00D2502B" w:rsidP="1AF5413F">
      <w:pPr>
        <w:pStyle w:val="DHHSbullet1"/>
        <w:rPr>
          <w:rFonts w:eastAsia="Arial" w:cs="Arial"/>
        </w:rPr>
      </w:pPr>
      <w:r>
        <w:t>E</w:t>
      </w:r>
      <w:r w:rsidR="5371612B">
        <w:t xml:space="preserve">xcept in exceptional circumstances, testing for HIV should be voluntary </w:t>
      </w:r>
      <w:r w:rsidR="00482157">
        <w:t>and informed</w:t>
      </w:r>
      <w:r>
        <w:t>.</w:t>
      </w:r>
    </w:p>
    <w:p w14:paraId="63D4B286" w14:textId="65A69FF5" w:rsidR="1AF5413F" w:rsidRDefault="00A05F0D" w:rsidP="1AF5413F">
      <w:pPr>
        <w:pStyle w:val="DHHSbullet1"/>
        <w:rPr>
          <w:rFonts w:eastAsia="Arial" w:cs="Arial"/>
        </w:rPr>
      </w:pPr>
      <w:r>
        <w:t>A h</w:t>
      </w:r>
      <w:r w:rsidR="69E1C56A">
        <w:t xml:space="preserve">igh </w:t>
      </w:r>
      <w:r w:rsidR="55F83739">
        <w:t xml:space="preserve">level of </w:t>
      </w:r>
      <w:r w:rsidR="69E1C56A">
        <w:t xml:space="preserve">adherence to </w:t>
      </w:r>
      <w:r w:rsidR="00E330D6" w:rsidRPr="001E6D18">
        <w:t>antiretroviral therapies</w:t>
      </w:r>
      <w:r w:rsidR="00E330D6" w:rsidDel="00E330D6">
        <w:t xml:space="preserve"> </w:t>
      </w:r>
      <w:r w:rsidR="6380F7A9">
        <w:t>with</w:t>
      </w:r>
      <w:r w:rsidR="69E1C56A">
        <w:t xml:space="preserve"> sustained viral suppression, and retention in appropriate ongoing clinical care </w:t>
      </w:r>
      <w:r w:rsidR="331175F9">
        <w:t>with regular</w:t>
      </w:r>
      <w:r w:rsidR="69E1C56A">
        <w:t xml:space="preserve"> treatment monitoring</w:t>
      </w:r>
      <w:r>
        <w:t>, will</w:t>
      </w:r>
      <w:r w:rsidR="3E4BA3C6">
        <w:t xml:space="preserve"> </w:t>
      </w:r>
      <w:r w:rsidR="69E1C56A">
        <w:t xml:space="preserve">minimise </w:t>
      </w:r>
      <w:r>
        <w:t xml:space="preserve">the </w:t>
      </w:r>
      <w:r w:rsidR="69E1C56A">
        <w:t>risk of HIV transmission</w:t>
      </w:r>
      <w:r w:rsidR="11075EC7">
        <w:t xml:space="preserve"> and forewarn of potential </w:t>
      </w:r>
      <w:r>
        <w:t xml:space="preserve">transmission </w:t>
      </w:r>
      <w:r w:rsidR="11075EC7">
        <w:t>risk early in the case of non-adherence or detectable viral load</w:t>
      </w:r>
      <w:r w:rsidR="00D2502B">
        <w:t>.</w:t>
      </w:r>
    </w:p>
    <w:p w14:paraId="7C443DBF" w14:textId="4ECC7439" w:rsidR="1AF5413F" w:rsidRDefault="00D2502B" w:rsidP="00DA74F6">
      <w:pPr>
        <w:pStyle w:val="DHHSbullet1"/>
      </w:pPr>
      <w:r>
        <w:t>S</w:t>
      </w:r>
      <w:r w:rsidR="3821AFCD">
        <w:t xml:space="preserve">ervice providers should provide counselling and support services, including ongoing post-diagnosis counselling, to encourage </w:t>
      </w:r>
      <w:r w:rsidR="00C47329">
        <w:t>practices</w:t>
      </w:r>
      <w:r w:rsidR="00A0652F">
        <w:t xml:space="preserve"> </w:t>
      </w:r>
      <w:r w:rsidR="3821AFCD">
        <w:t xml:space="preserve">that minimise the risk of HIV transmission and ensure stable linkage to treatment and care. Specifically, clinicians have an ongoing role in routine management of their patients with HIV whose ongoing </w:t>
      </w:r>
      <w:r w:rsidR="00C47329">
        <w:t>practices</w:t>
      </w:r>
      <w:r w:rsidR="00A0652F">
        <w:t xml:space="preserve"> </w:t>
      </w:r>
      <w:r w:rsidR="3821AFCD">
        <w:t>may be placing others at risk of HIV transmission</w:t>
      </w:r>
      <w:r w:rsidR="00A05F0D">
        <w:t>.</w:t>
      </w:r>
    </w:p>
    <w:p w14:paraId="2FFF8925" w14:textId="388F7863" w:rsidR="00584D42" w:rsidRPr="00584D42" w:rsidRDefault="00D2502B" w:rsidP="00584D42">
      <w:pPr>
        <w:pStyle w:val="DHHSbullet1"/>
      </w:pPr>
      <w:r>
        <w:t>P</w:t>
      </w:r>
      <w:r w:rsidR="00F468FB" w:rsidRPr="009439E8">
        <w:t xml:space="preserve">erceived or actual stigma and discrimination can </w:t>
      </w:r>
      <w:r w:rsidR="00BE5257">
        <w:t>affect</w:t>
      </w:r>
      <w:r w:rsidR="00BE5257" w:rsidRPr="009439E8">
        <w:t xml:space="preserve"> </w:t>
      </w:r>
      <w:r w:rsidR="00BE5257">
        <w:t xml:space="preserve">a person’s </w:t>
      </w:r>
      <w:r w:rsidR="00F468FB" w:rsidRPr="009439E8">
        <w:t>willingness or ability to disclose their HIV</w:t>
      </w:r>
      <w:r w:rsidR="00BE5257">
        <w:t>-</w:t>
      </w:r>
      <w:r w:rsidR="00F468FB" w:rsidRPr="009439E8">
        <w:t xml:space="preserve">positive status, to engage in care, to </w:t>
      </w:r>
      <w:r w:rsidR="00BE5257">
        <w:t>start</w:t>
      </w:r>
      <w:r w:rsidR="00BE5257" w:rsidRPr="009439E8">
        <w:t xml:space="preserve"> </w:t>
      </w:r>
      <w:r w:rsidR="00F468FB" w:rsidRPr="009439E8">
        <w:t xml:space="preserve">and/or adhere to treatment, or </w:t>
      </w:r>
      <w:r w:rsidR="00BE5257">
        <w:t>to use</w:t>
      </w:r>
      <w:r w:rsidR="00BE5257" w:rsidRPr="009439E8">
        <w:t xml:space="preserve"> </w:t>
      </w:r>
      <w:r w:rsidR="00F468FB" w:rsidRPr="009439E8">
        <w:t>prevention strategies</w:t>
      </w:r>
      <w:r>
        <w:t>.</w:t>
      </w:r>
    </w:p>
    <w:p w14:paraId="74E57BC4" w14:textId="730A40FC" w:rsidR="00DA74F6" w:rsidRDefault="00BE5257" w:rsidP="2A3CB30D">
      <w:pPr>
        <w:pStyle w:val="DHHSbullet1"/>
        <w:rPr>
          <w:rFonts w:eastAsia="Arial" w:cs="Arial"/>
        </w:rPr>
      </w:pPr>
      <w:r>
        <w:t>W</w:t>
      </w:r>
      <w:r w:rsidR="13415840">
        <w:t>here more intensive measures are needed</w:t>
      </w:r>
      <w:r w:rsidR="00196773">
        <w:t>,</w:t>
      </w:r>
      <w:r w:rsidR="13415840">
        <w:t xml:space="preserve"> case management may be appropriate. This should involve innovative planning with a range of health and other services to deliver individualised solution</w:t>
      </w:r>
      <w:r w:rsidR="00196773">
        <w:t>s</w:t>
      </w:r>
      <w:r>
        <w:t>.</w:t>
      </w:r>
    </w:p>
    <w:p w14:paraId="1447A32C" w14:textId="25945FA4" w:rsidR="001C1EE4" w:rsidRDefault="00D2502B" w:rsidP="00D705C9">
      <w:pPr>
        <w:pStyle w:val="DHHSbullet1lastline"/>
      </w:pPr>
      <w:r>
        <w:t>T</w:t>
      </w:r>
      <w:r w:rsidR="0020319A" w:rsidRPr="009439E8">
        <w:t xml:space="preserve">he </w:t>
      </w:r>
      <w:r w:rsidR="00F468FB" w:rsidRPr="009439E8">
        <w:t>aim</w:t>
      </w:r>
      <w:r w:rsidR="0020319A" w:rsidRPr="009439E8">
        <w:t xml:space="preserve"> is</w:t>
      </w:r>
      <w:r w:rsidR="00F468FB" w:rsidRPr="009439E8">
        <w:t xml:space="preserve"> to de-escalate or discharge people from management under the </w:t>
      </w:r>
      <w:r w:rsidR="004F6B53">
        <w:t>g</w:t>
      </w:r>
      <w:r w:rsidR="00F468FB" w:rsidRPr="009439E8">
        <w:t>uidelines</w:t>
      </w:r>
      <w:r w:rsidR="00196773">
        <w:t>,</w:t>
      </w:r>
      <w:r w:rsidR="00F468FB" w:rsidRPr="009439E8">
        <w:t xml:space="preserve"> unless necessary to protect public health</w:t>
      </w:r>
      <w:r w:rsidR="0090314B" w:rsidRPr="009439E8">
        <w:t>.</w:t>
      </w:r>
    </w:p>
    <w:p w14:paraId="2E802286" w14:textId="30928728" w:rsidR="005C4B2E" w:rsidRDefault="00F922A6" w:rsidP="001C1EE4">
      <w:pPr>
        <w:pStyle w:val="DHHSbullet1"/>
        <w:numPr>
          <w:ilvl w:val="0"/>
          <w:numId w:val="0"/>
        </w:numPr>
      </w:pPr>
      <w:r>
        <w:t xml:space="preserve">These guidelines </w:t>
      </w:r>
      <w:r w:rsidR="00BE5257">
        <w:t>aim to help realise the goal of the</w:t>
      </w:r>
      <w:r w:rsidR="005E421A">
        <w:t xml:space="preserve"> </w:t>
      </w:r>
      <w:r w:rsidR="00F3212F" w:rsidRPr="00F3212F">
        <w:rPr>
          <w:rFonts w:eastAsia="Times New Roman"/>
          <w:i/>
          <w:iCs/>
        </w:rPr>
        <w:t xml:space="preserve">Victorian HIV </w:t>
      </w:r>
      <w:r w:rsidR="00BE5257">
        <w:rPr>
          <w:rFonts w:eastAsia="Times New Roman"/>
          <w:i/>
          <w:iCs/>
        </w:rPr>
        <w:t>p</w:t>
      </w:r>
      <w:r w:rsidR="00F3212F" w:rsidRPr="00F3212F">
        <w:rPr>
          <w:rFonts w:eastAsia="Times New Roman"/>
          <w:i/>
          <w:iCs/>
        </w:rPr>
        <w:t>lan 2021</w:t>
      </w:r>
      <w:r w:rsidR="00BE5257">
        <w:rPr>
          <w:rFonts w:eastAsia="Times New Roman"/>
          <w:i/>
          <w:iCs/>
        </w:rPr>
        <w:t>–</w:t>
      </w:r>
      <w:r w:rsidR="00F3212F" w:rsidRPr="00F3212F">
        <w:rPr>
          <w:rFonts w:eastAsia="Times New Roman"/>
          <w:i/>
          <w:iCs/>
        </w:rPr>
        <w:t>2025</w:t>
      </w:r>
      <w:r w:rsidR="00BE5257">
        <w:rPr>
          <w:rFonts w:eastAsia="Times New Roman"/>
          <w:i/>
          <w:iCs/>
        </w:rPr>
        <w:t xml:space="preserve"> </w:t>
      </w:r>
      <w:r w:rsidR="005C4B2E">
        <w:t>to</w:t>
      </w:r>
      <w:r w:rsidR="3F9BAF5D">
        <w:t xml:space="preserve"> eliminate HIV transmission</w:t>
      </w:r>
      <w:r w:rsidR="24B6C59B">
        <w:t>, eliminate</w:t>
      </w:r>
      <w:r w:rsidR="008412E9" w:rsidRPr="008412E9">
        <w:t xml:space="preserve"> stigma and discrimination</w:t>
      </w:r>
      <w:r w:rsidR="008412E9">
        <w:t xml:space="preserve"> </w:t>
      </w:r>
      <w:r w:rsidR="008412E9" w:rsidRPr="008412E9">
        <w:t>related to HIV and achieve the 95-</w:t>
      </w:r>
      <w:r w:rsidR="00901354" w:rsidRPr="008412E9">
        <w:t>9</w:t>
      </w:r>
      <w:r w:rsidR="00901354">
        <w:t>8</w:t>
      </w:r>
      <w:r w:rsidR="008412E9" w:rsidRPr="008412E9">
        <w:t>-9</w:t>
      </w:r>
      <w:r w:rsidR="00901354">
        <w:t>8</w:t>
      </w:r>
      <w:r w:rsidR="008412E9" w:rsidRPr="008412E9">
        <w:t xml:space="preserve"> targets for diagnosis,</w:t>
      </w:r>
      <w:r w:rsidR="008412E9">
        <w:t xml:space="preserve"> </w:t>
      </w:r>
      <w:r w:rsidR="008412E9" w:rsidRPr="008412E9">
        <w:t>treatment and viral load by 20</w:t>
      </w:r>
      <w:r w:rsidR="00842B6B">
        <w:t>25</w:t>
      </w:r>
      <w:r w:rsidR="00BE5257">
        <w:t>. This will be achieved</w:t>
      </w:r>
      <w:r w:rsidR="11A1AABD">
        <w:t xml:space="preserve"> through a focus on increasing </w:t>
      </w:r>
      <w:r w:rsidR="2A044A8B">
        <w:t>effective</w:t>
      </w:r>
      <w:r w:rsidR="11A1AABD">
        <w:t xml:space="preserve"> HIV</w:t>
      </w:r>
      <w:r w:rsidR="5DEF1D27">
        <w:t xml:space="preserve"> </w:t>
      </w:r>
      <w:r w:rsidR="11A1AABD">
        <w:t>prevention, testing and treatment for Victorians</w:t>
      </w:r>
      <w:r w:rsidR="23231496">
        <w:t>.</w:t>
      </w:r>
    </w:p>
    <w:p w14:paraId="419B95CB" w14:textId="57CA8991" w:rsidR="00DA2076" w:rsidRPr="009439E8" w:rsidRDefault="00854B73" w:rsidP="002346FD">
      <w:pPr>
        <w:pStyle w:val="DHHSbody"/>
        <w:spacing w:before="240"/>
      </w:pPr>
      <w:r w:rsidRPr="009439E8">
        <w:t>In addition, t</w:t>
      </w:r>
      <w:r w:rsidR="00DA2076" w:rsidRPr="009439E8">
        <w:t>he following</w:t>
      </w:r>
      <w:r w:rsidR="00E92A67" w:rsidRPr="009439E8">
        <w:t xml:space="preserve"> </w:t>
      </w:r>
      <w:r w:rsidR="00DA2076" w:rsidRPr="009439E8">
        <w:t>principles apply to manag</w:t>
      </w:r>
      <w:r w:rsidR="00BE5257">
        <w:t>ing</w:t>
      </w:r>
      <w:r w:rsidR="00DA2076" w:rsidRPr="009439E8">
        <w:t xml:space="preserve"> and control</w:t>
      </w:r>
      <w:r w:rsidR="00BE5257">
        <w:t>ling</w:t>
      </w:r>
      <w:r w:rsidR="00DA2076" w:rsidRPr="009439E8">
        <w:t xml:space="preserve"> HIV under </w:t>
      </w:r>
      <w:r w:rsidRPr="009439E8">
        <w:t xml:space="preserve">the </w:t>
      </w:r>
      <w:r w:rsidR="00DA2076" w:rsidRPr="009439E8">
        <w:t>PHW Act:</w:t>
      </w:r>
    </w:p>
    <w:p w14:paraId="08CE5B46" w14:textId="43999CB9" w:rsidR="00DA2076" w:rsidRPr="009439E8" w:rsidRDefault="00DA2076" w:rsidP="00DA2076">
      <w:pPr>
        <w:pStyle w:val="DHHSbullet1"/>
      </w:pPr>
      <w:r w:rsidRPr="009439E8">
        <w:lastRenderedPageBreak/>
        <w:t>A person at risk of contracting HIV should take all reasonable precautions to avoid contracting the disease</w:t>
      </w:r>
      <w:r w:rsidR="00BE5257">
        <w:t>.</w:t>
      </w:r>
    </w:p>
    <w:p w14:paraId="6F904DB1" w14:textId="5CA7F513" w:rsidR="00DA2076" w:rsidRPr="009439E8" w:rsidRDefault="00DA2076" w:rsidP="00DA2076">
      <w:pPr>
        <w:pStyle w:val="DHHSbullet1"/>
      </w:pPr>
      <w:r w:rsidRPr="009439E8">
        <w:t>A person who is at risk of contracting HIV</w:t>
      </w:r>
      <w:r w:rsidR="00347510">
        <w:t xml:space="preserve">, or who has or </w:t>
      </w:r>
      <w:r w:rsidRPr="009439E8">
        <w:t>suspects that they may have HIV</w:t>
      </w:r>
      <w:r w:rsidR="00347510">
        <w:t>,</w:t>
      </w:r>
      <w:r w:rsidRPr="009439E8">
        <w:t xml:space="preserve"> is entitled to receive information about HIV and appropriate treatments and</w:t>
      </w:r>
      <w:r w:rsidR="00E512C1">
        <w:t>,</w:t>
      </w:r>
      <w:r w:rsidRPr="009439E8">
        <w:t xml:space="preserve"> if infected, have access to appropriate treatments</w:t>
      </w:r>
      <w:r w:rsidR="00BE5257">
        <w:t>.</w:t>
      </w:r>
    </w:p>
    <w:p w14:paraId="0E016129" w14:textId="6E32F0D1" w:rsidR="00DA2076" w:rsidRPr="009439E8" w:rsidRDefault="00DA2076" w:rsidP="00DA2076">
      <w:pPr>
        <w:pStyle w:val="DHHSbullet1"/>
      </w:pPr>
      <w:r w:rsidRPr="009439E8">
        <w:t>A person who has</w:t>
      </w:r>
      <w:r w:rsidR="00347510">
        <w:t xml:space="preserve"> or </w:t>
      </w:r>
      <w:r w:rsidRPr="009439E8">
        <w:t xml:space="preserve">suspects they may have HIV should ascertain whether they have HIV and what precautions they should take to prevent transmission. They should take all reasonable steps to eliminate or reduce the risk of any other person contracting HIV </w:t>
      </w:r>
      <w:r w:rsidR="006611EE">
        <w:t>from</w:t>
      </w:r>
      <w:r w:rsidRPr="009439E8">
        <w:t xml:space="preserve"> them</w:t>
      </w:r>
      <w:r w:rsidR="00BE5257">
        <w:t>.</w:t>
      </w:r>
    </w:p>
    <w:p w14:paraId="42F04EA9" w14:textId="1806852F" w:rsidR="00D442FB" w:rsidRPr="009439E8" w:rsidRDefault="00DA2076" w:rsidP="000A2B93">
      <w:pPr>
        <w:pStyle w:val="DHHSbullet1"/>
      </w:pPr>
      <w:r w:rsidRPr="009439E8">
        <w:t xml:space="preserve">The transmission of HIV should be prevented or minimised with the minimum restriction on the rights of any person. </w:t>
      </w:r>
    </w:p>
    <w:p w14:paraId="2A737E9E" w14:textId="7B1786A8" w:rsidR="00B66726" w:rsidRPr="009439E8" w:rsidRDefault="00DA2076" w:rsidP="002346FD">
      <w:pPr>
        <w:pStyle w:val="DHHSbody"/>
        <w:spacing w:before="240"/>
        <w:rPr>
          <w:rFonts w:eastAsia="Arial" w:cs="Arial"/>
        </w:rPr>
      </w:pPr>
      <w:r w:rsidRPr="009439E8">
        <w:t xml:space="preserve">Escalating interventions may be needed, with preference always given to strategies that are least restrictive. Restrictive </w:t>
      </w:r>
      <w:r w:rsidR="00B71D5E" w:rsidRPr="009439E8">
        <w:t>measure</w:t>
      </w:r>
      <w:r w:rsidR="009439E8">
        <w:t>s</w:t>
      </w:r>
      <w:r w:rsidR="00B71D5E" w:rsidRPr="009439E8">
        <w:t xml:space="preserve"> </w:t>
      </w:r>
      <w:r w:rsidRPr="009439E8">
        <w:t xml:space="preserve">such as detention or isolation should </w:t>
      </w:r>
      <w:r w:rsidR="32BF5764">
        <w:t>only</w:t>
      </w:r>
      <w:r>
        <w:t xml:space="preserve"> </w:t>
      </w:r>
      <w:r w:rsidRPr="009439E8">
        <w:t xml:space="preserve">be very rarely </w:t>
      </w:r>
      <w:r w:rsidR="00B71D5E" w:rsidRPr="009439E8">
        <w:t>applied</w:t>
      </w:r>
      <w:r w:rsidR="28B789AE">
        <w:t xml:space="preserve"> and limited to extreme circumstances.</w:t>
      </w:r>
      <w:r w:rsidR="3187EC34">
        <w:t xml:space="preserve"> In addition, referral or involvement of police is appropriate only as a last resort</w:t>
      </w:r>
      <w:r w:rsidR="3187EC34" w:rsidRPr="00961A3B">
        <w:t>.</w:t>
      </w:r>
      <w:r w:rsidR="006B67C6" w:rsidRPr="00961A3B">
        <w:t xml:space="preserve"> </w:t>
      </w:r>
      <w:r w:rsidR="007804BA" w:rsidRPr="00961A3B">
        <w:t xml:space="preserve">Referral to police should be reserved for circumstances where the </w:t>
      </w:r>
      <w:r w:rsidR="006D4FF7">
        <w:t>CHO</w:t>
      </w:r>
      <w:r w:rsidR="007804BA" w:rsidRPr="00961A3B">
        <w:t xml:space="preserve"> or delegate reasonably believe that either a serious criminal offence has occurred, or that the person under management has intentionally transmitted HIV to another person.</w:t>
      </w:r>
    </w:p>
    <w:p w14:paraId="42D7D3C5" w14:textId="20479BB3" w:rsidR="000A2B93" w:rsidRPr="009439E8" w:rsidRDefault="00DA2076" w:rsidP="00DA2076">
      <w:pPr>
        <w:pStyle w:val="DHHSbullet1"/>
        <w:numPr>
          <w:ilvl w:val="0"/>
          <w:numId w:val="0"/>
        </w:numPr>
      </w:pPr>
      <w:r w:rsidRPr="009439E8">
        <w:t xml:space="preserve">In accordance with these principles the </w:t>
      </w:r>
      <w:r w:rsidR="008C0311" w:rsidRPr="009439E8">
        <w:t xml:space="preserve">CHO </w:t>
      </w:r>
      <w:r w:rsidR="006D4FF7">
        <w:t xml:space="preserve">expects </w:t>
      </w:r>
      <w:r w:rsidRPr="009439E8">
        <w:t>that pe</w:t>
      </w:r>
      <w:r w:rsidR="0090314B" w:rsidRPr="009439E8">
        <w:t>ople</w:t>
      </w:r>
      <w:r w:rsidRPr="009439E8">
        <w:t xml:space="preserve"> living with HIV</w:t>
      </w:r>
      <w:r w:rsidR="006D4FF7">
        <w:t>,</w:t>
      </w:r>
      <w:r w:rsidRPr="009439E8">
        <w:t xml:space="preserve"> or those who believe they may have HIV, will take all reasonable steps to eliminate </w:t>
      </w:r>
      <w:r w:rsidR="7B629D23">
        <w:t>or</w:t>
      </w:r>
      <w:r w:rsidR="6704402D">
        <w:t xml:space="preserve"> minimi</w:t>
      </w:r>
      <w:r w:rsidR="00B4654F">
        <w:t>s</w:t>
      </w:r>
      <w:r w:rsidR="6704402D">
        <w:t>e</w:t>
      </w:r>
      <w:r w:rsidRPr="009439E8">
        <w:t xml:space="preserve"> their risk of transmission. </w:t>
      </w:r>
      <w:r w:rsidR="00B71D5E" w:rsidRPr="009439E8">
        <w:t xml:space="preserve">What is considered reasonable is discussed in the next section. </w:t>
      </w:r>
      <w:r w:rsidRPr="009439E8">
        <w:t xml:space="preserve">Similarly, there is an expectation that all reasonable precautions should be taken to avoid contracting HIV. </w:t>
      </w:r>
      <w:r w:rsidR="00B71D5E" w:rsidRPr="009439E8">
        <w:t xml:space="preserve">The </w:t>
      </w:r>
      <w:r w:rsidR="008C0311" w:rsidRPr="009439E8">
        <w:t xml:space="preserve">CHO </w:t>
      </w:r>
      <w:r w:rsidR="00B71D5E" w:rsidRPr="009439E8">
        <w:t xml:space="preserve">recommends </w:t>
      </w:r>
      <w:r w:rsidRPr="009439E8">
        <w:t xml:space="preserve">that </w:t>
      </w:r>
      <w:r w:rsidR="00B71D5E" w:rsidRPr="009439E8">
        <w:t xml:space="preserve">all </w:t>
      </w:r>
      <w:r w:rsidRPr="009439E8">
        <w:t xml:space="preserve">people practice </w:t>
      </w:r>
      <w:r w:rsidR="00D12B47">
        <w:t>safer</w:t>
      </w:r>
      <w:r w:rsidR="00D12B47" w:rsidRPr="009439E8">
        <w:t xml:space="preserve"> </w:t>
      </w:r>
      <w:r w:rsidRPr="009439E8">
        <w:t>sex and safe injecting.</w:t>
      </w:r>
    </w:p>
    <w:p w14:paraId="5C22E23F" w14:textId="77777777" w:rsidR="002346FD" w:rsidRPr="009439E8" w:rsidRDefault="002346FD">
      <w:pPr>
        <w:rPr>
          <w:rFonts w:ascii="Arial" w:eastAsia="Arial" w:hAnsi="Arial"/>
          <w:bCs/>
          <w:color w:val="004EA8"/>
          <w:sz w:val="44"/>
          <w:szCs w:val="44"/>
        </w:rPr>
      </w:pPr>
      <w:bookmarkStart w:id="7" w:name="_Toc20311919"/>
      <w:r w:rsidRPr="009439E8">
        <w:rPr>
          <w:rFonts w:eastAsia="Arial"/>
        </w:rPr>
        <w:br w:type="page"/>
      </w:r>
    </w:p>
    <w:p w14:paraId="2672BE32" w14:textId="35AAB220" w:rsidR="0043457D" w:rsidRPr="009439E8" w:rsidRDefault="0020319A" w:rsidP="004B2E44">
      <w:pPr>
        <w:pStyle w:val="Heading1"/>
        <w:rPr>
          <w:rFonts w:eastAsia="Arial"/>
        </w:rPr>
      </w:pPr>
      <w:bookmarkStart w:id="8" w:name="_Toc89268498"/>
      <w:r w:rsidRPr="009439E8">
        <w:rPr>
          <w:rFonts w:eastAsia="Arial"/>
        </w:rPr>
        <w:lastRenderedPageBreak/>
        <w:t xml:space="preserve">The </w:t>
      </w:r>
      <w:r w:rsidR="00A31B2B">
        <w:rPr>
          <w:rFonts w:eastAsia="Arial"/>
        </w:rPr>
        <w:t>s</w:t>
      </w:r>
      <w:r w:rsidRPr="009439E8">
        <w:rPr>
          <w:rFonts w:eastAsia="Arial"/>
        </w:rPr>
        <w:t xml:space="preserve">cope </w:t>
      </w:r>
      <w:r w:rsidR="0043457D" w:rsidRPr="009439E8">
        <w:rPr>
          <w:rFonts w:eastAsia="Arial"/>
        </w:rPr>
        <w:t xml:space="preserve">of the </w:t>
      </w:r>
      <w:r w:rsidR="00A31B2B">
        <w:rPr>
          <w:rFonts w:eastAsia="Arial"/>
        </w:rPr>
        <w:t>g</w:t>
      </w:r>
      <w:r w:rsidR="0043457D" w:rsidRPr="009439E8">
        <w:rPr>
          <w:rFonts w:eastAsia="Arial"/>
        </w:rPr>
        <w:t>uidelines</w:t>
      </w:r>
      <w:bookmarkEnd w:id="7"/>
      <w:bookmarkEnd w:id="8"/>
    </w:p>
    <w:p w14:paraId="1973344E" w14:textId="4D376173" w:rsidR="006E2471" w:rsidRDefault="00886AD2" w:rsidP="008E433C">
      <w:pPr>
        <w:pStyle w:val="DHHSbody"/>
        <w:rPr>
          <w:b/>
        </w:rPr>
      </w:pPr>
      <w:r w:rsidRPr="009439E8">
        <w:t>The</w:t>
      </w:r>
      <w:r w:rsidR="000A62F2" w:rsidRPr="009439E8">
        <w:t>se</w:t>
      </w:r>
      <w:r w:rsidR="0012300F" w:rsidRPr="009439E8">
        <w:t xml:space="preserve"> </w:t>
      </w:r>
      <w:r w:rsidR="004F6B53">
        <w:t>g</w:t>
      </w:r>
      <w:r w:rsidRPr="009439E8">
        <w:t xml:space="preserve">uidelines apply when </w:t>
      </w:r>
      <w:r w:rsidR="0020319A" w:rsidRPr="009439E8">
        <w:t xml:space="preserve">the </w:t>
      </w:r>
      <w:r w:rsidR="00D420A7">
        <w:t>behaviours</w:t>
      </w:r>
      <w:r w:rsidR="0020319A" w:rsidRPr="009439E8">
        <w:t xml:space="preserve"> of </w:t>
      </w:r>
      <w:r w:rsidR="009F286D" w:rsidRPr="009439E8">
        <w:t xml:space="preserve">a </w:t>
      </w:r>
      <w:r w:rsidR="0090314B" w:rsidRPr="009439E8">
        <w:t>person</w:t>
      </w:r>
      <w:r w:rsidR="009F286D" w:rsidRPr="009439E8">
        <w:t xml:space="preserve"> living </w:t>
      </w:r>
      <w:r w:rsidRPr="009439E8">
        <w:t>with HIV present a real and immediate risk of HIV transmission</w:t>
      </w:r>
      <w:r w:rsidR="0012300F" w:rsidRPr="009439E8">
        <w:t xml:space="preserve"> </w:t>
      </w:r>
      <w:r w:rsidRPr="009439E8">
        <w:t xml:space="preserve">and where management of that risk by the person’s health care team has been unsuccessful. </w:t>
      </w:r>
      <w:r w:rsidR="00CC6E63" w:rsidRPr="009439E8">
        <w:t>The presence of a detectable viral load does not</w:t>
      </w:r>
      <w:r w:rsidR="000D00AB" w:rsidRPr="009439E8">
        <w:t xml:space="preserve"> in </w:t>
      </w:r>
      <w:r w:rsidR="00CC6E63" w:rsidRPr="009439E8">
        <w:t xml:space="preserve">itself warrant management under these </w:t>
      </w:r>
      <w:r w:rsidR="004F6B53">
        <w:t>g</w:t>
      </w:r>
      <w:r w:rsidR="00CC6E63" w:rsidRPr="009439E8">
        <w:t xml:space="preserve">uidelines unless </w:t>
      </w:r>
      <w:r w:rsidR="71FFF79C">
        <w:t>it is also associated with</w:t>
      </w:r>
      <w:r w:rsidR="3B627887">
        <w:t xml:space="preserve"> </w:t>
      </w:r>
      <w:r w:rsidR="00CC6E63" w:rsidRPr="009439E8">
        <w:t xml:space="preserve">transmission risk </w:t>
      </w:r>
      <w:r w:rsidR="00154435">
        <w:t>practices</w:t>
      </w:r>
      <w:r w:rsidR="00CC6E63" w:rsidRPr="009439E8">
        <w:t>.</w:t>
      </w:r>
      <w:r w:rsidR="0090314B" w:rsidRPr="009439E8">
        <w:t xml:space="preserve"> </w:t>
      </w:r>
      <w:bookmarkStart w:id="9" w:name="_Hlk30593305"/>
      <w:r w:rsidR="000D00AB" w:rsidRPr="009439E8">
        <w:rPr>
          <w:b/>
        </w:rPr>
        <w:t xml:space="preserve">The </w:t>
      </w:r>
      <w:r w:rsidR="00A31B2B">
        <w:rPr>
          <w:b/>
        </w:rPr>
        <w:t>g</w:t>
      </w:r>
      <w:r w:rsidR="000D00AB" w:rsidRPr="009439E8">
        <w:rPr>
          <w:b/>
        </w:rPr>
        <w:t>uidelines do not apply when</w:t>
      </w:r>
      <w:r w:rsidR="00305308" w:rsidRPr="009439E8">
        <w:rPr>
          <w:b/>
        </w:rPr>
        <w:t xml:space="preserve"> </w:t>
      </w:r>
      <w:r w:rsidR="00E94EB3" w:rsidRPr="009439E8">
        <w:rPr>
          <w:b/>
        </w:rPr>
        <w:t xml:space="preserve">a </w:t>
      </w:r>
      <w:r w:rsidR="000D00AB" w:rsidRPr="009439E8">
        <w:rPr>
          <w:b/>
        </w:rPr>
        <w:t xml:space="preserve">person living with HIV is </w:t>
      </w:r>
      <w:r w:rsidR="3368E339" w:rsidRPr="2AEA530C">
        <w:rPr>
          <w:b/>
          <w:bCs/>
        </w:rPr>
        <w:t>consistently</w:t>
      </w:r>
      <w:r w:rsidR="00154435">
        <w:rPr>
          <w:b/>
          <w:bCs/>
        </w:rPr>
        <w:t xml:space="preserve"> </w:t>
      </w:r>
      <w:r w:rsidR="000D00AB" w:rsidRPr="009439E8">
        <w:rPr>
          <w:b/>
        </w:rPr>
        <w:t xml:space="preserve">taking reasonable steps </w:t>
      </w:r>
      <w:r w:rsidR="00626597">
        <w:rPr>
          <w:b/>
        </w:rPr>
        <w:t xml:space="preserve">to </w:t>
      </w:r>
      <w:r w:rsidR="000D00AB" w:rsidRPr="009439E8">
        <w:rPr>
          <w:b/>
        </w:rPr>
        <w:t xml:space="preserve">prevent </w:t>
      </w:r>
      <w:r w:rsidR="7461CFB2" w:rsidRPr="06C86392">
        <w:rPr>
          <w:b/>
          <w:bCs/>
        </w:rPr>
        <w:t>onward</w:t>
      </w:r>
      <w:r w:rsidR="1165C81A" w:rsidRPr="06C86392">
        <w:rPr>
          <w:b/>
          <w:bCs/>
        </w:rPr>
        <w:t xml:space="preserve"> </w:t>
      </w:r>
      <w:r w:rsidR="000D00AB" w:rsidRPr="009439E8">
        <w:rPr>
          <w:b/>
        </w:rPr>
        <w:t>HIV transmission</w:t>
      </w:r>
      <w:r w:rsidR="00305308" w:rsidRPr="009439E8">
        <w:rPr>
          <w:b/>
        </w:rPr>
        <w:t>.</w:t>
      </w:r>
      <w:r w:rsidR="00A31B2B">
        <w:rPr>
          <w:b/>
        </w:rPr>
        <w:t xml:space="preserve"> </w:t>
      </w:r>
      <w:bookmarkEnd w:id="9"/>
    </w:p>
    <w:p w14:paraId="06FC54C3" w14:textId="0C83A1F2" w:rsidR="00442C35" w:rsidRPr="009439E8" w:rsidRDefault="00442C35" w:rsidP="008E433C">
      <w:pPr>
        <w:pStyle w:val="DHHSbody"/>
      </w:pPr>
      <w:r w:rsidRPr="009439E8">
        <w:t xml:space="preserve">Reasonable steps </w:t>
      </w:r>
      <w:r w:rsidR="009755EF">
        <w:t>to</w:t>
      </w:r>
      <w:r w:rsidR="009755EF" w:rsidRPr="009439E8">
        <w:t xml:space="preserve"> </w:t>
      </w:r>
      <w:r w:rsidRPr="009439E8">
        <w:t xml:space="preserve">prevent transmission </w:t>
      </w:r>
      <w:r w:rsidR="29F65388">
        <w:t>may</w:t>
      </w:r>
      <w:r>
        <w:t xml:space="preserve"> </w:t>
      </w:r>
      <w:r w:rsidRPr="009439E8">
        <w:t>include</w:t>
      </w:r>
      <w:r w:rsidR="3EC821D9">
        <w:t xml:space="preserve"> a combination of the following</w:t>
      </w:r>
      <w:r w:rsidRPr="009439E8">
        <w:t xml:space="preserve">: </w:t>
      </w:r>
    </w:p>
    <w:p w14:paraId="26B9AB5D" w14:textId="52391BA1" w:rsidR="00442C35" w:rsidRPr="009439E8" w:rsidRDefault="00E07A71" w:rsidP="002346FD">
      <w:pPr>
        <w:pStyle w:val="DHHSbullet1"/>
      </w:pPr>
      <w:r>
        <w:t>h</w:t>
      </w:r>
      <w:r w:rsidR="00442C35" w:rsidRPr="009439E8">
        <w:t>aving a sustained undetectable viral load</w:t>
      </w:r>
      <w:r w:rsidR="007C35B0" w:rsidRPr="009439E8">
        <w:t xml:space="preserve"> of less than 200 copies/m</w:t>
      </w:r>
      <w:r>
        <w:t>L – p</w:t>
      </w:r>
      <w:r w:rsidR="272D2BD7">
        <w:t xml:space="preserve">ublic health risks are </w:t>
      </w:r>
      <w:r w:rsidR="492A4183">
        <w:t xml:space="preserve">maximally </w:t>
      </w:r>
      <w:r w:rsidR="272D2BD7">
        <w:t>reduced</w:t>
      </w:r>
      <w:r w:rsidR="36DB7BA6">
        <w:t xml:space="preserve"> </w:t>
      </w:r>
      <w:bookmarkStart w:id="10" w:name="_Hlk30592212"/>
      <w:r w:rsidR="21A7550E">
        <w:t xml:space="preserve">when </w:t>
      </w:r>
      <w:r w:rsidR="00442C35" w:rsidRPr="009439E8">
        <w:t xml:space="preserve">a </w:t>
      </w:r>
      <w:r w:rsidR="00DB66BB" w:rsidRPr="009439E8">
        <w:t xml:space="preserve">person </w:t>
      </w:r>
      <w:r w:rsidR="60327899">
        <w:t>ha</w:t>
      </w:r>
      <w:r w:rsidR="12172E08">
        <w:t>s</w:t>
      </w:r>
      <w:r w:rsidR="4F164B14">
        <w:t xml:space="preserve"> a</w:t>
      </w:r>
      <w:r w:rsidR="004F1161">
        <w:t xml:space="preserve"> </w:t>
      </w:r>
      <w:r w:rsidR="00442C35" w:rsidRPr="009439E8">
        <w:t>sustained undetectable viral load</w:t>
      </w:r>
      <w:r w:rsidR="007C35B0" w:rsidRPr="009439E8">
        <w:t xml:space="preserve"> </w:t>
      </w:r>
      <w:r w:rsidR="1704BFE3">
        <w:t xml:space="preserve">with </w:t>
      </w:r>
      <w:r w:rsidR="00DB66BB" w:rsidRPr="009439E8">
        <w:t xml:space="preserve">two </w:t>
      </w:r>
      <w:r w:rsidR="00442C35" w:rsidRPr="009439E8">
        <w:t>documented undetectable viral loads at least three months apart</w:t>
      </w:r>
      <w:r w:rsidR="00050538">
        <w:t xml:space="preserve"> in a six</w:t>
      </w:r>
      <w:r>
        <w:t>-</w:t>
      </w:r>
      <w:r w:rsidR="00050538">
        <w:t>month period</w:t>
      </w:r>
      <w:r w:rsidR="00442C35" w:rsidRPr="009439E8">
        <w:t xml:space="preserve"> </w:t>
      </w:r>
      <w:sdt>
        <w:sdtPr>
          <w:id w:val="-49921457"/>
          <w:citation/>
        </w:sdtPr>
        <w:sdtContent>
          <w:r w:rsidR="00034158">
            <w:fldChar w:fldCharType="begin"/>
          </w:r>
          <w:r w:rsidR="00BC4409">
            <w:instrText xml:space="preserve">CITATION Eis19 \l 3081 </w:instrText>
          </w:r>
          <w:r w:rsidR="00034158">
            <w:fldChar w:fldCharType="separate"/>
          </w:r>
          <w:r w:rsidR="00BC4409">
            <w:rPr>
              <w:noProof/>
            </w:rPr>
            <w:t>(9)</w:t>
          </w:r>
          <w:r w:rsidR="00034158">
            <w:fldChar w:fldCharType="end"/>
          </w:r>
        </w:sdtContent>
      </w:sdt>
      <w:r w:rsidR="005F1A7F">
        <w:t xml:space="preserve"> </w:t>
      </w:r>
      <w:r w:rsidR="00442C35" w:rsidRPr="009439E8">
        <w:t xml:space="preserve">and </w:t>
      </w:r>
      <w:r w:rsidR="00DB66BB" w:rsidRPr="009439E8">
        <w:t xml:space="preserve">is engaged in </w:t>
      </w:r>
      <w:r w:rsidR="00442C35" w:rsidRPr="009439E8">
        <w:t>appropriate clinical care and treatment monitoring</w:t>
      </w:r>
    </w:p>
    <w:bookmarkEnd w:id="10"/>
    <w:p w14:paraId="3BEFD9B7" w14:textId="517AAC69" w:rsidR="00442C35" w:rsidRPr="009439E8" w:rsidRDefault="00E07A71" w:rsidP="002346FD">
      <w:pPr>
        <w:pStyle w:val="DHHSbullet1"/>
      </w:pPr>
      <w:r>
        <w:t>c</w:t>
      </w:r>
      <w:r w:rsidR="37B1CF06">
        <w:t>onsistent c</w:t>
      </w:r>
      <w:r w:rsidR="00442C35" w:rsidRPr="009439E8">
        <w:t>ondom use with lubricant</w:t>
      </w:r>
    </w:p>
    <w:p w14:paraId="3ACCA3C0" w14:textId="0F33847E" w:rsidR="00BB0233" w:rsidRPr="009439E8" w:rsidRDefault="00E07A71" w:rsidP="002346FD">
      <w:pPr>
        <w:pStyle w:val="DHHSbullet1"/>
      </w:pPr>
      <w:r>
        <w:t>c</w:t>
      </w:r>
      <w:r w:rsidR="1B85E5E3">
        <w:t>onsistent d</w:t>
      </w:r>
      <w:r w:rsidR="00442C35" w:rsidRPr="009439E8">
        <w:t xml:space="preserve">isclosure of positive HIV status prior to </w:t>
      </w:r>
      <w:r w:rsidR="009B77D7">
        <w:t xml:space="preserve">engaging in </w:t>
      </w:r>
      <w:r w:rsidR="00442C35" w:rsidRPr="009439E8">
        <w:t>sex</w:t>
      </w:r>
      <w:r w:rsidR="00BB0233">
        <w:rPr>
          <w:rStyle w:val="FootnoteReference"/>
        </w:rPr>
        <w:footnoteReference w:id="2"/>
      </w:r>
    </w:p>
    <w:p w14:paraId="7A940241" w14:textId="1BF87261" w:rsidR="00442C35" w:rsidRPr="009439E8" w:rsidRDefault="00E07A71" w:rsidP="00BB0233">
      <w:pPr>
        <w:pStyle w:val="DHHSbullet1"/>
      </w:pPr>
      <w:r>
        <w:t>s</w:t>
      </w:r>
      <w:r w:rsidR="00442C35" w:rsidRPr="009439E8">
        <w:t>eeking</w:t>
      </w:r>
      <w:r w:rsidR="00491B45" w:rsidRPr="009439E8">
        <w:t xml:space="preserve"> </w:t>
      </w:r>
      <w:r w:rsidR="00442C35" w:rsidRPr="009439E8">
        <w:t xml:space="preserve">confirmation from sexual partners that they are taking HIV pre-exposure </w:t>
      </w:r>
      <w:r w:rsidR="00CF2981" w:rsidRPr="009439E8">
        <w:t xml:space="preserve">prophylaxis </w:t>
      </w:r>
      <w:r w:rsidR="00442C35" w:rsidRPr="009439E8">
        <w:t>(PrEP)</w:t>
      </w:r>
    </w:p>
    <w:p w14:paraId="3965DCF7" w14:textId="0511B055" w:rsidR="00455F93" w:rsidRPr="009439E8" w:rsidRDefault="00E07A71" w:rsidP="008E433C">
      <w:pPr>
        <w:pStyle w:val="DHHSbullet1lastline"/>
      </w:pPr>
      <w:r>
        <w:t>s</w:t>
      </w:r>
      <w:r w:rsidR="00442C35" w:rsidRPr="009439E8">
        <w:t>afer injecting practices including us</w:t>
      </w:r>
      <w:r w:rsidR="00127573">
        <w:t>ing</w:t>
      </w:r>
      <w:r w:rsidR="00442C35" w:rsidRPr="009439E8">
        <w:t xml:space="preserve"> sterile needles and syringes</w:t>
      </w:r>
      <w:r w:rsidR="00455F93" w:rsidRPr="009439E8">
        <w:t xml:space="preserve"> and avoid</w:t>
      </w:r>
      <w:r w:rsidR="00127573">
        <w:t>ing</w:t>
      </w:r>
      <w:r w:rsidR="00455F93" w:rsidRPr="009439E8">
        <w:t xml:space="preserve"> distributive sharing of needles or equipment.</w:t>
      </w:r>
    </w:p>
    <w:p w14:paraId="64743744" w14:textId="11B2404E" w:rsidR="004D53A6" w:rsidRPr="009439E8" w:rsidRDefault="00442C35" w:rsidP="008E433C">
      <w:pPr>
        <w:pStyle w:val="DHHSbody"/>
      </w:pPr>
      <w:r w:rsidRPr="009439E8">
        <w:t xml:space="preserve">The current </w:t>
      </w:r>
      <w:r w:rsidR="00612086" w:rsidRPr="008E433C">
        <w:t>Australasian</w:t>
      </w:r>
      <w:r w:rsidR="00612086" w:rsidRPr="00E34CED">
        <w:rPr>
          <w:rFonts w:cs="Arial"/>
          <w:noProof/>
        </w:rPr>
        <w:t xml:space="preserve"> Society of HIV, Viral Hepatitis and Sexual Health Medicine</w:t>
      </w:r>
      <w:r w:rsidR="00127573">
        <w:rPr>
          <w:rFonts w:cs="Arial"/>
          <w:noProof/>
        </w:rPr>
        <w:t>’s</w:t>
      </w:r>
      <w:r w:rsidRPr="009439E8">
        <w:t xml:space="preserve"> PrEP </w:t>
      </w:r>
      <w:r w:rsidR="00A31B2B">
        <w:t>g</w:t>
      </w:r>
      <w:r w:rsidRPr="009439E8">
        <w:t>uidelines (2019)</w:t>
      </w:r>
      <w:r w:rsidR="00E44064">
        <w:t xml:space="preserve"> </w:t>
      </w:r>
      <w:sdt>
        <w:sdtPr>
          <w:id w:val="-594706312"/>
          <w:placeholder>
            <w:docPart w:val="A9E17C8AB1EA45BAA847D83D21D1BF01"/>
          </w:placeholder>
          <w:citation/>
        </w:sdtPr>
        <w:sdtContent>
          <w:r w:rsidR="00E44064">
            <w:fldChar w:fldCharType="begin"/>
          </w:r>
          <w:r w:rsidR="00BC4409">
            <w:instrText xml:space="preserve">CITATION The19 \l 3081 </w:instrText>
          </w:r>
          <w:r w:rsidR="00E44064">
            <w:fldChar w:fldCharType="separate"/>
          </w:r>
          <w:r w:rsidR="00BC4409">
            <w:rPr>
              <w:noProof/>
            </w:rPr>
            <w:t>(10)</w:t>
          </w:r>
          <w:r w:rsidR="00E44064">
            <w:fldChar w:fldCharType="end"/>
          </w:r>
        </w:sdtContent>
      </w:sdt>
      <w:r w:rsidRPr="009439E8">
        <w:t xml:space="preserve"> recommend a timeframe of at least </w:t>
      </w:r>
      <w:r w:rsidR="0041675A">
        <w:t>six</w:t>
      </w:r>
      <w:r w:rsidRPr="009439E8">
        <w:t xml:space="preserve"> months </w:t>
      </w:r>
      <w:r w:rsidR="002877C6" w:rsidRPr="009439E8">
        <w:t>of</w:t>
      </w:r>
      <w:r w:rsidRPr="009439E8">
        <w:t xml:space="preserve"> viral suppression before the need for </w:t>
      </w:r>
      <w:r w:rsidR="278D6550">
        <w:t>continued</w:t>
      </w:r>
      <w:r>
        <w:t xml:space="preserve"> </w:t>
      </w:r>
      <w:r w:rsidRPr="009439E8">
        <w:t xml:space="preserve">PrEP </w:t>
      </w:r>
      <w:r w:rsidR="6A11D947">
        <w:t>in serodiscordant relationships</w:t>
      </w:r>
      <w:r>
        <w:t xml:space="preserve"> may end.</w:t>
      </w:r>
      <w:r w:rsidRPr="009439E8">
        <w:t xml:space="preserve"> The </w:t>
      </w:r>
      <w:r w:rsidRPr="007A37E4">
        <w:rPr>
          <w:i/>
          <w:iCs/>
        </w:rPr>
        <w:t xml:space="preserve">Australian </w:t>
      </w:r>
      <w:r w:rsidR="00A31B2B">
        <w:rPr>
          <w:i/>
          <w:iCs/>
        </w:rPr>
        <w:t>n</w:t>
      </w:r>
      <w:r w:rsidRPr="007A37E4">
        <w:rPr>
          <w:i/>
          <w:iCs/>
        </w:rPr>
        <w:t xml:space="preserve">ational </w:t>
      </w:r>
      <w:r w:rsidR="00A31B2B">
        <w:rPr>
          <w:i/>
          <w:iCs/>
        </w:rPr>
        <w:t>g</w:t>
      </w:r>
      <w:r w:rsidRPr="007A37E4">
        <w:rPr>
          <w:i/>
          <w:iCs/>
        </w:rPr>
        <w:t xml:space="preserve">uidelines for the </w:t>
      </w:r>
      <w:r w:rsidR="00A31B2B">
        <w:rPr>
          <w:i/>
          <w:iCs/>
        </w:rPr>
        <w:t>m</w:t>
      </w:r>
      <w:r w:rsidRPr="007A37E4">
        <w:rPr>
          <w:i/>
          <w:iCs/>
        </w:rPr>
        <w:t xml:space="preserve">anagement of </w:t>
      </w:r>
      <w:r w:rsidR="00A31B2B">
        <w:rPr>
          <w:i/>
          <w:iCs/>
        </w:rPr>
        <w:t>h</w:t>
      </w:r>
      <w:r w:rsidRPr="007A37E4">
        <w:rPr>
          <w:i/>
          <w:iCs/>
        </w:rPr>
        <w:t xml:space="preserve">ealthcare </w:t>
      </w:r>
      <w:r w:rsidR="00A31B2B">
        <w:rPr>
          <w:i/>
          <w:iCs/>
        </w:rPr>
        <w:t>w</w:t>
      </w:r>
      <w:r w:rsidRPr="007A37E4">
        <w:rPr>
          <w:i/>
          <w:iCs/>
        </w:rPr>
        <w:t xml:space="preserve">orkers </w:t>
      </w:r>
      <w:r w:rsidR="00A31B2B">
        <w:rPr>
          <w:i/>
          <w:iCs/>
        </w:rPr>
        <w:t>l</w:t>
      </w:r>
      <w:r w:rsidRPr="007A37E4">
        <w:rPr>
          <w:i/>
          <w:iCs/>
        </w:rPr>
        <w:t xml:space="preserve">iving with </w:t>
      </w:r>
      <w:r w:rsidR="00A31B2B">
        <w:rPr>
          <w:i/>
          <w:iCs/>
        </w:rPr>
        <w:t>b</w:t>
      </w:r>
      <w:r w:rsidRPr="007A37E4">
        <w:rPr>
          <w:i/>
          <w:iCs/>
        </w:rPr>
        <w:t xml:space="preserve">lood </w:t>
      </w:r>
      <w:r w:rsidR="00A31B2B">
        <w:rPr>
          <w:i/>
          <w:iCs/>
        </w:rPr>
        <w:t>b</w:t>
      </w:r>
      <w:r w:rsidRPr="007A37E4">
        <w:rPr>
          <w:i/>
          <w:iCs/>
        </w:rPr>
        <w:t xml:space="preserve">orne </w:t>
      </w:r>
      <w:r w:rsidR="00A31B2B">
        <w:rPr>
          <w:i/>
          <w:iCs/>
        </w:rPr>
        <w:t>v</w:t>
      </w:r>
      <w:r w:rsidRPr="007A37E4">
        <w:rPr>
          <w:i/>
          <w:iCs/>
        </w:rPr>
        <w:t xml:space="preserve">iruses and </w:t>
      </w:r>
      <w:r w:rsidR="00A31B2B">
        <w:rPr>
          <w:i/>
          <w:iCs/>
        </w:rPr>
        <w:t>h</w:t>
      </w:r>
      <w:r w:rsidRPr="007A37E4">
        <w:rPr>
          <w:i/>
          <w:iCs/>
        </w:rPr>
        <w:t xml:space="preserve">ealthcare </w:t>
      </w:r>
      <w:r w:rsidR="00A31B2B">
        <w:rPr>
          <w:i/>
          <w:iCs/>
        </w:rPr>
        <w:t>w</w:t>
      </w:r>
      <w:r w:rsidRPr="007A37E4">
        <w:rPr>
          <w:i/>
          <w:iCs/>
        </w:rPr>
        <w:t xml:space="preserve">orkers who </w:t>
      </w:r>
      <w:r w:rsidR="00A31B2B">
        <w:rPr>
          <w:i/>
          <w:iCs/>
        </w:rPr>
        <w:t>p</w:t>
      </w:r>
      <w:r w:rsidRPr="007A37E4">
        <w:rPr>
          <w:i/>
          <w:iCs/>
        </w:rPr>
        <w:t xml:space="preserve">erform </w:t>
      </w:r>
      <w:r w:rsidR="00A31B2B">
        <w:rPr>
          <w:i/>
          <w:iCs/>
        </w:rPr>
        <w:t>e</w:t>
      </w:r>
      <w:r w:rsidRPr="007A37E4">
        <w:rPr>
          <w:i/>
          <w:iCs/>
        </w:rPr>
        <w:t xml:space="preserve">xposure </w:t>
      </w:r>
      <w:r w:rsidR="00A31B2B">
        <w:rPr>
          <w:i/>
          <w:iCs/>
        </w:rPr>
        <w:t>p</w:t>
      </w:r>
      <w:r w:rsidRPr="007A37E4">
        <w:rPr>
          <w:i/>
          <w:iCs/>
        </w:rPr>
        <w:t xml:space="preserve">rone </w:t>
      </w:r>
      <w:r w:rsidR="00A31B2B">
        <w:rPr>
          <w:i/>
          <w:iCs/>
        </w:rPr>
        <w:t>p</w:t>
      </w:r>
      <w:r w:rsidRPr="007A37E4">
        <w:rPr>
          <w:i/>
          <w:iCs/>
        </w:rPr>
        <w:t xml:space="preserve">rocedures at </w:t>
      </w:r>
      <w:r w:rsidR="00A31B2B">
        <w:rPr>
          <w:i/>
          <w:iCs/>
        </w:rPr>
        <w:t>r</w:t>
      </w:r>
      <w:r w:rsidRPr="007A37E4">
        <w:rPr>
          <w:i/>
          <w:iCs/>
        </w:rPr>
        <w:t xml:space="preserve">isk of </w:t>
      </w:r>
      <w:r w:rsidR="00A31B2B">
        <w:rPr>
          <w:i/>
          <w:iCs/>
        </w:rPr>
        <w:t>e</w:t>
      </w:r>
      <w:r w:rsidRPr="007A37E4">
        <w:rPr>
          <w:i/>
          <w:iCs/>
        </w:rPr>
        <w:t xml:space="preserve">xposure to </w:t>
      </w:r>
      <w:r w:rsidR="00A31B2B">
        <w:rPr>
          <w:i/>
          <w:iCs/>
        </w:rPr>
        <w:t>b</w:t>
      </w:r>
      <w:r w:rsidRPr="007A37E4">
        <w:rPr>
          <w:i/>
          <w:iCs/>
        </w:rPr>
        <w:t xml:space="preserve">lood </w:t>
      </w:r>
      <w:r w:rsidR="00A31B2B">
        <w:rPr>
          <w:i/>
          <w:iCs/>
        </w:rPr>
        <w:t>b</w:t>
      </w:r>
      <w:r w:rsidRPr="007A37E4">
        <w:rPr>
          <w:i/>
          <w:iCs/>
        </w:rPr>
        <w:t xml:space="preserve">orne </w:t>
      </w:r>
      <w:r w:rsidR="00A31B2B">
        <w:rPr>
          <w:i/>
          <w:iCs/>
        </w:rPr>
        <w:t>v</w:t>
      </w:r>
      <w:r w:rsidRPr="007A37E4">
        <w:rPr>
          <w:i/>
          <w:iCs/>
        </w:rPr>
        <w:t>iruses</w:t>
      </w:r>
      <w:r w:rsidRPr="009439E8">
        <w:t xml:space="preserve"> also require healthcare workers to have two undetectable viral loads at least </w:t>
      </w:r>
      <w:r w:rsidR="00230DE7" w:rsidRPr="009439E8">
        <w:t>three</w:t>
      </w:r>
      <w:r w:rsidRPr="009439E8">
        <w:t xml:space="preserve"> </w:t>
      </w:r>
      <w:r w:rsidR="35430F51">
        <w:t>months</w:t>
      </w:r>
      <w:r w:rsidRPr="009439E8">
        <w:t xml:space="preserve"> apart before being </w:t>
      </w:r>
      <w:r w:rsidR="00472DCC" w:rsidRPr="009439E8">
        <w:t xml:space="preserve">cleared </w:t>
      </w:r>
      <w:r w:rsidR="00230DE7" w:rsidRPr="009439E8">
        <w:t>to return to</w:t>
      </w:r>
      <w:r w:rsidRPr="009439E8">
        <w:t xml:space="preserve"> performing exposure</w:t>
      </w:r>
      <w:r w:rsidR="00127573">
        <w:t>-</w:t>
      </w:r>
      <w:r w:rsidRPr="009439E8">
        <w:t xml:space="preserve">prone procedures </w:t>
      </w:r>
      <w:sdt>
        <w:sdtPr>
          <w:id w:val="592911406"/>
          <w:placeholder>
            <w:docPart w:val="A9E17C8AB1EA45BAA847D83D21D1BF01"/>
          </w:placeholder>
          <w:citation/>
        </w:sdtPr>
        <w:sdtContent>
          <w:r w:rsidR="00833B89">
            <w:fldChar w:fldCharType="begin"/>
          </w:r>
          <w:r w:rsidR="00BC4409">
            <w:instrText xml:space="preserve">CITATION Aus18 \l 3081 </w:instrText>
          </w:r>
          <w:r w:rsidR="00833B89">
            <w:fldChar w:fldCharType="separate"/>
          </w:r>
          <w:r w:rsidR="00BC4409">
            <w:rPr>
              <w:noProof/>
            </w:rPr>
            <w:t>(11)</w:t>
          </w:r>
          <w:r w:rsidR="00833B89">
            <w:fldChar w:fldCharType="end"/>
          </w:r>
        </w:sdtContent>
      </w:sdt>
      <w:r w:rsidRPr="009439E8">
        <w:t xml:space="preserve">. </w:t>
      </w:r>
      <w:bookmarkStart w:id="11" w:name="_Hlk30592327"/>
      <w:r w:rsidR="00895019">
        <w:t>T</w:t>
      </w:r>
      <w:r w:rsidRPr="009439E8">
        <w:t xml:space="preserve">he department </w:t>
      </w:r>
      <w:r w:rsidR="004754D4" w:rsidRPr="009439E8">
        <w:t>acknowledges</w:t>
      </w:r>
      <w:r w:rsidRPr="009439E8">
        <w:t xml:space="preserve"> that with the development of new antiviral medications viral suppression may be achieved in much shorter timeframes </w:t>
      </w:r>
      <w:r w:rsidR="009B77D7">
        <w:t>th</w:t>
      </w:r>
      <w:r w:rsidRPr="009439E8">
        <w:t>a</w:t>
      </w:r>
      <w:r w:rsidR="009B77D7">
        <w:t>n</w:t>
      </w:r>
      <w:r w:rsidRPr="009439E8">
        <w:t xml:space="preserve"> currently observed</w:t>
      </w:r>
      <w:r w:rsidR="00895019">
        <w:t>. However,</w:t>
      </w:r>
      <w:r w:rsidRPr="009439E8">
        <w:t xml:space="preserve"> </w:t>
      </w:r>
      <w:r w:rsidR="41AE4B9A">
        <w:t xml:space="preserve">to </w:t>
      </w:r>
      <w:r w:rsidR="001D761C">
        <w:t>minimise</w:t>
      </w:r>
      <w:r w:rsidR="00A0652F">
        <w:t xml:space="preserve"> </w:t>
      </w:r>
      <w:r w:rsidR="41AE4B9A">
        <w:t>risk</w:t>
      </w:r>
      <w:r w:rsidRPr="009439E8">
        <w:t xml:space="preserve"> </w:t>
      </w:r>
      <w:r w:rsidR="00BE6C75" w:rsidRPr="009439E8">
        <w:t xml:space="preserve">it </w:t>
      </w:r>
      <w:r w:rsidR="000425A6">
        <w:t>is</w:t>
      </w:r>
      <w:r w:rsidR="000425A6" w:rsidRPr="009439E8">
        <w:t xml:space="preserve"> </w:t>
      </w:r>
      <w:r w:rsidR="00BE6C75" w:rsidRPr="009439E8">
        <w:t>essential t</w:t>
      </w:r>
      <w:r w:rsidRPr="009439E8">
        <w:t>hat adher</w:t>
      </w:r>
      <w:r w:rsidR="000425A6">
        <w:t>ing</w:t>
      </w:r>
      <w:r w:rsidRPr="009439E8">
        <w:t xml:space="preserve"> to </w:t>
      </w:r>
      <w:r w:rsidR="00472DCC" w:rsidRPr="009439E8">
        <w:t>antiretroviral treatment</w:t>
      </w:r>
      <w:r w:rsidRPr="009439E8">
        <w:t xml:space="preserve"> and engag</w:t>
      </w:r>
      <w:r w:rsidR="000425A6">
        <w:t>ing</w:t>
      </w:r>
      <w:r w:rsidRPr="009439E8">
        <w:t xml:space="preserve"> in clinical care has been </w:t>
      </w:r>
      <w:r w:rsidR="0B6BC60A">
        <w:t xml:space="preserve">consistent and </w:t>
      </w:r>
      <w:r w:rsidRPr="009439E8">
        <w:t xml:space="preserve">stable for at least </w:t>
      </w:r>
      <w:r w:rsidR="004D53A6" w:rsidRPr="009439E8">
        <w:t>six</w:t>
      </w:r>
      <w:r w:rsidRPr="009439E8">
        <w:t xml:space="preserve"> months in people who have engaged in transmission</w:t>
      </w:r>
      <w:r w:rsidR="000425A6">
        <w:t>-</w:t>
      </w:r>
      <w:r w:rsidRPr="009439E8">
        <w:t xml:space="preserve">risk </w:t>
      </w:r>
      <w:r w:rsidR="00AF31E6">
        <w:t>practices</w:t>
      </w:r>
      <w:r w:rsidR="00A0652F">
        <w:t xml:space="preserve"> </w:t>
      </w:r>
      <w:r w:rsidRPr="009439E8">
        <w:t xml:space="preserve">or </w:t>
      </w:r>
      <w:r w:rsidR="007C35B0" w:rsidRPr="009439E8">
        <w:t xml:space="preserve">where </w:t>
      </w:r>
      <w:r w:rsidRPr="009439E8">
        <w:t xml:space="preserve">there are </w:t>
      </w:r>
      <w:r w:rsidR="779E90DB">
        <w:t>specific</w:t>
      </w:r>
      <w:r>
        <w:t xml:space="preserve"> </w:t>
      </w:r>
      <w:r w:rsidRPr="009439E8">
        <w:t>concerns or barriers regarding adherence.</w:t>
      </w:r>
      <w:r w:rsidR="00A31B2B">
        <w:t xml:space="preserve"> </w:t>
      </w:r>
      <w:bookmarkEnd w:id="11"/>
    </w:p>
    <w:p w14:paraId="4F18E769" w14:textId="625A0118" w:rsidR="00CF2981" w:rsidRPr="009439E8" w:rsidRDefault="00442C35" w:rsidP="002346FD">
      <w:pPr>
        <w:pStyle w:val="DHHSbody"/>
      </w:pPr>
      <w:r w:rsidRPr="009439E8">
        <w:t xml:space="preserve">It is important that guidance provided to </w:t>
      </w:r>
      <w:r w:rsidR="00E94EB3" w:rsidRPr="009439E8">
        <w:t>people</w:t>
      </w:r>
      <w:r w:rsidRPr="009439E8">
        <w:t xml:space="preserve"> with HIV </w:t>
      </w:r>
      <w:r w:rsidR="37BB5376">
        <w:t xml:space="preserve">on </w:t>
      </w:r>
      <w:r>
        <w:t>managing</w:t>
      </w:r>
      <w:r w:rsidR="3325B1B7">
        <w:t xml:space="preserve"> transmission risks should emphasis</w:t>
      </w:r>
      <w:r w:rsidR="00DA65B0">
        <w:t>e</w:t>
      </w:r>
      <w:r w:rsidR="3325B1B7">
        <w:t xml:space="preserve"> </w:t>
      </w:r>
      <w:r w:rsidR="337429C3">
        <w:t xml:space="preserve">the critical role of </w:t>
      </w:r>
      <w:r w:rsidRPr="009439E8">
        <w:t>other risk reduction strategies</w:t>
      </w:r>
      <w:r w:rsidR="5132622A">
        <w:t xml:space="preserve"> beyond </w:t>
      </w:r>
      <w:r w:rsidR="00ED010E">
        <w:t>solely</w:t>
      </w:r>
      <w:r w:rsidR="5132622A">
        <w:t xml:space="preserve"> that of an undetectable viral load</w:t>
      </w:r>
      <w:r w:rsidRPr="009439E8">
        <w:t xml:space="preserve">. </w:t>
      </w:r>
      <w:r w:rsidR="000425A6">
        <w:t>A</w:t>
      </w:r>
      <w:r w:rsidRPr="009439E8">
        <w:t xml:space="preserve">ntiretroviral treatment </w:t>
      </w:r>
      <w:r w:rsidR="000425A6">
        <w:t xml:space="preserve">also </w:t>
      </w:r>
      <w:r w:rsidRPr="009439E8">
        <w:t xml:space="preserve">has a </w:t>
      </w:r>
      <w:r w:rsidR="4F347769">
        <w:t>key</w:t>
      </w:r>
      <w:r>
        <w:t xml:space="preserve"> </w:t>
      </w:r>
      <w:r w:rsidRPr="009439E8">
        <w:t>role in prevention as post-exposure prophylaxis (PEP).</w:t>
      </w:r>
    </w:p>
    <w:p w14:paraId="005585B0" w14:textId="54DA4CF4" w:rsidR="00230DE7" w:rsidRPr="009439E8" w:rsidRDefault="000425A6" w:rsidP="002346FD">
      <w:pPr>
        <w:pStyle w:val="DHHSbody"/>
      </w:pPr>
      <w:r>
        <w:t>People living</w:t>
      </w:r>
      <w:r w:rsidRPr="009439E8">
        <w:t xml:space="preserve"> </w:t>
      </w:r>
      <w:r w:rsidR="000D00AB" w:rsidRPr="009439E8">
        <w:t xml:space="preserve">with HIV who have a sustained undetectable viral load and </w:t>
      </w:r>
      <w:r w:rsidR="000D00AB" w:rsidRPr="00D705C9">
        <w:rPr>
          <w:b/>
          <w:bCs/>
        </w:rPr>
        <w:t xml:space="preserve">do </w:t>
      </w:r>
      <w:r w:rsidRPr="00D705C9">
        <w:rPr>
          <w:b/>
          <w:bCs/>
        </w:rPr>
        <w:t>not</w:t>
      </w:r>
      <w:r w:rsidRPr="009439E8">
        <w:t xml:space="preserve"> </w:t>
      </w:r>
      <w:r w:rsidR="000D00AB" w:rsidRPr="009439E8">
        <w:t xml:space="preserve">disclose their HIV status to sexual partners </w:t>
      </w:r>
      <w:r>
        <w:t>before having</w:t>
      </w:r>
      <w:r w:rsidR="000D00AB" w:rsidRPr="009439E8">
        <w:t xml:space="preserve"> </w:t>
      </w:r>
      <w:r w:rsidR="0042704E">
        <w:t>co</w:t>
      </w:r>
      <w:r w:rsidR="00175EB4">
        <w:t>n</w:t>
      </w:r>
      <w:r w:rsidR="0042704E">
        <w:t>domless</w:t>
      </w:r>
      <w:r w:rsidR="0042704E" w:rsidRPr="009439E8">
        <w:t xml:space="preserve"> </w:t>
      </w:r>
      <w:r w:rsidR="000D00AB" w:rsidRPr="009439E8">
        <w:t xml:space="preserve">sex </w:t>
      </w:r>
      <w:r w:rsidR="00D705C9" w:rsidRPr="00D705C9">
        <w:t>are not a target population for these guidelines</w:t>
      </w:r>
      <w:r w:rsidR="7AB63863">
        <w:t>.</w:t>
      </w:r>
      <w:r w:rsidR="000D00AB" w:rsidRPr="009439E8">
        <w:t xml:space="preserve"> However,</w:t>
      </w:r>
      <w:r w:rsidR="00CF2981" w:rsidRPr="009439E8">
        <w:t xml:space="preserve"> </w:t>
      </w:r>
      <w:r w:rsidR="000D00AB" w:rsidRPr="009439E8">
        <w:t xml:space="preserve">should the department receive an allegation of transmission risk </w:t>
      </w:r>
      <w:r w:rsidR="00811C6D">
        <w:t>practices</w:t>
      </w:r>
      <w:r w:rsidR="000D00AB" w:rsidRPr="009439E8">
        <w:t xml:space="preserve">, a risk assessment will </w:t>
      </w:r>
      <w:r w:rsidR="00E94EB3" w:rsidRPr="009439E8">
        <w:t xml:space="preserve">need to </w:t>
      </w:r>
      <w:r w:rsidR="004D53A6" w:rsidRPr="009439E8">
        <w:t>be undertaken</w:t>
      </w:r>
      <w:r w:rsidR="000D00AB" w:rsidRPr="009439E8">
        <w:t>.</w:t>
      </w:r>
      <w:r w:rsidR="00CF2981" w:rsidRPr="009439E8">
        <w:t xml:space="preserve"> </w:t>
      </w:r>
      <w:r w:rsidR="000D00AB" w:rsidRPr="009439E8">
        <w:t>This</w:t>
      </w:r>
      <w:r w:rsidR="6EC7C157">
        <w:t xml:space="preserve"> may</w:t>
      </w:r>
      <w:r w:rsidR="000D00AB" w:rsidRPr="009439E8">
        <w:t xml:space="preserve"> include the department</w:t>
      </w:r>
      <w:r w:rsidR="6A2A048A">
        <w:t xml:space="preserve"> </w:t>
      </w:r>
      <w:r w:rsidR="000D00AB">
        <w:t>seek</w:t>
      </w:r>
      <w:r w:rsidR="00DB03BB">
        <w:t>ing</w:t>
      </w:r>
      <w:r w:rsidR="000D00AB" w:rsidRPr="009439E8">
        <w:t xml:space="preserve"> confirmation that the </w:t>
      </w:r>
      <w:r>
        <w:t>person</w:t>
      </w:r>
      <w:r w:rsidRPr="009439E8">
        <w:t xml:space="preserve"> </w:t>
      </w:r>
      <w:r w:rsidR="000D00AB" w:rsidRPr="009439E8">
        <w:t xml:space="preserve">has a sustained undetectable viral load and is engaged in clinical care. The </w:t>
      </w:r>
      <w:r>
        <w:t>person</w:t>
      </w:r>
      <w:r w:rsidRPr="009439E8">
        <w:t xml:space="preserve"> </w:t>
      </w:r>
      <w:r w:rsidR="000D00AB" w:rsidRPr="009439E8">
        <w:t xml:space="preserve">(or their clinical service provider) must therefore be able to provide </w:t>
      </w:r>
      <w:r w:rsidR="00CF2981" w:rsidRPr="009439E8">
        <w:t xml:space="preserve">this </w:t>
      </w:r>
      <w:r w:rsidR="009B77D7">
        <w:t>evidence</w:t>
      </w:r>
      <w:r w:rsidR="000D00AB" w:rsidRPr="009439E8">
        <w:t xml:space="preserve">. </w:t>
      </w:r>
      <w:r w:rsidR="00ED6989">
        <w:t xml:space="preserve">If it is established that there has been risk of transmission, </w:t>
      </w:r>
      <w:r w:rsidR="009179AF">
        <w:t xml:space="preserve">information </w:t>
      </w:r>
      <w:r>
        <w:t>about the person</w:t>
      </w:r>
      <w:r w:rsidR="00223699">
        <w:t xml:space="preserve"> </w:t>
      </w:r>
      <w:r w:rsidR="009179AF">
        <w:t xml:space="preserve">and the circumstances </w:t>
      </w:r>
      <w:r>
        <w:t xml:space="preserve">will be </w:t>
      </w:r>
      <w:r w:rsidR="00223699">
        <w:t>presented at a case management meeting, and it is the decision of the D</w:t>
      </w:r>
      <w:r w:rsidR="00E1695C">
        <w:t xml:space="preserve">eputy </w:t>
      </w:r>
      <w:r w:rsidR="00223699">
        <w:t xml:space="preserve">CHO or CHO </w:t>
      </w:r>
      <w:r>
        <w:t>as to whether the person</w:t>
      </w:r>
      <w:r w:rsidR="00223699">
        <w:t xml:space="preserve"> is managed under the four-stage</w:t>
      </w:r>
      <w:r w:rsidR="00DA4F45">
        <w:t xml:space="preserve"> </w:t>
      </w:r>
      <w:r w:rsidR="00223699">
        <w:t>process</w:t>
      </w:r>
      <w:r w:rsidR="00F5388C">
        <w:t xml:space="preserve"> (refer below)</w:t>
      </w:r>
      <w:r w:rsidR="00223699">
        <w:t>.</w:t>
      </w:r>
      <w:r w:rsidR="000C20BD">
        <w:t xml:space="preserve"> </w:t>
      </w:r>
    </w:p>
    <w:p w14:paraId="0A862F6A" w14:textId="24ABEB18" w:rsidR="0090314B" w:rsidRPr="009439E8" w:rsidRDefault="00F5388C" w:rsidP="008E433C">
      <w:pPr>
        <w:pStyle w:val="DHHSbody"/>
      </w:pPr>
      <w:r>
        <w:lastRenderedPageBreak/>
        <w:t>Those who</w:t>
      </w:r>
      <w:r w:rsidRPr="009439E8">
        <w:t xml:space="preserve"> </w:t>
      </w:r>
      <w:r w:rsidR="007D6B95" w:rsidRPr="009439E8">
        <w:t>choos</w:t>
      </w:r>
      <w:r>
        <w:t>e</w:t>
      </w:r>
      <w:r w:rsidR="007D6B95" w:rsidRPr="009439E8">
        <w:t xml:space="preserve"> not to disclose their positive HIV status</w:t>
      </w:r>
      <w:r w:rsidR="00472DCC" w:rsidRPr="009439E8">
        <w:t xml:space="preserve"> </w:t>
      </w:r>
      <w:r w:rsidR="007D6B95" w:rsidRPr="009439E8">
        <w:t xml:space="preserve">prior to </w:t>
      </w:r>
      <w:r w:rsidR="00E913F0">
        <w:t>condomless sex</w:t>
      </w:r>
      <w:r w:rsidR="00737CB1">
        <w:t xml:space="preserve">, needle sharing or other activities </w:t>
      </w:r>
      <w:r>
        <w:t xml:space="preserve">that </w:t>
      </w:r>
      <w:r w:rsidR="00737CB1">
        <w:t>carry a risk of transmission</w:t>
      </w:r>
      <w:r w:rsidR="00E913F0">
        <w:t xml:space="preserve"> </w:t>
      </w:r>
      <w:r w:rsidR="57EB5A8D">
        <w:t xml:space="preserve">should be aware that their sexual </w:t>
      </w:r>
      <w:r w:rsidR="00737CB1">
        <w:t xml:space="preserve">or drug-use </w:t>
      </w:r>
      <w:r w:rsidR="57EB5A8D">
        <w:t>partner</w:t>
      </w:r>
      <w:r w:rsidR="36E31EDB">
        <w:t>(s)</w:t>
      </w:r>
      <w:r w:rsidR="00C11281">
        <w:t xml:space="preserve"> </w:t>
      </w:r>
      <w:r w:rsidR="57EB5A8D">
        <w:t xml:space="preserve">may </w:t>
      </w:r>
      <w:r w:rsidR="30F426AF">
        <w:t>report them to police</w:t>
      </w:r>
      <w:r w:rsidR="57EB5A8D">
        <w:t xml:space="preserve">, despite </w:t>
      </w:r>
      <w:r w:rsidR="009755EF">
        <w:t xml:space="preserve">them </w:t>
      </w:r>
      <w:r w:rsidR="57EB5A8D">
        <w:t xml:space="preserve">having taken other actions to prevent transmission. </w:t>
      </w:r>
      <w:r w:rsidR="00F97B41" w:rsidRPr="00F97B41">
        <w:t>People with HIV in Victoria are not required to disclose their HIV status if they are taking reasonable precautions to prevent the transmission of HIV</w:t>
      </w:r>
      <w:r>
        <w:t>;</w:t>
      </w:r>
      <w:r w:rsidR="00F97B41" w:rsidRPr="00F97B41">
        <w:t xml:space="preserve"> however, it is a crime to falsely represent HIV status to induce another person into having sex (s</w:t>
      </w:r>
      <w:r w:rsidR="00C11281">
        <w:t>.</w:t>
      </w:r>
      <w:r w:rsidR="00F97B41" w:rsidRPr="00F97B41">
        <w:t xml:space="preserve"> 45 of the </w:t>
      </w:r>
      <w:r w:rsidR="00F97B41" w:rsidRPr="00D705C9">
        <w:rPr>
          <w:i/>
          <w:iCs/>
        </w:rPr>
        <w:t>Crimes Act 1958</w:t>
      </w:r>
      <w:r w:rsidR="00F97B41" w:rsidRPr="00F97B41">
        <w:t>).</w:t>
      </w:r>
    </w:p>
    <w:p w14:paraId="6F4D02D0" w14:textId="7266C651" w:rsidR="00777A68" w:rsidRDefault="00244C30" w:rsidP="008E433C">
      <w:pPr>
        <w:pStyle w:val="DHHSbody"/>
        <w:rPr>
          <w:b/>
          <w:bCs/>
        </w:rPr>
      </w:pPr>
      <w:r w:rsidRPr="00244C30">
        <w:t xml:space="preserve">It should be noted that in Victoria the fact that a sexual partner is aware of the risk of HIV transmission and accepts this risk may not be a defence. Negotiated consent may be relevant as a </w:t>
      </w:r>
      <w:r w:rsidR="006835B5">
        <w:t xml:space="preserve">defence or </w:t>
      </w:r>
      <w:r w:rsidRPr="00244C30">
        <w:t>mitigating factor in sentencing, but this would be considered by each court on the facts of each case.</w:t>
      </w:r>
      <w:r w:rsidR="00DC35BC">
        <w:t xml:space="preserve"> </w:t>
      </w:r>
    </w:p>
    <w:p w14:paraId="38D944CF" w14:textId="6BD30005" w:rsidR="00C168BA" w:rsidRPr="009439E8" w:rsidRDefault="0B6A59B1" w:rsidP="002346FD">
      <w:pPr>
        <w:pStyle w:val="Heading4"/>
      </w:pPr>
      <w:r>
        <w:t>The</w:t>
      </w:r>
      <w:r w:rsidR="7CD528F4">
        <w:t xml:space="preserve"> </w:t>
      </w:r>
      <w:r w:rsidR="00C11281">
        <w:t>g</w:t>
      </w:r>
      <w:r w:rsidR="001779C5">
        <w:t>uidelines</w:t>
      </w:r>
      <w:r>
        <w:t xml:space="preserve"> apply wh</w:t>
      </w:r>
      <w:r w:rsidR="09CC569E">
        <w:t>e</w:t>
      </w:r>
      <w:r w:rsidR="001779C5">
        <w:t>n</w:t>
      </w:r>
      <w:r w:rsidR="26B1B9CD">
        <w:t>:</w:t>
      </w:r>
    </w:p>
    <w:p w14:paraId="2633327E" w14:textId="1A90683F" w:rsidR="00772893" w:rsidRPr="009439E8" w:rsidRDefault="00F5388C" w:rsidP="00CC3DC5">
      <w:pPr>
        <w:pStyle w:val="DHHSbullet1"/>
      </w:pPr>
      <w:r>
        <w:t>t</w:t>
      </w:r>
      <w:r w:rsidR="000D00AB" w:rsidRPr="009439E8">
        <w:t xml:space="preserve">he </w:t>
      </w:r>
      <w:r w:rsidR="00C96BAF">
        <w:t xml:space="preserve">practices </w:t>
      </w:r>
      <w:r w:rsidR="000D00AB" w:rsidRPr="009439E8">
        <w:t xml:space="preserve">of a </w:t>
      </w:r>
      <w:r w:rsidR="0043457D" w:rsidRPr="009439E8">
        <w:t xml:space="preserve">person </w:t>
      </w:r>
      <w:r w:rsidR="00E74C6A" w:rsidRPr="009439E8">
        <w:t xml:space="preserve">living </w:t>
      </w:r>
      <w:r w:rsidR="0043457D" w:rsidRPr="009439E8">
        <w:t>with HIV present a real and immediate risk of transmission</w:t>
      </w:r>
      <w:r w:rsidR="00F33FA3" w:rsidRPr="009439E8">
        <w:t xml:space="preserve"> of HIV</w:t>
      </w:r>
      <w:r w:rsidR="0043457D" w:rsidRPr="009439E8">
        <w:t xml:space="preserve"> and where management of that risk by the person’s healthcare team has been unsuccessful</w:t>
      </w:r>
      <w:r>
        <w:t xml:space="preserve"> (a</w:t>
      </w:r>
      <w:r w:rsidR="00812070" w:rsidRPr="009439E8">
        <w:t xml:space="preserve"> </w:t>
      </w:r>
      <w:r w:rsidR="00B23DFC" w:rsidRPr="009439E8">
        <w:t xml:space="preserve">real and immediate risk requires </w:t>
      </w:r>
      <w:r w:rsidR="4F668905">
        <w:t xml:space="preserve">both </w:t>
      </w:r>
      <w:r w:rsidR="00B23DFC" w:rsidRPr="009439E8">
        <w:t xml:space="preserve">transmission risk </w:t>
      </w:r>
      <w:r w:rsidR="00C96BAF">
        <w:t>practices</w:t>
      </w:r>
      <w:r w:rsidR="00A0652F">
        <w:t xml:space="preserve"> </w:t>
      </w:r>
      <w:r w:rsidR="444338A7">
        <w:t>and</w:t>
      </w:r>
      <w:r>
        <w:t xml:space="preserve"> the</w:t>
      </w:r>
      <w:r w:rsidR="444338A7">
        <w:t xml:space="preserve"> </w:t>
      </w:r>
      <w:r w:rsidR="00E6702A" w:rsidRPr="009439E8">
        <w:t>presence of a</w:t>
      </w:r>
      <w:r w:rsidR="00B23DFC" w:rsidRPr="009439E8">
        <w:t xml:space="preserve"> detectable viral load</w:t>
      </w:r>
      <w:r>
        <w:t>)</w:t>
      </w:r>
    </w:p>
    <w:p w14:paraId="57A70BF3" w14:textId="5A9B817D" w:rsidR="00C168BA" w:rsidRPr="009439E8" w:rsidRDefault="00F5388C" w:rsidP="008E433C">
      <w:pPr>
        <w:pStyle w:val="DHHSbullet1lastline"/>
      </w:pPr>
      <w:r>
        <w:t>c</w:t>
      </w:r>
      <w:r w:rsidR="02C93F7E">
        <w:t>ertain</w:t>
      </w:r>
      <w:r w:rsidR="00626A63">
        <w:t>t</w:t>
      </w:r>
      <w:r w:rsidR="02C93F7E">
        <w:t>y</w:t>
      </w:r>
      <w:r w:rsidR="00A0652F">
        <w:t xml:space="preserve"> </w:t>
      </w:r>
      <w:r w:rsidR="02C93F7E">
        <w:t>cannot be established that a</w:t>
      </w:r>
      <w:r w:rsidR="00772893">
        <w:t xml:space="preserve"> person may be able to maintain a sustained undetectable viral load, </w:t>
      </w:r>
      <w:r>
        <w:t xml:space="preserve">that they are </w:t>
      </w:r>
      <w:r w:rsidR="00772893">
        <w:t xml:space="preserve">engaged in clinical care and </w:t>
      </w:r>
      <w:r w:rsidR="51FEABAE">
        <w:t xml:space="preserve">where </w:t>
      </w:r>
      <w:r w:rsidR="00772893">
        <w:t xml:space="preserve">there are concerns of transmission risk </w:t>
      </w:r>
      <w:r w:rsidR="00C96BAF">
        <w:t xml:space="preserve">practices </w:t>
      </w:r>
      <w:r w:rsidR="001779C5">
        <w:t>in</w:t>
      </w:r>
      <w:r w:rsidR="5BDB2A6B">
        <w:t xml:space="preserve"> the absence of</w:t>
      </w:r>
      <w:r w:rsidR="34934B0E">
        <w:t xml:space="preserve"> </w:t>
      </w:r>
      <w:r w:rsidR="00772893">
        <w:t>close support or case management.</w:t>
      </w:r>
    </w:p>
    <w:p w14:paraId="3186654F" w14:textId="5A9AA989" w:rsidR="00244C30" w:rsidRPr="009439E8" w:rsidRDefault="00230DE7" w:rsidP="008E433C">
      <w:pPr>
        <w:pStyle w:val="DHHSbody"/>
      </w:pPr>
      <w:r w:rsidRPr="009439E8">
        <w:t>If a</w:t>
      </w:r>
      <w:r w:rsidR="000D00AB" w:rsidRPr="009439E8">
        <w:t xml:space="preserve"> </w:t>
      </w:r>
      <w:r w:rsidR="0043457D" w:rsidRPr="009439E8">
        <w:t xml:space="preserve">person whose transmission risk </w:t>
      </w:r>
      <w:r w:rsidR="00626A63">
        <w:t>practices</w:t>
      </w:r>
      <w:r w:rsidR="00A0652F">
        <w:t xml:space="preserve"> </w:t>
      </w:r>
      <w:r w:rsidR="0043457D" w:rsidRPr="009439E8">
        <w:t>are</w:t>
      </w:r>
      <w:r w:rsidR="00812070" w:rsidRPr="009439E8">
        <w:t xml:space="preserve"> </w:t>
      </w:r>
      <w:r w:rsidR="0043457D" w:rsidRPr="009439E8">
        <w:t xml:space="preserve">being managed under these </w:t>
      </w:r>
      <w:r w:rsidR="004F6B53">
        <w:t>g</w:t>
      </w:r>
      <w:r w:rsidR="0043457D" w:rsidRPr="009439E8">
        <w:t>uidelines is adher</w:t>
      </w:r>
      <w:r w:rsidR="00F5388C">
        <w:t>ing</w:t>
      </w:r>
      <w:r w:rsidR="0043457D" w:rsidRPr="009439E8">
        <w:t xml:space="preserve"> to treatment</w:t>
      </w:r>
      <w:r w:rsidR="00426145" w:rsidRPr="009439E8">
        <w:t xml:space="preserve">, </w:t>
      </w:r>
      <w:r w:rsidR="0043457D" w:rsidRPr="008E433C">
        <w:t>has</w:t>
      </w:r>
      <w:r w:rsidR="0043457D" w:rsidRPr="009439E8">
        <w:t xml:space="preserve"> a sustained undetectable viral load</w:t>
      </w:r>
      <w:r w:rsidR="006B57E2" w:rsidRPr="009439E8">
        <w:t xml:space="preserve"> and is engaged in clin</w:t>
      </w:r>
      <w:r w:rsidR="00C10B12" w:rsidRPr="009439E8">
        <w:t>i</w:t>
      </w:r>
      <w:r w:rsidR="006B57E2" w:rsidRPr="009439E8">
        <w:t>cal care</w:t>
      </w:r>
      <w:r w:rsidR="0043457D" w:rsidRPr="009439E8">
        <w:t xml:space="preserve">, a graded withdrawal of public health measures </w:t>
      </w:r>
      <w:r w:rsidRPr="009439E8">
        <w:t xml:space="preserve">will </w:t>
      </w:r>
      <w:r w:rsidR="0043457D" w:rsidRPr="009439E8">
        <w:t>be undertaken and the need for continued support assessed.</w:t>
      </w:r>
      <w:r w:rsidR="00A31B2B">
        <w:t xml:space="preserve"> </w:t>
      </w:r>
    </w:p>
    <w:p w14:paraId="722E8ACB" w14:textId="77777777" w:rsidR="00F5388C" w:rsidRDefault="00F5388C">
      <w:pPr>
        <w:rPr>
          <w:rFonts w:ascii="Arial" w:eastAsia="Arial" w:hAnsi="Arial"/>
          <w:bCs/>
          <w:color w:val="004EA8"/>
          <w:sz w:val="44"/>
          <w:szCs w:val="44"/>
        </w:rPr>
      </w:pPr>
      <w:bookmarkStart w:id="12" w:name="_Toc20311920"/>
      <w:r>
        <w:rPr>
          <w:rFonts w:eastAsia="Arial"/>
        </w:rPr>
        <w:br w:type="page"/>
      </w:r>
    </w:p>
    <w:p w14:paraId="69AFF43E" w14:textId="7A66DE22" w:rsidR="00FF59B8" w:rsidRPr="009439E8" w:rsidRDefault="00F710D8" w:rsidP="004B2E44">
      <w:pPr>
        <w:pStyle w:val="Heading1"/>
        <w:rPr>
          <w:rFonts w:eastAsia="Arial"/>
        </w:rPr>
      </w:pPr>
      <w:bookmarkStart w:id="13" w:name="_Toc89268499"/>
      <w:r w:rsidRPr="009439E8">
        <w:rPr>
          <w:rFonts w:eastAsia="Arial"/>
        </w:rPr>
        <w:lastRenderedPageBreak/>
        <w:t xml:space="preserve">Legislative </w:t>
      </w:r>
      <w:r w:rsidR="00C11281">
        <w:rPr>
          <w:rFonts w:eastAsia="Arial"/>
        </w:rPr>
        <w:t>p</w:t>
      </w:r>
      <w:r w:rsidRPr="009439E8">
        <w:rPr>
          <w:rFonts w:eastAsia="Arial"/>
        </w:rPr>
        <w:t>rovision</w:t>
      </w:r>
      <w:bookmarkEnd w:id="12"/>
      <w:bookmarkEnd w:id="13"/>
      <w:r w:rsidRPr="009439E8">
        <w:rPr>
          <w:rFonts w:eastAsia="Arial"/>
        </w:rPr>
        <w:t xml:space="preserve"> </w:t>
      </w:r>
    </w:p>
    <w:p w14:paraId="578F7E73" w14:textId="5764B7BC" w:rsidR="003702C0" w:rsidRPr="009439E8" w:rsidRDefault="003702C0" w:rsidP="00CC3DC5">
      <w:pPr>
        <w:pStyle w:val="DHHSbody"/>
      </w:pPr>
      <w:r w:rsidRPr="009439E8">
        <w:t xml:space="preserve">The Victorian </w:t>
      </w:r>
      <w:r w:rsidR="00C11281">
        <w:t>g</w:t>
      </w:r>
      <w:r w:rsidRPr="009439E8">
        <w:t xml:space="preserve">uidelines </w:t>
      </w:r>
      <w:r w:rsidR="00F710D8" w:rsidRPr="009439E8">
        <w:t>work withi</w:t>
      </w:r>
      <w:r w:rsidRPr="009439E8">
        <w:t>n the following l</w:t>
      </w:r>
      <w:r w:rsidR="00F710D8" w:rsidRPr="009439E8">
        <w:t>ocal legislative and policy provisions</w:t>
      </w:r>
      <w:r w:rsidR="00465D33" w:rsidRPr="009439E8">
        <w:t>:</w:t>
      </w:r>
    </w:p>
    <w:p w14:paraId="0AB49FD3" w14:textId="76E2B60E" w:rsidR="006E6C3E" w:rsidRPr="001469D9" w:rsidRDefault="00DB320D" w:rsidP="006E6C3E">
      <w:pPr>
        <w:pStyle w:val="DHHSbullet1"/>
      </w:pPr>
      <w:r>
        <w:t xml:space="preserve">The PHW Act </w:t>
      </w:r>
      <w:r w:rsidR="006E6C3E" w:rsidRPr="001469D9">
        <w:t>provides the CHO with a raft of powers for manag</w:t>
      </w:r>
      <w:r w:rsidR="004B1457">
        <w:t>ing</w:t>
      </w:r>
      <w:r w:rsidR="006E6C3E" w:rsidRPr="001469D9">
        <w:t xml:space="preserve"> and control</w:t>
      </w:r>
      <w:r w:rsidR="004B1457">
        <w:t>ling</w:t>
      </w:r>
      <w:r w:rsidR="006E6C3E" w:rsidRPr="001469D9">
        <w:t xml:space="preserve"> infectious diseases, including HIV. Among other things, the CHO can issue examination and testing orders and public health orders. Additionally, the PHW Act sets out a </w:t>
      </w:r>
      <w:r w:rsidR="00D50B89" w:rsidRPr="001469D9">
        <w:t>re</w:t>
      </w:r>
      <w:r w:rsidR="00D50B89">
        <w:t>quirement</w:t>
      </w:r>
      <w:r w:rsidR="00D50B89" w:rsidRPr="001469D9">
        <w:t xml:space="preserve"> </w:t>
      </w:r>
      <w:r w:rsidR="006E6C3E" w:rsidRPr="001469D9">
        <w:t xml:space="preserve">under which medical practitioners and pathology services must notify the Secretary if a patient may have a ‘notifiable condition’. </w:t>
      </w:r>
    </w:p>
    <w:p w14:paraId="5ACBF9C3" w14:textId="726F290D" w:rsidR="006E6C3E" w:rsidRPr="001469D9" w:rsidRDefault="004B1457" w:rsidP="006E6C3E">
      <w:pPr>
        <w:pStyle w:val="DHHSbullet1"/>
      </w:pPr>
      <w:r>
        <w:t xml:space="preserve">The </w:t>
      </w:r>
      <w:r w:rsidR="006E6C3E" w:rsidRPr="00D705C9">
        <w:t>Public Health and Wellbeing</w:t>
      </w:r>
      <w:r w:rsidR="006E6C3E" w:rsidRPr="00C11281">
        <w:t xml:space="preserve"> </w:t>
      </w:r>
      <w:r w:rsidR="006E6C3E" w:rsidRPr="00D705C9">
        <w:t>Regulations 2019</w:t>
      </w:r>
      <w:r w:rsidR="006E6C3E" w:rsidRPr="001469D9">
        <w:t xml:space="preserve"> prescribe, among other things, those infectious diseases and medical conditions that are ‘notifiable conditions’ and the reporting details for notifications, including the timeframe in which reporting must occur for each category of notifiable condition. </w:t>
      </w:r>
    </w:p>
    <w:p w14:paraId="5E398B20" w14:textId="5F29CA71" w:rsidR="006E6C3E" w:rsidRPr="009439E8" w:rsidRDefault="004B1457" w:rsidP="006E6C3E">
      <w:pPr>
        <w:pStyle w:val="DHHSbullet1"/>
      </w:pPr>
      <w:r>
        <w:t xml:space="preserve">The </w:t>
      </w:r>
      <w:r w:rsidR="006E6C3E" w:rsidRPr="00821D36">
        <w:rPr>
          <w:i/>
          <w:iCs/>
        </w:rPr>
        <w:t>Health Records Act 2001</w:t>
      </w:r>
      <w:r w:rsidR="006E6C3E">
        <w:t xml:space="preserve"> provides the Health Privacy Principles</w:t>
      </w:r>
      <w:r w:rsidR="00C11281">
        <w:t>,</w:t>
      </w:r>
      <w:r w:rsidR="006E6C3E">
        <w:t xml:space="preserve"> which protect health information collected and handled in Victoria by the Victorian public and private sectors. </w:t>
      </w:r>
    </w:p>
    <w:p w14:paraId="609B29EF" w14:textId="72E8BD7B" w:rsidR="006E6C3E" w:rsidRPr="009439E8" w:rsidRDefault="004B1457" w:rsidP="006E6C3E">
      <w:pPr>
        <w:pStyle w:val="DHHSbullet1"/>
      </w:pPr>
      <w:r>
        <w:t xml:space="preserve">The </w:t>
      </w:r>
      <w:r w:rsidR="006E6C3E" w:rsidRPr="00821D36">
        <w:rPr>
          <w:i/>
          <w:iCs/>
        </w:rPr>
        <w:t>Privacy and Data Protection Act 2014</w:t>
      </w:r>
      <w:r w:rsidR="006E6C3E">
        <w:t xml:space="preserve"> provides the Information Privacy Principles</w:t>
      </w:r>
      <w:r w:rsidR="00DB320D">
        <w:t>,</w:t>
      </w:r>
      <w:r w:rsidR="006E6C3E">
        <w:t xml:space="preserve"> which set out the minimum standard for how Victorian public sector organisations must handle personal information. </w:t>
      </w:r>
    </w:p>
    <w:p w14:paraId="4FFEDE89" w14:textId="042F1C34" w:rsidR="00AF27A1" w:rsidRPr="00AF27A1" w:rsidRDefault="004B1457" w:rsidP="00AF27A1">
      <w:pPr>
        <w:pStyle w:val="DHHSbullet1"/>
        <w:rPr>
          <w:i/>
          <w:iCs/>
        </w:rPr>
      </w:pPr>
      <w:r>
        <w:t xml:space="preserve">The </w:t>
      </w:r>
      <w:r w:rsidR="00AF27A1" w:rsidRPr="00AF27A1">
        <w:rPr>
          <w:i/>
          <w:iCs/>
        </w:rPr>
        <w:t xml:space="preserve">Sex Work Act 1994 </w:t>
      </w:r>
      <w:r w:rsidR="00AF27A1" w:rsidRPr="00D705C9">
        <w:t>and Sex Work Regulations 2016</w:t>
      </w:r>
      <w:r w:rsidR="00AF27A1">
        <w:rPr>
          <w:i/>
          <w:iCs/>
        </w:rPr>
        <w:t xml:space="preserve"> </w:t>
      </w:r>
      <w:r w:rsidR="00AF27A1">
        <w:t>together provide a licen</w:t>
      </w:r>
      <w:r>
        <w:t>s</w:t>
      </w:r>
      <w:r w:rsidR="00AF27A1">
        <w:t xml:space="preserve">ing system for, and regulate, sex work service providers, including through establishing offences relating to sex work and creating powers of inspection. </w:t>
      </w:r>
      <w:r w:rsidR="002C484D">
        <w:t>At time of publication of the</w:t>
      </w:r>
      <w:r>
        <w:t>se</w:t>
      </w:r>
      <w:r w:rsidR="002C484D">
        <w:t xml:space="preserve"> </w:t>
      </w:r>
      <w:r w:rsidR="004F6B53">
        <w:t>g</w:t>
      </w:r>
      <w:r w:rsidR="002C484D">
        <w:t xml:space="preserve">uidelines, a motion to decriminalise sex work in Victoria and repeal the </w:t>
      </w:r>
      <w:r w:rsidR="002C484D" w:rsidRPr="00D705C9">
        <w:t>Sex Work Act</w:t>
      </w:r>
      <w:r w:rsidR="002C484D">
        <w:t xml:space="preserve"> is underway. </w:t>
      </w:r>
      <w:r w:rsidR="00AF27A1" w:rsidRPr="00821D36">
        <w:t>Note that under s</w:t>
      </w:r>
      <w:r w:rsidR="00C11281">
        <w:t>.</w:t>
      </w:r>
      <w:r w:rsidR="00AF27A1" w:rsidRPr="00821D36">
        <w:t xml:space="preserve"> 20 of the </w:t>
      </w:r>
      <w:r w:rsidR="00AF27A1" w:rsidRPr="00D705C9">
        <w:t>Act</w:t>
      </w:r>
      <w:r w:rsidR="00AF27A1" w:rsidRPr="00821D36">
        <w:t>, a person must not work as a sex worker during any period in which they know they are infected with HIV. A person who worked as a sex worker in a period during which they were infected with HIV is presumed to have known that they were so infected unless they can prove that, at the time of the alleged offence, they were undergoing regular blood tests for HIV (at least quarterly) and that they believed on reasonable grounds that they were not infected with HIV.</w:t>
      </w:r>
      <w:r w:rsidR="00A31B2B">
        <w:t xml:space="preserve"> </w:t>
      </w:r>
    </w:p>
    <w:p w14:paraId="5EFD0EC5" w14:textId="7E013B47" w:rsidR="00F549CD" w:rsidRPr="009439E8" w:rsidRDefault="00F549CD" w:rsidP="00D705C9">
      <w:pPr>
        <w:pStyle w:val="Heading2"/>
      </w:pPr>
      <w:bookmarkStart w:id="14" w:name="_Toc89268500"/>
      <w:r w:rsidRPr="009439E8">
        <w:t>Crimes Act</w:t>
      </w:r>
      <w:bookmarkEnd w:id="14"/>
    </w:p>
    <w:p w14:paraId="0C80A3A4" w14:textId="08E5DE50" w:rsidR="00AF27A1" w:rsidRPr="009439E8" w:rsidRDefault="00AF27A1" w:rsidP="00AF27A1">
      <w:pPr>
        <w:pStyle w:val="DHHSbody"/>
        <w:rPr>
          <w:rFonts w:cs="Arial"/>
        </w:rPr>
      </w:pPr>
      <w:r w:rsidRPr="009439E8">
        <w:t xml:space="preserve">There are several criminal offences in the </w:t>
      </w:r>
      <w:r w:rsidRPr="00D705C9">
        <w:rPr>
          <w:iCs/>
        </w:rPr>
        <w:t>Crimes Act</w:t>
      </w:r>
      <w:r w:rsidRPr="009439E8">
        <w:rPr>
          <w:i/>
        </w:rPr>
        <w:t xml:space="preserve"> </w:t>
      </w:r>
      <w:r w:rsidRPr="009439E8">
        <w:t xml:space="preserve">that are relevant where a person’s </w:t>
      </w:r>
      <w:r w:rsidR="004A4FD0">
        <w:t>behaviours</w:t>
      </w:r>
      <w:r w:rsidR="00626A63">
        <w:t xml:space="preserve"> </w:t>
      </w:r>
      <w:r w:rsidRPr="009439E8">
        <w:t xml:space="preserve">allegedly place others, deliberately or recklessly, at risk of contracting HIV. Allegations of this type may be reported to the </w:t>
      </w:r>
      <w:r w:rsidR="00DB320D">
        <w:t>p</w:t>
      </w:r>
      <w:r w:rsidRPr="009439E8">
        <w:t xml:space="preserve">olice and they may investigate the matter and determine whether it would be appropriate to lay charges. </w:t>
      </w:r>
      <w:r w:rsidRPr="001469D9">
        <w:t xml:space="preserve">It is important to note that, under these </w:t>
      </w:r>
      <w:r w:rsidR="004F6B53">
        <w:t>g</w:t>
      </w:r>
      <w:r w:rsidRPr="001469D9">
        <w:t xml:space="preserve">uidelines, the </w:t>
      </w:r>
      <w:r w:rsidR="004F6B53">
        <w:t>d</w:t>
      </w:r>
      <w:r w:rsidRPr="001469D9">
        <w:t>epartment can only involve Victoria Police as the last resort at any level of management.</w:t>
      </w:r>
    </w:p>
    <w:p w14:paraId="3E12809A" w14:textId="5412324F" w:rsidR="00AF27A1" w:rsidRPr="009439E8" w:rsidRDefault="00AF27A1" w:rsidP="00AF27A1">
      <w:pPr>
        <w:pStyle w:val="DHHSbody"/>
        <w:rPr>
          <w:rFonts w:cs="Arial"/>
        </w:rPr>
      </w:pPr>
      <w:r w:rsidRPr="009439E8">
        <w:t xml:space="preserve">Under </w:t>
      </w:r>
      <w:r w:rsidR="007B3625">
        <w:t>ss.</w:t>
      </w:r>
      <w:r w:rsidR="007B3625" w:rsidRPr="009439E8">
        <w:t xml:space="preserve"> </w:t>
      </w:r>
      <w:r w:rsidRPr="009439E8">
        <w:t xml:space="preserve">22 and 23 of the </w:t>
      </w:r>
      <w:r w:rsidRPr="00D705C9">
        <w:t>Crimes Act</w:t>
      </w:r>
      <w:r w:rsidRPr="009439E8">
        <w:t xml:space="preserve">, it is an offence for a person to recklessly engage in conduct that may place another person in danger of death or serious injury without a lawful excuse. There have been a number of </w:t>
      </w:r>
      <w:r>
        <w:t>prosecutions</w:t>
      </w:r>
      <w:r w:rsidRPr="009439E8">
        <w:t xml:space="preserve"> brought under these sections after recei</w:t>
      </w:r>
      <w:r w:rsidR="004B1457">
        <w:t>ving</w:t>
      </w:r>
      <w:r w:rsidRPr="009439E8">
        <w:t xml:space="preserve"> complaints from people who have contracted HIV.</w:t>
      </w:r>
      <w:r w:rsidR="00A31B2B">
        <w:t xml:space="preserve"> </w:t>
      </w:r>
    </w:p>
    <w:p w14:paraId="66DC6C5C" w14:textId="2C0B7592" w:rsidR="00AF27A1" w:rsidRPr="009439E8" w:rsidRDefault="00AF27A1" w:rsidP="00AF27A1">
      <w:pPr>
        <w:pStyle w:val="DHHSbody"/>
      </w:pPr>
      <w:r w:rsidRPr="009439E8">
        <w:t xml:space="preserve">Under </w:t>
      </w:r>
      <w:r w:rsidR="007B3625">
        <w:t xml:space="preserve">ss. </w:t>
      </w:r>
      <w:r>
        <w:t>16 and</w:t>
      </w:r>
      <w:r w:rsidRPr="009439E8">
        <w:t xml:space="preserve"> 17 of the </w:t>
      </w:r>
      <w:r w:rsidRPr="00D705C9">
        <w:t>Act</w:t>
      </w:r>
      <w:r w:rsidRPr="009439E8">
        <w:t xml:space="preserve">, a person who, without lawful excuse, </w:t>
      </w:r>
      <w:r>
        <w:t xml:space="preserve">intentionally or </w:t>
      </w:r>
      <w:r w:rsidRPr="009439E8">
        <w:t>recklessly causes serious injury to another person is guilty of an indictable offence.</w:t>
      </w:r>
    </w:p>
    <w:p w14:paraId="3135EC26" w14:textId="136603BE" w:rsidR="00AF27A1" w:rsidRPr="009439E8" w:rsidRDefault="00AF27A1" w:rsidP="00AF27A1">
      <w:pPr>
        <w:pStyle w:val="DHHSbody"/>
      </w:pPr>
      <w:r w:rsidRPr="009439E8">
        <w:t xml:space="preserve">Section 19A of the </w:t>
      </w:r>
      <w:r w:rsidRPr="00D705C9">
        <w:t>Act</w:t>
      </w:r>
      <w:r w:rsidRPr="00483E37">
        <w:rPr>
          <w:i/>
          <w:iCs/>
        </w:rPr>
        <w:t xml:space="preserve"> </w:t>
      </w:r>
      <w:r w:rsidRPr="009439E8">
        <w:t>was repealed in 2015, abolishing the specific offence of intentionally infecting another person with a ‘very serious illness’, defined exclusively to mean HIV.</w:t>
      </w:r>
    </w:p>
    <w:p w14:paraId="0231253F" w14:textId="56BB656B" w:rsidR="00F549CD" w:rsidRDefault="00F549CD" w:rsidP="007E6E66">
      <w:pPr>
        <w:pStyle w:val="DHHSbody"/>
      </w:pPr>
      <w:r w:rsidRPr="009439E8">
        <w:t>The enforcement of the criminal law by Victoria Police is a separate and distinct function to the role of the C</w:t>
      </w:r>
      <w:r w:rsidR="00D37FD6" w:rsidRPr="009439E8">
        <w:t>HO</w:t>
      </w:r>
      <w:r w:rsidR="00DB320D">
        <w:t>,</w:t>
      </w:r>
      <w:r w:rsidR="00D37FD6" w:rsidRPr="009439E8">
        <w:t xml:space="preserve"> </w:t>
      </w:r>
      <w:r w:rsidRPr="009439E8">
        <w:t>which is to protect public health through manag</w:t>
      </w:r>
      <w:r w:rsidR="004B1457">
        <w:t>ing</w:t>
      </w:r>
      <w:r w:rsidRPr="009439E8">
        <w:t xml:space="preserve"> and control</w:t>
      </w:r>
      <w:r w:rsidR="004B1457">
        <w:t>ling</w:t>
      </w:r>
      <w:r w:rsidRPr="009439E8">
        <w:t xml:space="preserve"> infectious diseases.</w:t>
      </w:r>
      <w:r w:rsidR="007E6E66" w:rsidRPr="009439E8">
        <w:t xml:space="preserve"> Referral to police is only ever appropriate as the last resort at any level of management under these </w:t>
      </w:r>
      <w:r w:rsidR="004F6B53">
        <w:t>g</w:t>
      </w:r>
      <w:r w:rsidR="007E6E66" w:rsidRPr="009439E8">
        <w:t>uidelines</w:t>
      </w:r>
      <w:r w:rsidR="007D33F6" w:rsidRPr="009439E8">
        <w:t>,</w:t>
      </w:r>
      <w:r w:rsidR="007E6E66" w:rsidRPr="009439E8">
        <w:t xml:space="preserve"> </w:t>
      </w:r>
      <w:r w:rsidR="00D365AD" w:rsidRPr="009439E8">
        <w:t xml:space="preserve">and only if </w:t>
      </w:r>
      <w:r w:rsidR="007E6E66" w:rsidRPr="009439E8">
        <w:t>there are allegation</w:t>
      </w:r>
      <w:r w:rsidR="007D33F6" w:rsidRPr="009439E8">
        <w:t>s</w:t>
      </w:r>
      <w:r w:rsidR="007E6E66" w:rsidRPr="009439E8">
        <w:t xml:space="preserve"> of serious criminal behaviour (refer to </w:t>
      </w:r>
      <w:r w:rsidR="004F6B53">
        <w:t>the ‘</w:t>
      </w:r>
      <w:r w:rsidR="007E6E66" w:rsidRPr="009439E8">
        <w:t xml:space="preserve">Referral to </w:t>
      </w:r>
      <w:r w:rsidR="004F6B53">
        <w:t>p</w:t>
      </w:r>
      <w:r w:rsidR="007E6E66" w:rsidRPr="009439E8">
        <w:t>olice</w:t>
      </w:r>
      <w:r w:rsidR="004F6B53">
        <w:t>’ section</w:t>
      </w:r>
      <w:r w:rsidR="007E6E66" w:rsidRPr="009439E8">
        <w:t xml:space="preserve"> for more </w:t>
      </w:r>
      <w:r w:rsidR="004B1457">
        <w:t>information</w:t>
      </w:r>
      <w:r w:rsidR="007E6E66" w:rsidRPr="009439E8">
        <w:t xml:space="preserve">). </w:t>
      </w:r>
    </w:p>
    <w:p w14:paraId="68E65D03" w14:textId="6E2EA038" w:rsidR="00AF27A1" w:rsidRPr="009D1BAE" w:rsidRDefault="00AF27A1" w:rsidP="00D705C9">
      <w:pPr>
        <w:pStyle w:val="Heading2"/>
      </w:pPr>
      <w:bookmarkStart w:id="15" w:name="_Toc89268501"/>
      <w:r w:rsidRPr="00FA406C">
        <w:lastRenderedPageBreak/>
        <w:t>Charter of Human Rights and Responsibilities Act</w:t>
      </w:r>
      <w:bookmarkEnd w:id="15"/>
    </w:p>
    <w:p w14:paraId="688B3000" w14:textId="6E2CF896" w:rsidR="00AF27A1" w:rsidRDefault="00AF27A1" w:rsidP="00AF27A1">
      <w:pPr>
        <w:pStyle w:val="DHHSbody"/>
      </w:pPr>
      <w:r>
        <w:t xml:space="preserve">The </w:t>
      </w:r>
      <w:r w:rsidRPr="00D705C9">
        <w:rPr>
          <w:i/>
          <w:iCs/>
        </w:rPr>
        <w:t xml:space="preserve">Charter </w:t>
      </w:r>
      <w:r w:rsidR="005C7FB9" w:rsidRPr="00D705C9">
        <w:rPr>
          <w:i/>
          <w:iCs/>
        </w:rPr>
        <w:t>of Human Rights and Responsibilities Act 2006</w:t>
      </w:r>
      <w:r w:rsidR="005C7FB9">
        <w:t xml:space="preserve"> </w:t>
      </w:r>
      <w:r>
        <w:t>is a Victorian law that sets out the basic rights and freedoms of all Victorians</w:t>
      </w:r>
      <w:r w:rsidR="00A92627">
        <w:t>. These rights</w:t>
      </w:r>
      <w:r>
        <w:t xml:space="preserve"> promote and protect the values of freedom, respect, equality and dignity. The Charter promotes and protects human rights in various ways, including by imposing an obligation on public authorities to act in a way that is compatible with the Charter rights. </w:t>
      </w:r>
    </w:p>
    <w:p w14:paraId="3EBD7021" w14:textId="5D1B8655" w:rsidR="00AF27A1" w:rsidRDefault="00AF27A1" w:rsidP="00AF27A1">
      <w:pPr>
        <w:pStyle w:val="DHHSbody"/>
      </w:pPr>
      <w:r>
        <w:t>Under s</w:t>
      </w:r>
      <w:r w:rsidR="00C11281">
        <w:t>.</w:t>
      </w:r>
      <w:r>
        <w:t xml:space="preserve"> 38 of the Charter, it is unlawful for a public authority (including the department) to act in a way that is incompatible with a Charter right or, in making a decision, to fail to give proper consideration to a relevant Charter right. </w:t>
      </w:r>
      <w:r w:rsidRPr="00EC0D82">
        <w:t xml:space="preserve">Public authorities must </w:t>
      </w:r>
      <w:r>
        <w:t xml:space="preserve">accordingly </w:t>
      </w:r>
      <w:r w:rsidRPr="00EC0D82">
        <w:t xml:space="preserve">consider how </w:t>
      </w:r>
      <w:r>
        <w:t>Charter</w:t>
      </w:r>
      <w:r w:rsidRPr="00EC0D82">
        <w:t xml:space="preserve"> rights are protected when implementing policies and delivering services.</w:t>
      </w:r>
      <w:r>
        <w:t xml:space="preserve"> </w:t>
      </w:r>
      <w:r w:rsidRPr="001469D9">
        <w:t xml:space="preserve">In applying these </w:t>
      </w:r>
      <w:r w:rsidR="004F6B53">
        <w:t>g</w:t>
      </w:r>
      <w:r w:rsidRPr="001469D9">
        <w:t xml:space="preserve">uidelines, the </w:t>
      </w:r>
      <w:r w:rsidR="004F6B53">
        <w:t>d</w:t>
      </w:r>
      <w:r w:rsidRPr="001469D9">
        <w:t xml:space="preserve">epartment must consider any possible impact on the rights of individuals with HIV, as well as on the rights of </w:t>
      </w:r>
      <w:r w:rsidR="00A92627">
        <w:t>people</w:t>
      </w:r>
      <w:r w:rsidR="00A92627" w:rsidRPr="001469D9">
        <w:t xml:space="preserve"> </w:t>
      </w:r>
      <w:r w:rsidRPr="001469D9">
        <w:t>who may be affected by their actions.</w:t>
      </w:r>
      <w:r>
        <w:t xml:space="preserve"> </w:t>
      </w:r>
    </w:p>
    <w:p w14:paraId="40ED9FD0" w14:textId="6E339F27" w:rsidR="00AF27A1" w:rsidRDefault="00AF27A1" w:rsidP="00AF27A1">
      <w:pPr>
        <w:pStyle w:val="DHHSbullet1"/>
        <w:numPr>
          <w:ilvl w:val="0"/>
          <w:numId w:val="0"/>
        </w:numPr>
      </w:pPr>
      <w:r>
        <w:t xml:space="preserve">As a public authority, </w:t>
      </w:r>
      <w:r w:rsidR="00A92627">
        <w:t xml:space="preserve">the department, </w:t>
      </w:r>
      <w:r>
        <w:t xml:space="preserve">in implementing these </w:t>
      </w:r>
      <w:r w:rsidR="004F6B53">
        <w:t>g</w:t>
      </w:r>
      <w:r>
        <w:t>uidelines, must act compatibly with those Charter rights that are applicable, subject only to justified limitations in accordance with s</w:t>
      </w:r>
      <w:r w:rsidR="00C11281">
        <w:t>.</w:t>
      </w:r>
      <w:r>
        <w:t xml:space="preserve"> 7(2) (discussed below). Relevant rights include: </w:t>
      </w:r>
    </w:p>
    <w:p w14:paraId="7718BC69" w14:textId="4D6D9740" w:rsidR="00AF27A1" w:rsidRDefault="00AF27A1" w:rsidP="00020FC4">
      <w:pPr>
        <w:pStyle w:val="DHHSbody"/>
        <w:numPr>
          <w:ilvl w:val="0"/>
          <w:numId w:val="6"/>
        </w:numPr>
      </w:pPr>
      <w:r w:rsidRPr="002E44EB">
        <w:rPr>
          <w:b/>
          <w:bCs/>
        </w:rPr>
        <w:t>Recognition and equality before the law (s</w:t>
      </w:r>
      <w:r w:rsidR="00C11281">
        <w:rPr>
          <w:b/>
          <w:bCs/>
        </w:rPr>
        <w:t>.</w:t>
      </w:r>
      <w:r w:rsidRPr="002E44EB">
        <w:rPr>
          <w:b/>
          <w:bCs/>
        </w:rPr>
        <w:t xml:space="preserve"> 8):</w:t>
      </w:r>
      <w:r>
        <w:t xml:space="preserve"> </w:t>
      </w:r>
      <w:r w:rsidR="00A92627">
        <w:t>Y</w:t>
      </w:r>
      <w:r>
        <w:t>ou</w:t>
      </w:r>
      <w:r w:rsidRPr="00E9017B">
        <w:t xml:space="preserve"> have the right to be recognised as a person, to enjoy </w:t>
      </w:r>
      <w:r>
        <w:t>your</w:t>
      </w:r>
      <w:r w:rsidRPr="00E9017B">
        <w:t xml:space="preserve"> rights without discrimination, to be treated equally under the law and</w:t>
      </w:r>
      <w:r w:rsidR="00356425">
        <w:t xml:space="preserve"> to be</w:t>
      </w:r>
      <w:r w:rsidRPr="00E9017B">
        <w:t xml:space="preserve"> protected from discrimination</w:t>
      </w:r>
      <w:r>
        <w:t>.</w:t>
      </w:r>
    </w:p>
    <w:p w14:paraId="0B00FDC9" w14:textId="3CAD0968" w:rsidR="00AF27A1" w:rsidRDefault="00AF27A1" w:rsidP="00020FC4">
      <w:pPr>
        <w:pStyle w:val="DHHSbody"/>
        <w:numPr>
          <w:ilvl w:val="0"/>
          <w:numId w:val="6"/>
        </w:numPr>
      </w:pPr>
      <w:r w:rsidRPr="002E44EB">
        <w:rPr>
          <w:b/>
          <w:bCs/>
        </w:rPr>
        <w:t>Right to privacy and reputation (s</w:t>
      </w:r>
      <w:r w:rsidR="00C11281">
        <w:rPr>
          <w:b/>
          <w:bCs/>
        </w:rPr>
        <w:t>.</w:t>
      </w:r>
      <w:r w:rsidRPr="002E44EB">
        <w:rPr>
          <w:b/>
          <w:bCs/>
        </w:rPr>
        <w:t xml:space="preserve"> 13):</w:t>
      </w:r>
      <w:r>
        <w:t xml:space="preserve"> </w:t>
      </w:r>
      <w:r w:rsidR="00A92627">
        <w:t xml:space="preserve">This </w:t>
      </w:r>
      <w:r>
        <w:t>pr</w:t>
      </w:r>
      <w:r w:rsidRPr="00E9017B">
        <w:t>otects your right not to have your privacy, family, home or correspondence interfered with. It also gives you the right to not have your reputation unlawfully attacked.</w:t>
      </w:r>
    </w:p>
    <w:p w14:paraId="4014C264" w14:textId="5072C14B" w:rsidR="00AF27A1" w:rsidRDefault="00AF27A1" w:rsidP="00020FC4">
      <w:pPr>
        <w:pStyle w:val="DHHSbody"/>
        <w:numPr>
          <w:ilvl w:val="0"/>
          <w:numId w:val="6"/>
        </w:numPr>
      </w:pPr>
      <w:r w:rsidRPr="002E44EB">
        <w:rPr>
          <w:b/>
          <w:bCs/>
        </w:rPr>
        <w:t xml:space="preserve">Right to liberty and security of </w:t>
      </w:r>
      <w:r w:rsidR="00D705C9">
        <w:rPr>
          <w:b/>
          <w:bCs/>
        </w:rPr>
        <w:t xml:space="preserve">a </w:t>
      </w:r>
      <w:r w:rsidRPr="002E44EB">
        <w:rPr>
          <w:b/>
          <w:bCs/>
        </w:rPr>
        <w:t>person (s</w:t>
      </w:r>
      <w:r w:rsidR="00C11281">
        <w:rPr>
          <w:b/>
          <w:bCs/>
        </w:rPr>
        <w:t>.</w:t>
      </w:r>
      <w:r w:rsidRPr="002E44EB">
        <w:rPr>
          <w:b/>
          <w:bCs/>
        </w:rPr>
        <w:t xml:space="preserve"> 21):</w:t>
      </w:r>
      <w:r>
        <w:t xml:space="preserve"> </w:t>
      </w:r>
      <w:r w:rsidR="00A92627">
        <w:t xml:space="preserve">This </w:t>
      </w:r>
      <w:r w:rsidRPr="00E9017B">
        <w:t>protects your right to liberty and security. It means you cannot be arrested or detained unless it</w:t>
      </w:r>
      <w:r>
        <w:t xml:space="preserve"> i</w:t>
      </w:r>
      <w:r w:rsidRPr="00E9017B">
        <w:t>s allowed by the law.</w:t>
      </w:r>
    </w:p>
    <w:p w14:paraId="77723CE8" w14:textId="2258ED7B" w:rsidR="00AF27A1" w:rsidRDefault="00AF27A1" w:rsidP="00020FC4">
      <w:pPr>
        <w:pStyle w:val="DHHSbody"/>
        <w:numPr>
          <w:ilvl w:val="0"/>
          <w:numId w:val="6"/>
        </w:numPr>
      </w:pPr>
      <w:r w:rsidRPr="002E44EB">
        <w:rPr>
          <w:b/>
          <w:bCs/>
        </w:rPr>
        <w:t>Right to humane treatment when deprived of liberty (s</w:t>
      </w:r>
      <w:r w:rsidR="00C11281">
        <w:rPr>
          <w:b/>
          <w:bCs/>
        </w:rPr>
        <w:t>.</w:t>
      </w:r>
      <w:r w:rsidRPr="002E44EB">
        <w:rPr>
          <w:b/>
          <w:bCs/>
        </w:rPr>
        <w:t xml:space="preserve"> 22):</w:t>
      </w:r>
      <w:r w:rsidR="00A92627">
        <w:rPr>
          <w:b/>
          <w:bCs/>
        </w:rPr>
        <w:t xml:space="preserve"> </w:t>
      </w:r>
      <w:r w:rsidR="00A92627" w:rsidRPr="00D705C9">
        <w:t>This</w:t>
      </w:r>
      <w:r>
        <w:t xml:space="preserve"> </w:t>
      </w:r>
      <w:r w:rsidRPr="00E9017B">
        <w:t>protects your right to be treated humanely and with respect and dignity if you are detained.</w:t>
      </w:r>
    </w:p>
    <w:p w14:paraId="74979487" w14:textId="0725295A" w:rsidR="00AF27A1" w:rsidRDefault="00AF27A1" w:rsidP="00020FC4">
      <w:pPr>
        <w:pStyle w:val="DHHSbody"/>
        <w:numPr>
          <w:ilvl w:val="0"/>
          <w:numId w:val="6"/>
        </w:numPr>
      </w:pPr>
      <w:r w:rsidRPr="002E44EB">
        <w:rPr>
          <w:b/>
          <w:bCs/>
        </w:rPr>
        <w:t>Right to a fair hearing (s</w:t>
      </w:r>
      <w:r w:rsidR="00C11281">
        <w:rPr>
          <w:b/>
          <w:bCs/>
        </w:rPr>
        <w:t>.</w:t>
      </w:r>
      <w:r w:rsidRPr="002E44EB">
        <w:rPr>
          <w:b/>
          <w:bCs/>
        </w:rPr>
        <w:t xml:space="preserve"> 24):</w:t>
      </w:r>
      <w:r>
        <w:t xml:space="preserve"> </w:t>
      </w:r>
      <w:r w:rsidR="007042C4">
        <w:t>When</w:t>
      </w:r>
      <w:r w:rsidR="007042C4" w:rsidRPr="00E9017B">
        <w:t xml:space="preserve"> </w:t>
      </w:r>
      <w:r w:rsidRPr="00E9017B">
        <w:t xml:space="preserve">appearing before a court or tribunal – whether in a criminal or civil case – </w:t>
      </w:r>
      <w:r w:rsidR="007042C4">
        <w:t xml:space="preserve">you </w:t>
      </w:r>
      <w:r w:rsidRPr="00E9017B">
        <w:t xml:space="preserve">have the right to a fair and public hearing, and to have </w:t>
      </w:r>
      <w:r w:rsidR="007042C4">
        <w:t xml:space="preserve">your </w:t>
      </w:r>
      <w:r w:rsidRPr="00E9017B">
        <w:t>case decided by a competent, independent and impartial court or tribunal</w:t>
      </w:r>
      <w:r>
        <w:t>.</w:t>
      </w:r>
    </w:p>
    <w:p w14:paraId="7629EFCF" w14:textId="463E3D5C" w:rsidR="00AF27A1" w:rsidRDefault="00AF27A1" w:rsidP="00962D52">
      <w:pPr>
        <w:pStyle w:val="DHHSbody"/>
      </w:pPr>
      <w:r>
        <w:t>Under s</w:t>
      </w:r>
      <w:r w:rsidR="00C11281">
        <w:t>.</w:t>
      </w:r>
      <w:r>
        <w:t xml:space="preserve"> 7(2) of the Charter, a Charter right may be subject to limitations, but only to such reasonable limits as can be justified in a free and democratic society based on human dignity, equality and freedom. Accordingly, Charter rights are not absolute and can be limited if it is reasonable, necessary, justified and proportionate to do so. </w:t>
      </w:r>
    </w:p>
    <w:p w14:paraId="6D01BAFC" w14:textId="265EA171" w:rsidR="00AF27A1" w:rsidRPr="00962D52" w:rsidRDefault="00AF27A1" w:rsidP="00962D52">
      <w:pPr>
        <w:pStyle w:val="DHHSbody"/>
      </w:pPr>
      <w:r w:rsidRPr="00962D52">
        <w:t xml:space="preserve">From time to time, in applying these </w:t>
      </w:r>
      <w:r w:rsidR="00C11281">
        <w:t>g</w:t>
      </w:r>
      <w:r w:rsidRPr="00962D52">
        <w:t xml:space="preserve">uidelines, it may become reasonable and necessary for the </w:t>
      </w:r>
      <w:r w:rsidR="007042C4">
        <w:t>d</w:t>
      </w:r>
      <w:r w:rsidRPr="00962D52">
        <w:t xml:space="preserve">epartment to proportionately limit an individual’s Charter rights. For example, the right of a person with HIV to liberty may be limited in exceptional circumstances where a </w:t>
      </w:r>
      <w:r w:rsidR="007042C4">
        <w:t>p</w:t>
      </w:r>
      <w:r w:rsidRPr="00962D52">
        <w:t xml:space="preserve">ublic </w:t>
      </w:r>
      <w:r w:rsidR="007042C4">
        <w:t>h</w:t>
      </w:r>
      <w:r w:rsidRPr="00962D52">
        <w:t xml:space="preserve">ealth </w:t>
      </w:r>
      <w:r w:rsidR="007042C4">
        <w:t>o</w:t>
      </w:r>
      <w:r w:rsidRPr="00962D52">
        <w:t xml:space="preserve">rder is reasonable, necessary, justified and proportionate to curtail HIV transmission risk practices when all other measures have been unsuccessful. In such circumstances, the limitation of the rights of the person with HIV are balanced against the rights of </w:t>
      </w:r>
      <w:r w:rsidR="007042C4">
        <w:t xml:space="preserve">those </w:t>
      </w:r>
      <w:r w:rsidRPr="00962D52">
        <w:t xml:space="preserve">who may be affected by their actions. The use of </w:t>
      </w:r>
      <w:r w:rsidR="004F6B53">
        <w:t>p</w:t>
      </w:r>
      <w:r w:rsidRPr="00962D52">
        <w:t xml:space="preserve">ublic </w:t>
      </w:r>
      <w:r w:rsidR="004F6B53">
        <w:t>h</w:t>
      </w:r>
      <w:r w:rsidRPr="00962D52">
        <w:t xml:space="preserve">ealth </w:t>
      </w:r>
      <w:r w:rsidR="004F6B53">
        <w:t>o</w:t>
      </w:r>
      <w:r w:rsidRPr="00962D52">
        <w:t xml:space="preserve">rders under these </w:t>
      </w:r>
      <w:r w:rsidR="004F6B53">
        <w:t>g</w:t>
      </w:r>
      <w:r w:rsidRPr="00962D52">
        <w:t xml:space="preserve">uidelines is discussed in </w:t>
      </w:r>
      <w:r w:rsidR="004F6B53">
        <w:t>‘</w:t>
      </w:r>
      <w:r w:rsidR="00962D52" w:rsidRPr="00962D52">
        <w:t>Stage 3</w:t>
      </w:r>
      <w:r w:rsidR="004F6B53">
        <w:t>:</w:t>
      </w:r>
      <w:r w:rsidR="00962D52" w:rsidRPr="00962D52">
        <w:t xml:space="preserve"> Public </w:t>
      </w:r>
      <w:r w:rsidR="004F6B53">
        <w:t>h</w:t>
      </w:r>
      <w:r w:rsidR="00962D52" w:rsidRPr="00962D52">
        <w:t xml:space="preserve">ealth </w:t>
      </w:r>
      <w:r w:rsidR="004F6B53">
        <w:t>o</w:t>
      </w:r>
      <w:r w:rsidR="00962D52" w:rsidRPr="00962D52">
        <w:t>rders (</w:t>
      </w:r>
      <w:r w:rsidR="004F6B53">
        <w:t>b</w:t>
      </w:r>
      <w:r w:rsidR="00962D52" w:rsidRPr="00962D52">
        <w:t>ehavioural)</w:t>
      </w:r>
      <w:r w:rsidR="004F6B53">
        <w:t>’</w:t>
      </w:r>
      <w:r w:rsidR="00962D52" w:rsidRPr="00962D52">
        <w:t xml:space="preserve"> </w:t>
      </w:r>
      <w:r w:rsidRPr="001469D9">
        <w:t>below.</w:t>
      </w:r>
    </w:p>
    <w:p w14:paraId="3576EB84" w14:textId="7C055711" w:rsidR="00013F09" w:rsidRPr="009439E8" w:rsidRDefault="00013F09" w:rsidP="00013F09">
      <w:pPr>
        <w:pStyle w:val="DHHSbody"/>
        <w:spacing w:before="240"/>
      </w:pPr>
      <w:bookmarkStart w:id="16" w:name="_Toc20311921"/>
      <w:r w:rsidRPr="009439E8">
        <w:t xml:space="preserve">The following </w:t>
      </w:r>
      <w:r w:rsidR="00C11281">
        <w:t>n</w:t>
      </w:r>
      <w:r w:rsidRPr="009439E8">
        <w:t xml:space="preserve">ational </w:t>
      </w:r>
      <w:r w:rsidR="00C11281">
        <w:t>l</w:t>
      </w:r>
      <w:r w:rsidRPr="009439E8">
        <w:t>egislation applies:</w:t>
      </w:r>
      <w:r w:rsidR="00A31B2B">
        <w:t xml:space="preserve"> </w:t>
      </w:r>
    </w:p>
    <w:p w14:paraId="2E35F6E7" w14:textId="0E360BD9" w:rsidR="00013F09" w:rsidRPr="009439E8" w:rsidRDefault="007042C4" w:rsidP="00013F09">
      <w:pPr>
        <w:pStyle w:val="DHHSbullet1"/>
      </w:pPr>
      <w:r>
        <w:rPr>
          <w:iCs/>
        </w:rPr>
        <w:t xml:space="preserve">The </w:t>
      </w:r>
      <w:r w:rsidR="00013F09" w:rsidRPr="009439E8">
        <w:rPr>
          <w:i/>
        </w:rPr>
        <w:t>National Health Security Act 2007</w:t>
      </w:r>
      <w:r w:rsidR="00013F09" w:rsidRPr="009439E8">
        <w:t xml:space="preserve"> provides a mechanism for exchang</w:t>
      </w:r>
      <w:r w:rsidR="00EF77F2">
        <w:t>ing</w:t>
      </w:r>
      <w:r w:rsidR="00013F09" w:rsidRPr="009439E8">
        <w:t xml:space="preserve"> information across jurisdictional borders in circumstances where a threat to public health exists</w:t>
      </w:r>
      <w:r>
        <w:t>.</w:t>
      </w:r>
    </w:p>
    <w:p w14:paraId="674DCE7D" w14:textId="6ED01640" w:rsidR="00013F09" w:rsidRPr="009439E8" w:rsidRDefault="007042C4" w:rsidP="00013F09">
      <w:pPr>
        <w:pStyle w:val="DHHSbullet1"/>
      </w:pPr>
      <w:r>
        <w:rPr>
          <w:iCs/>
        </w:rPr>
        <w:t xml:space="preserve">The </w:t>
      </w:r>
      <w:r w:rsidR="00013F09" w:rsidRPr="009439E8">
        <w:rPr>
          <w:i/>
        </w:rPr>
        <w:t xml:space="preserve">Privacy Act 1988 </w:t>
      </w:r>
      <w:r w:rsidR="00013F09" w:rsidRPr="009439E8">
        <w:t>(Cwlth) contains the Australian Privacy Principles</w:t>
      </w:r>
      <w:r w:rsidR="00EF77F2">
        <w:t>,</w:t>
      </w:r>
      <w:r w:rsidR="00013F09" w:rsidRPr="009439E8">
        <w:t xml:space="preserve"> which govern how the Commonwealth government and certain agencies and companies handle personal information, including health information. The privacy and confidentiality of any parties involved must be protected at all times, with information shared only when both necessary in the circumstances and legally allowed</w:t>
      </w:r>
      <w:r>
        <w:t>.</w:t>
      </w:r>
    </w:p>
    <w:p w14:paraId="2EF771B2" w14:textId="582E56F5" w:rsidR="00013F09" w:rsidRPr="009439E8" w:rsidRDefault="007042C4" w:rsidP="00013F09">
      <w:pPr>
        <w:pStyle w:val="DHHSbullet1"/>
      </w:pPr>
      <w:r>
        <w:rPr>
          <w:iCs/>
        </w:rPr>
        <w:lastRenderedPageBreak/>
        <w:t xml:space="preserve">The </w:t>
      </w:r>
      <w:r w:rsidR="00013F09" w:rsidRPr="009439E8">
        <w:rPr>
          <w:i/>
        </w:rPr>
        <w:t>Disability Discrimination Act 1992</w:t>
      </w:r>
      <w:r w:rsidR="00013F09" w:rsidRPr="009439E8">
        <w:t xml:space="preserve"> (Cwlth) outlines human rights protections for all people living with a disability. People living with HIV fall under the ambit of the Act. </w:t>
      </w:r>
    </w:p>
    <w:p w14:paraId="59635D3A" w14:textId="77777777" w:rsidR="005C7FB9" w:rsidRDefault="005C7FB9">
      <w:pPr>
        <w:rPr>
          <w:rFonts w:ascii="Arial" w:eastAsia="Arial" w:hAnsi="Arial"/>
          <w:bCs/>
          <w:color w:val="004EA8"/>
          <w:sz w:val="44"/>
          <w:szCs w:val="44"/>
        </w:rPr>
      </w:pPr>
      <w:r>
        <w:rPr>
          <w:rFonts w:eastAsia="Arial"/>
        </w:rPr>
        <w:br w:type="page"/>
      </w:r>
    </w:p>
    <w:p w14:paraId="76A4CB2A" w14:textId="04CACA93" w:rsidR="00FF59B8" w:rsidRPr="009439E8" w:rsidRDefault="00FF59B8" w:rsidP="004B2E44">
      <w:pPr>
        <w:pStyle w:val="Heading1"/>
        <w:rPr>
          <w:rFonts w:eastAsia="Arial"/>
        </w:rPr>
      </w:pPr>
      <w:bookmarkStart w:id="17" w:name="_Toc89268502"/>
      <w:r w:rsidRPr="009439E8">
        <w:rPr>
          <w:rFonts w:eastAsia="Arial"/>
        </w:rPr>
        <w:lastRenderedPageBreak/>
        <w:t xml:space="preserve">Privacy and </w:t>
      </w:r>
      <w:r w:rsidR="00C11281">
        <w:rPr>
          <w:rFonts w:eastAsia="Arial"/>
        </w:rPr>
        <w:t>c</w:t>
      </w:r>
      <w:r w:rsidRPr="009439E8">
        <w:rPr>
          <w:rFonts w:eastAsia="Arial"/>
        </w:rPr>
        <w:t>onfidentiality</w:t>
      </w:r>
      <w:bookmarkEnd w:id="16"/>
      <w:bookmarkEnd w:id="17"/>
    </w:p>
    <w:p w14:paraId="15A495AF" w14:textId="1A49F28A" w:rsidR="00FF59B8" w:rsidRPr="009439E8" w:rsidRDefault="00FF59B8" w:rsidP="00FF59B8">
      <w:pPr>
        <w:pStyle w:val="DHHSbody"/>
      </w:pPr>
      <w:r w:rsidRPr="009439E8">
        <w:t xml:space="preserve">Privacy rights in Victoria are protected by a number of laws including the </w:t>
      </w:r>
      <w:r w:rsidRPr="00D705C9">
        <w:t>Health Records Act</w:t>
      </w:r>
      <w:r w:rsidRPr="009439E8">
        <w:t xml:space="preserve">, the </w:t>
      </w:r>
      <w:r w:rsidRPr="00D705C9">
        <w:rPr>
          <w:iCs/>
        </w:rPr>
        <w:t>Privacy and Data Protection Act</w:t>
      </w:r>
      <w:r w:rsidRPr="009439E8">
        <w:rPr>
          <w:i/>
        </w:rPr>
        <w:t xml:space="preserve"> </w:t>
      </w:r>
      <w:r w:rsidRPr="009439E8">
        <w:t xml:space="preserve">and the </w:t>
      </w:r>
      <w:r w:rsidRPr="00D705C9">
        <w:rPr>
          <w:iCs/>
        </w:rPr>
        <w:t>Charter of Human Rights and Responsibilities Act</w:t>
      </w:r>
      <w:r w:rsidRPr="009439E8">
        <w:t>. Patient confidentiality is also protected by the professional and ethical obligations and practices of Victoria’s registered health and medical practitioners.</w:t>
      </w:r>
    </w:p>
    <w:p w14:paraId="7D70F974" w14:textId="379DA74E" w:rsidR="001D3D1A" w:rsidRPr="009439E8" w:rsidRDefault="001D3D1A" w:rsidP="001D3D1A">
      <w:pPr>
        <w:pStyle w:val="DHHSbody"/>
      </w:pPr>
      <w:r w:rsidRPr="009439E8">
        <w:t>The right to the privacy of personal</w:t>
      </w:r>
      <w:r w:rsidR="00B71552">
        <w:t xml:space="preserve"> and health</w:t>
      </w:r>
      <w:r>
        <w:t xml:space="preserve"> information </w:t>
      </w:r>
      <w:r w:rsidRPr="009439E8">
        <w:t>and patient confidentiality are recognised and respected by the department</w:t>
      </w:r>
      <w:r w:rsidR="003F68F9">
        <w:t xml:space="preserve">. There are </w:t>
      </w:r>
      <w:r w:rsidRPr="009439E8">
        <w:t xml:space="preserve">a range of measures in place to protect all personal information </w:t>
      </w:r>
      <w:r>
        <w:t xml:space="preserve">and health information </w:t>
      </w:r>
      <w:r w:rsidRPr="009439E8">
        <w:t xml:space="preserve">in the </w:t>
      </w:r>
      <w:r w:rsidR="003F68F9" w:rsidRPr="009439E8">
        <w:t>department</w:t>
      </w:r>
      <w:r w:rsidR="003F68F9">
        <w:t>’s</w:t>
      </w:r>
      <w:r w:rsidR="003F68F9" w:rsidRPr="009439E8">
        <w:t xml:space="preserve"> </w:t>
      </w:r>
      <w:r w:rsidR="003F68F9">
        <w:t xml:space="preserve">possession </w:t>
      </w:r>
      <w:r w:rsidRPr="009439E8">
        <w:t>from unauthorised and illegal use or disclosure.</w:t>
      </w:r>
    </w:p>
    <w:p w14:paraId="721ECE59" w14:textId="43C6B71C" w:rsidR="001D3D1A" w:rsidRPr="009439E8" w:rsidRDefault="001D3D1A" w:rsidP="001D3D1A">
      <w:pPr>
        <w:pStyle w:val="DHHSbody"/>
      </w:pPr>
      <w:r w:rsidRPr="009439E8">
        <w:t xml:space="preserve">The law also provides that individual rights to privacy and confidentiality may occasionally be limited </w:t>
      </w:r>
      <w:r w:rsidR="003F68F9">
        <w:t>(</w:t>
      </w:r>
      <w:r w:rsidRPr="009439E8">
        <w:t>in specific ways</w:t>
      </w:r>
      <w:r w:rsidR="003F68F9">
        <w:t>)</w:t>
      </w:r>
      <w:r w:rsidRPr="009439E8">
        <w:t xml:space="preserve"> in order for appropriate agencies to address, for example, a serious risk to public health or safety or a law enforcement issue.</w:t>
      </w:r>
    </w:p>
    <w:p w14:paraId="1A724643" w14:textId="396B758E" w:rsidR="00FF59B8" w:rsidRPr="009439E8" w:rsidRDefault="001D3D1A" w:rsidP="00FF59B8">
      <w:pPr>
        <w:pStyle w:val="DHHSbody"/>
      </w:pPr>
      <w:r w:rsidRPr="009439E8">
        <w:t xml:space="preserve">Careful and limited disclosure and use of </w:t>
      </w:r>
      <w:r>
        <w:t>personal information, health information</w:t>
      </w:r>
      <w:r w:rsidRPr="009439E8">
        <w:t xml:space="preserve"> </w:t>
      </w:r>
      <w:r>
        <w:t xml:space="preserve">and </w:t>
      </w:r>
      <w:r w:rsidRPr="009439E8">
        <w:t xml:space="preserve">confidential information may become necessary in managing HIV transmission risk </w:t>
      </w:r>
      <w:r w:rsidR="00626A63">
        <w:t>practices</w:t>
      </w:r>
      <w:r w:rsidRPr="009439E8">
        <w:t>. Such disclosure and use should occur where a clear public health need can be demonstrated and must only ever occur in accordance with the relevant laws.</w:t>
      </w:r>
      <w:r w:rsidR="00D24E4D">
        <w:t xml:space="preserve"> </w:t>
      </w:r>
      <w:r w:rsidR="00FF59B8">
        <w:t xml:space="preserve">This means that clinicians and other health professionals </w:t>
      </w:r>
      <w:r w:rsidR="00C15F95">
        <w:t>can</w:t>
      </w:r>
      <w:r w:rsidR="001E5FFF">
        <w:t xml:space="preserve"> </w:t>
      </w:r>
      <w:r w:rsidR="00FF59B8">
        <w:t>notify the department if they believe a patient with HIV is placing others at risk</w:t>
      </w:r>
      <w:r w:rsidR="295BDEF1">
        <w:t xml:space="preserve"> of </w:t>
      </w:r>
      <w:r w:rsidR="008E15EC">
        <w:t>infection</w:t>
      </w:r>
      <w:r w:rsidR="00FF59B8">
        <w:t>.</w:t>
      </w:r>
    </w:p>
    <w:p w14:paraId="7177CE80" w14:textId="65130E6A" w:rsidR="001D3D1A" w:rsidRPr="009439E8" w:rsidRDefault="001D3D1A" w:rsidP="001D3D1A">
      <w:pPr>
        <w:pStyle w:val="DHHSbody"/>
      </w:pPr>
      <w:r w:rsidRPr="009439E8">
        <w:rPr>
          <w:rFonts w:ascii="Helv" w:hAnsi="Helv" w:cs="Helv"/>
          <w:color w:val="000000"/>
          <w:lang w:eastAsia="en-AU"/>
        </w:rPr>
        <w:t xml:space="preserve">From time to time, Victoria Police have sought and obtained a search warrant from the Magistrates' Court seeking information held by the department for the purpose of enabling Victoria Police to exercise its functions under the </w:t>
      </w:r>
      <w:r w:rsidRPr="00D705C9">
        <w:rPr>
          <w:rFonts w:ascii="Helv" w:hAnsi="Helv" w:cs="Helv"/>
          <w:iCs/>
          <w:color w:val="000000"/>
          <w:lang w:eastAsia="en-AU"/>
        </w:rPr>
        <w:t>Crimes Act</w:t>
      </w:r>
      <w:r w:rsidRPr="009439E8">
        <w:rPr>
          <w:rFonts w:ascii="Helv" w:hAnsi="Helv" w:cs="Helv"/>
          <w:color w:val="000000"/>
          <w:lang w:eastAsia="en-AU"/>
        </w:rPr>
        <w:t>.</w:t>
      </w:r>
      <w:r w:rsidR="00A31B2B">
        <w:rPr>
          <w:rFonts w:ascii="Helv" w:hAnsi="Helv" w:cs="Helv"/>
          <w:color w:val="000000"/>
          <w:lang w:eastAsia="en-AU"/>
        </w:rPr>
        <w:t xml:space="preserve"> </w:t>
      </w:r>
      <w:r w:rsidRPr="009439E8">
        <w:rPr>
          <w:rFonts w:ascii="Helv" w:hAnsi="Helv" w:cs="Helv"/>
          <w:color w:val="000000"/>
          <w:lang w:eastAsia="en-AU"/>
        </w:rPr>
        <w:t xml:space="preserve">Prior to issuing a search warrant, a </w:t>
      </w:r>
      <w:r w:rsidR="00C11281">
        <w:rPr>
          <w:rFonts w:ascii="Helv" w:hAnsi="Helv" w:cs="Helv"/>
          <w:color w:val="000000"/>
          <w:lang w:eastAsia="en-AU"/>
        </w:rPr>
        <w:t>m</w:t>
      </w:r>
      <w:r w:rsidRPr="009439E8">
        <w:rPr>
          <w:rFonts w:ascii="Helv" w:hAnsi="Helv" w:cs="Helv"/>
          <w:color w:val="000000"/>
          <w:lang w:eastAsia="en-AU"/>
        </w:rPr>
        <w:t xml:space="preserve">agistrate must be satisfied </w:t>
      </w:r>
      <w:r>
        <w:rPr>
          <w:rFonts w:ascii="Helv" w:hAnsi="Helv" w:cs="Helv"/>
          <w:color w:val="000000"/>
          <w:lang w:eastAsia="en-AU"/>
        </w:rPr>
        <w:t>under s</w:t>
      </w:r>
      <w:r w:rsidR="00C11281">
        <w:rPr>
          <w:rFonts w:ascii="Helv" w:hAnsi="Helv" w:cs="Helv"/>
          <w:color w:val="000000"/>
          <w:lang w:eastAsia="en-AU"/>
        </w:rPr>
        <w:t>.</w:t>
      </w:r>
      <w:r>
        <w:rPr>
          <w:rFonts w:ascii="Helv" w:hAnsi="Helv" w:cs="Helv"/>
          <w:color w:val="000000"/>
          <w:lang w:eastAsia="en-AU"/>
        </w:rPr>
        <w:t xml:space="preserve"> 465 of the </w:t>
      </w:r>
      <w:r w:rsidRPr="00D705C9">
        <w:rPr>
          <w:rFonts w:ascii="Helv" w:hAnsi="Helv" w:cs="Helv"/>
          <w:color w:val="000000"/>
          <w:lang w:eastAsia="en-AU"/>
        </w:rPr>
        <w:t>Crimes Act</w:t>
      </w:r>
      <w:r>
        <w:rPr>
          <w:rFonts w:ascii="Helv" w:hAnsi="Helv" w:cs="Helv"/>
          <w:i/>
          <w:iCs/>
          <w:color w:val="000000"/>
          <w:lang w:eastAsia="en-AU"/>
        </w:rPr>
        <w:t xml:space="preserve"> </w:t>
      </w:r>
      <w:r w:rsidRPr="009439E8">
        <w:rPr>
          <w:rFonts w:ascii="Helv" w:hAnsi="Helv" w:cs="Helv"/>
          <w:color w:val="000000"/>
          <w:lang w:eastAsia="en-AU"/>
        </w:rPr>
        <w:t>that there are reasonable grounds</w:t>
      </w:r>
      <w:r>
        <w:rPr>
          <w:rFonts w:ascii="Helv" w:hAnsi="Helv" w:cs="Helv"/>
          <w:color w:val="000000"/>
          <w:lang w:eastAsia="en-AU"/>
        </w:rPr>
        <w:t xml:space="preserve"> to believe there is information that will afford evidence as to the commission of an indictable offence.</w:t>
      </w:r>
      <w:r w:rsidRPr="009439E8">
        <w:rPr>
          <w:rFonts w:ascii="Helv" w:hAnsi="Helv" w:cs="Helv"/>
          <w:color w:val="000000"/>
          <w:lang w:eastAsia="en-AU"/>
        </w:rPr>
        <w:t xml:space="preserve"> To enable the department to comply with the search warrant, when a search warrant is issued, information requested in the search warrant is searched for and released to the </w:t>
      </w:r>
      <w:r w:rsidR="00C11281">
        <w:rPr>
          <w:rFonts w:ascii="Helv" w:hAnsi="Helv" w:cs="Helv"/>
          <w:color w:val="000000"/>
          <w:lang w:eastAsia="en-AU"/>
        </w:rPr>
        <w:t>c</w:t>
      </w:r>
      <w:r w:rsidRPr="009439E8">
        <w:rPr>
          <w:rFonts w:ascii="Helv" w:hAnsi="Helv" w:cs="Helv"/>
          <w:color w:val="000000"/>
          <w:lang w:eastAsia="en-AU"/>
        </w:rPr>
        <w:t>ourt</w:t>
      </w:r>
      <w:r w:rsidR="00034D0C">
        <w:rPr>
          <w:rFonts w:ascii="Helv" w:hAnsi="Helv" w:cs="Helv"/>
          <w:color w:val="000000"/>
          <w:lang w:eastAsia="en-AU"/>
        </w:rPr>
        <w:t>,</w:t>
      </w:r>
      <w:r w:rsidRPr="009439E8">
        <w:rPr>
          <w:rFonts w:ascii="Helv" w:hAnsi="Helv" w:cs="Helv"/>
          <w:color w:val="000000"/>
          <w:lang w:eastAsia="en-AU"/>
        </w:rPr>
        <w:t xml:space="preserve"> wh</w:t>
      </w:r>
      <w:r w:rsidR="00034D0C">
        <w:rPr>
          <w:rFonts w:ascii="Helv" w:hAnsi="Helv" w:cs="Helv"/>
          <w:color w:val="000000"/>
          <w:lang w:eastAsia="en-AU"/>
        </w:rPr>
        <w:t>ich</w:t>
      </w:r>
      <w:r w:rsidRPr="009439E8">
        <w:rPr>
          <w:rFonts w:ascii="Helv" w:hAnsi="Helv" w:cs="Helv"/>
          <w:color w:val="000000"/>
          <w:lang w:eastAsia="en-AU"/>
        </w:rPr>
        <w:t xml:space="preserve"> releases the information to Victoria Police.</w:t>
      </w:r>
      <w:r>
        <w:rPr>
          <w:rFonts w:ascii="Helv" w:hAnsi="Helv" w:cs="Helv"/>
          <w:color w:val="000000"/>
          <w:lang w:eastAsia="en-AU"/>
        </w:rPr>
        <w:t xml:space="preserve"> </w:t>
      </w:r>
    </w:p>
    <w:p w14:paraId="74045E5C" w14:textId="77777777" w:rsidR="00440D32" w:rsidRPr="009439E8" w:rsidRDefault="00440D32">
      <w:pPr>
        <w:rPr>
          <w:rStyle w:val="Heading1Char"/>
        </w:rPr>
      </w:pPr>
      <w:bookmarkStart w:id="18" w:name="_Toc20311922"/>
      <w:r w:rsidRPr="009439E8">
        <w:rPr>
          <w:rStyle w:val="Heading1Char"/>
          <w:bCs w:val="0"/>
        </w:rPr>
        <w:br w:type="page"/>
      </w:r>
    </w:p>
    <w:p w14:paraId="1E5B2854" w14:textId="7AEB0B2B" w:rsidR="00FF59B8" w:rsidRPr="009439E8" w:rsidRDefault="4F089D44" w:rsidP="5D4D9519">
      <w:pPr>
        <w:pStyle w:val="Heading1"/>
        <w:rPr>
          <w:rStyle w:val="Heading1Char"/>
        </w:rPr>
      </w:pPr>
      <w:bookmarkStart w:id="19" w:name="_Toc89268503"/>
      <w:r w:rsidRPr="0AC63CBF">
        <w:rPr>
          <w:rStyle w:val="Heading1Char"/>
        </w:rPr>
        <w:lastRenderedPageBreak/>
        <w:t xml:space="preserve">Considerations </w:t>
      </w:r>
      <w:r w:rsidR="00C11281">
        <w:rPr>
          <w:rStyle w:val="Heading1Char"/>
        </w:rPr>
        <w:t>w</w:t>
      </w:r>
      <w:r w:rsidRPr="0AC63CBF">
        <w:rPr>
          <w:rStyle w:val="Heading1Char"/>
        </w:rPr>
        <w:t xml:space="preserve">hen </w:t>
      </w:r>
      <w:r w:rsidR="00C11281">
        <w:rPr>
          <w:rStyle w:val="Heading1Char"/>
        </w:rPr>
        <w:t>w</w:t>
      </w:r>
      <w:r w:rsidRPr="0AC63CBF">
        <w:rPr>
          <w:rStyle w:val="Heading1Char"/>
        </w:rPr>
        <w:t xml:space="preserve">orking </w:t>
      </w:r>
      <w:r w:rsidR="00765EB1">
        <w:rPr>
          <w:rStyle w:val="Heading1Char"/>
        </w:rPr>
        <w:t>with</w:t>
      </w:r>
      <w:r w:rsidRPr="0AC63CBF">
        <w:rPr>
          <w:rStyle w:val="Heading1Char"/>
        </w:rPr>
        <w:t xml:space="preserve"> </w:t>
      </w:r>
      <w:r w:rsidR="00C11281">
        <w:rPr>
          <w:rStyle w:val="Heading1Char"/>
        </w:rPr>
        <w:t>d</w:t>
      </w:r>
      <w:r w:rsidR="002F6467">
        <w:rPr>
          <w:rStyle w:val="Heading1Char"/>
        </w:rPr>
        <w:t>iverse</w:t>
      </w:r>
      <w:r w:rsidR="00FF59B8" w:rsidRPr="0AC63CBF">
        <w:rPr>
          <w:rStyle w:val="Heading1Char"/>
        </w:rPr>
        <w:t xml:space="preserve"> </w:t>
      </w:r>
      <w:r w:rsidR="00C11281">
        <w:rPr>
          <w:rStyle w:val="Heading1Char"/>
        </w:rPr>
        <w:t>c</w:t>
      </w:r>
      <w:r w:rsidR="001D3D1A" w:rsidRPr="0AC63CBF">
        <w:rPr>
          <w:rStyle w:val="Heading1Char"/>
        </w:rPr>
        <w:t>ommunities</w:t>
      </w:r>
      <w:bookmarkEnd w:id="19"/>
      <w:r w:rsidR="00465D33" w:rsidRPr="0AC63CBF">
        <w:rPr>
          <w:rStyle w:val="Heading1Char"/>
        </w:rPr>
        <w:t xml:space="preserve"> </w:t>
      </w:r>
      <w:bookmarkEnd w:id="18"/>
    </w:p>
    <w:p w14:paraId="1C9731E2" w14:textId="78E3F0D6" w:rsidR="0037479A" w:rsidRDefault="00FF59B8" w:rsidP="00FF59B8">
      <w:pPr>
        <w:pStyle w:val="DHHSbody"/>
      </w:pPr>
      <w:r>
        <w:t>Every effort will be made to ensure that</w:t>
      </w:r>
      <w:r w:rsidR="0037479A">
        <w:t>,</w:t>
      </w:r>
      <w:r>
        <w:t xml:space="preserve"> throughout the management process</w:t>
      </w:r>
      <w:r w:rsidR="0037479A">
        <w:t>,</w:t>
      </w:r>
      <w:r>
        <w:t xml:space="preserve"> all clients</w:t>
      </w:r>
      <w:r w:rsidR="00B71552">
        <w:t>,</w:t>
      </w:r>
      <w:r>
        <w:t xml:space="preserve"> and particularly those from culturally diverse backgrounds</w:t>
      </w:r>
      <w:r w:rsidR="007E0601">
        <w:t>,</w:t>
      </w:r>
      <w:r>
        <w:t xml:space="preserve"> </w:t>
      </w:r>
      <w:r w:rsidR="0037479A">
        <w:t xml:space="preserve">are </w:t>
      </w:r>
      <w:r>
        <w:t>provided with understandable information</w:t>
      </w:r>
      <w:r w:rsidR="007E0601">
        <w:t xml:space="preserve"> </w:t>
      </w:r>
      <w:r w:rsidR="176EA6CA">
        <w:t>in</w:t>
      </w:r>
      <w:r>
        <w:t xml:space="preserve"> th</w:t>
      </w:r>
      <w:r w:rsidR="176EA6CA">
        <w:t xml:space="preserve">eir </w:t>
      </w:r>
      <w:r w:rsidR="00B71552">
        <w:t xml:space="preserve">preferred </w:t>
      </w:r>
      <w:r w:rsidR="176EA6CA">
        <w:t>language</w:t>
      </w:r>
      <w:r w:rsidR="007E0601">
        <w:t xml:space="preserve"> and </w:t>
      </w:r>
      <w:r>
        <w:t xml:space="preserve">presented in a culturally appropriate manner. </w:t>
      </w:r>
      <w:r w:rsidR="00035366">
        <w:t>F</w:t>
      </w:r>
      <w:r>
        <w:t>rom first contact with the department</w:t>
      </w:r>
      <w:r w:rsidR="00B71552">
        <w:t>,</w:t>
      </w:r>
      <w:r w:rsidR="00035366">
        <w:t xml:space="preserve"> this will ensure</w:t>
      </w:r>
      <w:r>
        <w:t xml:space="preserve"> clients</w:t>
      </w:r>
      <w:r w:rsidR="0037479A">
        <w:t>:</w:t>
      </w:r>
      <w:r>
        <w:t xml:space="preserve"> </w:t>
      </w:r>
    </w:p>
    <w:p w14:paraId="124CA823" w14:textId="77777777" w:rsidR="00FC06EE" w:rsidRDefault="00FF59B8" w:rsidP="00D705C9">
      <w:pPr>
        <w:pStyle w:val="DHHSbullet1"/>
      </w:pPr>
      <w:r>
        <w:t xml:space="preserve">are clear </w:t>
      </w:r>
      <w:r w:rsidR="00A3462E">
        <w:t>regarding t</w:t>
      </w:r>
      <w:r>
        <w:t>he processes involved</w:t>
      </w:r>
    </w:p>
    <w:p w14:paraId="649883B1" w14:textId="42ABA14E" w:rsidR="00FC06EE" w:rsidRDefault="00FF59B8" w:rsidP="00D705C9">
      <w:pPr>
        <w:pStyle w:val="DHHSbullet1"/>
      </w:pPr>
      <w:r>
        <w:t xml:space="preserve">understand the system of rights and obligations in Victoria as laid out in the PHW Act and as clarified in these </w:t>
      </w:r>
      <w:r w:rsidR="004F6B53">
        <w:t>g</w:t>
      </w:r>
      <w:r>
        <w:t>uidelines</w:t>
      </w:r>
    </w:p>
    <w:p w14:paraId="22666E22" w14:textId="77777777" w:rsidR="00FC06EE" w:rsidRDefault="00FF59B8" w:rsidP="00D705C9">
      <w:pPr>
        <w:pStyle w:val="DHHSbullet1lastline"/>
      </w:pPr>
      <w:r>
        <w:t>are suitably informed</w:t>
      </w:r>
      <w:r w:rsidR="00984E10">
        <w:t xml:space="preserve">, </w:t>
      </w:r>
      <w:r>
        <w:t xml:space="preserve">directed </w:t>
      </w:r>
      <w:r w:rsidR="00984E10">
        <w:t xml:space="preserve">and supported </w:t>
      </w:r>
      <w:r>
        <w:t xml:space="preserve">to undertake the required behavioural changes to eliminate </w:t>
      </w:r>
      <w:r w:rsidR="00984E10">
        <w:t xml:space="preserve">transmission </w:t>
      </w:r>
      <w:r>
        <w:t xml:space="preserve">risk </w:t>
      </w:r>
      <w:r w:rsidR="00626A63">
        <w:t>practices</w:t>
      </w:r>
      <w:r>
        <w:t xml:space="preserve">. </w:t>
      </w:r>
    </w:p>
    <w:p w14:paraId="2ECB8984" w14:textId="4A00F93D" w:rsidR="00FF59B8" w:rsidRPr="009439E8" w:rsidRDefault="00FF59B8">
      <w:pPr>
        <w:pStyle w:val="DHHSbody"/>
      </w:pPr>
      <w:r w:rsidRPr="00FC06EE">
        <w:t>This</w:t>
      </w:r>
      <w:r>
        <w:t xml:space="preserve"> clarity will assist in preventing unnecessary escalation to more coercive forms of management.</w:t>
      </w:r>
    </w:p>
    <w:p w14:paraId="03DCEE15" w14:textId="3A0ECE80" w:rsidR="00FF59B8" w:rsidRPr="009439E8" w:rsidRDefault="00FF59B8">
      <w:pPr>
        <w:pStyle w:val="DHHSbody"/>
      </w:pPr>
      <w:r>
        <w:t xml:space="preserve">Where required, </w:t>
      </w:r>
      <w:r w:rsidR="00F73487">
        <w:t xml:space="preserve">qualified </w:t>
      </w:r>
      <w:r>
        <w:t xml:space="preserve">interpreters will be employed and </w:t>
      </w:r>
      <w:r w:rsidR="00F73487">
        <w:t>vetted to ensure they are not known to the person</w:t>
      </w:r>
      <w:r w:rsidR="00B71552">
        <w:t>,</w:t>
      </w:r>
      <w:r w:rsidR="00A55F92">
        <w:t xml:space="preserve"> are </w:t>
      </w:r>
      <w:r w:rsidR="00A55F92" w:rsidRPr="00A55F92">
        <w:t xml:space="preserve">knowledgeable and </w:t>
      </w:r>
      <w:r w:rsidR="00B71552">
        <w:t xml:space="preserve">are </w:t>
      </w:r>
      <w:r w:rsidR="00A55F92" w:rsidRPr="00A55F92">
        <w:t>not biased or stigmatising around the issue of HIV</w:t>
      </w:r>
      <w:r w:rsidR="00F73487">
        <w:t>. O</w:t>
      </w:r>
      <w:r>
        <w:t>fficial documents such as letters of warning or public health orders will be translated into the client’s</w:t>
      </w:r>
      <w:r w:rsidR="00FD18F2">
        <w:t xml:space="preserve"> preferred</w:t>
      </w:r>
      <w:r>
        <w:t xml:space="preserve"> language</w:t>
      </w:r>
      <w:r w:rsidR="00F73487">
        <w:t xml:space="preserve"> to ensure health literacy</w:t>
      </w:r>
      <w:r w:rsidR="00F01C4B">
        <w:t xml:space="preserve">, including </w:t>
      </w:r>
      <w:r w:rsidR="00F01C4B" w:rsidRPr="00F01C4B">
        <w:t>terms and</w:t>
      </w:r>
      <w:r w:rsidR="00035366">
        <w:t xml:space="preserve"> the</w:t>
      </w:r>
      <w:r w:rsidR="00F01C4B" w:rsidRPr="00F01C4B">
        <w:t xml:space="preserve"> implications of the document</w:t>
      </w:r>
      <w:r w:rsidR="00F73487">
        <w:t>.</w:t>
      </w:r>
    </w:p>
    <w:p w14:paraId="16211948" w14:textId="4D580C45" w:rsidR="2298AE3B" w:rsidRPr="00CF4095" w:rsidRDefault="2298AE3B">
      <w:pPr>
        <w:pStyle w:val="DHHSbody"/>
      </w:pPr>
      <w:r w:rsidRPr="00CF4095">
        <w:t xml:space="preserve">Considerations when working with culturally diverse communities </w:t>
      </w:r>
      <w:r w:rsidR="004E3C2A" w:rsidRPr="00CF4095">
        <w:t xml:space="preserve">on engagement with HIV testing and care </w:t>
      </w:r>
      <w:r w:rsidRPr="00CF4095">
        <w:t xml:space="preserve">should not be restricted to issues of language alone but also be </w:t>
      </w:r>
      <w:r w:rsidR="001D761C" w:rsidRPr="00CF4095">
        <w:t>cogni</w:t>
      </w:r>
      <w:r w:rsidR="001D761C">
        <w:t>s</w:t>
      </w:r>
      <w:r w:rsidR="001D761C" w:rsidRPr="00CF4095">
        <w:t>ant</w:t>
      </w:r>
      <w:r w:rsidR="00A0652F">
        <w:t xml:space="preserve"> </w:t>
      </w:r>
      <w:r w:rsidR="0A35F5ED" w:rsidRPr="00CF4095">
        <w:t>of</w:t>
      </w:r>
      <w:r w:rsidRPr="00CF4095">
        <w:t xml:space="preserve"> nuances of cultural competency, the impact of </w:t>
      </w:r>
      <w:r w:rsidR="746A0BB4" w:rsidRPr="00CF4095">
        <w:t>cultural prejudice,</w:t>
      </w:r>
      <w:r w:rsidR="793EDE98" w:rsidRPr="00CF4095">
        <w:t xml:space="preserve"> the migrant experience</w:t>
      </w:r>
      <w:r w:rsidR="004E3C2A">
        <w:t>,</w:t>
      </w:r>
      <w:r w:rsidRPr="00CF4095">
        <w:t xml:space="preserve"> and</w:t>
      </w:r>
      <w:r w:rsidR="5B375829" w:rsidRPr="00CF4095">
        <w:t xml:space="preserve"> First Nations history</w:t>
      </w:r>
      <w:r w:rsidR="004E3C2A">
        <w:t>.</w:t>
      </w:r>
      <w:r w:rsidRPr="00CF4095">
        <w:t xml:space="preserve"> </w:t>
      </w:r>
      <w:r w:rsidR="43E7C9CE" w:rsidRPr="00CF4095">
        <w:t xml:space="preserve">All processes associated with these guidelines should </w:t>
      </w:r>
      <w:r w:rsidR="00A0652F" w:rsidRPr="00CF4095">
        <w:t>emphasi</w:t>
      </w:r>
      <w:r w:rsidR="00A0652F">
        <w:t>s</w:t>
      </w:r>
      <w:r w:rsidR="00A0652F" w:rsidRPr="00CF4095">
        <w:t>e</w:t>
      </w:r>
      <w:r w:rsidR="00A0652F">
        <w:t xml:space="preserve"> </w:t>
      </w:r>
      <w:r w:rsidR="43E7C9CE" w:rsidRPr="00CF4095">
        <w:t xml:space="preserve">the </w:t>
      </w:r>
      <w:r w:rsidRPr="00CF4095">
        <w:t>importance of ensuring that management</w:t>
      </w:r>
      <w:r w:rsidR="5D18B6F1" w:rsidRPr="00CF4095">
        <w:t xml:space="preserve"> of transmission risk </w:t>
      </w:r>
      <w:r w:rsidRPr="00CF4095">
        <w:t>is both trauma-informed and culturally safe.</w:t>
      </w:r>
    </w:p>
    <w:p w14:paraId="0699708B" w14:textId="7CA75EA6" w:rsidR="00FF59B8" w:rsidRPr="009439E8" w:rsidRDefault="00FF59B8">
      <w:pPr>
        <w:pStyle w:val="DHHSbody"/>
        <w:rPr>
          <w:rStyle w:val="Heading1Char"/>
          <w:color w:val="auto"/>
          <w:sz w:val="20"/>
          <w:szCs w:val="20"/>
        </w:rPr>
      </w:pPr>
      <w:r>
        <w:t xml:space="preserve">For those with an intellectual disability, communication and information provision will be tailored to meet specific needs to </w:t>
      </w:r>
      <w:r w:rsidR="440CA7E3">
        <w:t>ensure</w:t>
      </w:r>
      <w:r>
        <w:t xml:space="preserve"> understanding and recall.</w:t>
      </w:r>
    </w:p>
    <w:p w14:paraId="5941FD2B" w14:textId="77777777" w:rsidR="00035366" w:rsidRDefault="00035366">
      <w:pPr>
        <w:rPr>
          <w:rStyle w:val="Heading1Char"/>
        </w:rPr>
      </w:pPr>
      <w:bookmarkStart w:id="20" w:name="_Toc20311923"/>
      <w:r>
        <w:rPr>
          <w:rStyle w:val="Heading1Char"/>
          <w:bCs w:val="0"/>
        </w:rPr>
        <w:br w:type="page"/>
      </w:r>
    </w:p>
    <w:p w14:paraId="7431B88B" w14:textId="690AAAA9" w:rsidR="00FF59B8" w:rsidRPr="009439E8" w:rsidRDefault="00CB3181" w:rsidP="004B2E44">
      <w:pPr>
        <w:pStyle w:val="Heading1"/>
        <w:rPr>
          <w:rStyle w:val="Heading1Char"/>
          <w:bCs/>
        </w:rPr>
      </w:pPr>
      <w:bookmarkStart w:id="21" w:name="_Toc89268504"/>
      <w:r w:rsidRPr="009439E8">
        <w:rPr>
          <w:rStyle w:val="Heading1Char"/>
          <w:bCs/>
        </w:rPr>
        <w:lastRenderedPageBreak/>
        <w:t>Implementation</w:t>
      </w:r>
      <w:bookmarkEnd w:id="20"/>
      <w:bookmarkEnd w:id="21"/>
      <w:r w:rsidRPr="009439E8">
        <w:rPr>
          <w:rStyle w:val="Heading1Char"/>
          <w:bCs/>
        </w:rPr>
        <w:t xml:space="preserve"> </w:t>
      </w:r>
    </w:p>
    <w:p w14:paraId="0DD73816" w14:textId="25DF6B4E" w:rsidR="1390BB73" w:rsidRPr="0037657F" w:rsidRDefault="1390BB73" w:rsidP="0037657F">
      <w:pPr>
        <w:pStyle w:val="DHHSbody"/>
      </w:pPr>
      <w:r w:rsidRPr="0037657F">
        <w:t xml:space="preserve">These </w:t>
      </w:r>
      <w:r w:rsidR="00C11281">
        <w:t>g</w:t>
      </w:r>
      <w:r w:rsidRPr="0037657F">
        <w:t xml:space="preserve">uidelines are intended to guide </w:t>
      </w:r>
      <w:r w:rsidR="0075383D">
        <w:t>p</w:t>
      </w:r>
      <w:r w:rsidRPr="0037657F">
        <w:t xml:space="preserve">artner </w:t>
      </w:r>
      <w:r w:rsidR="0075383D">
        <w:t>n</w:t>
      </w:r>
      <w:r w:rsidRPr="0037657F">
        <w:t xml:space="preserve">otification </w:t>
      </w:r>
      <w:r w:rsidR="0075383D">
        <w:t>o</w:t>
      </w:r>
      <w:r w:rsidRPr="0037657F">
        <w:t xml:space="preserve">fficers (PNOs), clinicians and other providers involved in the management and care of </w:t>
      </w:r>
      <w:r w:rsidR="03948BD9" w:rsidRPr="0037657F">
        <w:t>people with HIV</w:t>
      </w:r>
      <w:r w:rsidRPr="0037657F">
        <w:t>, as well as the HIV Case Advisory Panel</w:t>
      </w:r>
      <w:r w:rsidR="001D3D1A">
        <w:t>.</w:t>
      </w:r>
      <w:r w:rsidR="252DE3AE" w:rsidRPr="0037657F">
        <w:t xml:space="preserve"> </w:t>
      </w:r>
      <w:r w:rsidR="1316DED1" w:rsidRPr="0037657F">
        <w:t>The guidelines are operationali</w:t>
      </w:r>
      <w:r w:rsidR="001D3D1A">
        <w:t>s</w:t>
      </w:r>
      <w:r w:rsidR="1316DED1" w:rsidRPr="0037657F">
        <w:t>ed as follows</w:t>
      </w:r>
      <w:r w:rsidR="00035366">
        <w:t>.</w:t>
      </w:r>
    </w:p>
    <w:p w14:paraId="3281A38F" w14:textId="667EA5DF" w:rsidR="00FF59B8" w:rsidRPr="009439E8" w:rsidRDefault="00FF59B8" w:rsidP="004B2E44">
      <w:pPr>
        <w:pStyle w:val="Heading2"/>
        <w:rPr>
          <w:rFonts w:eastAsia="Arial"/>
        </w:rPr>
      </w:pPr>
      <w:bookmarkStart w:id="22" w:name="_Toc20311924"/>
      <w:bookmarkStart w:id="23" w:name="_Toc89268505"/>
      <w:r w:rsidRPr="009439E8">
        <w:rPr>
          <w:rFonts w:eastAsia="Arial"/>
        </w:rPr>
        <w:t>Notification</w:t>
      </w:r>
      <w:bookmarkEnd w:id="22"/>
      <w:bookmarkEnd w:id="23"/>
    </w:p>
    <w:p w14:paraId="55DA716C" w14:textId="16A3D024" w:rsidR="00234082" w:rsidRPr="009439E8" w:rsidRDefault="00FF59B8" w:rsidP="004B2E44">
      <w:pPr>
        <w:pStyle w:val="DHHSbody"/>
      </w:pPr>
      <w:r w:rsidRPr="009439E8">
        <w:t xml:space="preserve">Anyone concerned that a person is </w:t>
      </w:r>
      <w:r w:rsidR="00CB0739" w:rsidRPr="009439E8">
        <w:t xml:space="preserve">engaging in HIV transmission risk </w:t>
      </w:r>
      <w:r w:rsidR="1386B6E8">
        <w:t>practices</w:t>
      </w:r>
      <w:r w:rsidR="00CB0739" w:rsidRPr="009439E8">
        <w:t xml:space="preserve"> </w:t>
      </w:r>
      <w:r w:rsidRPr="009439E8">
        <w:t>may request assistance from the</w:t>
      </w:r>
      <w:r w:rsidR="008C0311" w:rsidRPr="009439E8">
        <w:t xml:space="preserve"> </w:t>
      </w:r>
      <w:r w:rsidR="00A0490E" w:rsidRPr="009439E8">
        <w:t>department</w:t>
      </w:r>
      <w:r w:rsidR="004E3C2A">
        <w:t>,</w:t>
      </w:r>
      <w:r w:rsidRPr="009439E8">
        <w:t xml:space="preserve"> </w:t>
      </w:r>
      <w:r w:rsidR="004E3C2A">
        <w:t>which</w:t>
      </w:r>
      <w:r w:rsidRPr="009439E8">
        <w:t xml:space="preserve"> will employ a public health approach to </w:t>
      </w:r>
      <w:r w:rsidR="00CB0739" w:rsidRPr="009439E8">
        <w:t xml:space="preserve">assess and </w:t>
      </w:r>
      <w:r w:rsidRPr="009439E8">
        <w:t>manage this risk</w:t>
      </w:r>
      <w:r w:rsidR="00984E10" w:rsidRPr="009439E8">
        <w:t xml:space="preserve"> under </w:t>
      </w:r>
      <w:r w:rsidRPr="009439E8">
        <w:t>the PHW Act. This request is made to the PNOs who are specialist</w:t>
      </w:r>
      <w:r w:rsidR="008C0311" w:rsidRPr="009439E8">
        <w:t xml:space="preserve"> clinical</w:t>
      </w:r>
      <w:r w:rsidRPr="009439E8">
        <w:t xml:space="preserve"> staff</w:t>
      </w:r>
      <w:r w:rsidR="00234082" w:rsidRPr="009439E8">
        <w:t xml:space="preserve">. </w:t>
      </w:r>
      <w:hyperlink r:id="rId16" w:history="1">
        <w:r w:rsidR="0075383D" w:rsidRPr="0075383D">
          <w:rPr>
            <w:rStyle w:val="Hyperlink"/>
          </w:rPr>
          <w:t>Email t</w:t>
        </w:r>
        <w:r w:rsidR="00234082" w:rsidRPr="0075383D">
          <w:rPr>
            <w:rStyle w:val="Hyperlink"/>
          </w:rPr>
          <w:t>he PNOs</w:t>
        </w:r>
      </w:hyperlink>
      <w:r w:rsidR="00234082" w:rsidRPr="009439E8">
        <w:t xml:space="preserve"> </w:t>
      </w:r>
      <w:r w:rsidR="0075383D">
        <w:t>&lt;c</w:t>
      </w:r>
      <w:r w:rsidR="0075383D" w:rsidRPr="004E3C2A">
        <w:t>ontact.tracers@health.vic.gov</w:t>
      </w:r>
      <w:r w:rsidR="0075383D">
        <w:t>.au&gt;</w:t>
      </w:r>
      <w:r w:rsidR="0075383D" w:rsidRPr="009439E8" w:rsidDel="0075383D">
        <w:t xml:space="preserve"> </w:t>
      </w:r>
      <w:r w:rsidR="0075383D">
        <w:t>or call</w:t>
      </w:r>
      <w:r w:rsidR="00802EE6" w:rsidRPr="009439E8">
        <w:t xml:space="preserve"> </w:t>
      </w:r>
      <w:r w:rsidR="00234082" w:rsidRPr="009439E8">
        <w:t>9096 3367</w:t>
      </w:r>
      <w:r w:rsidR="0075383D">
        <w:t>.</w:t>
      </w:r>
      <w:r w:rsidR="00234082" w:rsidRPr="009439E8">
        <w:t xml:space="preserve"> </w:t>
      </w:r>
    </w:p>
    <w:p w14:paraId="0526B5A1" w14:textId="72966A11" w:rsidR="00FF59B8" w:rsidRPr="009439E8" w:rsidRDefault="00FF59B8" w:rsidP="00FF59B8">
      <w:pPr>
        <w:pStyle w:val="DHHSbody"/>
      </w:pPr>
      <w:r w:rsidRPr="009439E8">
        <w:t xml:space="preserve">The overwhelming majority of people </w:t>
      </w:r>
      <w:r w:rsidR="00520BD3" w:rsidRPr="009439E8">
        <w:t xml:space="preserve">who </w:t>
      </w:r>
      <w:r w:rsidR="00CB0739" w:rsidRPr="009439E8">
        <w:t xml:space="preserve">engage in </w:t>
      </w:r>
      <w:r w:rsidR="00520BD3" w:rsidRPr="009439E8">
        <w:t xml:space="preserve">HIV transmission risk </w:t>
      </w:r>
      <w:r w:rsidR="50D94447">
        <w:t>practice</w:t>
      </w:r>
      <w:r w:rsidR="00520BD3" w:rsidRPr="009439E8">
        <w:t xml:space="preserve">s </w:t>
      </w:r>
      <w:r w:rsidRPr="009439E8">
        <w:t xml:space="preserve">can be suitably managed </w:t>
      </w:r>
      <w:r w:rsidR="00CB0739" w:rsidRPr="009439E8">
        <w:t xml:space="preserve">under these </w:t>
      </w:r>
      <w:r w:rsidR="004F6B53">
        <w:t>g</w:t>
      </w:r>
      <w:r w:rsidR="00CB0739" w:rsidRPr="009439E8">
        <w:t xml:space="preserve">uidelines </w:t>
      </w:r>
      <w:r w:rsidR="0062573C" w:rsidRPr="009439E8">
        <w:t xml:space="preserve">using an </w:t>
      </w:r>
      <w:r w:rsidRPr="009439E8">
        <w:t xml:space="preserve">approach </w:t>
      </w:r>
      <w:r w:rsidR="00035366">
        <w:t>that</w:t>
      </w:r>
      <w:r w:rsidR="00035366" w:rsidRPr="009439E8">
        <w:t xml:space="preserve"> </w:t>
      </w:r>
      <w:r w:rsidRPr="009439E8">
        <w:t>aim</w:t>
      </w:r>
      <w:r w:rsidR="0062573C" w:rsidRPr="009439E8">
        <w:t>s</w:t>
      </w:r>
      <w:r w:rsidRPr="009439E8">
        <w:t xml:space="preserve"> to achieve long</w:t>
      </w:r>
      <w:r w:rsidR="00035366">
        <w:t>-</w:t>
      </w:r>
      <w:r w:rsidRPr="009439E8">
        <w:t>term behavioural change</w:t>
      </w:r>
      <w:r w:rsidR="00520BD3" w:rsidRPr="009439E8">
        <w:t>, linkage into care and treatment</w:t>
      </w:r>
      <w:r w:rsidR="004E3C2A">
        <w:t>,</w:t>
      </w:r>
      <w:r w:rsidR="00520BD3" w:rsidRPr="009439E8">
        <w:t xml:space="preserve"> </w:t>
      </w:r>
      <w:r w:rsidRPr="009439E8">
        <w:t>and a sustained resolution of risk.</w:t>
      </w:r>
    </w:p>
    <w:p w14:paraId="745005C9" w14:textId="450EA55F" w:rsidR="00FF59B8" w:rsidRPr="009439E8" w:rsidRDefault="00CF07B5" w:rsidP="004B2E44">
      <w:pPr>
        <w:pStyle w:val="Heading2"/>
        <w:rPr>
          <w:rFonts w:eastAsia="Arial"/>
        </w:rPr>
      </w:pPr>
      <w:bookmarkStart w:id="24" w:name="_Toc20311925"/>
      <w:bookmarkStart w:id="25" w:name="_Toc89268506"/>
      <w:r w:rsidRPr="009439E8">
        <w:rPr>
          <w:rFonts w:eastAsia="Arial"/>
        </w:rPr>
        <w:t>R</w:t>
      </w:r>
      <w:r w:rsidR="00FF59B8" w:rsidRPr="009439E8">
        <w:rPr>
          <w:rFonts w:eastAsia="Arial"/>
        </w:rPr>
        <w:t xml:space="preserve">ole of </w:t>
      </w:r>
      <w:r w:rsidR="0075383D">
        <w:rPr>
          <w:rFonts w:eastAsia="Arial"/>
        </w:rPr>
        <w:t>p</w:t>
      </w:r>
      <w:r w:rsidR="00FF59B8" w:rsidRPr="009439E8">
        <w:rPr>
          <w:rFonts w:eastAsia="Arial"/>
        </w:rPr>
        <w:t xml:space="preserve">artner </w:t>
      </w:r>
      <w:r w:rsidR="0075383D">
        <w:rPr>
          <w:rFonts w:eastAsia="Arial"/>
        </w:rPr>
        <w:t>n</w:t>
      </w:r>
      <w:r w:rsidR="00FF59B8" w:rsidRPr="009439E8">
        <w:rPr>
          <w:rFonts w:eastAsia="Arial"/>
        </w:rPr>
        <w:t xml:space="preserve">otification </w:t>
      </w:r>
      <w:r w:rsidR="0075383D">
        <w:rPr>
          <w:rFonts w:eastAsia="Arial"/>
        </w:rPr>
        <w:t>o</w:t>
      </w:r>
      <w:r w:rsidR="00FF59B8" w:rsidRPr="009439E8">
        <w:rPr>
          <w:rFonts w:eastAsia="Arial"/>
        </w:rPr>
        <w:t>fficers</w:t>
      </w:r>
      <w:bookmarkEnd w:id="24"/>
      <w:bookmarkEnd w:id="25"/>
    </w:p>
    <w:p w14:paraId="71458CF4" w14:textId="5DEB0B3F" w:rsidR="00E51FB6" w:rsidRDefault="00FF59B8" w:rsidP="007D33F6">
      <w:pPr>
        <w:pStyle w:val="DHHSbody"/>
      </w:pPr>
      <w:r w:rsidRPr="009439E8">
        <w:t>The role of the PNOs is to assist the</w:t>
      </w:r>
      <w:r w:rsidR="00D97A95" w:rsidRPr="009439E8">
        <w:t xml:space="preserve"> CHO</w:t>
      </w:r>
      <w:r w:rsidR="008C0311" w:rsidRPr="009439E8">
        <w:t xml:space="preserve"> </w:t>
      </w:r>
      <w:r w:rsidRPr="009439E8">
        <w:t xml:space="preserve">to reduce HIV transmission and protect public health. The PNOs are the key point of contact for </w:t>
      </w:r>
      <w:r w:rsidR="1781897C">
        <w:t>individuals</w:t>
      </w:r>
      <w:r w:rsidRPr="009439E8">
        <w:t xml:space="preserve"> concerned about people who may </w:t>
      </w:r>
      <w:r w:rsidR="00CB0739" w:rsidRPr="009439E8">
        <w:t xml:space="preserve">engage in </w:t>
      </w:r>
      <w:r w:rsidRPr="009439E8">
        <w:t>HIV transmission</w:t>
      </w:r>
      <w:r w:rsidR="00CB0739" w:rsidRPr="009439E8">
        <w:t xml:space="preserve"> risk </w:t>
      </w:r>
      <w:r w:rsidR="4961911C">
        <w:t>practices</w:t>
      </w:r>
      <w:r w:rsidR="00CB0739" w:rsidRPr="009439E8">
        <w:t xml:space="preserve">. </w:t>
      </w:r>
      <w:r w:rsidR="000B26FE" w:rsidRPr="009439E8">
        <w:t>The PNOs will assess the notifications and</w:t>
      </w:r>
      <w:r w:rsidR="00035366">
        <w:t>,</w:t>
      </w:r>
      <w:r w:rsidR="000B26FE" w:rsidRPr="009439E8">
        <w:t xml:space="preserve"> if deemed necessary</w:t>
      </w:r>
      <w:r w:rsidR="00035366">
        <w:t>,</w:t>
      </w:r>
      <w:r w:rsidR="000B26FE" w:rsidRPr="009439E8">
        <w:t xml:space="preserve"> support and manage the person with transmission risk </w:t>
      </w:r>
      <w:r w:rsidR="00D75BE0">
        <w:t>practices</w:t>
      </w:r>
      <w:r w:rsidR="00D75BE0" w:rsidRPr="009439E8">
        <w:t xml:space="preserve"> </w:t>
      </w:r>
      <w:r w:rsidR="000B26FE" w:rsidRPr="009439E8">
        <w:t xml:space="preserve">under these </w:t>
      </w:r>
      <w:r w:rsidR="004F6B53">
        <w:t>g</w:t>
      </w:r>
      <w:r w:rsidR="000B26FE" w:rsidRPr="009439E8">
        <w:t xml:space="preserve">uidelines. </w:t>
      </w:r>
    </w:p>
    <w:p w14:paraId="37E523D9" w14:textId="1D1B52A5" w:rsidR="001F724D" w:rsidRPr="009439E8" w:rsidRDefault="001F724D" w:rsidP="007D33F6">
      <w:pPr>
        <w:pStyle w:val="DHHSbody"/>
      </w:pPr>
      <w:r>
        <w:t>PNOs are registered nurses</w:t>
      </w:r>
      <w:r w:rsidR="0019361B">
        <w:t xml:space="preserve"> often</w:t>
      </w:r>
      <w:r>
        <w:t xml:space="preserve"> with a background in a </w:t>
      </w:r>
      <w:r w:rsidR="0019361B">
        <w:t>community nurs</w:t>
      </w:r>
      <w:r w:rsidR="00641EEB">
        <w:t>ing</w:t>
      </w:r>
      <w:r w:rsidR="0019361B">
        <w:t>, psychology, mental health or sexual health</w:t>
      </w:r>
      <w:r w:rsidR="00641EEB">
        <w:t>. They are provided with</w:t>
      </w:r>
      <w:r w:rsidR="000B308A">
        <w:t xml:space="preserve"> direct support from the Deputy </w:t>
      </w:r>
      <w:r w:rsidR="00E1695C">
        <w:t>CHO</w:t>
      </w:r>
      <w:r w:rsidR="0019361B">
        <w:t>.</w:t>
      </w:r>
      <w:r w:rsidR="001A79EE">
        <w:t xml:space="preserve"> </w:t>
      </w:r>
    </w:p>
    <w:p w14:paraId="0DB2D4E0" w14:textId="3C3E46DA" w:rsidR="00FF59B8" w:rsidRPr="009439E8" w:rsidRDefault="00FF59B8" w:rsidP="00D705C9">
      <w:pPr>
        <w:pStyle w:val="Heading3"/>
      </w:pPr>
      <w:r w:rsidRPr="009439E8">
        <w:t>Assessing</w:t>
      </w:r>
      <w:r w:rsidRPr="009439E8">
        <w:rPr>
          <w:spacing w:val="26"/>
        </w:rPr>
        <w:t xml:space="preserve"> </w:t>
      </w:r>
      <w:r w:rsidR="0062573C" w:rsidRPr="009439E8">
        <w:rPr>
          <w:spacing w:val="13"/>
        </w:rPr>
        <w:t>a</w:t>
      </w:r>
      <w:r w:rsidR="00CE50CC">
        <w:rPr>
          <w:spacing w:val="13"/>
        </w:rPr>
        <w:t xml:space="preserve"> </w:t>
      </w:r>
      <w:r w:rsidRPr="009439E8">
        <w:rPr>
          <w:w w:val="107"/>
        </w:rPr>
        <w:t>notification</w:t>
      </w:r>
    </w:p>
    <w:p w14:paraId="4F01BDC8" w14:textId="3E16445D" w:rsidR="00FF59B8" w:rsidRPr="009439E8" w:rsidRDefault="00FF59B8" w:rsidP="00FF59B8">
      <w:pPr>
        <w:pStyle w:val="DHHSbody"/>
      </w:pPr>
      <w:r w:rsidRPr="009439E8">
        <w:t>The PNOs</w:t>
      </w:r>
      <w:r w:rsidR="008C0311" w:rsidRPr="009439E8">
        <w:t xml:space="preserve"> </w:t>
      </w:r>
      <w:r w:rsidR="002D1780" w:rsidRPr="009439E8">
        <w:t xml:space="preserve">will </w:t>
      </w:r>
      <w:r w:rsidRPr="009439E8">
        <w:t xml:space="preserve">gather specific information from the </w:t>
      </w:r>
      <w:r w:rsidR="00035366">
        <w:t>person</w:t>
      </w:r>
      <w:r w:rsidR="00035366" w:rsidRPr="009439E8">
        <w:t xml:space="preserve"> </w:t>
      </w:r>
      <w:r w:rsidRPr="009439E8">
        <w:t>notifying the department of their concerns including:</w:t>
      </w:r>
    </w:p>
    <w:p w14:paraId="10DA8786" w14:textId="77497275" w:rsidR="00FF59B8" w:rsidRPr="009439E8" w:rsidRDefault="008C0311" w:rsidP="00CC3DC5">
      <w:pPr>
        <w:pStyle w:val="DHHSbullet1"/>
      </w:pPr>
      <w:r w:rsidRPr="009439E8">
        <w:t>t</w:t>
      </w:r>
      <w:r w:rsidR="00FF59B8" w:rsidRPr="009439E8">
        <w:t xml:space="preserve">he notifier’s name and their relationship with the person </w:t>
      </w:r>
      <w:r w:rsidR="41D7F9AF">
        <w:t>being reported</w:t>
      </w:r>
      <w:r w:rsidR="637881E2">
        <w:t xml:space="preserve"> (the client)</w:t>
      </w:r>
    </w:p>
    <w:p w14:paraId="2A8DE404" w14:textId="57B8E811" w:rsidR="00FF59B8" w:rsidRPr="009439E8" w:rsidRDefault="008C0311" w:rsidP="00FF59B8">
      <w:pPr>
        <w:pStyle w:val="DHHSbullet1"/>
      </w:pPr>
      <w:r w:rsidRPr="009439E8">
        <w:t>d</w:t>
      </w:r>
      <w:r w:rsidR="00FF59B8" w:rsidRPr="009439E8">
        <w:t xml:space="preserve">etails of the </w:t>
      </w:r>
      <w:r w:rsidR="00CE50CC">
        <w:t>behaviours</w:t>
      </w:r>
      <w:r w:rsidR="00A0652F">
        <w:t xml:space="preserve"> </w:t>
      </w:r>
      <w:r w:rsidR="00FF59B8" w:rsidRPr="009439E8">
        <w:t>of concern</w:t>
      </w:r>
    </w:p>
    <w:p w14:paraId="20713A1B" w14:textId="7CE36D4C" w:rsidR="00FF59B8" w:rsidRPr="009439E8" w:rsidRDefault="008C0311" w:rsidP="0062573C">
      <w:pPr>
        <w:pStyle w:val="DHHSbullet1"/>
      </w:pPr>
      <w:r w:rsidRPr="009439E8">
        <w:t>a</w:t>
      </w:r>
      <w:r w:rsidR="00FF59B8" w:rsidRPr="009439E8">
        <w:t>ny evidence of the person’s HIV status or transmission.</w:t>
      </w:r>
    </w:p>
    <w:p w14:paraId="0EE652AB" w14:textId="3439E162" w:rsidR="00EE59F0" w:rsidRPr="00035366" w:rsidRDefault="00FF59B8" w:rsidP="00D705C9">
      <w:pPr>
        <w:pStyle w:val="DHHSbody"/>
      </w:pPr>
      <w:r w:rsidRPr="009439E8">
        <w:t>The PNO</w:t>
      </w:r>
      <w:r w:rsidR="00971172">
        <w:t>s</w:t>
      </w:r>
      <w:r w:rsidRPr="009439E8">
        <w:t xml:space="preserve"> will contact the client and organise an interview to assess whether the notification warrants further investigation or action. The interview will be conducted in a discreet, non-threatening and confidential manner. </w:t>
      </w:r>
      <w:r w:rsidR="00EE59F0" w:rsidRPr="00EE59F0">
        <w:t xml:space="preserve">The client is given the opportunity to identify an independent advocate or support person </w:t>
      </w:r>
      <w:r w:rsidR="00EE59F0" w:rsidRPr="00035366">
        <w:t xml:space="preserve">who can provide support throughout the interview. </w:t>
      </w:r>
    </w:p>
    <w:p w14:paraId="38CA9EFC" w14:textId="4EE4C654" w:rsidR="00FF59B8" w:rsidRPr="009439E8" w:rsidRDefault="00FF59B8" w:rsidP="00D705C9">
      <w:pPr>
        <w:pStyle w:val="DHHSbody"/>
      </w:pPr>
      <w:r w:rsidRPr="00035366">
        <w:t>The PNO</w:t>
      </w:r>
      <w:r w:rsidR="000B26FE" w:rsidRPr="009439E8">
        <w:t>s</w:t>
      </w:r>
      <w:r w:rsidRPr="009439E8">
        <w:t xml:space="preserve"> will introduce themselves and present photo identification to confirm their status as an </w:t>
      </w:r>
      <w:r w:rsidR="00035366">
        <w:t>a</w:t>
      </w:r>
      <w:r w:rsidRPr="009439E8">
        <w:t xml:space="preserve">uthorised </w:t>
      </w:r>
      <w:r w:rsidR="00035366">
        <w:t>o</w:t>
      </w:r>
      <w:r w:rsidRPr="009439E8">
        <w:t>fficer under the PHW Act</w:t>
      </w:r>
      <w:r w:rsidR="008C0311" w:rsidRPr="009439E8">
        <w:t xml:space="preserve">. </w:t>
      </w:r>
      <w:r w:rsidRPr="009439E8">
        <w:t>They will explain the process involved in investigating an allegation, including the relevant provisions in the PHW Act</w:t>
      </w:r>
      <w:r w:rsidR="00475CAC">
        <w:t>,</w:t>
      </w:r>
      <w:r w:rsidRPr="009439E8">
        <w:t xml:space="preserve"> and provide the client with a summary sheet about these </w:t>
      </w:r>
      <w:r w:rsidR="004F6B53">
        <w:t>g</w:t>
      </w:r>
      <w:r w:rsidRPr="009439E8">
        <w:t>uidelines.</w:t>
      </w:r>
      <w:r w:rsidR="00EE59F0">
        <w:t xml:space="preserve"> </w:t>
      </w:r>
      <w:r w:rsidR="180DA047">
        <w:t>The client will be given information on avenues for legal representation.</w:t>
      </w:r>
      <w:r w:rsidRPr="009439E8">
        <w:t xml:space="preserve"> The PNO</w:t>
      </w:r>
      <w:r w:rsidR="000B26FE" w:rsidRPr="009439E8">
        <w:t>s</w:t>
      </w:r>
      <w:r w:rsidRPr="009439E8">
        <w:t xml:space="preserve"> will advise that the information gathered during the interview will be used by the </w:t>
      </w:r>
      <w:r w:rsidR="00475CAC">
        <w:t>CHO</w:t>
      </w:r>
      <w:r w:rsidRPr="009439E8">
        <w:t xml:space="preserve"> to assess whether their </w:t>
      </w:r>
      <w:r w:rsidR="003061AA">
        <w:t>behaviour</w:t>
      </w:r>
      <w:r w:rsidR="00A0652F">
        <w:t xml:space="preserve"> </w:t>
      </w:r>
      <w:r w:rsidRPr="009439E8">
        <w:t>may be putting others at risk of HIV infection. The information necessary to help make this assessment includes:</w:t>
      </w:r>
    </w:p>
    <w:p w14:paraId="504209FB" w14:textId="4A80C958" w:rsidR="00FF59B8" w:rsidRPr="009439E8" w:rsidRDefault="00C11281" w:rsidP="00FF59B8">
      <w:pPr>
        <w:pStyle w:val="DHHSbullet1"/>
      </w:pPr>
      <w:r>
        <w:t>c</w:t>
      </w:r>
      <w:r w:rsidR="00FF59B8" w:rsidRPr="009439E8">
        <w:t>onfirmation of the client’s HIV status</w:t>
      </w:r>
    </w:p>
    <w:p w14:paraId="1085B342" w14:textId="5C34C477" w:rsidR="00FF59B8" w:rsidRPr="009439E8" w:rsidRDefault="00C11281" w:rsidP="00FF59B8">
      <w:pPr>
        <w:pStyle w:val="DHHSbullet1"/>
      </w:pPr>
      <w:r>
        <w:t>t</w:t>
      </w:r>
      <w:r w:rsidR="00FF59B8" w:rsidRPr="009439E8">
        <w:t xml:space="preserve">he client’s response to </w:t>
      </w:r>
      <w:r w:rsidR="0062573C" w:rsidRPr="009439E8">
        <w:t xml:space="preserve">the </w:t>
      </w:r>
      <w:r w:rsidR="00FF59B8" w:rsidRPr="009439E8">
        <w:t>allegation</w:t>
      </w:r>
    </w:p>
    <w:p w14:paraId="743AB2FB" w14:textId="1D955DC2" w:rsidR="00FF59B8" w:rsidRPr="009439E8" w:rsidRDefault="00C11281" w:rsidP="00FF59B8">
      <w:pPr>
        <w:pStyle w:val="DHHSbullet1"/>
      </w:pPr>
      <w:r>
        <w:t>d</w:t>
      </w:r>
      <w:r w:rsidR="00FF59B8" w:rsidRPr="009439E8">
        <w:t xml:space="preserve">etails of specific </w:t>
      </w:r>
      <w:r w:rsidR="00D45AF4" w:rsidRPr="009439E8">
        <w:t xml:space="preserve">risk </w:t>
      </w:r>
      <w:r w:rsidR="00D75BE0">
        <w:t>practices</w:t>
      </w:r>
      <w:r w:rsidR="00FF59B8" w:rsidRPr="009439E8">
        <w:t xml:space="preserve"> such as </w:t>
      </w:r>
      <w:r w:rsidR="4E4A8517">
        <w:t xml:space="preserve">condomless </w:t>
      </w:r>
      <w:r w:rsidR="00FF59B8">
        <w:t>sex</w:t>
      </w:r>
      <w:r w:rsidR="27694B01">
        <w:t xml:space="preserve"> </w:t>
      </w:r>
      <w:r w:rsidR="00FF59B8" w:rsidRPr="009439E8">
        <w:t>or sharing of drug injecting equipment</w:t>
      </w:r>
    </w:p>
    <w:p w14:paraId="295DD18C" w14:textId="0F03DE65" w:rsidR="00D45AF4" w:rsidRPr="009439E8" w:rsidRDefault="00C11281" w:rsidP="00D45AF4">
      <w:pPr>
        <w:pStyle w:val="DHHSbullet1"/>
      </w:pPr>
      <w:r>
        <w:t>w</w:t>
      </w:r>
      <w:r w:rsidR="00D45AF4" w:rsidRPr="009439E8">
        <w:t xml:space="preserve">hether the client has </w:t>
      </w:r>
      <w:r w:rsidR="451C11AC">
        <w:t>consistent</w:t>
      </w:r>
      <w:r w:rsidR="08B510D2">
        <w:t xml:space="preserve"> </w:t>
      </w:r>
      <w:r w:rsidR="00D45AF4" w:rsidRPr="009439E8">
        <w:t>access to reasonable precautions like TasP, condoms and sterile needles and syringes</w:t>
      </w:r>
    </w:p>
    <w:p w14:paraId="6C4E373C" w14:textId="5D19ECD6" w:rsidR="00D45AF4" w:rsidRPr="009439E8" w:rsidRDefault="00C11281" w:rsidP="00FF59B8">
      <w:pPr>
        <w:pStyle w:val="DHHSbullet1"/>
      </w:pPr>
      <w:r>
        <w:lastRenderedPageBreak/>
        <w:t>w</w:t>
      </w:r>
      <w:r w:rsidR="00D45AF4" w:rsidRPr="009439E8">
        <w:t xml:space="preserve">hether the client has a sustained undetectable </w:t>
      </w:r>
      <w:r w:rsidR="0CFFCBDF">
        <w:t>HIV</w:t>
      </w:r>
      <w:r w:rsidR="08B510D2">
        <w:t xml:space="preserve"> </w:t>
      </w:r>
      <w:r w:rsidR="00D45AF4" w:rsidRPr="009439E8">
        <w:t>viral load</w:t>
      </w:r>
    </w:p>
    <w:p w14:paraId="6790F58F" w14:textId="759F344A" w:rsidR="00D45AF4" w:rsidRPr="009439E8" w:rsidRDefault="00C11281" w:rsidP="00FF59B8">
      <w:pPr>
        <w:pStyle w:val="DHHSbullet1"/>
      </w:pPr>
      <w:r>
        <w:t>t</w:t>
      </w:r>
      <w:r w:rsidR="00D45AF4" w:rsidRPr="009439E8">
        <w:t>he client’s adherence to TasP</w:t>
      </w:r>
      <w:r w:rsidR="55DC2482">
        <w:t>,</w:t>
      </w:r>
      <w:r w:rsidR="32F5BC44">
        <w:t xml:space="preserve"> continued</w:t>
      </w:r>
      <w:r w:rsidR="00D45AF4" w:rsidRPr="009439E8">
        <w:t xml:space="preserve"> engagement in care (including regular monitoring of HIV viral load)</w:t>
      </w:r>
    </w:p>
    <w:p w14:paraId="3BE4B589" w14:textId="34FA7430" w:rsidR="00D45AF4" w:rsidRPr="009439E8" w:rsidRDefault="00C11281" w:rsidP="00FF59B8">
      <w:pPr>
        <w:pStyle w:val="DHHSbullet1"/>
      </w:pPr>
      <w:r>
        <w:t>w</w:t>
      </w:r>
      <w:r w:rsidR="00D45AF4" w:rsidRPr="009439E8">
        <w:t xml:space="preserve">hether the client’s risk </w:t>
      </w:r>
      <w:r w:rsidR="00D75BE0">
        <w:t>practices are</w:t>
      </w:r>
      <w:r w:rsidR="00A0652F">
        <w:t xml:space="preserve"> </w:t>
      </w:r>
      <w:r w:rsidR="00D45AF4" w:rsidRPr="009439E8">
        <w:t>current and likely to continue</w:t>
      </w:r>
    </w:p>
    <w:p w14:paraId="56A009E9" w14:textId="74482B1F" w:rsidR="00D45AF4" w:rsidRPr="009439E8" w:rsidRDefault="00C11281" w:rsidP="00D45AF4">
      <w:pPr>
        <w:pStyle w:val="DHHSbullet1"/>
      </w:pPr>
      <w:r>
        <w:t>t</w:t>
      </w:r>
      <w:r w:rsidR="00D45AF4" w:rsidRPr="009439E8">
        <w:t xml:space="preserve">he client’s understanding of their HIV status and how their </w:t>
      </w:r>
      <w:r w:rsidR="058DF3B1">
        <w:t>own practices</w:t>
      </w:r>
      <w:r w:rsidR="00D45AF4" w:rsidRPr="009439E8">
        <w:t xml:space="preserve"> risk transmission of HIV to others</w:t>
      </w:r>
    </w:p>
    <w:p w14:paraId="0D4467E8" w14:textId="3726A9B9" w:rsidR="00F33FA3" w:rsidRPr="009439E8" w:rsidRDefault="00C11281" w:rsidP="00FF59B8">
      <w:pPr>
        <w:pStyle w:val="DHHSbullet1"/>
      </w:pPr>
      <w:r>
        <w:t>w</w:t>
      </w:r>
      <w:r w:rsidR="00D45AF4" w:rsidRPr="009439E8">
        <w:t>hether the client understands how they can prevent transmitting HIV</w:t>
      </w:r>
      <w:r w:rsidR="65C01677">
        <w:t>, including the concept of</w:t>
      </w:r>
      <w:r w:rsidR="00421CBE" w:rsidRPr="00421CBE">
        <w:t xml:space="preserve"> </w:t>
      </w:r>
      <w:r w:rsidR="00421CBE" w:rsidRPr="009439E8">
        <w:t>U=U (undetectable viral load equals untransmissible)</w:t>
      </w:r>
    </w:p>
    <w:p w14:paraId="0AF13661" w14:textId="6A623CB3" w:rsidR="00FF59B8" w:rsidRPr="009439E8" w:rsidRDefault="00C11281" w:rsidP="00FF59B8">
      <w:pPr>
        <w:pStyle w:val="DHHSbullet1"/>
      </w:pPr>
      <w:r>
        <w:t>a</w:t>
      </w:r>
      <w:r w:rsidR="00FF59B8" w:rsidRPr="009439E8">
        <w:t>ny evidence of HIV transmissi</w:t>
      </w:r>
      <w:r w:rsidR="00F33FA3" w:rsidRPr="009439E8">
        <w:t>on</w:t>
      </w:r>
    </w:p>
    <w:p w14:paraId="62BFEFFE" w14:textId="2E2AC735" w:rsidR="00FF59B8" w:rsidRPr="009439E8" w:rsidRDefault="00C11281" w:rsidP="00FF59B8">
      <w:pPr>
        <w:pStyle w:val="DHHSbullet1"/>
      </w:pPr>
      <w:r>
        <w:t>a</w:t>
      </w:r>
      <w:r w:rsidR="00FF59B8" w:rsidRPr="009439E8">
        <w:t xml:space="preserve"> brief mental state assessment</w:t>
      </w:r>
    </w:p>
    <w:p w14:paraId="7866CB6C" w14:textId="55B74316" w:rsidR="00FF59B8" w:rsidRPr="009439E8" w:rsidRDefault="00C11281" w:rsidP="00FF59B8">
      <w:pPr>
        <w:pStyle w:val="DHHSbullet1"/>
      </w:pPr>
      <w:r>
        <w:t>a</w:t>
      </w:r>
      <w:r w:rsidR="00FF59B8" w:rsidRPr="009439E8">
        <w:t xml:space="preserve">n assessment of social </w:t>
      </w:r>
      <w:r w:rsidR="3D2A81ED">
        <w:t xml:space="preserve">and welfare </w:t>
      </w:r>
      <w:r w:rsidR="00FF59B8" w:rsidRPr="009439E8">
        <w:t>supports</w:t>
      </w:r>
    </w:p>
    <w:p w14:paraId="1A96DA82" w14:textId="7295933B" w:rsidR="00FF59B8" w:rsidRPr="009439E8" w:rsidRDefault="00C11281" w:rsidP="00FF59B8">
      <w:pPr>
        <w:pStyle w:val="DHHSbullet1"/>
      </w:pPr>
      <w:r>
        <w:t>e</w:t>
      </w:r>
      <w:r w:rsidR="00FF59B8" w:rsidRPr="009439E8">
        <w:t>vidence of substance use</w:t>
      </w:r>
      <w:r w:rsidR="7DCDD9A1">
        <w:t xml:space="preserve"> or dependence</w:t>
      </w:r>
      <w:r w:rsidR="00FF59B8" w:rsidRPr="009439E8">
        <w:t>.</w:t>
      </w:r>
    </w:p>
    <w:p w14:paraId="27738F41" w14:textId="6F3E4261" w:rsidR="00475CAC" w:rsidRDefault="00FF59B8" w:rsidP="00CC3DC5">
      <w:pPr>
        <w:pStyle w:val="DHHSbody"/>
        <w:spacing w:before="240"/>
      </w:pPr>
      <w:r w:rsidRPr="009439E8">
        <w:t xml:space="preserve">If, after interviews, the client’s HIV status remains unclear and there is no alternative means of confirming their status, then the </w:t>
      </w:r>
      <w:r w:rsidR="00D97A95" w:rsidRPr="009439E8">
        <w:t xml:space="preserve">CHO </w:t>
      </w:r>
      <w:r w:rsidR="00E51FB6" w:rsidRPr="009439E8">
        <w:t>or delegate</w:t>
      </w:r>
      <w:r w:rsidR="008C0311" w:rsidRPr="009439E8">
        <w:t xml:space="preserve"> </w:t>
      </w:r>
      <w:r w:rsidRPr="009439E8">
        <w:t xml:space="preserve">may consider making an order requiring the person to be </w:t>
      </w:r>
      <w:r w:rsidR="45128910">
        <w:t>HIV</w:t>
      </w:r>
      <w:r>
        <w:t xml:space="preserve"> </w:t>
      </w:r>
      <w:r w:rsidRPr="009439E8">
        <w:t>tested under s</w:t>
      </w:r>
      <w:r w:rsidR="00C11281">
        <w:t>.</w:t>
      </w:r>
      <w:r w:rsidRPr="009439E8">
        <w:t xml:space="preserve"> 113 of the PHW Act. </w:t>
      </w:r>
      <w:r w:rsidR="003F6476" w:rsidRPr="009439E8">
        <w:t>This should only be made in exceptional circumstances</w:t>
      </w:r>
      <w:r w:rsidR="00475CAC">
        <w:t>,</w:t>
      </w:r>
      <w:r w:rsidR="003F6476" w:rsidRPr="009439E8">
        <w:t xml:space="preserve"> and testing for HIV should be conducted on a voluntary basis</w:t>
      </w:r>
      <w:r w:rsidR="00AC60C3">
        <w:t xml:space="preserve"> wherever possible</w:t>
      </w:r>
      <w:r w:rsidR="003F6476" w:rsidRPr="009439E8">
        <w:t>. A</w:t>
      </w:r>
      <w:r w:rsidRPr="009439E8">
        <w:t>n order may be made if</w:t>
      </w:r>
      <w:r w:rsidR="00475CAC">
        <w:t>:</w:t>
      </w:r>
      <w:r w:rsidRPr="009439E8">
        <w:t xml:space="preserve"> </w:t>
      </w:r>
    </w:p>
    <w:p w14:paraId="7E342276" w14:textId="42857E7F" w:rsidR="00475CAC" w:rsidRDefault="00FF59B8" w:rsidP="00D705C9">
      <w:pPr>
        <w:pStyle w:val="DHHSbullet1"/>
      </w:pPr>
      <w:r w:rsidRPr="009439E8">
        <w:t>it is believed the client has HIV</w:t>
      </w:r>
    </w:p>
    <w:p w14:paraId="7C2452E2" w14:textId="1652A056" w:rsidR="00475CAC" w:rsidRDefault="00FF59B8" w:rsidP="00D705C9">
      <w:pPr>
        <w:pStyle w:val="DHHSbullet1"/>
      </w:pPr>
      <w:r w:rsidRPr="009439E8">
        <w:t xml:space="preserve">the </w:t>
      </w:r>
      <w:r w:rsidR="003F6476" w:rsidRPr="009439E8">
        <w:t>client</w:t>
      </w:r>
      <w:r w:rsidRPr="009439E8">
        <w:t xml:space="preserve"> is likely to transmit HIV and thereby constitute</w:t>
      </w:r>
      <w:r w:rsidR="00D3499B">
        <w:t>s</w:t>
      </w:r>
      <w:r w:rsidRPr="009439E8">
        <w:t xml:space="preserve"> a serious risk to public health</w:t>
      </w:r>
    </w:p>
    <w:p w14:paraId="641F2CBD" w14:textId="77777777" w:rsidR="00475CAC" w:rsidRDefault="00FF59B8" w:rsidP="00D705C9">
      <w:pPr>
        <w:pStyle w:val="DHHSbullet1"/>
      </w:pPr>
      <w:r w:rsidRPr="009439E8">
        <w:t>a reasonable attempt has been made to provide t</w:t>
      </w:r>
      <w:r w:rsidR="003F6476" w:rsidRPr="009439E8">
        <w:t xml:space="preserve">he client </w:t>
      </w:r>
      <w:r w:rsidRPr="009439E8">
        <w:t xml:space="preserve">with information about HIV </w:t>
      </w:r>
      <w:r w:rsidR="003F6476" w:rsidRPr="009439E8">
        <w:t xml:space="preserve">and the need to test </w:t>
      </w:r>
      <w:r w:rsidRPr="009439E8">
        <w:t>(or it is not practicable to do so)</w:t>
      </w:r>
    </w:p>
    <w:p w14:paraId="35A89030" w14:textId="2835D151" w:rsidR="00FF59B8" w:rsidRPr="009439E8" w:rsidRDefault="00FF59B8" w:rsidP="00D705C9">
      <w:pPr>
        <w:pStyle w:val="DHHSbullet1lastline"/>
      </w:pPr>
      <w:r w:rsidRPr="009439E8">
        <w:t xml:space="preserve">the order is necessary to ascertain if the </w:t>
      </w:r>
      <w:r w:rsidR="003F6476" w:rsidRPr="009439E8">
        <w:t xml:space="preserve">client </w:t>
      </w:r>
      <w:r w:rsidRPr="009439E8">
        <w:t>has HIV.</w:t>
      </w:r>
      <w:r w:rsidR="003F6476" w:rsidRPr="009439E8">
        <w:t xml:space="preserve"> </w:t>
      </w:r>
    </w:p>
    <w:p w14:paraId="1EB044F3" w14:textId="750E0C40" w:rsidR="00FF59B8" w:rsidRPr="009439E8" w:rsidRDefault="00FF59B8" w:rsidP="00FF59B8">
      <w:pPr>
        <w:pStyle w:val="DHHSbody"/>
      </w:pPr>
      <w:r w:rsidRPr="009439E8">
        <w:t xml:space="preserve">It is an offence not to comply with an </w:t>
      </w:r>
      <w:r w:rsidR="00475CAC">
        <w:t>e</w:t>
      </w:r>
      <w:r w:rsidRPr="009439E8">
        <w:t xml:space="preserve">xamination and </w:t>
      </w:r>
      <w:r w:rsidR="00475CAC">
        <w:t>t</w:t>
      </w:r>
      <w:r w:rsidRPr="009439E8">
        <w:t xml:space="preserve">esting </w:t>
      </w:r>
      <w:r w:rsidR="00475CAC">
        <w:t>o</w:t>
      </w:r>
      <w:r w:rsidRPr="009439E8">
        <w:t>rder</w:t>
      </w:r>
      <w:r w:rsidR="00475CAC">
        <w:t>,</w:t>
      </w:r>
      <w:r w:rsidRPr="009439E8">
        <w:t xml:space="preserve"> and the maximum penalty for this offence is 60 penalty units</w:t>
      </w:r>
      <w:r w:rsidR="006154C3" w:rsidRPr="009439E8">
        <w:rPr>
          <w:rStyle w:val="FootnoteReference"/>
        </w:rPr>
        <w:footnoteReference w:id="3"/>
      </w:r>
      <w:r w:rsidR="006154C3" w:rsidRPr="009439E8">
        <w:t xml:space="preserve"> </w:t>
      </w:r>
      <w:r w:rsidRPr="009439E8">
        <w:t>(s</w:t>
      </w:r>
      <w:r w:rsidR="00C11281">
        <w:t>.</w:t>
      </w:r>
      <w:r w:rsidRPr="009439E8">
        <w:t xml:space="preserve"> 116, PHW Act). If a client has refused to undergo testing, the </w:t>
      </w:r>
      <w:r w:rsidR="00D97A95" w:rsidRPr="009439E8">
        <w:t>CHO</w:t>
      </w:r>
      <w:r w:rsidRPr="009439E8">
        <w:t xml:space="preserve"> may order that they be detained, or detained in isolation, for a period not exceeding 72 hours</w:t>
      </w:r>
      <w:r w:rsidR="00D3499B">
        <w:t>,</w:t>
      </w:r>
      <w:r w:rsidRPr="009439E8">
        <w:t xml:space="preserve"> to enable them to be examined and tested (s</w:t>
      </w:r>
      <w:r w:rsidR="00C11281">
        <w:t>.</w:t>
      </w:r>
      <w:r w:rsidRPr="009439E8">
        <w:t xml:space="preserve"> 113(3)(c), PHW Act). </w:t>
      </w:r>
      <w:r w:rsidR="6721D9ED">
        <w:t>Only in the case where the client refuses to cooperate with the CHO order, a</w:t>
      </w:r>
      <w:r w:rsidRPr="009439E8">
        <w:t xml:space="preserve"> member of Victoria Police may use reasonable force to detain and take a client who is subject to such an order to a place where a test is to be carried out (s</w:t>
      </w:r>
      <w:r w:rsidR="00C11281">
        <w:t>.</w:t>
      </w:r>
      <w:r w:rsidRPr="009439E8">
        <w:t xml:space="preserve"> 123(4), PHW Act).</w:t>
      </w:r>
    </w:p>
    <w:p w14:paraId="40B15F34" w14:textId="7CC05AC3" w:rsidR="00FF59B8" w:rsidRPr="009439E8" w:rsidRDefault="00FF59B8" w:rsidP="00FF59B8">
      <w:pPr>
        <w:pStyle w:val="DHHSbody"/>
      </w:pPr>
      <w:r w:rsidRPr="009439E8">
        <w:t xml:space="preserve">If required, an application for a warrant may be made to the Magistrates’ Court to arrest a client who is the subject of an </w:t>
      </w:r>
      <w:r w:rsidR="00475CAC">
        <w:t>e</w:t>
      </w:r>
      <w:r w:rsidRPr="009439E8">
        <w:t xml:space="preserve">xamination and </w:t>
      </w:r>
      <w:r w:rsidR="00475CAC">
        <w:t>t</w:t>
      </w:r>
      <w:r w:rsidRPr="009439E8">
        <w:t xml:space="preserve">esting </w:t>
      </w:r>
      <w:r w:rsidR="00475CAC">
        <w:t>o</w:t>
      </w:r>
      <w:r w:rsidRPr="009439E8">
        <w:t>rder</w:t>
      </w:r>
      <w:r>
        <w:t xml:space="preserve">. </w:t>
      </w:r>
      <w:r w:rsidR="197DC479">
        <w:t>The client shall be given the option of legal advice through community legal services.</w:t>
      </w:r>
      <w:r w:rsidRPr="009439E8">
        <w:t xml:space="preserve"> The warrant may specify conditions</w:t>
      </w:r>
      <w:r w:rsidR="00332FE5">
        <w:t>,</w:t>
      </w:r>
      <w:r w:rsidRPr="009439E8">
        <w:t xml:space="preserve"> and the client detained under these circumstances must be informed at the time of arrest of the reasons for being arrested or detained (s</w:t>
      </w:r>
      <w:r w:rsidR="00C11281">
        <w:t>.</w:t>
      </w:r>
      <w:r w:rsidRPr="009439E8">
        <w:t xml:space="preserve"> 123, PHW Act).</w:t>
      </w:r>
    </w:p>
    <w:p w14:paraId="6F9E1FA3" w14:textId="59399E4B" w:rsidR="00FF59B8" w:rsidRPr="009439E8" w:rsidRDefault="00FF59B8" w:rsidP="004B2E44">
      <w:pPr>
        <w:pStyle w:val="Heading3"/>
      </w:pPr>
      <w:r w:rsidRPr="009439E8">
        <w:t>Ongoing client management</w:t>
      </w:r>
    </w:p>
    <w:p w14:paraId="5000F34C" w14:textId="392372D6" w:rsidR="00FF59B8" w:rsidRPr="009439E8" w:rsidRDefault="00FF59B8" w:rsidP="0029351F">
      <w:pPr>
        <w:pStyle w:val="DHHSbody"/>
      </w:pPr>
      <w:r w:rsidRPr="009439E8">
        <w:t>The PNOs maintain direct client contact and communicate any directions from the</w:t>
      </w:r>
      <w:r w:rsidR="00510276" w:rsidRPr="009439E8">
        <w:t xml:space="preserve"> </w:t>
      </w:r>
      <w:r w:rsidR="00E51FB6" w:rsidRPr="009439E8">
        <w:t>C</w:t>
      </w:r>
      <w:r w:rsidR="007D33F6" w:rsidRPr="009439E8">
        <w:t>HO</w:t>
      </w:r>
      <w:r w:rsidR="00E51FB6" w:rsidRPr="009439E8">
        <w:t xml:space="preserve"> or delegate.</w:t>
      </w:r>
      <w:r w:rsidR="00510276" w:rsidRPr="009439E8">
        <w:t xml:space="preserve"> </w:t>
      </w:r>
      <w:r w:rsidRPr="009439E8">
        <w:t>They may coordinate counselling services or other community services that are required, especially for clients with multiple and complex needs. The PNOs play a</w:t>
      </w:r>
      <w:r w:rsidR="003F6476" w:rsidRPr="009439E8">
        <w:t>n</w:t>
      </w:r>
      <w:r w:rsidRPr="009439E8">
        <w:t xml:space="preserve"> </w:t>
      </w:r>
      <w:r w:rsidR="007D33F6" w:rsidRPr="009439E8">
        <w:t>essential role in supporting and reinforcing the required change</w:t>
      </w:r>
      <w:r w:rsidR="000833E6">
        <w:t xml:space="preserve"> in </w:t>
      </w:r>
      <w:r w:rsidR="00D3499B">
        <w:t xml:space="preserve">client </w:t>
      </w:r>
      <w:r w:rsidR="000833E6">
        <w:t xml:space="preserve">practices </w:t>
      </w:r>
      <w:r w:rsidR="007D33F6" w:rsidRPr="009439E8">
        <w:t xml:space="preserve">and </w:t>
      </w:r>
      <w:r w:rsidRPr="009439E8">
        <w:t>providing clients with information about their legal obligations and the processes involved</w:t>
      </w:r>
      <w:r w:rsidR="007D33F6" w:rsidRPr="009439E8">
        <w:t xml:space="preserve">. </w:t>
      </w:r>
      <w:r w:rsidRPr="009439E8">
        <w:t>They report the client’s progress to the</w:t>
      </w:r>
      <w:r w:rsidR="00510276" w:rsidRPr="009439E8">
        <w:t xml:space="preserve"> </w:t>
      </w:r>
      <w:r w:rsidR="00D97A95" w:rsidRPr="009439E8">
        <w:t xml:space="preserve">CHO </w:t>
      </w:r>
      <w:r w:rsidR="00E51FB6" w:rsidRPr="009439E8">
        <w:t>or delegate</w:t>
      </w:r>
      <w:r w:rsidR="00510276" w:rsidRPr="009439E8">
        <w:t xml:space="preserve"> </w:t>
      </w:r>
      <w:r w:rsidRPr="009439E8">
        <w:t>and, when required, to the HIV Case Advisory Panel.</w:t>
      </w:r>
    </w:p>
    <w:p w14:paraId="5EF36ABA" w14:textId="172CF188" w:rsidR="00416547" w:rsidRPr="009439E8" w:rsidRDefault="00416547" w:rsidP="00416547">
      <w:pPr>
        <w:pStyle w:val="Heading2"/>
      </w:pPr>
      <w:bookmarkStart w:id="26" w:name="_Toc89268507"/>
      <w:r w:rsidRPr="009439E8">
        <w:lastRenderedPageBreak/>
        <w:t>Role of clinical service providers</w:t>
      </w:r>
      <w:bookmarkEnd w:id="26"/>
    </w:p>
    <w:p w14:paraId="27B26F5D" w14:textId="7A66F71A" w:rsidR="00802EE6" w:rsidRPr="009439E8" w:rsidRDefault="00F079E1" w:rsidP="00CC3DC5">
      <w:pPr>
        <w:pStyle w:val="DHHSbody"/>
      </w:pPr>
      <w:r w:rsidRPr="009439E8">
        <w:t xml:space="preserve">Clinicians who provide effective </w:t>
      </w:r>
      <w:r w:rsidR="29E5E890">
        <w:t>and early HIV</w:t>
      </w:r>
      <w:r w:rsidR="5FAB52A8">
        <w:t xml:space="preserve"> </w:t>
      </w:r>
      <w:r w:rsidRPr="009439E8">
        <w:t xml:space="preserve">management </w:t>
      </w:r>
      <w:r w:rsidR="0773CCCF">
        <w:t>with</w:t>
      </w:r>
      <w:r w:rsidRPr="009439E8">
        <w:t xml:space="preserve"> ongoing support </w:t>
      </w:r>
      <w:r w:rsidR="7F28945B">
        <w:t>provide</w:t>
      </w:r>
      <w:r w:rsidRPr="009439E8">
        <w:t xml:space="preserve"> the foundations for patient wellbeing and prevention of public health risks. </w:t>
      </w:r>
      <w:r w:rsidR="5C194AF0">
        <w:t>Recommended standards in HIV clinical care include</w:t>
      </w:r>
      <w:r w:rsidR="32F47B77">
        <w:t>:</w:t>
      </w:r>
    </w:p>
    <w:p w14:paraId="4B048F0E" w14:textId="5AA7CFFB" w:rsidR="00F079E1" w:rsidRPr="009439E8" w:rsidRDefault="00C11281" w:rsidP="00CC3DC5">
      <w:pPr>
        <w:pStyle w:val="DHHSbullet1"/>
      </w:pPr>
      <w:r>
        <w:t>e</w:t>
      </w:r>
      <w:r w:rsidR="00F079E1" w:rsidRPr="009439E8">
        <w:t xml:space="preserve">ffective clinical management, including access to </w:t>
      </w:r>
      <w:r w:rsidR="66B2C621">
        <w:t xml:space="preserve">HIV </w:t>
      </w:r>
      <w:r w:rsidR="00F079E1" w:rsidRPr="009439E8">
        <w:t>treatment and monitoring</w:t>
      </w:r>
    </w:p>
    <w:p w14:paraId="08F0DBAA" w14:textId="7F397BF9" w:rsidR="00F079E1" w:rsidRPr="009439E8" w:rsidRDefault="00C11281" w:rsidP="00CC3DC5">
      <w:pPr>
        <w:pStyle w:val="DHHSbullet1"/>
      </w:pPr>
      <w:r>
        <w:t>p</w:t>
      </w:r>
      <w:r w:rsidR="00F079E1" w:rsidRPr="009439E8">
        <w:t>sychosocial support (or referral to support)</w:t>
      </w:r>
    </w:p>
    <w:p w14:paraId="1B27C3F4" w14:textId="5B560667" w:rsidR="00F079E1" w:rsidRPr="009439E8" w:rsidRDefault="00C11281" w:rsidP="00CC3DC5">
      <w:pPr>
        <w:pStyle w:val="DHHSbullet1"/>
      </w:pPr>
      <w:r>
        <w:t>c</w:t>
      </w:r>
      <w:r w:rsidR="00F079E1" w:rsidRPr="009439E8">
        <w:t>ounselling about prevention of transmission of HIV to others, including the role of treatment in reducing the risk of transmission</w:t>
      </w:r>
      <w:r w:rsidR="6A3E1AE2">
        <w:t xml:space="preserve"> and U=U</w:t>
      </w:r>
    </w:p>
    <w:p w14:paraId="5F952E26" w14:textId="5AF52798" w:rsidR="00F079E1" w:rsidRPr="009439E8" w:rsidRDefault="00C11281" w:rsidP="00CC3DC5">
      <w:pPr>
        <w:pStyle w:val="DHHSbullet1"/>
      </w:pPr>
      <w:r>
        <w:t>s</w:t>
      </w:r>
      <w:r w:rsidR="00F079E1" w:rsidRPr="009439E8">
        <w:t>upport to ensure all at</w:t>
      </w:r>
      <w:r w:rsidR="33E84334">
        <w:t>-</w:t>
      </w:r>
      <w:r w:rsidR="00F079E1" w:rsidRPr="009439E8">
        <w:t>risk contacts or partners are identified and tested for HIV (the PNOs can assist in this process)</w:t>
      </w:r>
    </w:p>
    <w:p w14:paraId="3E7115D4" w14:textId="44DF0E15" w:rsidR="00DF41FF" w:rsidRPr="009439E8" w:rsidRDefault="00C11281" w:rsidP="00CC3DC5">
      <w:pPr>
        <w:pStyle w:val="DHHSbullet1"/>
      </w:pPr>
      <w:r>
        <w:t>l</w:t>
      </w:r>
      <w:r w:rsidR="00F079E1" w:rsidRPr="009439E8">
        <w:t>ink</w:t>
      </w:r>
      <w:r w:rsidR="00332FE5">
        <w:t>s</w:t>
      </w:r>
      <w:r w:rsidR="00F079E1" w:rsidRPr="009439E8">
        <w:t xml:space="preserve"> to relevant specialist, community and peer support services</w:t>
      </w:r>
      <w:r w:rsidR="00DF41FF" w:rsidRPr="009439E8">
        <w:t>.</w:t>
      </w:r>
    </w:p>
    <w:p w14:paraId="6ABC757C" w14:textId="59CA04BE" w:rsidR="006A713D" w:rsidRPr="009439E8" w:rsidRDefault="006A713D" w:rsidP="00CC3DC5">
      <w:pPr>
        <w:pStyle w:val="DHHSbody"/>
        <w:spacing w:before="240"/>
      </w:pPr>
      <w:r w:rsidRPr="009439E8">
        <w:t>Clinical service</w:t>
      </w:r>
      <w:r w:rsidR="00AF50B8" w:rsidRPr="009439E8">
        <w:t xml:space="preserve"> providers have a </w:t>
      </w:r>
      <w:r w:rsidRPr="009439E8">
        <w:t xml:space="preserve">responsibility to monitor the person’s ongoing engagement with HIV care. Services </w:t>
      </w:r>
      <w:r w:rsidR="00F73487" w:rsidRPr="009439E8">
        <w:t>need</w:t>
      </w:r>
      <w:r w:rsidRPr="009439E8">
        <w:t xml:space="preserve"> </w:t>
      </w:r>
      <w:r w:rsidR="00344DAA" w:rsidRPr="009439E8">
        <w:t xml:space="preserve">to </w:t>
      </w:r>
      <w:r w:rsidRPr="009439E8">
        <w:t xml:space="preserve">actively follow up if the person disengages from care. </w:t>
      </w:r>
      <w:r w:rsidR="00A01EB1" w:rsidRPr="009439E8">
        <w:t>If</w:t>
      </w:r>
      <w:r w:rsidR="00C80554" w:rsidRPr="009439E8">
        <w:t xml:space="preserve"> patients are</w:t>
      </w:r>
      <w:r w:rsidR="00A01EB1" w:rsidRPr="009439E8">
        <w:t xml:space="preserve"> </w:t>
      </w:r>
      <w:r w:rsidRPr="009439E8">
        <w:t>los</w:t>
      </w:r>
      <w:r w:rsidR="00C035F4" w:rsidRPr="009439E8">
        <w:t>t</w:t>
      </w:r>
      <w:r w:rsidRPr="009439E8">
        <w:t xml:space="preserve">-to-follow-up and </w:t>
      </w:r>
      <w:r w:rsidR="00C80554" w:rsidRPr="009439E8">
        <w:t>there are</w:t>
      </w:r>
      <w:r w:rsidR="00D97A95" w:rsidRPr="009439E8">
        <w:t xml:space="preserve"> </w:t>
      </w:r>
      <w:r w:rsidRPr="009439E8">
        <w:t>concerns about public health risks</w:t>
      </w:r>
      <w:r w:rsidR="00332FE5">
        <w:t>,</w:t>
      </w:r>
      <w:r w:rsidRPr="009439E8">
        <w:t xml:space="preserve"> </w:t>
      </w:r>
      <w:r w:rsidR="1D2F34AD">
        <w:t>th</w:t>
      </w:r>
      <w:r w:rsidR="388447F2">
        <w:t>is</w:t>
      </w:r>
      <w:r w:rsidR="00C80554" w:rsidRPr="009439E8">
        <w:t xml:space="preserve"> </w:t>
      </w:r>
      <w:r w:rsidRPr="009439E8">
        <w:t xml:space="preserve">should be raised immediately with the department’s </w:t>
      </w:r>
      <w:r w:rsidR="00C80554" w:rsidRPr="009439E8">
        <w:t>PNOs</w:t>
      </w:r>
      <w:r w:rsidR="00E51FB6" w:rsidRPr="009439E8">
        <w:t>.</w:t>
      </w:r>
      <w:r w:rsidRPr="009439E8">
        <w:t xml:space="preserve"> Adherence to treatment, in both clients with detectable and undetectable viral loads, should be monitored on a regular basis </w:t>
      </w:r>
      <w:r w:rsidR="40E9C7F0">
        <w:t>in accordance with</w:t>
      </w:r>
      <w:r w:rsidRPr="009439E8">
        <w:t xml:space="preserve"> clinical treatment </w:t>
      </w:r>
      <w:r w:rsidR="00C80554" w:rsidRPr="009439E8">
        <w:t>g</w:t>
      </w:r>
      <w:r w:rsidRPr="009439E8">
        <w:t>uideline</w:t>
      </w:r>
      <w:r w:rsidR="00403672" w:rsidRPr="009439E8">
        <w:t>s.</w:t>
      </w:r>
      <w:r w:rsidR="00A31B2B">
        <w:t xml:space="preserve"> </w:t>
      </w:r>
      <w:r w:rsidR="00403672" w:rsidRPr="009439E8">
        <w:t>C</w:t>
      </w:r>
      <w:r w:rsidR="00AF50B8" w:rsidRPr="009439E8">
        <w:t xml:space="preserve">linical service providers should regularly review </w:t>
      </w:r>
      <w:r w:rsidR="0CA39D6C">
        <w:t>risk</w:t>
      </w:r>
      <w:r w:rsidR="378F973F">
        <w:t xml:space="preserve"> practices</w:t>
      </w:r>
      <w:r w:rsidR="00AF50B8" w:rsidRPr="009439E8">
        <w:t xml:space="preserve"> with patients who do not have a sustained undetectable viral load.</w:t>
      </w:r>
    </w:p>
    <w:p w14:paraId="67DE3898" w14:textId="43A3E321" w:rsidR="00802EE6" w:rsidRPr="009439E8" w:rsidRDefault="00DF41FF" w:rsidP="00CC3DC5">
      <w:pPr>
        <w:pStyle w:val="DHHSbody"/>
      </w:pPr>
      <w:r w:rsidRPr="009439E8">
        <w:t xml:space="preserve">A referral </w:t>
      </w:r>
      <w:r w:rsidR="00234082" w:rsidRPr="009439E8">
        <w:t xml:space="preserve">to the </w:t>
      </w:r>
      <w:r w:rsidR="00C80554" w:rsidRPr="009439E8">
        <w:t xml:space="preserve">PNOs </w:t>
      </w:r>
      <w:r w:rsidRPr="009439E8">
        <w:t>should</w:t>
      </w:r>
      <w:r w:rsidR="00344DAA" w:rsidRPr="009439E8">
        <w:t xml:space="preserve"> </w:t>
      </w:r>
      <w:r w:rsidR="00AF50B8" w:rsidRPr="009439E8">
        <w:t>be made</w:t>
      </w:r>
      <w:r w:rsidR="00C80554" w:rsidRPr="009439E8">
        <w:t xml:space="preserve"> </w:t>
      </w:r>
      <w:r w:rsidR="3E509C42">
        <w:t>by the treating clinician</w:t>
      </w:r>
      <w:r w:rsidR="1D2F34AD">
        <w:t xml:space="preserve"> </w:t>
      </w:r>
      <w:r w:rsidR="00C80554" w:rsidRPr="009439E8">
        <w:t>when</w:t>
      </w:r>
      <w:r w:rsidR="00403672" w:rsidRPr="009439E8">
        <w:t>:</w:t>
      </w:r>
      <w:r w:rsidR="00C80554" w:rsidRPr="009439E8">
        <w:t xml:space="preserve"> </w:t>
      </w:r>
    </w:p>
    <w:p w14:paraId="2A70E3E8" w14:textId="03712090" w:rsidR="00F079E1" w:rsidRPr="009439E8" w:rsidRDefault="00C11281" w:rsidP="00CC3DC5">
      <w:pPr>
        <w:pStyle w:val="DHHSbullet1"/>
        <w:rPr>
          <w:rFonts w:cs="Arial"/>
        </w:rPr>
      </w:pPr>
      <w:r>
        <w:t>a</w:t>
      </w:r>
      <w:r w:rsidR="00C80554" w:rsidRPr="009439E8">
        <w:t xml:space="preserve"> </w:t>
      </w:r>
      <w:r w:rsidR="006A713D" w:rsidRPr="009439E8">
        <w:t>client</w:t>
      </w:r>
      <w:r w:rsidR="00F079E1" w:rsidRPr="009439E8">
        <w:t xml:space="preserve"> </w:t>
      </w:r>
      <w:r w:rsidR="00C80554" w:rsidRPr="009439E8">
        <w:t xml:space="preserve">has </w:t>
      </w:r>
      <w:r w:rsidR="00F079E1" w:rsidRPr="009439E8">
        <w:t xml:space="preserve">a </w:t>
      </w:r>
      <w:r w:rsidR="00F079E1" w:rsidRPr="009439E8">
        <w:rPr>
          <w:b/>
        </w:rPr>
        <w:t>detectable viral load</w:t>
      </w:r>
      <w:r w:rsidR="00F079E1" w:rsidRPr="009439E8">
        <w:t xml:space="preserve"> and there is concern about current transmission risks</w:t>
      </w:r>
      <w:r w:rsidR="00C80554" w:rsidRPr="009439E8">
        <w:t xml:space="preserve"> </w:t>
      </w:r>
      <w:r w:rsidR="000E2E09">
        <w:t>practices</w:t>
      </w:r>
      <w:r w:rsidR="00234082" w:rsidRPr="009439E8">
        <w:t xml:space="preserve"> and </w:t>
      </w:r>
      <w:r w:rsidR="00DF41FF" w:rsidRPr="009439E8">
        <w:t xml:space="preserve">management </w:t>
      </w:r>
      <w:r w:rsidR="00234082" w:rsidRPr="009439E8">
        <w:t>of this risk</w:t>
      </w:r>
      <w:r w:rsidR="00DF41FF" w:rsidRPr="009439E8">
        <w:t xml:space="preserve"> cannot be undertaken sufficiently by the clinical team</w:t>
      </w:r>
    </w:p>
    <w:p w14:paraId="6E978A9A" w14:textId="668E4AC7" w:rsidR="1D2F34AD" w:rsidRDefault="00C11281" w:rsidP="00D705C9">
      <w:pPr>
        <w:pStyle w:val="DHHSbullet1lastline"/>
      </w:pPr>
      <w:r>
        <w:t>a</w:t>
      </w:r>
      <w:r w:rsidR="0CA39D6C">
        <w:t xml:space="preserve"> client </w:t>
      </w:r>
      <w:r w:rsidR="1D2F34AD">
        <w:t xml:space="preserve">has </w:t>
      </w:r>
      <w:r w:rsidR="5FAB52A8" w:rsidRPr="00D705C9">
        <w:t>an</w:t>
      </w:r>
      <w:r w:rsidR="5FAB52A8" w:rsidRPr="5194269D">
        <w:rPr>
          <w:b/>
          <w:bCs/>
        </w:rPr>
        <w:t xml:space="preserve"> undetectable viral load</w:t>
      </w:r>
      <w:r w:rsidR="5FAB52A8">
        <w:t xml:space="preserve"> </w:t>
      </w:r>
      <w:r w:rsidR="004448C9" w:rsidRPr="00D705C9">
        <w:rPr>
          <w:i/>
          <w:iCs/>
        </w:rPr>
        <w:t>and</w:t>
      </w:r>
      <w:r w:rsidR="004448C9">
        <w:t xml:space="preserve"> </w:t>
      </w:r>
      <w:r w:rsidR="5FAB52A8">
        <w:t xml:space="preserve">there is concern about current risk </w:t>
      </w:r>
      <w:r w:rsidR="2EBFC69C">
        <w:t>practices</w:t>
      </w:r>
      <w:r w:rsidR="5FAB52A8">
        <w:t xml:space="preserve"> and the ability to maintain sustained viral suppression</w:t>
      </w:r>
      <w:r w:rsidR="4B439708">
        <w:t xml:space="preserve"> </w:t>
      </w:r>
      <w:r w:rsidR="5FAB52A8">
        <w:t>and</w:t>
      </w:r>
      <w:r w:rsidR="4B439708">
        <w:t xml:space="preserve"> engagement in clinical care</w:t>
      </w:r>
      <w:r w:rsidR="6EC7BF58">
        <w:t>.</w:t>
      </w:r>
    </w:p>
    <w:p w14:paraId="08D6011E" w14:textId="0CAEEEAE" w:rsidR="7206266F" w:rsidRDefault="7206266F" w:rsidP="00AF1DCB">
      <w:pPr>
        <w:pStyle w:val="DHHSbullet1"/>
        <w:numPr>
          <w:ilvl w:val="0"/>
          <w:numId w:val="0"/>
        </w:numPr>
      </w:pPr>
      <w:r>
        <w:t xml:space="preserve">It is important that service providers and local clinicians </w:t>
      </w:r>
      <w:r w:rsidR="004448C9">
        <w:t>can</w:t>
      </w:r>
      <w:r w:rsidRPr="00483E37">
        <w:t xml:space="preserve"> seek advice from the nominated public health HIV contacts without needing to provide identifying information. Although complex or serious issues will be referred to the </w:t>
      </w:r>
      <w:r w:rsidR="004448C9">
        <w:t>d</w:t>
      </w:r>
      <w:r w:rsidR="461416CF" w:rsidRPr="00483E37">
        <w:t>epartment</w:t>
      </w:r>
      <w:r w:rsidRPr="00483E37">
        <w:t>, generally where an issue is raised with the nominated public health HIV contact this will not automatically lead to the person being formally managed under the</w:t>
      </w:r>
      <w:r w:rsidR="7D80BD17" w:rsidRPr="00483E37">
        <w:t>se</w:t>
      </w:r>
      <w:r w:rsidRPr="00483E37">
        <w:t xml:space="preserve"> </w:t>
      </w:r>
      <w:r w:rsidR="00C11281">
        <w:t>g</w:t>
      </w:r>
      <w:r w:rsidRPr="00483E37">
        <w:t>uidelines</w:t>
      </w:r>
      <w:r w:rsidR="007970D5" w:rsidRPr="00483E37">
        <w:t>.</w:t>
      </w:r>
      <w:r w:rsidRPr="00483E37">
        <w:t xml:space="preserve"> Case discus</w:t>
      </w:r>
      <w:r>
        <w:t xml:space="preserve">sion with the nominated </w:t>
      </w:r>
      <w:r w:rsidR="6F492816">
        <w:t xml:space="preserve">PNO or clinician </w:t>
      </w:r>
      <w:r>
        <w:t xml:space="preserve">may lead to </w:t>
      </w:r>
      <w:r w:rsidR="004448C9">
        <w:t>providing</w:t>
      </w:r>
      <w:r>
        <w:t xml:space="preserve"> management advice or link</w:t>
      </w:r>
      <w:r w:rsidR="004448C9">
        <w:t>s to</w:t>
      </w:r>
      <w:r>
        <w:t xml:space="preserve"> other </w:t>
      </w:r>
      <w:r w:rsidR="38E6C5DA">
        <w:t>health and related</w:t>
      </w:r>
      <w:r>
        <w:t xml:space="preserve"> professionals </w:t>
      </w:r>
      <w:r w:rsidR="004448C9">
        <w:t xml:space="preserve">who can </w:t>
      </w:r>
      <w:r>
        <w:t>provide care and support.</w:t>
      </w:r>
    </w:p>
    <w:p w14:paraId="7BBB671F" w14:textId="213E7DE1" w:rsidR="00416547" w:rsidRPr="009439E8" w:rsidRDefault="00416547" w:rsidP="00416547">
      <w:pPr>
        <w:pStyle w:val="Heading2"/>
        <w:rPr>
          <w:rFonts w:eastAsiaTheme="minorHAnsi"/>
        </w:rPr>
      </w:pPr>
      <w:bookmarkStart w:id="27" w:name="_Toc89268508"/>
      <w:r w:rsidRPr="009439E8">
        <w:rPr>
          <w:rFonts w:eastAsiaTheme="minorHAnsi"/>
        </w:rPr>
        <w:t>Role of the HIV Case Advisory Panel</w:t>
      </w:r>
      <w:bookmarkEnd w:id="27"/>
    </w:p>
    <w:p w14:paraId="5492F019" w14:textId="553C27B0" w:rsidR="00DF6A3D" w:rsidRDefault="00DF6A3D" w:rsidP="00CC3DC5">
      <w:pPr>
        <w:pStyle w:val="DHHSbody"/>
      </w:pPr>
      <w:r w:rsidRPr="009439E8">
        <w:t xml:space="preserve">The HIV Case Advisory Panel is independent of the department. </w:t>
      </w:r>
      <w:r w:rsidR="00BE4C70">
        <w:t>It is</w:t>
      </w:r>
      <w:r w:rsidRPr="009439E8">
        <w:t xml:space="preserve"> one source of advice that the </w:t>
      </w:r>
      <w:r w:rsidR="00403672" w:rsidRPr="009439E8">
        <w:t>CHO</w:t>
      </w:r>
      <w:r w:rsidR="00C80554" w:rsidRPr="009439E8">
        <w:t xml:space="preserve"> </w:t>
      </w:r>
      <w:r w:rsidRPr="009439E8">
        <w:t>considers when formulating actions to monitor, evaluate and contain the risk clients pose to public health.</w:t>
      </w:r>
    </w:p>
    <w:p w14:paraId="3748E7C5" w14:textId="4EC463A9" w:rsidR="00B47DE2" w:rsidRPr="009439E8" w:rsidRDefault="00B47DE2" w:rsidP="00CC3DC5">
      <w:pPr>
        <w:pStyle w:val="DHHSbody"/>
      </w:pPr>
      <w:r>
        <w:t xml:space="preserve">The </w:t>
      </w:r>
      <w:r w:rsidR="00860BFC">
        <w:t>p</w:t>
      </w:r>
      <w:r>
        <w:t xml:space="preserve">anel is appointed by the </w:t>
      </w:r>
      <w:r w:rsidR="00860BFC">
        <w:t>m</w:t>
      </w:r>
      <w:r>
        <w:t>inister</w:t>
      </w:r>
      <w:r w:rsidR="00177AD2">
        <w:t xml:space="preserve"> and diversity of members is ensured, including an even gender balance, where possible</w:t>
      </w:r>
      <w:r>
        <w:t xml:space="preserve">. </w:t>
      </w:r>
      <w:r w:rsidR="000A4CA4">
        <w:t xml:space="preserve">The </w:t>
      </w:r>
      <w:r w:rsidR="00860BFC">
        <w:t>c</w:t>
      </w:r>
      <w:r w:rsidR="000A4CA4">
        <w:t>hair is elected by the members</w:t>
      </w:r>
      <w:r w:rsidR="00BE4C70">
        <w:t>,</w:t>
      </w:r>
      <w:r w:rsidR="000A4CA4">
        <w:t xml:space="preserve"> and </w:t>
      </w:r>
      <w:r w:rsidR="00AA4E1A">
        <w:t>m</w:t>
      </w:r>
      <w:r>
        <w:t>embership is anonymous.</w:t>
      </w:r>
    </w:p>
    <w:p w14:paraId="530BD81C" w14:textId="5F3031B8" w:rsidR="009E7308" w:rsidRPr="009439E8" w:rsidRDefault="009E7308" w:rsidP="009E7308">
      <w:pPr>
        <w:pStyle w:val="DHHSbody"/>
      </w:pPr>
      <w:r w:rsidRPr="009439E8">
        <w:t xml:space="preserve">The </w:t>
      </w:r>
      <w:r w:rsidR="00860BFC">
        <w:t>p</w:t>
      </w:r>
      <w:r w:rsidRPr="009439E8">
        <w:t>anel has the following members:</w:t>
      </w:r>
    </w:p>
    <w:p w14:paraId="086E81EB" w14:textId="4D893545" w:rsidR="009E7308" w:rsidRPr="009439E8" w:rsidRDefault="00860BFC" w:rsidP="009E7308">
      <w:pPr>
        <w:pStyle w:val="DHHSbullet1"/>
      </w:pPr>
      <w:r>
        <w:t>t</w:t>
      </w:r>
      <w:r w:rsidR="009E7308" w:rsidRPr="009439E8">
        <w:t xml:space="preserve">wo </w:t>
      </w:r>
      <w:r>
        <w:t xml:space="preserve">people </w:t>
      </w:r>
      <w:r w:rsidR="009E7308" w:rsidRPr="009439E8">
        <w:t>living with HIV</w:t>
      </w:r>
    </w:p>
    <w:p w14:paraId="127ABC63" w14:textId="1C389BB7" w:rsidR="009E7308" w:rsidRPr="009439E8" w:rsidRDefault="00860BFC" w:rsidP="009E7308">
      <w:pPr>
        <w:pStyle w:val="DHHSbullet1"/>
      </w:pPr>
      <w:r>
        <w:t>t</w:t>
      </w:r>
      <w:r w:rsidR="009E7308" w:rsidRPr="009439E8">
        <w:t xml:space="preserve">wo medical practitioners (one hospital </w:t>
      </w:r>
      <w:r w:rsidR="00181A15" w:rsidRPr="009439E8">
        <w:t>based;</w:t>
      </w:r>
      <w:r w:rsidR="009E7308" w:rsidRPr="009439E8">
        <w:t xml:space="preserve"> one community based) with infectious diseases experience</w:t>
      </w:r>
    </w:p>
    <w:p w14:paraId="0999D54B" w14:textId="0517407D" w:rsidR="009E7308" w:rsidRPr="009439E8" w:rsidRDefault="00860BFC" w:rsidP="009E7308">
      <w:pPr>
        <w:pStyle w:val="DHHSbullet1"/>
      </w:pPr>
      <w:r>
        <w:t>a</w:t>
      </w:r>
      <w:r w:rsidR="009E7308" w:rsidRPr="009439E8">
        <w:t xml:space="preserve"> psychiatrist</w:t>
      </w:r>
    </w:p>
    <w:p w14:paraId="6D9861FB" w14:textId="0C436B8D" w:rsidR="009E7308" w:rsidRPr="009439E8" w:rsidRDefault="00860BFC" w:rsidP="009E7308">
      <w:pPr>
        <w:pStyle w:val="DHHSbullet1"/>
      </w:pPr>
      <w:r>
        <w:t>a</w:t>
      </w:r>
      <w:r w:rsidR="009E7308" w:rsidRPr="009439E8">
        <w:t xml:space="preserve"> health worker with mental health experience</w:t>
      </w:r>
    </w:p>
    <w:p w14:paraId="09F3BBD2" w14:textId="1181B08E" w:rsidR="009E7308" w:rsidRDefault="00860BFC" w:rsidP="00D705C9">
      <w:pPr>
        <w:pStyle w:val="DHHSbullet1lastline"/>
      </w:pPr>
      <w:r>
        <w:t>a</w:t>
      </w:r>
      <w:r w:rsidR="009E7308" w:rsidRPr="009439E8">
        <w:t xml:space="preserve"> person with an appropriate qualification in law.</w:t>
      </w:r>
    </w:p>
    <w:p w14:paraId="6EA41DFA" w14:textId="12195E1D" w:rsidR="00FB1BC3" w:rsidRPr="009439E8" w:rsidRDefault="00DF6A3D" w:rsidP="00CC3DC5">
      <w:pPr>
        <w:pStyle w:val="DHHSbody"/>
      </w:pPr>
      <w:r w:rsidRPr="009439E8">
        <w:t xml:space="preserve">The </w:t>
      </w:r>
      <w:r w:rsidR="00860BFC">
        <w:t>p</w:t>
      </w:r>
      <w:r w:rsidRPr="009439E8">
        <w:t xml:space="preserve">anel meets quarterly </w:t>
      </w:r>
      <w:r w:rsidR="00860BFC">
        <w:t xml:space="preserve">but </w:t>
      </w:r>
      <w:r w:rsidRPr="009439E8">
        <w:t xml:space="preserve">can be convened at any time at the request of the </w:t>
      </w:r>
      <w:r w:rsidR="00C80554" w:rsidRPr="009439E8">
        <w:t>C</w:t>
      </w:r>
      <w:r w:rsidR="00403672" w:rsidRPr="009439E8">
        <w:t>HO</w:t>
      </w:r>
      <w:r w:rsidR="00C80554" w:rsidRPr="009439E8">
        <w:t xml:space="preserve"> or delegate</w:t>
      </w:r>
      <w:r w:rsidRPr="009439E8">
        <w:t xml:space="preserve">. Panel members are appointed for three years and are eligible for reappointment. Specific groups may put forward names of people who they believe would provide useful advice to the </w:t>
      </w:r>
      <w:r w:rsidR="00C80554" w:rsidRPr="009439E8">
        <w:t>C</w:t>
      </w:r>
      <w:r w:rsidR="00403672" w:rsidRPr="009439E8">
        <w:t>HO</w:t>
      </w:r>
      <w:r w:rsidRPr="009439E8">
        <w:t xml:space="preserve">. Members are </w:t>
      </w:r>
      <w:r w:rsidRPr="009439E8">
        <w:lastRenderedPageBreak/>
        <w:t>chosen to represent the interests of the community rather than simply to advocate on behalf of their organisation and all are required to sign a confidentiality agreement.</w:t>
      </w:r>
      <w:r w:rsidR="00FB1BC3" w:rsidRPr="009439E8">
        <w:rPr>
          <w:rFonts w:cs="Arial"/>
        </w:rPr>
        <w:t xml:space="preserve"> The chairperson of the </w:t>
      </w:r>
      <w:r w:rsidR="00860BFC">
        <w:rPr>
          <w:rFonts w:cs="Arial"/>
        </w:rPr>
        <w:t>p</w:t>
      </w:r>
      <w:r w:rsidR="00FB1BC3" w:rsidRPr="009439E8">
        <w:rPr>
          <w:rFonts w:cs="Arial"/>
        </w:rPr>
        <w:t>anel is elected by its members.</w:t>
      </w:r>
    </w:p>
    <w:p w14:paraId="5039B2F3" w14:textId="4F0D2E76" w:rsidR="00DF6A3D" w:rsidRPr="009439E8" w:rsidRDefault="00DF6A3D" w:rsidP="00CB0B20">
      <w:pPr>
        <w:pStyle w:val="DHHSbody"/>
      </w:pPr>
      <w:r w:rsidRPr="009439E8">
        <w:t xml:space="preserve">Information on clients who are being managed under these </w:t>
      </w:r>
      <w:r w:rsidR="00A87ED6">
        <w:t>g</w:t>
      </w:r>
      <w:r w:rsidRPr="009439E8">
        <w:t xml:space="preserve">uidelines is presented to the </w:t>
      </w:r>
      <w:r w:rsidR="00A87ED6">
        <w:t>p</w:t>
      </w:r>
      <w:r w:rsidRPr="009439E8">
        <w:t xml:space="preserve">anel in a de-identified </w:t>
      </w:r>
      <w:r w:rsidR="00BE4C70">
        <w:t>way</w:t>
      </w:r>
      <w:r w:rsidRPr="009439E8">
        <w:t>.</w:t>
      </w:r>
      <w:r w:rsidR="00F73C02">
        <w:t xml:space="preserve"> Cultural background</w:t>
      </w:r>
      <w:r w:rsidRPr="009439E8">
        <w:t xml:space="preserve"> </w:t>
      </w:r>
      <w:r w:rsidR="00F73C02">
        <w:t>may be discussed, if relevant</w:t>
      </w:r>
      <w:r w:rsidR="00A4206E">
        <w:t>,</w:t>
      </w:r>
      <w:r w:rsidR="00F73C02">
        <w:t xml:space="preserve"> </w:t>
      </w:r>
      <w:r w:rsidR="00A4206E">
        <w:t xml:space="preserve">but </w:t>
      </w:r>
      <w:r w:rsidR="00156B1C">
        <w:t xml:space="preserve">anonymity is </w:t>
      </w:r>
      <w:r w:rsidR="00A4206E">
        <w:t xml:space="preserve">still </w:t>
      </w:r>
      <w:r w:rsidR="000E2E09">
        <w:t>preserved</w:t>
      </w:r>
      <w:r w:rsidR="00F73C02">
        <w:t xml:space="preserve">. </w:t>
      </w:r>
      <w:r w:rsidR="008565A2">
        <w:t xml:space="preserve">Advice may be sought to support particular cultural backgrounds. </w:t>
      </w:r>
      <w:r w:rsidRPr="009439E8">
        <w:t xml:space="preserve">Clients for whom the </w:t>
      </w:r>
      <w:r w:rsidR="00C80554" w:rsidRPr="009439E8">
        <w:t>C</w:t>
      </w:r>
      <w:r w:rsidR="00403672" w:rsidRPr="009439E8">
        <w:t>HO</w:t>
      </w:r>
      <w:r w:rsidR="00C80554" w:rsidRPr="009439E8">
        <w:t xml:space="preserve"> or delegate</w:t>
      </w:r>
      <w:r w:rsidRPr="009439E8">
        <w:t xml:space="preserve"> seeks advice (</w:t>
      </w:r>
      <w:r w:rsidR="00A87ED6">
        <w:t>s</w:t>
      </w:r>
      <w:r w:rsidRPr="009439E8">
        <w:t xml:space="preserve">tage 2 or above) are discussed in detail. An update is provided on clients at </w:t>
      </w:r>
      <w:r w:rsidR="00A87ED6">
        <w:t>s</w:t>
      </w:r>
      <w:r w:rsidRPr="009439E8">
        <w:t xml:space="preserve">tage 2 or above, while those at </w:t>
      </w:r>
      <w:r w:rsidR="00A87ED6">
        <w:t>s</w:t>
      </w:r>
      <w:r w:rsidRPr="009439E8">
        <w:t>tage 1 are listed for noting only.</w:t>
      </w:r>
      <w:r w:rsidR="006A713D" w:rsidRPr="009439E8">
        <w:t xml:space="preserve"> </w:t>
      </w:r>
      <w:r w:rsidRPr="009439E8">
        <w:t>Th</w:t>
      </w:r>
      <w:r w:rsidR="006A713D" w:rsidRPr="009439E8">
        <w:t>e</w:t>
      </w:r>
      <w:r w:rsidRPr="009439E8">
        <w:t xml:space="preserve"> </w:t>
      </w:r>
      <w:r w:rsidR="00A87ED6">
        <w:t>p</w:t>
      </w:r>
      <w:r w:rsidRPr="009439E8">
        <w:t xml:space="preserve">anel is free to raise any questions in relation to client </w:t>
      </w:r>
      <w:r w:rsidR="00BE4C70" w:rsidRPr="009439E8">
        <w:t>management</w:t>
      </w:r>
      <w:r w:rsidR="00BE4C70">
        <w:t>,</w:t>
      </w:r>
      <w:r w:rsidR="00BE4C70" w:rsidRPr="009439E8">
        <w:t xml:space="preserve"> </w:t>
      </w:r>
      <w:r w:rsidRPr="009439E8">
        <w:t xml:space="preserve">and the </w:t>
      </w:r>
      <w:r w:rsidR="00A87ED6">
        <w:t>c</w:t>
      </w:r>
      <w:r w:rsidRPr="009439E8">
        <w:t xml:space="preserve">hair of the </w:t>
      </w:r>
      <w:r w:rsidR="00A87ED6">
        <w:t>p</w:t>
      </w:r>
      <w:r w:rsidRPr="009439E8">
        <w:t xml:space="preserve">anel may consider involving other </w:t>
      </w:r>
      <w:r w:rsidR="6DBBE582">
        <w:t xml:space="preserve">health </w:t>
      </w:r>
      <w:r w:rsidRPr="009439E8">
        <w:t xml:space="preserve">professionals who may usefully inform the </w:t>
      </w:r>
      <w:r w:rsidR="00A87ED6">
        <w:t>p</w:t>
      </w:r>
      <w:r w:rsidRPr="009439E8">
        <w:t>anel’s deliberations</w:t>
      </w:r>
      <w:r w:rsidR="5FA87FAD">
        <w:t>, including advocates from the affected communities</w:t>
      </w:r>
      <w:r w:rsidRPr="009439E8">
        <w:t>.</w:t>
      </w:r>
      <w:r w:rsidR="0091586B">
        <w:t xml:space="preserve"> Where specialised scientific </w:t>
      </w:r>
      <w:r w:rsidR="001D7F6F">
        <w:t>advice</w:t>
      </w:r>
      <w:r w:rsidR="0091586B">
        <w:t xml:space="preserve"> is required, the </w:t>
      </w:r>
      <w:r w:rsidR="00FB3C1D">
        <w:t>p</w:t>
      </w:r>
      <w:r w:rsidR="0091586B">
        <w:t xml:space="preserve">anel may seek </w:t>
      </w:r>
      <w:r w:rsidR="001D7F6F">
        <w:t xml:space="preserve">specific </w:t>
      </w:r>
      <w:r w:rsidR="0091586B">
        <w:t xml:space="preserve">external </w:t>
      </w:r>
      <w:r w:rsidR="001D7F6F">
        <w:t>expertise, protecting the anonymity of clients.</w:t>
      </w:r>
    </w:p>
    <w:p w14:paraId="29D2B4B3" w14:textId="289BBDEE" w:rsidR="00795C47" w:rsidRPr="009439E8" w:rsidRDefault="00DF6A3D" w:rsidP="00CB0B20">
      <w:pPr>
        <w:pStyle w:val="DHHSbody"/>
      </w:pPr>
      <w:r w:rsidRPr="009439E8">
        <w:t>The</w:t>
      </w:r>
      <w:r w:rsidR="00403672" w:rsidRPr="009439E8">
        <w:t xml:space="preserve"> </w:t>
      </w:r>
      <w:r w:rsidRPr="009439E8">
        <w:t xml:space="preserve">CHO </w:t>
      </w:r>
      <w:r w:rsidR="00403672" w:rsidRPr="009439E8">
        <w:t xml:space="preserve">or delegate </w:t>
      </w:r>
      <w:r w:rsidRPr="009439E8">
        <w:t xml:space="preserve">attends the </w:t>
      </w:r>
      <w:r w:rsidR="00A87ED6">
        <w:t>p</w:t>
      </w:r>
      <w:r w:rsidRPr="009439E8">
        <w:t>anel meeting as an observer.</w:t>
      </w:r>
      <w:r w:rsidR="00403672" w:rsidRPr="009439E8">
        <w:t xml:space="preserve"> </w:t>
      </w:r>
      <w:r w:rsidRPr="009439E8">
        <w:t xml:space="preserve">The </w:t>
      </w:r>
      <w:r w:rsidR="00A87ED6">
        <w:t>p</w:t>
      </w:r>
      <w:r w:rsidRPr="009439E8">
        <w:t xml:space="preserve">anel’s advice and any specific requirements of the client are recorded in the </w:t>
      </w:r>
      <w:r w:rsidR="00A87ED6">
        <w:t>p</w:t>
      </w:r>
      <w:r w:rsidRPr="009439E8">
        <w:t>anel minutes. The</w:t>
      </w:r>
      <w:r w:rsidR="00403672" w:rsidRPr="009439E8">
        <w:t xml:space="preserve"> </w:t>
      </w:r>
      <w:r w:rsidRPr="009439E8">
        <w:t xml:space="preserve">CHO </w:t>
      </w:r>
      <w:r w:rsidR="00403672" w:rsidRPr="009439E8">
        <w:t xml:space="preserve">or delegate </w:t>
      </w:r>
      <w:r w:rsidRPr="009439E8">
        <w:t>considers this advice, together with any other relevant information and advice, before making a decision on further action.</w:t>
      </w:r>
      <w:r w:rsidR="006A713D" w:rsidRPr="009439E8">
        <w:t xml:space="preserve"> </w:t>
      </w:r>
      <w:r w:rsidR="00BE4C70">
        <w:t xml:space="preserve">Although </w:t>
      </w:r>
      <w:r w:rsidRPr="009439E8">
        <w:t xml:space="preserve">all clients are de-identified, </w:t>
      </w:r>
      <w:r w:rsidR="00BE4C70">
        <w:t>if</w:t>
      </w:r>
      <w:r w:rsidRPr="009439E8">
        <w:t xml:space="preserve"> a </w:t>
      </w:r>
      <w:r w:rsidR="00A87ED6">
        <w:t>p</w:t>
      </w:r>
      <w:r w:rsidRPr="009439E8">
        <w:t xml:space="preserve">anel member believes they may know the client being discussed, then this will be raised </w:t>
      </w:r>
      <w:r w:rsidR="006A713D" w:rsidRPr="009439E8">
        <w:t>as a potential conflict of interest. C</w:t>
      </w:r>
      <w:r w:rsidRPr="009439E8">
        <w:t xml:space="preserve">onsideration </w:t>
      </w:r>
      <w:r w:rsidR="006A713D" w:rsidRPr="009439E8">
        <w:t xml:space="preserve">will be </w:t>
      </w:r>
      <w:r w:rsidRPr="009439E8">
        <w:t xml:space="preserve">made by the </w:t>
      </w:r>
      <w:r w:rsidR="00A87ED6">
        <w:t>c</w:t>
      </w:r>
      <w:r w:rsidRPr="009439E8">
        <w:t>hair as to whether that member should remain in that portion of the meeting or be excused.</w:t>
      </w:r>
      <w:bookmarkStart w:id="28" w:name="_Toc20311928"/>
    </w:p>
    <w:p w14:paraId="043C3961" w14:textId="77777777" w:rsidR="00BE4C70" w:rsidRDefault="00BE4C70">
      <w:pPr>
        <w:rPr>
          <w:rStyle w:val="Heading1Char"/>
        </w:rPr>
      </w:pPr>
      <w:r>
        <w:rPr>
          <w:rStyle w:val="Heading1Char"/>
          <w:bCs w:val="0"/>
        </w:rPr>
        <w:br w:type="page"/>
      </w:r>
    </w:p>
    <w:p w14:paraId="31E561C8" w14:textId="16D4FEB6" w:rsidR="00FF59B8" w:rsidRPr="009439E8" w:rsidRDefault="00FF59B8" w:rsidP="004B2E44">
      <w:pPr>
        <w:pStyle w:val="Heading1"/>
        <w:rPr>
          <w:rStyle w:val="Heading1Char"/>
          <w:bCs/>
        </w:rPr>
      </w:pPr>
      <w:bookmarkStart w:id="29" w:name="_Toc89268509"/>
      <w:r w:rsidRPr="009439E8">
        <w:rPr>
          <w:rStyle w:val="Heading1Char"/>
          <w:bCs/>
        </w:rPr>
        <w:lastRenderedPageBreak/>
        <w:t>The f</w:t>
      </w:r>
      <w:r w:rsidR="00212D6D" w:rsidRPr="009439E8">
        <w:rPr>
          <w:rStyle w:val="Heading1Char"/>
          <w:bCs/>
        </w:rPr>
        <w:t>our</w:t>
      </w:r>
      <w:r w:rsidRPr="009439E8">
        <w:rPr>
          <w:rStyle w:val="Heading1Char"/>
          <w:bCs/>
        </w:rPr>
        <w:t>-stage approach</w:t>
      </w:r>
      <w:bookmarkEnd w:id="28"/>
      <w:bookmarkEnd w:id="29"/>
    </w:p>
    <w:p w14:paraId="47E50C59" w14:textId="1E34CAAB" w:rsidR="00FF59B8" w:rsidRPr="009439E8" w:rsidRDefault="00FF59B8" w:rsidP="00FF59B8">
      <w:pPr>
        <w:pStyle w:val="DHHSbody"/>
      </w:pPr>
      <w:r>
        <w:t>The f</w:t>
      </w:r>
      <w:r w:rsidR="002F0548">
        <w:t>our</w:t>
      </w:r>
      <w:r>
        <w:t xml:space="preserve">-stage approach uses a range of measures to </w:t>
      </w:r>
      <w:r w:rsidR="002F0548">
        <w:t>manage</w:t>
      </w:r>
      <w:r w:rsidR="33F5E4D6">
        <w:t xml:space="preserve"> and mitigate</w:t>
      </w:r>
      <w:r w:rsidR="002F0548">
        <w:t xml:space="preserve"> transmission risk </w:t>
      </w:r>
      <w:r w:rsidR="0810CCC6">
        <w:t>practices</w:t>
      </w:r>
      <w:r>
        <w:t xml:space="preserve">. The initial stages in this approach are aimed at modifying </w:t>
      </w:r>
      <w:r w:rsidR="000833E6">
        <w:t>practices</w:t>
      </w:r>
      <w:r w:rsidR="0058234E">
        <w:t xml:space="preserve"> </w:t>
      </w:r>
      <w:r>
        <w:t>with the voluntary participation of the client, while the latter involve coercive public health management powers vested in the</w:t>
      </w:r>
      <w:r w:rsidR="00FF51F8">
        <w:t xml:space="preserve"> </w:t>
      </w:r>
      <w:r w:rsidR="00D97A95">
        <w:t xml:space="preserve">CHO </w:t>
      </w:r>
      <w:r>
        <w:t>under the PHW Act. Deciding which measures are appropriate is an ongoing process. This is done through regular contact with the client</w:t>
      </w:r>
      <w:r w:rsidR="6FA0CBAD">
        <w:t xml:space="preserve"> by PNOs</w:t>
      </w:r>
      <w:r>
        <w:t>, with the agencies involved in the client’s management and, where appropriate, with the professional making the notification.</w:t>
      </w:r>
    </w:p>
    <w:p w14:paraId="58521B2E" w14:textId="47E873F9" w:rsidR="00FF59B8" w:rsidRPr="009439E8" w:rsidRDefault="00FF59B8" w:rsidP="00FF59B8">
      <w:pPr>
        <w:pStyle w:val="DHHSbody"/>
      </w:pPr>
      <w:r w:rsidRPr="009439E8">
        <w:t xml:space="preserve">If alternative effective measures are available to minimise the risk that a client poses to public health, the measure </w:t>
      </w:r>
      <w:r w:rsidR="00107401">
        <w:t>that</w:t>
      </w:r>
      <w:r w:rsidR="00107401" w:rsidRPr="009439E8">
        <w:t xml:space="preserve"> </w:t>
      </w:r>
      <w:r w:rsidRPr="009439E8">
        <w:t>is the least restrictive of the client’s rights should be chosen (s</w:t>
      </w:r>
      <w:r w:rsidR="00A1419E">
        <w:t>.</w:t>
      </w:r>
      <w:r w:rsidRPr="009439E8">
        <w:t xml:space="preserve"> 112, PHW Act). In exceptional circumstances and when required, the stages may be applied in a non-sequential order (</w:t>
      </w:r>
      <w:r w:rsidR="00107401">
        <w:t>refer to</w:t>
      </w:r>
      <w:r w:rsidR="00107401" w:rsidRPr="009439E8">
        <w:t xml:space="preserve"> </w:t>
      </w:r>
      <w:r w:rsidRPr="009439E8">
        <w:t>Figure 1).</w:t>
      </w:r>
    </w:p>
    <w:p w14:paraId="7C8EB8E1" w14:textId="6FC137DC" w:rsidR="00FF59B8" w:rsidRPr="009439E8" w:rsidRDefault="00FF59B8" w:rsidP="00FF59B8">
      <w:pPr>
        <w:pStyle w:val="DHHSbody"/>
      </w:pPr>
      <w:r w:rsidRPr="009439E8">
        <w:t xml:space="preserve">Information is collected to assess the client’s response to the </w:t>
      </w:r>
      <w:r w:rsidR="7B5979F1">
        <w:t xml:space="preserve">proposed </w:t>
      </w:r>
      <w:r w:rsidRPr="009439E8">
        <w:t>interventions. This includes:</w:t>
      </w:r>
    </w:p>
    <w:p w14:paraId="0A579783" w14:textId="1FC53F3B" w:rsidR="00FF59B8" w:rsidRPr="009439E8" w:rsidRDefault="00A87ED6" w:rsidP="00CB0B20">
      <w:pPr>
        <w:pStyle w:val="DHHSbullet1"/>
      </w:pPr>
      <w:r>
        <w:t>d</w:t>
      </w:r>
      <w:r w:rsidR="00FF59B8" w:rsidRPr="009439E8">
        <w:t xml:space="preserve">etails of ongoing specific risk </w:t>
      </w:r>
      <w:r w:rsidR="28B174A7">
        <w:t>practices</w:t>
      </w:r>
      <w:r w:rsidR="00FF59B8" w:rsidRPr="009439E8">
        <w:t xml:space="preserve"> such as </w:t>
      </w:r>
      <w:r w:rsidR="6990FCEB">
        <w:t>condomless</w:t>
      </w:r>
      <w:r w:rsidR="00FF59B8" w:rsidRPr="009439E8">
        <w:t xml:space="preserve"> sex or sharing of drug injecting equipment</w:t>
      </w:r>
    </w:p>
    <w:p w14:paraId="5D5C3529" w14:textId="382DC651" w:rsidR="00FF59B8" w:rsidRPr="009439E8" w:rsidRDefault="00A87ED6" w:rsidP="00CB0B20">
      <w:pPr>
        <w:pStyle w:val="DHHSbullet1"/>
      </w:pPr>
      <w:r>
        <w:t>a</w:t>
      </w:r>
      <w:r w:rsidR="00FF59B8" w:rsidRPr="009439E8">
        <w:t>ny evidence of HIV transmission</w:t>
      </w:r>
    </w:p>
    <w:p w14:paraId="3570450E" w14:textId="4F1DD948" w:rsidR="00FF59B8" w:rsidRPr="009439E8" w:rsidRDefault="00A87ED6" w:rsidP="00D705C9">
      <w:pPr>
        <w:pStyle w:val="DHHSbullet1lastline"/>
      </w:pPr>
      <w:r>
        <w:t>a</w:t>
      </w:r>
      <w:r w:rsidR="00FF59B8" w:rsidRPr="009439E8">
        <w:t>ssessment of social supports and welfare needs</w:t>
      </w:r>
      <w:r w:rsidR="00FF51F8" w:rsidRPr="009439E8">
        <w:t>,</w:t>
      </w:r>
      <w:r w:rsidR="00FF59B8" w:rsidRPr="009439E8">
        <w:t xml:space="preserve"> mental status and </w:t>
      </w:r>
      <w:r w:rsidR="00FF51F8" w:rsidRPr="009439E8">
        <w:t>substance</w:t>
      </w:r>
      <w:r w:rsidR="00FF59B8" w:rsidRPr="009439E8">
        <w:t xml:space="preserve"> and alcohol </w:t>
      </w:r>
      <w:r w:rsidR="1BD9A2E6">
        <w:t>use or dependence.</w:t>
      </w:r>
    </w:p>
    <w:p w14:paraId="78CFC1B8" w14:textId="3BC61CF8" w:rsidR="00FF59B8" w:rsidRPr="009439E8" w:rsidRDefault="00FF59B8" w:rsidP="00D705C9">
      <w:pPr>
        <w:pStyle w:val="DHHSbody"/>
      </w:pPr>
      <w:r w:rsidRPr="009439E8">
        <w:t>The PNOs</w:t>
      </w:r>
      <w:r w:rsidR="00CF07B5" w:rsidRPr="009439E8">
        <w:t xml:space="preserve"> or </w:t>
      </w:r>
      <w:r w:rsidRPr="009439E8">
        <w:t xml:space="preserve">the </w:t>
      </w:r>
      <w:r w:rsidR="00107401">
        <w:t>m</w:t>
      </w:r>
      <w:r w:rsidRPr="00470E40">
        <w:t>edical</w:t>
      </w:r>
      <w:r w:rsidRPr="009439E8">
        <w:t xml:space="preserve"> </w:t>
      </w:r>
      <w:r w:rsidR="00107401">
        <w:t>a</w:t>
      </w:r>
      <w:r w:rsidRPr="009439E8">
        <w:t>dvisor of the Partner Notification and Support Unit</w:t>
      </w:r>
      <w:r w:rsidR="00CF07B5" w:rsidRPr="009439E8">
        <w:t xml:space="preserve"> (</w:t>
      </w:r>
      <w:r w:rsidR="00107401">
        <w:t>refer to</w:t>
      </w:r>
      <w:r w:rsidR="00107401" w:rsidRPr="009439E8">
        <w:t xml:space="preserve"> </w:t>
      </w:r>
      <w:r w:rsidR="00A87ED6">
        <w:t>s</w:t>
      </w:r>
      <w:r w:rsidRPr="009439E8">
        <w:t xml:space="preserve">tage 2) may liaise with treating clinicians or services to assess the prevailing risks in developing or coordinating management plans to modify risk </w:t>
      </w:r>
      <w:r w:rsidR="2D1AF509">
        <w:t xml:space="preserve">practices </w:t>
      </w:r>
      <w:r w:rsidRPr="009439E8">
        <w:t>and address their underlying drivers.</w:t>
      </w:r>
    </w:p>
    <w:p w14:paraId="36B8B675" w14:textId="3F192D51" w:rsidR="00FF59B8" w:rsidRPr="009439E8" w:rsidRDefault="00FF59B8" w:rsidP="00FF59B8">
      <w:pPr>
        <w:pStyle w:val="DHHSbody"/>
      </w:pPr>
      <w:r w:rsidRPr="009439E8">
        <w:t xml:space="preserve">The decision to escalate the public health response to higher stages is made if there is an ongoing pattern of </w:t>
      </w:r>
      <w:r w:rsidR="2A6E7F17">
        <w:t xml:space="preserve">practices </w:t>
      </w:r>
      <w:r w:rsidRPr="009439E8">
        <w:t>that puts others at risk of HIV infection. This may also be considered if there is an ongoing failure of the client to undertake the required actions to enable the</w:t>
      </w:r>
      <w:r w:rsidR="00FF51F8" w:rsidRPr="009439E8">
        <w:t xml:space="preserve"> </w:t>
      </w:r>
      <w:r w:rsidR="00D97A95" w:rsidRPr="009439E8">
        <w:t>CHO</w:t>
      </w:r>
      <w:r w:rsidR="0056507B" w:rsidRPr="009439E8">
        <w:t xml:space="preserve"> or delegate </w:t>
      </w:r>
      <w:r w:rsidRPr="009439E8">
        <w:t xml:space="preserve">to adequately monitor their risk. Isolation and detention </w:t>
      </w:r>
      <w:r w:rsidR="005F7D64">
        <w:t>are</w:t>
      </w:r>
      <w:r w:rsidRPr="009439E8">
        <w:t xml:space="preserve"> rarely required and </w:t>
      </w:r>
      <w:r w:rsidR="005F7D64">
        <w:t>are</w:t>
      </w:r>
      <w:r w:rsidRPr="009439E8">
        <w:t xml:space="preserve"> always a last resort.</w:t>
      </w:r>
    </w:p>
    <w:p w14:paraId="673C7447" w14:textId="77777777" w:rsidR="00FF59B8" w:rsidRPr="009439E8" w:rsidRDefault="00FF59B8" w:rsidP="00FF59B8">
      <w:pPr>
        <w:pStyle w:val="DHHSbody"/>
      </w:pPr>
      <w:r w:rsidRPr="009439E8">
        <w:t>At each stage of this process the following fundamental questions are considered:</w:t>
      </w:r>
    </w:p>
    <w:p w14:paraId="1545B677" w14:textId="77777777" w:rsidR="00FF59B8" w:rsidRPr="009439E8" w:rsidRDefault="00FF59B8" w:rsidP="00CB0B20">
      <w:pPr>
        <w:pStyle w:val="DHHSbullet1"/>
      </w:pPr>
      <w:r w:rsidRPr="009439E8">
        <w:t>Have all voluntary options for the previous stage been exhausted?</w:t>
      </w:r>
    </w:p>
    <w:p w14:paraId="2E75B192" w14:textId="5EA4AA21" w:rsidR="00FF59B8" w:rsidRPr="009439E8" w:rsidRDefault="00FF59B8" w:rsidP="00CB0B20">
      <w:pPr>
        <w:pStyle w:val="DHHSbullet1"/>
      </w:pPr>
      <w:r w:rsidRPr="009439E8">
        <w:t xml:space="preserve">Have previous stages failed to modify </w:t>
      </w:r>
      <w:r w:rsidR="004B0237">
        <w:t>practices</w:t>
      </w:r>
      <w:r w:rsidR="0058234E">
        <w:t xml:space="preserve"> </w:t>
      </w:r>
      <w:r w:rsidRPr="009439E8">
        <w:t>and why?</w:t>
      </w:r>
    </w:p>
    <w:p w14:paraId="742A0CAC" w14:textId="3E314522" w:rsidR="00FF59B8" w:rsidRPr="009439E8" w:rsidRDefault="0024659A" w:rsidP="00D705C9">
      <w:pPr>
        <w:pStyle w:val="DHHSbullet1lastline"/>
      </w:pPr>
      <w:r>
        <w:t>Does the</w:t>
      </w:r>
      <w:r w:rsidR="00FF59B8" w:rsidRPr="009439E8">
        <w:t xml:space="preserve"> client continue </w:t>
      </w:r>
      <w:r w:rsidR="00F73487" w:rsidRPr="009439E8">
        <w:t xml:space="preserve">to </w:t>
      </w:r>
      <w:r w:rsidR="0056507B" w:rsidRPr="009439E8">
        <w:t xml:space="preserve">engage in HIV transmission </w:t>
      </w:r>
      <w:r w:rsidR="00FF59B8" w:rsidRPr="009439E8">
        <w:t xml:space="preserve">risk </w:t>
      </w:r>
      <w:r w:rsidR="0C990E6C">
        <w:t>practices</w:t>
      </w:r>
      <w:r w:rsidR="00FF59B8" w:rsidRPr="009439E8">
        <w:t>?</w:t>
      </w:r>
    </w:p>
    <w:p w14:paraId="4EB3F7B6" w14:textId="6E1FA175" w:rsidR="00FF59B8" w:rsidRPr="009439E8" w:rsidRDefault="4E199861" w:rsidP="00D705C9">
      <w:pPr>
        <w:pStyle w:val="DHHSbody"/>
      </w:pPr>
      <w:r>
        <w:t xml:space="preserve">When clients are </w:t>
      </w:r>
      <w:r w:rsidRPr="00470E40">
        <w:t>engaged</w:t>
      </w:r>
      <w:r>
        <w:t xml:space="preserve"> in the following</w:t>
      </w:r>
      <w:r w:rsidR="00FF59B8" w:rsidRPr="009439E8">
        <w:t xml:space="preserve"> f</w:t>
      </w:r>
      <w:r w:rsidR="00FF51F8" w:rsidRPr="009439E8">
        <w:t>our</w:t>
      </w:r>
      <w:r w:rsidR="00FF59B8" w:rsidRPr="009439E8">
        <w:t xml:space="preserve">-stage approach, the PNOs maintain regular contact with the client. In practice, this may mean frequent </w:t>
      </w:r>
      <w:r w:rsidR="000D25CF" w:rsidRPr="009439E8">
        <w:t xml:space="preserve">contact </w:t>
      </w:r>
      <w:r w:rsidR="00FF59B8" w:rsidRPr="009439E8">
        <w:t xml:space="preserve">until the client’s </w:t>
      </w:r>
      <w:r w:rsidR="78347BAA">
        <w:t xml:space="preserve">HIV clinical </w:t>
      </w:r>
      <w:r w:rsidR="00FF59B8" w:rsidRPr="009439E8">
        <w:t xml:space="preserve">management </w:t>
      </w:r>
      <w:r w:rsidR="001D761C">
        <w:t>stabilises</w:t>
      </w:r>
      <w:r w:rsidR="00FF59B8" w:rsidRPr="009439E8">
        <w:t>.</w:t>
      </w:r>
    </w:p>
    <w:p w14:paraId="2DE8DAA1" w14:textId="77777777" w:rsidR="00A87ED6" w:rsidRDefault="00A87ED6">
      <w:pPr>
        <w:rPr>
          <w:rFonts w:ascii="Arial" w:eastAsia="Arial" w:hAnsi="Arial"/>
          <w:b/>
        </w:rPr>
      </w:pPr>
      <w:r>
        <w:rPr>
          <w:rFonts w:eastAsia="Arial"/>
        </w:rPr>
        <w:br w:type="page"/>
      </w:r>
    </w:p>
    <w:p w14:paraId="5F20CB3D" w14:textId="2EDF8330" w:rsidR="00772893" w:rsidRPr="009439E8" w:rsidRDefault="00A87ED6" w:rsidP="00D705C9">
      <w:pPr>
        <w:pStyle w:val="DHHSfigurecaption"/>
      </w:pPr>
      <w:r w:rsidRPr="009439E8">
        <w:rPr>
          <w:rFonts w:eastAsia="Arial"/>
        </w:rPr>
        <w:lastRenderedPageBreak/>
        <w:t>Figure 1: The four-stage approach</w:t>
      </w:r>
      <w:r w:rsidR="00107401">
        <w:rPr>
          <w:rFonts w:eastAsia="Arial"/>
        </w:rPr>
        <w:t xml:space="preserve"> to client management</w:t>
      </w:r>
    </w:p>
    <w:p w14:paraId="058B10E2" w14:textId="66B78F7B" w:rsidR="00772893" w:rsidRPr="009439E8" w:rsidRDefault="005826D2" w:rsidP="00772893">
      <w:pPr>
        <w:spacing w:line="296" w:lineRule="auto"/>
        <w:ind w:right="104"/>
        <w:jc w:val="both"/>
      </w:pPr>
      <w:r>
        <w:object w:dxaOrig="10321" w:dyaOrig="10246" w14:anchorId="1180E1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447pt" o:ole="">
            <v:imagedata r:id="rId17" o:title=""/>
          </v:shape>
          <o:OLEObject Type="Embed" ProgID="Visio.Drawing.11" ShapeID="_x0000_i1025" DrawAspect="Content" ObjectID="_1703074551" r:id="rId18"/>
        </w:object>
      </w:r>
    </w:p>
    <w:p w14:paraId="7CBB844B" w14:textId="34850A7F" w:rsidR="00FF59B8" w:rsidRPr="009439E8" w:rsidRDefault="00FF59B8" w:rsidP="00FF59B8">
      <w:pPr>
        <w:rPr>
          <w:rFonts w:ascii="Arial" w:eastAsia="Arial" w:hAnsi="Arial"/>
          <w:b/>
          <w:color w:val="006FB7"/>
          <w:sz w:val="28"/>
          <w:szCs w:val="28"/>
        </w:rPr>
      </w:pPr>
      <w:r w:rsidRPr="009439E8">
        <w:rPr>
          <w:rFonts w:eastAsia="Arial"/>
        </w:rPr>
        <w:br w:type="page"/>
      </w:r>
    </w:p>
    <w:p w14:paraId="40CF3DD0" w14:textId="4FB892FE" w:rsidR="00FF59B8" w:rsidRPr="009439E8" w:rsidRDefault="00FF59B8" w:rsidP="004B2E44">
      <w:pPr>
        <w:pStyle w:val="Heading2"/>
        <w:rPr>
          <w:rFonts w:eastAsia="Arial"/>
        </w:rPr>
      </w:pPr>
      <w:bookmarkStart w:id="30" w:name="_Toc20311929"/>
      <w:bookmarkStart w:id="31" w:name="_Toc89268510"/>
      <w:r w:rsidRPr="009439E8">
        <w:rPr>
          <w:rFonts w:eastAsia="Arial"/>
        </w:rPr>
        <w:lastRenderedPageBreak/>
        <w:t>Stage 1</w:t>
      </w:r>
      <w:r w:rsidR="00A87ED6">
        <w:rPr>
          <w:rFonts w:eastAsia="Arial"/>
        </w:rPr>
        <w:t xml:space="preserve">: </w:t>
      </w:r>
      <w:r w:rsidRPr="009439E8">
        <w:rPr>
          <w:rFonts w:eastAsia="Arial"/>
        </w:rPr>
        <w:t>Counselling, education and support</w:t>
      </w:r>
      <w:bookmarkEnd w:id="30"/>
      <w:bookmarkEnd w:id="31"/>
    </w:p>
    <w:p w14:paraId="67338720" w14:textId="70ADF5A7" w:rsidR="00FF59B8" w:rsidRPr="009439E8" w:rsidRDefault="00FF59B8" w:rsidP="00FF59B8">
      <w:pPr>
        <w:pStyle w:val="DHHSbody"/>
      </w:pPr>
      <w:r w:rsidRPr="009439E8">
        <w:t>Counselling, education and support are the first steps in manag</w:t>
      </w:r>
      <w:r w:rsidR="00FF51F8" w:rsidRPr="009439E8">
        <w:t xml:space="preserve">ing </w:t>
      </w:r>
      <w:r w:rsidRPr="009439E8">
        <w:t xml:space="preserve">HIV </w:t>
      </w:r>
      <w:r w:rsidR="00FF51F8" w:rsidRPr="009439E8">
        <w:t xml:space="preserve">transmission risk </w:t>
      </w:r>
      <w:r w:rsidR="00D75BE0">
        <w:t>practices</w:t>
      </w:r>
      <w:r w:rsidR="00FF51F8" w:rsidRPr="009439E8">
        <w:t xml:space="preserve">. </w:t>
      </w:r>
      <w:r w:rsidRPr="009439E8">
        <w:t xml:space="preserve">Where possible, these services should be provided as extensions of services already </w:t>
      </w:r>
      <w:r w:rsidR="00F73487" w:rsidRPr="009439E8">
        <w:t>being received by the person</w:t>
      </w:r>
      <w:r w:rsidRPr="009439E8">
        <w:t xml:space="preserve">, but </w:t>
      </w:r>
      <w:r w:rsidR="28E7C1D8">
        <w:t xml:space="preserve">in a </w:t>
      </w:r>
      <w:r w:rsidRPr="009439E8">
        <w:t>more concentrated</w:t>
      </w:r>
      <w:r w:rsidR="45FF98BF">
        <w:t xml:space="preserve"> for</w:t>
      </w:r>
      <w:r w:rsidR="2B4AF85C">
        <w:t>m, with greater</w:t>
      </w:r>
      <w:r w:rsidR="006F683C">
        <w:t xml:space="preserve"> </w:t>
      </w:r>
      <w:r>
        <w:t>specific</w:t>
      </w:r>
      <w:r w:rsidR="06029F81">
        <w:t>ity</w:t>
      </w:r>
      <w:r w:rsidRPr="009439E8">
        <w:t xml:space="preserve"> and </w:t>
      </w:r>
      <w:r w:rsidR="4887BE00">
        <w:t xml:space="preserve">more </w:t>
      </w:r>
      <w:r w:rsidRPr="009439E8">
        <w:t>extensively resourced. Regular and intensive counselling should be encouraged and should be initially directed towards building a relationship that enables the counsellor to address the client’s circumstances.</w:t>
      </w:r>
    </w:p>
    <w:p w14:paraId="3ED3BC4E" w14:textId="5376FFEC" w:rsidR="00FF59B8" w:rsidRPr="009439E8" w:rsidRDefault="00FF59B8" w:rsidP="00FF59B8">
      <w:pPr>
        <w:pStyle w:val="DHHSbody"/>
        <w:rPr>
          <w:rFonts w:eastAsia="Arial" w:cs="Arial"/>
        </w:rPr>
      </w:pPr>
      <w:r w:rsidRPr="009439E8">
        <w:t xml:space="preserve">PNOs play an important role in case coordination. In most instances they will have established a relationship with the client and will coordinate counselling services and specific interventions. Although PNOs do not provide therapeutic counselling, they provide support and play a role in reinforcing appropriate </w:t>
      </w:r>
      <w:r w:rsidR="5D2ADE2E">
        <w:t>HIV risk management</w:t>
      </w:r>
      <w:r>
        <w:t>.</w:t>
      </w:r>
    </w:p>
    <w:p w14:paraId="5BEBC278" w14:textId="1744F5B3" w:rsidR="00FF59B8" w:rsidRPr="009439E8" w:rsidRDefault="00FF59B8" w:rsidP="00FF59B8">
      <w:pPr>
        <w:pStyle w:val="DHHSbody"/>
      </w:pPr>
      <w:r w:rsidRPr="009439E8">
        <w:t>All interventions are tailored to address the client’s needs and take into account their age, health, socioeconomic status, cultural background and level of social and cognitive functioning.</w:t>
      </w:r>
    </w:p>
    <w:p w14:paraId="7E905007" w14:textId="4B929C42" w:rsidR="00FF59B8" w:rsidRPr="009439E8" w:rsidRDefault="00FF59B8" w:rsidP="00FF59B8">
      <w:pPr>
        <w:pStyle w:val="DHHSbody"/>
      </w:pPr>
      <w:r w:rsidRPr="009439E8">
        <w:t xml:space="preserve">At this stage, the client voluntarily undertakes action to modify their </w:t>
      </w:r>
      <w:r w:rsidR="00225EEF">
        <w:t xml:space="preserve">practices </w:t>
      </w:r>
      <w:r w:rsidRPr="009439E8">
        <w:t xml:space="preserve">and </w:t>
      </w:r>
      <w:r w:rsidR="3E32F20C">
        <w:t>there are</w:t>
      </w:r>
      <w:r w:rsidRPr="009439E8">
        <w:t xml:space="preserve"> no specific requirements placed upon them. </w:t>
      </w:r>
      <w:r w:rsidR="004D23C3">
        <w:t>P</w:t>
      </w:r>
      <w:r w:rsidRPr="009439E8">
        <w:t>eer support and case conferences with other agencies will be undertaken as necessary.</w:t>
      </w:r>
    </w:p>
    <w:p w14:paraId="20CC2D4E" w14:textId="7AB3FEA0" w:rsidR="00FF59B8" w:rsidRPr="009439E8" w:rsidRDefault="00FF59B8" w:rsidP="00FF59B8">
      <w:pPr>
        <w:pStyle w:val="DHHSbody"/>
      </w:pPr>
      <w:r w:rsidRPr="009439E8">
        <w:t xml:space="preserve">During </w:t>
      </w:r>
      <w:r w:rsidR="004D23C3">
        <w:t>s</w:t>
      </w:r>
      <w:r w:rsidRPr="009439E8">
        <w:t xml:space="preserve">tage 1, PNOs provide support to the client’s primary care provider and clarify if </w:t>
      </w:r>
      <w:r w:rsidR="00FF51F8" w:rsidRPr="009439E8">
        <w:t xml:space="preserve">a </w:t>
      </w:r>
      <w:r w:rsidRPr="009439E8">
        <w:t xml:space="preserve">more specific intervention is required. Where required, PNOs may assist </w:t>
      </w:r>
      <w:r w:rsidR="004D23C3">
        <w:t xml:space="preserve">in </w:t>
      </w:r>
      <w:r w:rsidRPr="009439E8">
        <w:t>referr</w:t>
      </w:r>
      <w:r w:rsidR="004D23C3">
        <w:t>ing</w:t>
      </w:r>
      <w:r w:rsidRPr="009439E8">
        <w:t xml:space="preserve"> the client for:</w:t>
      </w:r>
    </w:p>
    <w:p w14:paraId="53F2C222" w14:textId="2EE47AA1" w:rsidR="00FF59B8" w:rsidRPr="00483E37" w:rsidRDefault="00A87ED6" w:rsidP="00FF59B8">
      <w:pPr>
        <w:pStyle w:val="DHHSbullet1"/>
      </w:pPr>
      <w:r>
        <w:t>c</w:t>
      </w:r>
      <w:r w:rsidR="00FF59B8" w:rsidRPr="00483E37">
        <w:t xml:space="preserve">ounselling services to understand aspects of sexuality, improve skills around HIV status disclosure or negotiating </w:t>
      </w:r>
      <w:r w:rsidR="000B35AC" w:rsidRPr="00483E37">
        <w:t>condom use</w:t>
      </w:r>
      <w:r w:rsidR="00FF59B8" w:rsidRPr="00483E37">
        <w:t xml:space="preserve">, or to help manage particular </w:t>
      </w:r>
      <w:r w:rsidR="4EB3E10C" w:rsidRPr="00483E37">
        <w:t>practices with a higher risk of HIV transmission</w:t>
      </w:r>
    </w:p>
    <w:p w14:paraId="230E6B8E" w14:textId="76CA0A56" w:rsidR="00FF59B8" w:rsidRPr="009439E8" w:rsidRDefault="00A87ED6" w:rsidP="00FF59B8">
      <w:pPr>
        <w:pStyle w:val="DHHSbullet1"/>
      </w:pPr>
      <w:r>
        <w:t>s</w:t>
      </w:r>
      <w:r w:rsidR="00FF59B8" w:rsidRPr="009439E8">
        <w:t>upport from peer</w:t>
      </w:r>
      <w:r w:rsidR="006D2173" w:rsidRPr="009439E8">
        <w:t>-</w:t>
      </w:r>
      <w:r w:rsidR="00FF59B8" w:rsidRPr="009439E8">
        <w:t>based organisations</w:t>
      </w:r>
    </w:p>
    <w:p w14:paraId="7B40F69B" w14:textId="2D60ED93" w:rsidR="00FF59B8" w:rsidRPr="009439E8" w:rsidRDefault="00A87ED6" w:rsidP="00FF59B8">
      <w:pPr>
        <w:pStyle w:val="DHHSbullet1"/>
      </w:pPr>
      <w:r>
        <w:t>a</w:t>
      </w:r>
      <w:r w:rsidR="00FF59B8" w:rsidRPr="009439E8">
        <w:t>ccess to condoms and safe injecting equipment</w:t>
      </w:r>
    </w:p>
    <w:p w14:paraId="06419837" w14:textId="678AEF5D" w:rsidR="00FF59B8" w:rsidRPr="009439E8" w:rsidRDefault="00A87ED6" w:rsidP="00FF59B8">
      <w:pPr>
        <w:pStyle w:val="DHHSbullet1"/>
      </w:pPr>
      <w:r>
        <w:t>m</w:t>
      </w:r>
      <w:r w:rsidR="00FF59B8" w:rsidRPr="009439E8">
        <w:t>edical, psychological, psychiatric and drug and alcohol services</w:t>
      </w:r>
    </w:p>
    <w:p w14:paraId="1D792BDB" w14:textId="1EBCC699" w:rsidR="00FF59B8" w:rsidRPr="009439E8" w:rsidRDefault="00A87ED6" w:rsidP="00FF59B8">
      <w:pPr>
        <w:pStyle w:val="DHHSbullet1"/>
      </w:pPr>
      <w:r>
        <w:t>h</w:t>
      </w:r>
      <w:r w:rsidR="00FF59B8" w:rsidRPr="009439E8">
        <w:t>ousing or supported accommodation</w:t>
      </w:r>
    </w:p>
    <w:p w14:paraId="3E262397" w14:textId="7F53F5B1" w:rsidR="00FF59B8" w:rsidRPr="000E2E09" w:rsidRDefault="00A87ED6" w:rsidP="000E2E09">
      <w:pPr>
        <w:pStyle w:val="DHHSbullet1"/>
        <w:rPr>
          <w:rFonts w:eastAsia="Arial" w:cs="Arial"/>
        </w:rPr>
      </w:pPr>
      <w:r>
        <w:t>j</w:t>
      </w:r>
      <w:r w:rsidR="00FF59B8" w:rsidRPr="009439E8">
        <w:t>ob training and placement</w:t>
      </w:r>
    </w:p>
    <w:p w14:paraId="22E77960" w14:textId="12DC37B0" w:rsidR="00FF59B8" w:rsidRPr="009439E8" w:rsidRDefault="00A87ED6" w:rsidP="00FF59B8">
      <w:pPr>
        <w:pStyle w:val="DHHSbullet1"/>
      </w:pPr>
      <w:r>
        <w:t>f</w:t>
      </w:r>
      <w:r w:rsidR="00FF59B8" w:rsidRPr="009439E8">
        <w:t>inancial assistance</w:t>
      </w:r>
    </w:p>
    <w:p w14:paraId="25282607" w14:textId="2551286A" w:rsidR="00FF59B8" w:rsidRPr="009439E8" w:rsidRDefault="00A87ED6" w:rsidP="00D705C9">
      <w:pPr>
        <w:pStyle w:val="DHHSbullet1lastline"/>
      </w:pPr>
      <w:r>
        <w:t>h</w:t>
      </w:r>
      <w:r w:rsidR="00FF59B8" w:rsidRPr="009439E8">
        <w:t>ome care support such as shopping, cooking and cleaning.</w:t>
      </w:r>
    </w:p>
    <w:p w14:paraId="26B8299E" w14:textId="28F3C103" w:rsidR="00FF59B8" w:rsidRPr="009439E8" w:rsidRDefault="00FF59B8" w:rsidP="00D705C9">
      <w:pPr>
        <w:pStyle w:val="DHHSbody"/>
      </w:pPr>
      <w:r w:rsidRPr="009439E8">
        <w:t xml:space="preserve">If the client does not voluntarily engage with PNOs in assessing and monitoring their risks, then the </w:t>
      </w:r>
      <w:r w:rsidR="000B35AC">
        <w:t>CHO</w:t>
      </w:r>
      <w:r w:rsidR="0056507B" w:rsidRPr="009439E8">
        <w:t xml:space="preserve"> or delegate </w:t>
      </w:r>
      <w:r w:rsidRPr="009439E8">
        <w:t>may require them to meet with PNOs un</w:t>
      </w:r>
      <w:r w:rsidR="00A7177C" w:rsidRPr="009439E8">
        <w:t xml:space="preserve">der </w:t>
      </w:r>
      <w:r w:rsidRPr="009439E8">
        <w:t xml:space="preserve">the authority </w:t>
      </w:r>
      <w:r w:rsidR="00A7177C" w:rsidRPr="009439E8">
        <w:t>of a letter of warning (</w:t>
      </w:r>
      <w:r w:rsidR="00080371">
        <w:t>refer to s</w:t>
      </w:r>
      <w:r w:rsidR="00A7177C" w:rsidRPr="009439E8">
        <w:t>tage 2b) or</w:t>
      </w:r>
      <w:r w:rsidR="000B35AC">
        <w:t>,</w:t>
      </w:r>
      <w:r w:rsidR="00A7177C" w:rsidRPr="009439E8">
        <w:t xml:space="preserve"> if required</w:t>
      </w:r>
      <w:r w:rsidR="000B35AC">
        <w:t>,</w:t>
      </w:r>
      <w:r w:rsidR="00A7177C" w:rsidRPr="009439E8">
        <w:t xml:space="preserve"> under a</w:t>
      </w:r>
      <w:r w:rsidRPr="009439E8">
        <w:t xml:space="preserve"> public health behavioural order (</w:t>
      </w:r>
      <w:r w:rsidR="00080371">
        <w:t>refer to s</w:t>
      </w:r>
      <w:r w:rsidRPr="009439E8">
        <w:t>tage 4).</w:t>
      </w:r>
    </w:p>
    <w:p w14:paraId="52824889" w14:textId="7CB16FF6" w:rsidR="00FF59B8" w:rsidRPr="009439E8" w:rsidRDefault="00FF59B8" w:rsidP="004F085C">
      <w:pPr>
        <w:pStyle w:val="Heading2"/>
      </w:pPr>
      <w:bookmarkStart w:id="32" w:name="_Toc20311930"/>
      <w:bookmarkStart w:id="33" w:name="_Toc89268511"/>
      <w:r w:rsidRPr="009439E8">
        <w:rPr>
          <w:rFonts w:eastAsia="Arial"/>
        </w:rPr>
        <w:t>Stage 2</w:t>
      </w:r>
      <w:r w:rsidR="00FE4631" w:rsidRPr="009439E8">
        <w:rPr>
          <w:rFonts w:eastAsia="Arial"/>
        </w:rPr>
        <w:t>a</w:t>
      </w:r>
      <w:r w:rsidR="00A87ED6">
        <w:rPr>
          <w:rFonts w:eastAsia="Arial"/>
        </w:rPr>
        <w:t>:</w:t>
      </w:r>
      <w:r w:rsidRPr="009439E8">
        <w:rPr>
          <w:rFonts w:eastAsia="Arial"/>
        </w:rPr>
        <w:t xml:space="preserve"> Counselling, education and support under advice from the HIV Case Advisory Panel or the Chief Health Officer</w:t>
      </w:r>
      <w:bookmarkEnd w:id="32"/>
      <w:bookmarkEnd w:id="33"/>
    </w:p>
    <w:p w14:paraId="5297C359" w14:textId="1BD81CBD" w:rsidR="0029351F" w:rsidRPr="009439E8" w:rsidRDefault="00FF59B8" w:rsidP="00C85E30">
      <w:pPr>
        <w:pStyle w:val="DHHSbody"/>
      </w:pPr>
      <w:r w:rsidRPr="009439E8">
        <w:t xml:space="preserve">The </w:t>
      </w:r>
      <w:r w:rsidR="000B35AC">
        <w:t>CHO</w:t>
      </w:r>
      <w:r w:rsidR="00093E18" w:rsidRPr="009439E8">
        <w:t xml:space="preserve"> or delegate</w:t>
      </w:r>
      <w:r w:rsidR="00FF51F8" w:rsidRPr="009439E8">
        <w:t xml:space="preserve"> </w:t>
      </w:r>
      <w:r w:rsidRPr="009439E8">
        <w:t xml:space="preserve">assesses the response to </w:t>
      </w:r>
      <w:r w:rsidR="00A87ED6">
        <w:t>s</w:t>
      </w:r>
      <w:r w:rsidRPr="009439E8">
        <w:t>tage 1 measures and</w:t>
      </w:r>
      <w:r w:rsidR="00080371">
        <w:t>,</w:t>
      </w:r>
      <w:r w:rsidRPr="009439E8">
        <w:t xml:space="preserve"> if it </w:t>
      </w:r>
      <w:r w:rsidR="286483AC">
        <w:t>appears</w:t>
      </w:r>
      <w:r w:rsidRPr="009439E8">
        <w:t xml:space="preserve"> the client is not complying with these voluntary measures, or that the measures have not resulted in any meaningful or sustained </w:t>
      </w:r>
      <w:r w:rsidR="5319BFB7">
        <w:t>change in risk practices</w:t>
      </w:r>
      <w:r w:rsidRPr="009439E8">
        <w:t xml:space="preserve">, then </w:t>
      </w:r>
      <w:r w:rsidR="1F6419EA">
        <w:t>the CHO</w:t>
      </w:r>
      <w:r w:rsidR="00093E18" w:rsidRPr="009439E8">
        <w:t xml:space="preserve"> </w:t>
      </w:r>
      <w:r w:rsidRPr="009439E8">
        <w:t>may direct PNOs to undertake further action</w:t>
      </w:r>
      <w:r w:rsidR="13891018">
        <w:t xml:space="preserve">, </w:t>
      </w:r>
      <w:r w:rsidRPr="009439E8">
        <w:t>seek advice from the HIV Case Advisory Panel</w:t>
      </w:r>
      <w:r w:rsidR="3F972944">
        <w:t xml:space="preserve"> and issue</w:t>
      </w:r>
      <w:r w:rsidR="00286E98" w:rsidRPr="009439E8">
        <w:t xml:space="preserve"> a l</w:t>
      </w:r>
      <w:r w:rsidR="0029351F" w:rsidRPr="009439E8">
        <w:t xml:space="preserve">etter of warning </w:t>
      </w:r>
      <w:r w:rsidR="4A50B1ED">
        <w:t>that</w:t>
      </w:r>
      <w:r w:rsidR="00286E98" w:rsidRPr="009439E8">
        <w:t xml:space="preserve"> the </w:t>
      </w:r>
      <w:r w:rsidR="0029351F" w:rsidRPr="009439E8">
        <w:t>next step</w:t>
      </w:r>
      <w:r w:rsidR="00286E98" w:rsidRPr="009439E8">
        <w:t xml:space="preserve"> will be considered. </w:t>
      </w:r>
    </w:p>
    <w:p w14:paraId="730B0FAC" w14:textId="43DEAD81" w:rsidR="00FF59B8" w:rsidRPr="009439E8" w:rsidRDefault="00FF59B8" w:rsidP="004F085C">
      <w:pPr>
        <w:pStyle w:val="Heading2"/>
        <w:rPr>
          <w:rFonts w:eastAsia="Arial"/>
        </w:rPr>
      </w:pPr>
      <w:bookmarkStart w:id="34" w:name="_Toc20311931"/>
      <w:bookmarkStart w:id="35" w:name="_Toc89268512"/>
      <w:r w:rsidRPr="009439E8">
        <w:rPr>
          <w:rFonts w:eastAsia="Arial"/>
        </w:rPr>
        <w:t xml:space="preserve">Stage </w:t>
      </w:r>
      <w:r w:rsidR="00FE4631" w:rsidRPr="009439E8">
        <w:rPr>
          <w:rFonts w:eastAsia="Arial"/>
        </w:rPr>
        <w:t>2b</w:t>
      </w:r>
      <w:r w:rsidR="00A87ED6">
        <w:rPr>
          <w:rFonts w:eastAsia="Arial"/>
        </w:rPr>
        <w:t>:</w:t>
      </w:r>
      <w:r w:rsidR="00E67876" w:rsidRPr="009439E8">
        <w:rPr>
          <w:rFonts w:eastAsia="Arial"/>
        </w:rPr>
        <w:t xml:space="preserve"> </w:t>
      </w:r>
      <w:r w:rsidRPr="009439E8">
        <w:rPr>
          <w:rFonts w:eastAsia="Arial"/>
        </w:rPr>
        <w:t>Letter of warning</w:t>
      </w:r>
      <w:bookmarkEnd w:id="34"/>
      <w:bookmarkEnd w:id="35"/>
    </w:p>
    <w:p w14:paraId="675792C9" w14:textId="418A6CDE" w:rsidR="00FF59B8" w:rsidRPr="009439E8" w:rsidRDefault="00FF59B8" w:rsidP="00FF59B8">
      <w:pPr>
        <w:pStyle w:val="DHHSbody"/>
      </w:pPr>
      <w:r w:rsidRPr="009439E8">
        <w:t xml:space="preserve">If it appears that the client is continuing to </w:t>
      </w:r>
      <w:r w:rsidR="00093E18" w:rsidRPr="009439E8">
        <w:t xml:space="preserve">engage in HIV transmission risk </w:t>
      </w:r>
      <w:r w:rsidR="7CE92AA3">
        <w:t>practices</w:t>
      </w:r>
      <w:r w:rsidRPr="009439E8">
        <w:t xml:space="preserve"> despite previous counselling, education and support, or if the situation on first contact warrants it, the </w:t>
      </w:r>
      <w:r w:rsidR="008752F1" w:rsidRPr="009439E8">
        <w:t>CHO</w:t>
      </w:r>
      <w:r w:rsidR="00093E18" w:rsidRPr="009439E8">
        <w:t xml:space="preserve"> or delegate</w:t>
      </w:r>
      <w:r w:rsidR="00AF50B8" w:rsidRPr="009439E8">
        <w:t xml:space="preserve"> </w:t>
      </w:r>
      <w:r w:rsidRPr="009439E8">
        <w:t xml:space="preserve">may issue a letter of warning. This letter advises the expectation of the </w:t>
      </w:r>
      <w:r w:rsidR="008752F1" w:rsidRPr="009439E8">
        <w:t>CHO</w:t>
      </w:r>
      <w:r w:rsidRPr="009439E8">
        <w:t xml:space="preserve"> that </w:t>
      </w:r>
      <w:r w:rsidR="00080371">
        <w:t>those</w:t>
      </w:r>
      <w:r w:rsidR="00080371" w:rsidRPr="009439E8">
        <w:t xml:space="preserve"> </w:t>
      </w:r>
      <w:r w:rsidRPr="009439E8">
        <w:t xml:space="preserve">with HIV </w:t>
      </w:r>
      <w:r w:rsidR="2156CD7F">
        <w:t>should</w:t>
      </w:r>
      <w:r>
        <w:t xml:space="preserve"> </w:t>
      </w:r>
      <w:r w:rsidRPr="009439E8">
        <w:t>take all reasonable steps to eliminate or reduce the risk of any other person contracting HIV.</w:t>
      </w:r>
    </w:p>
    <w:p w14:paraId="151C8CF7" w14:textId="767F47D4" w:rsidR="00FF59B8" w:rsidRPr="009439E8" w:rsidRDefault="00FF59B8" w:rsidP="00FF59B8">
      <w:pPr>
        <w:pStyle w:val="DHHSbody"/>
      </w:pPr>
      <w:r w:rsidRPr="009439E8">
        <w:lastRenderedPageBreak/>
        <w:t xml:space="preserve">In addition, the letter of warning describes the legal powers vested in the </w:t>
      </w:r>
      <w:r w:rsidR="00093E18" w:rsidRPr="009439E8">
        <w:t>C</w:t>
      </w:r>
      <w:r w:rsidR="008752F1" w:rsidRPr="009439E8">
        <w:t>HO</w:t>
      </w:r>
      <w:r w:rsidR="00AF50B8" w:rsidRPr="009439E8">
        <w:t xml:space="preserve"> </w:t>
      </w:r>
      <w:r w:rsidRPr="009439E8">
        <w:t>in certain specified circumstances (s</w:t>
      </w:r>
      <w:r w:rsidR="00A87ED6">
        <w:t>.</w:t>
      </w:r>
      <w:r w:rsidRPr="009439E8">
        <w:t xml:space="preserve"> 117, PHW Act) to impose public health orders and that such steps may be taken if the </w:t>
      </w:r>
      <w:r w:rsidR="00B71B70">
        <w:t>CHO</w:t>
      </w:r>
      <w:r w:rsidR="00093E18" w:rsidRPr="009439E8">
        <w:t xml:space="preserve"> </w:t>
      </w:r>
      <w:r w:rsidRPr="009439E8">
        <w:t>considers it necessary.</w:t>
      </w:r>
    </w:p>
    <w:p w14:paraId="014761E3" w14:textId="66EECAE2" w:rsidR="00FF59B8" w:rsidRPr="009439E8" w:rsidRDefault="00FF59B8" w:rsidP="00C67EE4">
      <w:pPr>
        <w:pStyle w:val="DHHSbody"/>
        <w:rPr>
          <w:b/>
          <w:color w:val="333333"/>
          <w:sz w:val="18"/>
          <w:szCs w:val="18"/>
        </w:rPr>
      </w:pPr>
      <w:r w:rsidRPr="009439E8">
        <w:t>PNOs deliver and read this letter to the client, using an interpreter where necessary to ensure this formal communication from the C</w:t>
      </w:r>
      <w:r w:rsidR="008752F1" w:rsidRPr="009439E8">
        <w:t>HO</w:t>
      </w:r>
      <w:r w:rsidRPr="009439E8">
        <w:t xml:space="preserve"> is received and understood. The letter of warning is translated into the client’s </w:t>
      </w:r>
      <w:r w:rsidR="007E6209">
        <w:t xml:space="preserve">preferred </w:t>
      </w:r>
      <w:r w:rsidRPr="009439E8">
        <w:t>language when required.</w:t>
      </w:r>
      <w:r w:rsidR="37E5EED9">
        <w:t xml:space="preserve"> I</w:t>
      </w:r>
      <w:r w:rsidR="37E5EED9" w:rsidRPr="5194269D">
        <w:t>t is important that</w:t>
      </w:r>
      <w:r w:rsidR="00F51240">
        <w:t xml:space="preserve"> the</w:t>
      </w:r>
      <w:r w:rsidR="37E5EED9" w:rsidRPr="5194269D">
        <w:t xml:space="preserve"> interpreters</w:t>
      </w:r>
      <w:r w:rsidR="00F51240">
        <w:t xml:space="preserve"> used</w:t>
      </w:r>
      <w:r w:rsidR="37E5EED9" w:rsidRPr="5194269D">
        <w:t xml:space="preserve"> are well versed in engaging</w:t>
      </w:r>
      <w:r w:rsidR="6211E73E" w:rsidRPr="5194269D">
        <w:t xml:space="preserve"> with</w:t>
      </w:r>
      <w:r w:rsidR="37E5EED9" w:rsidRPr="006F683C">
        <w:t xml:space="preserve"> culturally diverse communities including </w:t>
      </w:r>
      <w:r w:rsidR="00080371">
        <w:t xml:space="preserve">those </w:t>
      </w:r>
      <w:r w:rsidR="37E5EED9" w:rsidRPr="006F683C">
        <w:t>living with or at increased risk of HIV</w:t>
      </w:r>
      <w:r w:rsidR="37E5EED9" w:rsidRPr="5194269D">
        <w:t>.</w:t>
      </w:r>
    </w:p>
    <w:p w14:paraId="2A82E775" w14:textId="030749FE" w:rsidR="00FF59B8" w:rsidRPr="00AE4F66" w:rsidRDefault="00FF59B8" w:rsidP="004F085C">
      <w:pPr>
        <w:pStyle w:val="Heading2"/>
        <w:rPr>
          <w:rFonts w:eastAsia="Arial"/>
        </w:rPr>
      </w:pPr>
      <w:bookmarkStart w:id="36" w:name="_Toc20311932"/>
      <w:bookmarkStart w:id="37" w:name="_Toc89268513"/>
      <w:r w:rsidRPr="00AE4F66">
        <w:rPr>
          <w:rFonts w:eastAsia="Arial"/>
        </w:rPr>
        <w:t xml:space="preserve">Stage </w:t>
      </w:r>
      <w:r w:rsidR="00A20FF2" w:rsidRPr="00AE4F66">
        <w:rPr>
          <w:rFonts w:eastAsia="Arial"/>
        </w:rPr>
        <w:t>3</w:t>
      </w:r>
      <w:r w:rsidR="00A87ED6">
        <w:rPr>
          <w:rFonts w:eastAsia="Arial"/>
        </w:rPr>
        <w:t>:</w:t>
      </w:r>
      <w:r w:rsidRPr="00AE4F66">
        <w:rPr>
          <w:rFonts w:eastAsia="Arial"/>
        </w:rPr>
        <w:t xml:space="preserve"> Public </w:t>
      </w:r>
      <w:r w:rsidR="00A87ED6">
        <w:rPr>
          <w:rFonts w:eastAsia="Arial"/>
        </w:rPr>
        <w:t>h</w:t>
      </w:r>
      <w:r w:rsidRPr="00AE4F66">
        <w:rPr>
          <w:rFonts w:eastAsia="Arial"/>
        </w:rPr>
        <w:t xml:space="preserve">ealth </w:t>
      </w:r>
      <w:r w:rsidR="00A87ED6">
        <w:rPr>
          <w:rFonts w:eastAsia="Arial"/>
        </w:rPr>
        <w:t>o</w:t>
      </w:r>
      <w:r w:rsidRPr="00AE4F66">
        <w:rPr>
          <w:rFonts w:eastAsia="Arial"/>
        </w:rPr>
        <w:t>rders (</w:t>
      </w:r>
      <w:r w:rsidR="00A87ED6">
        <w:rPr>
          <w:rFonts w:eastAsia="Arial"/>
        </w:rPr>
        <w:t>b</w:t>
      </w:r>
      <w:r w:rsidRPr="00AE4F66">
        <w:rPr>
          <w:rFonts w:eastAsia="Arial"/>
        </w:rPr>
        <w:t>ehavioural)</w:t>
      </w:r>
      <w:bookmarkEnd w:id="36"/>
      <w:bookmarkEnd w:id="37"/>
    </w:p>
    <w:p w14:paraId="50C96247" w14:textId="49AE50B1" w:rsidR="00FF59B8" w:rsidRPr="009439E8" w:rsidRDefault="00FF59B8" w:rsidP="00FF59B8">
      <w:pPr>
        <w:pStyle w:val="DHHSbody"/>
      </w:pPr>
      <w:r w:rsidRPr="009439E8">
        <w:t xml:space="preserve">Where a client continues to </w:t>
      </w:r>
      <w:r w:rsidR="00093E18" w:rsidRPr="009439E8">
        <w:t xml:space="preserve">engage in HIV transmission risk </w:t>
      </w:r>
      <w:r w:rsidR="0ACB595E">
        <w:t>practices</w:t>
      </w:r>
      <w:r w:rsidRPr="009439E8">
        <w:t xml:space="preserve"> and it appears that all previous measures have been unsuccessful, </w:t>
      </w:r>
      <w:r w:rsidR="00B71B70">
        <w:t xml:space="preserve">the </w:t>
      </w:r>
      <w:r w:rsidR="00093E18" w:rsidRPr="009439E8">
        <w:t>C</w:t>
      </w:r>
      <w:r w:rsidR="008752F1" w:rsidRPr="009439E8">
        <w:t xml:space="preserve">HO </w:t>
      </w:r>
      <w:r w:rsidR="00093E18" w:rsidRPr="009439E8">
        <w:t>or delegate</w:t>
      </w:r>
      <w:r w:rsidR="008752F1" w:rsidRPr="009439E8">
        <w:t xml:space="preserve"> </w:t>
      </w:r>
      <w:r w:rsidRPr="009439E8">
        <w:t>may consider issuing a public health order under s</w:t>
      </w:r>
      <w:r w:rsidR="00A87ED6">
        <w:t>.</w:t>
      </w:r>
      <w:r w:rsidRPr="009439E8">
        <w:t xml:space="preserve"> 117 of the PHW Act.</w:t>
      </w:r>
    </w:p>
    <w:p w14:paraId="2A909E0F" w14:textId="3F5A71B7" w:rsidR="00FF59B8" w:rsidRPr="009439E8" w:rsidRDefault="00FF59B8" w:rsidP="00FF59B8">
      <w:pPr>
        <w:pStyle w:val="DHHSbody"/>
      </w:pPr>
      <w:r w:rsidRPr="009439E8">
        <w:t xml:space="preserve">Public health orders that fall under </w:t>
      </w:r>
      <w:r w:rsidR="00080371">
        <w:t>s</w:t>
      </w:r>
      <w:r w:rsidRPr="009439E8">
        <w:t xml:space="preserve">tage </w:t>
      </w:r>
      <w:r w:rsidR="00F41419" w:rsidRPr="009439E8">
        <w:t>3</w:t>
      </w:r>
      <w:r w:rsidRPr="009439E8">
        <w:t xml:space="preserve"> (behavioural orders) </w:t>
      </w:r>
      <w:r w:rsidR="00A7177C" w:rsidRPr="009439E8">
        <w:t xml:space="preserve">can </w:t>
      </w:r>
      <w:r w:rsidRPr="009439E8">
        <w:t>include orders to:</w:t>
      </w:r>
    </w:p>
    <w:p w14:paraId="090C5EEC" w14:textId="46B65524" w:rsidR="00FF59B8" w:rsidRPr="009439E8" w:rsidRDefault="00A87ED6" w:rsidP="00FF59B8">
      <w:pPr>
        <w:pStyle w:val="DHHSbullet1"/>
      </w:pPr>
      <w:r>
        <w:t>p</w:t>
      </w:r>
      <w:r w:rsidR="00FF59B8" w:rsidRPr="009439E8">
        <w:t>articipate in education or counselling</w:t>
      </w:r>
    </w:p>
    <w:p w14:paraId="3AA2436D" w14:textId="327E3116" w:rsidR="00FF59B8" w:rsidRPr="009439E8" w:rsidRDefault="00A87ED6" w:rsidP="00FF59B8">
      <w:pPr>
        <w:pStyle w:val="DHHSbullet1"/>
      </w:pPr>
      <w:r>
        <w:t>u</w:t>
      </w:r>
      <w:r w:rsidR="00FF59B8" w:rsidRPr="009439E8">
        <w:t>ndergo an assessment by a specified psychiatrist or specified neurologist</w:t>
      </w:r>
    </w:p>
    <w:p w14:paraId="7E016F35" w14:textId="34CF3B48" w:rsidR="00FF59B8" w:rsidRPr="009439E8" w:rsidRDefault="00A87ED6" w:rsidP="00FF59B8">
      <w:pPr>
        <w:pStyle w:val="DHHSbullet1"/>
      </w:pPr>
      <w:r>
        <w:t>r</w:t>
      </w:r>
      <w:r w:rsidR="00FF59B8" w:rsidRPr="009439E8">
        <w:t>efrain from carrying out certain activities</w:t>
      </w:r>
    </w:p>
    <w:p w14:paraId="18143074" w14:textId="7078E436" w:rsidR="00FF59B8" w:rsidRPr="009439E8" w:rsidRDefault="00A87ED6" w:rsidP="00FF59B8">
      <w:pPr>
        <w:pStyle w:val="DHHSbullet1"/>
      </w:pPr>
      <w:r>
        <w:t>r</w:t>
      </w:r>
      <w:r w:rsidR="00FF59B8" w:rsidRPr="009439E8">
        <w:t xml:space="preserve">efrain from specified </w:t>
      </w:r>
      <w:r w:rsidR="5DBE52A4">
        <w:t xml:space="preserve">risk </w:t>
      </w:r>
      <w:r w:rsidR="18B2B2C0">
        <w:t>practices</w:t>
      </w:r>
    </w:p>
    <w:p w14:paraId="599390B4" w14:textId="3A59F8D5" w:rsidR="00FF59B8" w:rsidRPr="009439E8" w:rsidRDefault="00A87ED6" w:rsidP="00FF59B8">
      <w:pPr>
        <w:pStyle w:val="DHHSbullet1"/>
      </w:pPr>
      <w:r>
        <w:t>r</w:t>
      </w:r>
      <w:r w:rsidR="00FF59B8" w:rsidRPr="009439E8">
        <w:t>efrain from visiting a specified place or places</w:t>
      </w:r>
    </w:p>
    <w:p w14:paraId="0D233CEF" w14:textId="64441FA9" w:rsidR="00FF59B8" w:rsidRPr="009439E8" w:rsidRDefault="00A87ED6" w:rsidP="00A7177C">
      <w:pPr>
        <w:pStyle w:val="DHHSbullet1"/>
      </w:pPr>
      <w:r>
        <w:t>r</w:t>
      </w:r>
      <w:r w:rsidR="00FF59B8" w:rsidRPr="009439E8">
        <w:t>eside at a specified place of residence at all times or during specified times</w:t>
      </w:r>
    </w:p>
    <w:p w14:paraId="1BE553C0" w14:textId="5C813C92" w:rsidR="00FF59B8" w:rsidRPr="009439E8" w:rsidRDefault="00A87ED6" w:rsidP="00FF59B8">
      <w:pPr>
        <w:pStyle w:val="DHHSbullet1"/>
      </w:pPr>
      <w:r>
        <w:t>n</w:t>
      </w:r>
      <w:r w:rsidR="00FF59B8" w:rsidRPr="009439E8">
        <w:t xml:space="preserve">otify </w:t>
      </w:r>
      <w:r w:rsidR="00093E18" w:rsidRPr="009439E8">
        <w:t>PNOs</w:t>
      </w:r>
      <w:r w:rsidR="00F41419" w:rsidRPr="009439E8">
        <w:t xml:space="preserve"> </w:t>
      </w:r>
      <w:r w:rsidR="00FF59B8" w:rsidRPr="009439E8">
        <w:t>if there is a change in name or place of residence within three days of doing so</w:t>
      </w:r>
    </w:p>
    <w:p w14:paraId="47CAA5B2" w14:textId="64FD9350" w:rsidR="00FF59B8" w:rsidRPr="009439E8" w:rsidRDefault="00A87ED6" w:rsidP="00D705C9">
      <w:pPr>
        <w:pStyle w:val="DHHSbullet1lastline"/>
      </w:pPr>
      <w:r>
        <w:t>s</w:t>
      </w:r>
      <w:r w:rsidR="00FF59B8" w:rsidRPr="009439E8">
        <w:t xml:space="preserve">ubmit to supervision by a person nominated by the </w:t>
      </w:r>
      <w:r w:rsidR="00266BCE" w:rsidRPr="009439E8">
        <w:t>C</w:t>
      </w:r>
      <w:r w:rsidR="008752F1" w:rsidRPr="009439E8">
        <w:t>HO</w:t>
      </w:r>
      <w:r w:rsidR="00266BCE" w:rsidRPr="009439E8">
        <w:t xml:space="preserve"> or delegate</w:t>
      </w:r>
      <w:r w:rsidR="008752F1" w:rsidRPr="009439E8">
        <w:t xml:space="preserve"> </w:t>
      </w:r>
      <w:r w:rsidR="00FF59B8" w:rsidRPr="009439E8">
        <w:t>by attending meetings, receiving visits or providing information relevant to the public health risk.</w:t>
      </w:r>
    </w:p>
    <w:p w14:paraId="6B915E6E" w14:textId="6F0961F1" w:rsidR="00FF59B8" w:rsidRPr="009439E8" w:rsidRDefault="00FF59B8" w:rsidP="00D705C9">
      <w:pPr>
        <w:pStyle w:val="DHHSbody"/>
      </w:pPr>
      <w:r w:rsidRPr="00470E40">
        <w:t>Such</w:t>
      </w:r>
      <w:r w:rsidRPr="009439E8">
        <w:t xml:space="preserve"> public health orders can be made for a period of up to six months from the day on which the order is made and must be proportionate to the risk that the client poses to public health (s</w:t>
      </w:r>
      <w:r w:rsidR="00A87ED6">
        <w:t>.</w:t>
      </w:r>
      <w:r w:rsidRPr="009439E8">
        <w:t xml:space="preserve"> 117(4), PHW Act).</w:t>
      </w:r>
    </w:p>
    <w:p w14:paraId="3B55DE10" w14:textId="37D1EE10" w:rsidR="00FF59B8" w:rsidRPr="009439E8" w:rsidRDefault="000E2E09" w:rsidP="00FF59B8">
      <w:pPr>
        <w:pStyle w:val="DHHSbody"/>
      </w:pPr>
      <w:r w:rsidRPr="009439E8">
        <w:t>The CHO or delegate will</w:t>
      </w:r>
      <w:r>
        <w:t xml:space="preserve"> </w:t>
      </w:r>
      <w:r w:rsidRPr="004A66F3">
        <w:t>generally</w:t>
      </w:r>
      <w:r w:rsidRPr="009439E8">
        <w:t xml:space="preserve"> review such orders at intervals of at least three months </w:t>
      </w:r>
      <w:r w:rsidR="006E38C4">
        <w:t xml:space="preserve">but no more than </w:t>
      </w:r>
      <w:r w:rsidR="00A87ED6">
        <w:t>six</w:t>
      </w:r>
      <w:r w:rsidR="006E38C4">
        <w:t xml:space="preserve"> months (as per</w:t>
      </w:r>
      <w:r w:rsidR="006E38C4" w:rsidRPr="006E38C4">
        <w:t xml:space="preserve"> </w:t>
      </w:r>
      <w:r w:rsidR="006E38C4">
        <w:t xml:space="preserve">legislative requirement </w:t>
      </w:r>
      <w:r w:rsidR="00080371">
        <w:t>[</w:t>
      </w:r>
      <w:r w:rsidR="006E38C4">
        <w:t>s</w:t>
      </w:r>
      <w:r w:rsidR="00A87ED6">
        <w:t>.</w:t>
      </w:r>
      <w:r w:rsidR="006E38C4">
        <w:t xml:space="preserve"> 117(4) of the PHW Act</w:t>
      </w:r>
      <w:r w:rsidR="00080371">
        <w:t>]</w:t>
      </w:r>
      <w:r w:rsidR="006E38C4">
        <w:t xml:space="preserve">) </w:t>
      </w:r>
      <w:r w:rsidR="00266BCE" w:rsidRPr="009439E8">
        <w:t xml:space="preserve">and </w:t>
      </w:r>
      <w:r w:rsidR="00CF07B5" w:rsidRPr="009439E8">
        <w:t>may choose</w:t>
      </w:r>
      <w:r w:rsidR="00256BB4" w:rsidRPr="009439E8">
        <w:t xml:space="preserve"> to seek </w:t>
      </w:r>
      <w:r w:rsidR="00FF59B8" w:rsidRPr="009439E8">
        <w:t xml:space="preserve">more frequent </w:t>
      </w:r>
      <w:r w:rsidR="00A87ED6">
        <w:t>p</w:t>
      </w:r>
      <w:r w:rsidR="00256BB4" w:rsidRPr="009439E8">
        <w:t xml:space="preserve">anel </w:t>
      </w:r>
      <w:r w:rsidR="00FF59B8" w:rsidRPr="009439E8">
        <w:t>reviews; however, the frequency of review depends on the individual circumstances of each case.</w:t>
      </w:r>
    </w:p>
    <w:p w14:paraId="76BA1697" w14:textId="0B4917E1" w:rsidR="000E2E09" w:rsidRPr="009439E8" w:rsidRDefault="000E2E09" w:rsidP="000E2E09">
      <w:pPr>
        <w:pStyle w:val="DHHSbody"/>
      </w:pPr>
      <w:r w:rsidRPr="009439E8">
        <w:t xml:space="preserve">All clients at </w:t>
      </w:r>
      <w:r w:rsidR="00A87ED6">
        <w:t>s</w:t>
      </w:r>
      <w:r w:rsidRPr="009439E8">
        <w:t>tage 3 will be provided with information on the PHW Act, including their rights and entitlements under the Act and the process for review</w:t>
      </w:r>
      <w:r w:rsidR="00173616">
        <w:t xml:space="preserve"> (</w:t>
      </w:r>
      <w:r w:rsidR="00A87ED6">
        <w:t>refer to</w:t>
      </w:r>
      <w:r w:rsidR="00173616">
        <w:t xml:space="preserve"> </w:t>
      </w:r>
      <w:r w:rsidR="00656ABB">
        <w:t xml:space="preserve">the </w:t>
      </w:r>
      <w:r w:rsidR="00173616" w:rsidRPr="00D705C9">
        <w:t xml:space="preserve">Appendix </w:t>
      </w:r>
      <w:r w:rsidR="00173616" w:rsidRPr="00A87ED6">
        <w:t>for</w:t>
      </w:r>
      <w:r w:rsidR="00173616">
        <w:t xml:space="preserve"> details).</w:t>
      </w:r>
      <w:r w:rsidRPr="009439E8">
        <w:t xml:space="preserve"> They will be advised to seek legal advice</w:t>
      </w:r>
      <w:r w:rsidR="00656ABB">
        <w:t>,</w:t>
      </w:r>
      <w:r w:rsidRPr="009439E8">
        <w:t xml:space="preserve"> and every effort will be made to ensure the client understands the order including, where required, using interpreters to explain the order and having the order translated into the person’s first language.</w:t>
      </w:r>
      <w:r>
        <w:t xml:space="preserve"> All </w:t>
      </w:r>
      <w:r w:rsidR="007F0C1F">
        <w:t>p</w:t>
      </w:r>
      <w:r w:rsidR="001A00A6">
        <w:t xml:space="preserve">ublic </w:t>
      </w:r>
      <w:r w:rsidR="007F0C1F">
        <w:t>h</w:t>
      </w:r>
      <w:r w:rsidR="001A00A6">
        <w:t xml:space="preserve">ealth </w:t>
      </w:r>
      <w:r w:rsidR="007F0C1F">
        <w:t>o</w:t>
      </w:r>
      <w:r w:rsidR="001A00A6">
        <w:t>rder</w:t>
      </w:r>
      <w:r>
        <w:t>s may be subject to internal and external review processes</w:t>
      </w:r>
      <w:r w:rsidR="00173616">
        <w:t xml:space="preserve">. </w:t>
      </w:r>
      <w:r>
        <w:t>In some cases, it may be appropriate for the department to involve a support person of a client where it will assist the client in understanding their rights and how to seek legal advice.</w:t>
      </w:r>
    </w:p>
    <w:p w14:paraId="4E1F0313" w14:textId="0E25D6DA" w:rsidR="00FF59B8" w:rsidRPr="009439E8" w:rsidRDefault="00FF59B8" w:rsidP="00FF59B8">
      <w:pPr>
        <w:pStyle w:val="DHHSbody"/>
      </w:pPr>
      <w:r w:rsidRPr="009439E8">
        <w:t xml:space="preserve">The </w:t>
      </w:r>
      <w:r w:rsidR="00266BCE" w:rsidRPr="009439E8">
        <w:t>C</w:t>
      </w:r>
      <w:r w:rsidR="008752F1" w:rsidRPr="009439E8">
        <w:t xml:space="preserve">HO </w:t>
      </w:r>
      <w:r w:rsidR="00266BCE" w:rsidRPr="009439E8">
        <w:t>or delegate</w:t>
      </w:r>
      <w:r w:rsidR="008752F1" w:rsidRPr="009439E8">
        <w:t xml:space="preserve"> </w:t>
      </w:r>
      <w:r w:rsidRPr="009439E8">
        <w:t xml:space="preserve">may review and extend an order by a written notice for a period not exceeding six months. The order may be extended as many times as the </w:t>
      </w:r>
      <w:r w:rsidR="00266BCE" w:rsidRPr="009439E8">
        <w:t>C</w:t>
      </w:r>
      <w:r w:rsidR="008752F1" w:rsidRPr="009439E8">
        <w:t>HO</w:t>
      </w:r>
      <w:r w:rsidR="00266BCE" w:rsidRPr="009439E8">
        <w:t xml:space="preserve"> or delegate</w:t>
      </w:r>
      <w:r w:rsidR="008752F1" w:rsidRPr="009439E8">
        <w:t xml:space="preserve"> </w:t>
      </w:r>
      <w:r w:rsidRPr="009439E8">
        <w:t xml:space="preserve">considers necessary </w:t>
      </w:r>
      <w:r w:rsidR="735F6A69">
        <w:t xml:space="preserve">consistent with the </w:t>
      </w:r>
      <w:r w:rsidR="00254EFF">
        <w:t>principles</w:t>
      </w:r>
      <w:r w:rsidR="0B58034D">
        <w:t xml:space="preserve"> of these guidelines</w:t>
      </w:r>
      <w:r>
        <w:t xml:space="preserve"> </w:t>
      </w:r>
      <w:r w:rsidRPr="009439E8">
        <w:t>(s</w:t>
      </w:r>
      <w:r w:rsidR="007F0C1F">
        <w:t>.</w:t>
      </w:r>
      <w:r w:rsidRPr="009439E8">
        <w:t xml:space="preserve"> 118(6), PHW Act).</w:t>
      </w:r>
    </w:p>
    <w:p w14:paraId="3EF2D783" w14:textId="5CB020F1" w:rsidR="00FF59B8" w:rsidRPr="009439E8" w:rsidRDefault="00FF59B8" w:rsidP="00FF59B8">
      <w:pPr>
        <w:pStyle w:val="DHHSbody"/>
      </w:pPr>
      <w:r w:rsidRPr="009439E8">
        <w:t xml:space="preserve">The conditions included in a public health order may be varied by the </w:t>
      </w:r>
      <w:r w:rsidR="00266BCE" w:rsidRPr="009439E8">
        <w:t>C</w:t>
      </w:r>
      <w:r w:rsidR="008752F1" w:rsidRPr="009439E8">
        <w:t xml:space="preserve">HO </w:t>
      </w:r>
      <w:r w:rsidR="00266BCE" w:rsidRPr="009439E8">
        <w:t xml:space="preserve">or </w:t>
      </w:r>
      <w:r w:rsidR="008752F1" w:rsidRPr="009439E8">
        <w:t xml:space="preserve">delegate </w:t>
      </w:r>
      <w:r w:rsidRPr="009439E8">
        <w:t>and will have effect from the time the notice of variation is served on the client (s</w:t>
      </w:r>
      <w:r w:rsidR="007F0C1F">
        <w:t>.</w:t>
      </w:r>
      <w:r w:rsidRPr="009439E8">
        <w:t xml:space="preserve"> 118(4), PHW Act).</w:t>
      </w:r>
    </w:p>
    <w:p w14:paraId="78B29599" w14:textId="2CFA9EF8" w:rsidR="00E72068" w:rsidRPr="009439E8" w:rsidRDefault="00FF59B8" w:rsidP="00FF59B8">
      <w:pPr>
        <w:pStyle w:val="DHHSbody"/>
      </w:pPr>
      <w:r w:rsidRPr="009439E8">
        <w:t xml:space="preserve">It is an offence for a client to not comply with a public health order made under </w:t>
      </w:r>
      <w:r w:rsidR="007B3625">
        <w:t>s.</w:t>
      </w:r>
      <w:r w:rsidRPr="009439E8">
        <w:t xml:space="preserve"> 117. </w:t>
      </w:r>
      <w:r w:rsidR="00656ABB">
        <w:t xml:space="preserve">A </w:t>
      </w:r>
      <w:r w:rsidRPr="009439E8">
        <w:t xml:space="preserve">court may issue a fine up to 120 penalty units </w:t>
      </w:r>
      <w:r w:rsidR="00656ABB">
        <w:t xml:space="preserve">for </w:t>
      </w:r>
      <w:r w:rsidRPr="009439E8">
        <w:t>this offence (s</w:t>
      </w:r>
      <w:r w:rsidR="007F0C1F">
        <w:t>.</w:t>
      </w:r>
      <w:r w:rsidRPr="009439E8">
        <w:t xml:space="preserve"> 120, PHW Act).</w:t>
      </w:r>
    </w:p>
    <w:p w14:paraId="0A36C6D2" w14:textId="51DC1C9B" w:rsidR="00FF59B8" w:rsidRPr="009439E8" w:rsidRDefault="00FF59B8" w:rsidP="00E72068">
      <w:pPr>
        <w:pStyle w:val="Heading2"/>
        <w:rPr>
          <w:rFonts w:eastAsia="Arial"/>
        </w:rPr>
      </w:pPr>
      <w:bookmarkStart w:id="38" w:name="_Toc20311933"/>
      <w:bookmarkStart w:id="39" w:name="_Toc89268514"/>
      <w:r w:rsidRPr="009439E8">
        <w:rPr>
          <w:rFonts w:eastAsia="Arial"/>
        </w:rPr>
        <w:lastRenderedPageBreak/>
        <w:t xml:space="preserve">Stage </w:t>
      </w:r>
      <w:r w:rsidR="00FE4631" w:rsidRPr="009439E8">
        <w:rPr>
          <w:rFonts w:eastAsia="Arial"/>
        </w:rPr>
        <w:t>4</w:t>
      </w:r>
      <w:r w:rsidR="007F0C1F">
        <w:rPr>
          <w:rFonts w:eastAsia="Arial"/>
        </w:rPr>
        <w:t>:</w:t>
      </w:r>
      <w:r w:rsidRPr="009439E8">
        <w:rPr>
          <w:rFonts w:eastAsia="Arial"/>
        </w:rPr>
        <w:t xml:space="preserve"> Public </w:t>
      </w:r>
      <w:r w:rsidR="007F0C1F">
        <w:rPr>
          <w:rFonts w:eastAsia="Arial"/>
        </w:rPr>
        <w:t>h</w:t>
      </w:r>
      <w:r w:rsidRPr="009439E8">
        <w:rPr>
          <w:rFonts w:eastAsia="Arial"/>
        </w:rPr>
        <w:t xml:space="preserve">ealth </w:t>
      </w:r>
      <w:r w:rsidR="007F0C1F">
        <w:rPr>
          <w:rFonts w:eastAsia="Arial"/>
        </w:rPr>
        <w:t>o</w:t>
      </w:r>
      <w:r w:rsidRPr="009439E8">
        <w:rPr>
          <w:rFonts w:eastAsia="Arial"/>
        </w:rPr>
        <w:t>rders (</w:t>
      </w:r>
      <w:r w:rsidR="007F0C1F">
        <w:rPr>
          <w:rFonts w:eastAsia="Arial"/>
        </w:rPr>
        <w:t>d</w:t>
      </w:r>
      <w:r w:rsidRPr="009439E8">
        <w:rPr>
          <w:rFonts w:eastAsia="Arial"/>
        </w:rPr>
        <w:t xml:space="preserve">etention and/or </w:t>
      </w:r>
      <w:r w:rsidR="007F0C1F">
        <w:rPr>
          <w:rFonts w:eastAsia="Arial"/>
        </w:rPr>
        <w:t>i</w:t>
      </w:r>
      <w:r w:rsidRPr="009439E8">
        <w:rPr>
          <w:rFonts w:eastAsia="Arial"/>
        </w:rPr>
        <w:t xml:space="preserve">solation </w:t>
      </w:r>
      <w:r w:rsidR="007F0C1F">
        <w:rPr>
          <w:rFonts w:eastAsia="Arial"/>
        </w:rPr>
        <w:t>o</w:t>
      </w:r>
      <w:r w:rsidRPr="009439E8">
        <w:rPr>
          <w:rFonts w:eastAsia="Arial"/>
        </w:rPr>
        <w:t>rders)</w:t>
      </w:r>
      <w:bookmarkEnd w:id="38"/>
      <w:bookmarkEnd w:id="39"/>
    </w:p>
    <w:p w14:paraId="72762168" w14:textId="044239B5" w:rsidR="00FF59B8" w:rsidRPr="009439E8" w:rsidRDefault="00FF59B8" w:rsidP="00FF59B8">
      <w:pPr>
        <w:pStyle w:val="DHHSbody"/>
      </w:pPr>
      <w:r w:rsidRPr="009439E8">
        <w:t xml:space="preserve">If </w:t>
      </w:r>
      <w:r w:rsidR="00F51240">
        <w:t>there is evidence</w:t>
      </w:r>
      <w:r w:rsidRPr="009439E8">
        <w:t xml:space="preserve"> that a client is repeatedly </w:t>
      </w:r>
      <w:r w:rsidR="00F5339F" w:rsidRPr="009439E8">
        <w:t xml:space="preserve">engaging in HIV transmission risk </w:t>
      </w:r>
      <w:r w:rsidR="001A472E">
        <w:t>practices</w:t>
      </w:r>
      <w:r w:rsidR="00E34CED">
        <w:t xml:space="preserve"> </w:t>
      </w:r>
      <w:r w:rsidRPr="009439E8">
        <w:t xml:space="preserve">and is not complying with the requirements of their public health order (behavioural), </w:t>
      </w:r>
      <w:r w:rsidR="2BD4502A">
        <w:t>or a lack of evidence to support compliance,</w:t>
      </w:r>
      <w:r>
        <w:t xml:space="preserve"> </w:t>
      </w:r>
      <w:r w:rsidRPr="009439E8">
        <w:t xml:space="preserve">the </w:t>
      </w:r>
      <w:r w:rsidR="008752F1" w:rsidRPr="009439E8">
        <w:t xml:space="preserve">CHO </w:t>
      </w:r>
      <w:r w:rsidR="00F5339F" w:rsidRPr="009439E8">
        <w:t>or delegate</w:t>
      </w:r>
      <w:r w:rsidR="008752F1" w:rsidRPr="009439E8">
        <w:t xml:space="preserve"> </w:t>
      </w:r>
      <w:r w:rsidRPr="009439E8">
        <w:t>may issue an order that they be detained and/or isolated at a specific location (s</w:t>
      </w:r>
      <w:r w:rsidR="007F0C1F">
        <w:t>.</w:t>
      </w:r>
      <w:r w:rsidRPr="009439E8">
        <w:t xml:space="preserve"> 117(5)(k), PHW Act), in the interests of public health.</w:t>
      </w:r>
    </w:p>
    <w:p w14:paraId="62DEAC9C" w14:textId="10D9EDF2" w:rsidR="00FF59B8" w:rsidRPr="009439E8" w:rsidRDefault="00FF59B8" w:rsidP="00FF59B8">
      <w:pPr>
        <w:pStyle w:val="DHHSbody"/>
      </w:pPr>
      <w:r w:rsidRPr="009439E8">
        <w:t xml:space="preserve">The </w:t>
      </w:r>
      <w:r w:rsidR="00F5339F" w:rsidRPr="009439E8">
        <w:t>C</w:t>
      </w:r>
      <w:r w:rsidR="008752F1" w:rsidRPr="009439E8">
        <w:t xml:space="preserve">HO </w:t>
      </w:r>
      <w:r w:rsidR="00F5339F" w:rsidRPr="009439E8">
        <w:t xml:space="preserve">or delegate </w:t>
      </w:r>
      <w:r w:rsidRPr="009439E8">
        <w:t>will determine the appropriate facility and staff to best meet the needs of the client in detention and/or isolation.</w:t>
      </w:r>
    </w:p>
    <w:p w14:paraId="35B3035A" w14:textId="77777777" w:rsidR="00FF59B8" w:rsidRPr="009439E8" w:rsidRDefault="00FF59B8" w:rsidP="00FF59B8">
      <w:pPr>
        <w:pStyle w:val="DHHSbody"/>
      </w:pPr>
      <w:r w:rsidRPr="009439E8">
        <w:t>Detention and isolation orders have the same legal requirements as behavioural orders detailed in the above section, namely:</w:t>
      </w:r>
    </w:p>
    <w:p w14:paraId="6B635C23" w14:textId="39453AFB" w:rsidR="00FF59B8" w:rsidRPr="009439E8" w:rsidRDefault="007F0C1F" w:rsidP="00FF59B8">
      <w:pPr>
        <w:pStyle w:val="DHHSbullet1"/>
      </w:pPr>
      <w:r>
        <w:t>t</w:t>
      </w:r>
      <w:r w:rsidR="00FF59B8" w:rsidRPr="009439E8">
        <w:t>hey can be made for a period of up to six months and must be proportionate to the risk that the client poses (</w:t>
      </w:r>
      <w:r>
        <w:t>s.</w:t>
      </w:r>
      <w:r w:rsidRPr="009439E8">
        <w:t xml:space="preserve"> </w:t>
      </w:r>
      <w:r w:rsidR="00FF59B8" w:rsidRPr="009439E8">
        <w:t>117(4), PHW Act)</w:t>
      </w:r>
    </w:p>
    <w:p w14:paraId="5DD2ACA4" w14:textId="307BEEE1" w:rsidR="00FF59B8" w:rsidRPr="009439E8" w:rsidRDefault="007F0C1F" w:rsidP="00FF59B8">
      <w:pPr>
        <w:pStyle w:val="DHHSbullet1"/>
      </w:pPr>
      <w:r>
        <w:t>t</w:t>
      </w:r>
      <w:r w:rsidR="00FF59B8" w:rsidRPr="009439E8">
        <w:t>he</w:t>
      </w:r>
      <w:r w:rsidR="00824BB5" w:rsidRPr="009439E8">
        <w:t xml:space="preserve"> </w:t>
      </w:r>
      <w:r w:rsidR="00F5339F" w:rsidRPr="009439E8">
        <w:t>C</w:t>
      </w:r>
      <w:r w:rsidR="008752F1" w:rsidRPr="009439E8">
        <w:t xml:space="preserve">HO </w:t>
      </w:r>
      <w:r w:rsidR="00F5339F" w:rsidRPr="009439E8">
        <w:t>or delegate</w:t>
      </w:r>
      <w:r w:rsidR="008752F1" w:rsidRPr="009439E8">
        <w:t xml:space="preserve"> </w:t>
      </w:r>
      <w:r w:rsidR="00FF59B8" w:rsidRPr="009439E8">
        <w:t>will review such orders at intervals of at least three months</w:t>
      </w:r>
      <w:r w:rsidR="00F5339F" w:rsidRPr="009439E8">
        <w:t xml:space="preserve"> and may choose to involve</w:t>
      </w:r>
      <w:r w:rsidR="00FF59B8" w:rsidRPr="009439E8">
        <w:t xml:space="preserve"> the </w:t>
      </w:r>
      <w:r w:rsidR="00FB3C1D">
        <w:t>p</w:t>
      </w:r>
      <w:r w:rsidR="00FF59B8" w:rsidRPr="009439E8">
        <w:t>anel in more frequent reviews</w:t>
      </w:r>
    </w:p>
    <w:p w14:paraId="7635E837" w14:textId="023C3C9F" w:rsidR="00FF59B8" w:rsidRPr="009439E8" w:rsidRDefault="007F0C1F" w:rsidP="00FF59B8">
      <w:pPr>
        <w:pStyle w:val="DHHSbullet1"/>
      </w:pPr>
      <w:r>
        <w:t>c</w:t>
      </w:r>
      <w:r w:rsidR="00FF59B8" w:rsidRPr="009439E8">
        <w:t>lients will be provided with information on the PHW Act, including their rights and entitlements under the Act and the process for review</w:t>
      </w:r>
    </w:p>
    <w:p w14:paraId="0D1A819E" w14:textId="5F1372D1" w:rsidR="00FF59B8" w:rsidRPr="009439E8" w:rsidRDefault="007F0C1F" w:rsidP="00FF59B8">
      <w:pPr>
        <w:pStyle w:val="DHHSbullet1"/>
      </w:pPr>
      <w:r>
        <w:t>c</w:t>
      </w:r>
      <w:r w:rsidR="00FF59B8" w:rsidRPr="009439E8">
        <w:t>lients will be advised to seek legal advice</w:t>
      </w:r>
    </w:p>
    <w:p w14:paraId="4CEB32C9" w14:textId="5B86653A" w:rsidR="00FF59B8" w:rsidRPr="009439E8" w:rsidRDefault="007F0C1F" w:rsidP="00FF59B8">
      <w:pPr>
        <w:pStyle w:val="DHHSbullet1"/>
      </w:pPr>
      <w:r>
        <w:t>t</w:t>
      </w:r>
      <w:r w:rsidR="00FF59B8" w:rsidRPr="009439E8">
        <w:t xml:space="preserve">he </w:t>
      </w:r>
      <w:r w:rsidR="00F5339F" w:rsidRPr="009439E8">
        <w:t>C</w:t>
      </w:r>
      <w:r w:rsidR="008752F1" w:rsidRPr="009439E8">
        <w:t xml:space="preserve">HO </w:t>
      </w:r>
      <w:r w:rsidR="00F5339F" w:rsidRPr="009439E8">
        <w:t>or delegate</w:t>
      </w:r>
      <w:r w:rsidR="008752F1" w:rsidRPr="009439E8">
        <w:t xml:space="preserve"> </w:t>
      </w:r>
      <w:r w:rsidR="00FF59B8" w:rsidRPr="009439E8">
        <w:t>may review and extend a detention or isolation order by a written notice for a period not exceeding six months</w:t>
      </w:r>
      <w:r w:rsidR="002B70A7">
        <w:t xml:space="preserve"> – t</w:t>
      </w:r>
      <w:r w:rsidR="00FF59B8" w:rsidRPr="009439E8">
        <w:t xml:space="preserve">he order may be extended as many times as the </w:t>
      </w:r>
      <w:r w:rsidR="008752F1" w:rsidRPr="009439E8">
        <w:t xml:space="preserve">CHO </w:t>
      </w:r>
      <w:r w:rsidR="00F5339F" w:rsidRPr="009439E8">
        <w:t>or delegate</w:t>
      </w:r>
      <w:r w:rsidR="00F5339F" w:rsidRPr="009439E8" w:rsidDel="00F5339F">
        <w:t xml:space="preserve"> </w:t>
      </w:r>
      <w:r w:rsidR="00FF59B8" w:rsidRPr="009439E8">
        <w:t>considers necessary (</w:t>
      </w:r>
      <w:r>
        <w:t>s.</w:t>
      </w:r>
      <w:r w:rsidRPr="009439E8">
        <w:t xml:space="preserve"> </w:t>
      </w:r>
      <w:r w:rsidR="00FF59B8" w:rsidRPr="009439E8">
        <w:t>118(6), PHW Act)</w:t>
      </w:r>
    </w:p>
    <w:p w14:paraId="76081F2F" w14:textId="39AB9BD1" w:rsidR="00FF59B8" w:rsidRPr="009439E8" w:rsidRDefault="002B70A7" w:rsidP="00D705C9">
      <w:pPr>
        <w:pStyle w:val="DHHSbullet1lastline"/>
      </w:pPr>
      <w:r>
        <w:t>i</w:t>
      </w:r>
      <w:r w:rsidR="00FF59B8" w:rsidRPr="009439E8">
        <w:t xml:space="preserve">t is an offence not to comply with a public health order and a court may issue a fine up to 120 penalty units </w:t>
      </w:r>
      <w:r>
        <w:t>for</w:t>
      </w:r>
      <w:r w:rsidRPr="009439E8">
        <w:t xml:space="preserve"> </w:t>
      </w:r>
      <w:r w:rsidR="00FF59B8" w:rsidRPr="009439E8">
        <w:t>this offence (</w:t>
      </w:r>
      <w:r w:rsidR="007B3625">
        <w:t>s.</w:t>
      </w:r>
      <w:r w:rsidR="00FF59B8" w:rsidRPr="009439E8">
        <w:t xml:space="preserve"> 120, PHW Act).</w:t>
      </w:r>
    </w:p>
    <w:p w14:paraId="369E130B" w14:textId="70DE87B6" w:rsidR="00FF59B8" w:rsidRPr="009439E8" w:rsidRDefault="00FF59B8" w:rsidP="00D705C9">
      <w:pPr>
        <w:pStyle w:val="DHHSbody"/>
      </w:pPr>
      <w:r w:rsidRPr="009439E8">
        <w:t xml:space="preserve">If required, Victoria Police may use reasonable force to detain </w:t>
      </w:r>
      <w:r w:rsidR="002B70A7">
        <w:t>a</w:t>
      </w:r>
      <w:r w:rsidR="002B70A7" w:rsidRPr="009439E8">
        <w:t xml:space="preserve"> </w:t>
      </w:r>
      <w:r w:rsidRPr="009439E8">
        <w:t>client who is subject to such an order to take them to the place required under the order.</w:t>
      </w:r>
    </w:p>
    <w:p w14:paraId="694D4FD4" w14:textId="3966E9D5" w:rsidR="00FF59B8" w:rsidRPr="009439E8" w:rsidRDefault="00FF59B8" w:rsidP="00FF59B8">
      <w:pPr>
        <w:pStyle w:val="DHHSbody"/>
      </w:pPr>
      <w:r w:rsidRPr="009439E8">
        <w:t xml:space="preserve">In addition, a warrant may be sought from the Magistrates’ Court for police to arrest, detain and transport </w:t>
      </w:r>
      <w:r w:rsidR="002B70A7">
        <w:t>a</w:t>
      </w:r>
      <w:r w:rsidR="002B70A7" w:rsidRPr="009439E8">
        <w:t xml:space="preserve"> </w:t>
      </w:r>
      <w:r w:rsidRPr="009439E8">
        <w:t>client under a detention or isolation order to the required site. At the time of arrest, the client must be advised of the reason for this arrest and detention (</w:t>
      </w:r>
      <w:r w:rsidR="007F0C1F">
        <w:t>s.</w:t>
      </w:r>
      <w:r w:rsidR="007F0C1F" w:rsidRPr="009439E8">
        <w:t xml:space="preserve"> </w:t>
      </w:r>
      <w:r w:rsidRPr="009439E8">
        <w:t>123, PHW Act).</w:t>
      </w:r>
    </w:p>
    <w:p w14:paraId="484CFF37" w14:textId="77777777" w:rsidR="002B70A7" w:rsidRDefault="002B70A7">
      <w:pPr>
        <w:rPr>
          <w:rFonts w:ascii="Arial" w:hAnsi="Arial"/>
          <w:bCs/>
          <w:color w:val="004EA8"/>
          <w:sz w:val="44"/>
          <w:szCs w:val="44"/>
        </w:rPr>
      </w:pPr>
      <w:bookmarkStart w:id="40" w:name="_Toc20311934"/>
      <w:r>
        <w:br w:type="page"/>
      </w:r>
    </w:p>
    <w:p w14:paraId="51BF4C77" w14:textId="79180E64" w:rsidR="00FF59B8" w:rsidRPr="009439E8" w:rsidRDefault="00FF59B8" w:rsidP="004F085C">
      <w:pPr>
        <w:pStyle w:val="Heading1"/>
      </w:pPr>
      <w:bookmarkStart w:id="41" w:name="_Toc89268515"/>
      <w:r w:rsidRPr="009439E8">
        <w:lastRenderedPageBreak/>
        <w:t xml:space="preserve">Review of </w:t>
      </w:r>
      <w:r w:rsidR="007F0C1F">
        <w:t>p</w:t>
      </w:r>
      <w:r w:rsidRPr="009439E8">
        <w:t xml:space="preserve">ublic </w:t>
      </w:r>
      <w:r w:rsidR="007F0C1F">
        <w:t>h</w:t>
      </w:r>
      <w:r w:rsidRPr="009439E8">
        <w:t xml:space="preserve">ealth </w:t>
      </w:r>
      <w:r w:rsidR="007F0C1F">
        <w:t>o</w:t>
      </w:r>
      <w:r w:rsidRPr="009439E8">
        <w:t>rders</w:t>
      </w:r>
      <w:bookmarkEnd w:id="40"/>
      <w:bookmarkEnd w:id="41"/>
    </w:p>
    <w:p w14:paraId="32E53F88" w14:textId="6755A877" w:rsidR="00FF59B8" w:rsidRPr="009439E8" w:rsidRDefault="00FF59B8" w:rsidP="00FF59B8">
      <w:pPr>
        <w:pStyle w:val="DHHSbody"/>
        <w:rPr>
          <w:sz w:val="14"/>
          <w:szCs w:val="14"/>
        </w:rPr>
      </w:pPr>
      <w:r w:rsidRPr="009439E8">
        <w:t>A public health order must be in writing and explain the client’s rights and entitlements under the PHW Act, including their right to seek legal advice and have the order reviewed.</w:t>
      </w:r>
    </w:p>
    <w:p w14:paraId="1FC31721" w14:textId="7D7F45DF" w:rsidR="00FF59B8" w:rsidRPr="009439E8" w:rsidRDefault="00FF59B8" w:rsidP="00D705C9">
      <w:pPr>
        <w:pStyle w:val="Heading2"/>
      </w:pPr>
      <w:bookmarkStart w:id="42" w:name="_Toc89268516"/>
      <w:r w:rsidRPr="009439E8">
        <w:t>Internal review by the</w:t>
      </w:r>
      <w:r w:rsidR="00824BB5" w:rsidRPr="009439E8">
        <w:t xml:space="preserve"> </w:t>
      </w:r>
      <w:r w:rsidRPr="009439E8">
        <w:t>Chief Health Officer</w:t>
      </w:r>
      <w:bookmarkEnd w:id="42"/>
    </w:p>
    <w:p w14:paraId="333B83BA" w14:textId="2AED1BAC" w:rsidR="00FF59B8" w:rsidRPr="009439E8" w:rsidRDefault="00FF59B8" w:rsidP="00FF59B8">
      <w:pPr>
        <w:pStyle w:val="DHHSbody"/>
      </w:pPr>
      <w:r w:rsidRPr="009439E8">
        <w:t xml:space="preserve">A client subject to a public health order can apply to the </w:t>
      </w:r>
      <w:r w:rsidR="00F5339F" w:rsidRPr="009439E8">
        <w:t>C</w:t>
      </w:r>
      <w:r w:rsidR="008752F1" w:rsidRPr="009439E8">
        <w:t>HO</w:t>
      </w:r>
      <w:r w:rsidR="00F5339F" w:rsidRPr="009439E8">
        <w:t xml:space="preserve"> </w:t>
      </w:r>
      <w:r w:rsidRPr="009439E8">
        <w:t xml:space="preserve">for a review of the order. This review must be conducted within seven days of receiving the application, at which time the </w:t>
      </w:r>
      <w:r w:rsidR="00F5339F" w:rsidRPr="009439E8">
        <w:t>C</w:t>
      </w:r>
      <w:r w:rsidR="008752F1" w:rsidRPr="009439E8">
        <w:t>HO</w:t>
      </w:r>
      <w:r w:rsidR="00F5339F" w:rsidRPr="009439E8">
        <w:t xml:space="preserve"> or delegate</w:t>
      </w:r>
      <w:r w:rsidR="00F5339F" w:rsidRPr="009439E8" w:rsidDel="00F5339F">
        <w:t xml:space="preserve"> </w:t>
      </w:r>
      <w:r w:rsidRPr="009439E8">
        <w:t>will decide to revoke, vary or confirm the order (</w:t>
      </w:r>
      <w:r w:rsidR="007F0C1F">
        <w:t>s.</w:t>
      </w:r>
      <w:r w:rsidR="007F0C1F" w:rsidRPr="009439E8">
        <w:t xml:space="preserve"> </w:t>
      </w:r>
      <w:r w:rsidRPr="009439E8">
        <w:t>121, PHW Act).</w:t>
      </w:r>
      <w:r w:rsidR="001315A8">
        <w:t xml:space="preserve"> </w:t>
      </w:r>
    </w:p>
    <w:p w14:paraId="0D394792" w14:textId="19FE3571" w:rsidR="00FF59B8" w:rsidRPr="009439E8" w:rsidRDefault="00FF59B8" w:rsidP="00D705C9">
      <w:pPr>
        <w:pStyle w:val="Heading2"/>
      </w:pPr>
      <w:bookmarkStart w:id="43" w:name="_Toc89268517"/>
      <w:r w:rsidRPr="009439E8">
        <w:t>Statement of reason and external review by the Victorian Civil and Administrative Tribunal</w:t>
      </w:r>
      <w:bookmarkEnd w:id="43"/>
      <w:r w:rsidRPr="009439E8">
        <w:t xml:space="preserve"> </w:t>
      </w:r>
    </w:p>
    <w:p w14:paraId="697B6D13" w14:textId="654B6D60" w:rsidR="00FF59B8" w:rsidRPr="009439E8" w:rsidRDefault="00FF59B8" w:rsidP="00FF59B8">
      <w:pPr>
        <w:pStyle w:val="DHHSbody"/>
      </w:pPr>
      <w:r w:rsidRPr="009439E8">
        <w:t xml:space="preserve">A client subject to a public health order has 28 days from the date of the order to request the </w:t>
      </w:r>
      <w:r w:rsidR="008752F1" w:rsidRPr="009439E8">
        <w:t xml:space="preserve">CHO </w:t>
      </w:r>
      <w:r w:rsidR="00F5339F" w:rsidRPr="009439E8">
        <w:t>or delegate</w:t>
      </w:r>
      <w:r w:rsidR="00F5339F" w:rsidRPr="009439E8" w:rsidDel="00F5339F">
        <w:t xml:space="preserve"> </w:t>
      </w:r>
      <w:r w:rsidRPr="009439E8">
        <w:t>to provide a written statement detailing the reasons why the order was made (</w:t>
      </w:r>
      <w:r w:rsidR="007F0C1F">
        <w:t>s.</w:t>
      </w:r>
      <w:r w:rsidR="007F0C1F" w:rsidRPr="009439E8">
        <w:t xml:space="preserve"> </w:t>
      </w:r>
      <w:r w:rsidRPr="009439E8">
        <w:t>122, PHW Act).</w:t>
      </w:r>
    </w:p>
    <w:p w14:paraId="022AF482" w14:textId="19AFD830" w:rsidR="008752F1" w:rsidRPr="009439E8" w:rsidRDefault="00FF59B8" w:rsidP="00065380">
      <w:pPr>
        <w:pStyle w:val="DHHSbody"/>
      </w:pPr>
      <w:r w:rsidRPr="009439E8">
        <w:t xml:space="preserve">In addition, a client subject to a public health order may, at any time while the order is in force, apply to </w:t>
      </w:r>
      <w:r w:rsidR="00263931">
        <w:t xml:space="preserve">the </w:t>
      </w:r>
      <w:r w:rsidR="00263931" w:rsidRPr="009439E8">
        <w:t>Victorian Civil and Administrative Tribunal (VCAT)</w:t>
      </w:r>
      <w:r w:rsidR="00263931">
        <w:t xml:space="preserve"> </w:t>
      </w:r>
      <w:r w:rsidRPr="009439E8">
        <w:t xml:space="preserve">for a review of the </w:t>
      </w:r>
      <w:r w:rsidR="00F5339F" w:rsidRPr="009439E8">
        <w:t>C</w:t>
      </w:r>
      <w:r w:rsidR="008752F1" w:rsidRPr="009439E8">
        <w:t xml:space="preserve">HO </w:t>
      </w:r>
      <w:r w:rsidR="00F5339F" w:rsidRPr="009439E8">
        <w:t>or delegate’s</w:t>
      </w:r>
      <w:r w:rsidR="008752F1" w:rsidRPr="009439E8">
        <w:t xml:space="preserve"> </w:t>
      </w:r>
      <w:r w:rsidRPr="009439E8">
        <w:t>decision to make the order, in accordance with the VCAT Act (</w:t>
      </w:r>
      <w:r w:rsidR="007F0C1F">
        <w:t>s.</w:t>
      </w:r>
      <w:r w:rsidR="007F0C1F" w:rsidRPr="009439E8">
        <w:t xml:space="preserve"> </w:t>
      </w:r>
      <w:r w:rsidRPr="009439E8">
        <w:t>122, PHW Act).</w:t>
      </w:r>
      <w:bookmarkStart w:id="44" w:name="_Toc20311935"/>
      <w:r w:rsidR="000E7248" w:rsidRPr="000E7248">
        <w:t xml:space="preserve"> </w:t>
      </w:r>
      <w:r w:rsidR="000E7248">
        <w:t>The individual is provided with details of how to contact VCAT and community and legal services.</w:t>
      </w:r>
    </w:p>
    <w:p w14:paraId="6E61B9B4" w14:textId="77777777" w:rsidR="002B70A7" w:rsidRDefault="002B70A7">
      <w:pPr>
        <w:rPr>
          <w:rFonts w:ascii="Arial" w:hAnsi="Arial"/>
          <w:bCs/>
          <w:color w:val="004EA8"/>
          <w:sz w:val="44"/>
          <w:szCs w:val="44"/>
        </w:rPr>
      </w:pPr>
      <w:r>
        <w:br w:type="page"/>
      </w:r>
    </w:p>
    <w:p w14:paraId="3D082861" w14:textId="0A057AE3" w:rsidR="00C67EE4" w:rsidRPr="009439E8" w:rsidRDefault="00C67EE4" w:rsidP="00470E40">
      <w:pPr>
        <w:pStyle w:val="Heading1"/>
      </w:pPr>
      <w:bookmarkStart w:id="45" w:name="_Toc89268518"/>
      <w:r w:rsidRPr="009439E8">
        <w:lastRenderedPageBreak/>
        <w:t xml:space="preserve">Referral to </w:t>
      </w:r>
      <w:r w:rsidR="00E34D4F">
        <w:t>p</w:t>
      </w:r>
      <w:r w:rsidRPr="009439E8">
        <w:t>olice</w:t>
      </w:r>
      <w:bookmarkEnd w:id="45"/>
    </w:p>
    <w:p w14:paraId="6A853B74" w14:textId="1786BC40" w:rsidR="006B57EA" w:rsidRPr="009439E8" w:rsidRDefault="00B43B2C" w:rsidP="006B57EA">
      <w:pPr>
        <w:pStyle w:val="DHHSbody"/>
      </w:pPr>
      <w:r w:rsidRPr="009439E8">
        <w:t xml:space="preserve">There is extensive local and international literature </w:t>
      </w:r>
      <w:r w:rsidR="002B70A7">
        <w:t>that</w:t>
      </w:r>
      <w:r w:rsidR="002B70A7" w:rsidRPr="009439E8">
        <w:t xml:space="preserve"> </w:t>
      </w:r>
      <w:r w:rsidRPr="009439E8">
        <w:t>documents the greater public health harms that may be caused by criminalis</w:t>
      </w:r>
      <w:r w:rsidR="002B70A7">
        <w:t>ing</w:t>
      </w:r>
      <w:r w:rsidRPr="009439E8">
        <w:t xml:space="preserve"> HIV transmission </w:t>
      </w:r>
      <w:r w:rsidR="00D705C9">
        <w:rPr>
          <w:noProof/>
        </w:rPr>
        <w:t>(12-14)</w:t>
      </w:r>
      <w:r w:rsidRPr="009439E8">
        <w:t xml:space="preserve">. </w:t>
      </w:r>
      <w:r w:rsidR="00301A1B" w:rsidRPr="009439E8">
        <w:t>Prosecuti</w:t>
      </w:r>
      <w:r w:rsidR="002B70A7">
        <w:t>ng</w:t>
      </w:r>
      <w:r w:rsidR="00301A1B" w:rsidRPr="009439E8">
        <w:t xml:space="preserve"> people for transmi</w:t>
      </w:r>
      <w:r w:rsidR="002B70A7">
        <w:t>tting</w:t>
      </w:r>
      <w:r w:rsidR="00301A1B" w:rsidRPr="009439E8">
        <w:t xml:space="preserve"> HIV, or for risking the transmission of HIV, perpetuates and worsens negative stereotypes of people living with HIV. Such stereotypes add to HIV stigma and discrimination and reduce the effectiveness of public health programs to reduce HIV transmission by potentially deterring people from being tested for HIV. </w:t>
      </w:r>
      <w:r w:rsidR="00B159CE" w:rsidRPr="009439E8">
        <w:t xml:space="preserve">Therefore, </w:t>
      </w:r>
      <w:r w:rsidR="006B57EA" w:rsidRPr="009439E8">
        <w:t xml:space="preserve">in the first instance, </w:t>
      </w:r>
      <w:r w:rsidR="00B159CE" w:rsidRPr="009439E8">
        <w:t xml:space="preserve">a person with </w:t>
      </w:r>
      <w:r w:rsidR="42BE7080">
        <w:t xml:space="preserve">identified </w:t>
      </w:r>
      <w:r w:rsidR="00B159CE">
        <w:t>HIV</w:t>
      </w:r>
      <w:r w:rsidR="00B159CE" w:rsidRPr="009439E8">
        <w:t xml:space="preserve"> transmission risk </w:t>
      </w:r>
      <w:r w:rsidR="00323ED7">
        <w:t>practices</w:t>
      </w:r>
      <w:r w:rsidR="00323ED7" w:rsidRPr="009439E8">
        <w:t xml:space="preserve"> </w:t>
      </w:r>
      <w:r w:rsidR="00B159CE" w:rsidRPr="009439E8">
        <w:t xml:space="preserve">should always be </w:t>
      </w:r>
      <w:r w:rsidR="38D8BD6E">
        <w:t>engaged</w:t>
      </w:r>
      <w:r w:rsidR="00B159CE" w:rsidRPr="009439E8">
        <w:t xml:space="preserve"> </w:t>
      </w:r>
      <w:r w:rsidR="76B49343">
        <w:t>within</w:t>
      </w:r>
      <w:r w:rsidR="00B159CE">
        <w:t xml:space="preserve"> </w:t>
      </w:r>
      <w:r w:rsidR="76B49343">
        <w:t xml:space="preserve">the processes </w:t>
      </w:r>
      <w:r w:rsidR="50EA7EAE">
        <w:t>o</w:t>
      </w:r>
      <w:r w:rsidR="3E55D091">
        <w:t xml:space="preserve">utlined in </w:t>
      </w:r>
      <w:r w:rsidR="00B159CE" w:rsidRPr="009439E8">
        <w:t xml:space="preserve">these </w:t>
      </w:r>
      <w:r w:rsidR="004F6B53">
        <w:t>g</w:t>
      </w:r>
      <w:r w:rsidR="00B159CE" w:rsidRPr="009439E8">
        <w:t>uidelines</w:t>
      </w:r>
      <w:r w:rsidR="006B57EA" w:rsidRPr="009439E8">
        <w:t xml:space="preserve">, </w:t>
      </w:r>
      <w:r w:rsidR="00B159CE" w:rsidRPr="009439E8">
        <w:t xml:space="preserve">unless there are </w:t>
      </w:r>
      <w:r w:rsidR="00301A1B" w:rsidRPr="009439E8">
        <w:t>allegations of serious criminal behaviour</w:t>
      </w:r>
      <w:r w:rsidR="00B159CE" w:rsidRPr="009439E8">
        <w:t xml:space="preserve">. </w:t>
      </w:r>
    </w:p>
    <w:p w14:paraId="5DCBE033" w14:textId="1785F878" w:rsidR="006B57EA" w:rsidRPr="009439E8" w:rsidRDefault="006B57EA" w:rsidP="006B57EA">
      <w:pPr>
        <w:pStyle w:val="DHHSbody"/>
      </w:pPr>
      <w:r w:rsidRPr="009439E8">
        <w:t>If in the course of the public health investigation evidence of a serious crime or reportable offence is identified, these should be reported through the usual processes. The CHO or delegate must consider whether the person’s HIV status is relevant, particularly where the person’s HIV viral load has been consistently undetectable or suppressed.</w:t>
      </w:r>
    </w:p>
    <w:p w14:paraId="46ABA9BB" w14:textId="6E56AE1A" w:rsidR="006B57EA" w:rsidRPr="009439E8" w:rsidRDefault="0058234E" w:rsidP="006B57EA">
      <w:pPr>
        <w:pStyle w:val="DHHSbody"/>
      </w:pPr>
      <w:r w:rsidRPr="009439E8">
        <w:t xml:space="preserve">Where a person with HIV transmission risk </w:t>
      </w:r>
      <w:r>
        <w:t xml:space="preserve">practices </w:t>
      </w:r>
      <w:r w:rsidRPr="009439E8">
        <w:t>continues to act with clear intent to cause harm or with serious disregard for the wellbeing of others, those actions may amount to a continuing offence under criminal and/or public health legislation</w:t>
      </w:r>
      <w:r w:rsidR="00301A1B" w:rsidRPr="009439E8">
        <w:t xml:space="preserve">. Under such circumstances, referral to police is only appropriate as the last resort at any level of management under these </w:t>
      </w:r>
      <w:r w:rsidR="004F6B53">
        <w:t>g</w:t>
      </w:r>
      <w:r w:rsidR="00301A1B" w:rsidRPr="009439E8">
        <w:t xml:space="preserve">uidelines. </w:t>
      </w:r>
    </w:p>
    <w:p w14:paraId="4415A270" w14:textId="61DA62EF" w:rsidR="00B159CE" w:rsidRPr="009439E8" w:rsidRDefault="006B57EA" w:rsidP="00065380">
      <w:pPr>
        <w:pStyle w:val="DHHSbody"/>
      </w:pPr>
      <w:r w:rsidRPr="009439E8">
        <w:t>The r</w:t>
      </w:r>
      <w:r w:rsidR="00C67EE4" w:rsidRPr="009439E8">
        <w:t>eferral decision</w:t>
      </w:r>
      <w:r w:rsidRPr="009439E8">
        <w:t xml:space="preserve"> is </w:t>
      </w:r>
      <w:r w:rsidR="00C67EE4" w:rsidRPr="009439E8">
        <w:t xml:space="preserve">made by </w:t>
      </w:r>
      <w:r w:rsidRPr="009439E8">
        <w:t xml:space="preserve">the </w:t>
      </w:r>
      <w:r w:rsidR="00C67EE4" w:rsidRPr="009439E8">
        <w:t>CHO or delegat</w:t>
      </w:r>
      <w:r w:rsidRPr="009439E8">
        <w:t xml:space="preserve">e </w:t>
      </w:r>
      <w:r w:rsidR="009667CA">
        <w:t>(</w:t>
      </w:r>
      <w:r w:rsidR="00C67EE4" w:rsidRPr="009439E8">
        <w:t>always with legal advice</w:t>
      </w:r>
      <w:r w:rsidR="009667CA">
        <w:t>)</w:t>
      </w:r>
      <w:r w:rsidR="00C67EE4" w:rsidRPr="009439E8">
        <w:t xml:space="preserve"> and, where appropriate, in consultation with the </w:t>
      </w:r>
      <w:r w:rsidR="00E34D4F">
        <w:t>c</w:t>
      </w:r>
      <w:r w:rsidR="00C67EE4" w:rsidRPr="009439E8">
        <w:t xml:space="preserve">hair of the HIV </w:t>
      </w:r>
      <w:r w:rsidR="00BF7945">
        <w:t xml:space="preserve">Case Advisory </w:t>
      </w:r>
      <w:r w:rsidR="00C67EE4" w:rsidRPr="009439E8">
        <w:t xml:space="preserve">Panel following discussion with the full HIV </w:t>
      </w:r>
      <w:r w:rsidR="00BF7945">
        <w:t xml:space="preserve">Case </w:t>
      </w:r>
      <w:r w:rsidRPr="009439E8">
        <w:t xml:space="preserve">Advisory </w:t>
      </w:r>
      <w:r w:rsidR="00C67EE4" w:rsidRPr="009439E8">
        <w:t xml:space="preserve">Panel. </w:t>
      </w:r>
      <w:r w:rsidR="00FF512A">
        <w:t>Referral to s</w:t>
      </w:r>
      <w:r w:rsidR="6AC3AC10">
        <w:t xml:space="preserve">upport services, including peer services, should be provided to the client during </w:t>
      </w:r>
      <w:r w:rsidR="669028FF">
        <w:t xml:space="preserve">these processes. </w:t>
      </w:r>
      <w:r w:rsidR="00EB4BA1">
        <w:t>I</w:t>
      </w:r>
      <w:r w:rsidR="008C2300">
        <w:t xml:space="preserve">f the </w:t>
      </w:r>
      <w:r w:rsidR="00712FBA">
        <w:t>individual</w:t>
      </w:r>
      <w:r w:rsidR="008C2300">
        <w:t xml:space="preserve"> does not have capacity</w:t>
      </w:r>
      <w:r w:rsidR="00712FBA">
        <w:t xml:space="preserve"> for decision making</w:t>
      </w:r>
      <w:r w:rsidR="008C2300">
        <w:t>,</w:t>
      </w:r>
      <w:r w:rsidR="00712FBA">
        <w:t xml:space="preserve"> consideration for a legal guardian should be sought.</w:t>
      </w:r>
    </w:p>
    <w:p w14:paraId="180A32E6" w14:textId="608E7253" w:rsidR="00013F09" w:rsidRDefault="00C67EE4" w:rsidP="00065380">
      <w:pPr>
        <w:pStyle w:val="DHHSbody"/>
      </w:pPr>
      <w:r w:rsidRPr="009439E8">
        <w:t xml:space="preserve">A referral to police </w:t>
      </w:r>
      <w:r w:rsidR="006B57EA" w:rsidRPr="009439E8">
        <w:t xml:space="preserve">will </w:t>
      </w:r>
      <w:r w:rsidRPr="009439E8">
        <w:t xml:space="preserve">not preclude the </w:t>
      </w:r>
      <w:r w:rsidR="00714EFC">
        <w:t xml:space="preserve">client </w:t>
      </w:r>
      <w:r w:rsidRPr="009439E8">
        <w:t>from continuing to receive support</w:t>
      </w:r>
      <w:r w:rsidR="00714EFC">
        <w:t xml:space="preserve"> or</w:t>
      </w:r>
      <w:r w:rsidRPr="009439E8">
        <w:t xml:space="preserve"> treatment or </w:t>
      </w:r>
      <w:r w:rsidR="00714EFC">
        <w:t xml:space="preserve">to receive </w:t>
      </w:r>
      <w:r w:rsidRPr="009439E8">
        <w:t xml:space="preserve">public health interventions under these </w:t>
      </w:r>
      <w:r w:rsidR="004F6B53">
        <w:t>g</w:t>
      </w:r>
      <w:r w:rsidRPr="009439E8">
        <w:t xml:space="preserve">uidelines. </w:t>
      </w:r>
      <w:r w:rsidR="00714EFC">
        <w:t xml:space="preserve">Those </w:t>
      </w:r>
      <w:r w:rsidRPr="009439E8">
        <w:t>referred by the CHO or delegate to the police should be made aware of their legal rights and obligations, which may include legislation and regulations that allow them to seek suppression orders</w:t>
      </w:r>
      <w:r w:rsidR="009D3A34" w:rsidRPr="009D3A34">
        <w:t xml:space="preserve"> </w:t>
      </w:r>
      <w:r w:rsidR="009D3A34">
        <w:t>from the courts</w:t>
      </w:r>
      <w:r w:rsidRPr="009439E8">
        <w:t xml:space="preserve"> in relation to their name and/or the subject matter of any charges filed against them.</w:t>
      </w:r>
    </w:p>
    <w:p w14:paraId="273DCE81" w14:textId="2998A98B" w:rsidR="0076644F" w:rsidRPr="0076644F" w:rsidRDefault="00013F09" w:rsidP="00560C06">
      <w:pPr>
        <w:pStyle w:val="DHHSbody"/>
      </w:pPr>
      <w:r w:rsidRPr="0076644F">
        <w:t xml:space="preserve">Information held by the </w:t>
      </w:r>
      <w:r w:rsidR="00483E37">
        <w:t>d</w:t>
      </w:r>
      <w:r w:rsidRPr="0076644F">
        <w:t xml:space="preserve">epartment – including a person’s HIV status – is covered by privacy legislation and will therefore be protected. Only in very narrow circumstances will disclosure of that information be permitted. If criminal proceedings are initiated, it becomes a </w:t>
      </w:r>
      <w:r w:rsidR="00E34D4F">
        <w:t>c</w:t>
      </w:r>
      <w:r w:rsidRPr="0076644F">
        <w:t xml:space="preserve">ourt matter and will be governed by different rules beyond the </w:t>
      </w:r>
      <w:r w:rsidR="00C63BE3">
        <w:t>d</w:t>
      </w:r>
      <w:r w:rsidR="00C63BE3" w:rsidRPr="0076644F">
        <w:t>epartment</w:t>
      </w:r>
      <w:r w:rsidR="00C63BE3">
        <w:t>’s</w:t>
      </w:r>
      <w:r w:rsidR="00C63BE3" w:rsidRPr="0076644F">
        <w:t xml:space="preserve"> </w:t>
      </w:r>
      <w:r w:rsidRPr="0076644F">
        <w:t xml:space="preserve">control. The accused can make an application to the courts for a suppression order pursuant to the </w:t>
      </w:r>
      <w:r w:rsidRPr="00D705C9">
        <w:rPr>
          <w:i/>
          <w:iCs/>
        </w:rPr>
        <w:t>Open Courts Act 2013</w:t>
      </w:r>
      <w:r w:rsidRPr="0076644F">
        <w:t xml:space="preserve">, which, among other reasons, will be ordered by the </w:t>
      </w:r>
      <w:r w:rsidR="00F5555B">
        <w:t>c</w:t>
      </w:r>
      <w:r w:rsidRPr="0076644F">
        <w:t xml:space="preserve">ourt if necessary to protect the safety of a person or to prevent prejudice to the administration of justice. Whether a suppression order will be made is a decision for the </w:t>
      </w:r>
      <w:r w:rsidR="00F5555B">
        <w:t>c</w:t>
      </w:r>
      <w:r w:rsidRPr="0076644F">
        <w:t xml:space="preserve">ourts, not the </w:t>
      </w:r>
      <w:r w:rsidR="00483E37">
        <w:t>d</w:t>
      </w:r>
      <w:r w:rsidRPr="0076644F">
        <w:t xml:space="preserve">epartment, and so cannot be impacted by these </w:t>
      </w:r>
      <w:r w:rsidR="00E34D4F">
        <w:t>g</w:t>
      </w:r>
      <w:r w:rsidRPr="0076644F">
        <w:t xml:space="preserve">uidelines. </w:t>
      </w:r>
    </w:p>
    <w:bookmarkEnd w:id="44"/>
    <w:p w14:paraId="4429A6B9" w14:textId="77777777" w:rsidR="00BC4409" w:rsidRDefault="00065380" w:rsidP="00E44064">
      <w:pPr>
        <w:pStyle w:val="DHHSbody"/>
      </w:pPr>
      <w:r w:rsidRPr="009439E8">
        <w:t xml:space="preserve">Some </w:t>
      </w:r>
      <w:r w:rsidR="00A7177C" w:rsidRPr="009439E8">
        <w:t>individuals</w:t>
      </w:r>
      <w:r w:rsidRPr="009439E8">
        <w:t xml:space="preserve">, however, may lack capacity to modify their behaviour due to cognitive impairment, mental illness or </w:t>
      </w:r>
      <w:r w:rsidR="277F8BBA">
        <w:t xml:space="preserve">problematic </w:t>
      </w:r>
      <w:r w:rsidRPr="009439E8">
        <w:t xml:space="preserve">drug and alcohol use. Such </w:t>
      </w:r>
      <w:r w:rsidR="00A7177C" w:rsidRPr="009439E8">
        <w:t>individuals</w:t>
      </w:r>
      <w:r w:rsidRPr="009439E8">
        <w:t xml:space="preserve"> are best managed under the PHW Act or, where appropriate, the </w:t>
      </w:r>
      <w:r w:rsidRPr="009439E8">
        <w:rPr>
          <w:i/>
        </w:rPr>
        <w:t>Mental Health Act 2014</w:t>
      </w:r>
      <w:r w:rsidRPr="009439E8">
        <w:t xml:space="preserve"> or </w:t>
      </w:r>
      <w:r w:rsidRPr="009439E8">
        <w:rPr>
          <w:i/>
        </w:rPr>
        <w:t>Disability Act 2006</w:t>
      </w:r>
      <w:r w:rsidRPr="009439E8">
        <w:t xml:space="preserve">, thereby employing the full range of statutory powers and resources to contain the risks. Referral to Victoria Police in such a circumstance is not likely to be helpful in reducing the </w:t>
      </w:r>
      <w:r w:rsidR="66E6C067">
        <w:t>HIV</w:t>
      </w:r>
      <w:r>
        <w:t xml:space="preserve"> </w:t>
      </w:r>
      <w:r w:rsidRPr="009439E8">
        <w:t>risk to the public.</w:t>
      </w:r>
      <w:bookmarkStart w:id="46" w:name="_Toc20311936"/>
      <w:bookmarkEnd w:id="0"/>
    </w:p>
    <w:p w14:paraId="1B63EC1B" w14:textId="77777777" w:rsidR="00BC4409" w:rsidRDefault="00BC4409">
      <w:pPr>
        <w:rPr>
          <w:rFonts w:ascii="Arial" w:eastAsia="Times" w:hAnsi="Arial"/>
        </w:rPr>
      </w:pPr>
      <w:r>
        <w:br w:type="page"/>
      </w:r>
    </w:p>
    <w:p w14:paraId="636581BA" w14:textId="272E0DE8" w:rsidR="00BC4409" w:rsidRDefault="00BC4409" w:rsidP="00BC4409">
      <w:pPr>
        <w:pStyle w:val="Heading1"/>
      </w:pPr>
      <w:bookmarkStart w:id="47" w:name="_Toc89268519"/>
      <w:r w:rsidRPr="00444CDF">
        <w:lastRenderedPageBreak/>
        <w:t>Appendix</w:t>
      </w:r>
      <w:r>
        <w:t>:</w:t>
      </w:r>
      <w:r w:rsidRPr="00444CDF">
        <w:t xml:space="preserve"> Public </w:t>
      </w:r>
      <w:r>
        <w:t>h</w:t>
      </w:r>
      <w:r w:rsidRPr="00444CDF">
        <w:t xml:space="preserve">ealth </w:t>
      </w:r>
      <w:r>
        <w:t>o</w:t>
      </w:r>
      <w:r w:rsidRPr="00444CDF">
        <w:t>rders</w:t>
      </w:r>
      <w:r>
        <w:t xml:space="preserve"> </w:t>
      </w:r>
      <w:r w:rsidRPr="00444CDF">
        <w:t>(</w:t>
      </w:r>
      <w:r>
        <w:t>b</w:t>
      </w:r>
      <w:r w:rsidRPr="00444CDF">
        <w:t>ehavioural)</w:t>
      </w:r>
      <w:bookmarkEnd w:id="47"/>
    </w:p>
    <w:p w14:paraId="482EA612" w14:textId="2CD8449D" w:rsidR="00BC4409" w:rsidRPr="00061278" w:rsidRDefault="00BC4409" w:rsidP="00D705C9">
      <w:pPr>
        <w:pStyle w:val="Heading2"/>
      </w:pPr>
      <w:bookmarkStart w:id="48" w:name="_Toc89268520"/>
      <w:r w:rsidRPr="009A0990">
        <w:t>Statutory preconditions</w:t>
      </w:r>
      <w:bookmarkEnd w:id="48"/>
    </w:p>
    <w:p w14:paraId="40A5D0CA" w14:textId="7FCD11E0" w:rsidR="00BC4409" w:rsidRDefault="00BC4409" w:rsidP="00BC4409">
      <w:pPr>
        <w:pStyle w:val="DHHSbody"/>
      </w:pPr>
      <w:r>
        <w:t xml:space="preserve">The statutory preconditions to the making of a public health order are as set out in ss. 117(1) and (2) of the </w:t>
      </w:r>
      <w:r w:rsidRPr="00885071">
        <w:rPr>
          <w:i/>
          <w:iCs/>
        </w:rPr>
        <w:t>Public Health and Wellbeing Act 2008</w:t>
      </w:r>
      <w:r w:rsidRPr="00885071">
        <w:t xml:space="preserve"> </w:t>
      </w:r>
      <w:r>
        <w:t>(‘the Act’), which are as follows.</w:t>
      </w:r>
    </w:p>
    <w:p w14:paraId="3A70AE08" w14:textId="77777777" w:rsidR="00BC4409" w:rsidRDefault="00BC4409" w:rsidP="00BC4409">
      <w:pPr>
        <w:pStyle w:val="DHHSbullet1"/>
        <w:numPr>
          <w:ilvl w:val="0"/>
          <w:numId w:val="0"/>
        </w:numPr>
        <w:ind w:left="284" w:hanging="284"/>
      </w:pPr>
      <w:r w:rsidRPr="00020FC4">
        <w:t xml:space="preserve">That the Chief Health Officer </w:t>
      </w:r>
      <w:r>
        <w:t xml:space="preserve">(CHO) </w:t>
      </w:r>
      <w:r w:rsidRPr="00020FC4">
        <w:t>believes that:</w:t>
      </w:r>
    </w:p>
    <w:p w14:paraId="0FD12D8B" w14:textId="7933AC37" w:rsidR="00BC4409" w:rsidRPr="00020FC4" w:rsidRDefault="00BC4409" w:rsidP="00BC4409">
      <w:pPr>
        <w:pStyle w:val="DHHSbullet1"/>
      </w:pPr>
      <w:r w:rsidRPr="00020FC4">
        <w:t>a person has an infectious disease or has been exposed to an infectious disease in circumstances where a person is likely to contract the disease</w:t>
      </w:r>
    </w:p>
    <w:p w14:paraId="66CCEFA8" w14:textId="4E62C546" w:rsidR="00BC4409" w:rsidRPr="00020FC4" w:rsidRDefault="00BC4409" w:rsidP="00BC4409">
      <w:pPr>
        <w:pStyle w:val="DHHSbullet1"/>
      </w:pPr>
      <w:r w:rsidRPr="00020FC4">
        <w:t>if a person is infected with that infectious disease, a serious risk to public health is constituted by the infectious disease, or the combination of the infectious disease and the likely behaviour of that person</w:t>
      </w:r>
    </w:p>
    <w:p w14:paraId="5F12E8C8" w14:textId="3E36DBAE" w:rsidR="00BC4409" w:rsidRPr="00020FC4" w:rsidRDefault="00BC4409" w:rsidP="00BC4409">
      <w:pPr>
        <w:pStyle w:val="DHHSbullet1"/>
      </w:pPr>
      <w:r w:rsidRPr="00020FC4">
        <w:t>if infected with that infectious disease, the person needs to take particular action or refrain from taking particular action to prevent, as far as is reasonably possible, that infectious disease constituting a serious risk to public health</w:t>
      </w:r>
    </w:p>
    <w:p w14:paraId="737917F2" w14:textId="75800AE1" w:rsidR="00BC4409" w:rsidRPr="00020FC4" w:rsidRDefault="00BC4409" w:rsidP="00BC4409">
      <w:pPr>
        <w:pStyle w:val="DHHSbullet1"/>
      </w:pPr>
      <w:r w:rsidRPr="00020FC4">
        <w:t xml:space="preserve">a reasonable attempt has been made to provide that person with information </w:t>
      </w:r>
      <w:r w:rsidR="001C6564">
        <w:t>about</w:t>
      </w:r>
      <w:r w:rsidRPr="00020FC4">
        <w:t xml:space="preserve"> the effect of the infectious disease on the person</w:t>
      </w:r>
      <w:r w:rsidR="00415771">
        <w:t>’</w:t>
      </w:r>
      <w:r w:rsidRPr="00020FC4">
        <w:t>s health and the risk posed to public health or it is not practicable to provide this information before making the order</w:t>
      </w:r>
    </w:p>
    <w:p w14:paraId="07989036" w14:textId="77777777" w:rsidR="00BC4409" w:rsidRDefault="00BC4409" w:rsidP="00D705C9">
      <w:pPr>
        <w:pStyle w:val="DHHSbullet1lastline"/>
      </w:pPr>
      <w:r w:rsidRPr="00020FC4">
        <w:t>it is necessary to make the public health order to eliminate or reduce the risk of the person causing a serious risk to public health.</w:t>
      </w:r>
    </w:p>
    <w:p w14:paraId="0EC85131" w14:textId="77777777" w:rsidR="00BC4409" w:rsidRPr="00020FC4" w:rsidRDefault="00BC4409" w:rsidP="00BC4409">
      <w:pPr>
        <w:pStyle w:val="DHHSbullet1"/>
        <w:numPr>
          <w:ilvl w:val="0"/>
          <w:numId w:val="0"/>
        </w:numPr>
      </w:pPr>
      <w:r w:rsidRPr="00020FC4">
        <w:t xml:space="preserve">That the </w:t>
      </w:r>
      <w:r>
        <w:t>CHO</w:t>
      </w:r>
      <w:r w:rsidRPr="00020FC4">
        <w:t xml:space="preserve"> has had regard to the following factors:</w:t>
      </w:r>
    </w:p>
    <w:p w14:paraId="35DF6ED7" w14:textId="4C2E5C0A" w:rsidR="00BC4409" w:rsidRPr="00020FC4" w:rsidRDefault="00BC4409" w:rsidP="00BC4409">
      <w:pPr>
        <w:pStyle w:val="DHHSbullet1"/>
      </w:pPr>
      <w:r w:rsidRPr="00020FC4">
        <w:t>the nature of the infectious disease, including the ease with which it is transmitted</w:t>
      </w:r>
    </w:p>
    <w:p w14:paraId="57ABF4C3" w14:textId="298DC0AE" w:rsidR="00BC4409" w:rsidRPr="00020FC4" w:rsidRDefault="00BC4409" w:rsidP="00BC4409">
      <w:pPr>
        <w:pStyle w:val="DHHSbullet1"/>
      </w:pPr>
      <w:r w:rsidRPr="00020FC4">
        <w:t>the availability and effectiveness of treatment for the infectious disease</w:t>
      </w:r>
    </w:p>
    <w:p w14:paraId="7AD9C1B1" w14:textId="419B74E0" w:rsidR="00BC4409" w:rsidRPr="00020FC4" w:rsidRDefault="00BC4409" w:rsidP="00BC4409">
      <w:pPr>
        <w:pStyle w:val="DHHSbullet1"/>
      </w:pPr>
      <w:r w:rsidRPr="00020FC4">
        <w:t>the possible side</w:t>
      </w:r>
      <w:r w:rsidR="001C6564">
        <w:t xml:space="preserve"> </w:t>
      </w:r>
      <w:r w:rsidRPr="00020FC4">
        <w:t>effects and discomfort that may be caused to the person who is or may be infected with the infectious disease if he or she is required to undergo specified pharmacological treatment or prophylaxis for the infectious disease</w:t>
      </w:r>
    </w:p>
    <w:p w14:paraId="0EE88FE0" w14:textId="03DF91FE" w:rsidR="00BC4409" w:rsidRPr="00020FC4" w:rsidRDefault="00BC4409" w:rsidP="00BC4409">
      <w:pPr>
        <w:pStyle w:val="DHHSbullet1"/>
      </w:pPr>
      <w:r w:rsidRPr="00020FC4">
        <w:t>whether urgent action will significantly affect the public health outcome</w:t>
      </w:r>
    </w:p>
    <w:p w14:paraId="0AE43F7F" w14:textId="32F05DDE" w:rsidR="00BC4409" w:rsidRPr="00020FC4" w:rsidRDefault="00BC4409" w:rsidP="00BC4409">
      <w:pPr>
        <w:pStyle w:val="DHHSbullet1"/>
      </w:pPr>
      <w:r w:rsidRPr="00020FC4">
        <w:t>the capacity of the person who is or may be infected with the infectious disease to understand the risk to public health constituted by the person having the infectious disease</w:t>
      </w:r>
    </w:p>
    <w:p w14:paraId="7164AAAC" w14:textId="4A4DE803" w:rsidR="00BC4409" w:rsidRPr="00020FC4" w:rsidRDefault="00BC4409" w:rsidP="00BC4409">
      <w:pPr>
        <w:pStyle w:val="DHHSbullet1"/>
      </w:pPr>
      <w:r w:rsidRPr="00020FC4">
        <w:t>any prescribed factors</w:t>
      </w:r>
    </w:p>
    <w:p w14:paraId="3DF489E3" w14:textId="77777777" w:rsidR="00BC4409" w:rsidRPr="00020FC4" w:rsidRDefault="00BC4409" w:rsidP="00BC4409">
      <w:pPr>
        <w:pStyle w:val="DHHSbullet1"/>
      </w:pPr>
      <w:r w:rsidRPr="00020FC4">
        <w:t xml:space="preserve">any other factors that the </w:t>
      </w:r>
      <w:r>
        <w:t xml:space="preserve">CHO </w:t>
      </w:r>
      <w:r w:rsidRPr="00020FC4">
        <w:t>considers are relevant in the particular circumstances.</w:t>
      </w:r>
    </w:p>
    <w:p w14:paraId="53774D2F" w14:textId="77777777" w:rsidR="00BC4409" w:rsidRDefault="00BC4409" w:rsidP="00D705C9">
      <w:pPr>
        <w:pStyle w:val="Heading2"/>
      </w:pPr>
      <w:bookmarkStart w:id="49" w:name="_Toc89268521"/>
      <w:r w:rsidRPr="009A0990">
        <w:t>Form requirements</w:t>
      </w:r>
      <w:bookmarkEnd w:id="49"/>
      <w:r>
        <w:t xml:space="preserve"> </w:t>
      </w:r>
    </w:p>
    <w:p w14:paraId="22D8D42D" w14:textId="65A99A75" w:rsidR="00BC4409" w:rsidRPr="00885071" w:rsidRDefault="00BC4409" w:rsidP="00D705C9">
      <w:pPr>
        <w:pStyle w:val="DHHSbody"/>
      </w:pPr>
      <w:r w:rsidRPr="00885071">
        <w:t xml:space="preserve">The form requirements of a public health order are set out in </w:t>
      </w:r>
      <w:r>
        <w:t>s.</w:t>
      </w:r>
      <w:r w:rsidRPr="00885071">
        <w:t xml:space="preserve"> 117(3) of the Act and are that the order must:</w:t>
      </w:r>
    </w:p>
    <w:p w14:paraId="71C4C5D0" w14:textId="6C3CE412" w:rsidR="00BC4409" w:rsidRPr="00020FC4" w:rsidRDefault="001C6564" w:rsidP="00BC4409">
      <w:pPr>
        <w:pStyle w:val="DHHSbullet1"/>
      </w:pPr>
      <w:r>
        <w:rPr>
          <w:rFonts w:cs="Arial"/>
        </w:rPr>
        <w:t xml:space="preserve">be </w:t>
      </w:r>
      <w:r w:rsidR="00BC4409" w:rsidRPr="00020FC4">
        <w:t>in writing</w:t>
      </w:r>
    </w:p>
    <w:p w14:paraId="24E5A6E3" w14:textId="77067488" w:rsidR="00BC4409" w:rsidRPr="00020FC4" w:rsidRDefault="00BC4409" w:rsidP="00BC4409">
      <w:pPr>
        <w:pStyle w:val="DHHSbullet1"/>
      </w:pPr>
      <w:r w:rsidRPr="00020FC4">
        <w:t>identify the person to whom the order applies</w:t>
      </w:r>
    </w:p>
    <w:p w14:paraId="194022B7" w14:textId="4DB1781F" w:rsidR="00BC4409" w:rsidRPr="00020FC4" w:rsidRDefault="00BC4409" w:rsidP="00BC4409">
      <w:pPr>
        <w:pStyle w:val="DHHSbullet1"/>
      </w:pPr>
      <w:r w:rsidRPr="00020FC4">
        <w:t>specify the purpose of the order</w:t>
      </w:r>
    </w:p>
    <w:p w14:paraId="4C808E90" w14:textId="1738BD0B" w:rsidR="00BC4409" w:rsidRPr="00020FC4" w:rsidRDefault="00BC4409" w:rsidP="00BC4409">
      <w:pPr>
        <w:pStyle w:val="DHHSbullet1"/>
      </w:pPr>
      <w:r w:rsidRPr="00020FC4">
        <w:t xml:space="preserve">specify the infectious disease </w:t>
      </w:r>
      <w:r w:rsidR="001C6564">
        <w:t>that</w:t>
      </w:r>
      <w:r w:rsidR="001C6564" w:rsidRPr="00020FC4">
        <w:t xml:space="preserve"> </w:t>
      </w:r>
      <w:r w:rsidRPr="00020FC4">
        <w:t xml:space="preserve">the </w:t>
      </w:r>
      <w:r>
        <w:t>CHO</w:t>
      </w:r>
      <w:r w:rsidRPr="00020FC4">
        <w:t xml:space="preserve"> believes the person has or has been exposed to</w:t>
      </w:r>
    </w:p>
    <w:p w14:paraId="7AE9FA1C" w14:textId="76B908D6" w:rsidR="00BC4409" w:rsidRPr="00020FC4" w:rsidRDefault="00BC4409" w:rsidP="00BC4409">
      <w:pPr>
        <w:pStyle w:val="DHHSbullet1"/>
      </w:pPr>
      <w:r w:rsidRPr="00020FC4">
        <w:t xml:space="preserve">explain why the </w:t>
      </w:r>
      <w:r>
        <w:t>CHO</w:t>
      </w:r>
      <w:r w:rsidRPr="00020FC4">
        <w:t xml:space="preserve"> believes that the person is infected with the infectious disease or has been exposed to the infectious disease in circumstances where a person is likely to contract the infectious disease</w:t>
      </w:r>
    </w:p>
    <w:p w14:paraId="7D2CEF2B" w14:textId="7692FBA8" w:rsidR="00BC4409" w:rsidRPr="00020FC4" w:rsidRDefault="00BC4409" w:rsidP="00BC4409">
      <w:pPr>
        <w:pStyle w:val="DHHSbullet1"/>
      </w:pPr>
      <w:r w:rsidRPr="00020FC4">
        <w:t xml:space="preserve">specify the period for which the public health order continues to have effect, which must not exceed </w:t>
      </w:r>
      <w:r>
        <w:t>six</w:t>
      </w:r>
      <w:r w:rsidRPr="00020FC4">
        <w:t xml:space="preserve"> months from the day on which the order is made and must be proportionate with the risk that the person poses to public health</w:t>
      </w:r>
    </w:p>
    <w:p w14:paraId="3FE02D25" w14:textId="7FCD5111" w:rsidR="00BC4409" w:rsidRPr="00020FC4" w:rsidRDefault="00BC4409" w:rsidP="00BC4409">
      <w:pPr>
        <w:pStyle w:val="DHHSbullet1"/>
      </w:pPr>
      <w:r w:rsidRPr="00020FC4">
        <w:t>explain the person’s rights and entitlements under the Act and the process for making an application for review to VCAT</w:t>
      </w:r>
    </w:p>
    <w:p w14:paraId="1630CD45" w14:textId="02ABEEE4" w:rsidR="00BC4409" w:rsidRPr="00020FC4" w:rsidRDefault="00BC4409" w:rsidP="00BC4409">
      <w:pPr>
        <w:pStyle w:val="DHHSbullet1"/>
      </w:pPr>
      <w:r w:rsidRPr="00020FC4">
        <w:lastRenderedPageBreak/>
        <w:t>contain a statement that the person should seek legal advice</w:t>
      </w:r>
    </w:p>
    <w:p w14:paraId="693F87F6" w14:textId="77777777" w:rsidR="00BC4409" w:rsidRPr="00020FC4" w:rsidRDefault="00BC4409" w:rsidP="00BC4409">
      <w:pPr>
        <w:pStyle w:val="DHHSbullet1"/>
      </w:pPr>
      <w:r w:rsidRPr="00020FC4">
        <w:t xml:space="preserve">explain that if the person does not comply with the order, the person commits an offence and is liable to a penalty not exceeding 120 penalty units. </w:t>
      </w:r>
    </w:p>
    <w:p w14:paraId="22BFDB90" w14:textId="77777777" w:rsidR="00BC4409" w:rsidRPr="00061278" w:rsidRDefault="00BC4409" w:rsidP="00D705C9">
      <w:pPr>
        <w:pStyle w:val="Heading2"/>
      </w:pPr>
      <w:bookmarkStart w:id="50" w:name="_Toc89268522"/>
      <w:r w:rsidRPr="009A0990">
        <w:t>The rights of a person subject to an order</w:t>
      </w:r>
      <w:bookmarkEnd w:id="50"/>
    </w:p>
    <w:p w14:paraId="3556E147" w14:textId="0BD7EE38" w:rsidR="00BC4409" w:rsidRPr="005F6923" w:rsidRDefault="00BC4409" w:rsidP="00BC4409">
      <w:pPr>
        <w:rPr>
          <w:rFonts w:ascii="Arial" w:hAnsi="Arial" w:cs="Arial"/>
        </w:rPr>
      </w:pPr>
      <w:r w:rsidRPr="005F6923">
        <w:rPr>
          <w:rFonts w:ascii="Arial" w:hAnsi="Arial" w:cs="Arial"/>
        </w:rPr>
        <w:t xml:space="preserve">A person subject to a public health order has the following rights of review under </w:t>
      </w:r>
      <w:r>
        <w:rPr>
          <w:rFonts w:ascii="Arial" w:hAnsi="Arial" w:cs="Arial"/>
        </w:rPr>
        <w:t>ss.</w:t>
      </w:r>
      <w:r w:rsidRPr="005F6923">
        <w:rPr>
          <w:rFonts w:ascii="Arial" w:hAnsi="Arial" w:cs="Arial"/>
        </w:rPr>
        <w:t xml:space="preserve"> 121 and 122 of the Act</w:t>
      </w:r>
      <w:r w:rsidR="001C6564">
        <w:rPr>
          <w:rFonts w:ascii="Arial" w:hAnsi="Arial" w:cs="Arial"/>
        </w:rPr>
        <w:t>.</w:t>
      </w:r>
    </w:p>
    <w:p w14:paraId="54CE3C2B" w14:textId="75DA8700" w:rsidR="00BC4409" w:rsidRPr="00020FC4" w:rsidRDefault="00BC4409" w:rsidP="00D705C9">
      <w:pPr>
        <w:pStyle w:val="Heading3"/>
      </w:pPr>
      <w:r w:rsidRPr="00020FC4">
        <w:t>Internal review</w:t>
      </w:r>
    </w:p>
    <w:p w14:paraId="06E719F0" w14:textId="5B79EEBA" w:rsidR="00BC4409" w:rsidRPr="00020FC4" w:rsidRDefault="00BC4409" w:rsidP="00BC4409">
      <w:pPr>
        <w:pStyle w:val="DHHSbullet1"/>
      </w:pPr>
      <w:r>
        <w:t>A</w:t>
      </w:r>
      <w:r w:rsidRPr="00020FC4">
        <w:t xml:space="preserve"> person subject to a public health order may at any time while the order is in force apply to the </w:t>
      </w:r>
      <w:r>
        <w:t>CHO</w:t>
      </w:r>
      <w:r w:rsidRPr="00020FC4">
        <w:t xml:space="preserve"> for a review of the order</w:t>
      </w:r>
      <w:r>
        <w:t>.</w:t>
      </w:r>
    </w:p>
    <w:p w14:paraId="6ADAB745" w14:textId="6FC84CC7" w:rsidR="00BC4409" w:rsidRPr="00020FC4" w:rsidRDefault="00BC4409" w:rsidP="00BC4409">
      <w:pPr>
        <w:pStyle w:val="DHHSbullet1"/>
      </w:pPr>
      <w:r>
        <w:t>A</w:t>
      </w:r>
      <w:r w:rsidRPr="00020FC4">
        <w:t xml:space="preserve">n application for a review of a public health order must be in writing or in any other form approved by the </w:t>
      </w:r>
      <w:r>
        <w:t>CHO.</w:t>
      </w:r>
    </w:p>
    <w:p w14:paraId="63B5BCEA" w14:textId="2D2B709B" w:rsidR="00BC4409" w:rsidRPr="00020FC4" w:rsidRDefault="00BC4409" w:rsidP="00BC4409">
      <w:pPr>
        <w:pStyle w:val="DHHSbullet1"/>
      </w:pPr>
      <w:r>
        <w:t>W</w:t>
      </w:r>
      <w:r w:rsidRPr="00020FC4">
        <w:t xml:space="preserve">ithin the period of </w:t>
      </w:r>
      <w:r>
        <w:t>seven</w:t>
      </w:r>
      <w:r w:rsidRPr="00020FC4">
        <w:t xml:space="preserve"> days after receiving the application for review, the </w:t>
      </w:r>
      <w:r>
        <w:t>CHO</w:t>
      </w:r>
      <w:r w:rsidRPr="00020FC4">
        <w:t xml:space="preserve"> must review the public health order and may revoke, vary or confirm the order. </w:t>
      </w:r>
    </w:p>
    <w:p w14:paraId="4E1D37BF" w14:textId="77777777" w:rsidR="00BC4409" w:rsidRPr="00020FC4" w:rsidRDefault="00BC4409" w:rsidP="00D705C9">
      <w:pPr>
        <w:pStyle w:val="Heading3"/>
      </w:pPr>
      <w:r w:rsidRPr="00020FC4">
        <w:t>Review by VCAT</w:t>
      </w:r>
    </w:p>
    <w:p w14:paraId="2C38BC16" w14:textId="2E0266A4" w:rsidR="00AF1DCB" w:rsidRPr="00E44064" w:rsidRDefault="00BC4409" w:rsidP="00E44064">
      <w:pPr>
        <w:pStyle w:val="DHHSbullet1"/>
      </w:pPr>
      <w:r w:rsidRPr="00020FC4">
        <w:t xml:space="preserve">A person subject to a public health order may at any time while the order is in force apply to VCAT for a review of the decision to make the order. </w:t>
      </w:r>
      <w:r w:rsidR="00875BA7">
        <w:br w:type="page"/>
      </w:r>
      <w:bookmarkEnd w:id="46"/>
    </w:p>
    <w:bookmarkStart w:id="51" w:name="_Toc89268523" w:displacedByCustomXml="next"/>
    <w:sdt>
      <w:sdtPr>
        <w:rPr>
          <w:rFonts w:ascii="Calibri" w:eastAsiaTheme="minorHAnsi" w:hAnsi="Calibri" w:cstheme="minorBidi"/>
          <w:bCs w:val="0"/>
          <w:noProof/>
          <w:color w:val="auto"/>
          <w:sz w:val="22"/>
          <w:szCs w:val="22"/>
          <w:lang w:val="en-US"/>
        </w:rPr>
        <w:id w:val="-1789421469"/>
        <w:docPartObj>
          <w:docPartGallery w:val="Bibliographies"/>
          <w:docPartUnique/>
        </w:docPartObj>
      </w:sdtPr>
      <w:sdtEndPr>
        <w:rPr>
          <w:rFonts w:ascii="Arial" w:eastAsia="Times" w:hAnsi="Arial" w:cs="Times New Roman"/>
          <w:noProof w:val="0"/>
          <w:sz w:val="20"/>
          <w:szCs w:val="20"/>
          <w:lang w:val="en-AU"/>
        </w:rPr>
      </w:sdtEndPr>
      <w:sdtContent>
        <w:p w14:paraId="3EA70D5C" w14:textId="363281D9" w:rsidR="00833B89" w:rsidRDefault="00833B89">
          <w:pPr>
            <w:pStyle w:val="Heading1"/>
          </w:pPr>
          <w:r>
            <w:t>References</w:t>
          </w:r>
          <w:bookmarkEnd w:id="51"/>
        </w:p>
        <w:sdt>
          <w:sdtPr>
            <w:rPr>
              <w:rFonts w:ascii="Calibri" w:eastAsiaTheme="minorHAnsi" w:hAnsi="Calibri" w:cstheme="minorBidi"/>
              <w:noProof/>
              <w:sz w:val="22"/>
              <w:szCs w:val="22"/>
              <w:lang w:val="en-US"/>
            </w:rPr>
            <w:id w:val="-573587230"/>
            <w:bibliography/>
          </w:sdtPr>
          <w:sdtEndPr>
            <w:rPr>
              <w:rFonts w:ascii="Arial" w:eastAsia="Times" w:hAnsi="Arial" w:cs="Times New Roman"/>
              <w:noProof w:val="0"/>
              <w:sz w:val="20"/>
              <w:szCs w:val="20"/>
              <w:lang w:val="en-AU"/>
            </w:rPr>
          </w:sdtEndPr>
          <w:sdtContent>
            <w:p w14:paraId="2DC7A864" w14:textId="77777777" w:rsidR="00BC4409" w:rsidRPr="001C6564" w:rsidRDefault="00833B89" w:rsidP="00BC4409">
              <w:pPr>
                <w:pStyle w:val="Bibliography"/>
                <w:rPr>
                  <w:noProof/>
                  <w:sz w:val="24"/>
                  <w:szCs w:val="24"/>
                </w:rPr>
              </w:pPr>
              <w:r w:rsidRPr="00483E37">
                <w:rPr>
                  <w:rFonts w:cs="Arial"/>
                  <w:sz w:val="21"/>
                </w:rPr>
                <w:fldChar w:fldCharType="begin"/>
              </w:r>
              <w:r w:rsidRPr="00483E37">
                <w:rPr>
                  <w:rFonts w:cs="Arial"/>
                </w:rPr>
                <w:instrText xml:space="preserve"> BIBLIOGRAPHY </w:instrText>
              </w:r>
              <w:r w:rsidRPr="00483E37">
                <w:rPr>
                  <w:rFonts w:cs="Arial"/>
                  <w:sz w:val="21"/>
                </w:rPr>
                <w:fldChar w:fldCharType="separate"/>
              </w:r>
              <w:r w:rsidR="00BC4409">
                <w:rPr>
                  <w:noProof/>
                </w:rPr>
                <w:t xml:space="preserve">1. </w:t>
              </w:r>
              <w:r w:rsidR="00BC4409" w:rsidRPr="001C6564">
                <w:rPr>
                  <w:noProof/>
                </w:rPr>
                <w:t xml:space="preserve">Department of Health. </w:t>
              </w:r>
              <w:r w:rsidR="00BC4409" w:rsidRPr="001C6564">
                <w:rPr>
                  <w:i/>
                  <w:iCs/>
                  <w:noProof/>
                </w:rPr>
                <w:t xml:space="preserve">National guidelines for managing HIV transmission risk behaviours. </w:t>
              </w:r>
              <w:r w:rsidR="00BC4409" w:rsidRPr="001C6564">
                <w:rPr>
                  <w:noProof/>
                </w:rPr>
                <w:t>Canberra : Australian Government, 2018.</w:t>
              </w:r>
            </w:p>
            <w:p w14:paraId="5F93E223" w14:textId="77777777" w:rsidR="00BC4409" w:rsidRPr="001C6564" w:rsidRDefault="00BC4409" w:rsidP="00BC4409">
              <w:pPr>
                <w:pStyle w:val="Bibliography"/>
                <w:rPr>
                  <w:noProof/>
                </w:rPr>
              </w:pPr>
              <w:r w:rsidRPr="001C6564">
                <w:rPr>
                  <w:noProof/>
                </w:rPr>
                <w:t xml:space="preserve">2. </w:t>
              </w:r>
              <w:r w:rsidRPr="001C6564">
                <w:rPr>
                  <w:i/>
                  <w:iCs/>
                  <w:noProof/>
                </w:rPr>
                <w:t xml:space="preserve">HIV transmission risk through condomless sex in serodifferent gay couples with the HIV-positive partner taking suppressive antiretroviral therapy (PARTNER): final results of a multicentre, prospective, observational study. </w:t>
              </w:r>
              <w:r w:rsidRPr="001C6564">
                <w:rPr>
                  <w:noProof/>
                </w:rPr>
                <w:t>Rodger AJ, Cambiano V, Bruun T, Vernazza P, Collins S, Degen O, et al. 10189, s.l. : The Lancet, 2019, Lancet, Vol. 393. 2428–2438.</w:t>
              </w:r>
            </w:p>
            <w:p w14:paraId="47574270" w14:textId="77777777" w:rsidR="00BC4409" w:rsidRPr="001C6564" w:rsidRDefault="00BC4409" w:rsidP="00BC4409">
              <w:pPr>
                <w:pStyle w:val="Bibliography"/>
                <w:rPr>
                  <w:noProof/>
                </w:rPr>
              </w:pPr>
              <w:r w:rsidRPr="001C6564">
                <w:rPr>
                  <w:noProof/>
                </w:rPr>
                <w:t xml:space="preserve">3. </w:t>
              </w:r>
              <w:r w:rsidRPr="001C6564">
                <w:rPr>
                  <w:i/>
                  <w:iCs/>
                  <w:noProof/>
                </w:rPr>
                <w:t xml:space="preserve">HIV transmission risk through anal intercourse: systematic review, meta-analysis and implications for HIV prevention. </w:t>
              </w:r>
              <w:r w:rsidRPr="001C6564">
                <w:rPr>
                  <w:noProof/>
                </w:rPr>
                <w:t>Baggaley RF, White RG, Boily MC. 4, s.l. : International Journal of Epidemiology, 2010, Vol. 39. 1048–1063.</w:t>
              </w:r>
            </w:p>
            <w:p w14:paraId="799CA7D6" w14:textId="77777777" w:rsidR="00BC4409" w:rsidRPr="001C6564" w:rsidRDefault="00BC4409" w:rsidP="00BC4409">
              <w:pPr>
                <w:pStyle w:val="Bibliography"/>
                <w:rPr>
                  <w:noProof/>
                </w:rPr>
              </w:pPr>
              <w:r w:rsidRPr="001C6564">
                <w:rPr>
                  <w:noProof/>
                </w:rPr>
                <w:t xml:space="preserve">4. </w:t>
              </w:r>
              <w:r w:rsidRPr="001C6564">
                <w:rPr>
                  <w:i/>
                  <w:iCs/>
                  <w:noProof/>
                </w:rPr>
                <w:t xml:space="preserve">Infectiousness of HIV-infected homosexual men in the era of highly active antiretroviral therapy. </w:t>
              </w:r>
              <w:r w:rsidRPr="001C6564">
                <w:rPr>
                  <w:noProof/>
                </w:rPr>
                <w:t>Baggaley RF, White RG, Boily MC. 15, s.l. : AIDS, 2010, Vol. 24. 2418–2420.</w:t>
              </w:r>
            </w:p>
            <w:p w14:paraId="09DFC531" w14:textId="77777777" w:rsidR="00BC4409" w:rsidRPr="001C6564" w:rsidRDefault="00BC4409" w:rsidP="00BC4409">
              <w:pPr>
                <w:pStyle w:val="Bibliography"/>
                <w:rPr>
                  <w:noProof/>
                </w:rPr>
              </w:pPr>
              <w:r w:rsidRPr="001C6564">
                <w:rPr>
                  <w:noProof/>
                </w:rPr>
                <w:t xml:space="preserve">5. </w:t>
              </w:r>
              <w:r w:rsidRPr="001C6564">
                <w:rPr>
                  <w:i/>
                  <w:iCs/>
                  <w:noProof/>
                </w:rPr>
                <w:t xml:space="preserve">Effectiveness of highly active antiretroviral therapy in reducing heterosexual transmission of HIV. </w:t>
              </w:r>
              <w:r w:rsidRPr="001C6564">
                <w:rPr>
                  <w:noProof/>
                </w:rPr>
                <w:t>Castilla J, Del Romero J, Hernando V, Marincovich B, Garcia S, Rodriguez C. 1, s.l. : Journal of Acquired Immune Deficiency Syndromes, 2005, Vol. 40. 96–101.</w:t>
              </w:r>
            </w:p>
            <w:p w14:paraId="689C936F" w14:textId="77777777" w:rsidR="00BC4409" w:rsidRPr="001C6564" w:rsidRDefault="00BC4409" w:rsidP="00BC4409">
              <w:pPr>
                <w:pStyle w:val="Bibliography"/>
                <w:rPr>
                  <w:noProof/>
                </w:rPr>
              </w:pPr>
              <w:r w:rsidRPr="001C6564">
                <w:rPr>
                  <w:noProof/>
                </w:rPr>
                <w:t xml:space="preserve">6. </w:t>
              </w:r>
              <w:r w:rsidRPr="001C6564">
                <w:rPr>
                  <w:i/>
                  <w:iCs/>
                  <w:noProof/>
                </w:rPr>
                <w:t xml:space="preserve">Antiretroviral therapy for the prevention of HIV-1 transmission. </w:t>
              </w:r>
              <w:r w:rsidRPr="001C6564">
                <w:rPr>
                  <w:noProof/>
                </w:rPr>
                <w:t>Cohen M, Chen Y, McCauley M, Gamble T, Hosseinipour M, Kumarasamy N, et al. s.l. : The New England Journal of Medicine, 2016, Vol. 375. 830–839.</w:t>
              </w:r>
            </w:p>
            <w:p w14:paraId="59D0F0B9" w14:textId="77777777" w:rsidR="00BC4409" w:rsidRPr="001C6564" w:rsidRDefault="00BC4409" w:rsidP="00BC4409">
              <w:pPr>
                <w:pStyle w:val="Bibliography"/>
                <w:rPr>
                  <w:noProof/>
                </w:rPr>
              </w:pPr>
              <w:r w:rsidRPr="001C6564">
                <w:rPr>
                  <w:noProof/>
                </w:rPr>
                <w:t xml:space="preserve">7. </w:t>
              </w:r>
              <w:r w:rsidRPr="001C6564">
                <w:rPr>
                  <w:i/>
                  <w:iCs/>
                  <w:noProof/>
                </w:rPr>
                <w:t xml:space="preserve">Heterosexual HIV-1 transmission after initiation of antiretroviral therapy: a prospective cohort analysis. </w:t>
              </w:r>
              <w:r w:rsidRPr="001C6564">
                <w:rPr>
                  <w:noProof/>
                </w:rPr>
                <w:t>Donnell D, Baeten JM, Kiarie J, Thomas KK, Stevens W, Cohen CR, et al. 9731, s.l. : Lancet, 2010, Vol. 375. 2092–2098.</w:t>
              </w:r>
            </w:p>
            <w:p w14:paraId="3FAFDC86" w14:textId="77777777" w:rsidR="00BC4409" w:rsidRPr="001C6564" w:rsidRDefault="00BC4409" w:rsidP="00BC4409">
              <w:pPr>
                <w:pStyle w:val="Bibliography"/>
                <w:rPr>
                  <w:noProof/>
                </w:rPr>
              </w:pPr>
              <w:r w:rsidRPr="001C6564">
                <w:rPr>
                  <w:noProof/>
                </w:rPr>
                <w:t xml:space="preserve">8. </w:t>
              </w:r>
              <w:r w:rsidRPr="001C6564">
                <w:rPr>
                  <w:i/>
                  <w:iCs/>
                  <w:noProof/>
                </w:rPr>
                <w:t xml:space="preserve">Viral suppression and HIV transmission in serodiscordant male couples: an international, prospective, observational, cohort study. </w:t>
              </w:r>
              <w:r w:rsidRPr="001C6564">
                <w:rPr>
                  <w:noProof/>
                </w:rPr>
                <w:t>Bavinton B, Pinto A, Phanuphak N, Grinsztejn B, Prestage G, Zablotska-Manos I, et al. 8, s.l. : The Lancet HIV, 2018, Vol. 2018. 438–447.</w:t>
              </w:r>
            </w:p>
            <w:p w14:paraId="58ABC90F" w14:textId="77777777" w:rsidR="00BC4409" w:rsidRPr="001C6564" w:rsidRDefault="00BC4409" w:rsidP="00BC4409">
              <w:pPr>
                <w:pStyle w:val="Bibliography"/>
                <w:rPr>
                  <w:noProof/>
                </w:rPr>
              </w:pPr>
              <w:r w:rsidRPr="001C6564">
                <w:rPr>
                  <w:noProof/>
                </w:rPr>
                <w:t xml:space="preserve">9. </w:t>
              </w:r>
              <w:r w:rsidRPr="001C6564">
                <w:rPr>
                  <w:i/>
                  <w:iCs/>
                  <w:noProof/>
                </w:rPr>
                <w:t xml:space="preserve">HIV viral load and transmissibility of HIV infection: undetectable equals untransmittable. </w:t>
              </w:r>
              <w:r w:rsidRPr="001C6564">
                <w:rPr>
                  <w:noProof/>
                </w:rPr>
                <w:t>Eisinger RW, Dieffenbach CW, Fauci AS. 5, s.l. : JAMA, 2019, Vol. 321. 451–452.</w:t>
              </w:r>
            </w:p>
            <w:p w14:paraId="514D301F" w14:textId="77777777" w:rsidR="00BC4409" w:rsidRPr="001C6564" w:rsidRDefault="00BC4409" w:rsidP="00BC4409">
              <w:pPr>
                <w:pStyle w:val="Bibliography"/>
                <w:rPr>
                  <w:noProof/>
                </w:rPr>
              </w:pPr>
              <w:r w:rsidRPr="001C6564">
                <w:rPr>
                  <w:noProof/>
                </w:rPr>
                <w:t xml:space="preserve">10. PrEP guidelines update. </w:t>
              </w:r>
              <w:r w:rsidRPr="001C6564">
                <w:rPr>
                  <w:i/>
                  <w:iCs/>
                  <w:noProof/>
                </w:rPr>
                <w:t xml:space="preserve">Australasian Society of HIV, Viral Hepatitis and Sexual Health Medicine (ASHM) . </w:t>
              </w:r>
              <w:r w:rsidRPr="001C6564">
                <w:rPr>
                  <w:noProof/>
                </w:rPr>
                <w:t>[Online] ASHM, 2019. https://www.ashm.org.au/resources/hiv-resources-list/prep-guidelines-2019/.</w:t>
              </w:r>
            </w:p>
            <w:p w14:paraId="193BEFC7" w14:textId="77777777" w:rsidR="00BC4409" w:rsidRPr="001C6564" w:rsidRDefault="00BC4409" w:rsidP="00BC4409">
              <w:pPr>
                <w:pStyle w:val="Bibliography"/>
                <w:rPr>
                  <w:noProof/>
                </w:rPr>
              </w:pPr>
              <w:r w:rsidRPr="001C6564">
                <w:rPr>
                  <w:noProof/>
                </w:rPr>
                <w:t>11. Australian national guidelines for the management of healthcare workers living with blood borne viruses and healthcare workers who perform exposure prone procedures at risk of exposure to blood borne viruses. [Online] 2018. https://www1.health.gov.au/internet/main/publishing.nsf/Content/cda-cdna-bloodborne.htm.</w:t>
              </w:r>
            </w:p>
            <w:p w14:paraId="2B6A68F4" w14:textId="77777777" w:rsidR="00BC4409" w:rsidRPr="001C6564" w:rsidRDefault="00BC4409" w:rsidP="00BC4409">
              <w:pPr>
                <w:pStyle w:val="Bibliography"/>
                <w:rPr>
                  <w:noProof/>
                </w:rPr>
              </w:pPr>
              <w:r w:rsidRPr="001C6564">
                <w:rPr>
                  <w:noProof/>
                </w:rPr>
                <w:t xml:space="preserve">12. European AIDS Treatment Group. </w:t>
              </w:r>
              <w:r w:rsidRPr="001C6564">
                <w:rPr>
                  <w:i/>
                  <w:iCs/>
                  <w:noProof/>
                </w:rPr>
                <w:t xml:space="preserve">Position paper on the overly broad criminalisation of HIV transmission, exposure and/or non-disclosure. </w:t>
              </w:r>
              <w:r w:rsidRPr="001C6564">
                <w:rPr>
                  <w:noProof/>
                </w:rPr>
                <w:t>2013.</w:t>
              </w:r>
            </w:p>
            <w:p w14:paraId="2C49334E" w14:textId="77777777" w:rsidR="00BC4409" w:rsidRPr="001C6564" w:rsidRDefault="00BC4409" w:rsidP="00BC4409">
              <w:pPr>
                <w:pStyle w:val="Bibliography"/>
                <w:rPr>
                  <w:noProof/>
                </w:rPr>
              </w:pPr>
              <w:r w:rsidRPr="001C6564">
                <w:rPr>
                  <w:noProof/>
                </w:rPr>
                <w:t xml:space="preserve">13. </w:t>
              </w:r>
              <w:r w:rsidRPr="001C6564">
                <w:rPr>
                  <w:i/>
                  <w:iCs/>
                  <w:noProof/>
                </w:rPr>
                <w:t xml:space="preserve">Global Commission on HIV and the Law. </w:t>
              </w:r>
              <w:r w:rsidRPr="001C6564">
                <w:rPr>
                  <w:noProof/>
                </w:rPr>
                <w:t>s.l. : Risks, Rights and Health, 2012.</w:t>
              </w:r>
            </w:p>
            <w:p w14:paraId="0F4208F0" w14:textId="77777777" w:rsidR="00BC4409" w:rsidRPr="001C6564" w:rsidRDefault="00BC4409" w:rsidP="00BC4409">
              <w:pPr>
                <w:pStyle w:val="Bibliography"/>
                <w:rPr>
                  <w:noProof/>
                </w:rPr>
              </w:pPr>
              <w:r w:rsidRPr="001C6564">
                <w:rPr>
                  <w:noProof/>
                </w:rPr>
                <w:t xml:space="preserve">14. (UNAIDS), Joint United Nations Programme on HIV/AIDS. </w:t>
              </w:r>
              <w:r w:rsidRPr="001C6564">
                <w:rPr>
                  <w:i/>
                  <w:iCs/>
                  <w:noProof/>
                </w:rPr>
                <w:t xml:space="preserve">Ending overly broad criminalization of HIV non-disclosure, exposure and transmission: critical scientific, medical and legal considerations. </w:t>
              </w:r>
              <w:r w:rsidRPr="001C6564">
                <w:rPr>
                  <w:noProof/>
                </w:rPr>
                <w:t>Geneva : UNAIDS, 2013.</w:t>
              </w:r>
            </w:p>
            <w:p w14:paraId="2FAF1D81" w14:textId="1A08F931" w:rsidR="00A02FAE" w:rsidRPr="00BC4409" w:rsidRDefault="00833B89" w:rsidP="00BC4409">
              <w:pPr>
                <w:pStyle w:val="DHHSbody"/>
                <w:spacing w:after="80"/>
                <w:ind w:left="284" w:hanging="284"/>
              </w:pPr>
              <w:r w:rsidRPr="00483E37">
                <w:rPr>
                  <w:rFonts w:cs="Arial"/>
                </w:rPr>
                <w:fldChar w:fldCharType="end"/>
              </w:r>
            </w:p>
          </w:sdtContent>
        </w:sdt>
      </w:sdtContent>
    </w:sdt>
    <w:sectPr w:rsidR="00A02FAE" w:rsidRPr="00BC4409" w:rsidSect="00BA5E47">
      <w:headerReference w:type="even" r:id="rId19"/>
      <w:headerReference w:type="default" r:id="rId20"/>
      <w:footerReference w:type="even" r:id="rId21"/>
      <w:footerReference w:type="default" r:id="rId22"/>
      <w:footerReference w:type="first" r:id="rId23"/>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A857C3" w14:textId="77777777" w:rsidR="001C313A" w:rsidRDefault="001C313A">
      <w:r>
        <w:separator/>
      </w:r>
    </w:p>
  </w:endnote>
  <w:endnote w:type="continuationSeparator" w:id="0">
    <w:p w14:paraId="77D133F0" w14:textId="77777777" w:rsidR="001C313A" w:rsidRDefault="001C313A">
      <w:r>
        <w:continuationSeparator/>
      </w:r>
    </w:p>
  </w:endnote>
  <w:endnote w:type="continuationNotice" w:id="1">
    <w:p w14:paraId="52D69B51" w14:textId="77777777" w:rsidR="001C313A" w:rsidRDefault="001C31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PMincho">
    <w:panose1 w:val="02020600040205080304"/>
    <w:charset w:val="80"/>
    <w:family w:val="roman"/>
    <w:pitch w:val="variable"/>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2CB7A" w14:textId="7D5150D3" w:rsidR="0092724D" w:rsidRDefault="003B7221">
    <w:pPr>
      <w:pStyle w:val="Footer"/>
    </w:pPr>
    <w:r>
      <w:rPr>
        <w:noProof/>
      </w:rPr>
      <mc:AlternateContent>
        <mc:Choice Requires="wps">
          <w:drawing>
            <wp:anchor distT="0" distB="0" distL="114300" distR="114300" simplePos="0" relativeHeight="251693056" behindDoc="0" locked="0" layoutInCell="0" allowOverlap="1" wp14:anchorId="33969B13" wp14:editId="54544F6C">
              <wp:simplePos x="0" y="0"/>
              <wp:positionH relativeFrom="page">
                <wp:posOffset>0</wp:posOffset>
              </wp:positionH>
              <wp:positionV relativeFrom="page">
                <wp:posOffset>10189210</wp:posOffset>
              </wp:positionV>
              <wp:extent cx="7560310" cy="311785"/>
              <wp:effectExtent l="0" t="0" r="0" b="12065"/>
              <wp:wrapNone/>
              <wp:docPr id="7" name="MSIPCM34564b24875a4672bcaf2a72"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063290" w14:textId="15C31B01" w:rsidR="003B7221" w:rsidRPr="003B7221" w:rsidRDefault="003B7221" w:rsidP="003B7221">
                          <w:pPr>
                            <w:jc w:val="center"/>
                            <w:rPr>
                              <w:rFonts w:ascii="Arial Black" w:hAnsi="Arial Black"/>
                              <w:color w:val="000000"/>
                            </w:rPr>
                          </w:pPr>
                          <w:r w:rsidRPr="003B7221">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3969B13" id="_x0000_t202" coordsize="21600,21600" o:spt="202" path="m,l,21600r21600,l21600,xe">
              <v:stroke joinstyle="miter"/>
              <v:path gradientshapeok="t" o:connecttype="rect"/>
            </v:shapetype>
            <v:shape id="MSIPCM34564b24875a4672bcaf2a72" o:spid="_x0000_s1027" type="#_x0000_t202" alt="{&quot;HashCode&quot;:904758361,&quot;Height&quot;:841.0,&quot;Width&quot;:595.0,&quot;Placement&quot;:&quot;Footer&quot;,&quot;Index&quot;:&quot;OddAndEven&quot;,&quot;Section&quot;:1,&quot;Top&quot;:0.0,&quot;Left&quot;:0.0}" style="position:absolute;margin-left:0;margin-top:802.3pt;width:595.3pt;height:24.55pt;z-index:2516930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AxqxSnsQIAAEgFAAAO&#10;AAAAAAAAAAAAAAAAAC4CAABkcnMvZTJvRG9jLnhtbFBLAQItABQABgAIAAAAIQBIDV6a3wAAAAsB&#10;AAAPAAAAAAAAAAAAAAAAAAsFAABkcnMvZG93bnJldi54bWxQSwUGAAAAAAQABADzAAAAFwYAAAAA&#10;" o:allowincell="f" filled="f" stroked="f" strokeweight=".5pt">
              <v:fill o:detectmouseclick="t"/>
              <v:textbox inset=",0,,0">
                <w:txbxContent>
                  <w:p w14:paraId="1A063290" w14:textId="15C31B01" w:rsidR="003B7221" w:rsidRPr="003B7221" w:rsidRDefault="003B7221" w:rsidP="003B7221">
                    <w:pPr>
                      <w:jc w:val="center"/>
                      <w:rPr>
                        <w:rFonts w:ascii="Arial Black" w:hAnsi="Arial Black"/>
                        <w:color w:val="000000"/>
                      </w:rPr>
                    </w:pPr>
                    <w:r w:rsidRPr="003B7221">
                      <w:rPr>
                        <w:rFonts w:ascii="Arial Black" w:hAnsi="Arial Black"/>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7E45D" w14:textId="5FAB2283" w:rsidR="0092724D" w:rsidRDefault="003B7221">
    <w:pPr>
      <w:pStyle w:val="Footer"/>
    </w:pPr>
    <w:r>
      <w:rPr>
        <w:noProof/>
      </w:rPr>
      <mc:AlternateContent>
        <mc:Choice Requires="wps">
          <w:drawing>
            <wp:anchor distT="0" distB="0" distL="114300" distR="114300" simplePos="0" relativeHeight="251656192" behindDoc="0" locked="0" layoutInCell="0" allowOverlap="1" wp14:anchorId="4357F6EC" wp14:editId="512DA43B">
              <wp:simplePos x="0" y="0"/>
              <wp:positionH relativeFrom="page">
                <wp:posOffset>0</wp:posOffset>
              </wp:positionH>
              <wp:positionV relativeFrom="page">
                <wp:posOffset>10189210</wp:posOffset>
              </wp:positionV>
              <wp:extent cx="7560310" cy="311785"/>
              <wp:effectExtent l="0" t="0" r="0" b="12065"/>
              <wp:wrapNone/>
              <wp:docPr id="6" name="MSIPCM999a4c5cb14f28f59435db2c"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623B5D" w14:textId="6777F4C2" w:rsidR="003B7221" w:rsidRPr="003B7221" w:rsidRDefault="003B7221" w:rsidP="003B7221">
                          <w:pPr>
                            <w:jc w:val="center"/>
                            <w:rPr>
                              <w:rFonts w:ascii="Arial Black" w:hAnsi="Arial Black"/>
                              <w:color w:val="000000"/>
                            </w:rPr>
                          </w:pPr>
                          <w:r w:rsidRPr="003B7221">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57F6EC" id="_x0000_t202" coordsize="21600,21600" o:spt="202" path="m,l,21600r21600,l21600,xe">
              <v:stroke joinstyle="miter"/>
              <v:path gradientshapeok="t" o:connecttype="rect"/>
            </v:shapetype>
            <v:shape id="MSIPCM999a4c5cb14f28f59435db2c" o:spid="_x0000_s1028" type="#_x0000_t202" alt="{&quot;HashCode&quot;:904758361,&quot;Height&quot;:841.0,&quot;Width&quot;:595.0,&quot;Placement&quot;:&quot;Footer&quot;,&quot;Index&quot;:&quot;Primary&quot;,&quot;Section&quot;:1,&quot;Top&quot;:0.0,&quot;Left&quot;:0.0}" style="position:absolute;margin-left:0;margin-top:802.3pt;width:595.3pt;height:24.5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C6AD86rgIAAEwFAAAOAAAA&#10;AAAAAAAAAAAAAC4CAABkcnMvZTJvRG9jLnhtbFBLAQItABQABgAIAAAAIQBIDV6a3wAAAAsBAAAP&#10;AAAAAAAAAAAAAAAAAAgFAABkcnMvZG93bnJldi54bWxQSwUGAAAAAAQABADzAAAAFAYAAAAA&#10;" o:allowincell="f" filled="f" stroked="f" strokeweight=".5pt">
              <v:fill o:detectmouseclick="t"/>
              <v:textbox inset=",0,,0">
                <w:txbxContent>
                  <w:p w14:paraId="7E623B5D" w14:textId="6777F4C2" w:rsidR="003B7221" w:rsidRPr="003B7221" w:rsidRDefault="003B7221" w:rsidP="003B7221">
                    <w:pPr>
                      <w:jc w:val="center"/>
                      <w:rPr>
                        <w:rFonts w:ascii="Arial Black" w:hAnsi="Arial Black"/>
                        <w:color w:val="000000"/>
                      </w:rPr>
                    </w:pPr>
                    <w:r w:rsidRPr="003B7221">
                      <w:rPr>
                        <w:rFonts w:ascii="Arial Black" w:hAnsi="Arial Black"/>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2AD04" w14:textId="77777777" w:rsidR="00D162A1" w:rsidRDefault="00D162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3FDC2" w14:textId="098D9B24" w:rsidR="0092724D" w:rsidRPr="008114D1" w:rsidRDefault="003B7221" w:rsidP="00E969B1">
    <w:pPr>
      <w:pStyle w:val="DHHSfooter"/>
    </w:pPr>
    <w:r>
      <w:rPr>
        <w:noProof/>
      </w:rPr>
      <mc:AlternateContent>
        <mc:Choice Requires="wps">
          <w:drawing>
            <wp:anchor distT="0" distB="0" distL="114300" distR="114300" simplePos="0" relativeHeight="251663872" behindDoc="0" locked="0" layoutInCell="0" allowOverlap="1" wp14:anchorId="18856589" wp14:editId="2DFEF88E">
              <wp:simplePos x="0" y="0"/>
              <wp:positionH relativeFrom="page">
                <wp:posOffset>0</wp:posOffset>
              </wp:positionH>
              <wp:positionV relativeFrom="page">
                <wp:posOffset>10189210</wp:posOffset>
              </wp:positionV>
              <wp:extent cx="7560310" cy="311785"/>
              <wp:effectExtent l="0" t="0" r="0" b="12065"/>
              <wp:wrapNone/>
              <wp:docPr id="9" name="MSIPCM99124d75ba06f1b137ea2852" descr="{&quot;HashCode&quot;:904758361,&quot;Height&quot;:841.0,&quot;Width&quot;:595.0,&quot;Placement&quot;:&quot;Footer&quot;,&quot;Index&quot;:&quot;OddAndEven&quot;,&quot;Section&quot;:4,&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8B8651" w14:textId="7ACA1190" w:rsidR="003B7221" w:rsidRPr="003B7221" w:rsidRDefault="003B7221" w:rsidP="003B7221">
                          <w:pPr>
                            <w:jc w:val="center"/>
                            <w:rPr>
                              <w:rFonts w:ascii="Arial Black" w:hAnsi="Arial Black"/>
                              <w:color w:val="000000"/>
                            </w:rPr>
                          </w:pPr>
                          <w:r w:rsidRPr="003B7221">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856589" id="_x0000_t202" coordsize="21600,21600" o:spt="202" path="m,l,21600r21600,l21600,xe">
              <v:stroke joinstyle="miter"/>
              <v:path gradientshapeok="t" o:connecttype="rect"/>
            </v:shapetype>
            <v:shape id="MSIPCM99124d75ba06f1b137ea2852" o:spid="_x0000_s1029" type="#_x0000_t202" alt="{&quot;HashCode&quot;:904758361,&quot;Height&quot;:841.0,&quot;Width&quot;:595.0,&quot;Placement&quot;:&quot;Footer&quot;,&quot;Index&quot;:&quot;OddAndEven&quot;,&quot;Section&quot;:4,&quot;Top&quot;:0.0,&quot;Left&quot;:0.0}" style="position:absolute;margin-left:0;margin-top:802.3pt;width:595.3pt;height:24.55pt;z-index:25166387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" o:allowincell="f" filled="f" stroked="f" strokeweight=".5pt">
              <v:fill o:detectmouseclick="t"/>
              <v:textbox inset=",0,,0">
                <w:txbxContent>
                  <w:p w14:paraId="7B8B8651" w14:textId="7ACA1190" w:rsidR="003B7221" w:rsidRPr="003B7221" w:rsidRDefault="003B7221" w:rsidP="003B7221">
                    <w:pPr>
                      <w:jc w:val="center"/>
                      <w:rPr>
                        <w:rFonts w:ascii="Arial Black" w:hAnsi="Arial Black"/>
                        <w:color w:val="000000"/>
                      </w:rPr>
                    </w:pPr>
                    <w:r w:rsidRPr="003B7221">
                      <w:rPr>
                        <w:rFonts w:ascii="Arial Black" w:hAnsi="Arial Black"/>
                        <w:color w:val="000000"/>
                      </w:rPr>
                      <w:t>OFFICIAL</w:t>
                    </w:r>
                  </w:p>
                </w:txbxContent>
              </v:textbox>
              <w10:wrap anchorx="page" anchory="page"/>
            </v:shape>
          </w:pict>
        </mc:Fallback>
      </mc:AlternateContent>
    </w:r>
    <w:r w:rsidR="0092724D">
      <w:t xml:space="preserve">Page </w:t>
    </w:r>
    <w:r w:rsidR="0092724D" w:rsidRPr="005A39EC">
      <w:fldChar w:fldCharType="begin"/>
    </w:r>
    <w:r w:rsidR="0092724D" w:rsidRPr="005A39EC">
      <w:instrText xml:space="preserve"> PAGE </w:instrText>
    </w:r>
    <w:r w:rsidR="0092724D" w:rsidRPr="005A39EC">
      <w:fldChar w:fldCharType="separate"/>
    </w:r>
    <w:r w:rsidR="0092724D">
      <w:rPr>
        <w:noProof/>
      </w:rPr>
      <w:t>12</w:t>
    </w:r>
    <w:r w:rsidR="0092724D" w:rsidRPr="005A39EC">
      <w:fldChar w:fldCharType="end"/>
    </w:r>
    <w:r w:rsidR="0092724D">
      <w:tab/>
      <w:t>Victorian guidelines for managing HIV transmission risk behaviours (2021)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3B872" w14:textId="442AA9DA" w:rsidR="0092724D" w:rsidRPr="0031753A" w:rsidRDefault="003B7221" w:rsidP="00435060">
    <w:pPr>
      <w:pStyle w:val="DHHSfooter"/>
      <w:spacing w:after="240" w:line="276" w:lineRule="auto"/>
    </w:pPr>
    <w:r>
      <w:rPr>
        <w:noProof/>
      </w:rPr>
      <mc:AlternateContent>
        <mc:Choice Requires="wps">
          <w:drawing>
            <wp:anchor distT="0" distB="0" distL="114300" distR="114300" simplePos="0" relativeHeight="251662848" behindDoc="0" locked="0" layoutInCell="0" allowOverlap="1" wp14:anchorId="33C2FA4B" wp14:editId="1DDD1318">
              <wp:simplePos x="0" y="0"/>
              <wp:positionH relativeFrom="page">
                <wp:posOffset>0</wp:posOffset>
              </wp:positionH>
              <wp:positionV relativeFrom="page">
                <wp:posOffset>10189210</wp:posOffset>
              </wp:positionV>
              <wp:extent cx="7560310" cy="311785"/>
              <wp:effectExtent l="0" t="0" r="0" b="12065"/>
              <wp:wrapNone/>
              <wp:docPr id="8" name="MSIPCM154b4da5b5687088c629a2c3" descr="{&quot;HashCode&quot;:904758361,&quot;Height&quot;:841.0,&quot;Width&quot;:595.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0DB537" w14:textId="14D5E065" w:rsidR="003B7221" w:rsidRPr="003B7221" w:rsidRDefault="003B7221" w:rsidP="003B7221">
                          <w:pPr>
                            <w:jc w:val="center"/>
                            <w:rPr>
                              <w:rFonts w:ascii="Arial Black" w:hAnsi="Arial Black"/>
                              <w:color w:val="000000"/>
                            </w:rPr>
                          </w:pPr>
                          <w:r w:rsidRPr="003B7221">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3C2FA4B" id="_x0000_t202" coordsize="21600,21600" o:spt="202" path="m,l,21600r21600,l21600,xe">
              <v:stroke joinstyle="miter"/>
              <v:path gradientshapeok="t" o:connecttype="rect"/>
            </v:shapetype>
            <v:shape id="MSIPCM154b4da5b5687088c629a2c3" o:spid="_x0000_s1030" type="#_x0000_t202" alt="{&quot;HashCode&quot;:904758361,&quot;Height&quot;:841.0,&quot;Width&quot;:595.0,&quot;Placement&quot;:&quot;Footer&quot;,&quot;Index&quot;:&quot;Primary&quot;,&quot;Section&quot;:4,&quot;Top&quot;:0.0,&quot;Left&quot;:0.0}" style="position:absolute;margin-left:0;margin-top:802.3pt;width:595.3pt;height:24.55pt;z-index:2516628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IeH7+ywAgAATAUAAA4A&#10;AAAAAAAAAAAAAAAALgIAAGRycy9lMm9Eb2MueG1sUEsBAi0AFAAGAAgAAAAhAEgNXprfAAAACwEA&#10;AA8AAAAAAAAAAAAAAAAACgUAAGRycy9kb3ducmV2LnhtbFBLBQYAAAAABAAEAPMAAAAWBgAAAAA=&#10;" o:allowincell="f" filled="f" stroked="f" strokeweight=".5pt">
              <v:fill o:detectmouseclick="t"/>
              <v:textbox inset=",0,,0">
                <w:txbxContent>
                  <w:p w14:paraId="240DB537" w14:textId="14D5E065" w:rsidR="003B7221" w:rsidRPr="003B7221" w:rsidRDefault="003B7221" w:rsidP="003B7221">
                    <w:pPr>
                      <w:jc w:val="center"/>
                      <w:rPr>
                        <w:rFonts w:ascii="Arial Black" w:hAnsi="Arial Black"/>
                        <w:color w:val="000000"/>
                      </w:rPr>
                    </w:pPr>
                    <w:r w:rsidRPr="003B7221">
                      <w:rPr>
                        <w:rFonts w:ascii="Arial Black" w:hAnsi="Arial Black"/>
                        <w:color w:val="000000"/>
                      </w:rPr>
                      <w:t>OFFICIAL</w:t>
                    </w:r>
                  </w:p>
                </w:txbxContent>
              </v:textbox>
              <w10:wrap anchorx="page" anchory="page"/>
            </v:shape>
          </w:pict>
        </mc:Fallback>
      </mc:AlternateContent>
    </w:r>
    <w:r w:rsidR="0092724D">
      <w:t>Victorian guidelines for managing HIV transmission risk behaviours (2021)</w:t>
    </w:r>
    <w:r w:rsidR="0092724D" w:rsidRPr="0031753A">
      <w:tab/>
      <w:t xml:space="preserve">Page </w:t>
    </w:r>
    <w:r w:rsidR="0092724D" w:rsidRPr="0031753A">
      <w:fldChar w:fldCharType="begin"/>
    </w:r>
    <w:r w:rsidR="0092724D" w:rsidRPr="0031753A">
      <w:instrText xml:space="preserve"> PAGE </w:instrText>
    </w:r>
    <w:r w:rsidR="0092724D" w:rsidRPr="0031753A">
      <w:fldChar w:fldCharType="separate"/>
    </w:r>
    <w:r w:rsidR="0092724D">
      <w:rPr>
        <w:noProof/>
      </w:rPr>
      <w:t>11</w:t>
    </w:r>
    <w:r w:rsidR="0092724D" w:rsidRPr="0031753A">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0F62A" w14:textId="77777777" w:rsidR="0092724D" w:rsidRPr="001A7E04" w:rsidRDefault="0092724D" w:rsidP="00AC0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4F4726" w14:textId="77777777" w:rsidR="001C313A" w:rsidRDefault="001C313A">
      <w:r>
        <w:separator/>
      </w:r>
    </w:p>
  </w:footnote>
  <w:footnote w:type="continuationSeparator" w:id="0">
    <w:p w14:paraId="582DC99D" w14:textId="77777777" w:rsidR="001C313A" w:rsidRDefault="001C313A">
      <w:r>
        <w:continuationSeparator/>
      </w:r>
    </w:p>
  </w:footnote>
  <w:footnote w:type="continuationNotice" w:id="1">
    <w:p w14:paraId="5DEBD4D2" w14:textId="77777777" w:rsidR="001C313A" w:rsidRDefault="001C313A"/>
  </w:footnote>
  <w:footnote w:id="2">
    <w:p w14:paraId="421D30D8" w14:textId="3017C7E1" w:rsidR="0092724D" w:rsidRDefault="0092724D" w:rsidP="00044112">
      <w:pPr>
        <w:pStyle w:val="DHHSbullet1"/>
        <w:numPr>
          <w:ilvl w:val="0"/>
          <w:numId w:val="0"/>
        </w:numPr>
        <w:ind w:left="284" w:hanging="284"/>
      </w:pPr>
      <w:r>
        <w:rPr>
          <w:rStyle w:val="FootnoteReference"/>
        </w:rPr>
        <w:footnoteRef/>
      </w:r>
      <w:r>
        <w:t xml:space="preserve"> </w:t>
      </w:r>
      <w:r w:rsidRPr="003814A1">
        <w:rPr>
          <w:sz w:val="18"/>
          <w:szCs w:val="18"/>
        </w:rPr>
        <w:t>People with HIV in Victoria are not required to disclose their HIV status if they are taking reasonable precautions to prevent the transmission of HIV</w:t>
      </w:r>
      <w:r>
        <w:rPr>
          <w:sz w:val="18"/>
          <w:szCs w:val="18"/>
        </w:rPr>
        <w:t>;</w:t>
      </w:r>
      <w:r w:rsidRPr="003814A1">
        <w:rPr>
          <w:sz w:val="18"/>
          <w:szCs w:val="18"/>
        </w:rPr>
        <w:t xml:space="preserve"> however, it is a crime to falsely represent HIV status to induce another person into having sex (s</w:t>
      </w:r>
      <w:r>
        <w:rPr>
          <w:sz w:val="18"/>
          <w:szCs w:val="18"/>
        </w:rPr>
        <w:t>.</w:t>
      </w:r>
      <w:r w:rsidRPr="003814A1">
        <w:rPr>
          <w:sz w:val="18"/>
          <w:szCs w:val="18"/>
        </w:rPr>
        <w:t xml:space="preserve"> 45 of the </w:t>
      </w:r>
      <w:r w:rsidRPr="003814A1">
        <w:rPr>
          <w:i/>
          <w:iCs/>
          <w:sz w:val="18"/>
          <w:szCs w:val="18"/>
        </w:rPr>
        <w:t>Crimes Act 1958</w:t>
      </w:r>
      <w:r w:rsidRPr="003814A1">
        <w:rPr>
          <w:sz w:val="18"/>
          <w:szCs w:val="18"/>
        </w:rPr>
        <w:t>).</w:t>
      </w:r>
    </w:p>
  </w:footnote>
  <w:footnote w:id="3">
    <w:p w14:paraId="0617FB5D" w14:textId="1B5BE040" w:rsidR="0092724D" w:rsidRDefault="0092724D" w:rsidP="006154C3">
      <w:pPr>
        <w:pStyle w:val="FootnoteText"/>
      </w:pPr>
      <w:r w:rsidRPr="00472DCC">
        <w:rPr>
          <w:rStyle w:val="FootnoteReference"/>
        </w:rPr>
        <w:footnoteRef/>
      </w:r>
      <w:r w:rsidRPr="00472DCC">
        <w:t xml:space="preserve"> A penalty unit is worth a $165.22</w:t>
      </w:r>
      <w:r>
        <w:t xml:space="preserve"> (as of 1 July 2020). </w:t>
      </w:r>
      <w:r w:rsidRPr="00472DCC">
        <w:t>120 penalty units is $19,826.4</w:t>
      </w:r>
      <w:r>
        <w:t>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0266E" w14:textId="77777777" w:rsidR="00D162A1" w:rsidRDefault="00D162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D0F8E" w14:textId="77777777" w:rsidR="00D162A1" w:rsidRDefault="00D162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6CE82" w14:textId="77777777" w:rsidR="00D162A1" w:rsidRDefault="00D162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EB20DC" w14:textId="3ACA6BD7" w:rsidR="0092724D" w:rsidRPr="0069374A" w:rsidRDefault="0092724D" w:rsidP="00E969B1">
    <w:pPr>
      <w:pStyle w:val="DHHS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8DF7A" w14:textId="7BB19294" w:rsidR="0092724D" w:rsidRDefault="0092724D" w:rsidP="00E969B1">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F78CE"/>
    <w:multiLevelType w:val="hybridMultilevel"/>
    <w:tmpl w:val="F99216CC"/>
    <w:lvl w:ilvl="0" w:tplc="E57C87DE">
      <w:numFmt w:val="bullet"/>
      <w:lvlText w:val="-"/>
      <w:lvlJc w:val="left"/>
      <w:pPr>
        <w:ind w:left="420" w:hanging="360"/>
      </w:pPr>
      <w:rPr>
        <w:rFonts w:ascii="Arial" w:eastAsia="Times"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4F5C3DD7"/>
    <w:multiLevelType w:val="hybridMultilevel"/>
    <w:tmpl w:val="263C2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49C32F0"/>
    <w:multiLevelType w:val="multilevel"/>
    <w:tmpl w:val="0540E31E"/>
    <w:numStyleLink w:val="MELegal"/>
  </w:abstractNum>
  <w:abstractNum w:abstractNumId="5" w15:restartNumberingAfterBreak="0">
    <w:nsid w:val="54BA1E5A"/>
    <w:multiLevelType w:val="hybridMultilevel"/>
    <w:tmpl w:val="F776327E"/>
    <w:styleLink w:val="ZZBullets"/>
    <w:lvl w:ilvl="0" w:tplc="4B601AE6">
      <w:start w:val="1"/>
      <w:numFmt w:val="bullet"/>
      <w:pStyle w:val="DHHSbullet1"/>
      <w:lvlText w:val="•"/>
      <w:lvlJc w:val="left"/>
      <w:pPr>
        <w:ind w:left="284" w:hanging="284"/>
      </w:pPr>
      <w:rPr>
        <w:rFonts w:ascii="Calibri" w:hAnsi="Calibri" w:hint="default"/>
      </w:rPr>
    </w:lvl>
    <w:lvl w:ilvl="1" w:tplc="5DB41C42">
      <w:start w:val="1"/>
      <w:numFmt w:val="bullet"/>
      <w:lvlRestart w:val="0"/>
      <w:pStyle w:val="DHHSbullet1lastline"/>
      <w:lvlText w:val="•"/>
      <w:lvlJc w:val="left"/>
      <w:pPr>
        <w:ind w:left="284" w:hanging="284"/>
      </w:pPr>
      <w:rPr>
        <w:rFonts w:ascii="Calibri" w:hAnsi="Calibri" w:hint="default"/>
      </w:rPr>
    </w:lvl>
    <w:lvl w:ilvl="2" w:tplc="55B09FB4">
      <w:start w:val="1"/>
      <w:numFmt w:val="bullet"/>
      <w:pStyle w:val="DHHSbullet2"/>
      <w:lvlText w:val="o"/>
      <w:lvlJc w:val="left"/>
      <w:pPr>
        <w:ind w:left="567" w:hanging="283"/>
      </w:pPr>
      <w:rPr>
        <w:rFonts w:ascii="Courier New" w:hAnsi="Courier New" w:cs="Courier New" w:hint="default"/>
      </w:rPr>
    </w:lvl>
    <w:lvl w:ilvl="3" w:tplc="4B705EE0">
      <w:start w:val="1"/>
      <w:numFmt w:val="bullet"/>
      <w:lvlRestart w:val="0"/>
      <w:pStyle w:val="DHHSbullet2lastline"/>
      <w:lvlText w:val="–"/>
      <w:lvlJc w:val="left"/>
      <w:pPr>
        <w:ind w:left="567" w:hanging="283"/>
      </w:pPr>
      <w:rPr>
        <w:rFonts w:ascii="Arial" w:hAnsi="Arial" w:hint="default"/>
      </w:rPr>
    </w:lvl>
    <w:lvl w:ilvl="4" w:tplc="469C22E4">
      <w:start w:val="1"/>
      <w:numFmt w:val="bullet"/>
      <w:lvlRestart w:val="0"/>
      <w:pStyle w:val="DHHSbulletindent"/>
      <w:lvlText w:val="•"/>
      <w:lvlJc w:val="left"/>
      <w:pPr>
        <w:ind w:left="680" w:hanging="283"/>
      </w:pPr>
      <w:rPr>
        <w:rFonts w:ascii="Calibri" w:hAnsi="Calibri" w:hint="default"/>
      </w:rPr>
    </w:lvl>
    <w:lvl w:ilvl="5" w:tplc="E57C4E20">
      <w:start w:val="1"/>
      <w:numFmt w:val="bullet"/>
      <w:lvlRestart w:val="0"/>
      <w:pStyle w:val="DHHSbulletindentlastline"/>
      <w:lvlText w:val="•"/>
      <w:lvlJc w:val="left"/>
      <w:pPr>
        <w:ind w:left="680" w:hanging="283"/>
      </w:pPr>
      <w:rPr>
        <w:rFonts w:ascii="Calibri" w:hAnsi="Calibri" w:hint="default"/>
      </w:rPr>
    </w:lvl>
    <w:lvl w:ilvl="6" w:tplc="7FCAD58A">
      <w:start w:val="1"/>
      <w:numFmt w:val="bullet"/>
      <w:lvlRestart w:val="0"/>
      <w:pStyle w:val="DHHStablebullet"/>
      <w:lvlText w:val="•"/>
      <w:lvlJc w:val="left"/>
      <w:pPr>
        <w:ind w:left="227" w:hanging="227"/>
      </w:pPr>
      <w:rPr>
        <w:rFonts w:ascii="Calibri" w:hAnsi="Calibri" w:hint="default"/>
      </w:rPr>
    </w:lvl>
    <w:lvl w:ilvl="7" w:tplc="B606B5E8">
      <w:start w:val="1"/>
      <w:numFmt w:val="none"/>
      <w:lvlRestart w:val="0"/>
      <w:lvlText w:val=""/>
      <w:lvlJc w:val="left"/>
      <w:pPr>
        <w:ind w:left="0" w:firstLine="0"/>
      </w:pPr>
      <w:rPr>
        <w:rFonts w:hint="default"/>
      </w:rPr>
    </w:lvl>
    <w:lvl w:ilvl="8" w:tplc="25D81DF8">
      <w:start w:val="1"/>
      <w:numFmt w:val="none"/>
      <w:lvlRestart w:val="0"/>
      <w:lvlText w:val=""/>
      <w:lvlJc w:val="left"/>
      <w:pPr>
        <w:ind w:left="0" w:firstLine="0"/>
      </w:pPr>
      <w:rPr>
        <w:rFonts w:hint="default"/>
      </w:rPr>
    </w:lvl>
  </w:abstractNum>
  <w:abstractNum w:abstractNumId="6" w15:restartNumberingAfterBreak="0">
    <w:nsid w:val="6D022323"/>
    <w:multiLevelType w:val="multilevel"/>
    <w:tmpl w:val="0540E31E"/>
    <w:styleLink w:val="MELegal"/>
    <w:lvl w:ilvl="0">
      <w:start w:val="1"/>
      <w:numFmt w:val="decimal"/>
      <w:pStyle w:val="MELegal1"/>
      <w:lvlText w:val="%1."/>
      <w:lvlJc w:val="left"/>
      <w:pPr>
        <w:ind w:left="680" w:hanging="680"/>
      </w:pPr>
      <w:rPr>
        <w:rFonts w:hint="default"/>
      </w:rPr>
    </w:lvl>
    <w:lvl w:ilvl="1">
      <w:start w:val="1"/>
      <w:numFmt w:val="decimal"/>
      <w:pStyle w:val="MELegal2"/>
      <w:lvlText w:val="%1.%2"/>
      <w:lvlJc w:val="left"/>
      <w:pPr>
        <w:ind w:left="680" w:hanging="680"/>
      </w:pPr>
      <w:rPr>
        <w:rFonts w:hint="default"/>
      </w:rPr>
    </w:lvl>
    <w:lvl w:ilvl="2">
      <w:start w:val="1"/>
      <w:numFmt w:val="lowerLetter"/>
      <w:pStyle w:val="MELegal3"/>
      <w:lvlText w:val="(%3)"/>
      <w:lvlJc w:val="left"/>
      <w:pPr>
        <w:ind w:left="1361" w:hanging="681"/>
      </w:pPr>
      <w:rPr>
        <w:rFonts w:hint="default"/>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decimal"/>
      <w:pStyle w:val="MELegal7"/>
      <w:lvlText w:val="(%7)"/>
      <w:lvlJc w:val="left"/>
      <w:pPr>
        <w:tabs>
          <w:tab w:val="num" w:pos="4082"/>
        </w:tabs>
        <w:ind w:left="4082" w:hanging="680"/>
      </w:pPr>
      <w:rPr>
        <w:rFonts w:hint="default"/>
      </w:rPr>
    </w:lvl>
    <w:lvl w:ilvl="7">
      <w:start w:val="1"/>
      <w:numFmt w:val="upperLetter"/>
      <w:pStyle w:val="MELegal8"/>
      <w:lvlText w:val="%8."/>
      <w:lvlJc w:val="left"/>
      <w:pPr>
        <w:tabs>
          <w:tab w:val="num" w:pos="4763"/>
        </w:tabs>
        <w:ind w:left="4763" w:hanging="681"/>
      </w:pPr>
      <w:rPr>
        <w:rFonts w:hint="default"/>
      </w:rPr>
    </w:lvl>
    <w:lvl w:ilvl="8">
      <w:start w:val="1"/>
      <w:numFmt w:val="upperRoman"/>
      <w:pStyle w:val="MELegal9"/>
      <w:lvlText w:val="%9."/>
      <w:lvlJc w:val="left"/>
      <w:pPr>
        <w:tabs>
          <w:tab w:val="num" w:pos="5443"/>
        </w:tabs>
        <w:ind w:left="5443" w:hanging="680"/>
      </w:pPr>
      <w:rPr>
        <w:rFonts w:hint="default"/>
      </w:rPr>
    </w:lvl>
  </w:abstractNum>
  <w:num w:numId="1">
    <w:abstractNumId w:val="5"/>
  </w:num>
  <w:num w:numId="2">
    <w:abstractNumId w:val="1"/>
  </w:num>
  <w:num w:numId="3">
    <w:abstractNumId w:val="6"/>
  </w:num>
  <w:num w:numId="4">
    <w:abstractNumId w:val="4"/>
  </w:num>
  <w:num w:numId="5">
    <w:abstractNumId w:val="0"/>
  </w:num>
  <w:num w:numId="6">
    <w:abstractNumId w:val="3"/>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05CE"/>
    <w:rsid w:val="00000CE7"/>
    <w:rsid w:val="00000EA1"/>
    <w:rsid w:val="00001D7E"/>
    <w:rsid w:val="00002990"/>
    <w:rsid w:val="00003365"/>
    <w:rsid w:val="00003935"/>
    <w:rsid w:val="00003B78"/>
    <w:rsid w:val="00004391"/>
    <w:rsid w:val="000048AC"/>
    <w:rsid w:val="0000586C"/>
    <w:rsid w:val="00006531"/>
    <w:rsid w:val="0000662C"/>
    <w:rsid w:val="00007726"/>
    <w:rsid w:val="00007F28"/>
    <w:rsid w:val="0001064C"/>
    <w:rsid w:val="00011F01"/>
    <w:rsid w:val="000123C9"/>
    <w:rsid w:val="00012971"/>
    <w:rsid w:val="00013F09"/>
    <w:rsid w:val="00014273"/>
    <w:rsid w:val="00014FC4"/>
    <w:rsid w:val="00015D2C"/>
    <w:rsid w:val="0001630F"/>
    <w:rsid w:val="00017D60"/>
    <w:rsid w:val="00020AAB"/>
    <w:rsid w:val="00020FC4"/>
    <w:rsid w:val="000223A4"/>
    <w:rsid w:val="00022E60"/>
    <w:rsid w:val="00023669"/>
    <w:rsid w:val="000238B7"/>
    <w:rsid w:val="00026153"/>
    <w:rsid w:val="00026196"/>
    <w:rsid w:val="00026C19"/>
    <w:rsid w:val="00030176"/>
    <w:rsid w:val="00031263"/>
    <w:rsid w:val="000312DD"/>
    <w:rsid w:val="00031E49"/>
    <w:rsid w:val="00032083"/>
    <w:rsid w:val="000325D9"/>
    <w:rsid w:val="00034158"/>
    <w:rsid w:val="00034D0C"/>
    <w:rsid w:val="00034D0E"/>
    <w:rsid w:val="00035366"/>
    <w:rsid w:val="00041E0B"/>
    <w:rsid w:val="00041E1F"/>
    <w:rsid w:val="000425A6"/>
    <w:rsid w:val="00044112"/>
    <w:rsid w:val="00047DE9"/>
    <w:rsid w:val="00047F72"/>
    <w:rsid w:val="00050538"/>
    <w:rsid w:val="00053001"/>
    <w:rsid w:val="00055EFF"/>
    <w:rsid w:val="00056B4D"/>
    <w:rsid w:val="0005786E"/>
    <w:rsid w:val="00060953"/>
    <w:rsid w:val="00060E93"/>
    <w:rsid w:val="0006123D"/>
    <w:rsid w:val="00061278"/>
    <w:rsid w:val="00061919"/>
    <w:rsid w:val="00062606"/>
    <w:rsid w:val="000647BB"/>
    <w:rsid w:val="00064936"/>
    <w:rsid w:val="00065380"/>
    <w:rsid w:val="00070AE9"/>
    <w:rsid w:val="00070D41"/>
    <w:rsid w:val="000734F8"/>
    <w:rsid w:val="000736B8"/>
    <w:rsid w:val="00073939"/>
    <w:rsid w:val="00074E1E"/>
    <w:rsid w:val="00080371"/>
    <w:rsid w:val="00080CF2"/>
    <w:rsid w:val="000817CB"/>
    <w:rsid w:val="00081AD1"/>
    <w:rsid w:val="000833E6"/>
    <w:rsid w:val="000840AD"/>
    <w:rsid w:val="000873EF"/>
    <w:rsid w:val="0008769E"/>
    <w:rsid w:val="00087A2A"/>
    <w:rsid w:val="00087CCD"/>
    <w:rsid w:val="00091CC7"/>
    <w:rsid w:val="00093E18"/>
    <w:rsid w:val="000969EA"/>
    <w:rsid w:val="00097A3D"/>
    <w:rsid w:val="000A05F1"/>
    <w:rsid w:val="000A16FD"/>
    <w:rsid w:val="000A1E33"/>
    <w:rsid w:val="000A2B93"/>
    <w:rsid w:val="000A41F6"/>
    <w:rsid w:val="000A4CA4"/>
    <w:rsid w:val="000A62F2"/>
    <w:rsid w:val="000A65D1"/>
    <w:rsid w:val="000B1E29"/>
    <w:rsid w:val="000B21DD"/>
    <w:rsid w:val="000B26FE"/>
    <w:rsid w:val="000B308A"/>
    <w:rsid w:val="000B35AC"/>
    <w:rsid w:val="000B3792"/>
    <w:rsid w:val="000B40AD"/>
    <w:rsid w:val="000B4514"/>
    <w:rsid w:val="000C0134"/>
    <w:rsid w:val="000C03B7"/>
    <w:rsid w:val="000C20BD"/>
    <w:rsid w:val="000C280E"/>
    <w:rsid w:val="000C2E3C"/>
    <w:rsid w:val="000C32C6"/>
    <w:rsid w:val="000C6242"/>
    <w:rsid w:val="000C68DB"/>
    <w:rsid w:val="000C7810"/>
    <w:rsid w:val="000D00AB"/>
    <w:rsid w:val="000D00E5"/>
    <w:rsid w:val="000D25BD"/>
    <w:rsid w:val="000D25CF"/>
    <w:rsid w:val="000D2C32"/>
    <w:rsid w:val="000D3382"/>
    <w:rsid w:val="000D6D1C"/>
    <w:rsid w:val="000D791E"/>
    <w:rsid w:val="000D7AFF"/>
    <w:rsid w:val="000D7B32"/>
    <w:rsid w:val="000E10DB"/>
    <w:rsid w:val="000E15F7"/>
    <w:rsid w:val="000E2AFB"/>
    <w:rsid w:val="000E2E09"/>
    <w:rsid w:val="000E53D3"/>
    <w:rsid w:val="000E6132"/>
    <w:rsid w:val="000E6F72"/>
    <w:rsid w:val="000E7248"/>
    <w:rsid w:val="000F0478"/>
    <w:rsid w:val="000F0A50"/>
    <w:rsid w:val="000F6C4E"/>
    <w:rsid w:val="001026DD"/>
    <w:rsid w:val="00103D5E"/>
    <w:rsid w:val="001043FE"/>
    <w:rsid w:val="00104EA7"/>
    <w:rsid w:val="00105621"/>
    <w:rsid w:val="00105FAD"/>
    <w:rsid w:val="00107401"/>
    <w:rsid w:val="0011155B"/>
    <w:rsid w:val="00111A6A"/>
    <w:rsid w:val="001135D2"/>
    <w:rsid w:val="00113D13"/>
    <w:rsid w:val="0011563A"/>
    <w:rsid w:val="00116F57"/>
    <w:rsid w:val="001171BF"/>
    <w:rsid w:val="001175A5"/>
    <w:rsid w:val="00121BF1"/>
    <w:rsid w:val="0012300F"/>
    <w:rsid w:val="001255E0"/>
    <w:rsid w:val="00126406"/>
    <w:rsid w:val="00127573"/>
    <w:rsid w:val="00127835"/>
    <w:rsid w:val="00127A5C"/>
    <w:rsid w:val="00127A8B"/>
    <w:rsid w:val="001315A8"/>
    <w:rsid w:val="00132349"/>
    <w:rsid w:val="00133420"/>
    <w:rsid w:val="00133E9E"/>
    <w:rsid w:val="00134BE5"/>
    <w:rsid w:val="001360AF"/>
    <w:rsid w:val="001364D9"/>
    <w:rsid w:val="001376C1"/>
    <w:rsid w:val="0014006F"/>
    <w:rsid w:val="00140702"/>
    <w:rsid w:val="001412D1"/>
    <w:rsid w:val="001423E3"/>
    <w:rsid w:val="001431AE"/>
    <w:rsid w:val="00143982"/>
    <w:rsid w:val="001456CC"/>
    <w:rsid w:val="00146F78"/>
    <w:rsid w:val="001475EA"/>
    <w:rsid w:val="001504F5"/>
    <w:rsid w:val="00150F32"/>
    <w:rsid w:val="001517BD"/>
    <w:rsid w:val="00154435"/>
    <w:rsid w:val="00154C25"/>
    <w:rsid w:val="00155A7D"/>
    <w:rsid w:val="00156B1C"/>
    <w:rsid w:val="00156EE2"/>
    <w:rsid w:val="00161006"/>
    <w:rsid w:val="00161142"/>
    <w:rsid w:val="00161BE7"/>
    <w:rsid w:val="001627AF"/>
    <w:rsid w:val="001628DC"/>
    <w:rsid w:val="001721E1"/>
    <w:rsid w:val="0017248D"/>
    <w:rsid w:val="0017277C"/>
    <w:rsid w:val="00173616"/>
    <w:rsid w:val="00173626"/>
    <w:rsid w:val="00174035"/>
    <w:rsid w:val="00175EB4"/>
    <w:rsid w:val="0017614A"/>
    <w:rsid w:val="00176633"/>
    <w:rsid w:val="001779C5"/>
    <w:rsid w:val="00177AD2"/>
    <w:rsid w:val="00180BE2"/>
    <w:rsid w:val="00180FB4"/>
    <w:rsid w:val="001817CD"/>
    <w:rsid w:val="00181A15"/>
    <w:rsid w:val="0018235E"/>
    <w:rsid w:val="00182D69"/>
    <w:rsid w:val="0018768C"/>
    <w:rsid w:val="001926A4"/>
    <w:rsid w:val="00192BA0"/>
    <w:rsid w:val="0019361B"/>
    <w:rsid w:val="00193E6D"/>
    <w:rsid w:val="00196773"/>
    <w:rsid w:val="00197303"/>
    <w:rsid w:val="001A00A6"/>
    <w:rsid w:val="001A0460"/>
    <w:rsid w:val="001A055B"/>
    <w:rsid w:val="001A0A35"/>
    <w:rsid w:val="001A17EA"/>
    <w:rsid w:val="001A1D17"/>
    <w:rsid w:val="001A2086"/>
    <w:rsid w:val="001A2257"/>
    <w:rsid w:val="001A22AA"/>
    <w:rsid w:val="001A2DB2"/>
    <w:rsid w:val="001A472E"/>
    <w:rsid w:val="001A4AFC"/>
    <w:rsid w:val="001A5E39"/>
    <w:rsid w:val="001A5F83"/>
    <w:rsid w:val="001A70A6"/>
    <w:rsid w:val="001A770D"/>
    <w:rsid w:val="001A79EE"/>
    <w:rsid w:val="001A7A18"/>
    <w:rsid w:val="001B03B7"/>
    <w:rsid w:val="001B0717"/>
    <w:rsid w:val="001B10C6"/>
    <w:rsid w:val="001B1565"/>
    <w:rsid w:val="001B166D"/>
    <w:rsid w:val="001B28B5"/>
    <w:rsid w:val="001B2975"/>
    <w:rsid w:val="001B29D4"/>
    <w:rsid w:val="001B4513"/>
    <w:rsid w:val="001B4D61"/>
    <w:rsid w:val="001B57A0"/>
    <w:rsid w:val="001B5852"/>
    <w:rsid w:val="001B5F1C"/>
    <w:rsid w:val="001B654D"/>
    <w:rsid w:val="001B7187"/>
    <w:rsid w:val="001C0C21"/>
    <w:rsid w:val="001C122D"/>
    <w:rsid w:val="001C1EE4"/>
    <w:rsid w:val="001C26E2"/>
    <w:rsid w:val="001C2CB9"/>
    <w:rsid w:val="001C313A"/>
    <w:rsid w:val="001C4ABE"/>
    <w:rsid w:val="001C6564"/>
    <w:rsid w:val="001C6DD8"/>
    <w:rsid w:val="001D1294"/>
    <w:rsid w:val="001D2A82"/>
    <w:rsid w:val="001D2E6A"/>
    <w:rsid w:val="001D3D1A"/>
    <w:rsid w:val="001D569B"/>
    <w:rsid w:val="001D6416"/>
    <w:rsid w:val="001D761C"/>
    <w:rsid w:val="001D7F6F"/>
    <w:rsid w:val="001E0821"/>
    <w:rsid w:val="001E0C82"/>
    <w:rsid w:val="001E0EA3"/>
    <w:rsid w:val="001E10ED"/>
    <w:rsid w:val="001E18A7"/>
    <w:rsid w:val="001E1CD0"/>
    <w:rsid w:val="001E418B"/>
    <w:rsid w:val="001E4995"/>
    <w:rsid w:val="001E5FFF"/>
    <w:rsid w:val="001E6D18"/>
    <w:rsid w:val="001E7839"/>
    <w:rsid w:val="001E7A42"/>
    <w:rsid w:val="001E7B8F"/>
    <w:rsid w:val="001F09DC"/>
    <w:rsid w:val="001F222B"/>
    <w:rsid w:val="001F2D9D"/>
    <w:rsid w:val="001F313F"/>
    <w:rsid w:val="001F43E6"/>
    <w:rsid w:val="001F68E7"/>
    <w:rsid w:val="001F693B"/>
    <w:rsid w:val="001F6D95"/>
    <w:rsid w:val="001F724D"/>
    <w:rsid w:val="00201B84"/>
    <w:rsid w:val="0020284D"/>
    <w:rsid w:val="0020319A"/>
    <w:rsid w:val="00204FDB"/>
    <w:rsid w:val="002051DC"/>
    <w:rsid w:val="002070F4"/>
    <w:rsid w:val="00207C8B"/>
    <w:rsid w:val="00210C51"/>
    <w:rsid w:val="00211FDD"/>
    <w:rsid w:val="00212B60"/>
    <w:rsid w:val="00212D18"/>
    <w:rsid w:val="00212D6D"/>
    <w:rsid w:val="00213772"/>
    <w:rsid w:val="0021753C"/>
    <w:rsid w:val="00217BAD"/>
    <w:rsid w:val="00220749"/>
    <w:rsid w:val="00222045"/>
    <w:rsid w:val="00222AC6"/>
    <w:rsid w:val="00223699"/>
    <w:rsid w:val="0022422C"/>
    <w:rsid w:val="002248F4"/>
    <w:rsid w:val="002255A5"/>
    <w:rsid w:val="00225D88"/>
    <w:rsid w:val="00225EEF"/>
    <w:rsid w:val="00225FEB"/>
    <w:rsid w:val="0022724E"/>
    <w:rsid w:val="002275D8"/>
    <w:rsid w:val="00230666"/>
    <w:rsid w:val="00230DE7"/>
    <w:rsid w:val="00231153"/>
    <w:rsid w:val="0023252E"/>
    <w:rsid w:val="002327AB"/>
    <w:rsid w:val="00234082"/>
    <w:rsid w:val="0023468C"/>
    <w:rsid w:val="002346FD"/>
    <w:rsid w:val="00236668"/>
    <w:rsid w:val="00237359"/>
    <w:rsid w:val="00240DB8"/>
    <w:rsid w:val="002410AB"/>
    <w:rsid w:val="0024165B"/>
    <w:rsid w:val="00241C31"/>
    <w:rsid w:val="0024272A"/>
    <w:rsid w:val="00243AD5"/>
    <w:rsid w:val="00244C30"/>
    <w:rsid w:val="00244C53"/>
    <w:rsid w:val="0024659A"/>
    <w:rsid w:val="00246F88"/>
    <w:rsid w:val="0024702E"/>
    <w:rsid w:val="002473F3"/>
    <w:rsid w:val="0024775A"/>
    <w:rsid w:val="0025273B"/>
    <w:rsid w:val="00253B54"/>
    <w:rsid w:val="00254794"/>
    <w:rsid w:val="00254DEB"/>
    <w:rsid w:val="00254EFF"/>
    <w:rsid w:val="00255D4C"/>
    <w:rsid w:val="00256BB4"/>
    <w:rsid w:val="002579D9"/>
    <w:rsid w:val="002615E4"/>
    <w:rsid w:val="00261E32"/>
    <w:rsid w:val="00261E73"/>
    <w:rsid w:val="00263155"/>
    <w:rsid w:val="002634D5"/>
    <w:rsid w:val="00263931"/>
    <w:rsid w:val="002652E1"/>
    <w:rsid w:val="002669B8"/>
    <w:rsid w:val="00266BCE"/>
    <w:rsid w:val="0026772F"/>
    <w:rsid w:val="002679D5"/>
    <w:rsid w:val="00270208"/>
    <w:rsid w:val="00270597"/>
    <w:rsid w:val="00270F4B"/>
    <w:rsid w:val="002714FD"/>
    <w:rsid w:val="002726D8"/>
    <w:rsid w:val="00273786"/>
    <w:rsid w:val="00274E37"/>
    <w:rsid w:val="00274EBC"/>
    <w:rsid w:val="00275F94"/>
    <w:rsid w:val="0027742F"/>
    <w:rsid w:val="002776B2"/>
    <w:rsid w:val="00277E3D"/>
    <w:rsid w:val="00281B9C"/>
    <w:rsid w:val="0028286D"/>
    <w:rsid w:val="00284C9B"/>
    <w:rsid w:val="00284D85"/>
    <w:rsid w:val="00285398"/>
    <w:rsid w:val="00285A31"/>
    <w:rsid w:val="00286452"/>
    <w:rsid w:val="00286E98"/>
    <w:rsid w:val="002877C6"/>
    <w:rsid w:val="0029351F"/>
    <w:rsid w:val="00293D59"/>
    <w:rsid w:val="002959DF"/>
    <w:rsid w:val="00295B92"/>
    <w:rsid w:val="002A0B35"/>
    <w:rsid w:val="002A141B"/>
    <w:rsid w:val="002A26B6"/>
    <w:rsid w:val="002A3AB1"/>
    <w:rsid w:val="002A6A4E"/>
    <w:rsid w:val="002B4A27"/>
    <w:rsid w:val="002B5A85"/>
    <w:rsid w:val="002B63A7"/>
    <w:rsid w:val="002B6A10"/>
    <w:rsid w:val="002B70A7"/>
    <w:rsid w:val="002C2B7E"/>
    <w:rsid w:val="002C2D83"/>
    <w:rsid w:val="002C396B"/>
    <w:rsid w:val="002C44F4"/>
    <w:rsid w:val="002C4764"/>
    <w:rsid w:val="002C484D"/>
    <w:rsid w:val="002C4ECC"/>
    <w:rsid w:val="002C5543"/>
    <w:rsid w:val="002D058B"/>
    <w:rsid w:val="002D0F7F"/>
    <w:rsid w:val="002D1780"/>
    <w:rsid w:val="002D6374"/>
    <w:rsid w:val="002D68CD"/>
    <w:rsid w:val="002E0198"/>
    <w:rsid w:val="002E09B9"/>
    <w:rsid w:val="002E0DA0"/>
    <w:rsid w:val="002E1D7C"/>
    <w:rsid w:val="002E3CC5"/>
    <w:rsid w:val="002E4B85"/>
    <w:rsid w:val="002F0548"/>
    <w:rsid w:val="002F1385"/>
    <w:rsid w:val="002F19F1"/>
    <w:rsid w:val="002F1C86"/>
    <w:rsid w:val="002F20BD"/>
    <w:rsid w:val="002F449B"/>
    <w:rsid w:val="002F4D86"/>
    <w:rsid w:val="002F5029"/>
    <w:rsid w:val="002F5D69"/>
    <w:rsid w:val="002F6467"/>
    <w:rsid w:val="002F646A"/>
    <w:rsid w:val="002F7C77"/>
    <w:rsid w:val="003001AA"/>
    <w:rsid w:val="00300CB3"/>
    <w:rsid w:val="003018C3"/>
    <w:rsid w:val="00301A1B"/>
    <w:rsid w:val="0030394B"/>
    <w:rsid w:val="00304119"/>
    <w:rsid w:val="00305308"/>
    <w:rsid w:val="00305D4D"/>
    <w:rsid w:val="00305FBA"/>
    <w:rsid w:val="003061AA"/>
    <w:rsid w:val="00306791"/>
    <w:rsid w:val="003072C6"/>
    <w:rsid w:val="0031090C"/>
    <w:rsid w:val="00310D8E"/>
    <w:rsid w:val="00312514"/>
    <w:rsid w:val="00312F7E"/>
    <w:rsid w:val="00313355"/>
    <w:rsid w:val="003158A5"/>
    <w:rsid w:val="00315BBD"/>
    <w:rsid w:val="00316CFC"/>
    <w:rsid w:val="0031753A"/>
    <w:rsid w:val="00317E39"/>
    <w:rsid w:val="00320293"/>
    <w:rsid w:val="00322CC2"/>
    <w:rsid w:val="00322F72"/>
    <w:rsid w:val="003230F4"/>
    <w:rsid w:val="00323ED7"/>
    <w:rsid w:val="00325763"/>
    <w:rsid w:val="003271DC"/>
    <w:rsid w:val="0033148A"/>
    <w:rsid w:val="00331C83"/>
    <w:rsid w:val="00332980"/>
    <w:rsid w:val="00332C53"/>
    <w:rsid w:val="00332FE5"/>
    <w:rsid w:val="00334A63"/>
    <w:rsid w:val="00334B54"/>
    <w:rsid w:val="00334DA5"/>
    <w:rsid w:val="00335623"/>
    <w:rsid w:val="00335AA1"/>
    <w:rsid w:val="00336365"/>
    <w:rsid w:val="0033739E"/>
    <w:rsid w:val="003414B6"/>
    <w:rsid w:val="00341579"/>
    <w:rsid w:val="00343733"/>
    <w:rsid w:val="00343970"/>
    <w:rsid w:val="00344DAA"/>
    <w:rsid w:val="00345354"/>
    <w:rsid w:val="00345870"/>
    <w:rsid w:val="00347510"/>
    <w:rsid w:val="00352FDE"/>
    <w:rsid w:val="00353E26"/>
    <w:rsid w:val="00355886"/>
    <w:rsid w:val="00356425"/>
    <w:rsid w:val="00356814"/>
    <w:rsid w:val="00363FC7"/>
    <w:rsid w:val="00364EE5"/>
    <w:rsid w:val="00365026"/>
    <w:rsid w:val="0036632E"/>
    <w:rsid w:val="003670D6"/>
    <w:rsid w:val="0036768B"/>
    <w:rsid w:val="003702C0"/>
    <w:rsid w:val="00371463"/>
    <w:rsid w:val="00372726"/>
    <w:rsid w:val="0037317E"/>
    <w:rsid w:val="00373513"/>
    <w:rsid w:val="00373FAF"/>
    <w:rsid w:val="0037479A"/>
    <w:rsid w:val="00375117"/>
    <w:rsid w:val="00376081"/>
    <w:rsid w:val="00376489"/>
    <w:rsid w:val="0037657F"/>
    <w:rsid w:val="00376843"/>
    <w:rsid w:val="0038019F"/>
    <w:rsid w:val="003804CD"/>
    <w:rsid w:val="003814A1"/>
    <w:rsid w:val="003815F6"/>
    <w:rsid w:val="003816BC"/>
    <w:rsid w:val="00382071"/>
    <w:rsid w:val="00386BCE"/>
    <w:rsid w:val="00387F98"/>
    <w:rsid w:val="00390903"/>
    <w:rsid w:val="003915A6"/>
    <w:rsid w:val="00392BAF"/>
    <w:rsid w:val="00395380"/>
    <w:rsid w:val="00396F21"/>
    <w:rsid w:val="00397434"/>
    <w:rsid w:val="00397744"/>
    <w:rsid w:val="00397A8D"/>
    <w:rsid w:val="003A0BDF"/>
    <w:rsid w:val="003A18B7"/>
    <w:rsid w:val="003A198F"/>
    <w:rsid w:val="003A1A22"/>
    <w:rsid w:val="003A2F25"/>
    <w:rsid w:val="003A5A25"/>
    <w:rsid w:val="003A674B"/>
    <w:rsid w:val="003A6868"/>
    <w:rsid w:val="003A77E7"/>
    <w:rsid w:val="003A7B94"/>
    <w:rsid w:val="003B0E9D"/>
    <w:rsid w:val="003B268B"/>
    <w:rsid w:val="003B2807"/>
    <w:rsid w:val="003B5173"/>
    <w:rsid w:val="003B7221"/>
    <w:rsid w:val="003C1290"/>
    <w:rsid w:val="003C2947"/>
    <w:rsid w:val="003C4470"/>
    <w:rsid w:val="003C4C72"/>
    <w:rsid w:val="003C6803"/>
    <w:rsid w:val="003C68F2"/>
    <w:rsid w:val="003C7B2C"/>
    <w:rsid w:val="003C7C40"/>
    <w:rsid w:val="003D1ACE"/>
    <w:rsid w:val="003D2BC0"/>
    <w:rsid w:val="003D2E01"/>
    <w:rsid w:val="003D330E"/>
    <w:rsid w:val="003D5013"/>
    <w:rsid w:val="003D58B8"/>
    <w:rsid w:val="003D5CFB"/>
    <w:rsid w:val="003D602B"/>
    <w:rsid w:val="003E1CBA"/>
    <w:rsid w:val="003E2636"/>
    <w:rsid w:val="003E2E12"/>
    <w:rsid w:val="003E3081"/>
    <w:rsid w:val="003E3333"/>
    <w:rsid w:val="003E5518"/>
    <w:rsid w:val="003E661C"/>
    <w:rsid w:val="003E7684"/>
    <w:rsid w:val="003F01D1"/>
    <w:rsid w:val="003F093D"/>
    <w:rsid w:val="003F39CE"/>
    <w:rsid w:val="003F54B8"/>
    <w:rsid w:val="003F5BAD"/>
    <w:rsid w:val="003F6476"/>
    <w:rsid w:val="003F68F9"/>
    <w:rsid w:val="003F6E0D"/>
    <w:rsid w:val="00401108"/>
    <w:rsid w:val="004022B3"/>
    <w:rsid w:val="00402927"/>
    <w:rsid w:val="00403022"/>
    <w:rsid w:val="00403659"/>
    <w:rsid w:val="00403672"/>
    <w:rsid w:val="00403833"/>
    <w:rsid w:val="0040453B"/>
    <w:rsid w:val="00405C4A"/>
    <w:rsid w:val="00405C64"/>
    <w:rsid w:val="00407993"/>
    <w:rsid w:val="00407F2F"/>
    <w:rsid w:val="00410598"/>
    <w:rsid w:val="004109D2"/>
    <w:rsid w:val="00411833"/>
    <w:rsid w:val="00412ADF"/>
    <w:rsid w:val="00412BCF"/>
    <w:rsid w:val="00412F64"/>
    <w:rsid w:val="00414663"/>
    <w:rsid w:val="00415771"/>
    <w:rsid w:val="00415E5A"/>
    <w:rsid w:val="00416547"/>
    <w:rsid w:val="0041675A"/>
    <w:rsid w:val="004167CD"/>
    <w:rsid w:val="00416870"/>
    <w:rsid w:val="00417BEB"/>
    <w:rsid w:val="00421CBE"/>
    <w:rsid w:val="004221C4"/>
    <w:rsid w:val="00423E20"/>
    <w:rsid w:val="00424CD3"/>
    <w:rsid w:val="00425345"/>
    <w:rsid w:val="00426145"/>
    <w:rsid w:val="0042704E"/>
    <w:rsid w:val="00430568"/>
    <w:rsid w:val="004324FF"/>
    <w:rsid w:val="00432A55"/>
    <w:rsid w:val="0043457D"/>
    <w:rsid w:val="00434D56"/>
    <w:rsid w:val="00435060"/>
    <w:rsid w:val="0044012A"/>
    <w:rsid w:val="00440D32"/>
    <w:rsid w:val="0044260A"/>
    <w:rsid w:val="00442A12"/>
    <w:rsid w:val="00442C35"/>
    <w:rsid w:val="00443DD4"/>
    <w:rsid w:val="004448C9"/>
    <w:rsid w:val="00444CDF"/>
    <w:rsid w:val="00444D82"/>
    <w:rsid w:val="00445B7F"/>
    <w:rsid w:val="00447E57"/>
    <w:rsid w:val="00450C0D"/>
    <w:rsid w:val="00452275"/>
    <w:rsid w:val="00452403"/>
    <w:rsid w:val="00452D71"/>
    <w:rsid w:val="00453AF4"/>
    <w:rsid w:val="00455F93"/>
    <w:rsid w:val="00455FB4"/>
    <w:rsid w:val="004564C6"/>
    <w:rsid w:val="00457A5D"/>
    <w:rsid w:val="00460C5C"/>
    <w:rsid w:val="004610CC"/>
    <w:rsid w:val="00461EF8"/>
    <w:rsid w:val="00463D8A"/>
    <w:rsid w:val="00464757"/>
    <w:rsid w:val="00465464"/>
    <w:rsid w:val="00465D33"/>
    <w:rsid w:val="00465E87"/>
    <w:rsid w:val="004669BA"/>
    <w:rsid w:val="00466E9C"/>
    <w:rsid w:val="004701BE"/>
    <w:rsid w:val="004706EE"/>
    <w:rsid w:val="00470E40"/>
    <w:rsid w:val="00471523"/>
    <w:rsid w:val="0047280C"/>
    <w:rsid w:val="00472DCC"/>
    <w:rsid w:val="00475047"/>
    <w:rsid w:val="004754D4"/>
    <w:rsid w:val="00475CAC"/>
    <w:rsid w:val="0047786A"/>
    <w:rsid w:val="00477A65"/>
    <w:rsid w:val="00480F28"/>
    <w:rsid w:val="00481FDC"/>
    <w:rsid w:val="00482157"/>
    <w:rsid w:val="00482665"/>
    <w:rsid w:val="00482DB3"/>
    <w:rsid w:val="0048362F"/>
    <w:rsid w:val="00483E37"/>
    <w:rsid w:val="004842F4"/>
    <w:rsid w:val="0048431C"/>
    <w:rsid w:val="00486DB0"/>
    <w:rsid w:val="0048719B"/>
    <w:rsid w:val="00490362"/>
    <w:rsid w:val="00490855"/>
    <w:rsid w:val="00490B79"/>
    <w:rsid w:val="00490BE7"/>
    <w:rsid w:val="00490E65"/>
    <w:rsid w:val="00491B45"/>
    <w:rsid w:val="004972B3"/>
    <w:rsid w:val="00497DE9"/>
    <w:rsid w:val="004A0236"/>
    <w:rsid w:val="004A251E"/>
    <w:rsid w:val="004A304E"/>
    <w:rsid w:val="004A369A"/>
    <w:rsid w:val="004A3B3E"/>
    <w:rsid w:val="004A41BF"/>
    <w:rsid w:val="004A4C60"/>
    <w:rsid w:val="004A4FD0"/>
    <w:rsid w:val="004A515B"/>
    <w:rsid w:val="004B0237"/>
    <w:rsid w:val="004B0900"/>
    <w:rsid w:val="004B1457"/>
    <w:rsid w:val="004B1798"/>
    <w:rsid w:val="004B1994"/>
    <w:rsid w:val="004B1ED4"/>
    <w:rsid w:val="004B2E44"/>
    <w:rsid w:val="004B37A7"/>
    <w:rsid w:val="004B3A68"/>
    <w:rsid w:val="004B3AD0"/>
    <w:rsid w:val="004B3E55"/>
    <w:rsid w:val="004B4B15"/>
    <w:rsid w:val="004B4D0B"/>
    <w:rsid w:val="004C10D9"/>
    <w:rsid w:val="004C32A4"/>
    <w:rsid w:val="004C3FF8"/>
    <w:rsid w:val="004C5777"/>
    <w:rsid w:val="004C7346"/>
    <w:rsid w:val="004D0173"/>
    <w:rsid w:val="004D0C95"/>
    <w:rsid w:val="004D1056"/>
    <w:rsid w:val="004D23C3"/>
    <w:rsid w:val="004D53A6"/>
    <w:rsid w:val="004D5E6D"/>
    <w:rsid w:val="004D6E03"/>
    <w:rsid w:val="004E05F2"/>
    <w:rsid w:val="004E1EDE"/>
    <w:rsid w:val="004E21E2"/>
    <w:rsid w:val="004E293F"/>
    <w:rsid w:val="004E380D"/>
    <w:rsid w:val="004E3C2A"/>
    <w:rsid w:val="004E3E44"/>
    <w:rsid w:val="004E4422"/>
    <w:rsid w:val="004E7922"/>
    <w:rsid w:val="004F085C"/>
    <w:rsid w:val="004F0DFC"/>
    <w:rsid w:val="004F1161"/>
    <w:rsid w:val="004F3441"/>
    <w:rsid w:val="004F41B2"/>
    <w:rsid w:val="004F4AFC"/>
    <w:rsid w:val="004F4EB1"/>
    <w:rsid w:val="004F52A5"/>
    <w:rsid w:val="004F6A17"/>
    <w:rsid w:val="004F6B53"/>
    <w:rsid w:val="00500C8C"/>
    <w:rsid w:val="0050110C"/>
    <w:rsid w:val="00501375"/>
    <w:rsid w:val="00501D3B"/>
    <w:rsid w:val="005022C9"/>
    <w:rsid w:val="00502E34"/>
    <w:rsid w:val="00506230"/>
    <w:rsid w:val="00506C20"/>
    <w:rsid w:val="005075F2"/>
    <w:rsid w:val="0050779D"/>
    <w:rsid w:val="00510276"/>
    <w:rsid w:val="00510AC5"/>
    <w:rsid w:val="00512184"/>
    <w:rsid w:val="00512D46"/>
    <w:rsid w:val="005137DA"/>
    <w:rsid w:val="005139EA"/>
    <w:rsid w:val="00517041"/>
    <w:rsid w:val="00520BBB"/>
    <w:rsid w:val="00520BD3"/>
    <w:rsid w:val="00521BF1"/>
    <w:rsid w:val="00521DAF"/>
    <w:rsid w:val="00521EF4"/>
    <w:rsid w:val="005226C4"/>
    <w:rsid w:val="005241D1"/>
    <w:rsid w:val="00525456"/>
    <w:rsid w:val="0052556C"/>
    <w:rsid w:val="00525B20"/>
    <w:rsid w:val="00526B29"/>
    <w:rsid w:val="0052792F"/>
    <w:rsid w:val="00532236"/>
    <w:rsid w:val="0053660A"/>
    <w:rsid w:val="005369FF"/>
    <w:rsid w:val="005414BA"/>
    <w:rsid w:val="005416C2"/>
    <w:rsid w:val="00541DFE"/>
    <w:rsid w:val="00542682"/>
    <w:rsid w:val="00543E6C"/>
    <w:rsid w:val="00543ED6"/>
    <w:rsid w:val="00544184"/>
    <w:rsid w:val="005465F2"/>
    <w:rsid w:val="005552FD"/>
    <w:rsid w:val="00556212"/>
    <w:rsid w:val="00556B40"/>
    <w:rsid w:val="005600E5"/>
    <w:rsid w:val="00560C06"/>
    <w:rsid w:val="00562227"/>
    <w:rsid w:val="0056339A"/>
    <w:rsid w:val="00563AEC"/>
    <w:rsid w:val="0056413F"/>
    <w:rsid w:val="00564E8F"/>
    <w:rsid w:val="0056507B"/>
    <w:rsid w:val="00565292"/>
    <w:rsid w:val="00567486"/>
    <w:rsid w:val="005728A4"/>
    <w:rsid w:val="00574F93"/>
    <w:rsid w:val="005763FC"/>
    <w:rsid w:val="00576EB4"/>
    <w:rsid w:val="00577B30"/>
    <w:rsid w:val="00577D92"/>
    <w:rsid w:val="00577EC7"/>
    <w:rsid w:val="00580E14"/>
    <w:rsid w:val="00580FA8"/>
    <w:rsid w:val="005812C2"/>
    <w:rsid w:val="0058234E"/>
    <w:rsid w:val="00582613"/>
    <w:rsid w:val="005826D2"/>
    <w:rsid w:val="00582768"/>
    <w:rsid w:val="00583461"/>
    <w:rsid w:val="00584A53"/>
    <w:rsid w:val="00584D42"/>
    <w:rsid w:val="005856A4"/>
    <w:rsid w:val="00585A1A"/>
    <w:rsid w:val="0058670D"/>
    <w:rsid w:val="005878AA"/>
    <w:rsid w:val="00587B14"/>
    <w:rsid w:val="00587E69"/>
    <w:rsid w:val="00590730"/>
    <w:rsid w:val="00591398"/>
    <w:rsid w:val="00591E20"/>
    <w:rsid w:val="005925C2"/>
    <w:rsid w:val="0059365B"/>
    <w:rsid w:val="00593BA3"/>
    <w:rsid w:val="00593FAA"/>
    <w:rsid w:val="00594437"/>
    <w:rsid w:val="0059635A"/>
    <w:rsid w:val="005972D6"/>
    <w:rsid w:val="005A1363"/>
    <w:rsid w:val="005A1C0B"/>
    <w:rsid w:val="005A2234"/>
    <w:rsid w:val="005A3051"/>
    <w:rsid w:val="005A493A"/>
    <w:rsid w:val="005A51B6"/>
    <w:rsid w:val="005A53FE"/>
    <w:rsid w:val="005A5A60"/>
    <w:rsid w:val="005A65ED"/>
    <w:rsid w:val="005A73CB"/>
    <w:rsid w:val="005A7D9A"/>
    <w:rsid w:val="005B05DD"/>
    <w:rsid w:val="005B0944"/>
    <w:rsid w:val="005B2ADA"/>
    <w:rsid w:val="005B4C69"/>
    <w:rsid w:val="005B565C"/>
    <w:rsid w:val="005B63CB"/>
    <w:rsid w:val="005B7AFD"/>
    <w:rsid w:val="005B7C00"/>
    <w:rsid w:val="005B7D22"/>
    <w:rsid w:val="005C01D3"/>
    <w:rsid w:val="005C029E"/>
    <w:rsid w:val="005C089B"/>
    <w:rsid w:val="005C2567"/>
    <w:rsid w:val="005C4B2E"/>
    <w:rsid w:val="005C5DED"/>
    <w:rsid w:val="005C67AB"/>
    <w:rsid w:val="005C708A"/>
    <w:rsid w:val="005C7FB9"/>
    <w:rsid w:val="005D206C"/>
    <w:rsid w:val="005D2856"/>
    <w:rsid w:val="005D559A"/>
    <w:rsid w:val="005D787A"/>
    <w:rsid w:val="005D7CD5"/>
    <w:rsid w:val="005E0281"/>
    <w:rsid w:val="005E085D"/>
    <w:rsid w:val="005E183E"/>
    <w:rsid w:val="005E1BBE"/>
    <w:rsid w:val="005E3550"/>
    <w:rsid w:val="005E3FA7"/>
    <w:rsid w:val="005E421A"/>
    <w:rsid w:val="005E65A4"/>
    <w:rsid w:val="005E7963"/>
    <w:rsid w:val="005E7A46"/>
    <w:rsid w:val="005E7C5A"/>
    <w:rsid w:val="005F1A7F"/>
    <w:rsid w:val="005F218C"/>
    <w:rsid w:val="005F4523"/>
    <w:rsid w:val="005F6923"/>
    <w:rsid w:val="005F6E85"/>
    <w:rsid w:val="005F78E4"/>
    <w:rsid w:val="005F7D64"/>
    <w:rsid w:val="006012B2"/>
    <w:rsid w:val="00601AA5"/>
    <w:rsid w:val="00601D4D"/>
    <w:rsid w:val="006021B4"/>
    <w:rsid w:val="00603571"/>
    <w:rsid w:val="006038F4"/>
    <w:rsid w:val="0060466D"/>
    <w:rsid w:val="00605B5B"/>
    <w:rsid w:val="006062D8"/>
    <w:rsid w:val="0060651B"/>
    <w:rsid w:val="00606642"/>
    <w:rsid w:val="00606827"/>
    <w:rsid w:val="00606FD8"/>
    <w:rsid w:val="00607558"/>
    <w:rsid w:val="0061098E"/>
    <w:rsid w:val="00612086"/>
    <w:rsid w:val="00612720"/>
    <w:rsid w:val="006143DA"/>
    <w:rsid w:val="00614B7B"/>
    <w:rsid w:val="00614BBE"/>
    <w:rsid w:val="006154C3"/>
    <w:rsid w:val="00616842"/>
    <w:rsid w:val="006168F1"/>
    <w:rsid w:val="00616986"/>
    <w:rsid w:val="00620262"/>
    <w:rsid w:val="00621B4C"/>
    <w:rsid w:val="0062215B"/>
    <w:rsid w:val="0062357C"/>
    <w:rsid w:val="006236F5"/>
    <w:rsid w:val="00623F7D"/>
    <w:rsid w:val="0062573C"/>
    <w:rsid w:val="00625861"/>
    <w:rsid w:val="00626597"/>
    <w:rsid w:val="006265CA"/>
    <w:rsid w:val="00626A63"/>
    <w:rsid w:val="006273B4"/>
    <w:rsid w:val="00627C52"/>
    <w:rsid w:val="00627C9A"/>
    <w:rsid w:val="006301E8"/>
    <w:rsid w:val="00630937"/>
    <w:rsid w:val="00631336"/>
    <w:rsid w:val="00632F22"/>
    <w:rsid w:val="00633C33"/>
    <w:rsid w:val="00635E91"/>
    <w:rsid w:val="00636934"/>
    <w:rsid w:val="00636EA5"/>
    <w:rsid w:val="006379DA"/>
    <w:rsid w:val="00637A91"/>
    <w:rsid w:val="00637BBB"/>
    <w:rsid w:val="00640079"/>
    <w:rsid w:val="00641EEB"/>
    <w:rsid w:val="006454FE"/>
    <w:rsid w:val="00650011"/>
    <w:rsid w:val="006504ED"/>
    <w:rsid w:val="006517D3"/>
    <w:rsid w:val="00651F86"/>
    <w:rsid w:val="0065209C"/>
    <w:rsid w:val="00653B84"/>
    <w:rsid w:val="00653E0D"/>
    <w:rsid w:val="006540D0"/>
    <w:rsid w:val="00656A7C"/>
    <w:rsid w:val="00656ABB"/>
    <w:rsid w:val="00657137"/>
    <w:rsid w:val="00661173"/>
    <w:rsid w:val="006611EE"/>
    <w:rsid w:val="00662BF6"/>
    <w:rsid w:val="00666929"/>
    <w:rsid w:val="00666EFE"/>
    <w:rsid w:val="006679D1"/>
    <w:rsid w:val="00671FCA"/>
    <w:rsid w:val="006727BF"/>
    <w:rsid w:val="0067552F"/>
    <w:rsid w:val="00675B9C"/>
    <w:rsid w:val="00676873"/>
    <w:rsid w:val="00676FB8"/>
    <w:rsid w:val="0068060C"/>
    <w:rsid w:val="00681503"/>
    <w:rsid w:val="00681780"/>
    <w:rsid w:val="00682CA1"/>
    <w:rsid w:val="00683043"/>
    <w:rsid w:val="006835B5"/>
    <w:rsid w:val="006844F3"/>
    <w:rsid w:val="006846CF"/>
    <w:rsid w:val="00685BDA"/>
    <w:rsid w:val="006865C8"/>
    <w:rsid w:val="0068692F"/>
    <w:rsid w:val="00686B48"/>
    <w:rsid w:val="00687038"/>
    <w:rsid w:val="0068714E"/>
    <w:rsid w:val="006871B6"/>
    <w:rsid w:val="00687C16"/>
    <w:rsid w:val="0069012F"/>
    <w:rsid w:val="006925E5"/>
    <w:rsid w:val="006929F7"/>
    <w:rsid w:val="00692CE0"/>
    <w:rsid w:val="00693289"/>
    <w:rsid w:val="0069374A"/>
    <w:rsid w:val="00694223"/>
    <w:rsid w:val="00694AB8"/>
    <w:rsid w:val="00694FF8"/>
    <w:rsid w:val="00695EF7"/>
    <w:rsid w:val="0069699D"/>
    <w:rsid w:val="006A26F9"/>
    <w:rsid w:val="006A3CFD"/>
    <w:rsid w:val="006A4C84"/>
    <w:rsid w:val="006A713D"/>
    <w:rsid w:val="006B2C51"/>
    <w:rsid w:val="006B32D3"/>
    <w:rsid w:val="006B334C"/>
    <w:rsid w:val="006B379A"/>
    <w:rsid w:val="006B4E55"/>
    <w:rsid w:val="006B517C"/>
    <w:rsid w:val="006B57E2"/>
    <w:rsid w:val="006B57EA"/>
    <w:rsid w:val="006B626A"/>
    <w:rsid w:val="006B6361"/>
    <w:rsid w:val="006B67C6"/>
    <w:rsid w:val="006C028E"/>
    <w:rsid w:val="006C05CE"/>
    <w:rsid w:val="006C0AE8"/>
    <w:rsid w:val="006C13DB"/>
    <w:rsid w:val="006C34A1"/>
    <w:rsid w:val="006C46C6"/>
    <w:rsid w:val="006D08F1"/>
    <w:rsid w:val="006D12A2"/>
    <w:rsid w:val="006D14DA"/>
    <w:rsid w:val="006D2173"/>
    <w:rsid w:val="006D360C"/>
    <w:rsid w:val="006D3683"/>
    <w:rsid w:val="006D3719"/>
    <w:rsid w:val="006D3A4D"/>
    <w:rsid w:val="006D4FF7"/>
    <w:rsid w:val="006D55B5"/>
    <w:rsid w:val="006D5AC9"/>
    <w:rsid w:val="006D66ED"/>
    <w:rsid w:val="006E141E"/>
    <w:rsid w:val="006E2471"/>
    <w:rsid w:val="006E2C33"/>
    <w:rsid w:val="006E38C4"/>
    <w:rsid w:val="006E4010"/>
    <w:rsid w:val="006E5E87"/>
    <w:rsid w:val="006E6116"/>
    <w:rsid w:val="006E6479"/>
    <w:rsid w:val="006E6C3E"/>
    <w:rsid w:val="006E786B"/>
    <w:rsid w:val="006F0660"/>
    <w:rsid w:val="006F39CC"/>
    <w:rsid w:val="006F54A6"/>
    <w:rsid w:val="006F683C"/>
    <w:rsid w:val="006F7437"/>
    <w:rsid w:val="006F7520"/>
    <w:rsid w:val="007002B1"/>
    <w:rsid w:val="00700B2A"/>
    <w:rsid w:val="00701FE5"/>
    <w:rsid w:val="0070255C"/>
    <w:rsid w:val="007042C4"/>
    <w:rsid w:val="00704377"/>
    <w:rsid w:val="00704EB7"/>
    <w:rsid w:val="00705742"/>
    <w:rsid w:val="007074F9"/>
    <w:rsid w:val="00707C67"/>
    <w:rsid w:val="007104FE"/>
    <w:rsid w:val="00711369"/>
    <w:rsid w:val="00711453"/>
    <w:rsid w:val="0071165E"/>
    <w:rsid w:val="00711B0C"/>
    <w:rsid w:val="00711F4F"/>
    <w:rsid w:val="007121A2"/>
    <w:rsid w:val="00712FBA"/>
    <w:rsid w:val="00713981"/>
    <w:rsid w:val="00714EFC"/>
    <w:rsid w:val="00715FC9"/>
    <w:rsid w:val="007175A5"/>
    <w:rsid w:val="007176D6"/>
    <w:rsid w:val="00717EC1"/>
    <w:rsid w:val="00720AD1"/>
    <w:rsid w:val="00721E5D"/>
    <w:rsid w:val="00723BEE"/>
    <w:rsid w:val="00727D54"/>
    <w:rsid w:val="007300B1"/>
    <w:rsid w:val="00730427"/>
    <w:rsid w:val="00731807"/>
    <w:rsid w:val="007331AB"/>
    <w:rsid w:val="007344C5"/>
    <w:rsid w:val="00734959"/>
    <w:rsid w:val="00735137"/>
    <w:rsid w:val="0073520D"/>
    <w:rsid w:val="00735283"/>
    <w:rsid w:val="00735D55"/>
    <w:rsid w:val="007379F2"/>
    <w:rsid w:val="00737CB1"/>
    <w:rsid w:val="007401FB"/>
    <w:rsid w:val="00743BE8"/>
    <w:rsid w:val="0074596B"/>
    <w:rsid w:val="00747ED6"/>
    <w:rsid w:val="007511CA"/>
    <w:rsid w:val="0075163D"/>
    <w:rsid w:val="00751AF0"/>
    <w:rsid w:val="00752327"/>
    <w:rsid w:val="0075383D"/>
    <w:rsid w:val="00754B12"/>
    <w:rsid w:val="007624F9"/>
    <w:rsid w:val="0076352C"/>
    <w:rsid w:val="00763E8B"/>
    <w:rsid w:val="00765EB1"/>
    <w:rsid w:val="0076644F"/>
    <w:rsid w:val="00766AF2"/>
    <w:rsid w:val="00767843"/>
    <w:rsid w:val="007678C7"/>
    <w:rsid w:val="00770366"/>
    <w:rsid w:val="00770AB4"/>
    <w:rsid w:val="00771733"/>
    <w:rsid w:val="00772893"/>
    <w:rsid w:val="00774C2E"/>
    <w:rsid w:val="00777045"/>
    <w:rsid w:val="00777A68"/>
    <w:rsid w:val="0078013F"/>
    <w:rsid w:val="00780226"/>
    <w:rsid w:val="007804BA"/>
    <w:rsid w:val="00781005"/>
    <w:rsid w:val="007811F8"/>
    <w:rsid w:val="00781AB4"/>
    <w:rsid w:val="00783DD5"/>
    <w:rsid w:val="00786754"/>
    <w:rsid w:val="00791695"/>
    <w:rsid w:val="00791FB3"/>
    <w:rsid w:val="0079208D"/>
    <w:rsid w:val="007920E5"/>
    <w:rsid w:val="007923B7"/>
    <w:rsid w:val="00792616"/>
    <w:rsid w:val="007926BB"/>
    <w:rsid w:val="007929E7"/>
    <w:rsid w:val="0079344C"/>
    <w:rsid w:val="00793E4E"/>
    <w:rsid w:val="00795C47"/>
    <w:rsid w:val="007966BA"/>
    <w:rsid w:val="007968AE"/>
    <w:rsid w:val="007970D5"/>
    <w:rsid w:val="00797415"/>
    <w:rsid w:val="00797970"/>
    <w:rsid w:val="00797A2F"/>
    <w:rsid w:val="007A0283"/>
    <w:rsid w:val="007A1FB7"/>
    <w:rsid w:val="007A2315"/>
    <w:rsid w:val="007A28B7"/>
    <w:rsid w:val="007A2936"/>
    <w:rsid w:val="007A2A62"/>
    <w:rsid w:val="007A37E4"/>
    <w:rsid w:val="007A575E"/>
    <w:rsid w:val="007A5887"/>
    <w:rsid w:val="007B184E"/>
    <w:rsid w:val="007B1DDF"/>
    <w:rsid w:val="007B3625"/>
    <w:rsid w:val="007B5E08"/>
    <w:rsid w:val="007C02C7"/>
    <w:rsid w:val="007C21EE"/>
    <w:rsid w:val="007C35B0"/>
    <w:rsid w:val="007C3763"/>
    <w:rsid w:val="007C4228"/>
    <w:rsid w:val="007C6A32"/>
    <w:rsid w:val="007C7B23"/>
    <w:rsid w:val="007D3216"/>
    <w:rsid w:val="007D33F6"/>
    <w:rsid w:val="007D3A2E"/>
    <w:rsid w:val="007D6652"/>
    <w:rsid w:val="007D69AE"/>
    <w:rsid w:val="007D6B95"/>
    <w:rsid w:val="007E0601"/>
    <w:rsid w:val="007E1C04"/>
    <w:rsid w:val="007E22EC"/>
    <w:rsid w:val="007E2CAD"/>
    <w:rsid w:val="007E343D"/>
    <w:rsid w:val="007E5B56"/>
    <w:rsid w:val="007E6209"/>
    <w:rsid w:val="007E64DC"/>
    <w:rsid w:val="007E660C"/>
    <w:rsid w:val="007E6E66"/>
    <w:rsid w:val="007E78F7"/>
    <w:rsid w:val="007F0C1F"/>
    <w:rsid w:val="007F1998"/>
    <w:rsid w:val="007F23D5"/>
    <w:rsid w:val="007F4383"/>
    <w:rsid w:val="007F79A4"/>
    <w:rsid w:val="007F7FE3"/>
    <w:rsid w:val="00801601"/>
    <w:rsid w:val="00802D84"/>
    <w:rsid w:val="00802EE6"/>
    <w:rsid w:val="00804B99"/>
    <w:rsid w:val="0080516E"/>
    <w:rsid w:val="00806553"/>
    <w:rsid w:val="008065B1"/>
    <w:rsid w:val="00810991"/>
    <w:rsid w:val="00811AFC"/>
    <w:rsid w:val="00811C6D"/>
    <w:rsid w:val="00811EF7"/>
    <w:rsid w:val="00812070"/>
    <w:rsid w:val="0081228E"/>
    <w:rsid w:val="00812C90"/>
    <w:rsid w:val="00813430"/>
    <w:rsid w:val="0081394F"/>
    <w:rsid w:val="00814A9B"/>
    <w:rsid w:val="00814F66"/>
    <w:rsid w:val="00816F43"/>
    <w:rsid w:val="00817C9E"/>
    <w:rsid w:val="008205AF"/>
    <w:rsid w:val="00821A06"/>
    <w:rsid w:val="008225E5"/>
    <w:rsid w:val="00822EEF"/>
    <w:rsid w:val="00824058"/>
    <w:rsid w:val="008248D8"/>
    <w:rsid w:val="00824BB5"/>
    <w:rsid w:val="00825311"/>
    <w:rsid w:val="00825CE4"/>
    <w:rsid w:val="00826AF3"/>
    <w:rsid w:val="00827266"/>
    <w:rsid w:val="00827D36"/>
    <w:rsid w:val="00831053"/>
    <w:rsid w:val="008314D2"/>
    <w:rsid w:val="00831DDD"/>
    <w:rsid w:val="0083254D"/>
    <w:rsid w:val="00833B89"/>
    <w:rsid w:val="008343C9"/>
    <w:rsid w:val="00836249"/>
    <w:rsid w:val="00836F00"/>
    <w:rsid w:val="0084007E"/>
    <w:rsid w:val="00840DA6"/>
    <w:rsid w:val="008412E9"/>
    <w:rsid w:val="008425C8"/>
    <w:rsid w:val="00842901"/>
    <w:rsid w:val="00842B6B"/>
    <w:rsid w:val="008460F3"/>
    <w:rsid w:val="00846192"/>
    <w:rsid w:val="00847017"/>
    <w:rsid w:val="0084709F"/>
    <w:rsid w:val="00850806"/>
    <w:rsid w:val="00850EBE"/>
    <w:rsid w:val="008511AF"/>
    <w:rsid w:val="00853DA5"/>
    <w:rsid w:val="00854B73"/>
    <w:rsid w:val="008558B8"/>
    <w:rsid w:val="008565A2"/>
    <w:rsid w:val="00856A1B"/>
    <w:rsid w:val="00856AD3"/>
    <w:rsid w:val="00860BFC"/>
    <w:rsid w:val="008614E7"/>
    <w:rsid w:val="00861FA5"/>
    <w:rsid w:val="008621C3"/>
    <w:rsid w:val="008636CD"/>
    <w:rsid w:val="00865486"/>
    <w:rsid w:val="008659D6"/>
    <w:rsid w:val="00866997"/>
    <w:rsid w:val="00867050"/>
    <w:rsid w:val="0086751A"/>
    <w:rsid w:val="008708AB"/>
    <w:rsid w:val="00872D4D"/>
    <w:rsid w:val="0087372E"/>
    <w:rsid w:val="00874A0D"/>
    <w:rsid w:val="008752F1"/>
    <w:rsid w:val="00875B5C"/>
    <w:rsid w:val="00875BA7"/>
    <w:rsid w:val="00876275"/>
    <w:rsid w:val="008829D3"/>
    <w:rsid w:val="00882B99"/>
    <w:rsid w:val="00882BF8"/>
    <w:rsid w:val="00882CFA"/>
    <w:rsid w:val="00883089"/>
    <w:rsid w:val="00883922"/>
    <w:rsid w:val="00884F98"/>
    <w:rsid w:val="00885071"/>
    <w:rsid w:val="00886121"/>
    <w:rsid w:val="00886AD2"/>
    <w:rsid w:val="008911B4"/>
    <w:rsid w:val="008925F5"/>
    <w:rsid w:val="00892E66"/>
    <w:rsid w:val="00895019"/>
    <w:rsid w:val="00897426"/>
    <w:rsid w:val="008A090C"/>
    <w:rsid w:val="008A295B"/>
    <w:rsid w:val="008A30E0"/>
    <w:rsid w:val="008A3F92"/>
    <w:rsid w:val="008A502E"/>
    <w:rsid w:val="008A54A8"/>
    <w:rsid w:val="008A62CD"/>
    <w:rsid w:val="008A63B4"/>
    <w:rsid w:val="008A6604"/>
    <w:rsid w:val="008A66C1"/>
    <w:rsid w:val="008B0430"/>
    <w:rsid w:val="008B069B"/>
    <w:rsid w:val="008B28F8"/>
    <w:rsid w:val="008B2C48"/>
    <w:rsid w:val="008B360D"/>
    <w:rsid w:val="008B42D7"/>
    <w:rsid w:val="008B5482"/>
    <w:rsid w:val="008B6142"/>
    <w:rsid w:val="008B61FF"/>
    <w:rsid w:val="008B6C91"/>
    <w:rsid w:val="008C0311"/>
    <w:rsid w:val="008C11F4"/>
    <w:rsid w:val="008C227E"/>
    <w:rsid w:val="008C2300"/>
    <w:rsid w:val="008C2BEC"/>
    <w:rsid w:val="008C4E37"/>
    <w:rsid w:val="008C5DAB"/>
    <w:rsid w:val="008C6523"/>
    <w:rsid w:val="008C6D0E"/>
    <w:rsid w:val="008C711A"/>
    <w:rsid w:val="008D00F7"/>
    <w:rsid w:val="008D09D2"/>
    <w:rsid w:val="008D119E"/>
    <w:rsid w:val="008D1FB3"/>
    <w:rsid w:val="008D39C5"/>
    <w:rsid w:val="008D3E7D"/>
    <w:rsid w:val="008D6684"/>
    <w:rsid w:val="008D7AD9"/>
    <w:rsid w:val="008D7B32"/>
    <w:rsid w:val="008E0D95"/>
    <w:rsid w:val="008E15EC"/>
    <w:rsid w:val="008E1D89"/>
    <w:rsid w:val="008E2486"/>
    <w:rsid w:val="008E2B2D"/>
    <w:rsid w:val="008E3E3E"/>
    <w:rsid w:val="008E3EC9"/>
    <w:rsid w:val="008E433C"/>
    <w:rsid w:val="008E5B50"/>
    <w:rsid w:val="008E5E26"/>
    <w:rsid w:val="008E656D"/>
    <w:rsid w:val="008F1208"/>
    <w:rsid w:val="008F5F87"/>
    <w:rsid w:val="00900A34"/>
    <w:rsid w:val="00901354"/>
    <w:rsid w:val="0090314B"/>
    <w:rsid w:val="00903B60"/>
    <w:rsid w:val="00904E72"/>
    <w:rsid w:val="00907031"/>
    <w:rsid w:val="00907073"/>
    <w:rsid w:val="009078ED"/>
    <w:rsid w:val="00910D37"/>
    <w:rsid w:val="00911802"/>
    <w:rsid w:val="00912F2D"/>
    <w:rsid w:val="00914D34"/>
    <w:rsid w:val="00915121"/>
    <w:rsid w:val="0091586B"/>
    <w:rsid w:val="0091708E"/>
    <w:rsid w:val="009179AF"/>
    <w:rsid w:val="009208F5"/>
    <w:rsid w:val="00921B05"/>
    <w:rsid w:val="00921FA4"/>
    <w:rsid w:val="009223AE"/>
    <w:rsid w:val="00923032"/>
    <w:rsid w:val="0092435E"/>
    <w:rsid w:val="00926AEB"/>
    <w:rsid w:val="0092724D"/>
    <w:rsid w:val="00927BC8"/>
    <w:rsid w:val="00927D51"/>
    <w:rsid w:val="00930DE4"/>
    <w:rsid w:val="00932272"/>
    <w:rsid w:val="00932862"/>
    <w:rsid w:val="0093406B"/>
    <w:rsid w:val="00935D60"/>
    <w:rsid w:val="009362D1"/>
    <w:rsid w:val="0093753D"/>
    <w:rsid w:val="00940B4C"/>
    <w:rsid w:val="00941134"/>
    <w:rsid w:val="0094126F"/>
    <w:rsid w:val="00941F29"/>
    <w:rsid w:val="00942BE3"/>
    <w:rsid w:val="00943054"/>
    <w:rsid w:val="009439E8"/>
    <w:rsid w:val="009440DC"/>
    <w:rsid w:val="009447BB"/>
    <w:rsid w:val="00944C48"/>
    <w:rsid w:val="00946335"/>
    <w:rsid w:val="0094788C"/>
    <w:rsid w:val="009513C4"/>
    <w:rsid w:val="00951BD9"/>
    <w:rsid w:val="00955E55"/>
    <w:rsid w:val="00956237"/>
    <w:rsid w:val="00957799"/>
    <w:rsid w:val="00961A3B"/>
    <w:rsid w:val="00961F37"/>
    <w:rsid w:val="00962200"/>
    <w:rsid w:val="00962B71"/>
    <w:rsid w:val="00962D52"/>
    <w:rsid w:val="00962FD3"/>
    <w:rsid w:val="00963865"/>
    <w:rsid w:val="00964A99"/>
    <w:rsid w:val="009652C4"/>
    <w:rsid w:val="00965798"/>
    <w:rsid w:val="00965C40"/>
    <w:rsid w:val="00965D3A"/>
    <w:rsid w:val="0096609B"/>
    <w:rsid w:val="009667CA"/>
    <w:rsid w:val="00966F54"/>
    <w:rsid w:val="00966F9F"/>
    <w:rsid w:val="0096720C"/>
    <w:rsid w:val="00967A09"/>
    <w:rsid w:val="00971172"/>
    <w:rsid w:val="00973812"/>
    <w:rsid w:val="00974432"/>
    <w:rsid w:val="00974EC9"/>
    <w:rsid w:val="009755EF"/>
    <w:rsid w:val="00975CED"/>
    <w:rsid w:val="00975E61"/>
    <w:rsid w:val="009762F8"/>
    <w:rsid w:val="00976E31"/>
    <w:rsid w:val="0097717A"/>
    <w:rsid w:val="00977C63"/>
    <w:rsid w:val="00980087"/>
    <w:rsid w:val="00980C0B"/>
    <w:rsid w:val="0098171C"/>
    <w:rsid w:val="00982247"/>
    <w:rsid w:val="009836C2"/>
    <w:rsid w:val="00984E10"/>
    <w:rsid w:val="0098524F"/>
    <w:rsid w:val="00987ABE"/>
    <w:rsid w:val="009906C7"/>
    <w:rsid w:val="00990D3A"/>
    <w:rsid w:val="009914C0"/>
    <w:rsid w:val="00991EB5"/>
    <w:rsid w:val="00993A4A"/>
    <w:rsid w:val="009963CD"/>
    <w:rsid w:val="00996586"/>
    <w:rsid w:val="00996A94"/>
    <w:rsid w:val="009970F7"/>
    <w:rsid w:val="00997180"/>
    <w:rsid w:val="009A0990"/>
    <w:rsid w:val="009A293C"/>
    <w:rsid w:val="009A395C"/>
    <w:rsid w:val="009A3D14"/>
    <w:rsid w:val="009A4755"/>
    <w:rsid w:val="009B07E2"/>
    <w:rsid w:val="009B266D"/>
    <w:rsid w:val="009B285F"/>
    <w:rsid w:val="009B32CF"/>
    <w:rsid w:val="009B5CBF"/>
    <w:rsid w:val="009B75D9"/>
    <w:rsid w:val="009B77D7"/>
    <w:rsid w:val="009C06C8"/>
    <w:rsid w:val="009C14B7"/>
    <w:rsid w:val="009C16F5"/>
    <w:rsid w:val="009C184A"/>
    <w:rsid w:val="009C1B36"/>
    <w:rsid w:val="009C21F2"/>
    <w:rsid w:val="009C2A81"/>
    <w:rsid w:val="009C2CA5"/>
    <w:rsid w:val="009C3460"/>
    <w:rsid w:val="009C7475"/>
    <w:rsid w:val="009C7845"/>
    <w:rsid w:val="009D14FF"/>
    <w:rsid w:val="009D3430"/>
    <w:rsid w:val="009D3A34"/>
    <w:rsid w:val="009D3E45"/>
    <w:rsid w:val="009D5472"/>
    <w:rsid w:val="009D691D"/>
    <w:rsid w:val="009D6950"/>
    <w:rsid w:val="009E1AC4"/>
    <w:rsid w:val="009E1C07"/>
    <w:rsid w:val="009E215B"/>
    <w:rsid w:val="009E4E2C"/>
    <w:rsid w:val="009E4FAD"/>
    <w:rsid w:val="009E7308"/>
    <w:rsid w:val="009F1E1A"/>
    <w:rsid w:val="009F1FCF"/>
    <w:rsid w:val="009F286D"/>
    <w:rsid w:val="009F351F"/>
    <w:rsid w:val="009F38A9"/>
    <w:rsid w:val="009F3F89"/>
    <w:rsid w:val="009F480E"/>
    <w:rsid w:val="009F4E8E"/>
    <w:rsid w:val="009F5A59"/>
    <w:rsid w:val="009F6105"/>
    <w:rsid w:val="009F6F2B"/>
    <w:rsid w:val="00A00C28"/>
    <w:rsid w:val="00A01558"/>
    <w:rsid w:val="00A01EB1"/>
    <w:rsid w:val="00A022A2"/>
    <w:rsid w:val="00A02D15"/>
    <w:rsid w:val="00A02FAE"/>
    <w:rsid w:val="00A0474A"/>
    <w:rsid w:val="00A0490E"/>
    <w:rsid w:val="00A05A23"/>
    <w:rsid w:val="00A05F0D"/>
    <w:rsid w:val="00A0652F"/>
    <w:rsid w:val="00A06B78"/>
    <w:rsid w:val="00A06BC7"/>
    <w:rsid w:val="00A07DBA"/>
    <w:rsid w:val="00A11403"/>
    <w:rsid w:val="00A11AC0"/>
    <w:rsid w:val="00A1419E"/>
    <w:rsid w:val="00A14D2E"/>
    <w:rsid w:val="00A15DE6"/>
    <w:rsid w:val="00A164DB"/>
    <w:rsid w:val="00A16A4C"/>
    <w:rsid w:val="00A16EEE"/>
    <w:rsid w:val="00A20FF2"/>
    <w:rsid w:val="00A21211"/>
    <w:rsid w:val="00A2165F"/>
    <w:rsid w:val="00A21CBE"/>
    <w:rsid w:val="00A2569C"/>
    <w:rsid w:val="00A26B0D"/>
    <w:rsid w:val="00A30184"/>
    <w:rsid w:val="00A30618"/>
    <w:rsid w:val="00A31B2B"/>
    <w:rsid w:val="00A34077"/>
    <w:rsid w:val="00A3462E"/>
    <w:rsid w:val="00A35107"/>
    <w:rsid w:val="00A370D1"/>
    <w:rsid w:val="00A3735A"/>
    <w:rsid w:val="00A37C18"/>
    <w:rsid w:val="00A40645"/>
    <w:rsid w:val="00A41F99"/>
    <w:rsid w:val="00A4206E"/>
    <w:rsid w:val="00A42D07"/>
    <w:rsid w:val="00A42F1B"/>
    <w:rsid w:val="00A43D33"/>
    <w:rsid w:val="00A46064"/>
    <w:rsid w:val="00A467FC"/>
    <w:rsid w:val="00A50600"/>
    <w:rsid w:val="00A51CE4"/>
    <w:rsid w:val="00A52EC5"/>
    <w:rsid w:val="00A54345"/>
    <w:rsid w:val="00A546BC"/>
    <w:rsid w:val="00A55831"/>
    <w:rsid w:val="00A55989"/>
    <w:rsid w:val="00A55F92"/>
    <w:rsid w:val="00A56092"/>
    <w:rsid w:val="00A5694A"/>
    <w:rsid w:val="00A60682"/>
    <w:rsid w:val="00A62C35"/>
    <w:rsid w:val="00A6389A"/>
    <w:rsid w:val="00A63DA4"/>
    <w:rsid w:val="00A64A8F"/>
    <w:rsid w:val="00A64ED8"/>
    <w:rsid w:val="00A6B305"/>
    <w:rsid w:val="00A7177C"/>
    <w:rsid w:val="00A734C4"/>
    <w:rsid w:val="00A737E8"/>
    <w:rsid w:val="00A74569"/>
    <w:rsid w:val="00A753BD"/>
    <w:rsid w:val="00A755E9"/>
    <w:rsid w:val="00A75CD5"/>
    <w:rsid w:val="00A778F6"/>
    <w:rsid w:val="00A80E6E"/>
    <w:rsid w:val="00A817FA"/>
    <w:rsid w:val="00A83DF3"/>
    <w:rsid w:val="00A85915"/>
    <w:rsid w:val="00A85F1D"/>
    <w:rsid w:val="00A86517"/>
    <w:rsid w:val="00A86802"/>
    <w:rsid w:val="00A87ED6"/>
    <w:rsid w:val="00A92323"/>
    <w:rsid w:val="00A92627"/>
    <w:rsid w:val="00A926DB"/>
    <w:rsid w:val="00A94003"/>
    <w:rsid w:val="00A946DC"/>
    <w:rsid w:val="00A9524F"/>
    <w:rsid w:val="00A952AB"/>
    <w:rsid w:val="00A97086"/>
    <w:rsid w:val="00A9783D"/>
    <w:rsid w:val="00AA1378"/>
    <w:rsid w:val="00AA3960"/>
    <w:rsid w:val="00AA3E36"/>
    <w:rsid w:val="00AA3E3D"/>
    <w:rsid w:val="00AA45E6"/>
    <w:rsid w:val="00AA4E1A"/>
    <w:rsid w:val="00AA5756"/>
    <w:rsid w:val="00AA5A37"/>
    <w:rsid w:val="00AA5E39"/>
    <w:rsid w:val="00AA7823"/>
    <w:rsid w:val="00AB0D34"/>
    <w:rsid w:val="00AB331D"/>
    <w:rsid w:val="00AB489C"/>
    <w:rsid w:val="00AB50C1"/>
    <w:rsid w:val="00AB6936"/>
    <w:rsid w:val="00AB740D"/>
    <w:rsid w:val="00AB79E7"/>
    <w:rsid w:val="00AC00D9"/>
    <w:rsid w:val="00AC0C3B"/>
    <w:rsid w:val="00AC155F"/>
    <w:rsid w:val="00AC2D63"/>
    <w:rsid w:val="00AC60C3"/>
    <w:rsid w:val="00AD0172"/>
    <w:rsid w:val="00AD03D8"/>
    <w:rsid w:val="00AD0711"/>
    <w:rsid w:val="00AD2B6C"/>
    <w:rsid w:val="00AD3C10"/>
    <w:rsid w:val="00AD4E23"/>
    <w:rsid w:val="00AD5149"/>
    <w:rsid w:val="00AD704E"/>
    <w:rsid w:val="00AE4F66"/>
    <w:rsid w:val="00AE5FE0"/>
    <w:rsid w:val="00AE60B7"/>
    <w:rsid w:val="00AE6166"/>
    <w:rsid w:val="00AE6298"/>
    <w:rsid w:val="00AE645E"/>
    <w:rsid w:val="00AE662B"/>
    <w:rsid w:val="00AE695E"/>
    <w:rsid w:val="00AF0068"/>
    <w:rsid w:val="00AF00D6"/>
    <w:rsid w:val="00AF0E5C"/>
    <w:rsid w:val="00AF1DCB"/>
    <w:rsid w:val="00AF27A1"/>
    <w:rsid w:val="00AF2AB7"/>
    <w:rsid w:val="00AF2B1C"/>
    <w:rsid w:val="00AF31E6"/>
    <w:rsid w:val="00AF3C3B"/>
    <w:rsid w:val="00AF4045"/>
    <w:rsid w:val="00AF4CBD"/>
    <w:rsid w:val="00AF4D3F"/>
    <w:rsid w:val="00AF50B8"/>
    <w:rsid w:val="00AF5AE5"/>
    <w:rsid w:val="00AF5EBB"/>
    <w:rsid w:val="00AF68A2"/>
    <w:rsid w:val="00B01911"/>
    <w:rsid w:val="00B019A6"/>
    <w:rsid w:val="00B02984"/>
    <w:rsid w:val="00B029F1"/>
    <w:rsid w:val="00B02BC0"/>
    <w:rsid w:val="00B02E96"/>
    <w:rsid w:val="00B0300B"/>
    <w:rsid w:val="00B05033"/>
    <w:rsid w:val="00B05457"/>
    <w:rsid w:val="00B06833"/>
    <w:rsid w:val="00B07576"/>
    <w:rsid w:val="00B10F2C"/>
    <w:rsid w:val="00B11AA6"/>
    <w:rsid w:val="00B128A0"/>
    <w:rsid w:val="00B13241"/>
    <w:rsid w:val="00B13518"/>
    <w:rsid w:val="00B14B2D"/>
    <w:rsid w:val="00B159CE"/>
    <w:rsid w:val="00B20240"/>
    <w:rsid w:val="00B20B39"/>
    <w:rsid w:val="00B20B8B"/>
    <w:rsid w:val="00B213A4"/>
    <w:rsid w:val="00B23281"/>
    <w:rsid w:val="00B23DFC"/>
    <w:rsid w:val="00B2610A"/>
    <w:rsid w:val="00B2730F"/>
    <w:rsid w:val="00B27571"/>
    <w:rsid w:val="00B27B2E"/>
    <w:rsid w:val="00B304FC"/>
    <w:rsid w:val="00B328B5"/>
    <w:rsid w:val="00B330F7"/>
    <w:rsid w:val="00B35B3B"/>
    <w:rsid w:val="00B36077"/>
    <w:rsid w:val="00B36563"/>
    <w:rsid w:val="00B36569"/>
    <w:rsid w:val="00B36E6A"/>
    <w:rsid w:val="00B374CD"/>
    <w:rsid w:val="00B37706"/>
    <w:rsid w:val="00B37904"/>
    <w:rsid w:val="00B40024"/>
    <w:rsid w:val="00B4164B"/>
    <w:rsid w:val="00B42D2E"/>
    <w:rsid w:val="00B43B2C"/>
    <w:rsid w:val="00B44D3E"/>
    <w:rsid w:val="00B450B2"/>
    <w:rsid w:val="00B45696"/>
    <w:rsid w:val="00B45D6E"/>
    <w:rsid w:val="00B46376"/>
    <w:rsid w:val="00B4654F"/>
    <w:rsid w:val="00B469EC"/>
    <w:rsid w:val="00B4759D"/>
    <w:rsid w:val="00B4797E"/>
    <w:rsid w:val="00B47B07"/>
    <w:rsid w:val="00B47DE2"/>
    <w:rsid w:val="00B50B0D"/>
    <w:rsid w:val="00B51F24"/>
    <w:rsid w:val="00B5201E"/>
    <w:rsid w:val="00B5374F"/>
    <w:rsid w:val="00B5409A"/>
    <w:rsid w:val="00B54CFF"/>
    <w:rsid w:val="00B55121"/>
    <w:rsid w:val="00B55436"/>
    <w:rsid w:val="00B55574"/>
    <w:rsid w:val="00B55DE6"/>
    <w:rsid w:val="00B562A6"/>
    <w:rsid w:val="00B5692B"/>
    <w:rsid w:val="00B571BD"/>
    <w:rsid w:val="00B574F8"/>
    <w:rsid w:val="00B60A51"/>
    <w:rsid w:val="00B62390"/>
    <w:rsid w:val="00B6263C"/>
    <w:rsid w:val="00B62E4E"/>
    <w:rsid w:val="00B6416A"/>
    <w:rsid w:val="00B64657"/>
    <w:rsid w:val="00B6525D"/>
    <w:rsid w:val="00B65ABA"/>
    <w:rsid w:val="00B66726"/>
    <w:rsid w:val="00B6790F"/>
    <w:rsid w:val="00B70525"/>
    <w:rsid w:val="00B70DE1"/>
    <w:rsid w:val="00B71552"/>
    <w:rsid w:val="00B71ABB"/>
    <w:rsid w:val="00B71B3B"/>
    <w:rsid w:val="00B71B70"/>
    <w:rsid w:val="00B71D5E"/>
    <w:rsid w:val="00B73D9C"/>
    <w:rsid w:val="00B75491"/>
    <w:rsid w:val="00B75C04"/>
    <w:rsid w:val="00B76367"/>
    <w:rsid w:val="00B76BC8"/>
    <w:rsid w:val="00B80526"/>
    <w:rsid w:val="00B815F5"/>
    <w:rsid w:val="00B818A1"/>
    <w:rsid w:val="00B82A95"/>
    <w:rsid w:val="00B82C8A"/>
    <w:rsid w:val="00B82F62"/>
    <w:rsid w:val="00B831A3"/>
    <w:rsid w:val="00B837FE"/>
    <w:rsid w:val="00B85EC6"/>
    <w:rsid w:val="00B87591"/>
    <w:rsid w:val="00B87D61"/>
    <w:rsid w:val="00B901CB"/>
    <w:rsid w:val="00B90FEB"/>
    <w:rsid w:val="00B920BC"/>
    <w:rsid w:val="00B92C62"/>
    <w:rsid w:val="00B93760"/>
    <w:rsid w:val="00B93948"/>
    <w:rsid w:val="00B942B8"/>
    <w:rsid w:val="00B95CA4"/>
    <w:rsid w:val="00B96175"/>
    <w:rsid w:val="00B968D9"/>
    <w:rsid w:val="00B96F6C"/>
    <w:rsid w:val="00BA051D"/>
    <w:rsid w:val="00BA0FE1"/>
    <w:rsid w:val="00BA1097"/>
    <w:rsid w:val="00BA3653"/>
    <w:rsid w:val="00BA46B2"/>
    <w:rsid w:val="00BA49B3"/>
    <w:rsid w:val="00BA4BC7"/>
    <w:rsid w:val="00BA55B7"/>
    <w:rsid w:val="00BA5E47"/>
    <w:rsid w:val="00BA7D57"/>
    <w:rsid w:val="00BA7E60"/>
    <w:rsid w:val="00BB0233"/>
    <w:rsid w:val="00BB139B"/>
    <w:rsid w:val="00BB156E"/>
    <w:rsid w:val="00BB3330"/>
    <w:rsid w:val="00BB47D7"/>
    <w:rsid w:val="00BB4A62"/>
    <w:rsid w:val="00BB4D94"/>
    <w:rsid w:val="00BB648B"/>
    <w:rsid w:val="00BC01C1"/>
    <w:rsid w:val="00BC15BD"/>
    <w:rsid w:val="00BC26C8"/>
    <w:rsid w:val="00BC273E"/>
    <w:rsid w:val="00BC3D4F"/>
    <w:rsid w:val="00BC4409"/>
    <w:rsid w:val="00BC4B31"/>
    <w:rsid w:val="00BC5A34"/>
    <w:rsid w:val="00BC6A6F"/>
    <w:rsid w:val="00BD17F5"/>
    <w:rsid w:val="00BD2F14"/>
    <w:rsid w:val="00BD2F55"/>
    <w:rsid w:val="00BD36A1"/>
    <w:rsid w:val="00BD4CD8"/>
    <w:rsid w:val="00BD65CE"/>
    <w:rsid w:val="00BD6E05"/>
    <w:rsid w:val="00BE099C"/>
    <w:rsid w:val="00BE2084"/>
    <w:rsid w:val="00BE2408"/>
    <w:rsid w:val="00BE27CE"/>
    <w:rsid w:val="00BE4C70"/>
    <w:rsid w:val="00BE5257"/>
    <w:rsid w:val="00BE54D0"/>
    <w:rsid w:val="00BE6C75"/>
    <w:rsid w:val="00BE6D36"/>
    <w:rsid w:val="00BE7646"/>
    <w:rsid w:val="00BE7DED"/>
    <w:rsid w:val="00BF0447"/>
    <w:rsid w:val="00BF0692"/>
    <w:rsid w:val="00BF1140"/>
    <w:rsid w:val="00BF48C8"/>
    <w:rsid w:val="00BF577E"/>
    <w:rsid w:val="00BF6B6C"/>
    <w:rsid w:val="00BF7251"/>
    <w:rsid w:val="00BF7277"/>
    <w:rsid w:val="00BF7945"/>
    <w:rsid w:val="00BF7F28"/>
    <w:rsid w:val="00C0122D"/>
    <w:rsid w:val="00C01909"/>
    <w:rsid w:val="00C0239B"/>
    <w:rsid w:val="00C035F4"/>
    <w:rsid w:val="00C04BBA"/>
    <w:rsid w:val="00C05459"/>
    <w:rsid w:val="00C05787"/>
    <w:rsid w:val="00C06407"/>
    <w:rsid w:val="00C06549"/>
    <w:rsid w:val="00C06994"/>
    <w:rsid w:val="00C06A53"/>
    <w:rsid w:val="00C06D50"/>
    <w:rsid w:val="00C079C5"/>
    <w:rsid w:val="00C103D0"/>
    <w:rsid w:val="00C10B12"/>
    <w:rsid w:val="00C11281"/>
    <w:rsid w:val="00C11776"/>
    <w:rsid w:val="00C11CB4"/>
    <w:rsid w:val="00C12C82"/>
    <w:rsid w:val="00C13059"/>
    <w:rsid w:val="00C142C1"/>
    <w:rsid w:val="00C14711"/>
    <w:rsid w:val="00C156D4"/>
    <w:rsid w:val="00C15E4C"/>
    <w:rsid w:val="00C15F95"/>
    <w:rsid w:val="00C167A3"/>
    <w:rsid w:val="00C168BA"/>
    <w:rsid w:val="00C2181C"/>
    <w:rsid w:val="00C219B8"/>
    <w:rsid w:val="00C222B3"/>
    <w:rsid w:val="00C23D7E"/>
    <w:rsid w:val="00C2657D"/>
    <w:rsid w:val="00C30172"/>
    <w:rsid w:val="00C316C9"/>
    <w:rsid w:val="00C34442"/>
    <w:rsid w:val="00C3447A"/>
    <w:rsid w:val="00C3473E"/>
    <w:rsid w:val="00C36B27"/>
    <w:rsid w:val="00C375E4"/>
    <w:rsid w:val="00C37FCC"/>
    <w:rsid w:val="00C40A8E"/>
    <w:rsid w:val="00C416E1"/>
    <w:rsid w:val="00C42630"/>
    <w:rsid w:val="00C43432"/>
    <w:rsid w:val="00C47329"/>
    <w:rsid w:val="00C477C2"/>
    <w:rsid w:val="00C47BF8"/>
    <w:rsid w:val="00C47D3A"/>
    <w:rsid w:val="00C51109"/>
    <w:rsid w:val="00C51B1C"/>
    <w:rsid w:val="00C5335F"/>
    <w:rsid w:val="00C53DCE"/>
    <w:rsid w:val="00C53E75"/>
    <w:rsid w:val="00C55C47"/>
    <w:rsid w:val="00C57C14"/>
    <w:rsid w:val="00C60E8A"/>
    <w:rsid w:val="00C63BE3"/>
    <w:rsid w:val="00C6443C"/>
    <w:rsid w:val="00C655F2"/>
    <w:rsid w:val="00C65B4C"/>
    <w:rsid w:val="00C65B61"/>
    <w:rsid w:val="00C666EF"/>
    <w:rsid w:val="00C67EE4"/>
    <w:rsid w:val="00C70494"/>
    <w:rsid w:val="00C70E53"/>
    <w:rsid w:val="00C726FD"/>
    <w:rsid w:val="00C72979"/>
    <w:rsid w:val="00C75047"/>
    <w:rsid w:val="00C75604"/>
    <w:rsid w:val="00C77721"/>
    <w:rsid w:val="00C80554"/>
    <w:rsid w:val="00C80822"/>
    <w:rsid w:val="00C80CF2"/>
    <w:rsid w:val="00C81529"/>
    <w:rsid w:val="00C81BA6"/>
    <w:rsid w:val="00C8377C"/>
    <w:rsid w:val="00C85E30"/>
    <w:rsid w:val="00C8665B"/>
    <w:rsid w:val="00C86B8D"/>
    <w:rsid w:val="00C87417"/>
    <w:rsid w:val="00C877CD"/>
    <w:rsid w:val="00C87BAA"/>
    <w:rsid w:val="00C902E9"/>
    <w:rsid w:val="00C908B7"/>
    <w:rsid w:val="00C91D81"/>
    <w:rsid w:val="00C92A42"/>
    <w:rsid w:val="00C93AE8"/>
    <w:rsid w:val="00C93B04"/>
    <w:rsid w:val="00C9450A"/>
    <w:rsid w:val="00C96BAF"/>
    <w:rsid w:val="00CA13D3"/>
    <w:rsid w:val="00CA18F2"/>
    <w:rsid w:val="00CA484C"/>
    <w:rsid w:val="00CA4871"/>
    <w:rsid w:val="00CA57ED"/>
    <w:rsid w:val="00CA6722"/>
    <w:rsid w:val="00CA6D4E"/>
    <w:rsid w:val="00CA70B1"/>
    <w:rsid w:val="00CA7B4B"/>
    <w:rsid w:val="00CA7CCB"/>
    <w:rsid w:val="00CB0739"/>
    <w:rsid w:val="00CB0B20"/>
    <w:rsid w:val="00CB248D"/>
    <w:rsid w:val="00CB307F"/>
    <w:rsid w:val="00CB3181"/>
    <w:rsid w:val="00CB36A8"/>
    <w:rsid w:val="00CB4783"/>
    <w:rsid w:val="00CB4966"/>
    <w:rsid w:val="00CB4B9D"/>
    <w:rsid w:val="00CC139A"/>
    <w:rsid w:val="00CC195C"/>
    <w:rsid w:val="00CC1A59"/>
    <w:rsid w:val="00CC1B09"/>
    <w:rsid w:val="00CC1D12"/>
    <w:rsid w:val="00CC1E7A"/>
    <w:rsid w:val="00CC337A"/>
    <w:rsid w:val="00CC3DC5"/>
    <w:rsid w:val="00CC4F64"/>
    <w:rsid w:val="00CC4FAF"/>
    <w:rsid w:val="00CC5CDF"/>
    <w:rsid w:val="00CC608D"/>
    <w:rsid w:val="00CC6687"/>
    <w:rsid w:val="00CC6E63"/>
    <w:rsid w:val="00CC7042"/>
    <w:rsid w:val="00CC7537"/>
    <w:rsid w:val="00CD058C"/>
    <w:rsid w:val="00CD31EA"/>
    <w:rsid w:val="00CD3B98"/>
    <w:rsid w:val="00CD40BD"/>
    <w:rsid w:val="00CD4216"/>
    <w:rsid w:val="00CD5091"/>
    <w:rsid w:val="00CD518C"/>
    <w:rsid w:val="00CD59E8"/>
    <w:rsid w:val="00CD601C"/>
    <w:rsid w:val="00CD733F"/>
    <w:rsid w:val="00CE0904"/>
    <w:rsid w:val="00CE0942"/>
    <w:rsid w:val="00CE3E19"/>
    <w:rsid w:val="00CE4E97"/>
    <w:rsid w:val="00CE50CC"/>
    <w:rsid w:val="00CE55D8"/>
    <w:rsid w:val="00CE5C10"/>
    <w:rsid w:val="00CE5EB5"/>
    <w:rsid w:val="00CE74F1"/>
    <w:rsid w:val="00CE7CA5"/>
    <w:rsid w:val="00CF07B5"/>
    <w:rsid w:val="00CF1D81"/>
    <w:rsid w:val="00CF2473"/>
    <w:rsid w:val="00CF2981"/>
    <w:rsid w:val="00CF2DC9"/>
    <w:rsid w:val="00CF3C35"/>
    <w:rsid w:val="00CF3E3C"/>
    <w:rsid w:val="00CF4095"/>
    <w:rsid w:val="00CF6DE9"/>
    <w:rsid w:val="00CF7CB6"/>
    <w:rsid w:val="00D003CB"/>
    <w:rsid w:val="00D05099"/>
    <w:rsid w:val="00D12870"/>
    <w:rsid w:val="00D12B47"/>
    <w:rsid w:val="00D1450B"/>
    <w:rsid w:val="00D162A1"/>
    <w:rsid w:val="00D174BF"/>
    <w:rsid w:val="00D20CF2"/>
    <w:rsid w:val="00D21F79"/>
    <w:rsid w:val="00D2252F"/>
    <w:rsid w:val="00D22709"/>
    <w:rsid w:val="00D22784"/>
    <w:rsid w:val="00D24E4D"/>
    <w:rsid w:val="00D2502B"/>
    <w:rsid w:val="00D272DA"/>
    <w:rsid w:val="00D306F5"/>
    <w:rsid w:val="00D311AB"/>
    <w:rsid w:val="00D319FD"/>
    <w:rsid w:val="00D31C11"/>
    <w:rsid w:val="00D325A8"/>
    <w:rsid w:val="00D3499B"/>
    <w:rsid w:val="00D35991"/>
    <w:rsid w:val="00D361C5"/>
    <w:rsid w:val="00D365AD"/>
    <w:rsid w:val="00D367DC"/>
    <w:rsid w:val="00D37FD6"/>
    <w:rsid w:val="00D40DAE"/>
    <w:rsid w:val="00D420A7"/>
    <w:rsid w:val="00D42C6B"/>
    <w:rsid w:val="00D442AD"/>
    <w:rsid w:val="00D442F9"/>
    <w:rsid w:val="00D442FB"/>
    <w:rsid w:val="00D45AF4"/>
    <w:rsid w:val="00D50B89"/>
    <w:rsid w:val="00D521B6"/>
    <w:rsid w:val="00D5349B"/>
    <w:rsid w:val="00D547BF"/>
    <w:rsid w:val="00D54F8B"/>
    <w:rsid w:val="00D55897"/>
    <w:rsid w:val="00D55B32"/>
    <w:rsid w:val="00D5618A"/>
    <w:rsid w:val="00D5680F"/>
    <w:rsid w:val="00D5784B"/>
    <w:rsid w:val="00D604C7"/>
    <w:rsid w:val="00D605B3"/>
    <w:rsid w:val="00D629ED"/>
    <w:rsid w:val="00D633C7"/>
    <w:rsid w:val="00D63CB8"/>
    <w:rsid w:val="00D63EFB"/>
    <w:rsid w:val="00D658AF"/>
    <w:rsid w:val="00D67C2F"/>
    <w:rsid w:val="00D70400"/>
    <w:rsid w:val="00D705C9"/>
    <w:rsid w:val="00D72D29"/>
    <w:rsid w:val="00D75B2E"/>
    <w:rsid w:val="00D75BE0"/>
    <w:rsid w:val="00D76928"/>
    <w:rsid w:val="00D77011"/>
    <w:rsid w:val="00D7708E"/>
    <w:rsid w:val="00D80AED"/>
    <w:rsid w:val="00D82096"/>
    <w:rsid w:val="00D83DE9"/>
    <w:rsid w:val="00D8441E"/>
    <w:rsid w:val="00D8450D"/>
    <w:rsid w:val="00D86000"/>
    <w:rsid w:val="00D87E08"/>
    <w:rsid w:val="00D902C6"/>
    <w:rsid w:val="00D90CF6"/>
    <w:rsid w:val="00D9112B"/>
    <w:rsid w:val="00D91583"/>
    <w:rsid w:val="00D917F1"/>
    <w:rsid w:val="00D9228E"/>
    <w:rsid w:val="00D92971"/>
    <w:rsid w:val="00D95163"/>
    <w:rsid w:val="00D95AF9"/>
    <w:rsid w:val="00D96BB7"/>
    <w:rsid w:val="00D97A95"/>
    <w:rsid w:val="00DA09C9"/>
    <w:rsid w:val="00DA1822"/>
    <w:rsid w:val="00DA2076"/>
    <w:rsid w:val="00DA49EB"/>
    <w:rsid w:val="00DA4F45"/>
    <w:rsid w:val="00DA5867"/>
    <w:rsid w:val="00DA65B0"/>
    <w:rsid w:val="00DA74F6"/>
    <w:rsid w:val="00DB01AB"/>
    <w:rsid w:val="00DB03BB"/>
    <w:rsid w:val="00DB1C60"/>
    <w:rsid w:val="00DB320D"/>
    <w:rsid w:val="00DB39C6"/>
    <w:rsid w:val="00DB5E1F"/>
    <w:rsid w:val="00DB66BB"/>
    <w:rsid w:val="00DB7A44"/>
    <w:rsid w:val="00DB7C24"/>
    <w:rsid w:val="00DC0A37"/>
    <w:rsid w:val="00DC19D8"/>
    <w:rsid w:val="00DC2613"/>
    <w:rsid w:val="00DC35BC"/>
    <w:rsid w:val="00DC3EFC"/>
    <w:rsid w:val="00DC4512"/>
    <w:rsid w:val="00DC5B42"/>
    <w:rsid w:val="00DC7395"/>
    <w:rsid w:val="00DD3691"/>
    <w:rsid w:val="00DD4371"/>
    <w:rsid w:val="00DD4B55"/>
    <w:rsid w:val="00DD68B0"/>
    <w:rsid w:val="00DD798C"/>
    <w:rsid w:val="00DD7F99"/>
    <w:rsid w:val="00DE1E90"/>
    <w:rsid w:val="00DE24E6"/>
    <w:rsid w:val="00DE58CF"/>
    <w:rsid w:val="00DE6AD4"/>
    <w:rsid w:val="00DE6F8D"/>
    <w:rsid w:val="00DF07AD"/>
    <w:rsid w:val="00DF0978"/>
    <w:rsid w:val="00DF12DC"/>
    <w:rsid w:val="00DF215A"/>
    <w:rsid w:val="00DF2372"/>
    <w:rsid w:val="00DF3364"/>
    <w:rsid w:val="00DF41FF"/>
    <w:rsid w:val="00DF693B"/>
    <w:rsid w:val="00DF6A3D"/>
    <w:rsid w:val="00DF7829"/>
    <w:rsid w:val="00E00B04"/>
    <w:rsid w:val="00E021D9"/>
    <w:rsid w:val="00E02489"/>
    <w:rsid w:val="00E03296"/>
    <w:rsid w:val="00E03401"/>
    <w:rsid w:val="00E055BB"/>
    <w:rsid w:val="00E07A71"/>
    <w:rsid w:val="00E1015F"/>
    <w:rsid w:val="00E11988"/>
    <w:rsid w:val="00E122FD"/>
    <w:rsid w:val="00E127E8"/>
    <w:rsid w:val="00E15874"/>
    <w:rsid w:val="00E15C88"/>
    <w:rsid w:val="00E15DA9"/>
    <w:rsid w:val="00E1695C"/>
    <w:rsid w:val="00E16B60"/>
    <w:rsid w:val="00E17370"/>
    <w:rsid w:val="00E173BE"/>
    <w:rsid w:val="00E2095D"/>
    <w:rsid w:val="00E23566"/>
    <w:rsid w:val="00E260F3"/>
    <w:rsid w:val="00E30414"/>
    <w:rsid w:val="00E305F0"/>
    <w:rsid w:val="00E30CD2"/>
    <w:rsid w:val="00E323EE"/>
    <w:rsid w:val="00E330D6"/>
    <w:rsid w:val="00E33A18"/>
    <w:rsid w:val="00E33CD2"/>
    <w:rsid w:val="00E341AE"/>
    <w:rsid w:val="00E34C91"/>
    <w:rsid w:val="00E34CED"/>
    <w:rsid w:val="00E34D4F"/>
    <w:rsid w:val="00E376C7"/>
    <w:rsid w:val="00E404F4"/>
    <w:rsid w:val="00E40769"/>
    <w:rsid w:val="00E40F0E"/>
    <w:rsid w:val="00E42E8B"/>
    <w:rsid w:val="00E43AE0"/>
    <w:rsid w:val="00E43C2C"/>
    <w:rsid w:val="00E44064"/>
    <w:rsid w:val="00E44B1A"/>
    <w:rsid w:val="00E45C13"/>
    <w:rsid w:val="00E46C8B"/>
    <w:rsid w:val="00E512C1"/>
    <w:rsid w:val="00E51FB6"/>
    <w:rsid w:val="00E54767"/>
    <w:rsid w:val="00E5795B"/>
    <w:rsid w:val="00E60F12"/>
    <w:rsid w:val="00E612A1"/>
    <w:rsid w:val="00E63CDE"/>
    <w:rsid w:val="00E652FB"/>
    <w:rsid w:val="00E66C20"/>
    <w:rsid w:val="00E6702A"/>
    <w:rsid w:val="00E67876"/>
    <w:rsid w:val="00E70795"/>
    <w:rsid w:val="00E70A9D"/>
    <w:rsid w:val="00E70CD6"/>
    <w:rsid w:val="00E71C46"/>
    <w:rsid w:val="00E72068"/>
    <w:rsid w:val="00E7221B"/>
    <w:rsid w:val="00E73635"/>
    <w:rsid w:val="00E74C6A"/>
    <w:rsid w:val="00E75C8D"/>
    <w:rsid w:val="00E75ED2"/>
    <w:rsid w:val="00E771F6"/>
    <w:rsid w:val="00E8280C"/>
    <w:rsid w:val="00E83E4C"/>
    <w:rsid w:val="00E8420A"/>
    <w:rsid w:val="00E87150"/>
    <w:rsid w:val="00E90EEC"/>
    <w:rsid w:val="00E913F0"/>
    <w:rsid w:val="00E91933"/>
    <w:rsid w:val="00E92A67"/>
    <w:rsid w:val="00E92A81"/>
    <w:rsid w:val="00E93AE5"/>
    <w:rsid w:val="00E94E2C"/>
    <w:rsid w:val="00E94EB3"/>
    <w:rsid w:val="00E964DF"/>
    <w:rsid w:val="00E969B1"/>
    <w:rsid w:val="00EA0C75"/>
    <w:rsid w:val="00EA2234"/>
    <w:rsid w:val="00EA280D"/>
    <w:rsid w:val="00EA407E"/>
    <w:rsid w:val="00EA4E6B"/>
    <w:rsid w:val="00EA7FBA"/>
    <w:rsid w:val="00EB0A90"/>
    <w:rsid w:val="00EB0FEA"/>
    <w:rsid w:val="00EB33D4"/>
    <w:rsid w:val="00EB4BA1"/>
    <w:rsid w:val="00EB4CED"/>
    <w:rsid w:val="00EB5895"/>
    <w:rsid w:val="00EB6552"/>
    <w:rsid w:val="00EB76E6"/>
    <w:rsid w:val="00EC18E6"/>
    <w:rsid w:val="00EC194B"/>
    <w:rsid w:val="00EC1984"/>
    <w:rsid w:val="00EC234C"/>
    <w:rsid w:val="00EC3C12"/>
    <w:rsid w:val="00ED010E"/>
    <w:rsid w:val="00ED075C"/>
    <w:rsid w:val="00ED0BFD"/>
    <w:rsid w:val="00ED0E7F"/>
    <w:rsid w:val="00ED3529"/>
    <w:rsid w:val="00ED4D17"/>
    <w:rsid w:val="00ED5BD7"/>
    <w:rsid w:val="00ED5E51"/>
    <w:rsid w:val="00ED6989"/>
    <w:rsid w:val="00EE13FA"/>
    <w:rsid w:val="00EE23D9"/>
    <w:rsid w:val="00EE251E"/>
    <w:rsid w:val="00EE3765"/>
    <w:rsid w:val="00EE42F3"/>
    <w:rsid w:val="00EE5333"/>
    <w:rsid w:val="00EE59F0"/>
    <w:rsid w:val="00EE6CD3"/>
    <w:rsid w:val="00EE6F14"/>
    <w:rsid w:val="00EE7FA6"/>
    <w:rsid w:val="00EF20D7"/>
    <w:rsid w:val="00EF3419"/>
    <w:rsid w:val="00EF375F"/>
    <w:rsid w:val="00EF40B5"/>
    <w:rsid w:val="00EF77F2"/>
    <w:rsid w:val="00F00ED6"/>
    <w:rsid w:val="00F0119C"/>
    <w:rsid w:val="00F01822"/>
    <w:rsid w:val="00F01C4B"/>
    <w:rsid w:val="00F01DA4"/>
    <w:rsid w:val="00F02BDB"/>
    <w:rsid w:val="00F0316A"/>
    <w:rsid w:val="00F03A8B"/>
    <w:rsid w:val="00F042C6"/>
    <w:rsid w:val="00F0441B"/>
    <w:rsid w:val="00F05F78"/>
    <w:rsid w:val="00F06DFF"/>
    <w:rsid w:val="00F07623"/>
    <w:rsid w:val="00F079E1"/>
    <w:rsid w:val="00F10B53"/>
    <w:rsid w:val="00F10D99"/>
    <w:rsid w:val="00F111C0"/>
    <w:rsid w:val="00F12C06"/>
    <w:rsid w:val="00F12D74"/>
    <w:rsid w:val="00F146C6"/>
    <w:rsid w:val="00F2188C"/>
    <w:rsid w:val="00F218AF"/>
    <w:rsid w:val="00F274B8"/>
    <w:rsid w:val="00F27A72"/>
    <w:rsid w:val="00F27E1B"/>
    <w:rsid w:val="00F30F24"/>
    <w:rsid w:val="00F3136B"/>
    <w:rsid w:val="00F314F1"/>
    <w:rsid w:val="00F31549"/>
    <w:rsid w:val="00F3212F"/>
    <w:rsid w:val="00F327EA"/>
    <w:rsid w:val="00F33641"/>
    <w:rsid w:val="00F33FA3"/>
    <w:rsid w:val="00F35DAD"/>
    <w:rsid w:val="00F40067"/>
    <w:rsid w:val="00F406B8"/>
    <w:rsid w:val="00F41034"/>
    <w:rsid w:val="00F41419"/>
    <w:rsid w:val="00F41DC4"/>
    <w:rsid w:val="00F42842"/>
    <w:rsid w:val="00F4383C"/>
    <w:rsid w:val="00F441CE"/>
    <w:rsid w:val="00F46338"/>
    <w:rsid w:val="00F468FB"/>
    <w:rsid w:val="00F46ABF"/>
    <w:rsid w:val="00F46CD9"/>
    <w:rsid w:val="00F46E40"/>
    <w:rsid w:val="00F4760A"/>
    <w:rsid w:val="00F47B20"/>
    <w:rsid w:val="00F51240"/>
    <w:rsid w:val="00F51455"/>
    <w:rsid w:val="00F51A80"/>
    <w:rsid w:val="00F52B8E"/>
    <w:rsid w:val="00F5339F"/>
    <w:rsid w:val="00F5388C"/>
    <w:rsid w:val="00F53CFD"/>
    <w:rsid w:val="00F54556"/>
    <w:rsid w:val="00F549CD"/>
    <w:rsid w:val="00F54AF5"/>
    <w:rsid w:val="00F5555B"/>
    <w:rsid w:val="00F557E3"/>
    <w:rsid w:val="00F56029"/>
    <w:rsid w:val="00F569A9"/>
    <w:rsid w:val="00F61E78"/>
    <w:rsid w:val="00F6225E"/>
    <w:rsid w:val="00F62921"/>
    <w:rsid w:val="00F62A5A"/>
    <w:rsid w:val="00F635C5"/>
    <w:rsid w:val="00F63F35"/>
    <w:rsid w:val="00F64700"/>
    <w:rsid w:val="00F6557D"/>
    <w:rsid w:val="00F65713"/>
    <w:rsid w:val="00F65FE0"/>
    <w:rsid w:val="00F710D8"/>
    <w:rsid w:val="00F73487"/>
    <w:rsid w:val="00F736E3"/>
    <w:rsid w:val="00F73C02"/>
    <w:rsid w:val="00F74CB2"/>
    <w:rsid w:val="00F767E8"/>
    <w:rsid w:val="00F8476D"/>
    <w:rsid w:val="00F8595E"/>
    <w:rsid w:val="00F85F38"/>
    <w:rsid w:val="00F86A3F"/>
    <w:rsid w:val="00F8701A"/>
    <w:rsid w:val="00F90FF4"/>
    <w:rsid w:val="00F91297"/>
    <w:rsid w:val="00F9133B"/>
    <w:rsid w:val="00F922A6"/>
    <w:rsid w:val="00F94B61"/>
    <w:rsid w:val="00F956DD"/>
    <w:rsid w:val="00F963F5"/>
    <w:rsid w:val="00F97730"/>
    <w:rsid w:val="00F97B41"/>
    <w:rsid w:val="00FA0365"/>
    <w:rsid w:val="00FA16BC"/>
    <w:rsid w:val="00FA18C2"/>
    <w:rsid w:val="00FA1E2A"/>
    <w:rsid w:val="00FA3236"/>
    <w:rsid w:val="00FA50A4"/>
    <w:rsid w:val="00FA5E52"/>
    <w:rsid w:val="00FA5F0D"/>
    <w:rsid w:val="00FA6DF6"/>
    <w:rsid w:val="00FA7FB6"/>
    <w:rsid w:val="00FA7FC3"/>
    <w:rsid w:val="00FB1310"/>
    <w:rsid w:val="00FB1BC3"/>
    <w:rsid w:val="00FB2B70"/>
    <w:rsid w:val="00FB32A4"/>
    <w:rsid w:val="00FB3C1D"/>
    <w:rsid w:val="00FB52D0"/>
    <w:rsid w:val="00FB594D"/>
    <w:rsid w:val="00FB6A5B"/>
    <w:rsid w:val="00FB7D08"/>
    <w:rsid w:val="00FB7FAA"/>
    <w:rsid w:val="00FC06EE"/>
    <w:rsid w:val="00FC3A31"/>
    <w:rsid w:val="00FC45EF"/>
    <w:rsid w:val="00FC49BB"/>
    <w:rsid w:val="00FC53FE"/>
    <w:rsid w:val="00FC5B72"/>
    <w:rsid w:val="00FD0DDE"/>
    <w:rsid w:val="00FD18F2"/>
    <w:rsid w:val="00FD1E2B"/>
    <w:rsid w:val="00FD441C"/>
    <w:rsid w:val="00FD60AF"/>
    <w:rsid w:val="00FD616B"/>
    <w:rsid w:val="00FD61A2"/>
    <w:rsid w:val="00FD6B9B"/>
    <w:rsid w:val="00FD6C92"/>
    <w:rsid w:val="00FD7029"/>
    <w:rsid w:val="00FD7414"/>
    <w:rsid w:val="00FD784C"/>
    <w:rsid w:val="00FE01EC"/>
    <w:rsid w:val="00FE0BC0"/>
    <w:rsid w:val="00FE1375"/>
    <w:rsid w:val="00FE367F"/>
    <w:rsid w:val="00FE3EA9"/>
    <w:rsid w:val="00FE3FB7"/>
    <w:rsid w:val="00FE4631"/>
    <w:rsid w:val="00FE6419"/>
    <w:rsid w:val="00FE685E"/>
    <w:rsid w:val="00FF0213"/>
    <w:rsid w:val="00FF11D0"/>
    <w:rsid w:val="00FF29DC"/>
    <w:rsid w:val="00FF31E5"/>
    <w:rsid w:val="00FF3518"/>
    <w:rsid w:val="00FF37C0"/>
    <w:rsid w:val="00FF4100"/>
    <w:rsid w:val="00FF4568"/>
    <w:rsid w:val="00FF512A"/>
    <w:rsid w:val="00FF51F8"/>
    <w:rsid w:val="00FF59B8"/>
    <w:rsid w:val="00FF5BAF"/>
    <w:rsid w:val="00FF5F74"/>
    <w:rsid w:val="00FF7712"/>
    <w:rsid w:val="01097E2F"/>
    <w:rsid w:val="0143EB9F"/>
    <w:rsid w:val="0144CC72"/>
    <w:rsid w:val="0190E3C8"/>
    <w:rsid w:val="01B1A51C"/>
    <w:rsid w:val="01B8D336"/>
    <w:rsid w:val="01CEA717"/>
    <w:rsid w:val="0203A836"/>
    <w:rsid w:val="02C93F7E"/>
    <w:rsid w:val="03343C0D"/>
    <w:rsid w:val="0349DF10"/>
    <w:rsid w:val="035ABFD8"/>
    <w:rsid w:val="03828148"/>
    <w:rsid w:val="038A3BFD"/>
    <w:rsid w:val="03948BD9"/>
    <w:rsid w:val="039D9388"/>
    <w:rsid w:val="039F0D41"/>
    <w:rsid w:val="03AD20EA"/>
    <w:rsid w:val="0400A237"/>
    <w:rsid w:val="0414AE78"/>
    <w:rsid w:val="041FFEEA"/>
    <w:rsid w:val="04F43E4F"/>
    <w:rsid w:val="056E95A6"/>
    <w:rsid w:val="0576FCFA"/>
    <w:rsid w:val="058DF3B1"/>
    <w:rsid w:val="05B44EC5"/>
    <w:rsid w:val="06029F81"/>
    <w:rsid w:val="064151EF"/>
    <w:rsid w:val="068F300A"/>
    <w:rsid w:val="069631A8"/>
    <w:rsid w:val="06C86392"/>
    <w:rsid w:val="06F06C01"/>
    <w:rsid w:val="072CADF3"/>
    <w:rsid w:val="0732FF76"/>
    <w:rsid w:val="076AE574"/>
    <w:rsid w:val="0773CCCF"/>
    <w:rsid w:val="0810CCC6"/>
    <w:rsid w:val="081E77AD"/>
    <w:rsid w:val="0835931D"/>
    <w:rsid w:val="083E2BCF"/>
    <w:rsid w:val="085B2E7D"/>
    <w:rsid w:val="08B510D2"/>
    <w:rsid w:val="08FFBB7F"/>
    <w:rsid w:val="091586E6"/>
    <w:rsid w:val="0919E9D7"/>
    <w:rsid w:val="09623DD7"/>
    <w:rsid w:val="099A9B62"/>
    <w:rsid w:val="09C3FB01"/>
    <w:rsid w:val="09CC569E"/>
    <w:rsid w:val="0A35F5ED"/>
    <w:rsid w:val="0A8EB9AE"/>
    <w:rsid w:val="0AA9EE2F"/>
    <w:rsid w:val="0ABFE3CB"/>
    <w:rsid w:val="0AC63CBF"/>
    <w:rsid w:val="0ACB595E"/>
    <w:rsid w:val="0ACB6490"/>
    <w:rsid w:val="0B58034D"/>
    <w:rsid w:val="0B6A59B1"/>
    <w:rsid w:val="0B6BC60A"/>
    <w:rsid w:val="0BB82B5E"/>
    <w:rsid w:val="0BC9F4BB"/>
    <w:rsid w:val="0C0B8B48"/>
    <w:rsid w:val="0C990E6C"/>
    <w:rsid w:val="0C9E87C5"/>
    <w:rsid w:val="0CA39D6C"/>
    <w:rsid w:val="0CAC1977"/>
    <w:rsid w:val="0CB88838"/>
    <w:rsid w:val="0CEAF03E"/>
    <w:rsid w:val="0CFFCBDF"/>
    <w:rsid w:val="0D80E9CE"/>
    <w:rsid w:val="0D93D01B"/>
    <w:rsid w:val="0D9C8D6A"/>
    <w:rsid w:val="0DEF0B22"/>
    <w:rsid w:val="0E1B40CC"/>
    <w:rsid w:val="0E5383D2"/>
    <w:rsid w:val="0E6972EA"/>
    <w:rsid w:val="0EA46572"/>
    <w:rsid w:val="0EF6CB73"/>
    <w:rsid w:val="0F1AF7BA"/>
    <w:rsid w:val="0F5EC90D"/>
    <w:rsid w:val="0F72398B"/>
    <w:rsid w:val="101C28CA"/>
    <w:rsid w:val="10533814"/>
    <w:rsid w:val="106D1BD9"/>
    <w:rsid w:val="10744348"/>
    <w:rsid w:val="10856D6C"/>
    <w:rsid w:val="1094B005"/>
    <w:rsid w:val="10A12CDC"/>
    <w:rsid w:val="10D9E1BC"/>
    <w:rsid w:val="10F2E236"/>
    <w:rsid w:val="11075EC7"/>
    <w:rsid w:val="1118093D"/>
    <w:rsid w:val="1118CB0C"/>
    <w:rsid w:val="112C831D"/>
    <w:rsid w:val="1130DF71"/>
    <w:rsid w:val="1135454D"/>
    <w:rsid w:val="1165C81A"/>
    <w:rsid w:val="11821ACE"/>
    <w:rsid w:val="11856D40"/>
    <w:rsid w:val="118B2494"/>
    <w:rsid w:val="11A1AABD"/>
    <w:rsid w:val="11B1FDA5"/>
    <w:rsid w:val="11F8E33A"/>
    <w:rsid w:val="120623D1"/>
    <w:rsid w:val="12172E08"/>
    <w:rsid w:val="121EF050"/>
    <w:rsid w:val="1221040F"/>
    <w:rsid w:val="12630D8E"/>
    <w:rsid w:val="128ECBC0"/>
    <w:rsid w:val="12C9F0F4"/>
    <w:rsid w:val="12E94327"/>
    <w:rsid w:val="1316DED1"/>
    <w:rsid w:val="131A5D95"/>
    <w:rsid w:val="13415840"/>
    <w:rsid w:val="1344B77F"/>
    <w:rsid w:val="1363E723"/>
    <w:rsid w:val="1386B6E8"/>
    <w:rsid w:val="13891018"/>
    <w:rsid w:val="1390BB73"/>
    <w:rsid w:val="13C68D00"/>
    <w:rsid w:val="14916511"/>
    <w:rsid w:val="14ADD672"/>
    <w:rsid w:val="14BF4584"/>
    <w:rsid w:val="14F34FA8"/>
    <w:rsid w:val="1562A1E5"/>
    <w:rsid w:val="15A39FBB"/>
    <w:rsid w:val="15B9C9D0"/>
    <w:rsid w:val="1603150B"/>
    <w:rsid w:val="16100C28"/>
    <w:rsid w:val="1639003B"/>
    <w:rsid w:val="163C405C"/>
    <w:rsid w:val="1662449A"/>
    <w:rsid w:val="16624B4D"/>
    <w:rsid w:val="167C4598"/>
    <w:rsid w:val="168F9BA3"/>
    <w:rsid w:val="16A504D8"/>
    <w:rsid w:val="16B981D2"/>
    <w:rsid w:val="1704BFE3"/>
    <w:rsid w:val="175B4C77"/>
    <w:rsid w:val="17655203"/>
    <w:rsid w:val="176EA6CA"/>
    <w:rsid w:val="1781897C"/>
    <w:rsid w:val="17840787"/>
    <w:rsid w:val="1807394E"/>
    <w:rsid w:val="180DA047"/>
    <w:rsid w:val="1820593F"/>
    <w:rsid w:val="1888C6A4"/>
    <w:rsid w:val="18B2B2C0"/>
    <w:rsid w:val="19143E16"/>
    <w:rsid w:val="1916E951"/>
    <w:rsid w:val="1932115D"/>
    <w:rsid w:val="193FD172"/>
    <w:rsid w:val="1968D3E0"/>
    <w:rsid w:val="196AF8EE"/>
    <w:rsid w:val="197DC479"/>
    <w:rsid w:val="1A151F93"/>
    <w:rsid w:val="1A6C3D51"/>
    <w:rsid w:val="1AC9D181"/>
    <w:rsid w:val="1AF5413F"/>
    <w:rsid w:val="1AF775A8"/>
    <w:rsid w:val="1B7F7D0E"/>
    <w:rsid w:val="1B85E5E3"/>
    <w:rsid w:val="1BD1E9E4"/>
    <w:rsid w:val="1BD9A2E6"/>
    <w:rsid w:val="1C266827"/>
    <w:rsid w:val="1C450D45"/>
    <w:rsid w:val="1CE53930"/>
    <w:rsid w:val="1D2F34AD"/>
    <w:rsid w:val="1D488E60"/>
    <w:rsid w:val="1DB03BA2"/>
    <w:rsid w:val="1DB5A944"/>
    <w:rsid w:val="1DCE0E3D"/>
    <w:rsid w:val="1E68A345"/>
    <w:rsid w:val="1EAEF376"/>
    <w:rsid w:val="1EB1DCF0"/>
    <w:rsid w:val="1F254634"/>
    <w:rsid w:val="1F2E3032"/>
    <w:rsid w:val="1F39A310"/>
    <w:rsid w:val="1F6419EA"/>
    <w:rsid w:val="1F894B19"/>
    <w:rsid w:val="1F9D73F5"/>
    <w:rsid w:val="1FA30AEE"/>
    <w:rsid w:val="1FAECF12"/>
    <w:rsid w:val="1FC4ABF6"/>
    <w:rsid w:val="1FF0F317"/>
    <w:rsid w:val="2032EBD7"/>
    <w:rsid w:val="2036024F"/>
    <w:rsid w:val="209DBE4D"/>
    <w:rsid w:val="20E4973A"/>
    <w:rsid w:val="21267D3B"/>
    <w:rsid w:val="2156CD7F"/>
    <w:rsid w:val="2156D42F"/>
    <w:rsid w:val="21A7550E"/>
    <w:rsid w:val="21CAA01C"/>
    <w:rsid w:val="21D1D2B0"/>
    <w:rsid w:val="2204AA01"/>
    <w:rsid w:val="223CAE0C"/>
    <w:rsid w:val="2298AE3B"/>
    <w:rsid w:val="22CF9DE6"/>
    <w:rsid w:val="23196989"/>
    <w:rsid w:val="23231496"/>
    <w:rsid w:val="23358184"/>
    <w:rsid w:val="238E4ED8"/>
    <w:rsid w:val="23D15BAC"/>
    <w:rsid w:val="23E9428F"/>
    <w:rsid w:val="240B46A7"/>
    <w:rsid w:val="2430DBB2"/>
    <w:rsid w:val="24539B68"/>
    <w:rsid w:val="24560CFC"/>
    <w:rsid w:val="245D4F4D"/>
    <w:rsid w:val="24A6E8D2"/>
    <w:rsid w:val="24AAF9A7"/>
    <w:rsid w:val="24B6C59B"/>
    <w:rsid w:val="25241E03"/>
    <w:rsid w:val="252DE3AE"/>
    <w:rsid w:val="25609200"/>
    <w:rsid w:val="25FA5764"/>
    <w:rsid w:val="262724A0"/>
    <w:rsid w:val="26368AEB"/>
    <w:rsid w:val="263C9C43"/>
    <w:rsid w:val="26627688"/>
    <w:rsid w:val="26B1B9CD"/>
    <w:rsid w:val="26B955F1"/>
    <w:rsid w:val="26D3F17C"/>
    <w:rsid w:val="272D2BD7"/>
    <w:rsid w:val="27687C74"/>
    <w:rsid w:val="27694B01"/>
    <w:rsid w:val="277E8EA0"/>
    <w:rsid w:val="277F8BBA"/>
    <w:rsid w:val="278D6550"/>
    <w:rsid w:val="278E6F9B"/>
    <w:rsid w:val="27F4AFE9"/>
    <w:rsid w:val="2811821F"/>
    <w:rsid w:val="2827EBD7"/>
    <w:rsid w:val="282E9224"/>
    <w:rsid w:val="2837A9B2"/>
    <w:rsid w:val="286483AC"/>
    <w:rsid w:val="289169DB"/>
    <w:rsid w:val="28B174A7"/>
    <w:rsid w:val="28B789AE"/>
    <w:rsid w:val="28C60879"/>
    <w:rsid w:val="28E7C1D8"/>
    <w:rsid w:val="28F28C7E"/>
    <w:rsid w:val="292BBA41"/>
    <w:rsid w:val="295BDEF1"/>
    <w:rsid w:val="29729691"/>
    <w:rsid w:val="29B1326F"/>
    <w:rsid w:val="29B447C9"/>
    <w:rsid w:val="29E5E890"/>
    <w:rsid w:val="29E6B25A"/>
    <w:rsid w:val="29EE4A57"/>
    <w:rsid w:val="29F65388"/>
    <w:rsid w:val="29F7D24D"/>
    <w:rsid w:val="29F97AB6"/>
    <w:rsid w:val="2A044A8B"/>
    <w:rsid w:val="2A24EC71"/>
    <w:rsid w:val="2A31CED1"/>
    <w:rsid w:val="2A3CB30D"/>
    <w:rsid w:val="2A647423"/>
    <w:rsid w:val="2A6E7F17"/>
    <w:rsid w:val="2A7CF1A1"/>
    <w:rsid w:val="2AAF6F85"/>
    <w:rsid w:val="2AE08135"/>
    <w:rsid w:val="2AEA530C"/>
    <w:rsid w:val="2B4AF85C"/>
    <w:rsid w:val="2BD4502A"/>
    <w:rsid w:val="2C1CE2E5"/>
    <w:rsid w:val="2C7BB29C"/>
    <w:rsid w:val="2D1AF509"/>
    <w:rsid w:val="2D2C667B"/>
    <w:rsid w:val="2D42126B"/>
    <w:rsid w:val="2D7233EF"/>
    <w:rsid w:val="2DEE9A6D"/>
    <w:rsid w:val="2DFFA7B2"/>
    <w:rsid w:val="2E277E81"/>
    <w:rsid w:val="2E7DB24F"/>
    <w:rsid w:val="2E95B12D"/>
    <w:rsid w:val="2E9C78AD"/>
    <w:rsid w:val="2EBFC69C"/>
    <w:rsid w:val="2EEF9458"/>
    <w:rsid w:val="2F082FD5"/>
    <w:rsid w:val="2F46EEA5"/>
    <w:rsid w:val="2F6A99AC"/>
    <w:rsid w:val="2F74E2BD"/>
    <w:rsid w:val="2FBC6C7B"/>
    <w:rsid w:val="2FFF8EF4"/>
    <w:rsid w:val="3033C8B4"/>
    <w:rsid w:val="309068D8"/>
    <w:rsid w:val="30CD0EB8"/>
    <w:rsid w:val="30F426AF"/>
    <w:rsid w:val="3110054C"/>
    <w:rsid w:val="311FFEF7"/>
    <w:rsid w:val="3170D69A"/>
    <w:rsid w:val="31711403"/>
    <w:rsid w:val="3187EC34"/>
    <w:rsid w:val="3197B796"/>
    <w:rsid w:val="31B45F54"/>
    <w:rsid w:val="31BA519C"/>
    <w:rsid w:val="31E641C5"/>
    <w:rsid w:val="3203F769"/>
    <w:rsid w:val="320800D4"/>
    <w:rsid w:val="323E42C8"/>
    <w:rsid w:val="325EED41"/>
    <w:rsid w:val="326ACF8F"/>
    <w:rsid w:val="32966F7C"/>
    <w:rsid w:val="32969DF1"/>
    <w:rsid w:val="32AC1BE3"/>
    <w:rsid w:val="32BF5764"/>
    <w:rsid w:val="32EBC3E9"/>
    <w:rsid w:val="32F47B77"/>
    <w:rsid w:val="32F5BC44"/>
    <w:rsid w:val="3308D582"/>
    <w:rsid w:val="331175F9"/>
    <w:rsid w:val="3325B1B7"/>
    <w:rsid w:val="335F1A1B"/>
    <w:rsid w:val="3368E339"/>
    <w:rsid w:val="337429C3"/>
    <w:rsid w:val="33996C78"/>
    <w:rsid w:val="33AFF329"/>
    <w:rsid w:val="33E84334"/>
    <w:rsid w:val="33F5E4D6"/>
    <w:rsid w:val="33FF7847"/>
    <w:rsid w:val="345470A5"/>
    <w:rsid w:val="3466EF9C"/>
    <w:rsid w:val="34775411"/>
    <w:rsid w:val="34934B0E"/>
    <w:rsid w:val="34ABCCCB"/>
    <w:rsid w:val="34D13AB3"/>
    <w:rsid w:val="35430F51"/>
    <w:rsid w:val="35478D39"/>
    <w:rsid w:val="355BA53B"/>
    <w:rsid w:val="36917B08"/>
    <w:rsid w:val="36AA2CC6"/>
    <w:rsid w:val="36BBC45E"/>
    <w:rsid w:val="36BE573B"/>
    <w:rsid w:val="36DB7BA6"/>
    <w:rsid w:val="36E31EDB"/>
    <w:rsid w:val="36F68373"/>
    <w:rsid w:val="37001F12"/>
    <w:rsid w:val="37565D11"/>
    <w:rsid w:val="378F973F"/>
    <w:rsid w:val="37B1CF06"/>
    <w:rsid w:val="37B39A24"/>
    <w:rsid w:val="37B5AFC0"/>
    <w:rsid w:val="37BB5376"/>
    <w:rsid w:val="37D37B66"/>
    <w:rsid w:val="37E5EED9"/>
    <w:rsid w:val="3821AFCD"/>
    <w:rsid w:val="382BD83B"/>
    <w:rsid w:val="382D4B4F"/>
    <w:rsid w:val="38407C80"/>
    <w:rsid w:val="3845FD27"/>
    <w:rsid w:val="388447F2"/>
    <w:rsid w:val="38953D16"/>
    <w:rsid w:val="38AF56A9"/>
    <w:rsid w:val="38B0C675"/>
    <w:rsid w:val="38B9CA78"/>
    <w:rsid w:val="38C9ADA6"/>
    <w:rsid w:val="38D8BD6E"/>
    <w:rsid w:val="38E6C5DA"/>
    <w:rsid w:val="38EA50D1"/>
    <w:rsid w:val="393BA217"/>
    <w:rsid w:val="39C5A767"/>
    <w:rsid w:val="39E5431C"/>
    <w:rsid w:val="3A2C3BD4"/>
    <w:rsid w:val="3A7812CF"/>
    <w:rsid w:val="3AC362B2"/>
    <w:rsid w:val="3AC82410"/>
    <w:rsid w:val="3B0CDBAC"/>
    <w:rsid w:val="3B2176DB"/>
    <w:rsid w:val="3B250D9E"/>
    <w:rsid w:val="3B627887"/>
    <w:rsid w:val="3B632361"/>
    <w:rsid w:val="3B9B3572"/>
    <w:rsid w:val="3BA47704"/>
    <w:rsid w:val="3C304523"/>
    <w:rsid w:val="3C7F4D9E"/>
    <w:rsid w:val="3C94E769"/>
    <w:rsid w:val="3C9EB3AE"/>
    <w:rsid w:val="3CAEF9D7"/>
    <w:rsid w:val="3CCBF1ED"/>
    <w:rsid w:val="3D039806"/>
    <w:rsid w:val="3D2A81ED"/>
    <w:rsid w:val="3D4E162F"/>
    <w:rsid w:val="3D4E1A3C"/>
    <w:rsid w:val="3DAAF0F6"/>
    <w:rsid w:val="3DAC3CEC"/>
    <w:rsid w:val="3DDC4738"/>
    <w:rsid w:val="3E32F20C"/>
    <w:rsid w:val="3E3A840F"/>
    <w:rsid w:val="3E4BA3C6"/>
    <w:rsid w:val="3E509C42"/>
    <w:rsid w:val="3E55D091"/>
    <w:rsid w:val="3E5C064D"/>
    <w:rsid w:val="3EB05FAD"/>
    <w:rsid w:val="3EC821D9"/>
    <w:rsid w:val="3F024D10"/>
    <w:rsid w:val="3F972944"/>
    <w:rsid w:val="3F9BAF5D"/>
    <w:rsid w:val="40288380"/>
    <w:rsid w:val="4085B6F1"/>
    <w:rsid w:val="409CEE81"/>
    <w:rsid w:val="40E3EFBC"/>
    <w:rsid w:val="40E8AAF1"/>
    <w:rsid w:val="40E9C7F0"/>
    <w:rsid w:val="4119832D"/>
    <w:rsid w:val="41561603"/>
    <w:rsid w:val="41A2C7A7"/>
    <w:rsid w:val="41AE4B9A"/>
    <w:rsid w:val="41D7F9AF"/>
    <w:rsid w:val="41E9F440"/>
    <w:rsid w:val="4211D3CF"/>
    <w:rsid w:val="423EABFF"/>
    <w:rsid w:val="425FC817"/>
    <w:rsid w:val="4298B6E2"/>
    <w:rsid w:val="42A04825"/>
    <w:rsid w:val="42BE7080"/>
    <w:rsid w:val="42C68FDC"/>
    <w:rsid w:val="42EC57B9"/>
    <w:rsid w:val="42FA276A"/>
    <w:rsid w:val="4305E72B"/>
    <w:rsid w:val="43220C0F"/>
    <w:rsid w:val="4333C6A4"/>
    <w:rsid w:val="4343A096"/>
    <w:rsid w:val="434D865A"/>
    <w:rsid w:val="435FA258"/>
    <w:rsid w:val="4379E9AD"/>
    <w:rsid w:val="43E7C9CE"/>
    <w:rsid w:val="43EE22C2"/>
    <w:rsid w:val="43F1E585"/>
    <w:rsid w:val="440CA7E3"/>
    <w:rsid w:val="442A8F33"/>
    <w:rsid w:val="4432C012"/>
    <w:rsid w:val="443C2056"/>
    <w:rsid w:val="444338A7"/>
    <w:rsid w:val="446B0CC1"/>
    <w:rsid w:val="449608F2"/>
    <w:rsid w:val="44A90E85"/>
    <w:rsid w:val="44BB8EF0"/>
    <w:rsid w:val="44DC7F5C"/>
    <w:rsid w:val="45042854"/>
    <w:rsid w:val="45128910"/>
    <w:rsid w:val="451C11AC"/>
    <w:rsid w:val="4568482E"/>
    <w:rsid w:val="457572C8"/>
    <w:rsid w:val="45CE9073"/>
    <w:rsid w:val="45CF3547"/>
    <w:rsid w:val="45DFC17D"/>
    <w:rsid w:val="45FF98BF"/>
    <w:rsid w:val="461416CF"/>
    <w:rsid w:val="462934E7"/>
    <w:rsid w:val="469B9D55"/>
    <w:rsid w:val="46FA6E83"/>
    <w:rsid w:val="473A2CF3"/>
    <w:rsid w:val="478303B1"/>
    <w:rsid w:val="478441D4"/>
    <w:rsid w:val="4787CA2F"/>
    <w:rsid w:val="47C1716C"/>
    <w:rsid w:val="47D5E85A"/>
    <w:rsid w:val="484BAF68"/>
    <w:rsid w:val="486D1001"/>
    <w:rsid w:val="4875003C"/>
    <w:rsid w:val="4887BE00"/>
    <w:rsid w:val="4896D873"/>
    <w:rsid w:val="4898F09E"/>
    <w:rsid w:val="48A7C79D"/>
    <w:rsid w:val="48CED7C5"/>
    <w:rsid w:val="4912648B"/>
    <w:rsid w:val="492A4183"/>
    <w:rsid w:val="493B103A"/>
    <w:rsid w:val="4961911C"/>
    <w:rsid w:val="49CDFA6A"/>
    <w:rsid w:val="49ECF999"/>
    <w:rsid w:val="4A14C658"/>
    <w:rsid w:val="4A1AC6E8"/>
    <w:rsid w:val="4A21EE74"/>
    <w:rsid w:val="4A50B1ED"/>
    <w:rsid w:val="4A88630F"/>
    <w:rsid w:val="4AB07079"/>
    <w:rsid w:val="4B2674FD"/>
    <w:rsid w:val="4B439708"/>
    <w:rsid w:val="4B811EF4"/>
    <w:rsid w:val="4BB66CE4"/>
    <w:rsid w:val="4BD6046E"/>
    <w:rsid w:val="4C1A4808"/>
    <w:rsid w:val="4C27A91A"/>
    <w:rsid w:val="4C454858"/>
    <w:rsid w:val="4C4937D7"/>
    <w:rsid w:val="4C4DFF2C"/>
    <w:rsid w:val="4C9ACC7B"/>
    <w:rsid w:val="4D344F8B"/>
    <w:rsid w:val="4D58E2E8"/>
    <w:rsid w:val="4DBCA718"/>
    <w:rsid w:val="4DF64144"/>
    <w:rsid w:val="4E199861"/>
    <w:rsid w:val="4E3031DA"/>
    <w:rsid w:val="4E4A8517"/>
    <w:rsid w:val="4E8C5C2A"/>
    <w:rsid w:val="4EB3E10C"/>
    <w:rsid w:val="4F089D44"/>
    <w:rsid w:val="4F164B14"/>
    <w:rsid w:val="4F3105E9"/>
    <w:rsid w:val="4F347769"/>
    <w:rsid w:val="4F4B1614"/>
    <w:rsid w:val="4F5D34F8"/>
    <w:rsid w:val="4F668905"/>
    <w:rsid w:val="4F836B4C"/>
    <w:rsid w:val="4FF7AB0B"/>
    <w:rsid w:val="502C039A"/>
    <w:rsid w:val="503739FB"/>
    <w:rsid w:val="505369B3"/>
    <w:rsid w:val="50704FD5"/>
    <w:rsid w:val="5095ADAE"/>
    <w:rsid w:val="50D94447"/>
    <w:rsid w:val="50EA7EAE"/>
    <w:rsid w:val="5106BBB8"/>
    <w:rsid w:val="5132622A"/>
    <w:rsid w:val="5149803B"/>
    <w:rsid w:val="515CCFF6"/>
    <w:rsid w:val="518281B9"/>
    <w:rsid w:val="5194269D"/>
    <w:rsid w:val="51978B34"/>
    <w:rsid w:val="51CED3B3"/>
    <w:rsid w:val="51E47C9A"/>
    <w:rsid w:val="51FEABAE"/>
    <w:rsid w:val="527DEA7A"/>
    <w:rsid w:val="52A28CA2"/>
    <w:rsid w:val="52EE29DE"/>
    <w:rsid w:val="52F1616F"/>
    <w:rsid w:val="5319BFB7"/>
    <w:rsid w:val="536410D3"/>
    <w:rsid w:val="5371612B"/>
    <w:rsid w:val="537E78A7"/>
    <w:rsid w:val="53D2CBAE"/>
    <w:rsid w:val="54154477"/>
    <w:rsid w:val="543C4C7C"/>
    <w:rsid w:val="545BA3EE"/>
    <w:rsid w:val="546CE636"/>
    <w:rsid w:val="54796E2E"/>
    <w:rsid w:val="5499081C"/>
    <w:rsid w:val="54995426"/>
    <w:rsid w:val="54EFA30C"/>
    <w:rsid w:val="550FD469"/>
    <w:rsid w:val="55113FB4"/>
    <w:rsid w:val="55155750"/>
    <w:rsid w:val="55156A59"/>
    <w:rsid w:val="55DC2482"/>
    <w:rsid w:val="55F83739"/>
    <w:rsid w:val="563F33FC"/>
    <w:rsid w:val="5697B6B3"/>
    <w:rsid w:val="569DE5E7"/>
    <w:rsid w:val="569E397B"/>
    <w:rsid w:val="56FFE356"/>
    <w:rsid w:val="570C6CB1"/>
    <w:rsid w:val="57221107"/>
    <w:rsid w:val="5730253F"/>
    <w:rsid w:val="57B26237"/>
    <w:rsid w:val="57EB5A8D"/>
    <w:rsid w:val="57F03C7D"/>
    <w:rsid w:val="58209A79"/>
    <w:rsid w:val="58271927"/>
    <w:rsid w:val="5848AAD5"/>
    <w:rsid w:val="58829AB8"/>
    <w:rsid w:val="58A8C1EF"/>
    <w:rsid w:val="58D3E433"/>
    <w:rsid w:val="5911B5DD"/>
    <w:rsid w:val="59284D89"/>
    <w:rsid w:val="59A07E63"/>
    <w:rsid w:val="59DD0DDA"/>
    <w:rsid w:val="59FC86DE"/>
    <w:rsid w:val="59FC9F8E"/>
    <w:rsid w:val="5A1025A6"/>
    <w:rsid w:val="5A4AAA87"/>
    <w:rsid w:val="5AB86259"/>
    <w:rsid w:val="5AEA098D"/>
    <w:rsid w:val="5B24D644"/>
    <w:rsid w:val="5B375829"/>
    <w:rsid w:val="5B433A48"/>
    <w:rsid w:val="5B539B6E"/>
    <w:rsid w:val="5B7DDE34"/>
    <w:rsid w:val="5B810DFA"/>
    <w:rsid w:val="5BD29489"/>
    <w:rsid w:val="5BDB2A6B"/>
    <w:rsid w:val="5BEF6D9D"/>
    <w:rsid w:val="5BEFED4B"/>
    <w:rsid w:val="5C171DBE"/>
    <w:rsid w:val="5C194AF0"/>
    <w:rsid w:val="5C381BC8"/>
    <w:rsid w:val="5C627EFC"/>
    <w:rsid w:val="5CB6ED79"/>
    <w:rsid w:val="5CC55ED3"/>
    <w:rsid w:val="5D0B2DC6"/>
    <w:rsid w:val="5D18B6F1"/>
    <w:rsid w:val="5D2ADE2E"/>
    <w:rsid w:val="5D4D9519"/>
    <w:rsid w:val="5D7B080E"/>
    <w:rsid w:val="5D83A5DF"/>
    <w:rsid w:val="5D95EFC3"/>
    <w:rsid w:val="5DBE52A4"/>
    <w:rsid w:val="5DEF1D27"/>
    <w:rsid w:val="5DF7B3A8"/>
    <w:rsid w:val="5E024720"/>
    <w:rsid w:val="5E383198"/>
    <w:rsid w:val="5E57FCE9"/>
    <w:rsid w:val="5E63BAE2"/>
    <w:rsid w:val="5E668795"/>
    <w:rsid w:val="5EAC8BE0"/>
    <w:rsid w:val="5EB7EC59"/>
    <w:rsid w:val="5EC030A7"/>
    <w:rsid w:val="5EE00943"/>
    <w:rsid w:val="5EE38915"/>
    <w:rsid w:val="5F468568"/>
    <w:rsid w:val="5F847728"/>
    <w:rsid w:val="5FA87FAD"/>
    <w:rsid w:val="5FAB52A8"/>
    <w:rsid w:val="5FC48F92"/>
    <w:rsid w:val="5FD401F9"/>
    <w:rsid w:val="5FE1B019"/>
    <w:rsid w:val="601A86B7"/>
    <w:rsid w:val="60256D38"/>
    <w:rsid w:val="60327899"/>
    <w:rsid w:val="6065F4C4"/>
    <w:rsid w:val="6067F2CC"/>
    <w:rsid w:val="606B572A"/>
    <w:rsid w:val="607BD9A4"/>
    <w:rsid w:val="609038A8"/>
    <w:rsid w:val="60D43C6E"/>
    <w:rsid w:val="60DCF786"/>
    <w:rsid w:val="60E25E72"/>
    <w:rsid w:val="61198F9B"/>
    <w:rsid w:val="6144E667"/>
    <w:rsid w:val="61469BD5"/>
    <w:rsid w:val="61C9A21A"/>
    <w:rsid w:val="61FC5401"/>
    <w:rsid w:val="6211E73E"/>
    <w:rsid w:val="621D4461"/>
    <w:rsid w:val="629076DC"/>
    <w:rsid w:val="62F82696"/>
    <w:rsid w:val="631FBB14"/>
    <w:rsid w:val="63579E82"/>
    <w:rsid w:val="637881E2"/>
    <w:rsid w:val="6380F7A9"/>
    <w:rsid w:val="638E6CD5"/>
    <w:rsid w:val="63AC4F6F"/>
    <w:rsid w:val="63D0B227"/>
    <w:rsid w:val="644F6D0A"/>
    <w:rsid w:val="64589D20"/>
    <w:rsid w:val="6490218A"/>
    <w:rsid w:val="649316E2"/>
    <w:rsid w:val="6495ECE9"/>
    <w:rsid w:val="64BE934D"/>
    <w:rsid w:val="65396463"/>
    <w:rsid w:val="65C01677"/>
    <w:rsid w:val="66118B36"/>
    <w:rsid w:val="6632110F"/>
    <w:rsid w:val="66716C9E"/>
    <w:rsid w:val="669028FF"/>
    <w:rsid w:val="6691D3DA"/>
    <w:rsid w:val="66A2C270"/>
    <w:rsid w:val="66B2C621"/>
    <w:rsid w:val="66DA6090"/>
    <w:rsid w:val="66E6C067"/>
    <w:rsid w:val="66E7570C"/>
    <w:rsid w:val="66EDCCB5"/>
    <w:rsid w:val="6704402D"/>
    <w:rsid w:val="6718F648"/>
    <w:rsid w:val="6721D9ED"/>
    <w:rsid w:val="673853D0"/>
    <w:rsid w:val="674C7F8F"/>
    <w:rsid w:val="67709AE2"/>
    <w:rsid w:val="67721096"/>
    <w:rsid w:val="677ED2BA"/>
    <w:rsid w:val="67907A5F"/>
    <w:rsid w:val="67A8C2CC"/>
    <w:rsid w:val="6831CF3B"/>
    <w:rsid w:val="6844D89B"/>
    <w:rsid w:val="68509348"/>
    <w:rsid w:val="688FB047"/>
    <w:rsid w:val="6894DE76"/>
    <w:rsid w:val="6897A338"/>
    <w:rsid w:val="68B37BEE"/>
    <w:rsid w:val="690A818F"/>
    <w:rsid w:val="6926EDEB"/>
    <w:rsid w:val="69529192"/>
    <w:rsid w:val="6990FCEB"/>
    <w:rsid w:val="69A2830A"/>
    <w:rsid w:val="69A32CC7"/>
    <w:rsid w:val="69A45DE3"/>
    <w:rsid w:val="69E1C56A"/>
    <w:rsid w:val="6A11D947"/>
    <w:rsid w:val="6A2A048A"/>
    <w:rsid w:val="6A3E1AE2"/>
    <w:rsid w:val="6A4443FE"/>
    <w:rsid w:val="6A896476"/>
    <w:rsid w:val="6A92FE43"/>
    <w:rsid w:val="6AC3AC10"/>
    <w:rsid w:val="6AE56C9F"/>
    <w:rsid w:val="6C016612"/>
    <w:rsid w:val="6C2E1669"/>
    <w:rsid w:val="6C3B43FF"/>
    <w:rsid w:val="6C5D5FBD"/>
    <w:rsid w:val="6CA34268"/>
    <w:rsid w:val="6CD9B0A7"/>
    <w:rsid w:val="6D2C92E1"/>
    <w:rsid w:val="6D7DF547"/>
    <w:rsid w:val="6D813905"/>
    <w:rsid w:val="6D87343C"/>
    <w:rsid w:val="6DBBE582"/>
    <w:rsid w:val="6E2AD335"/>
    <w:rsid w:val="6E56D506"/>
    <w:rsid w:val="6E6042AC"/>
    <w:rsid w:val="6E739DED"/>
    <w:rsid w:val="6EBA27B1"/>
    <w:rsid w:val="6EC7BF58"/>
    <w:rsid w:val="6EC7C157"/>
    <w:rsid w:val="6F3003C2"/>
    <w:rsid w:val="6F32A63B"/>
    <w:rsid w:val="6F492816"/>
    <w:rsid w:val="6F6BFB34"/>
    <w:rsid w:val="6FA0CBAD"/>
    <w:rsid w:val="6FF24727"/>
    <w:rsid w:val="7001DBFF"/>
    <w:rsid w:val="7067CCB8"/>
    <w:rsid w:val="709F1DE7"/>
    <w:rsid w:val="709F8DEF"/>
    <w:rsid w:val="70AC5BAE"/>
    <w:rsid w:val="71029613"/>
    <w:rsid w:val="71107192"/>
    <w:rsid w:val="71366ACB"/>
    <w:rsid w:val="717EE9C5"/>
    <w:rsid w:val="71947ED7"/>
    <w:rsid w:val="71FFF79C"/>
    <w:rsid w:val="7206266F"/>
    <w:rsid w:val="722493D3"/>
    <w:rsid w:val="7227565A"/>
    <w:rsid w:val="72868353"/>
    <w:rsid w:val="729E7DA7"/>
    <w:rsid w:val="72F0CE9A"/>
    <w:rsid w:val="73166F19"/>
    <w:rsid w:val="7334D17C"/>
    <w:rsid w:val="7339B124"/>
    <w:rsid w:val="733BF1AE"/>
    <w:rsid w:val="735AB1DC"/>
    <w:rsid w:val="735F6A69"/>
    <w:rsid w:val="73E2170F"/>
    <w:rsid w:val="740B1C9F"/>
    <w:rsid w:val="740F0E16"/>
    <w:rsid w:val="741811E0"/>
    <w:rsid w:val="74351B2C"/>
    <w:rsid w:val="7461CFB2"/>
    <w:rsid w:val="7464A59F"/>
    <w:rsid w:val="746A0BB4"/>
    <w:rsid w:val="7506ACAD"/>
    <w:rsid w:val="75091649"/>
    <w:rsid w:val="7561A27E"/>
    <w:rsid w:val="758D0D63"/>
    <w:rsid w:val="759B7B1B"/>
    <w:rsid w:val="75AE630A"/>
    <w:rsid w:val="75C47613"/>
    <w:rsid w:val="76134E6C"/>
    <w:rsid w:val="76207B63"/>
    <w:rsid w:val="7696A247"/>
    <w:rsid w:val="76B211E8"/>
    <w:rsid w:val="76B49343"/>
    <w:rsid w:val="76C1E38D"/>
    <w:rsid w:val="76D2A62F"/>
    <w:rsid w:val="770CAC4A"/>
    <w:rsid w:val="771674C7"/>
    <w:rsid w:val="776974CB"/>
    <w:rsid w:val="779E90DB"/>
    <w:rsid w:val="77B21A62"/>
    <w:rsid w:val="77D8B89B"/>
    <w:rsid w:val="77FFE905"/>
    <w:rsid w:val="7804C7F0"/>
    <w:rsid w:val="78347BAA"/>
    <w:rsid w:val="784B0F5F"/>
    <w:rsid w:val="7872EC79"/>
    <w:rsid w:val="787B9565"/>
    <w:rsid w:val="789A7BED"/>
    <w:rsid w:val="78A9F7F9"/>
    <w:rsid w:val="78C77CC0"/>
    <w:rsid w:val="78DB8902"/>
    <w:rsid w:val="793EDE98"/>
    <w:rsid w:val="7944B86A"/>
    <w:rsid w:val="795569FE"/>
    <w:rsid w:val="797E622F"/>
    <w:rsid w:val="799E8D51"/>
    <w:rsid w:val="79ABB40D"/>
    <w:rsid w:val="79BC3364"/>
    <w:rsid w:val="79EF30F0"/>
    <w:rsid w:val="7A1887A7"/>
    <w:rsid w:val="7A2B24AF"/>
    <w:rsid w:val="7A4601DD"/>
    <w:rsid w:val="7AB63863"/>
    <w:rsid w:val="7ABEB060"/>
    <w:rsid w:val="7AE69118"/>
    <w:rsid w:val="7AECABF9"/>
    <w:rsid w:val="7AFBF1F9"/>
    <w:rsid w:val="7B5979F1"/>
    <w:rsid w:val="7B629D23"/>
    <w:rsid w:val="7B6D2B72"/>
    <w:rsid w:val="7BE7E14F"/>
    <w:rsid w:val="7BFA0732"/>
    <w:rsid w:val="7C1F8DF8"/>
    <w:rsid w:val="7C2D39C6"/>
    <w:rsid w:val="7C4942C1"/>
    <w:rsid w:val="7CAA7EF6"/>
    <w:rsid w:val="7CD528F4"/>
    <w:rsid w:val="7CD7D73D"/>
    <w:rsid w:val="7CDAE123"/>
    <w:rsid w:val="7CE92AA3"/>
    <w:rsid w:val="7D1D696B"/>
    <w:rsid w:val="7D80BD17"/>
    <w:rsid w:val="7D948A40"/>
    <w:rsid w:val="7DAD2925"/>
    <w:rsid w:val="7DCDD9A1"/>
    <w:rsid w:val="7DF0898E"/>
    <w:rsid w:val="7E432AFE"/>
    <w:rsid w:val="7E45AA10"/>
    <w:rsid w:val="7E65FCD3"/>
    <w:rsid w:val="7EFBC572"/>
    <w:rsid w:val="7F28945B"/>
    <w:rsid w:val="7F30145D"/>
    <w:rsid w:val="7F9411F6"/>
    <w:rsid w:val="7FD303BF"/>
    <w:rsid w:val="7FD8DDB9"/>
    <w:rsid w:val="7FDFE466"/>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6F8ED7"/>
  <w15:docId w15:val="{EFBBDDA8-28CA-462A-B22D-FB7C941E8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iPriority="98"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9"/>
    <w:qFormat/>
    <w:rsid w:val="00B13241"/>
    <w:pPr>
      <w:keepNext/>
      <w:keepLines/>
      <w:spacing w:before="520" w:after="440" w:line="440" w:lineRule="atLeast"/>
      <w:outlineLvl w:val="0"/>
    </w:pPr>
    <w:rPr>
      <w:rFonts w:ascii="Arial" w:hAnsi="Arial"/>
      <w:bCs/>
      <w:color w:val="004EA8"/>
      <w:sz w:val="44"/>
      <w:szCs w:val="44"/>
      <w:lang w:eastAsia="en-US"/>
    </w:rPr>
  </w:style>
  <w:style w:type="paragraph" w:styleId="Heading2">
    <w:name w:val="heading 2"/>
    <w:next w:val="DHHSbody"/>
    <w:link w:val="Heading2Char"/>
    <w:uiPriority w:val="1"/>
    <w:qFormat/>
    <w:rsid w:val="00636934"/>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3241"/>
    <w:rPr>
      <w:rFonts w:ascii="Arial" w:hAnsi="Arial"/>
      <w:bCs/>
      <w:color w:val="004EA8"/>
      <w:sz w:val="44"/>
      <w:szCs w:val="44"/>
      <w:lang w:eastAsia="en-US"/>
    </w:rPr>
  </w:style>
  <w:style w:type="character" w:customStyle="1" w:styleId="Heading2Char">
    <w:name w:val="Heading 2 Char"/>
    <w:link w:val="Heading2"/>
    <w:uiPriority w:val="1"/>
    <w:rsid w:val="00636934"/>
    <w:rPr>
      <w:rFonts w:ascii="Arial" w:hAnsi="Arial"/>
      <w:b/>
      <w:color w:val="004EA8"/>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636934"/>
    <w:pPr>
      <w:keepLines/>
      <w:spacing w:after="240" w:line="580" w:lineRule="atLeast"/>
    </w:pPr>
    <w:rPr>
      <w:rFonts w:ascii="Arial" w:hAnsi="Arial"/>
      <w:color w:val="004EA8"/>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1"/>
      </w:numPr>
      <w:spacing w:after="40"/>
    </w:pPr>
  </w:style>
  <w:style w:type="paragraph" w:customStyle="1" w:styleId="DHHSnumberloweralpha">
    <w:name w:val="DHHS number lower alpha"/>
    <w:basedOn w:val="DHHSbody"/>
    <w:uiPriority w:val="3"/>
    <w:rsid w:val="00CF7CB6"/>
    <w:pPr>
      <w:numPr>
        <w:ilvl w:val="2"/>
        <w:numId w:val="2"/>
      </w:numPr>
    </w:pPr>
  </w:style>
  <w:style w:type="paragraph" w:customStyle="1" w:styleId="DHHSnumberloweralphaindent">
    <w:name w:val="DHHS number lower alpha indent"/>
    <w:basedOn w:val="DHHSbody"/>
    <w:uiPriority w:val="3"/>
    <w:rsid w:val="00CF7CB6"/>
    <w:pPr>
      <w:numPr>
        <w:ilvl w:val="3"/>
        <w:numId w:val="2"/>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1"/>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2"/>
      </w:numPr>
    </w:pPr>
  </w:style>
  <w:style w:type="paragraph" w:customStyle="1" w:styleId="DHHStablecolhead">
    <w:name w:val="DHHS table col head"/>
    <w:uiPriority w:val="3"/>
    <w:qFormat/>
    <w:rsid w:val="00B13241"/>
    <w:pPr>
      <w:spacing w:before="80" w:after="60"/>
    </w:pPr>
    <w:rPr>
      <w:rFonts w:ascii="Arial" w:hAnsi="Arial"/>
      <w:b/>
      <w:color w:val="004EA8"/>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1"/>
      </w:numPr>
    </w:pPr>
  </w:style>
  <w:style w:type="paragraph" w:customStyle="1" w:styleId="DHHSTOCheadingreport">
    <w:name w:val="DHHS TOC heading report"/>
    <w:basedOn w:val="Heading1"/>
    <w:link w:val="DHHSTOCheadingreportChar"/>
    <w:uiPriority w:val="5"/>
    <w:rsid w:val="00636934"/>
    <w:pPr>
      <w:spacing w:before="0"/>
      <w:outlineLvl w:val="9"/>
    </w:pPr>
  </w:style>
  <w:style w:type="character" w:customStyle="1" w:styleId="DHHSTOCheadingreportChar">
    <w:name w:val="DHHS TOC heading report Char"/>
    <w:link w:val="DHHSTOCheadingreport"/>
    <w:uiPriority w:val="5"/>
    <w:rsid w:val="00636934"/>
    <w:rPr>
      <w:rFonts w:ascii="Arial" w:hAnsi="Arial"/>
      <w:bCs/>
      <w:color w:val="004EA8"/>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1"/>
      </w:numPr>
    </w:pPr>
  </w:style>
  <w:style w:type="paragraph" w:customStyle="1" w:styleId="DHHSbulletindent">
    <w:name w:val="DHHS bullet indent"/>
    <w:basedOn w:val="DHHSbody"/>
    <w:uiPriority w:val="4"/>
    <w:rsid w:val="00CF7CB6"/>
    <w:pPr>
      <w:numPr>
        <w:ilvl w:val="4"/>
        <w:numId w:val="1"/>
      </w:numPr>
      <w:spacing w:after="40"/>
    </w:pPr>
  </w:style>
  <w:style w:type="paragraph" w:customStyle="1" w:styleId="DHHSbulletindentlastline">
    <w:name w:val="DHHS bullet indent last line"/>
    <w:basedOn w:val="DHHSbody"/>
    <w:uiPriority w:val="4"/>
    <w:rsid w:val="00CF7CB6"/>
    <w:pPr>
      <w:numPr>
        <w:ilvl w:val="5"/>
        <w:numId w:val="1"/>
      </w:numPr>
    </w:pPr>
  </w:style>
  <w:style w:type="numbering" w:customStyle="1" w:styleId="ZZNumbers">
    <w:name w:val="ZZ Numbers"/>
    <w:rsid w:val="00CF7CB6"/>
    <w:pPr>
      <w:numPr>
        <w:numId w:val="2"/>
      </w:numPr>
    </w:pPr>
  </w:style>
  <w:style w:type="paragraph" w:customStyle="1" w:styleId="DHHSnumberlowerroman">
    <w:name w:val="DHHS number lower roman"/>
    <w:basedOn w:val="DHHSbody"/>
    <w:uiPriority w:val="3"/>
    <w:rsid w:val="00CF7CB6"/>
    <w:pPr>
      <w:numPr>
        <w:ilvl w:val="4"/>
        <w:numId w:val="2"/>
      </w:numPr>
    </w:pPr>
  </w:style>
  <w:style w:type="paragraph" w:customStyle="1" w:styleId="DHHSnumberlowerromanindent">
    <w:name w:val="DHHS number lower roman indent"/>
    <w:basedOn w:val="DHHSbody"/>
    <w:uiPriority w:val="3"/>
    <w:rsid w:val="00CF7CB6"/>
    <w:pPr>
      <w:numPr>
        <w:ilvl w:val="5"/>
        <w:numId w:val="2"/>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styleId="BalloonText">
    <w:name w:val="Balloon Text"/>
    <w:basedOn w:val="Normal"/>
    <w:link w:val="BalloonTextChar"/>
    <w:uiPriority w:val="99"/>
    <w:semiHidden/>
    <w:unhideWhenUsed/>
    <w:rsid w:val="00FF59B8"/>
    <w:rPr>
      <w:rFonts w:ascii="Tahoma" w:hAnsi="Tahoma" w:cs="Tahoma"/>
      <w:sz w:val="16"/>
      <w:szCs w:val="16"/>
    </w:rPr>
  </w:style>
  <w:style w:type="character" w:customStyle="1" w:styleId="BalloonTextChar">
    <w:name w:val="Balloon Text Char"/>
    <w:basedOn w:val="DefaultParagraphFont"/>
    <w:link w:val="BalloonText"/>
    <w:uiPriority w:val="99"/>
    <w:semiHidden/>
    <w:rsid w:val="00FF59B8"/>
    <w:rPr>
      <w:rFonts w:ascii="Tahoma" w:hAnsi="Tahoma" w:cs="Tahoma"/>
      <w:sz w:val="16"/>
      <w:szCs w:val="16"/>
      <w:lang w:eastAsia="en-US"/>
    </w:rPr>
  </w:style>
  <w:style w:type="paragraph" w:styleId="NormalWeb">
    <w:name w:val="Normal (Web)"/>
    <w:basedOn w:val="Normal"/>
    <w:uiPriority w:val="99"/>
    <w:unhideWhenUsed/>
    <w:rsid w:val="0075163D"/>
    <w:pPr>
      <w:spacing w:before="100" w:beforeAutospacing="1" w:after="100" w:afterAutospacing="1"/>
    </w:pPr>
    <w:rPr>
      <w:rFonts w:ascii="Times New Roman" w:hAnsi="Times New Roman"/>
      <w:sz w:val="24"/>
      <w:szCs w:val="24"/>
      <w:lang w:eastAsia="en-AU"/>
    </w:rPr>
  </w:style>
  <w:style w:type="character" w:customStyle="1" w:styleId="xbyline-reviewed-citations">
    <w:name w:val="x_byline-reviewed-citations"/>
    <w:basedOn w:val="DefaultParagraphFont"/>
    <w:rsid w:val="0075163D"/>
  </w:style>
  <w:style w:type="character" w:customStyle="1" w:styleId="xbyline-source">
    <w:name w:val="x_byline-source"/>
    <w:basedOn w:val="DefaultParagraphFont"/>
    <w:rsid w:val="0075163D"/>
  </w:style>
  <w:style w:type="paragraph" w:customStyle="1" w:styleId="xarticletocblurb">
    <w:name w:val="x_articletocblurb"/>
    <w:basedOn w:val="Normal"/>
    <w:rsid w:val="0075163D"/>
    <w:pPr>
      <w:spacing w:before="100" w:beforeAutospacing="1" w:after="100" w:afterAutospacing="1"/>
    </w:pPr>
    <w:rPr>
      <w:rFonts w:ascii="Times New Roman" w:hAnsi="Times New Roman"/>
      <w:sz w:val="24"/>
      <w:szCs w:val="24"/>
      <w:lang w:eastAsia="en-AU"/>
    </w:rPr>
  </w:style>
  <w:style w:type="paragraph" w:customStyle="1" w:styleId="EndNoteBibliography">
    <w:name w:val="EndNote Bibliography"/>
    <w:basedOn w:val="Normal"/>
    <w:link w:val="EndNoteBibliographyChar"/>
    <w:rsid w:val="001E0C82"/>
    <w:pPr>
      <w:widowControl w:val="0"/>
    </w:pPr>
    <w:rPr>
      <w:rFonts w:ascii="Calibri" w:eastAsiaTheme="minorHAnsi" w:hAnsi="Calibri" w:cstheme="minorBidi"/>
      <w:noProof/>
      <w:sz w:val="22"/>
      <w:szCs w:val="22"/>
      <w:lang w:val="en-US"/>
    </w:rPr>
  </w:style>
  <w:style w:type="character" w:customStyle="1" w:styleId="EndNoteBibliographyChar">
    <w:name w:val="EndNote Bibliography Char"/>
    <w:basedOn w:val="DefaultParagraphFont"/>
    <w:link w:val="EndNoteBibliography"/>
    <w:rsid w:val="001E0C82"/>
    <w:rPr>
      <w:rFonts w:ascii="Calibri" w:eastAsiaTheme="minorHAnsi" w:hAnsi="Calibri" w:cstheme="minorBidi"/>
      <w:noProof/>
      <w:sz w:val="22"/>
      <w:szCs w:val="22"/>
      <w:lang w:val="en-US" w:eastAsia="en-US"/>
    </w:rPr>
  </w:style>
  <w:style w:type="paragraph" w:styleId="ListParagraph">
    <w:name w:val="List Paragraph"/>
    <w:basedOn w:val="Normal"/>
    <w:uiPriority w:val="34"/>
    <w:qFormat/>
    <w:rsid w:val="001E0C82"/>
    <w:pPr>
      <w:widowControl w:val="0"/>
    </w:pPr>
    <w:rPr>
      <w:rFonts w:asciiTheme="minorHAnsi" w:eastAsiaTheme="minorHAnsi" w:hAnsiTheme="minorHAnsi" w:cstheme="minorBidi"/>
      <w:sz w:val="22"/>
      <w:szCs w:val="22"/>
      <w:lang w:val="en-US"/>
    </w:rPr>
  </w:style>
  <w:style w:type="character" w:styleId="CommentReference">
    <w:name w:val="annotation reference"/>
    <w:basedOn w:val="DefaultParagraphFont"/>
    <w:uiPriority w:val="99"/>
    <w:semiHidden/>
    <w:unhideWhenUsed/>
    <w:rsid w:val="003C4C72"/>
    <w:rPr>
      <w:sz w:val="16"/>
      <w:szCs w:val="16"/>
    </w:rPr>
  </w:style>
  <w:style w:type="paragraph" w:styleId="CommentText">
    <w:name w:val="annotation text"/>
    <w:basedOn w:val="Normal"/>
    <w:link w:val="CommentTextChar"/>
    <w:uiPriority w:val="99"/>
    <w:unhideWhenUsed/>
    <w:rsid w:val="003C4C72"/>
  </w:style>
  <w:style w:type="character" w:customStyle="1" w:styleId="CommentTextChar">
    <w:name w:val="Comment Text Char"/>
    <w:basedOn w:val="DefaultParagraphFont"/>
    <w:link w:val="CommentText"/>
    <w:uiPriority w:val="99"/>
    <w:rsid w:val="003C4C72"/>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3C4C72"/>
    <w:rPr>
      <w:b/>
      <w:bCs/>
    </w:rPr>
  </w:style>
  <w:style w:type="character" w:customStyle="1" w:styleId="CommentSubjectChar">
    <w:name w:val="Comment Subject Char"/>
    <w:basedOn w:val="CommentTextChar"/>
    <w:link w:val="CommentSubject"/>
    <w:uiPriority w:val="99"/>
    <w:semiHidden/>
    <w:rsid w:val="003C4C72"/>
    <w:rPr>
      <w:rFonts w:ascii="Cambria" w:hAnsi="Cambria"/>
      <w:b/>
      <w:bCs/>
      <w:lang w:eastAsia="en-US"/>
    </w:rPr>
  </w:style>
  <w:style w:type="paragraph" w:customStyle="1" w:styleId="MELegal1">
    <w:name w:val="ME Legal 1"/>
    <w:basedOn w:val="Normal"/>
    <w:qFormat/>
    <w:rsid w:val="00B93760"/>
    <w:pPr>
      <w:keepNext/>
      <w:keepLines/>
      <w:numPr>
        <w:numId w:val="4"/>
      </w:numPr>
      <w:spacing w:after="200"/>
      <w:outlineLvl w:val="0"/>
    </w:pPr>
    <w:rPr>
      <w:rFonts w:ascii="Arial" w:eastAsiaTheme="minorEastAsia" w:hAnsi="Arial"/>
      <w:b/>
      <w:lang w:eastAsia="zh-CN"/>
    </w:rPr>
  </w:style>
  <w:style w:type="paragraph" w:customStyle="1" w:styleId="MELegal2">
    <w:name w:val="ME Legal 2"/>
    <w:basedOn w:val="Normal"/>
    <w:qFormat/>
    <w:rsid w:val="00B93760"/>
    <w:pPr>
      <w:numPr>
        <w:ilvl w:val="1"/>
        <w:numId w:val="4"/>
      </w:numPr>
      <w:spacing w:after="200"/>
      <w:outlineLvl w:val="1"/>
    </w:pPr>
    <w:rPr>
      <w:rFonts w:ascii="Arial" w:eastAsiaTheme="minorEastAsia" w:hAnsi="Arial"/>
      <w:lang w:eastAsia="zh-CN"/>
    </w:rPr>
  </w:style>
  <w:style w:type="paragraph" w:customStyle="1" w:styleId="MELegal3">
    <w:name w:val="ME Legal 3"/>
    <w:basedOn w:val="Normal"/>
    <w:qFormat/>
    <w:rsid w:val="00B93760"/>
    <w:pPr>
      <w:numPr>
        <w:ilvl w:val="2"/>
        <w:numId w:val="4"/>
      </w:numPr>
      <w:spacing w:after="200"/>
      <w:ind w:left="1360" w:hanging="680"/>
      <w:outlineLvl w:val="2"/>
    </w:pPr>
    <w:rPr>
      <w:rFonts w:ascii="Arial" w:eastAsiaTheme="minorEastAsia" w:hAnsi="Arial"/>
      <w:lang w:eastAsia="zh-CN"/>
    </w:rPr>
  </w:style>
  <w:style w:type="paragraph" w:customStyle="1" w:styleId="MELegal4">
    <w:name w:val="ME Legal 4"/>
    <w:basedOn w:val="Normal"/>
    <w:qFormat/>
    <w:rsid w:val="00B93760"/>
    <w:pPr>
      <w:numPr>
        <w:ilvl w:val="3"/>
        <w:numId w:val="4"/>
      </w:numPr>
      <w:spacing w:after="200"/>
      <w:outlineLvl w:val="3"/>
    </w:pPr>
    <w:rPr>
      <w:rFonts w:ascii="Arial" w:eastAsiaTheme="minorEastAsia" w:hAnsi="Arial"/>
      <w:lang w:eastAsia="zh-CN"/>
    </w:rPr>
  </w:style>
  <w:style w:type="paragraph" w:customStyle="1" w:styleId="MELegal5">
    <w:name w:val="ME Legal 5"/>
    <w:basedOn w:val="Normal"/>
    <w:qFormat/>
    <w:rsid w:val="00B93760"/>
    <w:pPr>
      <w:numPr>
        <w:ilvl w:val="4"/>
        <w:numId w:val="4"/>
      </w:numPr>
      <w:spacing w:after="200"/>
      <w:ind w:left="2721" w:hanging="680"/>
      <w:outlineLvl w:val="4"/>
    </w:pPr>
    <w:rPr>
      <w:rFonts w:ascii="Arial" w:eastAsiaTheme="minorEastAsia" w:hAnsi="Arial"/>
      <w:lang w:eastAsia="zh-CN"/>
    </w:rPr>
  </w:style>
  <w:style w:type="paragraph" w:customStyle="1" w:styleId="MELegal6">
    <w:name w:val="ME Legal 6"/>
    <w:basedOn w:val="Normal"/>
    <w:qFormat/>
    <w:rsid w:val="00B93760"/>
    <w:pPr>
      <w:numPr>
        <w:ilvl w:val="5"/>
        <w:numId w:val="4"/>
      </w:numPr>
      <w:spacing w:after="200"/>
      <w:outlineLvl w:val="5"/>
    </w:pPr>
    <w:rPr>
      <w:rFonts w:ascii="Arial" w:eastAsiaTheme="minorEastAsia" w:hAnsi="Arial"/>
      <w:lang w:eastAsia="zh-CN"/>
    </w:rPr>
  </w:style>
  <w:style w:type="numbering" w:customStyle="1" w:styleId="MELegal">
    <w:name w:val="ME Legal"/>
    <w:uiPriority w:val="99"/>
    <w:rsid w:val="00B93760"/>
    <w:pPr>
      <w:numPr>
        <w:numId w:val="3"/>
      </w:numPr>
    </w:pPr>
  </w:style>
  <w:style w:type="paragraph" w:customStyle="1" w:styleId="MELegal7">
    <w:name w:val="ME Legal 7"/>
    <w:basedOn w:val="Normal"/>
    <w:semiHidden/>
    <w:unhideWhenUsed/>
    <w:qFormat/>
    <w:rsid w:val="00B93760"/>
    <w:pPr>
      <w:numPr>
        <w:ilvl w:val="6"/>
        <w:numId w:val="4"/>
      </w:numPr>
      <w:spacing w:after="200"/>
    </w:pPr>
    <w:rPr>
      <w:rFonts w:ascii="Arial" w:eastAsiaTheme="minorEastAsia" w:hAnsi="Arial"/>
      <w:lang w:eastAsia="zh-CN"/>
    </w:rPr>
  </w:style>
  <w:style w:type="paragraph" w:customStyle="1" w:styleId="MELegal8">
    <w:name w:val="ME Legal 8"/>
    <w:basedOn w:val="Normal"/>
    <w:semiHidden/>
    <w:unhideWhenUsed/>
    <w:qFormat/>
    <w:rsid w:val="00B93760"/>
    <w:pPr>
      <w:numPr>
        <w:ilvl w:val="7"/>
        <w:numId w:val="4"/>
      </w:numPr>
      <w:spacing w:after="200"/>
      <w:ind w:left="4762" w:hanging="680"/>
    </w:pPr>
    <w:rPr>
      <w:rFonts w:ascii="Arial" w:eastAsiaTheme="minorEastAsia" w:hAnsi="Arial"/>
      <w:lang w:eastAsia="zh-CN"/>
    </w:rPr>
  </w:style>
  <w:style w:type="paragraph" w:customStyle="1" w:styleId="MELegal9">
    <w:name w:val="ME Legal 9"/>
    <w:basedOn w:val="Normal"/>
    <w:semiHidden/>
    <w:unhideWhenUsed/>
    <w:qFormat/>
    <w:rsid w:val="00B93760"/>
    <w:pPr>
      <w:numPr>
        <w:ilvl w:val="8"/>
        <w:numId w:val="4"/>
      </w:numPr>
      <w:spacing w:after="200"/>
    </w:pPr>
    <w:rPr>
      <w:rFonts w:ascii="Arial" w:eastAsiaTheme="minorEastAsia" w:hAnsi="Arial"/>
      <w:lang w:eastAsia="zh-CN"/>
    </w:rPr>
  </w:style>
  <w:style w:type="paragraph" w:customStyle="1" w:styleId="Default">
    <w:name w:val="Default"/>
    <w:rsid w:val="00F10D99"/>
    <w:pPr>
      <w:autoSpaceDE w:val="0"/>
      <w:autoSpaceDN w:val="0"/>
      <w:adjustRightInd w:val="0"/>
    </w:pPr>
    <w:rPr>
      <w:rFonts w:ascii="Arial" w:eastAsiaTheme="minorHAnsi" w:hAnsi="Arial" w:cs="Arial"/>
      <w:color w:val="000000"/>
      <w:sz w:val="24"/>
      <w:szCs w:val="24"/>
      <w:lang w:eastAsia="en-US"/>
    </w:rPr>
  </w:style>
  <w:style w:type="character" w:customStyle="1" w:styleId="UnresolvedMention1">
    <w:name w:val="Unresolved Mention1"/>
    <w:basedOn w:val="DefaultParagraphFont"/>
    <w:uiPriority w:val="99"/>
    <w:semiHidden/>
    <w:unhideWhenUsed/>
    <w:rsid w:val="00234082"/>
    <w:rPr>
      <w:color w:val="605E5C"/>
      <w:shd w:val="clear" w:color="auto" w:fill="E1DFDD"/>
    </w:rPr>
  </w:style>
  <w:style w:type="paragraph" w:customStyle="1" w:styleId="DHHSletterbody">
    <w:name w:val="DHHS letter body"/>
    <w:qFormat/>
    <w:rsid w:val="00B92C62"/>
    <w:pPr>
      <w:tabs>
        <w:tab w:val="left" w:pos="1333"/>
      </w:tabs>
      <w:spacing w:line="270" w:lineRule="atLeast"/>
    </w:pPr>
    <w:rPr>
      <w:rFonts w:ascii="Arial" w:eastAsia="MS PMincho" w:hAnsi="Arial" w:cs="Arial"/>
      <w:sz w:val="22"/>
      <w:szCs w:val="22"/>
      <w:lang w:eastAsia="en-US"/>
    </w:rPr>
  </w:style>
  <w:style w:type="paragraph" w:customStyle="1" w:styleId="CPESguidelinesbodytext">
    <w:name w:val="CPES guidelines body text"/>
    <w:basedOn w:val="Normal"/>
    <w:rsid w:val="00B92C62"/>
    <w:rPr>
      <w:rFonts w:ascii="Verdana" w:hAnsi="Verdana"/>
      <w:szCs w:val="24"/>
      <w:lang w:val="en-US"/>
    </w:rPr>
  </w:style>
  <w:style w:type="paragraph" w:styleId="Revision">
    <w:name w:val="Revision"/>
    <w:hidden/>
    <w:uiPriority w:val="71"/>
    <w:rsid w:val="0028286D"/>
    <w:rPr>
      <w:rFonts w:ascii="Cambria" w:hAnsi="Cambria"/>
      <w:lang w:eastAsia="en-US"/>
    </w:rPr>
  </w:style>
  <w:style w:type="character" w:styleId="UnresolvedMention">
    <w:name w:val="Unresolved Mention"/>
    <w:basedOn w:val="DefaultParagraphFont"/>
    <w:uiPriority w:val="99"/>
    <w:unhideWhenUsed/>
    <w:rsid w:val="00DF12DC"/>
    <w:rPr>
      <w:color w:val="605E5C"/>
      <w:shd w:val="clear" w:color="auto" w:fill="E1DFDD"/>
    </w:rPr>
  </w:style>
  <w:style w:type="paragraph" w:styleId="Bibliography">
    <w:name w:val="Bibliography"/>
    <w:basedOn w:val="Normal"/>
    <w:next w:val="Normal"/>
    <w:uiPriority w:val="70"/>
    <w:unhideWhenUsed/>
    <w:rsid w:val="007E1C04"/>
    <w:pPr>
      <w:spacing w:after="100" w:line="280" w:lineRule="atLeast"/>
    </w:pPr>
    <w:rPr>
      <w:rFonts w:ascii="Arial" w:hAnsi="Arial"/>
    </w:rPr>
  </w:style>
  <w:style w:type="character" w:styleId="Mention">
    <w:name w:val="Mention"/>
    <w:basedOn w:val="DefaultParagraphFont"/>
    <w:uiPriority w:val="99"/>
    <w:unhideWhenUsed/>
    <w:rsid w:val="00786754"/>
    <w:rPr>
      <w:color w:val="2B579A"/>
      <w:shd w:val="clear" w:color="auto" w:fill="E1DFDD"/>
    </w:rPr>
  </w:style>
  <w:style w:type="paragraph" w:customStyle="1" w:styleId="paragraph">
    <w:name w:val="paragraph"/>
    <w:basedOn w:val="Normal"/>
    <w:rsid w:val="00786754"/>
    <w:pPr>
      <w:spacing w:before="100" w:beforeAutospacing="1" w:after="100" w:afterAutospacing="1"/>
    </w:pPr>
    <w:rPr>
      <w:rFonts w:ascii="Calibri" w:eastAsiaTheme="minorHAnsi" w:hAnsi="Calibri" w:cs="Calibri"/>
      <w:sz w:val="22"/>
      <w:szCs w:val="22"/>
      <w:lang w:eastAsia="en-AU"/>
    </w:rPr>
  </w:style>
  <w:style w:type="character" w:customStyle="1" w:styleId="normaltextrun">
    <w:name w:val="normaltextrun"/>
    <w:basedOn w:val="DefaultParagraphFont"/>
    <w:rsid w:val="00786754"/>
  </w:style>
  <w:style w:type="character" w:customStyle="1" w:styleId="eop">
    <w:name w:val="eop"/>
    <w:basedOn w:val="DefaultParagraphFont"/>
    <w:rsid w:val="00786754"/>
  </w:style>
  <w:style w:type="paragraph" w:customStyle="1" w:styleId="Documenttitle">
    <w:name w:val="Document title"/>
    <w:uiPriority w:val="8"/>
    <w:rsid w:val="00786754"/>
    <w:pPr>
      <w:spacing w:after="240" w:line="560" w:lineRule="atLeast"/>
    </w:pPr>
    <w:rPr>
      <w:rFonts w:ascii="Arial" w:hAnsi="Arial"/>
      <w:b/>
      <w:color w:val="201547"/>
      <w:sz w:val="48"/>
      <w:szCs w:val="50"/>
      <w:lang w:eastAsia="en-US"/>
    </w:rPr>
  </w:style>
  <w:style w:type="paragraph" w:customStyle="1" w:styleId="Bulletafternumbers1">
    <w:name w:val="Bullet after numbers 1"/>
    <w:basedOn w:val="Normal"/>
    <w:uiPriority w:val="4"/>
    <w:rsid w:val="00786754"/>
    <w:pPr>
      <w:numPr>
        <w:ilvl w:val="2"/>
        <w:numId w:val="7"/>
      </w:numPr>
      <w:spacing w:after="120" w:line="280" w:lineRule="atLeast"/>
    </w:pPr>
    <w:rPr>
      <w:rFonts w:ascii="Arial" w:eastAsia="Times" w:hAnsi="Arial"/>
      <w:sz w:val="21"/>
    </w:rPr>
  </w:style>
  <w:style w:type="paragraph" w:customStyle="1" w:styleId="Documentsubtitle">
    <w:name w:val="Document subtitle"/>
    <w:uiPriority w:val="8"/>
    <w:rsid w:val="00786754"/>
    <w:pPr>
      <w:spacing w:after="120"/>
    </w:pPr>
    <w:rPr>
      <w:rFonts w:ascii="Arial" w:hAnsi="Arial"/>
      <w:color w:val="53565A"/>
      <w:sz w:val="28"/>
      <w:szCs w:val="24"/>
      <w:lang w:eastAsia="en-US"/>
    </w:rPr>
  </w:style>
  <w:style w:type="numbering" w:customStyle="1" w:styleId="ZZNumbersdigit">
    <w:name w:val="ZZ Numbers digit"/>
    <w:rsid w:val="00786754"/>
    <w:pPr>
      <w:numPr>
        <w:numId w:val="7"/>
      </w:numPr>
    </w:pPr>
  </w:style>
  <w:style w:type="paragraph" w:customStyle="1" w:styleId="Numberdigit">
    <w:name w:val="Number digit"/>
    <w:basedOn w:val="Normal"/>
    <w:uiPriority w:val="2"/>
    <w:rsid w:val="00786754"/>
    <w:pPr>
      <w:numPr>
        <w:numId w:val="7"/>
      </w:numPr>
      <w:spacing w:after="120" w:line="280" w:lineRule="atLeast"/>
    </w:pPr>
    <w:rPr>
      <w:rFonts w:ascii="Arial" w:eastAsia="Times" w:hAnsi="Arial"/>
      <w:sz w:val="21"/>
    </w:rPr>
  </w:style>
  <w:style w:type="paragraph" w:customStyle="1" w:styleId="Numberdigitindent">
    <w:name w:val="Number digit indent"/>
    <w:basedOn w:val="Normal"/>
    <w:uiPriority w:val="3"/>
    <w:rsid w:val="00786754"/>
    <w:pPr>
      <w:numPr>
        <w:ilvl w:val="1"/>
        <w:numId w:val="7"/>
      </w:numPr>
      <w:spacing w:after="120" w:line="280" w:lineRule="atLeast"/>
    </w:pPr>
    <w:rPr>
      <w:rFonts w:ascii="Arial" w:eastAsia="Times" w:hAnsi="Arial"/>
      <w:sz w:val="21"/>
    </w:rPr>
  </w:style>
  <w:style w:type="paragraph" w:customStyle="1" w:styleId="Bulletafternumbers2">
    <w:name w:val="Bullet after numbers 2"/>
    <w:basedOn w:val="Normal"/>
    <w:rsid w:val="00786754"/>
    <w:pPr>
      <w:numPr>
        <w:ilvl w:val="3"/>
        <w:numId w:val="7"/>
      </w:numPr>
      <w:spacing w:after="120" w:line="280" w:lineRule="atLeast"/>
    </w:pPr>
    <w:rPr>
      <w:rFonts w:ascii="Arial" w:eastAsia="Times" w:hAnsi="Arial"/>
      <w:sz w:val="21"/>
    </w:rPr>
  </w:style>
  <w:style w:type="paragraph" w:customStyle="1" w:styleId="Bannermarking">
    <w:name w:val="Banner marking"/>
    <w:basedOn w:val="Normal"/>
    <w:uiPriority w:val="11"/>
    <w:rsid w:val="00786754"/>
    <w:pPr>
      <w:spacing w:line="280" w:lineRule="atLeast"/>
    </w:pPr>
    <w:rPr>
      <w:rFonts w:ascii="Arial" w:eastAsia="Times" w:hAnsi="Arial"/>
      <w:b/>
      <w:bCs/>
      <w:color w:val="000000" w:themeColor="text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5554">
      <w:bodyDiv w:val="1"/>
      <w:marLeft w:val="0"/>
      <w:marRight w:val="0"/>
      <w:marTop w:val="0"/>
      <w:marBottom w:val="0"/>
      <w:divBdr>
        <w:top w:val="none" w:sz="0" w:space="0" w:color="auto"/>
        <w:left w:val="none" w:sz="0" w:space="0" w:color="auto"/>
        <w:bottom w:val="none" w:sz="0" w:space="0" w:color="auto"/>
        <w:right w:val="none" w:sz="0" w:space="0" w:color="auto"/>
      </w:divBdr>
    </w:div>
    <w:div w:id="1981459">
      <w:bodyDiv w:val="1"/>
      <w:marLeft w:val="0"/>
      <w:marRight w:val="0"/>
      <w:marTop w:val="0"/>
      <w:marBottom w:val="0"/>
      <w:divBdr>
        <w:top w:val="none" w:sz="0" w:space="0" w:color="auto"/>
        <w:left w:val="none" w:sz="0" w:space="0" w:color="auto"/>
        <w:bottom w:val="none" w:sz="0" w:space="0" w:color="auto"/>
        <w:right w:val="none" w:sz="0" w:space="0" w:color="auto"/>
      </w:divBdr>
    </w:div>
    <w:div w:id="3485932">
      <w:bodyDiv w:val="1"/>
      <w:marLeft w:val="0"/>
      <w:marRight w:val="0"/>
      <w:marTop w:val="0"/>
      <w:marBottom w:val="0"/>
      <w:divBdr>
        <w:top w:val="none" w:sz="0" w:space="0" w:color="auto"/>
        <w:left w:val="none" w:sz="0" w:space="0" w:color="auto"/>
        <w:bottom w:val="none" w:sz="0" w:space="0" w:color="auto"/>
        <w:right w:val="none" w:sz="0" w:space="0" w:color="auto"/>
      </w:divBdr>
    </w:div>
    <w:div w:id="4014871">
      <w:bodyDiv w:val="1"/>
      <w:marLeft w:val="0"/>
      <w:marRight w:val="0"/>
      <w:marTop w:val="0"/>
      <w:marBottom w:val="0"/>
      <w:divBdr>
        <w:top w:val="none" w:sz="0" w:space="0" w:color="auto"/>
        <w:left w:val="none" w:sz="0" w:space="0" w:color="auto"/>
        <w:bottom w:val="none" w:sz="0" w:space="0" w:color="auto"/>
        <w:right w:val="none" w:sz="0" w:space="0" w:color="auto"/>
      </w:divBdr>
    </w:div>
    <w:div w:id="4404370">
      <w:bodyDiv w:val="1"/>
      <w:marLeft w:val="0"/>
      <w:marRight w:val="0"/>
      <w:marTop w:val="0"/>
      <w:marBottom w:val="0"/>
      <w:divBdr>
        <w:top w:val="none" w:sz="0" w:space="0" w:color="auto"/>
        <w:left w:val="none" w:sz="0" w:space="0" w:color="auto"/>
        <w:bottom w:val="none" w:sz="0" w:space="0" w:color="auto"/>
        <w:right w:val="none" w:sz="0" w:space="0" w:color="auto"/>
      </w:divBdr>
    </w:div>
    <w:div w:id="4523079">
      <w:bodyDiv w:val="1"/>
      <w:marLeft w:val="0"/>
      <w:marRight w:val="0"/>
      <w:marTop w:val="0"/>
      <w:marBottom w:val="0"/>
      <w:divBdr>
        <w:top w:val="none" w:sz="0" w:space="0" w:color="auto"/>
        <w:left w:val="none" w:sz="0" w:space="0" w:color="auto"/>
        <w:bottom w:val="none" w:sz="0" w:space="0" w:color="auto"/>
        <w:right w:val="none" w:sz="0" w:space="0" w:color="auto"/>
      </w:divBdr>
    </w:div>
    <w:div w:id="5406235">
      <w:bodyDiv w:val="1"/>
      <w:marLeft w:val="0"/>
      <w:marRight w:val="0"/>
      <w:marTop w:val="0"/>
      <w:marBottom w:val="0"/>
      <w:divBdr>
        <w:top w:val="none" w:sz="0" w:space="0" w:color="auto"/>
        <w:left w:val="none" w:sz="0" w:space="0" w:color="auto"/>
        <w:bottom w:val="none" w:sz="0" w:space="0" w:color="auto"/>
        <w:right w:val="none" w:sz="0" w:space="0" w:color="auto"/>
      </w:divBdr>
    </w:div>
    <w:div w:id="12727057">
      <w:bodyDiv w:val="1"/>
      <w:marLeft w:val="0"/>
      <w:marRight w:val="0"/>
      <w:marTop w:val="0"/>
      <w:marBottom w:val="0"/>
      <w:divBdr>
        <w:top w:val="none" w:sz="0" w:space="0" w:color="auto"/>
        <w:left w:val="none" w:sz="0" w:space="0" w:color="auto"/>
        <w:bottom w:val="none" w:sz="0" w:space="0" w:color="auto"/>
        <w:right w:val="none" w:sz="0" w:space="0" w:color="auto"/>
      </w:divBdr>
    </w:div>
    <w:div w:id="13046630">
      <w:bodyDiv w:val="1"/>
      <w:marLeft w:val="0"/>
      <w:marRight w:val="0"/>
      <w:marTop w:val="0"/>
      <w:marBottom w:val="0"/>
      <w:divBdr>
        <w:top w:val="none" w:sz="0" w:space="0" w:color="auto"/>
        <w:left w:val="none" w:sz="0" w:space="0" w:color="auto"/>
        <w:bottom w:val="none" w:sz="0" w:space="0" w:color="auto"/>
        <w:right w:val="none" w:sz="0" w:space="0" w:color="auto"/>
      </w:divBdr>
    </w:div>
    <w:div w:id="18701253">
      <w:bodyDiv w:val="1"/>
      <w:marLeft w:val="0"/>
      <w:marRight w:val="0"/>
      <w:marTop w:val="0"/>
      <w:marBottom w:val="0"/>
      <w:divBdr>
        <w:top w:val="none" w:sz="0" w:space="0" w:color="auto"/>
        <w:left w:val="none" w:sz="0" w:space="0" w:color="auto"/>
        <w:bottom w:val="none" w:sz="0" w:space="0" w:color="auto"/>
        <w:right w:val="none" w:sz="0" w:space="0" w:color="auto"/>
      </w:divBdr>
    </w:div>
    <w:div w:id="19550524">
      <w:bodyDiv w:val="1"/>
      <w:marLeft w:val="0"/>
      <w:marRight w:val="0"/>
      <w:marTop w:val="0"/>
      <w:marBottom w:val="0"/>
      <w:divBdr>
        <w:top w:val="none" w:sz="0" w:space="0" w:color="auto"/>
        <w:left w:val="none" w:sz="0" w:space="0" w:color="auto"/>
        <w:bottom w:val="none" w:sz="0" w:space="0" w:color="auto"/>
        <w:right w:val="none" w:sz="0" w:space="0" w:color="auto"/>
      </w:divBdr>
    </w:div>
    <w:div w:id="21513098">
      <w:bodyDiv w:val="1"/>
      <w:marLeft w:val="0"/>
      <w:marRight w:val="0"/>
      <w:marTop w:val="0"/>
      <w:marBottom w:val="0"/>
      <w:divBdr>
        <w:top w:val="none" w:sz="0" w:space="0" w:color="auto"/>
        <w:left w:val="none" w:sz="0" w:space="0" w:color="auto"/>
        <w:bottom w:val="none" w:sz="0" w:space="0" w:color="auto"/>
        <w:right w:val="none" w:sz="0" w:space="0" w:color="auto"/>
      </w:divBdr>
    </w:div>
    <w:div w:id="25260976">
      <w:bodyDiv w:val="1"/>
      <w:marLeft w:val="0"/>
      <w:marRight w:val="0"/>
      <w:marTop w:val="0"/>
      <w:marBottom w:val="0"/>
      <w:divBdr>
        <w:top w:val="none" w:sz="0" w:space="0" w:color="auto"/>
        <w:left w:val="none" w:sz="0" w:space="0" w:color="auto"/>
        <w:bottom w:val="none" w:sz="0" w:space="0" w:color="auto"/>
        <w:right w:val="none" w:sz="0" w:space="0" w:color="auto"/>
      </w:divBdr>
    </w:div>
    <w:div w:id="27068864">
      <w:bodyDiv w:val="1"/>
      <w:marLeft w:val="0"/>
      <w:marRight w:val="0"/>
      <w:marTop w:val="0"/>
      <w:marBottom w:val="0"/>
      <w:divBdr>
        <w:top w:val="none" w:sz="0" w:space="0" w:color="auto"/>
        <w:left w:val="none" w:sz="0" w:space="0" w:color="auto"/>
        <w:bottom w:val="none" w:sz="0" w:space="0" w:color="auto"/>
        <w:right w:val="none" w:sz="0" w:space="0" w:color="auto"/>
      </w:divBdr>
    </w:div>
    <w:div w:id="27069738">
      <w:bodyDiv w:val="1"/>
      <w:marLeft w:val="0"/>
      <w:marRight w:val="0"/>
      <w:marTop w:val="0"/>
      <w:marBottom w:val="0"/>
      <w:divBdr>
        <w:top w:val="none" w:sz="0" w:space="0" w:color="auto"/>
        <w:left w:val="none" w:sz="0" w:space="0" w:color="auto"/>
        <w:bottom w:val="none" w:sz="0" w:space="0" w:color="auto"/>
        <w:right w:val="none" w:sz="0" w:space="0" w:color="auto"/>
      </w:divBdr>
    </w:div>
    <w:div w:id="27612480">
      <w:bodyDiv w:val="1"/>
      <w:marLeft w:val="0"/>
      <w:marRight w:val="0"/>
      <w:marTop w:val="0"/>
      <w:marBottom w:val="0"/>
      <w:divBdr>
        <w:top w:val="none" w:sz="0" w:space="0" w:color="auto"/>
        <w:left w:val="none" w:sz="0" w:space="0" w:color="auto"/>
        <w:bottom w:val="none" w:sz="0" w:space="0" w:color="auto"/>
        <w:right w:val="none" w:sz="0" w:space="0" w:color="auto"/>
      </w:divBdr>
    </w:div>
    <w:div w:id="33966062">
      <w:bodyDiv w:val="1"/>
      <w:marLeft w:val="0"/>
      <w:marRight w:val="0"/>
      <w:marTop w:val="0"/>
      <w:marBottom w:val="0"/>
      <w:divBdr>
        <w:top w:val="none" w:sz="0" w:space="0" w:color="auto"/>
        <w:left w:val="none" w:sz="0" w:space="0" w:color="auto"/>
        <w:bottom w:val="none" w:sz="0" w:space="0" w:color="auto"/>
        <w:right w:val="none" w:sz="0" w:space="0" w:color="auto"/>
      </w:divBdr>
    </w:div>
    <w:div w:id="34895629">
      <w:bodyDiv w:val="1"/>
      <w:marLeft w:val="0"/>
      <w:marRight w:val="0"/>
      <w:marTop w:val="0"/>
      <w:marBottom w:val="0"/>
      <w:divBdr>
        <w:top w:val="none" w:sz="0" w:space="0" w:color="auto"/>
        <w:left w:val="none" w:sz="0" w:space="0" w:color="auto"/>
        <w:bottom w:val="none" w:sz="0" w:space="0" w:color="auto"/>
        <w:right w:val="none" w:sz="0" w:space="0" w:color="auto"/>
      </w:divBdr>
    </w:div>
    <w:div w:id="39135956">
      <w:bodyDiv w:val="1"/>
      <w:marLeft w:val="0"/>
      <w:marRight w:val="0"/>
      <w:marTop w:val="0"/>
      <w:marBottom w:val="0"/>
      <w:divBdr>
        <w:top w:val="none" w:sz="0" w:space="0" w:color="auto"/>
        <w:left w:val="none" w:sz="0" w:space="0" w:color="auto"/>
        <w:bottom w:val="none" w:sz="0" w:space="0" w:color="auto"/>
        <w:right w:val="none" w:sz="0" w:space="0" w:color="auto"/>
      </w:divBdr>
    </w:div>
    <w:div w:id="42023949">
      <w:bodyDiv w:val="1"/>
      <w:marLeft w:val="0"/>
      <w:marRight w:val="0"/>
      <w:marTop w:val="0"/>
      <w:marBottom w:val="0"/>
      <w:divBdr>
        <w:top w:val="none" w:sz="0" w:space="0" w:color="auto"/>
        <w:left w:val="none" w:sz="0" w:space="0" w:color="auto"/>
        <w:bottom w:val="none" w:sz="0" w:space="0" w:color="auto"/>
        <w:right w:val="none" w:sz="0" w:space="0" w:color="auto"/>
      </w:divBdr>
    </w:div>
    <w:div w:id="63384067">
      <w:bodyDiv w:val="1"/>
      <w:marLeft w:val="0"/>
      <w:marRight w:val="0"/>
      <w:marTop w:val="0"/>
      <w:marBottom w:val="0"/>
      <w:divBdr>
        <w:top w:val="none" w:sz="0" w:space="0" w:color="auto"/>
        <w:left w:val="none" w:sz="0" w:space="0" w:color="auto"/>
        <w:bottom w:val="none" w:sz="0" w:space="0" w:color="auto"/>
        <w:right w:val="none" w:sz="0" w:space="0" w:color="auto"/>
      </w:divBdr>
    </w:div>
    <w:div w:id="68427240">
      <w:bodyDiv w:val="1"/>
      <w:marLeft w:val="0"/>
      <w:marRight w:val="0"/>
      <w:marTop w:val="0"/>
      <w:marBottom w:val="0"/>
      <w:divBdr>
        <w:top w:val="none" w:sz="0" w:space="0" w:color="auto"/>
        <w:left w:val="none" w:sz="0" w:space="0" w:color="auto"/>
        <w:bottom w:val="none" w:sz="0" w:space="0" w:color="auto"/>
        <w:right w:val="none" w:sz="0" w:space="0" w:color="auto"/>
      </w:divBdr>
    </w:div>
    <w:div w:id="68891130">
      <w:bodyDiv w:val="1"/>
      <w:marLeft w:val="0"/>
      <w:marRight w:val="0"/>
      <w:marTop w:val="0"/>
      <w:marBottom w:val="0"/>
      <w:divBdr>
        <w:top w:val="none" w:sz="0" w:space="0" w:color="auto"/>
        <w:left w:val="none" w:sz="0" w:space="0" w:color="auto"/>
        <w:bottom w:val="none" w:sz="0" w:space="0" w:color="auto"/>
        <w:right w:val="none" w:sz="0" w:space="0" w:color="auto"/>
      </w:divBdr>
    </w:div>
    <w:div w:id="70278981">
      <w:bodyDiv w:val="1"/>
      <w:marLeft w:val="0"/>
      <w:marRight w:val="0"/>
      <w:marTop w:val="0"/>
      <w:marBottom w:val="0"/>
      <w:divBdr>
        <w:top w:val="none" w:sz="0" w:space="0" w:color="auto"/>
        <w:left w:val="none" w:sz="0" w:space="0" w:color="auto"/>
        <w:bottom w:val="none" w:sz="0" w:space="0" w:color="auto"/>
        <w:right w:val="none" w:sz="0" w:space="0" w:color="auto"/>
      </w:divBdr>
    </w:div>
    <w:div w:id="71661532">
      <w:bodyDiv w:val="1"/>
      <w:marLeft w:val="0"/>
      <w:marRight w:val="0"/>
      <w:marTop w:val="0"/>
      <w:marBottom w:val="0"/>
      <w:divBdr>
        <w:top w:val="none" w:sz="0" w:space="0" w:color="auto"/>
        <w:left w:val="none" w:sz="0" w:space="0" w:color="auto"/>
        <w:bottom w:val="none" w:sz="0" w:space="0" w:color="auto"/>
        <w:right w:val="none" w:sz="0" w:space="0" w:color="auto"/>
      </w:divBdr>
    </w:div>
    <w:div w:id="73743478">
      <w:bodyDiv w:val="1"/>
      <w:marLeft w:val="0"/>
      <w:marRight w:val="0"/>
      <w:marTop w:val="0"/>
      <w:marBottom w:val="0"/>
      <w:divBdr>
        <w:top w:val="none" w:sz="0" w:space="0" w:color="auto"/>
        <w:left w:val="none" w:sz="0" w:space="0" w:color="auto"/>
        <w:bottom w:val="none" w:sz="0" w:space="0" w:color="auto"/>
        <w:right w:val="none" w:sz="0" w:space="0" w:color="auto"/>
      </w:divBdr>
    </w:div>
    <w:div w:id="76562512">
      <w:bodyDiv w:val="1"/>
      <w:marLeft w:val="0"/>
      <w:marRight w:val="0"/>
      <w:marTop w:val="0"/>
      <w:marBottom w:val="0"/>
      <w:divBdr>
        <w:top w:val="none" w:sz="0" w:space="0" w:color="auto"/>
        <w:left w:val="none" w:sz="0" w:space="0" w:color="auto"/>
        <w:bottom w:val="none" w:sz="0" w:space="0" w:color="auto"/>
        <w:right w:val="none" w:sz="0" w:space="0" w:color="auto"/>
      </w:divBdr>
    </w:div>
    <w:div w:id="78407248">
      <w:bodyDiv w:val="1"/>
      <w:marLeft w:val="0"/>
      <w:marRight w:val="0"/>
      <w:marTop w:val="0"/>
      <w:marBottom w:val="0"/>
      <w:divBdr>
        <w:top w:val="none" w:sz="0" w:space="0" w:color="auto"/>
        <w:left w:val="none" w:sz="0" w:space="0" w:color="auto"/>
        <w:bottom w:val="none" w:sz="0" w:space="0" w:color="auto"/>
        <w:right w:val="none" w:sz="0" w:space="0" w:color="auto"/>
      </w:divBdr>
    </w:div>
    <w:div w:id="79106400">
      <w:bodyDiv w:val="1"/>
      <w:marLeft w:val="0"/>
      <w:marRight w:val="0"/>
      <w:marTop w:val="0"/>
      <w:marBottom w:val="0"/>
      <w:divBdr>
        <w:top w:val="none" w:sz="0" w:space="0" w:color="auto"/>
        <w:left w:val="none" w:sz="0" w:space="0" w:color="auto"/>
        <w:bottom w:val="none" w:sz="0" w:space="0" w:color="auto"/>
        <w:right w:val="none" w:sz="0" w:space="0" w:color="auto"/>
      </w:divBdr>
    </w:div>
    <w:div w:id="84037501">
      <w:bodyDiv w:val="1"/>
      <w:marLeft w:val="0"/>
      <w:marRight w:val="0"/>
      <w:marTop w:val="0"/>
      <w:marBottom w:val="0"/>
      <w:divBdr>
        <w:top w:val="none" w:sz="0" w:space="0" w:color="auto"/>
        <w:left w:val="none" w:sz="0" w:space="0" w:color="auto"/>
        <w:bottom w:val="none" w:sz="0" w:space="0" w:color="auto"/>
        <w:right w:val="none" w:sz="0" w:space="0" w:color="auto"/>
      </w:divBdr>
    </w:div>
    <w:div w:id="88281415">
      <w:bodyDiv w:val="1"/>
      <w:marLeft w:val="0"/>
      <w:marRight w:val="0"/>
      <w:marTop w:val="0"/>
      <w:marBottom w:val="0"/>
      <w:divBdr>
        <w:top w:val="none" w:sz="0" w:space="0" w:color="auto"/>
        <w:left w:val="none" w:sz="0" w:space="0" w:color="auto"/>
        <w:bottom w:val="none" w:sz="0" w:space="0" w:color="auto"/>
        <w:right w:val="none" w:sz="0" w:space="0" w:color="auto"/>
      </w:divBdr>
    </w:div>
    <w:div w:id="93861336">
      <w:bodyDiv w:val="1"/>
      <w:marLeft w:val="0"/>
      <w:marRight w:val="0"/>
      <w:marTop w:val="0"/>
      <w:marBottom w:val="0"/>
      <w:divBdr>
        <w:top w:val="none" w:sz="0" w:space="0" w:color="auto"/>
        <w:left w:val="none" w:sz="0" w:space="0" w:color="auto"/>
        <w:bottom w:val="none" w:sz="0" w:space="0" w:color="auto"/>
        <w:right w:val="none" w:sz="0" w:space="0" w:color="auto"/>
      </w:divBdr>
    </w:div>
    <w:div w:id="101464665">
      <w:bodyDiv w:val="1"/>
      <w:marLeft w:val="0"/>
      <w:marRight w:val="0"/>
      <w:marTop w:val="0"/>
      <w:marBottom w:val="0"/>
      <w:divBdr>
        <w:top w:val="none" w:sz="0" w:space="0" w:color="auto"/>
        <w:left w:val="none" w:sz="0" w:space="0" w:color="auto"/>
        <w:bottom w:val="none" w:sz="0" w:space="0" w:color="auto"/>
        <w:right w:val="none" w:sz="0" w:space="0" w:color="auto"/>
      </w:divBdr>
    </w:div>
    <w:div w:id="103229915">
      <w:bodyDiv w:val="1"/>
      <w:marLeft w:val="0"/>
      <w:marRight w:val="0"/>
      <w:marTop w:val="0"/>
      <w:marBottom w:val="0"/>
      <w:divBdr>
        <w:top w:val="none" w:sz="0" w:space="0" w:color="auto"/>
        <w:left w:val="none" w:sz="0" w:space="0" w:color="auto"/>
        <w:bottom w:val="none" w:sz="0" w:space="0" w:color="auto"/>
        <w:right w:val="none" w:sz="0" w:space="0" w:color="auto"/>
      </w:divBdr>
    </w:div>
    <w:div w:id="108011866">
      <w:bodyDiv w:val="1"/>
      <w:marLeft w:val="0"/>
      <w:marRight w:val="0"/>
      <w:marTop w:val="0"/>
      <w:marBottom w:val="0"/>
      <w:divBdr>
        <w:top w:val="none" w:sz="0" w:space="0" w:color="auto"/>
        <w:left w:val="none" w:sz="0" w:space="0" w:color="auto"/>
        <w:bottom w:val="none" w:sz="0" w:space="0" w:color="auto"/>
        <w:right w:val="none" w:sz="0" w:space="0" w:color="auto"/>
      </w:divBdr>
    </w:div>
    <w:div w:id="117064686">
      <w:bodyDiv w:val="1"/>
      <w:marLeft w:val="0"/>
      <w:marRight w:val="0"/>
      <w:marTop w:val="0"/>
      <w:marBottom w:val="0"/>
      <w:divBdr>
        <w:top w:val="none" w:sz="0" w:space="0" w:color="auto"/>
        <w:left w:val="none" w:sz="0" w:space="0" w:color="auto"/>
        <w:bottom w:val="none" w:sz="0" w:space="0" w:color="auto"/>
        <w:right w:val="none" w:sz="0" w:space="0" w:color="auto"/>
      </w:divBdr>
    </w:div>
    <w:div w:id="118376782">
      <w:bodyDiv w:val="1"/>
      <w:marLeft w:val="0"/>
      <w:marRight w:val="0"/>
      <w:marTop w:val="0"/>
      <w:marBottom w:val="0"/>
      <w:divBdr>
        <w:top w:val="none" w:sz="0" w:space="0" w:color="auto"/>
        <w:left w:val="none" w:sz="0" w:space="0" w:color="auto"/>
        <w:bottom w:val="none" w:sz="0" w:space="0" w:color="auto"/>
        <w:right w:val="none" w:sz="0" w:space="0" w:color="auto"/>
      </w:divBdr>
    </w:div>
    <w:div w:id="121700899">
      <w:bodyDiv w:val="1"/>
      <w:marLeft w:val="0"/>
      <w:marRight w:val="0"/>
      <w:marTop w:val="0"/>
      <w:marBottom w:val="0"/>
      <w:divBdr>
        <w:top w:val="none" w:sz="0" w:space="0" w:color="auto"/>
        <w:left w:val="none" w:sz="0" w:space="0" w:color="auto"/>
        <w:bottom w:val="none" w:sz="0" w:space="0" w:color="auto"/>
        <w:right w:val="none" w:sz="0" w:space="0" w:color="auto"/>
      </w:divBdr>
    </w:div>
    <w:div w:id="123743513">
      <w:bodyDiv w:val="1"/>
      <w:marLeft w:val="0"/>
      <w:marRight w:val="0"/>
      <w:marTop w:val="0"/>
      <w:marBottom w:val="0"/>
      <w:divBdr>
        <w:top w:val="none" w:sz="0" w:space="0" w:color="auto"/>
        <w:left w:val="none" w:sz="0" w:space="0" w:color="auto"/>
        <w:bottom w:val="none" w:sz="0" w:space="0" w:color="auto"/>
        <w:right w:val="none" w:sz="0" w:space="0" w:color="auto"/>
      </w:divBdr>
    </w:div>
    <w:div w:id="130749930">
      <w:bodyDiv w:val="1"/>
      <w:marLeft w:val="0"/>
      <w:marRight w:val="0"/>
      <w:marTop w:val="0"/>
      <w:marBottom w:val="0"/>
      <w:divBdr>
        <w:top w:val="none" w:sz="0" w:space="0" w:color="auto"/>
        <w:left w:val="none" w:sz="0" w:space="0" w:color="auto"/>
        <w:bottom w:val="none" w:sz="0" w:space="0" w:color="auto"/>
        <w:right w:val="none" w:sz="0" w:space="0" w:color="auto"/>
      </w:divBdr>
    </w:div>
    <w:div w:id="131294731">
      <w:bodyDiv w:val="1"/>
      <w:marLeft w:val="0"/>
      <w:marRight w:val="0"/>
      <w:marTop w:val="0"/>
      <w:marBottom w:val="0"/>
      <w:divBdr>
        <w:top w:val="none" w:sz="0" w:space="0" w:color="auto"/>
        <w:left w:val="none" w:sz="0" w:space="0" w:color="auto"/>
        <w:bottom w:val="none" w:sz="0" w:space="0" w:color="auto"/>
        <w:right w:val="none" w:sz="0" w:space="0" w:color="auto"/>
      </w:divBdr>
    </w:div>
    <w:div w:id="134034588">
      <w:bodyDiv w:val="1"/>
      <w:marLeft w:val="0"/>
      <w:marRight w:val="0"/>
      <w:marTop w:val="0"/>
      <w:marBottom w:val="0"/>
      <w:divBdr>
        <w:top w:val="none" w:sz="0" w:space="0" w:color="auto"/>
        <w:left w:val="none" w:sz="0" w:space="0" w:color="auto"/>
        <w:bottom w:val="none" w:sz="0" w:space="0" w:color="auto"/>
        <w:right w:val="none" w:sz="0" w:space="0" w:color="auto"/>
      </w:divBdr>
    </w:div>
    <w:div w:id="137112807">
      <w:bodyDiv w:val="1"/>
      <w:marLeft w:val="0"/>
      <w:marRight w:val="0"/>
      <w:marTop w:val="0"/>
      <w:marBottom w:val="0"/>
      <w:divBdr>
        <w:top w:val="none" w:sz="0" w:space="0" w:color="auto"/>
        <w:left w:val="none" w:sz="0" w:space="0" w:color="auto"/>
        <w:bottom w:val="none" w:sz="0" w:space="0" w:color="auto"/>
        <w:right w:val="none" w:sz="0" w:space="0" w:color="auto"/>
      </w:divBdr>
    </w:div>
    <w:div w:id="143620999">
      <w:bodyDiv w:val="1"/>
      <w:marLeft w:val="0"/>
      <w:marRight w:val="0"/>
      <w:marTop w:val="0"/>
      <w:marBottom w:val="0"/>
      <w:divBdr>
        <w:top w:val="none" w:sz="0" w:space="0" w:color="auto"/>
        <w:left w:val="none" w:sz="0" w:space="0" w:color="auto"/>
        <w:bottom w:val="none" w:sz="0" w:space="0" w:color="auto"/>
        <w:right w:val="none" w:sz="0" w:space="0" w:color="auto"/>
      </w:divBdr>
    </w:div>
    <w:div w:id="146170791">
      <w:bodyDiv w:val="1"/>
      <w:marLeft w:val="0"/>
      <w:marRight w:val="0"/>
      <w:marTop w:val="0"/>
      <w:marBottom w:val="0"/>
      <w:divBdr>
        <w:top w:val="none" w:sz="0" w:space="0" w:color="auto"/>
        <w:left w:val="none" w:sz="0" w:space="0" w:color="auto"/>
        <w:bottom w:val="none" w:sz="0" w:space="0" w:color="auto"/>
        <w:right w:val="none" w:sz="0" w:space="0" w:color="auto"/>
      </w:divBdr>
    </w:div>
    <w:div w:id="146287790">
      <w:bodyDiv w:val="1"/>
      <w:marLeft w:val="0"/>
      <w:marRight w:val="0"/>
      <w:marTop w:val="0"/>
      <w:marBottom w:val="0"/>
      <w:divBdr>
        <w:top w:val="none" w:sz="0" w:space="0" w:color="auto"/>
        <w:left w:val="none" w:sz="0" w:space="0" w:color="auto"/>
        <w:bottom w:val="none" w:sz="0" w:space="0" w:color="auto"/>
        <w:right w:val="none" w:sz="0" w:space="0" w:color="auto"/>
      </w:divBdr>
    </w:div>
    <w:div w:id="150677926">
      <w:bodyDiv w:val="1"/>
      <w:marLeft w:val="0"/>
      <w:marRight w:val="0"/>
      <w:marTop w:val="0"/>
      <w:marBottom w:val="0"/>
      <w:divBdr>
        <w:top w:val="none" w:sz="0" w:space="0" w:color="auto"/>
        <w:left w:val="none" w:sz="0" w:space="0" w:color="auto"/>
        <w:bottom w:val="none" w:sz="0" w:space="0" w:color="auto"/>
        <w:right w:val="none" w:sz="0" w:space="0" w:color="auto"/>
      </w:divBdr>
    </w:div>
    <w:div w:id="151726758">
      <w:bodyDiv w:val="1"/>
      <w:marLeft w:val="0"/>
      <w:marRight w:val="0"/>
      <w:marTop w:val="0"/>
      <w:marBottom w:val="0"/>
      <w:divBdr>
        <w:top w:val="none" w:sz="0" w:space="0" w:color="auto"/>
        <w:left w:val="none" w:sz="0" w:space="0" w:color="auto"/>
        <w:bottom w:val="none" w:sz="0" w:space="0" w:color="auto"/>
        <w:right w:val="none" w:sz="0" w:space="0" w:color="auto"/>
      </w:divBdr>
    </w:div>
    <w:div w:id="155153682">
      <w:bodyDiv w:val="1"/>
      <w:marLeft w:val="0"/>
      <w:marRight w:val="0"/>
      <w:marTop w:val="0"/>
      <w:marBottom w:val="0"/>
      <w:divBdr>
        <w:top w:val="none" w:sz="0" w:space="0" w:color="auto"/>
        <w:left w:val="none" w:sz="0" w:space="0" w:color="auto"/>
        <w:bottom w:val="none" w:sz="0" w:space="0" w:color="auto"/>
        <w:right w:val="none" w:sz="0" w:space="0" w:color="auto"/>
      </w:divBdr>
    </w:div>
    <w:div w:id="160237281">
      <w:bodyDiv w:val="1"/>
      <w:marLeft w:val="0"/>
      <w:marRight w:val="0"/>
      <w:marTop w:val="0"/>
      <w:marBottom w:val="0"/>
      <w:divBdr>
        <w:top w:val="none" w:sz="0" w:space="0" w:color="auto"/>
        <w:left w:val="none" w:sz="0" w:space="0" w:color="auto"/>
        <w:bottom w:val="none" w:sz="0" w:space="0" w:color="auto"/>
        <w:right w:val="none" w:sz="0" w:space="0" w:color="auto"/>
      </w:divBdr>
    </w:div>
    <w:div w:id="173148835">
      <w:bodyDiv w:val="1"/>
      <w:marLeft w:val="0"/>
      <w:marRight w:val="0"/>
      <w:marTop w:val="0"/>
      <w:marBottom w:val="0"/>
      <w:divBdr>
        <w:top w:val="none" w:sz="0" w:space="0" w:color="auto"/>
        <w:left w:val="none" w:sz="0" w:space="0" w:color="auto"/>
        <w:bottom w:val="none" w:sz="0" w:space="0" w:color="auto"/>
        <w:right w:val="none" w:sz="0" w:space="0" w:color="auto"/>
      </w:divBdr>
    </w:div>
    <w:div w:id="185559288">
      <w:bodyDiv w:val="1"/>
      <w:marLeft w:val="0"/>
      <w:marRight w:val="0"/>
      <w:marTop w:val="0"/>
      <w:marBottom w:val="0"/>
      <w:divBdr>
        <w:top w:val="none" w:sz="0" w:space="0" w:color="auto"/>
        <w:left w:val="none" w:sz="0" w:space="0" w:color="auto"/>
        <w:bottom w:val="none" w:sz="0" w:space="0" w:color="auto"/>
        <w:right w:val="none" w:sz="0" w:space="0" w:color="auto"/>
      </w:divBdr>
    </w:div>
    <w:div w:id="198594159">
      <w:bodyDiv w:val="1"/>
      <w:marLeft w:val="0"/>
      <w:marRight w:val="0"/>
      <w:marTop w:val="0"/>
      <w:marBottom w:val="0"/>
      <w:divBdr>
        <w:top w:val="none" w:sz="0" w:space="0" w:color="auto"/>
        <w:left w:val="none" w:sz="0" w:space="0" w:color="auto"/>
        <w:bottom w:val="none" w:sz="0" w:space="0" w:color="auto"/>
        <w:right w:val="none" w:sz="0" w:space="0" w:color="auto"/>
      </w:divBdr>
    </w:div>
    <w:div w:id="204298226">
      <w:bodyDiv w:val="1"/>
      <w:marLeft w:val="0"/>
      <w:marRight w:val="0"/>
      <w:marTop w:val="0"/>
      <w:marBottom w:val="0"/>
      <w:divBdr>
        <w:top w:val="none" w:sz="0" w:space="0" w:color="auto"/>
        <w:left w:val="none" w:sz="0" w:space="0" w:color="auto"/>
        <w:bottom w:val="none" w:sz="0" w:space="0" w:color="auto"/>
        <w:right w:val="none" w:sz="0" w:space="0" w:color="auto"/>
      </w:divBdr>
    </w:div>
    <w:div w:id="204368234">
      <w:bodyDiv w:val="1"/>
      <w:marLeft w:val="0"/>
      <w:marRight w:val="0"/>
      <w:marTop w:val="0"/>
      <w:marBottom w:val="0"/>
      <w:divBdr>
        <w:top w:val="none" w:sz="0" w:space="0" w:color="auto"/>
        <w:left w:val="none" w:sz="0" w:space="0" w:color="auto"/>
        <w:bottom w:val="none" w:sz="0" w:space="0" w:color="auto"/>
        <w:right w:val="none" w:sz="0" w:space="0" w:color="auto"/>
      </w:divBdr>
    </w:div>
    <w:div w:id="204606875">
      <w:bodyDiv w:val="1"/>
      <w:marLeft w:val="0"/>
      <w:marRight w:val="0"/>
      <w:marTop w:val="0"/>
      <w:marBottom w:val="0"/>
      <w:divBdr>
        <w:top w:val="none" w:sz="0" w:space="0" w:color="auto"/>
        <w:left w:val="none" w:sz="0" w:space="0" w:color="auto"/>
        <w:bottom w:val="none" w:sz="0" w:space="0" w:color="auto"/>
        <w:right w:val="none" w:sz="0" w:space="0" w:color="auto"/>
      </w:divBdr>
    </w:div>
    <w:div w:id="208032660">
      <w:bodyDiv w:val="1"/>
      <w:marLeft w:val="0"/>
      <w:marRight w:val="0"/>
      <w:marTop w:val="0"/>
      <w:marBottom w:val="0"/>
      <w:divBdr>
        <w:top w:val="none" w:sz="0" w:space="0" w:color="auto"/>
        <w:left w:val="none" w:sz="0" w:space="0" w:color="auto"/>
        <w:bottom w:val="none" w:sz="0" w:space="0" w:color="auto"/>
        <w:right w:val="none" w:sz="0" w:space="0" w:color="auto"/>
      </w:divBdr>
    </w:div>
    <w:div w:id="209267609">
      <w:bodyDiv w:val="1"/>
      <w:marLeft w:val="0"/>
      <w:marRight w:val="0"/>
      <w:marTop w:val="0"/>
      <w:marBottom w:val="0"/>
      <w:divBdr>
        <w:top w:val="none" w:sz="0" w:space="0" w:color="auto"/>
        <w:left w:val="none" w:sz="0" w:space="0" w:color="auto"/>
        <w:bottom w:val="none" w:sz="0" w:space="0" w:color="auto"/>
        <w:right w:val="none" w:sz="0" w:space="0" w:color="auto"/>
      </w:divBdr>
    </w:div>
    <w:div w:id="213390633">
      <w:bodyDiv w:val="1"/>
      <w:marLeft w:val="0"/>
      <w:marRight w:val="0"/>
      <w:marTop w:val="0"/>
      <w:marBottom w:val="0"/>
      <w:divBdr>
        <w:top w:val="none" w:sz="0" w:space="0" w:color="auto"/>
        <w:left w:val="none" w:sz="0" w:space="0" w:color="auto"/>
        <w:bottom w:val="none" w:sz="0" w:space="0" w:color="auto"/>
        <w:right w:val="none" w:sz="0" w:space="0" w:color="auto"/>
      </w:divBdr>
    </w:div>
    <w:div w:id="232669287">
      <w:bodyDiv w:val="1"/>
      <w:marLeft w:val="0"/>
      <w:marRight w:val="0"/>
      <w:marTop w:val="0"/>
      <w:marBottom w:val="0"/>
      <w:divBdr>
        <w:top w:val="none" w:sz="0" w:space="0" w:color="auto"/>
        <w:left w:val="none" w:sz="0" w:space="0" w:color="auto"/>
        <w:bottom w:val="none" w:sz="0" w:space="0" w:color="auto"/>
        <w:right w:val="none" w:sz="0" w:space="0" w:color="auto"/>
      </w:divBdr>
    </w:div>
    <w:div w:id="237642106">
      <w:bodyDiv w:val="1"/>
      <w:marLeft w:val="0"/>
      <w:marRight w:val="0"/>
      <w:marTop w:val="0"/>
      <w:marBottom w:val="0"/>
      <w:divBdr>
        <w:top w:val="none" w:sz="0" w:space="0" w:color="auto"/>
        <w:left w:val="none" w:sz="0" w:space="0" w:color="auto"/>
        <w:bottom w:val="none" w:sz="0" w:space="0" w:color="auto"/>
        <w:right w:val="none" w:sz="0" w:space="0" w:color="auto"/>
      </w:divBdr>
    </w:div>
    <w:div w:id="239170541">
      <w:bodyDiv w:val="1"/>
      <w:marLeft w:val="0"/>
      <w:marRight w:val="0"/>
      <w:marTop w:val="0"/>
      <w:marBottom w:val="0"/>
      <w:divBdr>
        <w:top w:val="none" w:sz="0" w:space="0" w:color="auto"/>
        <w:left w:val="none" w:sz="0" w:space="0" w:color="auto"/>
        <w:bottom w:val="none" w:sz="0" w:space="0" w:color="auto"/>
        <w:right w:val="none" w:sz="0" w:space="0" w:color="auto"/>
      </w:divBdr>
    </w:div>
    <w:div w:id="241794543">
      <w:bodyDiv w:val="1"/>
      <w:marLeft w:val="0"/>
      <w:marRight w:val="0"/>
      <w:marTop w:val="0"/>
      <w:marBottom w:val="0"/>
      <w:divBdr>
        <w:top w:val="none" w:sz="0" w:space="0" w:color="auto"/>
        <w:left w:val="none" w:sz="0" w:space="0" w:color="auto"/>
        <w:bottom w:val="none" w:sz="0" w:space="0" w:color="auto"/>
        <w:right w:val="none" w:sz="0" w:space="0" w:color="auto"/>
      </w:divBdr>
    </w:div>
    <w:div w:id="245697676">
      <w:bodyDiv w:val="1"/>
      <w:marLeft w:val="0"/>
      <w:marRight w:val="0"/>
      <w:marTop w:val="0"/>
      <w:marBottom w:val="0"/>
      <w:divBdr>
        <w:top w:val="none" w:sz="0" w:space="0" w:color="auto"/>
        <w:left w:val="none" w:sz="0" w:space="0" w:color="auto"/>
        <w:bottom w:val="none" w:sz="0" w:space="0" w:color="auto"/>
        <w:right w:val="none" w:sz="0" w:space="0" w:color="auto"/>
      </w:divBdr>
    </w:div>
    <w:div w:id="248000599">
      <w:bodyDiv w:val="1"/>
      <w:marLeft w:val="0"/>
      <w:marRight w:val="0"/>
      <w:marTop w:val="0"/>
      <w:marBottom w:val="0"/>
      <w:divBdr>
        <w:top w:val="none" w:sz="0" w:space="0" w:color="auto"/>
        <w:left w:val="none" w:sz="0" w:space="0" w:color="auto"/>
        <w:bottom w:val="none" w:sz="0" w:space="0" w:color="auto"/>
        <w:right w:val="none" w:sz="0" w:space="0" w:color="auto"/>
      </w:divBdr>
    </w:div>
    <w:div w:id="253783676">
      <w:bodyDiv w:val="1"/>
      <w:marLeft w:val="0"/>
      <w:marRight w:val="0"/>
      <w:marTop w:val="0"/>
      <w:marBottom w:val="0"/>
      <w:divBdr>
        <w:top w:val="none" w:sz="0" w:space="0" w:color="auto"/>
        <w:left w:val="none" w:sz="0" w:space="0" w:color="auto"/>
        <w:bottom w:val="none" w:sz="0" w:space="0" w:color="auto"/>
        <w:right w:val="none" w:sz="0" w:space="0" w:color="auto"/>
      </w:divBdr>
    </w:div>
    <w:div w:id="258564575">
      <w:bodyDiv w:val="1"/>
      <w:marLeft w:val="0"/>
      <w:marRight w:val="0"/>
      <w:marTop w:val="0"/>
      <w:marBottom w:val="0"/>
      <w:divBdr>
        <w:top w:val="none" w:sz="0" w:space="0" w:color="auto"/>
        <w:left w:val="none" w:sz="0" w:space="0" w:color="auto"/>
        <w:bottom w:val="none" w:sz="0" w:space="0" w:color="auto"/>
        <w:right w:val="none" w:sz="0" w:space="0" w:color="auto"/>
      </w:divBdr>
    </w:div>
    <w:div w:id="262079840">
      <w:bodyDiv w:val="1"/>
      <w:marLeft w:val="0"/>
      <w:marRight w:val="0"/>
      <w:marTop w:val="0"/>
      <w:marBottom w:val="0"/>
      <w:divBdr>
        <w:top w:val="none" w:sz="0" w:space="0" w:color="auto"/>
        <w:left w:val="none" w:sz="0" w:space="0" w:color="auto"/>
        <w:bottom w:val="none" w:sz="0" w:space="0" w:color="auto"/>
        <w:right w:val="none" w:sz="0" w:space="0" w:color="auto"/>
      </w:divBdr>
    </w:div>
    <w:div w:id="271204715">
      <w:bodyDiv w:val="1"/>
      <w:marLeft w:val="0"/>
      <w:marRight w:val="0"/>
      <w:marTop w:val="0"/>
      <w:marBottom w:val="0"/>
      <w:divBdr>
        <w:top w:val="none" w:sz="0" w:space="0" w:color="auto"/>
        <w:left w:val="none" w:sz="0" w:space="0" w:color="auto"/>
        <w:bottom w:val="none" w:sz="0" w:space="0" w:color="auto"/>
        <w:right w:val="none" w:sz="0" w:space="0" w:color="auto"/>
      </w:divBdr>
    </w:div>
    <w:div w:id="274413039">
      <w:bodyDiv w:val="1"/>
      <w:marLeft w:val="0"/>
      <w:marRight w:val="0"/>
      <w:marTop w:val="0"/>
      <w:marBottom w:val="0"/>
      <w:divBdr>
        <w:top w:val="none" w:sz="0" w:space="0" w:color="auto"/>
        <w:left w:val="none" w:sz="0" w:space="0" w:color="auto"/>
        <w:bottom w:val="none" w:sz="0" w:space="0" w:color="auto"/>
        <w:right w:val="none" w:sz="0" w:space="0" w:color="auto"/>
      </w:divBdr>
    </w:div>
    <w:div w:id="283000878">
      <w:bodyDiv w:val="1"/>
      <w:marLeft w:val="0"/>
      <w:marRight w:val="0"/>
      <w:marTop w:val="0"/>
      <w:marBottom w:val="0"/>
      <w:divBdr>
        <w:top w:val="none" w:sz="0" w:space="0" w:color="auto"/>
        <w:left w:val="none" w:sz="0" w:space="0" w:color="auto"/>
        <w:bottom w:val="none" w:sz="0" w:space="0" w:color="auto"/>
        <w:right w:val="none" w:sz="0" w:space="0" w:color="auto"/>
      </w:divBdr>
    </w:div>
    <w:div w:id="288510727">
      <w:bodyDiv w:val="1"/>
      <w:marLeft w:val="0"/>
      <w:marRight w:val="0"/>
      <w:marTop w:val="0"/>
      <w:marBottom w:val="0"/>
      <w:divBdr>
        <w:top w:val="none" w:sz="0" w:space="0" w:color="auto"/>
        <w:left w:val="none" w:sz="0" w:space="0" w:color="auto"/>
        <w:bottom w:val="none" w:sz="0" w:space="0" w:color="auto"/>
        <w:right w:val="none" w:sz="0" w:space="0" w:color="auto"/>
      </w:divBdr>
    </w:div>
    <w:div w:id="290593185">
      <w:bodyDiv w:val="1"/>
      <w:marLeft w:val="0"/>
      <w:marRight w:val="0"/>
      <w:marTop w:val="0"/>
      <w:marBottom w:val="0"/>
      <w:divBdr>
        <w:top w:val="none" w:sz="0" w:space="0" w:color="auto"/>
        <w:left w:val="none" w:sz="0" w:space="0" w:color="auto"/>
        <w:bottom w:val="none" w:sz="0" w:space="0" w:color="auto"/>
        <w:right w:val="none" w:sz="0" w:space="0" w:color="auto"/>
      </w:divBdr>
    </w:div>
    <w:div w:id="292518596">
      <w:bodyDiv w:val="1"/>
      <w:marLeft w:val="0"/>
      <w:marRight w:val="0"/>
      <w:marTop w:val="0"/>
      <w:marBottom w:val="0"/>
      <w:divBdr>
        <w:top w:val="none" w:sz="0" w:space="0" w:color="auto"/>
        <w:left w:val="none" w:sz="0" w:space="0" w:color="auto"/>
        <w:bottom w:val="none" w:sz="0" w:space="0" w:color="auto"/>
        <w:right w:val="none" w:sz="0" w:space="0" w:color="auto"/>
      </w:divBdr>
    </w:div>
    <w:div w:id="293175071">
      <w:bodyDiv w:val="1"/>
      <w:marLeft w:val="0"/>
      <w:marRight w:val="0"/>
      <w:marTop w:val="0"/>
      <w:marBottom w:val="0"/>
      <w:divBdr>
        <w:top w:val="none" w:sz="0" w:space="0" w:color="auto"/>
        <w:left w:val="none" w:sz="0" w:space="0" w:color="auto"/>
        <w:bottom w:val="none" w:sz="0" w:space="0" w:color="auto"/>
        <w:right w:val="none" w:sz="0" w:space="0" w:color="auto"/>
      </w:divBdr>
    </w:div>
    <w:div w:id="296761046">
      <w:bodyDiv w:val="1"/>
      <w:marLeft w:val="0"/>
      <w:marRight w:val="0"/>
      <w:marTop w:val="0"/>
      <w:marBottom w:val="0"/>
      <w:divBdr>
        <w:top w:val="none" w:sz="0" w:space="0" w:color="auto"/>
        <w:left w:val="none" w:sz="0" w:space="0" w:color="auto"/>
        <w:bottom w:val="none" w:sz="0" w:space="0" w:color="auto"/>
        <w:right w:val="none" w:sz="0" w:space="0" w:color="auto"/>
      </w:divBdr>
    </w:div>
    <w:div w:id="299578328">
      <w:bodyDiv w:val="1"/>
      <w:marLeft w:val="0"/>
      <w:marRight w:val="0"/>
      <w:marTop w:val="0"/>
      <w:marBottom w:val="0"/>
      <w:divBdr>
        <w:top w:val="none" w:sz="0" w:space="0" w:color="auto"/>
        <w:left w:val="none" w:sz="0" w:space="0" w:color="auto"/>
        <w:bottom w:val="none" w:sz="0" w:space="0" w:color="auto"/>
        <w:right w:val="none" w:sz="0" w:space="0" w:color="auto"/>
      </w:divBdr>
    </w:div>
    <w:div w:id="320618310">
      <w:bodyDiv w:val="1"/>
      <w:marLeft w:val="0"/>
      <w:marRight w:val="0"/>
      <w:marTop w:val="0"/>
      <w:marBottom w:val="0"/>
      <w:divBdr>
        <w:top w:val="none" w:sz="0" w:space="0" w:color="auto"/>
        <w:left w:val="none" w:sz="0" w:space="0" w:color="auto"/>
        <w:bottom w:val="none" w:sz="0" w:space="0" w:color="auto"/>
        <w:right w:val="none" w:sz="0" w:space="0" w:color="auto"/>
      </w:divBdr>
    </w:div>
    <w:div w:id="323511651">
      <w:bodyDiv w:val="1"/>
      <w:marLeft w:val="0"/>
      <w:marRight w:val="0"/>
      <w:marTop w:val="0"/>
      <w:marBottom w:val="0"/>
      <w:divBdr>
        <w:top w:val="none" w:sz="0" w:space="0" w:color="auto"/>
        <w:left w:val="none" w:sz="0" w:space="0" w:color="auto"/>
        <w:bottom w:val="none" w:sz="0" w:space="0" w:color="auto"/>
        <w:right w:val="none" w:sz="0" w:space="0" w:color="auto"/>
      </w:divBdr>
    </w:div>
    <w:div w:id="327708199">
      <w:bodyDiv w:val="1"/>
      <w:marLeft w:val="0"/>
      <w:marRight w:val="0"/>
      <w:marTop w:val="0"/>
      <w:marBottom w:val="0"/>
      <w:divBdr>
        <w:top w:val="none" w:sz="0" w:space="0" w:color="auto"/>
        <w:left w:val="none" w:sz="0" w:space="0" w:color="auto"/>
        <w:bottom w:val="none" w:sz="0" w:space="0" w:color="auto"/>
        <w:right w:val="none" w:sz="0" w:space="0" w:color="auto"/>
      </w:divBdr>
    </w:div>
    <w:div w:id="334260682">
      <w:bodyDiv w:val="1"/>
      <w:marLeft w:val="0"/>
      <w:marRight w:val="0"/>
      <w:marTop w:val="0"/>
      <w:marBottom w:val="0"/>
      <w:divBdr>
        <w:top w:val="none" w:sz="0" w:space="0" w:color="auto"/>
        <w:left w:val="none" w:sz="0" w:space="0" w:color="auto"/>
        <w:bottom w:val="none" w:sz="0" w:space="0" w:color="auto"/>
        <w:right w:val="none" w:sz="0" w:space="0" w:color="auto"/>
      </w:divBdr>
    </w:div>
    <w:div w:id="335959209">
      <w:bodyDiv w:val="1"/>
      <w:marLeft w:val="0"/>
      <w:marRight w:val="0"/>
      <w:marTop w:val="0"/>
      <w:marBottom w:val="0"/>
      <w:divBdr>
        <w:top w:val="none" w:sz="0" w:space="0" w:color="auto"/>
        <w:left w:val="none" w:sz="0" w:space="0" w:color="auto"/>
        <w:bottom w:val="none" w:sz="0" w:space="0" w:color="auto"/>
        <w:right w:val="none" w:sz="0" w:space="0" w:color="auto"/>
      </w:divBdr>
    </w:div>
    <w:div w:id="340008930">
      <w:bodyDiv w:val="1"/>
      <w:marLeft w:val="0"/>
      <w:marRight w:val="0"/>
      <w:marTop w:val="0"/>
      <w:marBottom w:val="0"/>
      <w:divBdr>
        <w:top w:val="none" w:sz="0" w:space="0" w:color="auto"/>
        <w:left w:val="none" w:sz="0" w:space="0" w:color="auto"/>
        <w:bottom w:val="none" w:sz="0" w:space="0" w:color="auto"/>
        <w:right w:val="none" w:sz="0" w:space="0" w:color="auto"/>
      </w:divBdr>
    </w:div>
    <w:div w:id="341395634">
      <w:bodyDiv w:val="1"/>
      <w:marLeft w:val="0"/>
      <w:marRight w:val="0"/>
      <w:marTop w:val="0"/>
      <w:marBottom w:val="0"/>
      <w:divBdr>
        <w:top w:val="none" w:sz="0" w:space="0" w:color="auto"/>
        <w:left w:val="none" w:sz="0" w:space="0" w:color="auto"/>
        <w:bottom w:val="none" w:sz="0" w:space="0" w:color="auto"/>
        <w:right w:val="none" w:sz="0" w:space="0" w:color="auto"/>
      </w:divBdr>
    </w:div>
    <w:div w:id="341856396">
      <w:bodyDiv w:val="1"/>
      <w:marLeft w:val="0"/>
      <w:marRight w:val="0"/>
      <w:marTop w:val="0"/>
      <w:marBottom w:val="0"/>
      <w:divBdr>
        <w:top w:val="none" w:sz="0" w:space="0" w:color="auto"/>
        <w:left w:val="none" w:sz="0" w:space="0" w:color="auto"/>
        <w:bottom w:val="none" w:sz="0" w:space="0" w:color="auto"/>
        <w:right w:val="none" w:sz="0" w:space="0" w:color="auto"/>
      </w:divBdr>
    </w:div>
    <w:div w:id="356202546">
      <w:bodyDiv w:val="1"/>
      <w:marLeft w:val="0"/>
      <w:marRight w:val="0"/>
      <w:marTop w:val="0"/>
      <w:marBottom w:val="0"/>
      <w:divBdr>
        <w:top w:val="none" w:sz="0" w:space="0" w:color="auto"/>
        <w:left w:val="none" w:sz="0" w:space="0" w:color="auto"/>
        <w:bottom w:val="none" w:sz="0" w:space="0" w:color="auto"/>
        <w:right w:val="none" w:sz="0" w:space="0" w:color="auto"/>
      </w:divBdr>
    </w:div>
    <w:div w:id="364017485">
      <w:bodyDiv w:val="1"/>
      <w:marLeft w:val="0"/>
      <w:marRight w:val="0"/>
      <w:marTop w:val="0"/>
      <w:marBottom w:val="0"/>
      <w:divBdr>
        <w:top w:val="none" w:sz="0" w:space="0" w:color="auto"/>
        <w:left w:val="none" w:sz="0" w:space="0" w:color="auto"/>
        <w:bottom w:val="none" w:sz="0" w:space="0" w:color="auto"/>
        <w:right w:val="none" w:sz="0" w:space="0" w:color="auto"/>
      </w:divBdr>
    </w:div>
    <w:div w:id="367336230">
      <w:bodyDiv w:val="1"/>
      <w:marLeft w:val="0"/>
      <w:marRight w:val="0"/>
      <w:marTop w:val="0"/>
      <w:marBottom w:val="0"/>
      <w:divBdr>
        <w:top w:val="none" w:sz="0" w:space="0" w:color="auto"/>
        <w:left w:val="none" w:sz="0" w:space="0" w:color="auto"/>
        <w:bottom w:val="none" w:sz="0" w:space="0" w:color="auto"/>
        <w:right w:val="none" w:sz="0" w:space="0" w:color="auto"/>
      </w:divBdr>
    </w:div>
    <w:div w:id="372845854">
      <w:bodyDiv w:val="1"/>
      <w:marLeft w:val="0"/>
      <w:marRight w:val="0"/>
      <w:marTop w:val="0"/>
      <w:marBottom w:val="0"/>
      <w:divBdr>
        <w:top w:val="none" w:sz="0" w:space="0" w:color="auto"/>
        <w:left w:val="none" w:sz="0" w:space="0" w:color="auto"/>
        <w:bottom w:val="none" w:sz="0" w:space="0" w:color="auto"/>
        <w:right w:val="none" w:sz="0" w:space="0" w:color="auto"/>
      </w:divBdr>
    </w:div>
    <w:div w:id="373894125">
      <w:bodyDiv w:val="1"/>
      <w:marLeft w:val="0"/>
      <w:marRight w:val="0"/>
      <w:marTop w:val="0"/>
      <w:marBottom w:val="0"/>
      <w:divBdr>
        <w:top w:val="none" w:sz="0" w:space="0" w:color="auto"/>
        <w:left w:val="none" w:sz="0" w:space="0" w:color="auto"/>
        <w:bottom w:val="none" w:sz="0" w:space="0" w:color="auto"/>
        <w:right w:val="none" w:sz="0" w:space="0" w:color="auto"/>
      </w:divBdr>
    </w:div>
    <w:div w:id="379211071">
      <w:bodyDiv w:val="1"/>
      <w:marLeft w:val="0"/>
      <w:marRight w:val="0"/>
      <w:marTop w:val="0"/>
      <w:marBottom w:val="0"/>
      <w:divBdr>
        <w:top w:val="none" w:sz="0" w:space="0" w:color="auto"/>
        <w:left w:val="none" w:sz="0" w:space="0" w:color="auto"/>
        <w:bottom w:val="none" w:sz="0" w:space="0" w:color="auto"/>
        <w:right w:val="none" w:sz="0" w:space="0" w:color="auto"/>
      </w:divBdr>
    </w:div>
    <w:div w:id="384722371">
      <w:bodyDiv w:val="1"/>
      <w:marLeft w:val="0"/>
      <w:marRight w:val="0"/>
      <w:marTop w:val="0"/>
      <w:marBottom w:val="0"/>
      <w:divBdr>
        <w:top w:val="none" w:sz="0" w:space="0" w:color="auto"/>
        <w:left w:val="none" w:sz="0" w:space="0" w:color="auto"/>
        <w:bottom w:val="none" w:sz="0" w:space="0" w:color="auto"/>
        <w:right w:val="none" w:sz="0" w:space="0" w:color="auto"/>
      </w:divBdr>
    </w:div>
    <w:div w:id="387995880">
      <w:bodyDiv w:val="1"/>
      <w:marLeft w:val="0"/>
      <w:marRight w:val="0"/>
      <w:marTop w:val="0"/>
      <w:marBottom w:val="0"/>
      <w:divBdr>
        <w:top w:val="none" w:sz="0" w:space="0" w:color="auto"/>
        <w:left w:val="none" w:sz="0" w:space="0" w:color="auto"/>
        <w:bottom w:val="none" w:sz="0" w:space="0" w:color="auto"/>
        <w:right w:val="none" w:sz="0" w:space="0" w:color="auto"/>
      </w:divBdr>
    </w:div>
    <w:div w:id="390036198">
      <w:bodyDiv w:val="1"/>
      <w:marLeft w:val="0"/>
      <w:marRight w:val="0"/>
      <w:marTop w:val="0"/>
      <w:marBottom w:val="0"/>
      <w:divBdr>
        <w:top w:val="none" w:sz="0" w:space="0" w:color="auto"/>
        <w:left w:val="none" w:sz="0" w:space="0" w:color="auto"/>
        <w:bottom w:val="none" w:sz="0" w:space="0" w:color="auto"/>
        <w:right w:val="none" w:sz="0" w:space="0" w:color="auto"/>
      </w:divBdr>
    </w:div>
    <w:div w:id="393504191">
      <w:bodyDiv w:val="1"/>
      <w:marLeft w:val="0"/>
      <w:marRight w:val="0"/>
      <w:marTop w:val="0"/>
      <w:marBottom w:val="0"/>
      <w:divBdr>
        <w:top w:val="none" w:sz="0" w:space="0" w:color="auto"/>
        <w:left w:val="none" w:sz="0" w:space="0" w:color="auto"/>
        <w:bottom w:val="none" w:sz="0" w:space="0" w:color="auto"/>
        <w:right w:val="none" w:sz="0" w:space="0" w:color="auto"/>
      </w:divBdr>
    </w:div>
    <w:div w:id="403262173">
      <w:bodyDiv w:val="1"/>
      <w:marLeft w:val="0"/>
      <w:marRight w:val="0"/>
      <w:marTop w:val="0"/>
      <w:marBottom w:val="0"/>
      <w:divBdr>
        <w:top w:val="none" w:sz="0" w:space="0" w:color="auto"/>
        <w:left w:val="none" w:sz="0" w:space="0" w:color="auto"/>
        <w:bottom w:val="none" w:sz="0" w:space="0" w:color="auto"/>
        <w:right w:val="none" w:sz="0" w:space="0" w:color="auto"/>
      </w:divBdr>
    </w:div>
    <w:div w:id="406417796">
      <w:bodyDiv w:val="1"/>
      <w:marLeft w:val="0"/>
      <w:marRight w:val="0"/>
      <w:marTop w:val="0"/>
      <w:marBottom w:val="0"/>
      <w:divBdr>
        <w:top w:val="none" w:sz="0" w:space="0" w:color="auto"/>
        <w:left w:val="none" w:sz="0" w:space="0" w:color="auto"/>
        <w:bottom w:val="none" w:sz="0" w:space="0" w:color="auto"/>
        <w:right w:val="none" w:sz="0" w:space="0" w:color="auto"/>
      </w:divBdr>
    </w:div>
    <w:div w:id="406614277">
      <w:bodyDiv w:val="1"/>
      <w:marLeft w:val="0"/>
      <w:marRight w:val="0"/>
      <w:marTop w:val="0"/>
      <w:marBottom w:val="0"/>
      <w:divBdr>
        <w:top w:val="none" w:sz="0" w:space="0" w:color="auto"/>
        <w:left w:val="none" w:sz="0" w:space="0" w:color="auto"/>
        <w:bottom w:val="none" w:sz="0" w:space="0" w:color="auto"/>
        <w:right w:val="none" w:sz="0" w:space="0" w:color="auto"/>
      </w:divBdr>
    </w:div>
    <w:div w:id="406851522">
      <w:bodyDiv w:val="1"/>
      <w:marLeft w:val="0"/>
      <w:marRight w:val="0"/>
      <w:marTop w:val="0"/>
      <w:marBottom w:val="0"/>
      <w:divBdr>
        <w:top w:val="none" w:sz="0" w:space="0" w:color="auto"/>
        <w:left w:val="none" w:sz="0" w:space="0" w:color="auto"/>
        <w:bottom w:val="none" w:sz="0" w:space="0" w:color="auto"/>
        <w:right w:val="none" w:sz="0" w:space="0" w:color="auto"/>
      </w:divBdr>
    </w:div>
    <w:div w:id="406926508">
      <w:bodyDiv w:val="1"/>
      <w:marLeft w:val="0"/>
      <w:marRight w:val="0"/>
      <w:marTop w:val="0"/>
      <w:marBottom w:val="0"/>
      <w:divBdr>
        <w:top w:val="none" w:sz="0" w:space="0" w:color="auto"/>
        <w:left w:val="none" w:sz="0" w:space="0" w:color="auto"/>
        <w:bottom w:val="none" w:sz="0" w:space="0" w:color="auto"/>
        <w:right w:val="none" w:sz="0" w:space="0" w:color="auto"/>
      </w:divBdr>
    </w:div>
    <w:div w:id="431752187">
      <w:bodyDiv w:val="1"/>
      <w:marLeft w:val="0"/>
      <w:marRight w:val="0"/>
      <w:marTop w:val="0"/>
      <w:marBottom w:val="0"/>
      <w:divBdr>
        <w:top w:val="none" w:sz="0" w:space="0" w:color="auto"/>
        <w:left w:val="none" w:sz="0" w:space="0" w:color="auto"/>
        <w:bottom w:val="none" w:sz="0" w:space="0" w:color="auto"/>
        <w:right w:val="none" w:sz="0" w:space="0" w:color="auto"/>
      </w:divBdr>
    </w:div>
    <w:div w:id="440421130">
      <w:bodyDiv w:val="1"/>
      <w:marLeft w:val="0"/>
      <w:marRight w:val="0"/>
      <w:marTop w:val="0"/>
      <w:marBottom w:val="0"/>
      <w:divBdr>
        <w:top w:val="none" w:sz="0" w:space="0" w:color="auto"/>
        <w:left w:val="none" w:sz="0" w:space="0" w:color="auto"/>
        <w:bottom w:val="none" w:sz="0" w:space="0" w:color="auto"/>
        <w:right w:val="none" w:sz="0" w:space="0" w:color="auto"/>
      </w:divBdr>
    </w:div>
    <w:div w:id="445195541">
      <w:bodyDiv w:val="1"/>
      <w:marLeft w:val="0"/>
      <w:marRight w:val="0"/>
      <w:marTop w:val="0"/>
      <w:marBottom w:val="0"/>
      <w:divBdr>
        <w:top w:val="none" w:sz="0" w:space="0" w:color="auto"/>
        <w:left w:val="none" w:sz="0" w:space="0" w:color="auto"/>
        <w:bottom w:val="none" w:sz="0" w:space="0" w:color="auto"/>
        <w:right w:val="none" w:sz="0" w:space="0" w:color="auto"/>
      </w:divBdr>
    </w:div>
    <w:div w:id="449320119">
      <w:bodyDiv w:val="1"/>
      <w:marLeft w:val="0"/>
      <w:marRight w:val="0"/>
      <w:marTop w:val="0"/>
      <w:marBottom w:val="0"/>
      <w:divBdr>
        <w:top w:val="none" w:sz="0" w:space="0" w:color="auto"/>
        <w:left w:val="none" w:sz="0" w:space="0" w:color="auto"/>
        <w:bottom w:val="none" w:sz="0" w:space="0" w:color="auto"/>
        <w:right w:val="none" w:sz="0" w:space="0" w:color="auto"/>
      </w:divBdr>
    </w:div>
    <w:div w:id="452864443">
      <w:bodyDiv w:val="1"/>
      <w:marLeft w:val="0"/>
      <w:marRight w:val="0"/>
      <w:marTop w:val="0"/>
      <w:marBottom w:val="0"/>
      <w:divBdr>
        <w:top w:val="none" w:sz="0" w:space="0" w:color="auto"/>
        <w:left w:val="none" w:sz="0" w:space="0" w:color="auto"/>
        <w:bottom w:val="none" w:sz="0" w:space="0" w:color="auto"/>
        <w:right w:val="none" w:sz="0" w:space="0" w:color="auto"/>
      </w:divBdr>
    </w:div>
    <w:div w:id="458425079">
      <w:bodyDiv w:val="1"/>
      <w:marLeft w:val="0"/>
      <w:marRight w:val="0"/>
      <w:marTop w:val="0"/>
      <w:marBottom w:val="0"/>
      <w:divBdr>
        <w:top w:val="none" w:sz="0" w:space="0" w:color="auto"/>
        <w:left w:val="none" w:sz="0" w:space="0" w:color="auto"/>
        <w:bottom w:val="none" w:sz="0" w:space="0" w:color="auto"/>
        <w:right w:val="none" w:sz="0" w:space="0" w:color="auto"/>
      </w:divBdr>
    </w:div>
    <w:div w:id="461967578">
      <w:bodyDiv w:val="1"/>
      <w:marLeft w:val="0"/>
      <w:marRight w:val="0"/>
      <w:marTop w:val="0"/>
      <w:marBottom w:val="0"/>
      <w:divBdr>
        <w:top w:val="none" w:sz="0" w:space="0" w:color="auto"/>
        <w:left w:val="none" w:sz="0" w:space="0" w:color="auto"/>
        <w:bottom w:val="none" w:sz="0" w:space="0" w:color="auto"/>
        <w:right w:val="none" w:sz="0" w:space="0" w:color="auto"/>
      </w:divBdr>
    </w:div>
    <w:div w:id="465397979">
      <w:bodyDiv w:val="1"/>
      <w:marLeft w:val="0"/>
      <w:marRight w:val="0"/>
      <w:marTop w:val="0"/>
      <w:marBottom w:val="0"/>
      <w:divBdr>
        <w:top w:val="none" w:sz="0" w:space="0" w:color="auto"/>
        <w:left w:val="none" w:sz="0" w:space="0" w:color="auto"/>
        <w:bottom w:val="none" w:sz="0" w:space="0" w:color="auto"/>
        <w:right w:val="none" w:sz="0" w:space="0" w:color="auto"/>
      </w:divBdr>
    </w:div>
    <w:div w:id="467673550">
      <w:bodyDiv w:val="1"/>
      <w:marLeft w:val="0"/>
      <w:marRight w:val="0"/>
      <w:marTop w:val="0"/>
      <w:marBottom w:val="0"/>
      <w:divBdr>
        <w:top w:val="none" w:sz="0" w:space="0" w:color="auto"/>
        <w:left w:val="none" w:sz="0" w:space="0" w:color="auto"/>
        <w:bottom w:val="none" w:sz="0" w:space="0" w:color="auto"/>
        <w:right w:val="none" w:sz="0" w:space="0" w:color="auto"/>
      </w:divBdr>
    </w:div>
    <w:div w:id="469177931">
      <w:bodyDiv w:val="1"/>
      <w:marLeft w:val="0"/>
      <w:marRight w:val="0"/>
      <w:marTop w:val="0"/>
      <w:marBottom w:val="0"/>
      <w:divBdr>
        <w:top w:val="none" w:sz="0" w:space="0" w:color="auto"/>
        <w:left w:val="none" w:sz="0" w:space="0" w:color="auto"/>
        <w:bottom w:val="none" w:sz="0" w:space="0" w:color="auto"/>
        <w:right w:val="none" w:sz="0" w:space="0" w:color="auto"/>
      </w:divBdr>
    </w:div>
    <w:div w:id="480117701">
      <w:bodyDiv w:val="1"/>
      <w:marLeft w:val="0"/>
      <w:marRight w:val="0"/>
      <w:marTop w:val="0"/>
      <w:marBottom w:val="0"/>
      <w:divBdr>
        <w:top w:val="none" w:sz="0" w:space="0" w:color="auto"/>
        <w:left w:val="none" w:sz="0" w:space="0" w:color="auto"/>
        <w:bottom w:val="none" w:sz="0" w:space="0" w:color="auto"/>
        <w:right w:val="none" w:sz="0" w:space="0" w:color="auto"/>
      </w:divBdr>
    </w:div>
    <w:div w:id="481502967">
      <w:bodyDiv w:val="1"/>
      <w:marLeft w:val="0"/>
      <w:marRight w:val="0"/>
      <w:marTop w:val="0"/>
      <w:marBottom w:val="0"/>
      <w:divBdr>
        <w:top w:val="none" w:sz="0" w:space="0" w:color="auto"/>
        <w:left w:val="none" w:sz="0" w:space="0" w:color="auto"/>
        <w:bottom w:val="none" w:sz="0" w:space="0" w:color="auto"/>
        <w:right w:val="none" w:sz="0" w:space="0" w:color="auto"/>
      </w:divBdr>
    </w:div>
    <w:div w:id="489030755">
      <w:bodyDiv w:val="1"/>
      <w:marLeft w:val="0"/>
      <w:marRight w:val="0"/>
      <w:marTop w:val="0"/>
      <w:marBottom w:val="0"/>
      <w:divBdr>
        <w:top w:val="none" w:sz="0" w:space="0" w:color="auto"/>
        <w:left w:val="none" w:sz="0" w:space="0" w:color="auto"/>
        <w:bottom w:val="none" w:sz="0" w:space="0" w:color="auto"/>
        <w:right w:val="none" w:sz="0" w:space="0" w:color="auto"/>
      </w:divBdr>
    </w:div>
    <w:div w:id="491602107">
      <w:bodyDiv w:val="1"/>
      <w:marLeft w:val="0"/>
      <w:marRight w:val="0"/>
      <w:marTop w:val="0"/>
      <w:marBottom w:val="0"/>
      <w:divBdr>
        <w:top w:val="none" w:sz="0" w:space="0" w:color="auto"/>
        <w:left w:val="none" w:sz="0" w:space="0" w:color="auto"/>
        <w:bottom w:val="none" w:sz="0" w:space="0" w:color="auto"/>
        <w:right w:val="none" w:sz="0" w:space="0" w:color="auto"/>
      </w:divBdr>
    </w:div>
    <w:div w:id="507712824">
      <w:bodyDiv w:val="1"/>
      <w:marLeft w:val="0"/>
      <w:marRight w:val="0"/>
      <w:marTop w:val="0"/>
      <w:marBottom w:val="0"/>
      <w:divBdr>
        <w:top w:val="none" w:sz="0" w:space="0" w:color="auto"/>
        <w:left w:val="none" w:sz="0" w:space="0" w:color="auto"/>
        <w:bottom w:val="none" w:sz="0" w:space="0" w:color="auto"/>
        <w:right w:val="none" w:sz="0" w:space="0" w:color="auto"/>
      </w:divBdr>
    </w:div>
    <w:div w:id="518471526">
      <w:bodyDiv w:val="1"/>
      <w:marLeft w:val="0"/>
      <w:marRight w:val="0"/>
      <w:marTop w:val="0"/>
      <w:marBottom w:val="0"/>
      <w:divBdr>
        <w:top w:val="none" w:sz="0" w:space="0" w:color="auto"/>
        <w:left w:val="none" w:sz="0" w:space="0" w:color="auto"/>
        <w:bottom w:val="none" w:sz="0" w:space="0" w:color="auto"/>
        <w:right w:val="none" w:sz="0" w:space="0" w:color="auto"/>
      </w:divBdr>
    </w:div>
    <w:div w:id="525337194">
      <w:bodyDiv w:val="1"/>
      <w:marLeft w:val="0"/>
      <w:marRight w:val="0"/>
      <w:marTop w:val="0"/>
      <w:marBottom w:val="0"/>
      <w:divBdr>
        <w:top w:val="none" w:sz="0" w:space="0" w:color="auto"/>
        <w:left w:val="none" w:sz="0" w:space="0" w:color="auto"/>
        <w:bottom w:val="none" w:sz="0" w:space="0" w:color="auto"/>
        <w:right w:val="none" w:sz="0" w:space="0" w:color="auto"/>
      </w:divBdr>
    </w:div>
    <w:div w:id="526141184">
      <w:bodyDiv w:val="1"/>
      <w:marLeft w:val="0"/>
      <w:marRight w:val="0"/>
      <w:marTop w:val="0"/>
      <w:marBottom w:val="0"/>
      <w:divBdr>
        <w:top w:val="none" w:sz="0" w:space="0" w:color="auto"/>
        <w:left w:val="none" w:sz="0" w:space="0" w:color="auto"/>
        <w:bottom w:val="none" w:sz="0" w:space="0" w:color="auto"/>
        <w:right w:val="none" w:sz="0" w:space="0" w:color="auto"/>
      </w:divBdr>
    </w:div>
    <w:div w:id="534779628">
      <w:bodyDiv w:val="1"/>
      <w:marLeft w:val="0"/>
      <w:marRight w:val="0"/>
      <w:marTop w:val="0"/>
      <w:marBottom w:val="0"/>
      <w:divBdr>
        <w:top w:val="none" w:sz="0" w:space="0" w:color="auto"/>
        <w:left w:val="none" w:sz="0" w:space="0" w:color="auto"/>
        <w:bottom w:val="none" w:sz="0" w:space="0" w:color="auto"/>
        <w:right w:val="none" w:sz="0" w:space="0" w:color="auto"/>
      </w:divBdr>
    </w:div>
    <w:div w:id="535657475">
      <w:bodyDiv w:val="1"/>
      <w:marLeft w:val="0"/>
      <w:marRight w:val="0"/>
      <w:marTop w:val="0"/>
      <w:marBottom w:val="0"/>
      <w:divBdr>
        <w:top w:val="none" w:sz="0" w:space="0" w:color="auto"/>
        <w:left w:val="none" w:sz="0" w:space="0" w:color="auto"/>
        <w:bottom w:val="none" w:sz="0" w:space="0" w:color="auto"/>
        <w:right w:val="none" w:sz="0" w:space="0" w:color="auto"/>
      </w:divBdr>
    </w:div>
    <w:div w:id="555164112">
      <w:bodyDiv w:val="1"/>
      <w:marLeft w:val="0"/>
      <w:marRight w:val="0"/>
      <w:marTop w:val="0"/>
      <w:marBottom w:val="0"/>
      <w:divBdr>
        <w:top w:val="none" w:sz="0" w:space="0" w:color="auto"/>
        <w:left w:val="none" w:sz="0" w:space="0" w:color="auto"/>
        <w:bottom w:val="none" w:sz="0" w:space="0" w:color="auto"/>
        <w:right w:val="none" w:sz="0" w:space="0" w:color="auto"/>
      </w:divBdr>
    </w:div>
    <w:div w:id="561719831">
      <w:bodyDiv w:val="1"/>
      <w:marLeft w:val="0"/>
      <w:marRight w:val="0"/>
      <w:marTop w:val="0"/>
      <w:marBottom w:val="0"/>
      <w:divBdr>
        <w:top w:val="none" w:sz="0" w:space="0" w:color="auto"/>
        <w:left w:val="none" w:sz="0" w:space="0" w:color="auto"/>
        <w:bottom w:val="none" w:sz="0" w:space="0" w:color="auto"/>
        <w:right w:val="none" w:sz="0" w:space="0" w:color="auto"/>
      </w:divBdr>
    </w:div>
    <w:div w:id="572936683">
      <w:bodyDiv w:val="1"/>
      <w:marLeft w:val="0"/>
      <w:marRight w:val="0"/>
      <w:marTop w:val="0"/>
      <w:marBottom w:val="0"/>
      <w:divBdr>
        <w:top w:val="none" w:sz="0" w:space="0" w:color="auto"/>
        <w:left w:val="none" w:sz="0" w:space="0" w:color="auto"/>
        <w:bottom w:val="none" w:sz="0" w:space="0" w:color="auto"/>
        <w:right w:val="none" w:sz="0" w:space="0" w:color="auto"/>
      </w:divBdr>
    </w:div>
    <w:div w:id="590895318">
      <w:bodyDiv w:val="1"/>
      <w:marLeft w:val="0"/>
      <w:marRight w:val="0"/>
      <w:marTop w:val="0"/>
      <w:marBottom w:val="0"/>
      <w:divBdr>
        <w:top w:val="none" w:sz="0" w:space="0" w:color="auto"/>
        <w:left w:val="none" w:sz="0" w:space="0" w:color="auto"/>
        <w:bottom w:val="none" w:sz="0" w:space="0" w:color="auto"/>
        <w:right w:val="none" w:sz="0" w:space="0" w:color="auto"/>
      </w:divBdr>
    </w:div>
    <w:div w:id="594871584">
      <w:bodyDiv w:val="1"/>
      <w:marLeft w:val="0"/>
      <w:marRight w:val="0"/>
      <w:marTop w:val="0"/>
      <w:marBottom w:val="0"/>
      <w:divBdr>
        <w:top w:val="none" w:sz="0" w:space="0" w:color="auto"/>
        <w:left w:val="none" w:sz="0" w:space="0" w:color="auto"/>
        <w:bottom w:val="none" w:sz="0" w:space="0" w:color="auto"/>
        <w:right w:val="none" w:sz="0" w:space="0" w:color="auto"/>
      </w:divBdr>
    </w:div>
    <w:div w:id="611404035">
      <w:bodyDiv w:val="1"/>
      <w:marLeft w:val="0"/>
      <w:marRight w:val="0"/>
      <w:marTop w:val="0"/>
      <w:marBottom w:val="0"/>
      <w:divBdr>
        <w:top w:val="none" w:sz="0" w:space="0" w:color="auto"/>
        <w:left w:val="none" w:sz="0" w:space="0" w:color="auto"/>
        <w:bottom w:val="none" w:sz="0" w:space="0" w:color="auto"/>
        <w:right w:val="none" w:sz="0" w:space="0" w:color="auto"/>
      </w:divBdr>
    </w:div>
    <w:div w:id="619578135">
      <w:bodyDiv w:val="1"/>
      <w:marLeft w:val="0"/>
      <w:marRight w:val="0"/>
      <w:marTop w:val="0"/>
      <w:marBottom w:val="0"/>
      <w:divBdr>
        <w:top w:val="none" w:sz="0" w:space="0" w:color="auto"/>
        <w:left w:val="none" w:sz="0" w:space="0" w:color="auto"/>
        <w:bottom w:val="none" w:sz="0" w:space="0" w:color="auto"/>
        <w:right w:val="none" w:sz="0" w:space="0" w:color="auto"/>
      </w:divBdr>
    </w:div>
    <w:div w:id="626275151">
      <w:bodyDiv w:val="1"/>
      <w:marLeft w:val="0"/>
      <w:marRight w:val="0"/>
      <w:marTop w:val="0"/>
      <w:marBottom w:val="0"/>
      <w:divBdr>
        <w:top w:val="none" w:sz="0" w:space="0" w:color="auto"/>
        <w:left w:val="none" w:sz="0" w:space="0" w:color="auto"/>
        <w:bottom w:val="none" w:sz="0" w:space="0" w:color="auto"/>
        <w:right w:val="none" w:sz="0" w:space="0" w:color="auto"/>
      </w:divBdr>
    </w:div>
    <w:div w:id="629749978">
      <w:bodyDiv w:val="1"/>
      <w:marLeft w:val="0"/>
      <w:marRight w:val="0"/>
      <w:marTop w:val="0"/>
      <w:marBottom w:val="0"/>
      <w:divBdr>
        <w:top w:val="none" w:sz="0" w:space="0" w:color="auto"/>
        <w:left w:val="none" w:sz="0" w:space="0" w:color="auto"/>
        <w:bottom w:val="none" w:sz="0" w:space="0" w:color="auto"/>
        <w:right w:val="none" w:sz="0" w:space="0" w:color="auto"/>
      </w:divBdr>
    </w:div>
    <w:div w:id="639191235">
      <w:bodyDiv w:val="1"/>
      <w:marLeft w:val="0"/>
      <w:marRight w:val="0"/>
      <w:marTop w:val="0"/>
      <w:marBottom w:val="0"/>
      <w:divBdr>
        <w:top w:val="none" w:sz="0" w:space="0" w:color="auto"/>
        <w:left w:val="none" w:sz="0" w:space="0" w:color="auto"/>
        <w:bottom w:val="none" w:sz="0" w:space="0" w:color="auto"/>
        <w:right w:val="none" w:sz="0" w:space="0" w:color="auto"/>
      </w:divBdr>
    </w:div>
    <w:div w:id="643778541">
      <w:bodyDiv w:val="1"/>
      <w:marLeft w:val="0"/>
      <w:marRight w:val="0"/>
      <w:marTop w:val="0"/>
      <w:marBottom w:val="0"/>
      <w:divBdr>
        <w:top w:val="none" w:sz="0" w:space="0" w:color="auto"/>
        <w:left w:val="none" w:sz="0" w:space="0" w:color="auto"/>
        <w:bottom w:val="none" w:sz="0" w:space="0" w:color="auto"/>
        <w:right w:val="none" w:sz="0" w:space="0" w:color="auto"/>
      </w:divBdr>
    </w:div>
    <w:div w:id="654333248">
      <w:bodyDiv w:val="1"/>
      <w:marLeft w:val="0"/>
      <w:marRight w:val="0"/>
      <w:marTop w:val="0"/>
      <w:marBottom w:val="0"/>
      <w:divBdr>
        <w:top w:val="none" w:sz="0" w:space="0" w:color="auto"/>
        <w:left w:val="none" w:sz="0" w:space="0" w:color="auto"/>
        <w:bottom w:val="none" w:sz="0" w:space="0" w:color="auto"/>
        <w:right w:val="none" w:sz="0" w:space="0" w:color="auto"/>
      </w:divBdr>
    </w:div>
    <w:div w:id="659116490">
      <w:bodyDiv w:val="1"/>
      <w:marLeft w:val="0"/>
      <w:marRight w:val="0"/>
      <w:marTop w:val="0"/>
      <w:marBottom w:val="0"/>
      <w:divBdr>
        <w:top w:val="none" w:sz="0" w:space="0" w:color="auto"/>
        <w:left w:val="none" w:sz="0" w:space="0" w:color="auto"/>
        <w:bottom w:val="none" w:sz="0" w:space="0" w:color="auto"/>
        <w:right w:val="none" w:sz="0" w:space="0" w:color="auto"/>
      </w:divBdr>
    </w:div>
    <w:div w:id="669021771">
      <w:bodyDiv w:val="1"/>
      <w:marLeft w:val="0"/>
      <w:marRight w:val="0"/>
      <w:marTop w:val="0"/>
      <w:marBottom w:val="0"/>
      <w:divBdr>
        <w:top w:val="none" w:sz="0" w:space="0" w:color="auto"/>
        <w:left w:val="none" w:sz="0" w:space="0" w:color="auto"/>
        <w:bottom w:val="none" w:sz="0" w:space="0" w:color="auto"/>
        <w:right w:val="none" w:sz="0" w:space="0" w:color="auto"/>
      </w:divBdr>
    </w:div>
    <w:div w:id="683479380">
      <w:bodyDiv w:val="1"/>
      <w:marLeft w:val="0"/>
      <w:marRight w:val="0"/>
      <w:marTop w:val="0"/>
      <w:marBottom w:val="0"/>
      <w:divBdr>
        <w:top w:val="none" w:sz="0" w:space="0" w:color="auto"/>
        <w:left w:val="none" w:sz="0" w:space="0" w:color="auto"/>
        <w:bottom w:val="none" w:sz="0" w:space="0" w:color="auto"/>
        <w:right w:val="none" w:sz="0" w:space="0" w:color="auto"/>
      </w:divBdr>
    </w:div>
    <w:div w:id="687026557">
      <w:bodyDiv w:val="1"/>
      <w:marLeft w:val="0"/>
      <w:marRight w:val="0"/>
      <w:marTop w:val="0"/>
      <w:marBottom w:val="0"/>
      <w:divBdr>
        <w:top w:val="none" w:sz="0" w:space="0" w:color="auto"/>
        <w:left w:val="none" w:sz="0" w:space="0" w:color="auto"/>
        <w:bottom w:val="none" w:sz="0" w:space="0" w:color="auto"/>
        <w:right w:val="none" w:sz="0" w:space="0" w:color="auto"/>
      </w:divBdr>
    </w:div>
    <w:div w:id="687104057">
      <w:bodyDiv w:val="1"/>
      <w:marLeft w:val="0"/>
      <w:marRight w:val="0"/>
      <w:marTop w:val="0"/>
      <w:marBottom w:val="0"/>
      <w:divBdr>
        <w:top w:val="none" w:sz="0" w:space="0" w:color="auto"/>
        <w:left w:val="none" w:sz="0" w:space="0" w:color="auto"/>
        <w:bottom w:val="none" w:sz="0" w:space="0" w:color="auto"/>
        <w:right w:val="none" w:sz="0" w:space="0" w:color="auto"/>
      </w:divBdr>
    </w:div>
    <w:div w:id="688027893">
      <w:bodyDiv w:val="1"/>
      <w:marLeft w:val="0"/>
      <w:marRight w:val="0"/>
      <w:marTop w:val="0"/>
      <w:marBottom w:val="0"/>
      <w:divBdr>
        <w:top w:val="none" w:sz="0" w:space="0" w:color="auto"/>
        <w:left w:val="none" w:sz="0" w:space="0" w:color="auto"/>
        <w:bottom w:val="none" w:sz="0" w:space="0" w:color="auto"/>
        <w:right w:val="none" w:sz="0" w:space="0" w:color="auto"/>
      </w:divBdr>
    </w:div>
    <w:div w:id="691568091">
      <w:bodyDiv w:val="1"/>
      <w:marLeft w:val="0"/>
      <w:marRight w:val="0"/>
      <w:marTop w:val="0"/>
      <w:marBottom w:val="0"/>
      <w:divBdr>
        <w:top w:val="none" w:sz="0" w:space="0" w:color="auto"/>
        <w:left w:val="none" w:sz="0" w:space="0" w:color="auto"/>
        <w:bottom w:val="none" w:sz="0" w:space="0" w:color="auto"/>
        <w:right w:val="none" w:sz="0" w:space="0" w:color="auto"/>
      </w:divBdr>
    </w:div>
    <w:div w:id="693187602">
      <w:bodyDiv w:val="1"/>
      <w:marLeft w:val="0"/>
      <w:marRight w:val="0"/>
      <w:marTop w:val="0"/>
      <w:marBottom w:val="0"/>
      <w:divBdr>
        <w:top w:val="none" w:sz="0" w:space="0" w:color="auto"/>
        <w:left w:val="none" w:sz="0" w:space="0" w:color="auto"/>
        <w:bottom w:val="none" w:sz="0" w:space="0" w:color="auto"/>
        <w:right w:val="none" w:sz="0" w:space="0" w:color="auto"/>
      </w:divBdr>
    </w:div>
    <w:div w:id="697632143">
      <w:bodyDiv w:val="1"/>
      <w:marLeft w:val="0"/>
      <w:marRight w:val="0"/>
      <w:marTop w:val="0"/>
      <w:marBottom w:val="0"/>
      <w:divBdr>
        <w:top w:val="none" w:sz="0" w:space="0" w:color="auto"/>
        <w:left w:val="none" w:sz="0" w:space="0" w:color="auto"/>
        <w:bottom w:val="none" w:sz="0" w:space="0" w:color="auto"/>
        <w:right w:val="none" w:sz="0" w:space="0" w:color="auto"/>
      </w:divBdr>
    </w:div>
    <w:div w:id="700595287">
      <w:bodyDiv w:val="1"/>
      <w:marLeft w:val="0"/>
      <w:marRight w:val="0"/>
      <w:marTop w:val="0"/>
      <w:marBottom w:val="0"/>
      <w:divBdr>
        <w:top w:val="none" w:sz="0" w:space="0" w:color="auto"/>
        <w:left w:val="none" w:sz="0" w:space="0" w:color="auto"/>
        <w:bottom w:val="none" w:sz="0" w:space="0" w:color="auto"/>
        <w:right w:val="none" w:sz="0" w:space="0" w:color="auto"/>
      </w:divBdr>
    </w:div>
    <w:div w:id="706681755">
      <w:bodyDiv w:val="1"/>
      <w:marLeft w:val="0"/>
      <w:marRight w:val="0"/>
      <w:marTop w:val="0"/>
      <w:marBottom w:val="0"/>
      <w:divBdr>
        <w:top w:val="none" w:sz="0" w:space="0" w:color="auto"/>
        <w:left w:val="none" w:sz="0" w:space="0" w:color="auto"/>
        <w:bottom w:val="none" w:sz="0" w:space="0" w:color="auto"/>
        <w:right w:val="none" w:sz="0" w:space="0" w:color="auto"/>
      </w:divBdr>
    </w:div>
    <w:div w:id="709300034">
      <w:bodyDiv w:val="1"/>
      <w:marLeft w:val="0"/>
      <w:marRight w:val="0"/>
      <w:marTop w:val="0"/>
      <w:marBottom w:val="0"/>
      <w:divBdr>
        <w:top w:val="none" w:sz="0" w:space="0" w:color="auto"/>
        <w:left w:val="none" w:sz="0" w:space="0" w:color="auto"/>
        <w:bottom w:val="none" w:sz="0" w:space="0" w:color="auto"/>
        <w:right w:val="none" w:sz="0" w:space="0" w:color="auto"/>
      </w:divBdr>
    </w:div>
    <w:div w:id="713623240">
      <w:bodyDiv w:val="1"/>
      <w:marLeft w:val="0"/>
      <w:marRight w:val="0"/>
      <w:marTop w:val="0"/>
      <w:marBottom w:val="0"/>
      <w:divBdr>
        <w:top w:val="none" w:sz="0" w:space="0" w:color="auto"/>
        <w:left w:val="none" w:sz="0" w:space="0" w:color="auto"/>
        <w:bottom w:val="none" w:sz="0" w:space="0" w:color="auto"/>
        <w:right w:val="none" w:sz="0" w:space="0" w:color="auto"/>
      </w:divBdr>
    </w:div>
    <w:div w:id="726805937">
      <w:bodyDiv w:val="1"/>
      <w:marLeft w:val="0"/>
      <w:marRight w:val="0"/>
      <w:marTop w:val="0"/>
      <w:marBottom w:val="0"/>
      <w:divBdr>
        <w:top w:val="none" w:sz="0" w:space="0" w:color="auto"/>
        <w:left w:val="none" w:sz="0" w:space="0" w:color="auto"/>
        <w:bottom w:val="none" w:sz="0" w:space="0" w:color="auto"/>
        <w:right w:val="none" w:sz="0" w:space="0" w:color="auto"/>
      </w:divBdr>
    </w:div>
    <w:div w:id="727146331">
      <w:bodyDiv w:val="1"/>
      <w:marLeft w:val="0"/>
      <w:marRight w:val="0"/>
      <w:marTop w:val="0"/>
      <w:marBottom w:val="0"/>
      <w:divBdr>
        <w:top w:val="none" w:sz="0" w:space="0" w:color="auto"/>
        <w:left w:val="none" w:sz="0" w:space="0" w:color="auto"/>
        <w:bottom w:val="none" w:sz="0" w:space="0" w:color="auto"/>
        <w:right w:val="none" w:sz="0" w:space="0" w:color="auto"/>
      </w:divBdr>
    </w:div>
    <w:div w:id="727150314">
      <w:bodyDiv w:val="1"/>
      <w:marLeft w:val="0"/>
      <w:marRight w:val="0"/>
      <w:marTop w:val="0"/>
      <w:marBottom w:val="0"/>
      <w:divBdr>
        <w:top w:val="none" w:sz="0" w:space="0" w:color="auto"/>
        <w:left w:val="none" w:sz="0" w:space="0" w:color="auto"/>
        <w:bottom w:val="none" w:sz="0" w:space="0" w:color="auto"/>
        <w:right w:val="none" w:sz="0" w:space="0" w:color="auto"/>
      </w:divBdr>
    </w:div>
    <w:div w:id="727266601">
      <w:bodyDiv w:val="1"/>
      <w:marLeft w:val="0"/>
      <w:marRight w:val="0"/>
      <w:marTop w:val="0"/>
      <w:marBottom w:val="0"/>
      <w:divBdr>
        <w:top w:val="none" w:sz="0" w:space="0" w:color="auto"/>
        <w:left w:val="none" w:sz="0" w:space="0" w:color="auto"/>
        <w:bottom w:val="none" w:sz="0" w:space="0" w:color="auto"/>
        <w:right w:val="none" w:sz="0" w:space="0" w:color="auto"/>
      </w:divBdr>
    </w:div>
    <w:div w:id="731346456">
      <w:bodyDiv w:val="1"/>
      <w:marLeft w:val="0"/>
      <w:marRight w:val="0"/>
      <w:marTop w:val="0"/>
      <w:marBottom w:val="0"/>
      <w:divBdr>
        <w:top w:val="none" w:sz="0" w:space="0" w:color="auto"/>
        <w:left w:val="none" w:sz="0" w:space="0" w:color="auto"/>
        <w:bottom w:val="none" w:sz="0" w:space="0" w:color="auto"/>
        <w:right w:val="none" w:sz="0" w:space="0" w:color="auto"/>
      </w:divBdr>
    </w:div>
    <w:div w:id="739138461">
      <w:bodyDiv w:val="1"/>
      <w:marLeft w:val="0"/>
      <w:marRight w:val="0"/>
      <w:marTop w:val="0"/>
      <w:marBottom w:val="0"/>
      <w:divBdr>
        <w:top w:val="none" w:sz="0" w:space="0" w:color="auto"/>
        <w:left w:val="none" w:sz="0" w:space="0" w:color="auto"/>
        <w:bottom w:val="none" w:sz="0" w:space="0" w:color="auto"/>
        <w:right w:val="none" w:sz="0" w:space="0" w:color="auto"/>
      </w:divBdr>
    </w:div>
    <w:div w:id="740104201">
      <w:bodyDiv w:val="1"/>
      <w:marLeft w:val="0"/>
      <w:marRight w:val="0"/>
      <w:marTop w:val="0"/>
      <w:marBottom w:val="0"/>
      <w:divBdr>
        <w:top w:val="none" w:sz="0" w:space="0" w:color="auto"/>
        <w:left w:val="none" w:sz="0" w:space="0" w:color="auto"/>
        <w:bottom w:val="none" w:sz="0" w:space="0" w:color="auto"/>
        <w:right w:val="none" w:sz="0" w:space="0" w:color="auto"/>
      </w:divBdr>
    </w:div>
    <w:div w:id="743455629">
      <w:bodyDiv w:val="1"/>
      <w:marLeft w:val="0"/>
      <w:marRight w:val="0"/>
      <w:marTop w:val="0"/>
      <w:marBottom w:val="0"/>
      <w:divBdr>
        <w:top w:val="none" w:sz="0" w:space="0" w:color="auto"/>
        <w:left w:val="none" w:sz="0" w:space="0" w:color="auto"/>
        <w:bottom w:val="none" w:sz="0" w:space="0" w:color="auto"/>
        <w:right w:val="none" w:sz="0" w:space="0" w:color="auto"/>
      </w:divBdr>
    </w:div>
    <w:div w:id="751239177">
      <w:bodyDiv w:val="1"/>
      <w:marLeft w:val="0"/>
      <w:marRight w:val="0"/>
      <w:marTop w:val="0"/>
      <w:marBottom w:val="0"/>
      <w:divBdr>
        <w:top w:val="none" w:sz="0" w:space="0" w:color="auto"/>
        <w:left w:val="none" w:sz="0" w:space="0" w:color="auto"/>
        <w:bottom w:val="none" w:sz="0" w:space="0" w:color="auto"/>
        <w:right w:val="none" w:sz="0" w:space="0" w:color="auto"/>
      </w:divBdr>
    </w:div>
    <w:div w:id="765274949">
      <w:bodyDiv w:val="1"/>
      <w:marLeft w:val="0"/>
      <w:marRight w:val="0"/>
      <w:marTop w:val="0"/>
      <w:marBottom w:val="0"/>
      <w:divBdr>
        <w:top w:val="none" w:sz="0" w:space="0" w:color="auto"/>
        <w:left w:val="none" w:sz="0" w:space="0" w:color="auto"/>
        <w:bottom w:val="none" w:sz="0" w:space="0" w:color="auto"/>
        <w:right w:val="none" w:sz="0" w:space="0" w:color="auto"/>
      </w:divBdr>
    </w:div>
    <w:div w:id="771128336">
      <w:bodyDiv w:val="1"/>
      <w:marLeft w:val="0"/>
      <w:marRight w:val="0"/>
      <w:marTop w:val="0"/>
      <w:marBottom w:val="0"/>
      <w:divBdr>
        <w:top w:val="none" w:sz="0" w:space="0" w:color="auto"/>
        <w:left w:val="none" w:sz="0" w:space="0" w:color="auto"/>
        <w:bottom w:val="none" w:sz="0" w:space="0" w:color="auto"/>
        <w:right w:val="none" w:sz="0" w:space="0" w:color="auto"/>
      </w:divBdr>
    </w:div>
    <w:div w:id="778454550">
      <w:bodyDiv w:val="1"/>
      <w:marLeft w:val="0"/>
      <w:marRight w:val="0"/>
      <w:marTop w:val="0"/>
      <w:marBottom w:val="0"/>
      <w:divBdr>
        <w:top w:val="none" w:sz="0" w:space="0" w:color="auto"/>
        <w:left w:val="none" w:sz="0" w:space="0" w:color="auto"/>
        <w:bottom w:val="none" w:sz="0" w:space="0" w:color="auto"/>
        <w:right w:val="none" w:sz="0" w:space="0" w:color="auto"/>
      </w:divBdr>
    </w:div>
    <w:div w:id="780026766">
      <w:bodyDiv w:val="1"/>
      <w:marLeft w:val="0"/>
      <w:marRight w:val="0"/>
      <w:marTop w:val="0"/>
      <w:marBottom w:val="0"/>
      <w:divBdr>
        <w:top w:val="none" w:sz="0" w:space="0" w:color="auto"/>
        <w:left w:val="none" w:sz="0" w:space="0" w:color="auto"/>
        <w:bottom w:val="none" w:sz="0" w:space="0" w:color="auto"/>
        <w:right w:val="none" w:sz="0" w:space="0" w:color="auto"/>
      </w:divBdr>
    </w:div>
    <w:div w:id="781337200">
      <w:bodyDiv w:val="1"/>
      <w:marLeft w:val="0"/>
      <w:marRight w:val="0"/>
      <w:marTop w:val="0"/>
      <w:marBottom w:val="0"/>
      <w:divBdr>
        <w:top w:val="none" w:sz="0" w:space="0" w:color="auto"/>
        <w:left w:val="none" w:sz="0" w:space="0" w:color="auto"/>
        <w:bottom w:val="none" w:sz="0" w:space="0" w:color="auto"/>
        <w:right w:val="none" w:sz="0" w:space="0" w:color="auto"/>
      </w:divBdr>
      <w:divsChild>
        <w:div w:id="1410616623">
          <w:marLeft w:val="0"/>
          <w:marRight w:val="0"/>
          <w:marTop w:val="0"/>
          <w:marBottom w:val="0"/>
          <w:divBdr>
            <w:top w:val="none" w:sz="0" w:space="0" w:color="auto"/>
            <w:left w:val="none" w:sz="0" w:space="0" w:color="auto"/>
            <w:bottom w:val="none" w:sz="0" w:space="0" w:color="auto"/>
            <w:right w:val="none" w:sz="0" w:space="0" w:color="auto"/>
          </w:divBdr>
        </w:div>
      </w:divsChild>
    </w:div>
    <w:div w:id="784615380">
      <w:bodyDiv w:val="1"/>
      <w:marLeft w:val="0"/>
      <w:marRight w:val="0"/>
      <w:marTop w:val="0"/>
      <w:marBottom w:val="0"/>
      <w:divBdr>
        <w:top w:val="none" w:sz="0" w:space="0" w:color="auto"/>
        <w:left w:val="none" w:sz="0" w:space="0" w:color="auto"/>
        <w:bottom w:val="none" w:sz="0" w:space="0" w:color="auto"/>
        <w:right w:val="none" w:sz="0" w:space="0" w:color="auto"/>
      </w:divBdr>
    </w:div>
    <w:div w:id="786193288">
      <w:bodyDiv w:val="1"/>
      <w:marLeft w:val="0"/>
      <w:marRight w:val="0"/>
      <w:marTop w:val="0"/>
      <w:marBottom w:val="0"/>
      <w:divBdr>
        <w:top w:val="none" w:sz="0" w:space="0" w:color="auto"/>
        <w:left w:val="none" w:sz="0" w:space="0" w:color="auto"/>
        <w:bottom w:val="none" w:sz="0" w:space="0" w:color="auto"/>
        <w:right w:val="none" w:sz="0" w:space="0" w:color="auto"/>
      </w:divBdr>
    </w:div>
    <w:div w:id="788159149">
      <w:bodyDiv w:val="1"/>
      <w:marLeft w:val="0"/>
      <w:marRight w:val="0"/>
      <w:marTop w:val="0"/>
      <w:marBottom w:val="0"/>
      <w:divBdr>
        <w:top w:val="none" w:sz="0" w:space="0" w:color="auto"/>
        <w:left w:val="none" w:sz="0" w:space="0" w:color="auto"/>
        <w:bottom w:val="none" w:sz="0" w:space="0" w:color="auto"/>
        <w:right w:val="none" w:sz="0" w:space="0" w:color="auto"/>
      </w:divBdr>
    </w:div>
    <w:div w:id="791360336">
      <w:bodyDiv w:val="1"/>
      <w:marLeft w:val="0"/>
      <w:marRight w:val="0"/>
      <w:marTop w:val="0"/>
      <w:marBottom w:val="0"/>
      <w:divBdr>
        <w:top w:val="none" w:sz="0" w:space="0" w:color="auto"/>
        <w:left w:val="none" w:sz="0" w:space="0" w:color="auto"/>
        <w:bottom w:val="none" w:sz="0" w:space="0" w:color="auto"/>
        <w:right w:val="none" w:sz="0" w:space="0" w:color="auto"/>
      </w:divBdr>
    </w:div>
    <w:div w:id="809399438">
      <w:bodyDiv w:val="1"/>
      <w:marLeft w:val="0"/>
      <w:marRight w:val="0"/>
      <w:marTop w:val="0"/>
      <w:marBottom w:val="0"/>
      <w:divBdr>
        <w:top w:val="none" w:sz="0" w:space="0" w:color="auto"/>
        <w:left w:val="none" w:sz="0" w:space="0" w:color="auto"/>
        <w:bottom w:val="none" w:sz="0" w:space="0" w:color="auto"/>
        <w:right w:val="none" w:sz="0" w:space="0" w:color="auto"/>
      </w:divBdr>
    </w:div>
    <w:div w:id="811799744">
      <w:bodyDiv w:val="1"/>
      <w:marLeft w:val="0"/>
      <w:marRight w:val="0"/>
      <w:marTop w:val="0"/>
      <w:marBottom w:val="0"/>
      <w:divBdr>
        <w:top w:val="none" w:sz="0" w:space="0" w:color="auto"/>
        <w:left w:val="none" w:sz="0" w:space="0" w:color="auto"/>
        <w:bottom w:val="none" w:sz="0" w:space="0" w:color="auto"/>
        <w:right w:val="none" w:sz="0" w:space="0" w:color="auto"/>
      </w:divBdr>
    </w:div>
    <w:div w:id="817183929">
      <w:bodyDiv w:val="1"/>
      <w:marLeft w:val="0"/>
      <w:marRight w:val="0"/>
      <w:marTop w:val="0"/>
      <w:marBottom w:val="0"/>
      <w:divBdr>
        <w:top w:val="none" w:sz="0" w:space="0" w:color="auto"/>
        <w:left w:val="none" w:sz="0" w:space="0" w:color="auto"/>
        <w:bottom w:val="none" w:sz="0" w:space="0" w:color="auto"/>
        <w:right w:val="none" w:sz="0" w:space="0" w:color="auto"/>
      </w:divBdr>
    </w:div>
    <w:div w:id="823356212">
      <w:bodyDiv w:val="1"/>
      <w:marLeft w:val="0"/>
      <w:marRight w:val="0"/>
      <w:marTop w:val="0"/>
      <w:marBottom w:val="0"/>
      <w:divBdr>
        <w:top w:val="none" w:sz="0" w:space="0" w:color="auto"/>
        <w:left w:val="none" w:sz="0" w:space="0" w:color="auto"/>
        <w:bottom w:val="none" w:sz="0" w:space="0" w:color="auto"/>
        <w:right w:val="none" w:sz="0" w:space="0" w:color="auto"/>
      </w:divBdr>
    </w:div>
    <w:div w:id="824974432">
      <w:bodyDiv w:val="1"/>
      <w:marLeft w:val="0"/>
      <w:marRight w:val="0"/>
      <w:marTop w:val="0"/>
      <w:marBottom w:val="0"/>
      <w:divBdr>
        <w:top w:val="none" w:sz="0" w:space="0" w:color="auto"/>
        <w:left w:val="none" w:sz="0" w:space="0" w:color="auto"/>
        <w:bottom w:val="none" w:sz="0" w:space="0" w:color="auto"/>
        <w:right w:val="none" w:sz="0" w:space="0" w:color="auto"/>
      </w:divBdr>
    </w:div>
    <w:div w:id="832650449">
      <w:bodyDiv w:val="1"/>
      <w:marLeft w:val="0"/>
      <w:marRight w:val="0"/>
      <w:marTop w:val="0"/>
      <w:marBottom w:val="0"/>
      <w:divBdr>
        <w:top w:val="none" w:sz="0" w:space="0" w:color="auto"/>
        <w:left w:val="none" w:sz="0" w:space="0" w:color="auto"/>
        <w:bottom w:val="none" w:sz="0" w:space="0" w:color="auto"/>
        <w:right w:val="none" w:sz="0" w:space="0" w:color="auto"/>
      </w:divBdr>
    </w:div>
    <w:div w:id="834877904">
      <w:bodyDiv w:val="1"/>
      <w:marLeft w:val="0"/>
      <w:marRight w:val="0"/>
      <w:marTop w:val="0"/>
      <w:marBottom w:val="0"/>
      <w:divBdr>
        <w:top w:val="none" w:sz="0" w:space="0" w:color="auto"/>
        <w:left w:val="none" w:sz="0" w:space="0" w:color="auto"/>
        <w:bottom w:val="none" w:sz="0" w:space="0" w:color="auto"/>
        <w:right w:val="none" w:sz="0" w:space="0" w:color="auto"/>
      </w:divBdr>
    </w:div>
    <w:div w:id="837960686">
      <w:bodyDiv w:val="1"/>
      <w:marLeft w:val="0"/>
      <w:marRight w:val="0"/>
      <w:marTop w:val="0"/>
      <w:marBottom w:val="0"/>
      <w:divBdr>
        <w:top w:val="none" w:sz="0" w:space="0" w:color="auto"/>
        <w:left w:val="none" w:sz="0" w:space="0" w:color="auto"/>
        <w:bottom w:val="none" w:sz="0" w:space="0" w:color="auto"/>
        <w:right w:val="none" w:sz="0" w:space="0" w:color="auto"/>
      </w:divBdr>
    </w:div>
    <w:div w:id="853112836">
      <w:bodyDiv w:val="1"/>
      <w:marLeft w:val="0"/>
      <w:marRight w:val="0"/>
      <w:marTop w:val="0"/>
      <w:marBottom w:val="0"/>
      <w:divBdr>
        <w:top w:val="none" w:sz="0" w:space="0" w:color="auto"/>
        <w:left w:val="none" w:sz="0" w:space="0" w:color="auto"/>
        <w:bottom w:val="none" w:sz="0" w:space="0" w:color="auto"/>
        <w:right w:val="none" w:sz="0" w:space="0" w:color="auto"/>
      </w:divBdr>
    </w:div>
    <w:div w:id="859509702">
      <w:bodyDiv w:val="1"/>
      <w:marLeft w:val="0"/>
      <w:marRight w:val="0"/>
      <w:marTop w:val="0"/>
      <w:marBottom w:val="0"/>
      <w:divBdr>
        <w:top w:val="none" w:sz="0" w:space="0" w:color="auto"/>
        <w:left w:val="none" w:sz="0" w:space="0" w:color="auto"/>
        <w:bottom w:val="none" w:sz="0" w:space="0" w:color="auto"/>
        <w:right w:val="none" w:sz="0" w:space="0" w:color="auto"/>
      </w:divBdr>
    </w:div>
    <w:div w:id="859929029">
      <w:bodyDiv w:val="1"/>
      <w:marLeft w:val="0"/>
      <w:marRight w:val="0"/>
      <w:marTop w:val="0"/>
      <w:marBottom w:val="0"/>
      <w:divBdr>
        <w:top w:val="none" w:sz="0" w:space="0" w:color="auto"/>
        <w:left w:val="none" w:sz="0" w:space="0" w:color="auto"/>
        <w:bottom w:val="none" w:sz="0" w:space="0" w:color="auto"/>
        <w:right w:val="none" w:sz="0" w:space="0" w:color="auto"/>
      </w:divBdr>
    </w:div>
    <w:div w:id="878787217">
      <w:bodyDiv w:val="1"/>
      <w:marLeft w:val="0"/>
      <w:marRight w:val="0"/>
      <w:marTop w:val="0"/>
      <w:marBottom w:val="0"/>
      <w:divBdr>
        <w:top w:val="none" w:sz="0" w:space="0" w:color="auto"/>
        <w:left w:val="none" w:sz="0" w:space="0" w:color="auto"/>
        <w:bottom w:val="none" w:sz="0" w:space="0" w:color="auto"/>
        <w:right w:val="none" w:sz="0" w:space="0" w:color="auto"/>
      </w:divBdr>
    </w:div>
    <w:div w:id="880552710">
      <w:bodyDiv w:val="1"/>
      <w:marLeft w:val="0"/>
      <w:marRight w:val="0"/>
      <w:marTop w:val="0"/>
      <w:marBottom w:val="0"/>
      <w:divBdr>
        <w:top w:val="none" w:sz="0" w:space="0" w:color="auto"/>
        <w:left w:val="none" w:sz="0" w:space="0" w:color="auto"/>
        <w:bottom w:val="none" w:sz="0" w:space="0" w:color="auto"/>
        <w:right w:val="none" w:sz="0" w:space="0" w:color="auto"/>
      </w:divBdr>
    </w:div>
    <w:div w:id="882903881">
      <w:bodyDiv w:val="1"/>
      <w:marLeft w:val="0"/>
      <w:marRight w:val="0"/>
      <w:marTop w:val="0"/>
      <w:marBottom w:val="0"/>
      <w:divBdr>
        <w:top w:val="none" w:sz="0" w:space="0" w:color="auto"/>
        <w:left w:val="none" w:sz="0" w:space="0" w:color="auto"/>
        <w:bottom w:val="none" w:sz="0" w:space="0" w:color="auto"/>
        <w:right w:val="none" w:sz="0" w:space="0" w:color="auto"/>
      </w:divBdr>
    </w:div>
    <w:div w:id="883059179">
      <w:bodyDiv w:val="1"/>
      <w:marLeft w:val="0"/>
      <w:marRight w:val="0"/>
      <w:marTop w:val="0"/>
      <w:marBottom w:val="0"/>
      <w:divBdr>
        <w:top w:val="none" w:sz="0" w:space="0" w:color="auto"/>
        <w:left w:val="none" w:sz="0" w:space="0" w:color="auto"/>
        <w:bottom w:val="none" w:sz="0" w:space="0" w:color="auto"/>
        <w:right w:val="none" w:sz="0" w:space="0" w:color="auto"/>
      </w:divBdr>
    </w:div>
    <w:div w:id="884026193">
      <w:bodyDiv w:val="1"/>
      <w:marLeft w:val="0"/>
      <w:marRight w:val="0"/>
      <w:marTop w:val="0"/>
      <w:marBottom w:val="0"/>
      <w:divBdr>
        <w:top w:val="none" w:sz="0" w:space="0" w:color="auto"/>
        <w:left w:val="none" w:sz="0" w:space="0" w:color="auto"/>
        <w:bottom w:val="none" w:sz="0" w:space="0" w:color="auto"/>
        <w:right w:val="none" w:sz="0" w:space="0" w:color="auto"/>
      </w:divBdr>
    </w:div>
    <w:div w:id="891961869">
      <w:bodyDiv w:val="1"/>
      <w:marLeft w:val="0"/>
      <w:marRight w:val="0"/>
      <w:marTop w:val="0"/>
      <w:marBottom w:val="0"/>
      <w:divBdr>
        <w:top w:val="none" w:sz="0" w:space="0" w:color="auto"/>
        <w:left w:val="none" w:sz="0" w:space="0" w:color="auto"/>
        <w:bottom w:val="none" w:sz="0" w:space="0" w:color="auto"/>
        <w:right w:val="none" w:sz="0" w:space="0" w:color="auto"/>
      </w:divBdr>
    </w:div>
    <w:div w:id="899753088">
      <w:bodyDiv w:val="1"/>
      <w:marLeft w:val="0"/>
      <w:marRight w:val="0"/>
      <w:marTop w:val="0"/>
      <w:marBottom w:val="0"/>
      <w:divBdr>
        <w:top w:val="none" w:sz="0" w:space="0" w:color="auto"/>
        <w:left w:val="none" w:sz="0" w:space="0" w:color="auto"/>
        <w:bottom w:val="none" w:sz="0" w:space="0" w:color="auto"/>
        <w:right w:val="none" w:sz="0" w:space="0" w:color="auto"/>
      </w:divBdr>
    </w:div>
    <w:div w:id="909734619">
      <w:bodyDiv w:val="1"/>
      <w:marLeft w:val="0"/>
      <w:marRight w:val="0"/>
      <w:marTop w:val="0"/>
      <w:marBottom w:val="0"/>
      <w:divBdr>
        <w:top w:val="none" w:sz="0" w:space="0" w:color="auto"/>
        <w:left w:val="none" w:sz="0" w:space="0" w:color="auto"/>
        <w:bottom w:val="none" w:sz="0" w:space="0" w:color="auto"/>
        <w:right w:val="none" w:sz="0" w:space="0" w:color="auto"/>
      </w:divBdr>
    </w:div>
    <w:div w:id="914318101">
      <w:bodyDiv w:val="1"/>
      <w:marLeft w:val="0"/>
      <w:marRight w:val="0"/>
      <w:marTop w:val="0"/>
      <w:marBottom w:val="0"/>
      <w:divBdr>
        <w:top w:val="none" w:sz="0" w:space="0" w:color="auto"/>
        <w:left w:val="none" w:sz="0" w:space="0" w:color="auto"/>
        <w:bottom w:val="none" w:sz="0" w:space="0" w:color="auto"/>
        <w:right w:val="none" w:sz="0" w:space="0" w:color="auto"/>
      </w:divBdr>
    </w:div>
    <w:div w:id="924147633">
      <w:bodyDiv w:val="1"/>
      <w:marLeft w:val="0"/>
      <w:marRight w:val="0"/>
      <w:marTop w:val="0"/>
      <w:marBottom w:val="0"/>
      <w:divBdr>
        <w:top w:val="none" w:sz="0" w:space="0" w:color="auto"/>
        <w:left w:val="none" w:sz="0" w:space="0" w:color="auto"/>
        <w:bottom w:val="none" w:sz="0" w:space="0" w:color="auto"/>
        <w:right w:val="none" w:sz="0" w:space="0" w:color="auto"/>
      </w:divBdr>
    </w:div>
    <w:div w:id="951402373">
      <w:bodyDiv w:val="1"/>
      <w:marLeft w:val="0"/>
      <w:marRight w:val="0"/>
      <w:marTop w:val="0"/>
      <w:marBottom w:val="0"/>
      <w:divBdr>
        <w:top w:val="none" w:sz="0" w:space="0" w:color="auto"/>
        <w:left w:val="none" w:sz="0" w:space="0" w:color="auto"/>
        <w:bottom w:val="none" w:sz="0" w:space="0" w:color="auto"/>
        <w:right w:val="none" w:sz="0" w:space="0" w:color="auto"/>
      </w:divBdr>
    </w:div>
    <w:div w:id="952132782">
      <w:bodyDiv w:val="1"/>
      <w:marLeft w:val="0"/>
      <w:marRight w:val="0"/>
      <w:marTop w:val="0"/>
      <w:marBottom w:val="0"/>
      <w:divBdr>
        <w:top w:val="none" w:sz="0" w:space="0" w:color="auto"/>
        <w:left w:val="none" w:sz="0" w:space="0" w:color="auto"/>
        <w:bottom w:val="none" w:sz="0" w:space="0" w:color="auto"/>
        <w:right w:val="none" w:sz="0" w:space="0" w:color="auto"/>
      </w:divBdr>
    </w:div>
    <w:div w:id="956645876">
      <w:bodyDiv w:val="1"/>
      <w:marLeft w:val="0"/>
      <w:marRight w:val="0"/>
      <w:marTop w:val="0"/>
      <w:marBottom w:val="0"/>
      <w:divBdr>
        <w:top w:val="none" w:sz="0" w:space="0" w:color="auto"/>
        <w:left w:val="none" w:sz="0" w:space="0" w:color="auto"/>
        <w:bottom w:val="none" w:sz="0" w:space="0" w:color="auto"/>
        <w:right w:val="none" w:sz="0" w:space="0" w:color="auto"/>
      </w:divBdr>
    </w:div>
    <w:div w:id="981731605">
      <w:bodyDiv w:val="1"/>
      <w:marLeft w:val="0"/>
      <w:marRight w:val="0"/>
      <w:marTop w:val="0"/>
      <w:marBottom w:val="0"/>
      <w:divBdr>
        <w:top w:val="none" w:sz="0" w:space="0" w:color="auto"/>
        <w:left w:val="none" w:sz="0" w:space="0" w:color="auto"/>
        <w:bottom w:val="none" w:sz="0" w:space="0" w:color="auto"/>
        <w:right w:val="none" w:sz="0" w:space="0" w:color="auto"/>
      </w:divBdr>
    </w:div>
    <w:div w:id="981958297">
      <w:bodyDiv w:val="1"/>
      <w:marLeft w:val="0"/>
      <w:marRight w:val="0"/>
      <w:marTop w:val="0"/>
      <w:marBottom w:val="0"/>
      <w:divBdr>
        <w:top w:val="none" w:sz="0" w:space="0" w:color="auto"/>
        <w:left w:val="none" w:sz="0" w:space="0" w:color="auto"/>
        <w:bottom w:val="none" w:sz="0" w:space="0" w:color="auto"/>
        <w:right w:val="none" w:sz="0" w:space="0" w:color="auto"/>
      </w:divBdr>
    </w:div>
    <w:div w:id="994408858">
      <w:bodyDiv w:val="1"/>
      <w:marLeft w:val="0"/>
      <w:marRight w:val="0"/>
      <w:marTop w:val="0"/>
      <w:marBottom w:val="0"/>
      <w:divBdr>
        <w:top w:val="none" w:sz="0" w:space="0" w:color="auto"/>
        <w:left w:val="none" w:sz="0" w:space="0" w:color="auto"/>
        <w:bottom w:val="none" w:sz="0" w:space="0" w:color="auto"/>
        <w:right w:val="none" w:sz="0" w:space="0" w:color="auto"/>
      </w:divBdr>
    </w:div>
    <w:div w:id="999620731">
      <w:bodyDiv w:val="1"/>
      <w:marLeft w:val="0"/>
      <w:marRight w:val="0"/>
      <w:marTop w:val="0"/>
      <w:marBottom w:val="0"/>
      <w:divBdr>
        <w:top w:val="none" w:sz="0" w:space="0" w:color="auto"/>
        <w:left w:val="none" w:sz="0" w:space="0" w:color="auto"/>
        <w:bottom w:val="none" w:sz="0" w:space="0" w:color="auto"/>
        <w:right w:val="none" w:sz="0" w:space="0" w:color="auto"/>
      </w:divBdr>
    </w:div>
    <w:div w:id="1005133025">
      <w:bodyDiv w:val="1"/>
      <w:marLeft w:val="0"/>
      <w:marRight w:val="0"/>
      <w:marTop w:val="0"/>
      <w:marBottom w:val="0"/>
      <w:divBdr>
        <w:top w:val="none" w:sz="0" w:space="0" w:color="auto"/>
        <w:left w:val="none" w:sz="0" w:space="0" w:color="auto"/>
        <w:bottom w:val="none" w:sz="0" w:space="0" w:color="auto"/>
        <w:right w:val="none" w:sz="0" w:space="0" w:color="auto"/>
      </w:divBdr>
    </w:div>
    <w:div w:id="1009598375">
      <w:bodyDiv w:val="1"/>
      <w:marLeft w:val="0"/>
      <w:marRight w:val="0"/>
      <w:marTop w:val="0"/>
      <w:marBottom w:val="0"/>
      <w:divBdr>
        <w:top w:val="none" w:sz="0" w:space="0" w:color="auto"/>
        <w:left w:val="none" w:sz="0" w:space="0" w:color="auto"/>
        <w:bottom w:val="none" w:sz="0" w:space="0" w:color="auto"/>
        <w:right w:val="none" w:sz="0" w:space="0" w:color="auto"/>
      </w:divBdr>
    </w:div>
    <w:div w:id="1012532573">
      <w:bodyDiv w:val="1"/>
      <w:marLeft w:val="0"/>
      <w:marRight w:val="0"/>
      <w:marTop w:val="0"/>
      <w:marBottom w:val="0"/>
      <w:divBdr>
        <w:top w:val="none" w:sz="0" w:space="0" w:color="auto"/>
        <w:left w:val="none" w:sz="0" w:space="0" w:color="auto"/>
        <w:bottom w:val="none" w:sz="0" w:space="0" w:color="auto"/>
        <w:right w:val="none" w:sz="0" w:space="0" w:color="auto"/>
      </w:divBdr>
    </w:div>
    <w:div w:id="1019509925">
      <w:bodyDiv w:val="1"/>
      <w:marLeft w:val="0"/>
      <w:marRight w:val="0"/>
      <w:marTop w:val="0"/>
      <w:marBottom w:val="0"/>
      <w:divBdr>
        <w:top w:val="none" w:sz="0" w:space="0" w:color="auto"/>
        <w:left w:val="none" w:sz="0" w:space="0" w:color="auto"/>
        <w:bottom w:val="none" w:sz="0" w:space="0" w:color="auto"/>
        <w:right w:val="none" w:sz="0" w:space="0" w:color="auto"/>
      </w:divBdr>
    </w:div>
    <w:div w:id="1020856553">
      <w:bodyDiv w:val="1"/>
      <w:marLeft w:val="0"/>
      <w:marRight w:val="0"/>
      <w:marTop w:val="0"/>
      <w:marBottom w:val="0"/>
      <w:divBdr>
        <w:top w:val="none" w:sz="0" w:space="0" w:color="auto"/>
        <w:left w:val="none" w:sz="0" w:space="0" w:color="auto"/>
        <w:bottom w:val="none" w:sz="0" w:space="0" w:color="auto"/>
        <w:right w:val="none" w:sz="0" w:space="0" w:color="auto"/>
      </w:divBdr>
    </w:div>
    <w:div w:id="1022586084">
      <w:bodyDiv w:val="1"/>
      <w:marLeft w:val="0"/>
      <w:marRight w:val="0"/>
      <w:marTop w:val="0"/>
      <w:marBottom w:val="0"/>
      <w:divBdr>
        <w:top w:val="none" w:sz="0" w:space="0" w:color="auto"/>
        <w:left w:val="none" w:sz="0" w:space="0" w:color="auto"/>
        <w:bottom w:val="none" w:sz="0" w:space="0" w:color="auto"/>
        <w:right w:val="none" w:sz="0" w:space="0" w:color="auto"/>
      </w:divBdr>
    </w:div>
    <w:div w:id="1023483747">
      <w:bodyDiv w:val="1"/>
      <w:marLeft w:val="0"/>
      <w:marRight w:val="0"/>
      <w:marTop w:val="0"/>
      <w:marBottom w:val="0"/>
      <w:divBdr>
        <w:top w:val="none" w:sz="0" w:space="0" w:color="auto"/>
        <w:left w:val="none" w:sz="0" w:space="0" w:color="auto"/>
        <w:bottom w:val="none" w:sz="0" w:space="0" w:color="auto"/>
        <w:right w:val="none" w:sz="0" w:space="0" w:color="auto"/>
      </w:divBdr>
    </w:div>
    <w:div w:id="1030376548">
      <w:bodyDiv w:val="1"/>
      <w:marLeft w:val="0"/>
      <w:marRight w:val="0"/>
      <w:marTop w:val="0"/>
      <w:marBottom w:val="0"/>
      <w:divBdr>
        <w:top w:val="none" w:sz="0" w:space="0" w:color="auto"/>
        <w:left w:val="none" w:sz="0" w:space="0" w:color="auto"/>
        <w:bottom w:val="none" w:sz="0" w:space="0" w:color="auto"/>
        <w:right w:val="none" w:sz="0" w:space="0" w:color="auto"/>
      </w:divBdr>
    </w:div>
    <w:div w:id="1043136939">
      <w:bodyDiv w:val="1"/>
      <w:marLeft w:val="0"/>
      <w:marRight w:val="0"/>
      <w:marTop w:val="0"/>
      <w:marBottom w:val="0"/>
      <w:divBdr>
        <w:top w:val="none" w:sz="0" w:space="0" w:color="auto"/>
        <w:left w:val="none" w:sz="0" w:space="0" w:color="auto"/>
        <w:bottom w:val="none" w:sz="0" w:space="0" w:color="auto"/>
        <w:right w:val="none" w:sz="0" w:space="0" w:color="auto"/>
      </w:divBdr>
    </w:div>
    <w:div w:id="1044406939">
      <w:bodyDiv w:val="1"/>
      <w:marLeft w:val="0"/>
      <w:marRight w:val="0"/>
      <w:marTop w:val="0"/>
      <w:marBottom w:val="0"/>
      <w:divBdr>
        <w:top w:val="none" w:sz="0" w:space="0" w:color="auto"/>
        <w:left w:val="none" w:sz="0" w:space="0" w:color="auto"/>
        <w:bottom w:val="none" w:sz="0" w:space="0" w:color="auto"/>
        <w:right w:val="none" w:sz="0" w:space="0" w:color="auto"/>
      </w:divBdr>
    </w:div>
    <w:div w:id="1050349044">
      <w:bodyDiv w:val="1"/>
      <w:marLeft w:val="0"/>
      <w:marRight w:val="0"/>
      <w:marTop w:val="0"/>
      <w:marBottom w:val="0"/>
      <w:divBdr>
        <w:top w:val="none" w:sz="0" w:space="0" w:color="auto"/>
        <w:left w:val="none" w:sz="0" w:space="0" w:color="auto"/>
        <w:bottom w:val="none" w:sz="0" w:space="0" w:color="auto"/>
        <w:right w:val="none" w:sz="0" w:space="0" w:color="auto"/>
      </w:divBdr>
    </w:div>
    <w:div w:id="1053384942">
      <w:bodyDiv w:val="1"/>
      <w:marLeft w:val="0"/>
      <w:marRight w:val="0"/>
      <w:marTop w:val="0"/>
      <w:marBottom w:val="0"/>
      <w:divBdr>
        <w:top w:val="none" w:sz="0" w:space="0" w:color="auto"/>
        <w:left w:val="none" w:sz="0" w:space="0" w:color="auto"/>
        <w:bottom w:val="none" w:sz="0" w:space="0" w:color="auto"/>
        <w:right w:val="none" w:sz="0" w:space="0" w:color="auto"/>
      </w:divBdr>
    </w:div>
    <w:div w:id="1055198749">
      <w:bodyDiv w:val="1"/>
      <w:marLeft w:val="0"/>
      <w:marRight w:val="0"/>
      <w:marTop w:val="0"/>
      <w:marBottom w:val="0"/>
      <w:divBdr>
        <w:top w:val="none" w:sz="0" w:space="0" w:color="auto"/>
        <w:left w:val="none" w:sz="0" w:space="0" w:color="auto"/>
        <w:bottom w:val="none" w:sz="0" w:space="0" w:color="auto"/>
        <w:right w:val="none" w:sz="0" w:space="0" w:color="auto"/>
      </w:divBdr>
    </w:div>
    <w:div w:id="1065910088">
      <w:bodyDiv w:val="1"/>
      <w:marLeft w:val="0"/>
      <w:marRight w:val="0"/>
      <w:marTop w:val="0"/>
      <w:marBottom w:val="0"/>
      <w:divBdr>
        <w:top w:val="none" w:sz="0" w:space="0" w:color="auto"/>
        <w:left w:val="none" w:sz="0" w:space="0" w:color="auto"/>
        <w:bottom w:val="none" w:sz="0" w:space="0" w:color="auto"/>
        <w:right w:val="none" w:sz="0" w:space="0" w:color="auto"/>
      </w:divBdr>
    </w:div>
    <w:div w:id="1067265507">
      <w:bodyDiv w:val="1"/>
      <w:marLeft w:val="0"/>
      <w:marRight w:val="0"/>
      <w:marTop w:val="0"/>
      <w:marBottom w:val="0"/>
      <w:divBdr>
        <w:top w:val="none" w:sz="0" w:space="0" w:color="auto"/>
        <w:left w:val="none" w:sz="0" w:space="0" w:color="auto"/>
        <w:bottom w:val="none" w:sz="0" w:space="0" w:color="auto"/>
        <w:right w:val="none" w:sz="0" w:space="0" w:color="auto"/>
      </w:divBdr>
    </w:div>
    <w:div w:id="1069959429">
      <w:bodyDiv w:val="1"/>
      <w:marLeft w:val="0"/>
      <w:marRight w:val="0"/>
      <w:marTop w:val="0"/>
      <w:marBottom w:val="0"/>
      <w:divBdr>
        <w:top w:val="none" w:sz="0" w:space="0" w:color="auto"/>
        <w:left w:val="none" w:sz="0" w:space="0" w:color="auto"/>
        <w:bottom w:val="none" w:sz="0" w:space="0" w:color="auto"/>
        <w:right w:val="none" w:sz="0" w:space="0" w:color="auto"/>
      </w:divBdr>
    </w:div>
    <w:div w:id="1086925977">
      <w:bodyDiv w:val="1"/>
      <w:marLeft w:val="0"/>
      <w:marRight w:val="0"/>
      <w:marTop w:val="0"/>
      <w:marBottom w:val="0"/>
      <w:divBdr>
        <w:top w:val="none" w:sz="0" w:space="0" w:color="auto"/>
        <w:left w:val="none" w:sz="0" w:space="0" w:color="auto"/>
        <w:bottom w:val="none" w:sz="0" w:space="0" w:color="auto"/>
        <w:right w:val="none" w:sz="0" w:space="0" w:color="auto"/>
      </w:divBdr>
    </w:div>
    <w:div w:id="1090741120">
      <w:bodyDiv w:val="1"/>
      <w:marLeft w:val="0"/>
      <w:marRight w:val="0"/>
      <w:marTop w:val="0"/>
      <w:marBottom w:val="0"/>
      <w:divBdr>
        <w:top w:val="none" w:sz="0" w:space="0" w:color="auto"/>
        <w:left w:val="none" w:sz="0" w:space="0" w:color="auto"/>
        <w:bottom w:val="none" w:sz="0" w:space="0" w:color="auto"/>
        <w:right w:val="none" w:sz="0" w:space="0" w:color="auto"/>
      </w:divBdr>
    </w:div>
    <w:div w:id="1102265313">
      <w:bodyDiv w:val="1"/>
      <w:marLeft w:val="0"/>
      <w:marRight w:val="0"/>
      <w:marTop w:val="0"/>
      <w:marBottom w:val="0"/>
      <w:divBdr>
        <w:top w:val="none" w:sz="0" w:space="0" w:color="auto"/>
        <w:left w:val="none" w:sz="0" w:space="0" w:color="auto"/>
        <w:bottom w:val="none" w:sz="0" w:space="0" w:color="auto"/>
        <w:right w:val="none" w:sz="0" w:space="0" w:color="auto"/>
      </w:divBdr>
    </w:div>
    <w:div w:id="1105150680">
      <w:bodyDiv w:val="1"/>
      <w:marLeft w:val="0"/>
      <w:marRight w:val="0"/>
      <w:marTop w:val="0"/>
      <w:marBottom w:val="0"/>
      <w:divBdr>
        <w:top w:val="none" w:sz="0" w:space="0" w:color="auto"/>
        <w:left w:val="none" w:sz="0" w:space="0" w:color="auto"/>
        <w:bottom w:val="none" w:sz="0" w:space="0" w:color="auto"/>
        <w:right w:val="none" w:sz="0" w:space="0" w:color="auto"/>
      </w:divBdr>
    </w:div>
    <w:div w:id="1105151164">
      <w:bodyDiv w:val="1"/>
      <w:marLeft w:val="0"/>
      <w:marRight w:val="0"/>
      <w:marTop w:val="0"/>
      <w:marBottom w:val="0"/>
      <w:divBdr>
        <w:top w:val="none" w:sz="0" w:space="0" w:color="auto"/>
        <w:left w:val="none" w:sz="0" w:space="0" w:color="auto"/>
        <w:bottom w:val="none" w:sz="0" w:space="0" w:color="auto"/>
        <w:right w:val="none" w:sz="0" w:space="0" w:color="auto"/>
      </w:divBdr>
    </w:div>
    <w:div w:id="1114130245">
      <w:bodyDiv w:val="1"/>
      <w:marLeft w:val="0"/>
      <w:marRight w:val="0"/>
      <w:marTop w:val="0"/>
      <w:marBottom w:val="0"/>
      <w:divBdr>
        <w:top w:val="none" w:sz="0" w:space="0" w:color="auto"/>
        <w:left w:val="none" w:sz="0" w:space="0" w:color="auto"/>
        <w:bottom w:val="none" w:sz="0" w:space="0" w:color="auto"/>
        <w:right w:val="none" w:sz="0" w:space="0" w:color="auto"/>
      </w:divBdr>
    </w:div>
    <w:div w:id="1115245970">
      <w:bodyDiv w:val="1"/>
      <w:marLeft w:val="0"/>
      <w:marRight w:val="0"/>
      <w:marTop w:val="0"/>
      <w:marBottom w:val="0"/>
      <w:divBdr>
        <w:top w:val="none" w:sz="0" w:space="0" w:color="auto"/>
        <w:left w:val="none" w:sz="0" w:space="0" w:color="auto"/>
        <w:bottom w:val="none" w:sz="0" w:space="0" w:color="auto"/>
        <w:right w:val="none" w:sz="0" w:space="0" w:color="auto"/>
      </w:divBdr>
    </w:div>
    <w:div w:id="1116800098">
      <w:bodyDiv w:val="1"/>
      <w:marLeft w:val="0"/>
      <w:marRight w:val="0"/>
      <w:marTop w:val="0"/>
      <w:marBottom w:val="0"/>
      <w:divBdr>
        <w:top w:val="none" w:sz="0" w:space="0" w:color="auto"/>
        <w:left w:val="none" w:sz="0" w:space="0" w:color="auto"/>
        <w:bottom w:val="none" w:sz="0" w:space="0" w:color="auto"/>
        <w:right w:val="none" w:sz="0" w:space="0" w:color="auto"/>
      </w:divBdr>
    </w:div>
    <w:div w:id="1123957213">
      <w:bodyDiv w:val="1"/>
      <w:marLeft w:val="0"/>
      <w:marRight w:val="0"/>
      <w:marTop w:val="0"/>
      <w:marBottom w:val="0"/>
      <w:divBdr>
        <w:top w:val="none" w:sz="0" w:space="0" w:color="auto"/>
        <w:left w:val="none" w:sz="0" w:space="0" w:color="auto"/>
        <w:bottom w:val="none" w:sz="0" w:space="0" w:color="auto"/>
        <w:right w:val="none" w:sz="0" w:space="0" w:color="auto"/>
      </w:divBdr>
    </w:div>
    <w:div w:id="1127044001">
      <w:bodyDiv w:val="1"/>
      <w:marLeft w:val="0"/>
      <w:marRight w:val="0"/>
      <w:marTop w:val="0"/>
      <w:marBottom w:val="0"/>
      <w:divBdr>
        <w:top w:val="none" w:sz="0" w:space="0" w:color="auto"/>
        <w:left w:val="none" w:sz="0" w:space="0" w:color="auto"/>
        <w:bottom w:val="none" w:sz="0" w:space="0" w:color="auto"/>
        <w:right w:val="none" w:sz="0" w:space="0" w:color="auto"/>
      </w:divBdr>
    </w:div>
    <w:div w:id="1127698429">
      <w:bodyDiv w:val="1"/>
      <w:marLeft w:val="0"/>
      <w:marRight w:val="0"/>
      <w:marTop w:val="0"/>
      <w:marBottom w:val="0"/>
      <w:divBdr>
        <w:top w:val="none" w:sz="0" w:space="0" w:color="auto"/>
        <w:left w:val="none" w:sz="0" w:space="0" w:color="auto"/>
        <w:bottom w:val="none" w:sz="0" w:space="0" w:color="auto"/>
        <w:right w:val="none" w:sz="0" w:space="0" w:color="auto"/>
      </w:divBdr>
    </w:div>
    <w:div w:id="1129468706">
      <w:bodyDiv w:val="1"/>
      <w:marLeft w:val="0"/>
      <w:marRight w:val="0"/>
      <w:marTop w:val="0"/>
      <w:marBottom w:val="0"/>
      <w:divBdr>
        <w:top w:val="none" w:sz="0" w:space="0" w:color="auto"/>
        <w:left w:val="none" w:sz="0" w:space="0" w:color="auto"/>
        <w:bottom w:val="none" w:sz="0" w:space="0" w:color="auto"/>
        <w:right w:val="none" w:sz="0" w:space="0" w:color="auto"/>
      </w:divBdr>
    </w:div>
    <w:div w:id="1129932268">
      <w:bodyDiv w:val="1"/>
      <w:marLeft w:val="0"/>
      <w:marRight w:val="0"/>
      <w:marTop w:val="0"/>
      <w:marBottom w:val="0"/>
      <w:divBdr>
        <w:top w:val="none" w:sz="0" w:space="0" w:color="auto"/>
        <w:left w:val="none" w:sz="0" w:space="0" w:color="auto"/>
        <w:bottom w:val="none" w:sz="0" w:space="0" w:color="auto"/>
        <w:right w:val="none" w:sz="0" w:space="0" w:color="auto"/>
      </w:divBdr>
    </w:div>
    <w:div w:id="1131217353">
      <w:bodyDiv w:val="1"/>
      <w:marLeft w:val="0"/>
      <w:marRight w:val="0"/>
      <w:marTop w:val="0"/>
      <w:marBottom w:val="0"/>
      <w:divBdr>
        <w:top w:val="none" w:sz="0" w:space="0" w:color="auto"/>
        <w:left w:val="none" w:sz="0" w:space="0" w:color="auto"/>
        <w:bottom w:val="none" w:sz="0" w:space="0" w:color="auto"/>
        <w:right w:val="none" w:sz="0" w:space="0" w:color="auto"/>
      </w:divBdr>
    </w:div>
    <w:div w:id="1134443616">
      <w:bodyDiv w:val="1"/>
      <w:marLeft w:val="0"/>
      <w:marRight w:val="0"/>
      <w:marTop w:val="0"/>
      <w:marBottom w:val="0"/>
      <w:divBdr>
        <w:top w:val="none" w:sz="0" w:space="0" w:color="auto"/>
        <w:left w:val="none" w:sz="0" w:space="0" w:color="auto"/>
        <w:bottom w:val="none" w:sz="0" w:space="0" w:color="auto"/>
        <w:right w:val="none" w:sz="0" w:space="0" w:color="auto"/>
      </w:divBdr>
    </w:div>
    <w:div w:id="1138692951">
      <w:bodyDiv w:val="1"/>
      <w:marLeft w:val="0"/>
      <w:marRight w:val="0"/>
      <w:marTop w:val="0"/>
      <w:marBottom w:val="0"/>
      <w:divBdr>
        <w:top w:val="none" w:sz="0" w:space="0" w:color="auto"/>
        <w:left w:val="none" w:sz="0" w:space="0" w:color="auto"/>
        <w:bottom w:val="none" w:sz="0" w:space="0" w:color="auto"/>
        <w:right w:val="none" w:sz="0" w:space="0" w:color="auto"/>
      </w:divBdr>
    </w:div>
    <w:div w:id="1138717294">
      <w:bodyDiv w:val="1"/>
      <w:marLeft w:val="0"/>
      <w:marRight w:val="0"/>
      <w:marTop w:val="0"/>
      <w:marBottom w:val="0"/>
      <w:divBdr>
        <w:top w:val="none" w:sz="0" w:space="0" w:color="auto"/>
        <w:left w:val="none" w:sz="0" w:space="0" w:color="auto"/>
        <w:bottom w:val="none" w:sz="0" w:space="0" w:color="auto"/>
        <w:right w:val="none" w:sz="0" w:space="0" w:color="auto"/>
      </w:divBdr>
    </w:div>
    <w:div w:id="1142314091">
      <w:bodyDiv w:val="1"/>
      <w:marLeft w:val="0"/>
      <w:marRight w:val="0"/>
      <w:marTop w:val="0"/>
      <w:marBottom w:val="0"/>
      <w:divBdr>
        <w:top w:val="none" w:sz="0" w:space="0" w:color="auto"/>
        <w:left w:val="none" w:sz="0" w:space="0" w:color="auto"/>
        <w:bottom w:val="none" w:sz="0" w:space="0" w:color="auto"/>
        <w:right w:val="none" w:sz="0" w:space="0" w:color="auto"/>
      </w:divBdr>
    </w:div>
    <w:div w:id="1145123774">
      <w:bodyDiv w:val="1"/>
      <w:marLeft w:val="0"/>
      <w:marRight w:val="0"/>
      <w:marTop w:val="0"/>
      <w:marBottom w:val="0"/>
      <w:divBdr>
        <w:top w:val="none" w:sz="0" w:space="0" w:color="auto"/>
        <w:left w:val="none" w:sz="0" w:space="0" w:color="auto"/>
        <w:bottom w:val="none" w:sz="0" w:space="0" w:color="auto"/>
        <w:right w:val="none" w:sz="0" w:space="0" w:color="auto"/>
      </w:divBdr>
    </w:div>
    <w:div w:id="1150637759">
      <w:bodyDiv w:val="1"/>
      <w:marLeft w:val="0"/>
      <w:marRight w:val="0"/>
      <w:marTop w:val="0"/>
      <w:marBottom w:val="0"/>
      <w:divBdr>
        <w:top w:val="none" w:sz="0" w:space="0" w:color="auto"/>
        <w:left w:val="none" w:sz="0" w:space="0" w:color="auto"/>
        <w:bottom w:val="none" w:sz="0" w:space="0" w:color="auto"/>
        <w:right w:val="none" w:sz="0" w:space="0" w:color="auto"/>
      </w:divBdr>
    </w:div>
    <w:div w:id="1152403558">
      <w:bodyDiv w:val="1"/>
      <w:marLeft w:val="0"/>
      <w:marRight w:val="0"/>
      <w:marTop w:val="0"/>
      <w:marBottom w:val="0"/>
      <w:divBdr>
        <w:top w:val="none" w:sz="0" w:space="0" w:color="auto"/>
        <w:left w:val="none" w:sz="0" w:space="0" w:color="auto"/>
        <w:bottom w:val="none" w:sz="0" w:space="0" w:color="auto"/>
        <w:right w:val="none" w:sz="0" w:space="0" w:color="auto"/>
      </w:divBdr>
    </w:div>
    <w:div w:id="1171336041">
      <w:bodyDiv w:val="1"/>
      <w:marLeft w:val="0"/>
      <w:marRight w:val="0"/>
      <w:marTop w:val="0"/>
      <w:marBottom w:val="0"/>
      <w:divBdr>
        <w:top w:val="none" w:sz="0" w:space="0" w:color="auto"/>
        <w:left w:val="none" w:sz="0" w:space="0" w:color="auto"/>
        <w:bottom w:val="none" w:sz="0" w:space="0" w:color="auto"/>
        <w:right w:val="none" w:sz="0" w:space="0" w:color="auto"/>
      </w:divBdr>
    </w:div>
    <w:div w:id="1180580794">
      <w:bodyDiv w:val="1"/>
      <w:marLeft w:val="0"/>
      <w:marRight w:val="0"/>
      <w:marTop w:val="0"/>
      <w:marBottom w:val="0"/>
      <w:divBdr>
        <w:top w:val="none" w:sz="0" w:space="0" w:color="auto"/>
        <w:left w:val="none" w:sz="0" w:space="0" w:color="auto"/>
        <w:bottom w:val="none" w:sz="0" w:space="0" w:color="auto"/>
        <w:right w:val="none" w:sz="0" w:space="0" w:color="auto"/>
      </w:divBdr>
    </w:div>
    <w:div w:id="1181360226">
      <w:bodyDiv w:val="1"/>
      <w:marLeft w:val="0"/>
      <w:marRight w:val="0"/>
      <w:marTop w:val="0"/>
      <w:marBottom w:val="0"/>
      <w:divBdr>
        <w:top w:val="none" w:sz="0" w:space="0" w:color="auto"/>
        <w:left w:val="none" w:sz="0" w:space="0" w:color="auto"/>
        <w:bottom w:val="none" w:sz="0" w:space="0" w:color="auto"/>
        <w:right w:val="none" w:sz="0" w:space="0" w:color="auto"/>
      </w:divBdr>
    </w:div>
    <w:div w:id="1189610084">
      <w:bodyDiv w:val="1"/>
      <w:marLeft w:val="0"/>
      <w:marRight w:val="0"/>
      <w:marTop w:val="0"/>
      <w:marBottom w:val="0"/>
      <w:divBdr>
        <w:top w:val="none" w:sz="0" w:space="0" w:color="auto"/>
        <w:left w:val="none" w:sz="0" w:space="0" w:color="auto"/>
        <w:bottom w:val="none" w:sz="0" w:space="0" w:color="auto"/>
        <w:right w:val="none" w:sz="0" w:space="0" w:color="auto"/>
      </w:divBdr>
    </w:div>
    <w:div w:id="1214780248">
      <w:bodyDiv w:val="1"/>
      <w:marLeft w:val="0"/>
      <w:marRight w:val="0"/>
      <w:marTop w:val="0"/>
      <w:marBottom w:val="0"/>
      <w:divBdr>
        <w:top w:val="none" w:sz="0" w:space="0" w:color="auto"/>
        <w:left w:val="none" w:sz="0" w:space="0" w:color="auto"/>
        <w:bottom w:val="none" w:sz="0" w:space="0" w:color="auto"/>
        <w:right w:val="none" w:sz="0" w:space="0" w:color="auto"/>
      </w:divBdr>
    </w:div>
    <w:div w:id="1227184985">
      <w:bodyDiv w:val="1"/>
      <w:marLeft w:val="0"/>
      <w:marRight w:val="0"/>
      <w:marTop w:val="0"/>
      <w:marBottom w:val="0"/>
      <w:divBdr>
        <w:top w:val="none" w:sz="0" w:space="0" w:color="auto"/>
        <w:left w:val="none" w:sz="0" w:space="0" w:color="auto"/>
        <w:bottom w:val="none" w:sz="0" w:space="0" w:color="auto"/>
        <w:right w:val="none" w:sz="0" w:space="0" w:color="auto"/>
      </w:divBdr>
    </w:div>
    <w:div w:id="1231647576">
      <w:bodyDiv w:val="1"/>
      <w:marLeft w:val="0"/>
      <w:marRight w:val="0"/>
      <w:marTop w:val="0"/>
      <w:marBottom w:val="0"/>
      <w:divBdr>
        <w:top w:val="none" w:sz="0" w:space="0" w:color="auto"/>
        <w:left w:val="none" w:sz="0" w:space="0" w:color="auto"/>
        <w:bottom w:val="none" w:sz="0" w:space="0" w:color="auto"/>
        <w:right w:val="none" w:sz="0" w:space="0" w:color="auto"/>
      </w:divBdr>
    </w:div>
    <w:div w:id="1233931955">
      <w:bodyDiv w:val="1"/>
      <w:marLeft w:val="0"/>
      <w:marRight w:val="0"/>
      <w:marTop w:val="0"/>
      <w:marBottom w:val="0"/>
      <w:divBdr>
        <w:top w:val="none" w:sz="0" w:space="0" w:color="auto"/>
        <w:left w:val="none" w:sz="0" w:space="0" w:color="auto"/>
        <w:bottom w:val="none" w:sz="0" w:space="0" w:color="auto"/>
        <w:right w:val="none" w:sz="0" w:space="0" w:color="auto"/>
      </w:divBdr>
    </w:div>
    <w:div w:id="1234126962">
      <w:bodyDiv w:val="1"/>
      <w:marLeft w:val="0"/>
      <w:marRight w:val="0"/>
      <w:marTop w:val="0"/>
      <w:marBottom w:val="0"/>
      <w:divBdr>
        <w:top w:val="none" w:sz="0" w:space="0" w:color="auto"/>
        <w:left w:val="none" w:sz="0" w:space="0" w:color="auto"/>
        <w:bottom w:val="none" w:sz="0" w:space="0" w:color="auto"/>
        <w:right w:val="none" w:sz="0" w:space="0" w:color="auto"/>
      </w:divBdr>
    </w:div>
    <w:div w:id="1242909565">
      <w:bodyDiv w:val="1"/>
      <w:marLeft w:val="0"/>
      <w:marRight w:val="0"/>
      <w:marTop w:val="0"/>
      <w:marBottom w:val="0"/>
      <w:divBdr>
        <w:top w:val="none" w:sz="0" w:space="0" w:color="auto"/>
        <w:left w:val="none" w:sz="0" w:space="0" w:color="auto"/>
        <w:bottom w:val="none" w:sz="0" w:space="0" w:color="auto"/>
        <w:right w:val="none" w:sz="0" w:space="0" w:color="auto"/>
      </w:divBdr>
    </w:div>
    <w:div w:id="1246065958">
      <w:bodyDiv w:val="1"/>
      <w:marLeft w:val="0"/>
      <w:marRight w:val="0"/>
      <w:marTop w:val="0"/>
      <w:marBottom w:val="0"/>
      <w:divBdr>
        <w:top w:val="none" w:sz="0" w:space="0" w:color="auto"/>
        <w:left w:val="none" w:sz="0" w:space="0" w:color="auto"/>
        <w:bottom w:val="none" w:sz="0" w:space="0" w:color="auto"/>
        <w:right w:val="none" w:sz="0" w:space="0" w:color="auto"/>
      </w:divBdr>
    </w:div>
    <w:div w:id="1249651709">
      <w:bodyDiv w:val="1"/>
      <w:marLeft w:val="0"/>
      <w:marRight w:val="0"/>
      <w:marTop w:val="0"/>
      <w:marBottom w:val="0"/>
      <w:divBdr>
        <w:top w:val="none" w:sz="0" w:space="0" w:color="auto"/>
        <w:left w:val="none" w:sz="0" w:space="0" w:color="auto"/>
        <w:bottom w:val="none" w:sz="0" w:space="0" w:color="auto"/>
        <w:right w:val="none" w:sz="0" w:space="0" w:color="auto"/>
      </w:divBdr>
    </w:div>
    <w:div w:id="1249653104">
      <w:bodyDiv w:val="1"/>
      <w:marLeft w:val="0"/>
      <w:marRight w:val="0"/>
      <w:marTop w:val="0"/>
      <w:marBottom w:val="0"/>
      <w:divBdr>
        <w:top w:val="none" w:sz="0" w:space="0" w:color="auto"/>
        <w:left w:val="none" w:sz="0" w:space="0" w:color="auto"/>
        <w:bottom w:val="none" w:sz="0" w:space="0" w:color="auto"/>
        <w:right w:val="none" w:sz="0" w:space="0" w:color="auto"/>
      </w:divBdr>
    </w:div>
    <w:div w:id="1253198653">
      <w:bodyDiv w:val="1"/>
      <w:marLeft w:val="0"/>
      <w:marRight w:val="0"/>
      <w:marTop w:val="0"/>
      <w:marBottom w:val="0"/>
      <w:divBdr>
        <w:top w:val="none" w:sz="0" w:space="0" w:color="auto"/>
        <w:left w:val="none" w:sz="0" w:space="0" w:color="auto"/>
        <w:bottom w:val="none" w:sz="0" w:space="0" w:color="auto"/>
        <w:right w:val="none" w:sz="0" w:space="0" w:color="auto"/>
      </w:divBdr>
    </w:div>
    <w:div w:id="1255557182">
      <w:bodyDiv w:val="1"/>
      <w:marLeft w:val="0"/>
      <w:marRight w:val="0"/>
      <w:marTop w:val="0"/>
      <w:marBottom w:val="0"/>
      <w:divBdr>
        <w:top w:val="none" w:sz="0" w:space="0" w:color="auto"/>
        <w:left w:val="none" w:sz="0" w:space="0" w:color="auto"/>
        <w:bottom w:val="none" w:sz="0" w:space="0" w:color="auto"/>
        <w:right w:val="none" w:sz="0" w:space="0" w:color="auto"/>
      </w:divBdr>
    </w:div>
    <w:div w:id="1256792338">
      <w:bodyDiv w:val="1"/>
      <w:marLeft w:val="0"/>
      <w:marRight w:val="0"/>
      <w:marTop w:val="0"/>
      <w:marBottom w:val="0"/>
      <w:divBdr>
        <w:top w:val="none" w:sz="0" w:space="0" w:color="auto"/>
        <w:left w:val="none" w:sz="0" w:space="0" w:color="auto"/>
        <w:bottom w:val="none" w:sz="0" w:space="0" w:color="auto"/>
        <w:right w:val="none" w:sz="0" w:space="0" w:color="auto"/>
      </w:divBdr>
    </w:div>
    <w:div w:id="1256940017">
      <w:bodyDiv w:val="1"/>
      <w:marLeft w:val="0"/>
      <w:marRight w:val="0"/>
      <w:marTop w:val="0"/>
      <w:marBottom w:val="0"/>
      <w:divBdr>
        <w:top w:val="none" w:sz="0" w:space="0" w:color="auto"/>
        <w:left w:val="none" w:sz="0" w:space="0" w:color="auto"/>
        <w:bottom w:val="none" w:sz="0" w:space="0" w:color="auto"/>
        <w:right w:val="none" w:sz="0" w:space="0" w:color="auto"/>
      </w:divBdr>
    </w:div>
    <w:div w:id="1258907203">
      <w:bodyDiv w:val="1"/>
      <w:marLeft w:val="0"/>
      <w:marRight w:val="0"/>
      <w:marTop w:val="0"/>
      <w:marBottom w:val="0"/>
      <w:divBdr>
        <w:top w:val="none" w:sz="0" w:space="0" w:color="auto"/>
        <w:left w:val="none" w:sz="0" w:space="0" w:color="auto"/>
        <w:bottom w:val="none" w:sz="0" w:space="0" w:color="auto"/>
        <w:right w:val="none" w:sz="0" w:space="0" w:color="auto"/>
      </w:divBdr>
    </w:div>
    <w:div w:id="1259752500">
      <w:bodyDiv w:val="1"/>
      <w:marLeft w:val="0"/>
      <w:marRight w:val="0"/>
      <w:marTop w:val="0"/>
      <w:marBottom w:val="0"/>
      <w:divBdr>
        <w:top w:val="none" w:sz="0" w:space="0" w:color="auto"/>
        <w:left w:val="none" w:sz="0" w:space="0" w:color="auto"/>
        <w:bottom w:val="none" w:sz="0" w:space="0" w:color="auto"/>
        <w:right w:val="none" w:sz="0" w:space="0" w:color="auto"/>
      </w:divBdr>
    </w:div>
    <w:div w:id="1263874490">
      <w:bodyDiv w:val="1"/>
      <w:marLeft w:val="0"/>
      <w:marRight w:val="0"/>
      <w:marTop w:val="0"/>
      <w:marBottom w:val="0"/>
      <w:divBdr>
        <w:top w:val="none" w:sz="0" w:space="0" w:color="auto"/>
        <w:left w:val="none" w:sz="0" w:space="0" w:color="auto"/>
        <w:bottom w:val="none" w:sz="0" w:space="0" w:color="auto"/>
        <w:right w:val="none" w:sz="0" w:space="0" w:color="auto"/>
      </w:divBdr>
    </w:div>
    <w:div w:id="1264848389">
      <w:bodyDiv w:val="1"/>
      <w:marLeft w:val="0"/>
      <w:marRight w:val="0"/>
      <w:marTop w:val="0"/>
      <w:marBottom w:val="0"/>
      <w:divBdr>
        <w:top w:val="none" w:sz="0" w:space="0" w:color="auto"/>
        <w:left w:val="none" w:sz="0" w:space="0" w:color="auto"/>
        <w:bottom w:val="none" w:sz="0" w:space="0" w:color="auto"/>
        <w:right w:val="none" w:sz="0" w:space="0" w:color="auto"/>
      </w:divBdr>
    </w:div>
    <w:div w:id="1274046568">
      <w:bodyDiv w:val="1"/>
      <w:marLeft w:val="0"/>
      <w:marRight w:val="0"/>
      <w:marTop w:val="0"/>
      <w:marBottom w:val="0"/>
      <w:divBdr>
        <w:top w:val="none" w:sz="0" w:space="0" w:color="auto"/>
        <w:left w:val="none" w:sz="0" w:space="0" w:color="auto"/>
        <w:bottom w:val="none" w:sz="0" w:space="0" w:color="auto"/>
        <w:right w:val="none" w:sz="0" w:space="0" w:color="auto"/>
      </w:divBdr>
    </w:div>
    <w:div w:id="1274240366">
      <w:bodyDiv w:val="1"/>
      <w:marLeft w:val="0"/>
      <w:marRight w:val="0"/>
      <w:marTop w:val="0"/>
      <w:marBottom w:val="0"/>
      <w:divBdr>
        <w:top w:val="none" w:sz="0" w:space="0" w:color="auto"/>
        <w:left w:val="none" w:sz="0" w:space="0" w:color="auto"/>
        <w:bottom w:val="none" w:sz="0" w:space="0" w:color="auto"/>
        <w:right w:val="none" w:sz="0" w:space="0" w:color="auto"/>
      </w:divBdr>
    </w:div>
    <w:div w:id="1278415205">
      <w:bodyDiv w:val="1"/>
      <w:marLeft w:val="0"/>
      <w:marRight w:val="0"/>
      <w:marTop w:val="0"/>
      <w:marBottom w:val="0"/>
      <w:divBdr>
        <w:top w:val="none" w:sz="0" w:space="0" w:color="auto"/>
        <w:left w:val="none" w:sz="0" w:space="0" w:color="auto"/>
        <w:bottom w:val="none" w:sz="0" w:space="0" w:color="auto"/>
        <w:right w:val="none" w:sz="0" w:space="0" w:color="auto"/>
      </w:divBdr>
    </w:div>
    <w:div w:id="1279991885">
      <w:bodyDiv w:val="1"/>
      <w:marLeft w:val="0"/>
      <w:marRight w:val="0"/>
      <w:marTop w:val="0"/>
      <w:marBottom w:val="0"/>
      <w:divBdr>
        <w:top w:val="none" w:sz="0" w:space="0" w:color="auto"/>
        <w:left w:val="none" w:sz="0" w:space="0" w:color="auto"/>
        <w:bottom w:val="none" w:sz="0" w:space="0" w:color="auto"/>
        <w:right w:val="none" w:sz="0" w:space="0" w:color="auto"/>
      </w:divBdr>
    </w:div>
    <w:div w:id="1292979114">
      <w:bodyDiv w:val="1"/>
      <w:marLeft w:val="0"/>
      <w:marRight w:val="0"/>
      <w:marTop w:val="0"/>
      <w:marBottom w:val="0"/>
      <w:divBdr>
        <w:top w:val="none" w:sz="0" w:space="0" w:color="auto"/>
        <w:left w:val="none" w:sz="0" w:space="0" w:color="auto"/>
        <w:bottom w:val="none" w:sz="0" w:space="0" w:color="auto"/>
        <w:right w:val="none" w:sz="0" w:space="0" w:color="auto"/>
      </w:divBdr>
    </w:div>
    <w:div w:id="1296830929">
      <w:bodyDiv w:val="1"/>
      <w:marLeft w:val="0"/>
      <w:marRight w:val="0"/>
      <w:marTop w:val="0"/>
      <w:marBottom w:val="0"/>
      <w:divBdr>
        <w:top w:val="none" w:sz="0" w:space="0" w:color="auto"/>
        <w:left w:val="none" w:sz="0" w:space="0" w:color="auto"/>
        <w:bottom w:val="none" w:sz="0" w:space="0" w:color="auto"/>
        <w:right w:val="none" w:sz="0" w:space="0" w:color="auto"/>
      </w:divBdr>
    </w:div>
    <w:div w:id="1298340820">
      <w:bodyDiv w:val="1"/>
      <w:marLeft w:val="0"/>
      <w:marRight w:val="0"/>
      <w:marTop w:val="0"/>
      <w:marBottom w:val="0"/>
      <w:divBdr>
        <w:top w:val="none" w:sz="0" w:space="0" w:color="auto"/>
        <w:left w:val="none" w:sz="0" w:space="0" w:color="auto"/>
        <w:bottom w:val="none" w:sz="0" w:space="0" w:color="auto"/>
        <w:right w:val="none" w:sz="0" w:space="0" w:color="auto"/>
      </w:divBdr>
    </w:div>
    <w:div w:id="1313800936">
      <w:bodyDiv w:val="1"/>
      <w:marLeft w:val="0"/>
      <w:marRight w:val="0"/>
      <w:marTop w:val="0"/>
      <w:marBottom w:val="0"/>
      <w:divBdr>
        <w:top w:val="none" w:sz="0" w:space="0" w:color="auto"/>
        <w:left w:val="none" w:sz="0" w:space="0" w:color="auto"/>
        <w:bottom w:val="none" w:sz="0" w:space="0" w:color="auto"/>
        <w:right w:val="none" w:sz="0" w:space="0" w:color="auto"/>
      </w:divBdr>
    </w:div>
    <w:div w:id="1317152170">
      <w:bodyDiv w:val="1"/>
      <w:marLeft w:val="0"/>
      <w:marRight w:val="0"/>
      <w:marTop w:val="0"/>
      <w:marBottom w:val="0"/>
      <w:divBdr>
        <w:top w:val="none" w:sz="0" w:space="0" w:color="auto"/>
        <w:left w:val="none" w:sz="0" w:space="0" w:color="auto"/>
        <w:bottom w:val="none" w:sz="0" w:space="0" w:color="auto"/>
        <w:right w:val="none" w:sz="0" w:space="0" w:color="auto"/>
      </w:divBdr>
    </w:div>
    <w:div w:id="1318611868">
      <w:bodyDiv w:val="1"/>
      <w:marLeft w:val="0"/>
      <w:marRight w:val="0"/>
      <w:marTop w:val="0"/>
      <w:marBottom w:val="0"/>
      <w:divBdr>
        <w:top w:val="none" w:sz="0" w:space="0" w:color="auto"/>
        <w:left w:val="none" w:sz="0" w:space="0" w:color="auto"/>
        <w:bottom w:val="none" w:sz="0" w:space="0" w:color="auto"/>
        <w:right w:val="none" w:sz="0" w:space="0" w:color="auto"/>
      </w:divBdr>
    </w:div>
    <w:div w:id="1335573536">
      <w:bodyDiv w:val="1"/>
      <w:marLeft w:val="0"/>
      <w:marRight w:val="0"/>
      <w:marTop w:val="0"/>
      <w:marBottom w:val="0"/>
      <w:divBdr>
        <w:top w:val="none" w:sz="0" w:space="0" w:color="auto"/>
        <w:left w:val="none" w:sz="0" w:space="0" w:color="auto"/>
        <w:bottom w:val="none" w:sz="0" w:space="0" w:color="auto"/>
        <w:right w:val="none" w:sz="0" w:space="0" w:color="auto"/>
      </w:divBdr>
    </w:div>
    <w:div w:id="1338578145">
      <w:bodyDiv w:val="1"/>
      <w:marLeft w:val="0"/>
      <w:marRight w:val="0"/>
      <w:marTop w:val="0"/>
      <w:marBottom w:val="0"/>
      <w:divBdr>
        <w:top w:val="none" w:sz="0" w:space="0" w:color="auto"/>
        <w:left w:val="none" w:sz="0" w:space="0" w:color="auto"/>
        <w:bottom w:val="none" w:sz="0" w:space="0" w:color="auto"/>
        <w:right w:val="none" w:sz="0" w:space="0" w:color="auto"/>
      </w:divBdr>
    </w:div>
    <w:div w:id="1341001870">
      <w:bodyDiv w:val="1"/>
      <w:marLeft w:val="0"/>
      <w:marRight w:val="0"/>
      <w:marTop w:val="0"/>
      <w:marBottom w:val="0"/>
      <w:divBdr>
        <w:top w:val="none" w:sz="0" w:space="0" w:color="auto"/>
        <w:left w:val="none" w:sz="0" w:space="0" w:color="auto"/>
        <w:bottom w:val="none" w:sz="0" w:space="0" w:color="auto"/>
        <w:right w:val="none" w:sz="0" w:space="0" w:color="auto"/>
      </w:divBdr>
    </w:div>
    <w:div w:id="1348603735">
      <w:bodyDiv w:val="1"/>
      <w:marLeft w:val="0"/>
      <w:marRight w:val="0"/>
      <w:marTop w:val="0"/>
      <w:marBottom w:val="0"/>
      <w:divBdr>
        <w:top w:val="none" w:sz="0" w:space="0" w:color="auto"/>
        <w:left w:val="none" w:sz="0" w:space="0" w:color="auto"/>
        <w:bottom w:val="none" w:sz="0" w:space="0" w:color="auto"/>
        <w:right w:val="none" w:sz="0" w:space="0" w:color="auto"/>
      </w:divBdr>
    </w:div>
    <w:div w:id="1360663342">
      <w:bodyDiv w:val="1"/>
      <w:marLeft w:val="0"/>
      <w:marRight w:val="0"/>
      <w:marTop w:val="0"/>
      <w:marBottom w:val="0"/>
      <w:divBdr>
        <w:top w:val="none" w:sz="0" w:space="0" w:color="auto"/>
        <w:left w:val="none" w:sz="0" w:space="0" w:color="auto"/>
        <w:bottom w:val="none" w:sz="0" w:space="0" w:color="auto"/>
        <w:right w:val="none" w:sz="0" w:space="0" w:color="auto"/>
      </w:divBdr>
    </w:div>
    <w:div w:id="1374692724">
      <w:bodyDiv w:val="1"/>
      <w:marLeft w:val="0"/>
      <w:marRight w:val="0"/>
      <w:marTop w:val="0"/>
      <w:marBottom w:val="0"/>
      <w:divBdr>
        <w:top w:val="none" w:sz="0" w:space="0" w:color="auto"/>
        <w:left w:val="none" w:sz="0" w:space="0" w:color="auto"/>
        <w:bottom w:val="none" w:sz="0" w:space="0" w:color="auto"/>
        <w:right w:val="none" w:sz="0" w:space="0" w:color="auto"/>
      </w:divBdr>
    </w:div>
    <w:div w:id="1391659869">
      <w:bodyDiv w:val="1"/>
      <w:marLeft w:val="0"/>
      <w:marRight w:val="0"/>
      <w:marTop w:val="0"/>
      <w:marBottom w:val="0"/>
      <w:divBdr>
        <w:top w:val="none" w:sz="0" w:space="0" w:color="auto"/>
        <w:left w:val="none" w:sz="0" w:space="0" w:color="auto"/>
        <w:bottom w:val="none" w:sz="0" w:space="0" w:color="auto"/>
        <w:right w:val="none" w:sz="0" w:space="0" w:color="auto"/>
      </w:divBdr>
    </w:div>
    <w:div w:id="1393458247">
      <w:bodyDiv w:val="1"/>
      <w:marLeft w:val="0"/>
      <w:marRight w:val="0"/>
      <w:marTop w:val="0"/>
      <w:marBottom w:val="0"/>
      <w:divBdr>
        <w:top w:val="none" w:sz="0" w:space="0" w:color="auto"/>
        <w:left w:val="none" w:sz="0" w:space="0" w:color="auto"/>
        <w:bottom w:val="none" w:sz="0" w:space="0" w:color="auto"/>
        <w:right w:val="none" w:sz="0" w:space="0" w:color="auto"/>
      </w:divBdr>
    </w:div>
    <w:div w:id="1395738599">
      <w:bodyDiv w:val="1"/>
      <w:marLeft w:val="0"/>
      <w:marRight w:val="0"/>
      <w:marTop w:val="0"/>
      <w:marBottom w:val="0"/>
      <w:divBdr>
        <w:top w:val="none" w:sz="0" w:space="0" w:color="auto"/>
        <w:left w:val="none" w:sz="0" w:space="0" w:color="auto"/>
        <w:bottom w:val="none" w:sz="0" w:space="0" w:color="auto"/>
        <w:right w:val="none" w:sz="0" w:space="0" w:color="auto"/>
      </w:divBdr>
    </w:div>
    <w:div w:id="1396927431">
      <w:bodyDiv w:val="1"/>
      <w:marLeft w:val="0"/>
      <w:marRight w:val="0"/>
      <w:marTop w:val="0"/>
      <w:marBottom w:val="0"/>
      <w:divBdr>
        <w:top w:val="none" w:sz="0" w:space="0" w:color="auto"/>
        <w:left w:val="none" w:sz="0" w:space="0" w:color="auto"/>
        <w:bottom w:val="none" w:sz="0" w:space="0" w:color="auto"/>
        <w:right w:val="none" w:sz="0" w:space="0" w:color="auto"/>
      </w:divBdr>
    </w:div>
    <w:div w:id="1399593398">
      <w:bodyDiv w:val="1"/>
      <w:marLeft w:val="0"/>
      <w:marRight w:val="0"/>
      <w:marTop w:val="0"/>
      <w:marBottom w:val="0"/>
      <w:divBdr>
        <w:top w:val="none" w:sz="0" w:space="0" w:color="auto"/>
        <w:left w:val="none" w:sz="0" w:space="0" w:color="auto"/>
        <w:bottom w:val="none" w:sz="0" w:space="0" w:color="auto"/>
        <w:right w:val="none" w:sz="0" w:space="0" w:color="auto"/>
      </w:divBdr>
    </w:div>
    <w:div w:id="1403260701">
      <w:bodyDiv w:val="1"/>
      <w:marLeft w:val="0"/>
      <w:marRight w:val="0"/>
      <w:marTop w:val="0"/>
      <w:marBottom w:val="0"/>
      <w:divBdr>
        <w:top w:val="none" w:sz="0" w:space="0" w:color="auto"/>
        <w:left w:val="none" w:sz="0" w:space="0" w:color="auto"/>
        <w:bottom w:val="none" w:sz="0" w:space="0" w:color="auto"/>
        <w:right w:val="none" w:sz="0" w:space="0" w:color="auto"/>
      </w:divBdr>
    </w:div>
    <w:div w:id="1406025503">
      <w:bodyDiv w:val="1"/>
      <w:marLeft w:val="0"/>
      <w:marRight w:val="0"/>
      <w:marTop w:val="0"/>
      <w:marBottom w:val="0"/>
      <w:divBdr>
        <w:top w:val="none" w:sz="0" w:space="0" w:color="auto"/>
        <w:left w:val="none" w:sz="0" w:space="0" w:color="auto"/>
        <w:bottom w:val="none" w:sz="0" w:space="0" w:color="auto"/>
        <w:right w:val="none" w:sz="0" w:space="0" w:color="auto"/>
      </w:divBdr>
    </w:div>
    <w:div w:id="1424913693">
      <w:bodyDiv w:val="1"/>
      <w:marLeft w:val="0"/>
      <w:marRight w:val="0"/>
      <w:marTop w:val="0"/>
      <w:marBottom w:val="0"/>
      <w:divBdr>
        <w:top w:val="none" w:sz="0" w:space="0" w:color="auto"/>
        <w:left w:val="none" w:sz="0" w:space="0" w:color="auto"/>
        <w:bottom w:val="none" w:sz="0" w:space="0" w:color="auto"/>
        <w:right w:val="none" w:sz="0" w:space="0" w:color="auto"/>
      </w:divBdr>
    </w:div>
    <w:div w:id="1435326148">
      <w:bodyDiv w:val="1"/>
      <w:marLeft w:val="0"/>
      <w:marRight w:val="0"/>
      <w:marTop w:val="0"/>
      <w:marBottom w:val="0"/>
      <w:divBdr>
        <w:top w:val="none" w:sz="0" w:space="0" w:color="auto"/>
        <w:left w:val="none" w:sz="0" w:space="0" w:color="auto"/>
        <w:bottom w:val="none" w:sz="0" w:space="0" w:color="auto"/>
        <w:right w:val="none" w:sz="0" w:space="0" w:color="auto"/>
      </w:divBdr>
    </w:div>
    <w:div w:id="1443764065">
      <w:bodyDiv w:val="1"/>
      <w:marLeft w:val="0"/>
      <w:marRight w:val="0"/>
      <w:marTop w:val="0"/>
      <w:marBottom w:val="0"/>
      <w:divBdr>
        <w:top w:val="none" w:sz="0" w:space="0" w:color="auto"/>
        <w:left w:val="none" w:sz="0" w:space="0" w:color="auto"/>
        <w:bottom w:val="none" w:sz="0" w:space="0" w:color="auto"/>
        <w:right w:val="none" w:sz="0" w:space="0" w:color="auto"/>
      </w:divBdr>
    </w:div>
    <w:div w:id="1450776182">
      <w:bodyDiv w:val="1"/>
      <w:marLeft w:val="0"/>
      <w:marRight w:val="0"/>
      <w:marTop w:val="0"/>
      <w:marBottom w:val="0"/>
      <w:divBdr>
        <w:top w:val="none" w:sz="0" w:space="0" w:color="auto"/>
        <w:left w:val="none" w:sz="0" w:space="0" w:color="auto"/>
        <w:bottom w:val="none" w:sz="0" w:space="0" w:color="auto"/>
        <w:right w:val="none" w:sz="0" w:space="0" w:color="auto"/>
      </w:divBdr>
    </w:div>
    <w:div w:id="1454518333">
      <w:bodyDiv w:val="1"/>
      <w:marLeft w:val="0"/>
      <w:marRight w:val="0"/>
      <w:marTop w:val="0"/>
      <w:marBottom w:val="0"/>
      <w:divBdr>
        <w:top w:val="none" w:sz="0" w:space="0" w:color="auto"/>
        <w:left w:val="none" w:sz="0" w:space="0" w:color="auto"/>
        <w:bottom w:val="none" w:sz="0" w:space="0" w:color="auto"/>
        <w:right w:val="none" w:sz="0" w:space="0" w:color="auto"/>
      </w:divBdr>
    </w:div>
    <w:div w:id="1473596719">
      <w:bodyDiv w:val="1"/>
      <w:marLeft w:val="0"/>
      <w:marRight w:val="0"/>
      <w:marTop w:val="0"/>
      <w:marBottom w:val="0"/>
      <w:divBdr>
        <w:top w:val="none" w:sz="0" w:space="0" w:color="auto"/>
        <w:left w:val="none" w:sz="0" w:space="0" w:color="auto"/>
        <w:bottom w:val="none" w:sz="0" w:space="0" w:color="auto"/>
        <w:right w:val="none" w:sz="0" w:space="0" w:color="auto"/>
      </w:divBdr>
    </w:div>
    <w:div w:id="1477184251">
      <w:bodyDiv w:val="1"/>
      <w:marLeft w:val="0"/>
      <w:marRight w:val="0"/>
      <w:marTop w:val="0"/>
      <w:marBottom w:val="0"/>
      <w:divBdr>
        <w:top w:val="none" w:sz="0" w:space="0" w:color="auto"/>
        <w:left w:val="none" w:sz="0" w:space="0" w:color="auto"/>
        <w:bottom w:val="none" w:sz="0" w:space="0" w:color="auto"/>
        <w:right w:val="none" w:sz="0" w:space="0" w:color="auto"/>
      </w:divBdr>
    </w:div>
    <w:div w:id="1487470962">
      <w:bodyDiv w:val="1"/>
      <w:marLeft w:val="0"/>
      <w:marRight w:val="0"/>
      <w:marTop w:val="0"/>
      <w:marBottom w:val="0"/>
      <w:divBdr>
        <w:top w:val="none" w:sz="0" w:space="0" w:color="auto"/>
        <w:left w:val="none" w:sz="0" w:space="0" w:color="auto"/>
        <w:bottom w:val="none" w:sz="0" w:space="0" w:color="auto"/>
        <w:right w:val="none" w:sz="0" w:space="0" w:color="auto"/>
      </w:divBdr>
    </w:div>
    <w:div w:id="1491561295">
      <w:bodyDiv w:val="1"/>
      <w:marLeft w:val="0"/>
      <w:marRight w:val="0"/>
      <w:marTop w:val="0"/>
      <w:marBottom w:val="0"/>
      <w:divBdr>
        <w:top w:val="none" w:sz="0" w:space="0" w:color="auto"/>
        <w:left w:val="none" w:sz="0" w:space="0" w:color="auto"/>
        <w:bottom w:val="none" w:sz="0" w:space="0" w:color="auto"/>
        <w:right w:val="none" w:sz="0" w:space="0" w:color="auto"/>
      </w:divBdr>
    </w:div>
    <w:div w:id="1501694341">
      <w:bodyDiv w:val="1"/>
      <w:marLeft w:val="0"/>
      <w:marRight w:val="0"/>
      <w:marTop w:val="0"/>
      <w:marBottom w:val="0"/>
      <w:divBdr>
        <w:top w:val="none" w:sz="0" w:space="0" w:color="auto"/>
        <w:left w:val="none" w:sz="0" w:space="0" w:color="auto"/>
        <w:bottom w:val="none" w:sz="0" w:space="0" w:color="auto"/>
        <w:right w:val="none" w:sz="0" w:space="0" w:color="auto"/>
      </w:divBdr>
    </w:div>
    <w:div w:id="1501963743">
      <w:bodyDiv w:val="1"/>
      <w:marLeft w:val="0"/>
      <w:marRight w:val="0"/>
      <w:marTop w:val="0"/>
      <w:marBottom w:val="0"/>
      <w:divBdr>
        <w:top w:val="none" w:sz="0" w:space="0" w:color="auto"/>
        <w:left w:val="none" w:sz="0" w:space="0" w:color="auto"/>
        <w:bottom w:val="none" w:sz="0" w:space="0" w:color="auto"/>
        <w:right w:val="none" w:sz="0" w:space="0" w:color="auto"/>
      </w:divBdr>
    </w:div>
    <w:div w:id="1511064931">
      <w:bodyDiv w:val="1"/>
      <w:marLeft w:val="0"/>
      <w:marRight w:val="0"/>
      <w:marTop w:val="0"/>
      <w:marBottom w:val="0"/>
      <w:divBdr>
        <w:top w:val="none" w:sz="0" w:space="0" w:color="auto"/>
        <w:left w:val="none" w:sz="0" w:space="0" w:color="auto"/>
        <w:bottom w:val="none" w:sz="0" w:space="0" w:color="auto"/>
        <w:right w:val="none" w:sz="0" w:space="0" w:color="auto"/>
      </w:divBdr>
    </w:div>
    <w:div w:id="1517109799">
      <w:bodyDiv w:val="1"/>
      <w:marLeft w:val="0"/>
      <w:marRight w:val="0"/>
      <w:marTop w:val="0"/>
      <w:marBottom w:val="0"/>
      <w:divBdr>
        <w:top w:val="none" w:sz="0" w:space="0" w:color="auto"/>
        <w:left w:val="none" w:sz="0" w:space="0" w:color="auto"/>
        <w:bottom w:val="none" w:sz="0" w:space="0" w:color="auto"/>
        <w:right w:val="none" w:sz="0" w:space="0" w:color="auto"/>
      </w:divBdr>
    </w:div>
    <w:div w:id="1522085469">
      <w:bodyDiv w:val="1"/>
      <w:marLeft w:val="0"/>
      <w:marRight w:val="0"/>
      <w:marTop w:val="0"/>
      <w:marBottom w:val="0"/>
      <w:divBdr>
        <w:top w:val="none" w:sz="0" w:space="0" w:color="auto"/>
        <w:left w:val="none" w:sz="0" w:space="0" w:color="auto"/>
        <w:bottom w:val="none" w:sz="0" w:space="0" w:color="auto"/>
        <w:right w:val="none" w:sz="0" w:space="0" w:color="auto"/>
      </w:divBdr>
    </w:div>
    <w:div w:id="1527213864">
      <w:bodyDiv w:val="1"/>
      <w:marLeft w:val="0"/>
      <w:marRight w:val="0"/>
      <w:marTop w:val="0"/>
      <w:marBottom w:val="0"/>
      <w:divBdr>
        <w:top w:val="none" w:sz="0" w:space="0" w:color="auto"/>
        <w:left w:val="none" w:sz="0" w:space="0" w:color="auto"/>
        <w:bottom w:val="none" w:sz="0" w:space="0" w:color="auto"/>
        <w:right w:val="none" w:sz="0" w:space="0" w:color="auto"/>
      </w:divBdr>
    </w:div>
    <w:div w:id="1535537173">
      <w:bodyDiv w:val="1"/>
      <w:marLeft w:val="0"/>
      <w:marRight w:val="0"/>
      <w:marTop w:val="0"/>
      <w:marBottom w:val="0"/>
      <w:divBdr>
        <w:top w:val="none" w:sz="0" w:space="0" w:color="auto"/>
        <w:left w:val="none" w:sz="0" w:space="0" w:color="auto"/>
        <w:bottom w:val="none" w:sz="0" w:space="0" w:color="auto"/>
        <w:right w:val="none" w:sz="0" w:space="0" w:color="auto"/>
      </w:divBdr>
    </w:div>
    <w:div w:id="1539734998">
      <w:bodyDiv w:val="1"/>
      <w:marLeft w:val="0"/>
      <w:marRight w:val="0"/>
      <w:marTop w:val="0"/>
      <w:marBottom w:val="0"/>
      <w:divBdr>
        <w:top w:val="none" w:sz="0" w:space="0" w:color="auto"/>
        <w:left w:val="none" w:sz="0" w:space="0" w:color="auto"/>
        <w:bottom w:val="none" w:sz="0" w:space="0" w:color="auto"/>
        <w:right w:val="none" w:sz="0" w:space="0" w:color="auto"/>
      </w:divBdr>
    </w:div>
    <w:div w:id="1561406001">
      <w:bodyDiv w:val="1"/>
      <w:marLeft w:val="0"/>
      <w:marRight w:val="0"/>
      <w:marTop w:val="0"/>
      <w:marBottom w:val="0"/>
      <w:divBdr>
        <w:top w:val="none" w:sz="0" w:space="0" w:color="auto"/>
        <w:left w:val="none" w:sz="0" w:space="0" w:color="auto"/>
        <w:bottom w:val="none" w:sz="0" w:space="0" w:color="auto"/>
        <w:right w:val="none" w:sz="0" w:space="0" w:color="auto"/>
      </w:divBdr>
    </w:div>
    <w:div w:id="1567644023">
      <w:bodyDiv w:val="1"/>
      <w:marLeft w:val="0"/>
      <w:marRight w:val="0"/>
      <w:marTop w:val="0"/>
      <w:marBottom w:val="0"/>
      <w:divBdr>
        <w:top w:val="none" w:sz="0" w:space="0" w:color="auto"/>
        <w:left w:val="none" w:sz="0" w:space="0" w:color="auto"/>
        <w:bottom w:val="none" w:sz="0" w:space="0" w:color="auto"/>
        <w:right w:val="none" w:sz="0" w:space="0" w:color="auto"/>
      </w:divBdr>
    </w:div>
    <w:div w:id="1569923052">
      <w:bodyDiv w:val="1"/>
      <w:marLeft w:val="0"/>
      <w:marRight w:val="0"/>
      <w:marTop w:val="0"/>
      <w:marBottom w:val="0"/>
      <w:divBdr>
        <w:top w:val="none" w:sz="0" w:space="0" w:color="auto"/>
        <w:left w:val="none" w:sz="0" w:space="0" w:color="auto"/>
        <w:bottom w:val="none" w:sz="0" w:space="0" w:color="auto"/>
        <w:right w:val="none" w:sz="0" w:space="0" w:color="auto"/>
      </w:divBdr>
    </w:div>
    <w:div w:id="1570311450">
      <w:bodyDiv w:val="1"/>
      <w:marLeft w:val="0"/>
      <w:marRight w:val="0"/>
      <w:marTop w:val="0"/>
      <w:marBottom w:val="0"/>
      <w:divBdr>
        <w:top w:val="none" w:sz="0" w:space="0" w:color="auto"/>
        <w:left w:val="none" w:sz="0" w:space="0" w:color="auto"/>
        <w:bottom w:val="none" w:sz="0" w:space="0" w:color="auto"/>
        <w:right w:val="none" w:sz="0" w:space="0" w:color="auto"/>
      </w:divBdr>
    </w:div>
    <w:div w:id="1570924270">
      <w:bodyDiv w:val="1"/>
      <w:marLeft w:val="0"/>
      <w:marRight w:val="0"/>
      <w:marTop w:val="0"/>
      <w:marBottom w:val="0"/>
      <w:divBdr>
        <w:top w:val="none" w:sz="0" w:space="0" w:color="auto"/>
        <w:left w:val="none" w:sz="0" w:space="0" w:color="auto"/>
        <w:bottom w:val="none" w:sz="0" w:space="0" w:color="auto"/>
        <w:right w:val="none" w:sz="0" w:space="0" w:color="auto"/>
      </w:divBdr>
    </w:div>
    <w:div w:id="1573663110">
      <w:bodyDiv w:val="1"/>
      <w:marLeft w:val="0"/>
      <w:marRight w:val="0"/>
      <w:marTop w:val="0"/>
      <w:marBottom w:val="0"/>
      <w:divBdr>
        <w:top w:val="none" w:sz="0" w:space="0" w:color="auto"/>
        <w:left w:val="none" w:sz="0" w:space="0" w:color="auto"/>
        <w:bottom w:val="none" w:sz="0" w:space="0" w:color="auto"/>
        <w:right w:val="none" w:sz="0" w:space="0" w:color="auto"/>
      </w:divBdr>
    </w:div>
    <w:div w:id="1578831088">
      <w:bodyDiv w:val="1"/>
      <w:marLeft w:val="0"/>
      <w:marRight w:val="0"/>
      <w:marTop w:val="0"/>
      <w:marBottom w:val="0"/>
      <w:divBdr>
        <w:top w:val="none" w:sz="0" w:space="0" w:color="auto"/>
        <w:left w:val="none" w:sz="0" w:space="0" w:color="auto"/>
        <w:bottom w:val="none" w:sz="0" w:space="0" w:color="auto"/>
        <w:right w:val="none" w:sz="0" w:space="0" w:color="auto"/>
      </w:divBdr>
    </w:div>
    <w:div w:id="1583248395">
      <w:bodyDiv w:val="1"/>
      <w:marLeft w:val="0"/>
      <w:marRight w:val="0"/>
      <w:marTop w:val="0"/>
      <w:marBottom w:val="0"/>
      <w:divBdr>
        <w:top w:val="none" w:sz="0" w:space="0" w:color="auto"/>
        <w:left w:val="none" w:sz="0" w:space="0" w:color="auto"/>
        <w:bottom w:val="none" w:sz="0" w:space="0" w:color="auto"/>
        <w:right w:val="none" w:sz="0" w:space="0" w:color="auto"/>
      </w:divBdr>
    </w:div>
    <w:div w:id="1610887667">
      <w:bodyDiv w:val="1"/>
      <w:marLeft w:val="0"/>
      <w:marRight w:val="0"/>
      <w:marTop w:val="0"/>
      <w:marBottom w:val="0"/>
      <w:divBdr>
        <w:top w:val="none" w:sz="0" w:space="0" w:color="auto"/>
        <w:left w:val="none" w:sz="0" w:space="0" w:color="auto"/>
        <w:bottom w:val="none" w:sz="0" w:space="0" w:color="auto"/>
        <w:right w:val="none" w:sz="0" w:space="0" w:color="auto"/>
      </w:divBdr>
    </w:div>
    <w:div w:id="1611202967">
      <w:bodyDiv w:val="1"/>
      <w:marLeft w:val="0"/>
      <w:marRight w:val="0"/>
      <w:marTop w:val="0"/>
      <w:marBottom w:val="0"/>
      <w:divBdr>
        <w:top w:val="none" w:sz="0" w:space="0" w:color="auto"/>
        <w:left w:val="none" w:sz="0" w:space="0" w:color="auto"/>
        <w:bottom w:val="none" w:sz="0" w:space="0" w:color="auto"/>
        <w:right w:val="none" w:sz="0" w:space="0" w:color="auto"/>
      </w:divBdr>
    </w:div>
    <w:div w:id="1613977522">
      <w:bodyDiv w:val="1"/>
      <w:marLeft w:val="0"/>
      <w:marRight w:val="0"/>
      <w:marTop w:val="0"/>
      <w:marBottom w:val="0"/>
      <w:divBdr>
        <w:top w:val="none" w:sz="0" w:space="0" w:color="auto"/>
        <w:left w:val="none" w:sz="0" w:space="0" w:color="auto"/>
        <w:bottom w:val="none" w:sz="0" w:space="0" w:color="auto"/>
        <w:right w:val="none" w:sz="0" w:space="0" w:color="auto"/>
      </w:divBdr>
    </w:div>
    <w:div w:id="1625236348">
      <w:bodyDiv w:val="1"/>
      <w:marLeft w:val="0"/>
      <w:marRight w:val="0"/>
      <w:marTop w:val="0"/>
      <w:marBottom w:val="0"/>
      <w:divBdr>
        <w:top w:val="none" w:sz="0" w:space="0" w:color="auto"/>
        <w:left w:val="none" w:sz="0" w:space="0" w:color="auto"/>
        <w:bottom w:val="none" w:sz="0" w:space="0" w:color="auto"/>
        <w:right w:val="none" w:sz="0" w:space="0" w:color="auto"/>
      </w:divBdr>
    </w:div>
    <w:div w:id="1625427971">
      <w:bodyDiv w:val="1"/>
      <w:marLeft w:val="0"/>
      <w:marRight w:val="0"/>
      <w:marTop w:val="0"/>
      <w:marBottom w:val="0"/>
      <w:divBdr>
        <w:top w:val="none" w:sz="0" w:space="0" w:color="auto"/>
        <w:left w:val="none" w:sz="0" w:space="0" w:color="auto"/>
        <w:bottom w:val="none" w:sz="0" w:space="0" w:color="auto"/>
        <w:right w:val="none" w:sz="0" w:space="0" w:color="auto"/>
      </w:divBdr>
    </w:div>
    <w:div w:id="1644192721">
      <w:bodyDiv w:val="1"/>
      <w:marLeft w:val="0"/>
      <w:marRight w:val="0"/>
      <w:marTop w:val="0"/>
      <w:marBottom w:val="0"/>
      <w:divBdr>
        <w:top w:val="none" w:sz="0" w:space="0" w:color="auto"/>
        <w:left w:val="none" w:sz="0" w:space="0" w:color="auto"/>
        <w:bottom w:val="none" w:sz="0" w:space="0" w:color="auto"/>
        <w:right w:val="none" w:sz="0" w:space="0" w:color="auto"/>
      </w:divBdr>
    </w:div>
    <w:div w:id="1646737533">
      <w:bodyDiv w:val="1"/>
      <w:marLeft w:val="0"/>
      <w:marRight w:val="0"/>
      <w:marTop w:val="0"/>
      <w:marBottom w:val="0"/>
      <w:divBdr>
        <w:top w:val="none" w:sz="0" w:space="0" w:color="auto"/>
        <w:left w:val="none" w:sz="0" w:space="0" w:color="auto"/>
        <w:bottom w:val="none" w:sz="0" w:space="0" w:color="auto"/>
        <w:right w:val="none" w:sz="0" w:space="0" w:color="auto"/>
      </w:divBdr>
    </w:div>
    <w:div w:id="1651134238">
      <w:bodyDiv w:val="1"/>
      <w:marLeft w:val="0"/>
      <w:marRight w:val="0"/>
      <w:marTop w:val="0"/>
      <w:marBottom w:val="0"/>
      <w:divBdr>
        <w:top w:val="none" w:sz="0" w:space="0" w:color="auto"/>
        <w:left w:val="none" w:sz="0" w:space="0" w:color="auto"/>
        <w:bottom w:val="none" w:sz="0" w:space="0" w:color="auto"/>
        <w:right w:val="none" w:sz="0" w:space="0" w:color="auto"/>
      </w:divBdr>
    </w:div>
    <w:div w:id="1653217388">
      <w:bodyDiv w:val="1"/>
      <w:marLeft w:val="0"/>
      <w:marRight w:val="0"/>
      <w:marTop w:val="0"/>
      <w:marBottom w:val="0"/>
      <w:divBdr>
        <w:top w:val="none" w:sz="0" w:space="0" w:color="auto"/>
        <w:left w:val="none" w:sz="0" w:space="0" w:color="auto"/>
        <w:bottom w:val="none" w:sz="0" w:space="0" w:color="auto"/>
        <w:right w:val="none" w:sz="0" w:space="0" w:color="auto"/>
      </w:divBdr>
    </w:div>
    <w:div w:id="1659848044">
      <w:bodyDiv w:val="1"/>
      <w:marLeft w:val="0"/>
      <w:marRight w:val="0"/>
      <w:marTop w:val="0"/>
      <w:marBottom w:val="0"/>
      <w:divBdr>
        <w:top w:val="none" w:sz="0" w:space="0" w:color="auto"/>
        <w:left w:val="none" w:sz="0" w:space="0" w:color="auto"/>
        <w:bottom w:val="none" w:sz="0" w:space="0" w:color="auto"/>
        <w:right w:val="none" w:sz="0" w:space="0" w:color="auto"/>
      </w:divBdr>
    </w:div>
    <w:div w:id="1663311221">
      <w:bodyDiv w:val="1"/>
      <w:marLeft w:val="0"/>
      <w:marRight w:val="0"/>
      <w:marTop w:val="0"/>
      <w:marBottom w:val="0"/>
      <w:divBdr>
        <w:top w:val="none" w:sz="0" w:space="0" w:color="auto"/>
        <w:left w:val="none" w:sz="0" w:space="0" w:color="auto"/>
        <w:bottom w:val="none" w:sz="0" w:space="0" w:color="auto"/>
        <w:right w:val="none" w:sz="0" w:space="0" w:color="auto"/>
      </w:divBdr>
    </w:div>
    <w:div w:id="1674185789">
      <w:bodyDiv w:val="1"/>
      <w:marLeft w:val="0"/>
      <w:marRight w:val="0"/>
      <w:marTop w:val="0"/>
      <w:marBottom w:val="0"/>
      <w:divBdr>
        <w:top w:val="none" w:sz="0" w:space="0" w:color="auto"/>
        <w:left w:val="none" w:sz="0" w:space="0" w:color="auto"/>
        <w:bottom w:val="none" w:sz="0" w:space="0" w:color="auto"/>
        <w:right w:val="none" w:sz="0" w:space="0" w:color="auto"/>
      </w:divBdr>
    </w:div>
    <w:div w:id="1675375206">
      <w:bodyDiv w:val="1"/>
      <w:marLeft w:val="0"/>
      <w:marRight w:val="0"/>
      <w:marTop w:val="0"/>
      <w:marBottom w:val="0"/>
      <w:divBdr>
        <w:top w:val="none" w:sz="0" w:space="0" w:color="auto"/>
        <w:left w:val="none" w:sz="0" w:space="0" w:color="auto"/>
        <w:bottom w:val="none" w:sz="0" w:space="0" w:color="auto"/>
        <w:right w:val="none" w:sz="0" w:space="0" w:color="auto"/>
      </w:divBdr>
    </w:div>
    <w:div w:id="1675693454">
      <w:bodyDiv w:val="1"/>
      <w:marLeft w:val="0"/>
      <w:marRight w:val="0"/>
      <w:marTop w:val="0"/>
      <w:marBottom w:val="0"/>
      <w:divBdr>
        <w:top w:val="none" w:sz="0" w:space="0" w:color="auto"/>
        <w:left w:val="none" w:sz="0" w:space="0" w:color="auto"/>
        <w:bottom w:val="none" w:sz="0" w:space="0" w:color="auto"/>
        <w:right w:val="none" w:sz="0" w:space="0" w:color="auto"/>
      </w:divBdr>
    </w:div>
    <w:div w:id="1677532630">
      <w:bodyDiv w:val="1"/>
      <w:marLeft w:val="0"/>
      <w:marRight w:val="0"/>
      <w:marTop w:val="0"/>
      <w:marBottom w:val="0"/>
      <w:divBdr>
        <w:top w:val="none" w:sz="0" w:space="0" w:color="auto"/>
        <w:left w:val="none" w:sz="0" w:space="0" w:color="auto"/>
        <w:bottom w:val="none" w:sz="0" w:space="0" w:color="auto"/>
        <w:right w:val="none" w:sz="0" w:space="0" w:color="auto"/>
      </w:divBdr>
    </w:div>
    <w:div w:id="1680309095">
      <w:bodyDiv w:val="1"/>
      <w:marLeft w:val="0"/>
      <w:marRight w:val="0"/>
      <w:marTop w:val="0"/>
      <w:marBottom w:val="0"/>
      <w:divBdr>
        <w:top w:val="none" w:sz="0" w:space="0" w:color="auto"/>
        <w:left w:val="none" w:sz="0" w:space="0" w:color="auto"/>
        <w:bottom w:val="none" w:sz="0" w:space="0" w:color="auto"/>
        <w:right w:val="none" w:sz="0" w:space="0" w:color="auto"/>
      </w:divBdr>
    </w:div>
    <w:div w:id="1701004178">
      <w:bodyDiv w:val="1"/>
      <w:marLeft w:val="0"/>
      <w:marRight w:val="0"/>
      <w:marTop w:val="0"/>
      <w:marBottom w:val="0"/>
      <w:divBdr>
        <w:top w:val="none" w:sz="0" w:space="0" w:color="auto"/>
        <w:left w:val="none" w:sz="0" w:space="0" w:color="auto"/>
        <w:bottom w:val="none" w:sz="0" w:space="0" w:color="auto"/>
        <w:right w:val="none" w:sz="0" w:space="0" w:color="auto"/>
      </w:divBdr>
    </w:div>
    <w:div w:id="1701465382">
      <w:bodyDiv w:val="1"/>
      <w:marLeft w:val="0"/>
      <w:marRight w:val="0"/>
      <w:marTop w:val="0"/>
      <w:marBottom w:val="0"/>
      <w:divBdr>
        <w:top w:val="none" w:sz="0" w:space="0" w:color="auto"/>
        <w:left w:val="none" w:sz="0" w:space="0" w:color="auto"/>
        <w:bottom w:val="none" w:sz="0" w:space="0" w:color="auto"/>
        <w:right w:val="none" w:sz="0" w:space="0" w:color="auto"/>
      </w:divBdr>
    </w:div>
    <w:div w:id="1710452921">
      <w:bodyDiv w:val="1"/>
      <w:marLeft w:val="0"/>
      <w:marRight w:val="0"/>
      <w:marTop w:val="0"/>
      <w:marBottom w:val="0"/>
      <w:divBdr>
        <w:top w:val="none" w:sz="0" w:space="0" w:color="auto"/>
        <w:left w:val="none" w:sz="0" w:space="0" w:color="auto"/>
        <w:bottom w:val="none" w:sz="0" w:space="0" w:color="auto"/>
        <w:right w:val="none" w:sz="0" w:space="0" w:color="auto"/>
      </w:divBdr>
    </w:div>
    <w:div w:id="1712076681">
      <w:bodyDiv w:val="1"/>
      <w:marLeft w:val="0"/>
      <w:marRight w:val="0"/>
      <w:marTop w:val="0"/>
      <w:marBottom w:val="0"/>
      <w:divBdr>
        <w:top w:val="none" w:sz="0" w:space="0" w:color="auto"/>
        <w:left w:val="none" w:sz="0" w:space="0" w:color="auto"/>
        <w:bottom w:val="none" w:sz="0" w:space="0" w:color="auto"/>
        <w:right w:val="none" w:sz="0" w:space="0" w:color="auto"/>
      </w:divBdr>
    </w:div>
    <w:div w:id="1723362649">
      <w:bodyDiv w:val="1"/>
      <w:marLeft w:val="0"/>
      <w:marRight w:val="0"/>
      <w:marTop w:val="0"/>
      <w:marBottom w:val="0"/>
      <w:divBdr>
        <w:top w:val="none" w:sz="0" w:space="0" w:color="auto"/>
        <w:left w:val="none" w:sz="0" w:space="0" w:color="auto"/>
        <w:bottom w:val="none" w:sz="0" w:space="0" w:color="auto"/>
        <w:right w:val="none" w:sz="0" w:space="0" w:color="auto"/>
      </w:divBdr>
    </w:div>
    <w:div w:id="1723748328">
      <w:bodyDiv w:val="1"/>
      <w:marLeft w:val="0"/>
      <w:marRight w:val="0"/>
      <w:marTop w:val="0"/>
      <w:marBottom w:val="0"/>
      <w:divBdr>
        <w:top w:val="none" w:sz="0" w:space="0" w:color="auto"/>
        <w:left w:val="none" w:sz="0" w:space="0" w:color="auto"/>
        <w:bottom w:val="none" w:sz="0" w:space="0" w:color="auto"/>
        <w:right w:val="none" w:sz="0" w:space="0" w:color="auto"/>
      </w:divBdr>
    </w:div>
    <w:div w:id="1734346947">
      <w:bodyDiv w:val="1"/>
      <w:marLeft w:val="0"/>
      <w:marRight w:val="0"/>
      <w:marTop w:val="0"/>
      <w:marBottom w:val="0"/>
      <w:divBdr>
        <w:top w:val="none" w:sz="0" w:space="0" w:color="auto"/>
        <w:left w:val="none" w:sz="0" w:space="0" w:color="auto"/>
        <w:bottom w:val="none" w:sz="0" w:space="0" w:color="auto"/>
        <w:right w:val="none" w:sz="0" w:space="0" w:color="auto"/>
      </w:divBdr>
    </w:div>
    <w:div w:id="1737437839">
      <w:bodyDiv w:val="1"/>
      <w:marLeft w:val="0"/>
      <w:marRight w:val="0"/>
      <w:marTop w:val="0"/>
      <w:marBottom w:val="0"/>
      <w:divBdr>
        <w:top w:val="none" w:sz="0" w:space="0" w:color="auto"/>
        <w:left w:val="none" w:sz="0" w:space="0" w:color="auto"/>
        <w:bottom w:val="none" w:sz="0" w:space="0" w:color="auto"/>
        <w:right w:val="none" w:sz="0" w:space="0" w:color="auto"/>
      </w:divBdr>
    </w:div>
    <w:div w:id="1737700195">
      <w:bodyDiv w:val="1"/>
      <w:marLeft w:val="0"/>
      <w:marRight w:val="0"/>
      <w:marTop w:val="0"/>
      <w:marBottom w:val="0"/>
      <w:divBdr>
        <w:top w:val="none" w:sz="0" w:space="0" w:color="auto"/>
        <w:left w:val="none" w:sz="0" w:space="0" w:color="auto"/>
        <w:bottom w:val="none" w:sz="0" w:space="0" w:color="auto"/>
        <w:right w:val="none" w:sz="0" w:space="0" w:color="auto"/>
      </w:divBdr>
    </w:div>
    <w:div w:id="1738749774">
      <w:bodyDiv w:val="1"/>
      <w:marLeft w:val="0"/>
      <w:marRight w:val="0"/>
      <w:marTop w:val="0"/>
      <w:marBottom w:val="0"/>
      <w:divBdr>
        <w:top w:val="none" w:sz="0" w:space="0" w:color="auto"/>
        <w:left w:val="none" w:sz="0" w:space="0" w:color="auto"/>
        <w:bottom w:val="none" w:sz="0" w:space="0" w:color="auto"/>
        <w:right w:val="none" w:sz="0" w:space="0" w:color="auto"/>
      </w:divBdr>
    </w:div>
    <w:div w:id="1740592485">
      <w:bodyDiv w:val="1"/>
      <w:marLeft w:val="0"/>
      <w:marRight w:val="0"/>
      <w:marTop w:val="0"/>
      <w:marBottom w:val="0"/>
      <w:divBdr>
        <w:top w:val="none" w:sz="0" w:space="0" w:color="auto"/>
        <w:left w:val="none" w:sz="0" w:space="0" w:color="auto"/>
        <w:bottom w:val="none" w:sz="0" w:space="0" w:color="auto"/>
        <w:right w:val="none" w:sz="0" w:space="0" w:color="auto"/>
      </w:divBdr>
    </w:div>
    <w:div w:id="1741252365">
      <w:bodyDiv w:val="1"/>
      <w:marLeft w:val="0"/>
      <w:marRight w:val="0"/>
      <w:marTop w:val="0"/>
      <w:marBottom w:val="0"/>
      <w:divBdr>
        <w:top w:val="none" w:sz="0" w:space="0" w:color="auto"/>
        <w:left w:val="none" w:sz="0" w:space="0" w:color="auto"/>
        <w:bottom w:val="none" w:sz="0" w:space="0" w:color="auto"/>
        <w:right w:val="none" w:sz="0" w:space="0" w:color="auto"/>
      </w:divBdr>
    </w:div>
    <w:div w:id="1765177205">
      <w:bodyDiv w:val="1"/>
      <w:marLeft w:val="0"/>
      <w:marRight w:val="0"/>
      <w:marTop w:val="0"/>
      <w:marBottom w:val="0"/>
      <w:divBdr>
        <w:top w:val="none" w:sz="0" w:space="0" w:color="auto"/>
        <w:left w:val="none" w:sz="0" w:space="0" w:color="auto"/>
        <w:bottom w:val="none" w:sz="0" w:space="0" w:color="auto"/>
        <w:right w:val="none" w:sz="0" w:space="0" w:color="auto"/>
      </w:divBdr>
    </w:div>
    <w:div w:id="1767964792">
      <w:bodyDiv w:val="1"/>
      <w:marLeft w:val="0"/>
      <w:marRight w:val="0"/>
      <w:marTop w:val="0"/>
      <w:marBottom w:val="0"/>
      <w:divBdr>
        <w:top w:val="none" w:sz="0" w:space="0" w:color="auto"/>
        <w:left w:val="none" w:sz="0" w:space="0" w:color="auto"/>
        <w:bottom w:val="none" w:sz="0" w:space="0" w:color="auto"/>
        <w:right w:val="none" w:sz="0" w:space="0" w:color="auto"/>
      </w:divBdr>
    </w:div>
    <w:div w:id="1768883037">
      <w:bodyDiv w:val="1"/>
      <w:marLeft w:val="0"/>
      <w:marRight w:val="0"/>
      <w:marTop w:val="0"/>
      <w:marBottom w:val="0"/>
      <w:divBdr>
        <w:top w:val="none" w:sz="0" w:space="0" w:color="auto"/>
        <w:left w:val="none" w:sz="0" w:space="0" w:color="auto"/>
        <w:bottom w:val="none" w:sz="0" w:space="0" w:color="auto"/>
        <w:right w:val="none" w:sz="0" w:space="0" w:color="auto"/>
      </w:divBdr>
    </w:div>
    <w:div w:id="1771731288">
      <w:bodyDiv w:val="1"/>
      <w:marLeft w:val="0"/>
      <w:marRight w:val="0"/>
      <w:marTop w:val="0"/>
      <w:marBottom w:val="0"/>
      <w:divBdr>
        <w:top w:val="none" w:sz="0" w:space="0" w:color="auto"/>
        <w:left w:val="none" w:sz="0" w:space="0" w:color="auto"/>
        <w:bottom w:val="none" w:sz="0" w:space="0" w:color="auto"/>
        <w:right w:val="none" w:sz="0" w:space="0" w:color="auto"/>
      </w:divBdr>
    </w:div>
    <w:div w:id="1773820579">
      <w:bodyDiv w:val="1"/>
      <w:marLeft w:val="0"/>
      <w:marRight w:val="0"/>
      <w:marTop w:val="0"/>
      <w:marBottom w:val="0"/>
      <w:divBdr>
        <w:top w:val="none" w:sz="0" w:space="0" w:color="auto"/>
        <w:left w:val="none" w:sz="0" w:space="0" w:color="auto"/>
        <w:bottom w:val="none" w:sz="0" w:space="0" w:color="auto"/>
        <w:right w:val="none" w:sz="0" w:space="0" w:color="auto"/>
      </w:divBdr>
    </w:div>
    <w:div w:id="1778452102">
      <w:bodyDiv w:val="1"/>
      <w:marLeft w:val="0"/>
      <w:marRight w:val="0"/>
      <w:marTop w:val="0"/>
      <w:marBottom w:val="0"/>
      <w:divBdr>
        <w:top w:val="none" w:sz="0" w:space="0" w:color="auto"/>
        <w:left w:val="none" w:sz="0" w:space="0" w:color="auto"/>
        <w:bottom w:val="none" w:sz="0" w:space="0" w:color="auto"/>
        <w:right w:val="none" w:sz="0" w:space="0" w:color="auto"/>
      </w:divBdr>
    </w:div>
    <w:div w:id="1789007792">
      <w:bodyDiv w:val="1"/>
      <w:marLeft w:val="0"/>
      <w:marRight w:val="0"/>
      <w:marTop w:val="0"/>
      <w:marBottom w:val="0"/>
      <w:divBdr>
        <w:top w:val="none" w:sz="0" w:space="0" w:color="auto"/>
        <w:left w:val="none" w:sz="0" w:space="0" w:color="auto"/>
        <w:bottom w:val="none" w:sz="0" w:space="0" w:color="auto"/>
        <w:right w:val="none" w:sz="0" w:space="0" w:color="auto"/>
      </w:divBdr>
    </w:div>
    <w:div w:id="1794904953">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 w:id="1806072935">
      <w:bodyDiv w:val="1"/>
      <w:marLeft w:val="0"/>
      <w:marRight w:val="0"/>
      <w:marTop w:val="0"/>
      <w:marBottom w:val="0"/>
      <w:divBdr>
        <w:top w:val="none" w:sz="0" w:space="0" w:color="auto"/>
        <w:left w:val="none" w:sz="0" w:space="0" w:color="auto"/>
        <w:bottom w:val="none" w:sz="0" w:space="0" w:color="auto"/>
        <w:right w:val="none" w:sz="0" w:space="0" w:color="auto"/>
      </w:divBdr>
    </w:div>
    <w:div w:id="1806894550">
      <w:bodyDiv w:val="1"/>
      <w:marLeft w:val="0"/>
      <w:marRight w:val="0"/>
      <w:marTop w:val="0"/>
      <w:marBottom w:val="0"/>
      <w:divBdr>
        <w:top w:val="none" w:sz="0" w:space="0" w:color="auto"/>
        <w:left w:val="none" w:sz="0" w:space="0" w:color="auto"/>
        <w:bottom w:val="none" w:sz="0" w:space="0" w:color="auto"/>
        <w:right w:val="none" w:sz="0" w:space="0" w:color="auto"/>
      </w:divBdr>
    </w:div>
    <w:div w:id="1825587423">
      <w:bodyDiv w:val="1"/>
      <w:marLeft w:val="0"/>
      <w:marRight w:val="0"/>
      <w:marTop w:val="0"/>
      <w:marBottom w:val="0"/>
      <w:divBdr>
        <w:top w:val="none" w:sz="0" w:space="0" w:color="auto"/>
        <w:left w:val="none" w:sz="0" w:space="0" w:color="auto"/>
        <w:bottom w:val="none" w:sz="0" w:space="0" w:color="auto"/>
        <w:right w:val="none" w:sz="0" w:space="0" w:color="auto"/>
      </w:divBdr>
    </w:div>
    <w:div w:id="1827017759">
      <w:bodyDiv w:val="1"/>
      <w:marLeft w:val="0"/>
      <w:marRight w:val="0"/>
      <w:marTop w:val="0"/>
      <w:marBottom w:val="0"/>
      <w:divBdr>
        <w:top w:val="none" w:sz="0" w:space="0" w:color="auto"/>
        <w:left w:val="none" w:sz="0" w:space="0" w:color="auto"/>
        <w:bottom w:val="none" w:sz="0" w:space="0" w:color="auto"/>
        <w:right w:val="none" w:sz="0" w:space="0" w:color="auto"/>
      </w:divBdr>
    </w:div>
    <w:div w:id="1834952567">
      <w:bodyDiv w:val="1"/>
      <w:marLeft w:val="0"/>
      <w:marRight w:val="0"/>
      <w:marTop w:val="0"/>
      <w:marBottom w:val="0"/>
      <w:divBdr>
        <w:top w:val="none" w:sz="0" w:space="0" w:color="auto"/>
        <w:left w:val="none" w:sz="0" w:space="0" w:color="auto"/>
        <w:bottom w:val="none" w:sz="0" w:space="0" w:color="auto"/>
        <w:right w:val="none" w:sz="0" w:space="0" w:color="auto"/>
      </w:divBdr>
    </w:div>
    <w:div w:id="1844319061">
      <w:bodyDiv w:val="1"/>
      <w:marLeft w:val="0"/>
      <w:marRight w:val="0"/>
      <w:marTop w:val="0"/>
      <w:marBottom w:val="0"/>
      <w:divBdr>
        <w:top w:val="none" w:sz="0" w:space="0" w:color="auto"/>
        <w:left w:val="none" w:sz="0" w:space="0" w:color="auto"/>
        <w:bottom w:val="none" w:sz="0" w:space="0" w:color="auto"/>
        <w:right w:val="none" w:sz="0" w:space="0" w:color="auto"/>
      </w:divBdr>
    </w:div>
    <w:div w:id="1852182970">
      <w:bodyDiv w:val="1"/>
      <w:marLeft w:val="0"/>
      <w:marRight w:val="0"/>
      <w:marTop w:val="0"/>
      <w:marBottom w:val="0"/>
      <w:divBdr>
        <w:top w:val="none" w:sz="0" w:space="0" w:color="auto"/>
        <w:left w:val="none" w:sz="0" w:space="0" w:color="auto"/>
        <w:bottom w:val="none" w:sz="0" w:space="0" w:color="auto"/>
        <w:right w:val="none" w:sz="0" w:space="0" w:color="auto"/>
      </w:divBdr>
    </w:div>
    <w:div w:id="1857232708">
      <w:bodyDiv w:val="1"/>
      <w:marLeft w:val="0"/>
      <w:marRight w:val="0"/>
      <w:marTop w:val="0"/>
      <w:marBottom w:val="0"/>
      <w:divBdr>
        <w:top w:val="none" w:sz="0" w:space="0" w:color="auto"/>
        <w:left w:val="none" w:sz="0" w:space="0" w:color="auto"/>
        <w:bottom w:val="none" w:sz="0" w:space="0" w:color="auto"/>
        <w:right w:val="none" w:sz="0" w:space="0" w:color="auto"/>
      </w:divBdr>
    </w:div>
    <w:div w:id="1877157285">
      <w:bodyDiv w:val="1"/>
      <w:marLeft w:val="0"/>
      <w:marRight w:val="0"/>
      <w:marTop w:val="0"/>
      <w:marBottom w:val="0"/>
      <w:divBdr>
        <w:top w:val="none" w:sz="0" w:space="0" w:color="auto"/>
        <w:left w:val="none" w:sz="0" w:space="0" w:color="auto"/>
        <w:bottom w:val="none" w:sz="0" w:space="0" w:color="auto"/>
        <w:right w:val="none" w:sz="0" w:space="0" w:color="auto"/>
      </w:divBdr>
    </w:div>
    <w:div w:id="1879079961">
      <w:bodyDiv w:val="1"/>
      <w:marLeft w:val="0"/>
      <w:marRight w:val="0"/>
      <w:marTop w:val="0"/>
      <w:marBottom w:val="0"/>
      <w:divBdr>
        <w:top w:val="none" w:sz="0" w:space="0" w:color="auto"/>
        <w:left w:val="none" w:sz="0" w:space="0" w:color="auto"/>
        <w:bottom w:val="none" w:sz="0" w:space="0" w:color="auto"/>
        <w:right w:val="none" w:sz="0" w:space="0" w:color="auto"/>
      </w:divBdr>
    </w:div>
    <w:div w:id="1888907569">
      <w:bodyDiv w:val="1"/>
      <w:marLeft w:val="0"/>
      <w:marRight w:val="0"/>
      <w:marTop w:val="0"/>
      <w:marBottom w:val="0"/>
      <w:divBdr>
        <w:top w:val="none" w:sz="0" w:space="0" w:color="auto"/>
        <w:left w:val="none" w:sz="0" w:space="0" w:color="auto"/>
        <w:bottom w:val="none" w:sz="0" w:space="0" w:color="auto"/>
        <w:right w:val="none" w:sz="0" w:space="0" w:color="auto"/>
      </w:divBdr>
    </w:div>
    <w:div w:id="1891649714">
      <w:bodyDiv w:val="1"/>
      <w:marLeft w:val="0"/>
      <w:marRight w:val="0"/>
      <w:marTop w:val="0"/>
      <w:marBottom w:val="0"/>
      <w:divBdr>
        <w:top w:val="none" w:sz="0" w:space="0" w:color="auto"/>
        <w:left w:val="none" w:sz="0" w:space="0" w:color="auto"/>
        <w:bottom w:val="none" w:sz="0" w:space="0" w:color="auto"/>
        <w:right w:val="none" w:sz="0" w:space="0" w:color="auto"/>
      </w:divBdr>
    </w:div>
    <w:div w:id="1908345495">
      <w:bodyDiv w:val="1"/>
      <w:marLeft w:val="0"/>
      <w:marRight w:val="0"/>
      <w:marTop w:val="0"/>
      <w:marBottom w:val="0"/>
      <w:divBdr>
        <w:top w:val="none" w:sz="0" w:space="0" w:color="auto"/>
        <w:left w:val="none" w:sz="0" w:space="0" w:color="auto"/>
        <w:bottom w:val="none" w:sz="0" w:space="0" w:color="auto"/>
        <w:right w:val="none" w:sz="0" w:space="0" w:color="auto"/>
      </w:divBdr>
    </w:div>
    <w:div w:id="1912302039">
      <w:bodyDiv w:val="1"/>
      <w:marLeft w:val="0"/>
      <w:marRight w:val="0"/>
      <w:marTop w:val="0"/>
      <w:marBottom w:val="0"/>
      <w:divBdr>
        <w:top w:val="none" w:sz="0" w:space="0" w:color="auto"/>
        <w:left w:val="none" w:sz="0" w:space="0" w:color="auto"/>
        <w:bottom w:val="none" w:sz="0" w:space="0" w:color="auto"/>
        <w:right w:val="none" w:sz="0" w:space="0" w:color="auto"/>
      </w:divBdr>
    </w:div>
    <w:div w:id="1916623280">
      <w:bodyDiv w:val="1"/>
      <w:marLeft w:val="0"/>
      <w:marRight w:val="0"/>
      <w:marTop w:val="0"/>
      <w:marBottom w:val="0"/>
      <w:divBdr>
        <w:top w:val="none" w:sz="0" w:space="0" w:color="auto"/>
        <w:left w:val="none" w:sz="0" w:space="0" w:color="auto"/>
        <w:bottom w:val="none" w:sz="0" w:space="0" w:color="auto"/>
        <w:right w:val="none" w:sz="0" w:space="0" w:color="auto"/>
      </w:divBdr>
    </w:div>
    <w:div w:id="1927417714">
      <w:bodyDiv w:val="1"/>
      <w:marLeft w:val="0"/>
      <w:marRight w:val="0"/>
      <w:marTop w:val="0"/>
      <w:marBottom w:val="0"/>
      <w:divBdr>
        <w:top w:val="none" w:sz="0" w:space="0" w:color="auto"/>
        <w:left w:val="none" w:sz="0" w:space="0" w:color="auto"/>
        <w:bottom w:val="none" w:sz="0" w:space="0" w:color="auto"/>
        <w:right w:val="none" w:sz="0" w:space="0" w:color="auto"/>
      </w:divBdr>
    </w:div>
    <w:div w:id="1929927840">
      <w:bodyDiv w:val="1"/>
      <w:marLeft w:val="0"/>
      <w:marRight w:val="0"/>
      <w:marTop w:val="0"/>
      <w:marBottom w:val="0"/>
      <w:divBdr>
        <w:top w:val="none" w:sz="0" w:space="0" w:color="auto"/>
        <w:left w:val="none" w:sz="0" w:space="0" w:color="auto"/>
        <w:bottom w:val="none" w:sz="0" w:space="0" w:color="auto"/>
        <w:right w:val="none" w:sz="0" w:space="0" w:color="auto"/>
      </w:divBdr>
    </w:div>
    <w:div w:id="1930699449">
      <w:bodyDiv w:val="1"/>
      <w:marLeft w:val="0"/>
      <w:marRight w:val="0"/>
      <w:marTop w:val="0"/>
      <w:marBottom w:val="0"/>
      <w:divBdr>
        <w:top w:val="none" w:sz="0" w:space="0" w:color="auto"/>
        <w:left w:val="none" w:sz="0" w:space="0" w:color="auto"/>
        <w:bottom w:val="none" w:sz="0" w:space="0" w:color="auto"/>
        <w:right w:val="none" w:sz="0" w:space="0" w:color="auto"/>
      </w:divBdr>
    </w:div>
    <w:div w:id="1933009428">
      <w:bodyDiv w:val="1"/>
      <w:marLeft w:val="0"/>
      <w:marRight w:val="0"/>
      <w:marTop w:val="0"/>
      <w:marBottom w:val="0"/>
      <w:divBdr>
        <w:top w:val="none" w:sz="0" w:space="0" w:color="auto"/>
        <w:left w:val="none" w:sz="0" w:space="0" w:color="auto"/>
        <w:bottom w:val="none" w:sz="0" w:space="0" w:color="auto"/>
        <w:right w:val="none" w:sz="0" w:space="0" w:color="auto"/>
      </w:divBdr>
    </w:div>
    <w:div w:id="1934514595">
      <w:bodyDiv w:val="1"/>
      <w:marLeft w:val="0"/>
      <w:marRight w:val="0"/>
      <w:marTop w:val="0"/>
      <w:marBottom w:val="0"/>
      <w:divBdr>
        <w:top w:val="none" w:sz="0" w:space="0" w:color="auto"/>
        <w:left w:val="none" w:sz="0" w:space="0" w:color="auto"/>
        <w:bottom w:val="none" w:sz="0" w:space="0" w:color="auto"/>
        <w:right w:val="none" w:sz="0" w:space="0" w:color="auto"/>
      </w:divBdr>
    </w:div>
    <w:div w:id="1934893094">
      <w:bodyDiv w:val="1"/>
      <w:marLeft w:val="0"/>
      <w:marRight w:val="0"/>
      <w:marTop w:val="0"/>
      <w:marBottom w:val="0"/>
      <w:divBdr>
        <w:top w:val="none" w:sz="0" w:space="0" w:color="auto"/>
        <w:left w:val="none" w:sz="0" w:space="0" w:color="auto"/>
        <w:bottom w:val="none" w:sz="0" w:space="0" w:color="auto"/>
        <w:right w:val="none" w:sz="0" w:space="0" w:color="auto"/>
      </w:divBdr>
    </w:div>
    <w:div w:id="1936011974">
      <w:bodyDiv w:val="1"/>
      <w:marLeft w:val="0"/>
      <w:marRight w:val="0"/>
      <w:marTop w:val="0"/>
      <w:marBottom w:val="0"/>
      <w:divBdr>
        <w:top w:val="none" w:sz="0" w:space="0" w:color="auto"/>
        <w:left w:val="none" w:sz="0" w:space="0" w:color="auto"/>
        <w:bottom w:val="none" w:sz="0" w:space="0" w:color="auto"/>
        <w:right w:val="none" w:sz="0" w:space="0" w:color="auto"/>
      </w:divBdr>
    </w:div>
    <w:div w:id="1945264484">
      <w:bodyDiv w:val="1"/>
      <w:marLeft w:val="0"/>
      <w:marRight w:val="0"/>
      <w:marTop w:val="0"/>
      <w:marBottom w:val="0"/>
      <w:divBdr>
        <w:top w:val="none" w:sz="0" w:space="0" w:color="auto"/>
        <w:left w:val="none" w:sz="0" w:space="0" w:color="auto"/>
        <w:bottom w:val="none" w:sz="0" w:space="0" w:color="auto"/>
        <w:right w:val="none" w:sz="0" w:space="0" w:color="auto"/>
      </w:divBdr>
    </w:div>
    <w:div w:id="1946111875">
      <w:bodyDiv w:val="1"/>
      <w:marLeft w:val="0"/>
      <w:marRight w:val="0"/>
      <w:marTop w:val="0"/>
      <w:marBottom w:val="0"/>
      <w:divBdr>
        <w:top w:val="none" w:sz="0" w:space="0" w:color="auto"/>
        <w:left w:val="none" w:sz="0" w:space="0" w:color="auto"/>
        <w:bottom w:val="none" w:sz="0" w:space="0" w:color="auto"/>
        <w:right w:val="none" w:sz="0" w:space="0" w:color="auto"/>
      </w:divBdr>
    </w:div>
    <w:div w:id="1947813122">
      <w:bodyDiv w:val="1"/>
      <w:marLeft w:val="0"/>
      <w:marRight w:val="0"/>
      <w:marTop w:val="0"/>
      <w:marBottom w:val="0"/>
      <w:divBdr>
        <w:top w:val="none" w:sz="0" w:space="0" w:color="auto"/>
        <w:left w:val="none" w:sz="0" w:space="0" w:color="auto"/>
        <w:bottom w:val="none" w:sz="0" w:space="0" w:color="auto"/>
        <w:right w:val="none" w:sz="0" w:space="0" w:color="auto"/>
      </w:divBdr>
    </w:div>
    <w:div w:id="1948582398">
      <w:bodyDiv w:val="1"/>
      <w:marLeft w:val="0"/>
      <w:marRight w:val="0"/>
      <w:marTop w:val="0"/>
      <w:marBottom w:val="0"/>
      <w:divBdr>
        <w:top w:val="none" w:sz="0" w:space="0" w:color="auto"/>
        <w:left w:val="none" w:sz="0" w:space="0" w:color="auto"/>
        <w:bottom w:val="none" w:sz="0" w:space="0" w:color="auto"/>
        <w:right w:val="none" w:sz="0" w:space="0" w:color="auto"/>
      </w:divBdr>
    </w:div>
    <w:div w:id="1949655070">
      <w:bodyDiv w:val="1"/>
      <w:marLeft w:val="0"/>
      <w:marRight w:val="0"/>
      <w:marTop w:val="0"/>
      <w:marBottom w:val="0"/>
      <w:divBdr>
        <w:top w:val="none" w:sz="0" w:space="0" w:color="auto"/>
        <w:left w:val="none" w:sz="0" w:space="0" w:color="auto"/>
        <w:bottom w:val="none" w:sz="0" w:space="0" w:color="auto"/>
        <w:right w:val="none" w:sz="0" w:space="0" w:color="auto"/>
      </w:divBdr>
    </w:div>
    <w:div w:id="1956984328">
      <w:bodyDiv w:val="1"/>
      <w:marLeft w:val="0"/>
      <w:marRight w:val="0"/>
      <w:marTop w:val="0"/>
      <w:marBottom w:val="0"/>
      <w:divBdr>
        <w:top w:val="none" w:sz="0" w:space="0" w:color="auto"/>
        <w:left w:val="none" w:sz="0" w:space="0" w:color="auto"/>
        <w:bottom w:val="none" w:sz="0" w:space="0" w:color="auto"/>
        <w:right w:val="none" w:sz="0" w:space="0" w:color="auto"/>
      </w:divBdr>
    </w:div>
    <w:div w:id="1957633782">
      <w:bodyDiv w:val="1"/>
      <w:marLeft w:val="0"/>
      <w:marRight w:val="0"/>
      <w:marTop w:val="0"/>
      <w:marBottom w:val="0"/>
      <w:divBdr>
        <w:top w:val="none" w:sz="0" w:space="0" w:color="auto"/>
        <w:left w:val="none" w:sz="0" w:space="0" w:color="auto"/>
        <w:bottom w:val="none" w:sz="0" w:space="0" w:color="auto"/>
        <w:right w:val="none" w:sz="0" w:space="0" w:color="auto"/>
      </w:divBdr>
    </w:div>
    <w:div w:id="1959605292">
      <w:bodyDiv w:val="1"/>
      <w:marLeft w:val="0"/>
      <w:marRight w:val="0"/>
      <w:marTop w:val="0"/>
      <w:marBottom w:val="0"/>
      <w:divBdr>
        <w:top w:val="none" w:sz="0" w:space="0" w:color="auto"/>
        <w:left w:val="none" w:sz="0" w:space="0" w:color="auto"/>
        <w:bottom w:val="none" w:sz="0" w:space="0" w:color="auto"/>
        <w:right w:val="none" w:sz="0" w:space="0" w:color="auto"/>
      </w:divBdr>
    </w:div>
    <w:div w:id="1971085078">
      <w:bodyDiv w:val="1"/>
      <w:marLeft w:val="0"/>
      <w:marRight w:val="0"/>
      <w:marTop w:val="0"/>
      <w:marBottom w:val="0"/>
      <w:divBdr>
        <w:top w:val="none" w:sz="0" w:space="0" w:color="auto"/>
        <w:left w:val="none" w:sz="0" w:space="0" w:color="auto"/>
        <w:bottom w:val="none" w:sz="0" w:space="0" w:color="auto"/>
        <w:right w:val="none" w:sz="0" w:space="0" w:color="auto"/>
      </w:divBdr>
    </w:div>
    <w:div w:id="1974863318">
      <w:bodyDiv w:val="1"/>
      <w:marLeft w:val="0"/>
      <w:marRight w:val="0"/>
      <w:marTop w:val="0"/>
      <w:marBottom w:val="0"/>
      <w:divBdr>
        <w:top w:val="none" w:sz="0" w:space="0" w:color="auto"/>
        <w:left w:val="none" w:sz="0" w:space="0" w:color="auto"/>
        <w:bottom w:val="none" w:sz="0" w:space="0" w:color="auto"/>
        <w:right w:val="none" w:sz="0" w:space="0" w:color="auto"/>
      </w:divBdr>
    </w:div>
    <w:div w:id="1983391047">
      <w:bodyDiv w:val="1"/>
      <w:marLeft w:val="0"/>
      <w:marRight w:val="0"/>
      <w:marTop w:val="0"/>
      <w:marBottom w:val="0"/>
      <w:divBdr>
        <w:top w:val="none" w:sz="0" w:space="0" w:color="auto"/>
        <w:left w:val="none" w:sz="0" w:space="0" w:color="auto"/>
        <w:bottom w:val="none" w:sz="0" w:space="0" w:color="auto"/>
        <w:right w:val="none" w:sz="0" w:space="0" w:color="auto"/>
      </w:divBdr>
    </w:div>
    <w:div w:id="1994678803">
      <w:bodyDiv w:val="1"/>
      <w:marLeft w:val="0"/>
      <w:marRight w:val="0"/>
      <w:marTop w:val="0"/>
      <w:marBottom w:val="0"/>
      <w:divBdr>
        <w:top w:val="none" w:sz="0" w:space="0" w:color="auto"/>
        <w:left w:val="none" w:sz="0" w:space="0" w:color="auto"/>
        <w:bottom w:val="none" w:sz="0" w:space="0" w:color="auto"/>
        <w:right w:val="none" w:sz="0" w:space="0" w:color="auto"/>
      </w:divBdr>
    </w:div>
    <w:div w:id="1998916932">
      <w:bodyDiv w:val="1"/>
      <w:marLeft w:val="0"/>
      <w:marRight w:val="0"/>
      <w:marTop w:val="0"/>
      <w:marBottom w:val="0"/>
      <w:divBdr>
        <w:top w:val="none" w:sz="0" w:space="0" w:color="auto"/>
        <w:left w:val="none" w:sz="0" w:space="0" w:color="auto"/>
        <w:bottom w:val="none" w:sz="0" w:space="0" w:color="auto"/>
        <w:right w:val="none" w:sz="0" w:space="0" w:color="auto"/>
      </w:divBdr>
    </w:div>
    <w:div w:id="2002543345">
      <w:bodyDiv w:val="1"/>
      <w:marLeft w:val="0"/>
      <w:marRight w:val="0"/>
      <w:marTop w:val="0"/>
      <w:marBottom w:val="0"/>
      <w:divBdr>
        <w:top w:val="none" w:sz="0" w:space="0" w:color="auto"/>
        <w:left w:val="none" w:sz="0" w:space="0" w:color="auto"/>
        <w:bottom w:val="none" w:sz="0" w:space="0" w:color="auto"/>
        <w:right w:val="none" w:sz="0" w:space="0" w:color="auto"/>
      </w:divBdr>
    </w:div>
    <w:div w:id="2008050365">
      <w:bodyDiv w:val="1"/>
      <w:marLeft w:val="0"/>
      <w:marRight w:val="0"/>
      <w:marTop w:val="0"/>
      <w:marBottom w:val="0"/>
      <w:divBdr>
        <w:top w:val="none" w:sz="0" w:space="0" w:color="auto"/>
        <w:left w:val="none" w:sz="0" w:space="0" w:color="auto"/>
        <w:bottom w:val="none" w:sz="0" w:space="0" w:color="auto"/>
        <w:right w:val="none" w:sz="0" w:space="0" w:color="auto"/>
      </w:divBdr>
    </w:div>
    <w:div w:id="2017951378">
      <w:bodyDiv w:val="1"/>
      <w:marLeft w:val="0"/>
      <w:marRight w:val="0"/>
      <w:marTop w:val="0"/>
      <w:marBottom w:val="0"/>
      <w:divBdr>
        <w:top w:val="none" w:sz="0" w:space="0" w:color="auto"/>
        <w:left w:val="none" w:sz="0" w:space="0" w:color="auto"/>
        <w:bottom w:val="none" w:sz="0" w:space="0" w:color="auto"/>
        <w:right w:val="none" w:sz="0" w:space="0" w:color="auto"/>
      </w:divBdr>
    </w:div>
    <w:div w:id="2019698367">
      <w:bodyDiv w:val="1"/>
      <w:marLeft w:val="0"/>
      <w:marRight w:val="0"/>
      <w:marTop w:val="0"/>
      <w:marBottom w:val="0"/>
      <w:divBdr>
        <w:top w:val="none" w:sz="0" w:space="0" w:color="auto"/>
        <w:left w:val="none" w:sz="0" w:space="0" w:color="auto"/>
        <w:bottom w:val="none" w:sz="0" w:space="0" w:color="auto"/>
        <w:right w:val="none" w:sz="0" w:space="0" w:color="auto"/>
      </w:divBdr>
    </w:div>
    <w:div w:id="2025667395">
      <w:bodyDiv w:val="1"/>
      <w:marLeft w:val="0"/>
      <w:marRight w:val="0"/>
      <w:marTop w:val="0"/>
      <w:marBottom w:val="0"/>
      <w:divBdr>
        <w:top w:val="none" w:sz="0" w:space="0" w:color="auto"/>
        <w:left w:val="none" w:sz="0" w:space="0" w:color="auto"/>
        <w:bottom w:val="none" w:sz="0" w:space="0" w:color="auto"/>
        <w:right w:val="none" w:sz="0" w:space="0" w:color="auto"/>
      </w:divBdr>
    </w:div>
    <w:div w:id="2026861002">
      <w:bodyDiv w:val="1"/>
      <w:marLeft w:val="0"/>
      <w:marRight w:val="0"/>
      <w:marTop w:val="0"/>
      <w:marBottom w:val="0"/>
      <w:divBdr>
        <w:top w:val="none" w:sz="0" w:space="0" w:color="auto"/>
        <w:left w:val="none" w:sz="0" w:space="0" w:color="auto"/>
        <w:bottom w:val="none" w:sz="0" w:space="0" w:color="auto"/>
        <w:right w:val="none" w:sz="0" w:space="0" w:color="auto"/>
      </w:divBdr>
    </w:div>
    <w:div w:id="2034264217">
      <w:bodyDiv w:val="1"/>
      <w:marLeft w:val="0"/>
      <w:marRight w:val="0"/>
      <w:marTop w:val="0"/>
      <w:marBottom w:val="0"/>
      <w:divBdr>
        <w:top w:val="none" w:sz="0" w:space="0" w:color="auto"/>
        <w:left w:val="none" w:sz="0" w:space="0" w:color="auto"/>
        <w:bottom w:val="none" w:sz="0" w:space="0" w:color="auto"/>
        <w:right w:val="none" w:sz="0" w:space="0" w:color="auto"/>
      </w:divBdr>
    </w:div>
    <w:div w:id="2045673134">
      <w:bodyDiv w:val="1"/>
      <w:marLeft w:val="0"/>
      <w:marRight w:val="0"/>
      <w:marTop w:val="0"/>
      <w:marBottom w:val="0"/>
      <w:divBdr>
        <w:top w:val="none" w:sz="0" w:space="0" w:color="auto"/>
        <w:left w:val="none" w:sz="0" w:space="0" w:color="auto"/>
        <w:bottom w:val="none" w:sz="0" w:space="0" w:color="auto"/>
        <w:right w:val="none" w:sz="0" w:space="0" w:color="auto"/>
      </w:divBdr>
    </w:div>
    <w:div w:id="2051297273">
      <w:bodyDiv w:val="1"/>
      <w:marLeft w:val="0"/>
      <w:marRight w:val="0"/>
      <w:marTop w:val="0"/>
      <w:marBottom w:val="0"/>
      <w:divBdr>
        <w:top w:val="none" w:sz="0" w:space="0" w:color="auto"/>
        <w:left w:val="none" w:sz="0" w:space="0" w:color="auto"/>
        <w:bottom w:val="none" w:sz="0" w:space="0" w:color="auto"/>
        <w:right w:val="none" w:sz="0" w:space="0" w:color="auto"/>
      </w:divBdr>
    </w:div>
    <w:div w:id="2053311288">
      <w:bodyDiv w:val="1"/>
      <w:marLeft w:val="0"/>
      <w:marRight w:val="0"/>
      <w:marTop w:val="0"/>
      <w:marBottom w:val="0"/>
      <w:divBdr>
        <w:top w:val="none" w:sz="0" w:space="0" w:color="auto"/>
        <w:left w:val="none" w:sz="0" w:space="0" w:color="auto"/>
        <w:bottom w:val="none" w:sz="0" w:space="0" w:color="auto"/>
        <w:right w:val="none" w:sz="0" w:space="0" w:color="auto"/>
      </w:divBdr>
    </w:div>
    <w:div w:id="2055229510">
      <w:bodyDiv w:val="1"/>
      <w:marLeft w:val="0"/>
      <w:marRight w:val="0"/>
      <w:marTop w:val="0"/>
      <w:marBottom w:val="0"/>
      <w:divBdr>
        <w:top w:val="none" w:sz="0" w:space="0" w:color="auto"/>
        <w:left w:val="none" w:sz="0" w:space="0" w:color="auto"/>
        <w:bottom w:val="none" w:sz="0" w:space="0" w:color="auto"/>
        <w:right w:val="none" w:sz="0" w:space="0" w:color="auto"/>
      </w:divBdr>
    </w:div>
    <w:div w:id="2084133736">
      <w:bodyDiv w:val="1"/>
      <w:marLeft w:val="0"/>
      <w:marRight w:val="0"/>
      <w:marTop w:val="0"/>
      <w:marBottom w:val="0"/>
      <w:divBdr>
        <w:top w:val="none" w:sz="0" w:space="0" w:color="auto"/>
        <w:left w:val="none" w:sz="0" w:space="0" w:color="auto"/>
        <w:bottom w:val="none" w:sz="0" w:space="0" w:color="auto"/>
        <w:right w:val="none" w:sz="0" w:space="0" w:color="auto"/>
      </w:divBdr>
    </w:div>
    <w:div w:id="2093619758">
      <w:bodyDiv w:val="1"/>
      <w:marLeft w:val="0"/>
      <w:marRight w:val="0"/>
      <w:marTop w:val="0"/>
      <w:marBottom w:val="0"/>
      <w:divBdr>
        <w:top w:val="none" w:sz="0" w:space="0" w:color="auto"/>
        <w:left w:val="none" w:sz="0" w:space="0" w:color="auto"/>
        <w:bottom w:val="none" w:sz="0" w:space="0" w:color="auto"/>
        <w:right w:val="none" w:sz="0" w:space="0" w:color="auto"/>
      </w:divBdr>
    </w:div>
    <w:div w:id="2094352321">
      <w:bodyDiv w:val="1"/>
      <w:marLeft w:val="0"/>
      <w:marRight w:val="0"/>
      <w:marTop w:val="0"/>
      <w:marBottom w:val="0"/>
      <w:divBdr>
        <w:top w:val="none" w:sz="0" w:space="0" w:color="auto"/>
        <w:left w:val="none" w:sz="0" w:space="0" w:color="auto"/>
        <w:bottom w:val="none" w:sz="0" w:space="0" w:color="auto"/>
        <w:right w:val="none" w:sz="0" w:space="0" w:color="auto"/>
      </w:divBdr>
    </w:div>
    <w:div w:id="2113822793">
      <w:bodyDiv w:val="1"/>
      <w:marLeft w:val="0"/>
      <w:marRight w:val="0"/>
      <w:marTop w:val="0"/>
      <w:marBottom w:val="0"/>
      <w:divBdr>
        <w:top w:val="none" w:sz="0" w:space="0" w:color="auto"/>
        <w:left w:val="none" w:sz="0" w:space="0" w:color="auto"/>
        <w:bottom w:val="none" w:sz="0" w:space="0" w:color="auto"/>
        <w:right w:val="none" w:sz="0" w:space="0" w:color="auto"/>
      </w:divBdr>
    </w:div>
    <w:div w:id="2115519196">
      <w:bodyDiv w:val="1"/>
      <w:marLeft w:val="0"/>
      <w:marRight w:val="0"/>
      <w:marTop w:val="0"/>
      <w:marBottom w:val="0"/>
      <w:divBdr>
        <w:top w:val="none" w:sz="0" w:space="0" w:color="auto"/>
        <w:left w:val="none" w:sz="0" w:space="0" w:color="auto"/>
        <w:bottom w:val="none" w:sz="0" w:space="0" w:color="auto"/>
        <w:right w:val="none" w:sz="0" w:space="0" w:color="auto"/>
      </w:divBdr>
    </w:div>
    <w:div w:id="2123381435">
      <w:bodyDiv w:val="1"/>
      <w:marLeft w:val="0"/>
      <w:marRight w:val="0"/>
      <w:marTop w:val="0"/>
      <w:marBottom w:val="0"/>
      <w:divBdr>
        <w:top w:val="none" w:sz="0" w:space="0" w:color="auto"/>
        <w:left w:val="none" w:sz="0" w:space="0" w:color="auto"/>
        <w:bottom w:val="none" w:sz="0" w:space="0" w:color="auto"/>
        <w:right w:val="none" w:sz="0" w:space="0" w:color="auto"/>
      </w:divBdr>
    </w:div>
    <w:div w:id="2134054948">
      <w:bodyDiv w:val="1"/>
      <w:marLeft w:val="0"/>
      <w:marRight w:val="0"/>
      <w:marTop w:val="0"/>
      <w:marBottom w:val="0"/>
      <w:divBdr>
        <w:top w:val="none" w:sz="0" w:space="0" w:color="auto"/>
        <w:left w:val="none" w:sz="0" w:space="0" w:color="auto"/>
        <w:bottom w:val="none" w:sz="0" w:space="0" w:color="auto"/>
        <w:right w:val="none" w:sz="0" w:space="0" w:color="auto"/>
      </w:divBdr>
    </w:div>
    <w:div w:id="2140030664">
      <w:bodyDiv w:val="1"/>
      <w:marLeft w:val="0"/>
      <w:marRight w:val="0"/>
      <w:marTop w:val="0"/>
      <w:marBottom w:val="0"/>
      <w:divBdr>
        <w:top w:val="none" w:sz="0" w:space="0" w:color="auto"/>
        <w:left w:val="none" w:sz="0" w:space="0" w:color="auto"/>
        <w:bottom w:val="none" w:sz="0" w:space="0" w:color="auto"/>
        <w:right w:val="none" w:sz="0" w:space="0" w:color="auto"/>
      </w:divBdr>
    </w:div>
    <w:div w:id="2141923870">
      <w:bodyDiv w:val="1"/>
      <w:marLeft w:val="0"/>
      <w:marRight w:val="0"/>
      <w:marTop w:val="0"/>
      <w:marBottom w:val="0"/>
      <w:divBdr>
        <w:top w:val="none" w:sz="0" w:space="0" w:color="auto"/>
        <w:left w:val="none" w:sz="0" w:space="0" w:color="auto"/>
        <w:bottom w:val="none" w:sz="0" w:space="0" w:color="auto"/>
        <w:right w:val="none" w:sz="0" w:space="0" w:color="auto"/>
      </w:divBdr>
    </w:div>
    <w:div w:id="214592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oleObject" Target="embeddings/Microsoft_Visio_2003-2010_Drawing.vsd"/><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emf"/><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mailto:contact.tracers@health.vic.gov.au"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health.gov.au/internet/main/publishing.nsf/Content/ohp-hiv-guideline-at-risk" TargetMode="External"/><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9E17C8AB1EA45BAA847D83D21D1BF01"/>
        <w:category>
          <w:name w:val="General"/>
          <w:gallery w:val="placeholder"/>
        </w:category>
        <w:types>
          <w:type w:val="bbPlcHdr"/>
        </w:types>
        <w:behaviors>
          <w:behavior w:val="content"/>
        </w:behaviors>
        <w:guid w:val="{35775643-C4D0-4962-8A80-9061EAF8E969}"/>
      </w:docPartPr>
      <w:docPartBody>
        <w:p w:rsidR="0089091D" w:rsidRDefault="008909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PMincho">
    <w:panose1 w:val="02020600040205080304"/>
    <w:charset w:val="80"/>
    <w:family w:val="roman"/>
    <w:pitch w:val="variable"/>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91D"/>
    <w:rsid w:val="000474F4"/>
    <w:rsid w:val="002E4EDC"/>
    <w:rsid w:val="00450DB5"/>
    <w:rsid w:val="006973B8"/>
    <w:rsid w:val="0089091D"/>
    <w:rsid w:val="00AA72DB"/>
    <w:rsid w:val="00D325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b:Source>
    <b:Tag>Glo12</b:Tag>
    <b:SourceType>Report</b:SourceType>
    <b:Guid>{6FD4C9E2-FFEB-4955-930C-1FDFAD58F7EE}</b:Guid>
    <b:Title>Global Commission on HIV and the Law</b:Title>
    <b:Year>2012</b:Year>
    <b:Publisher>Risks, Rights and Health</b:Publisher>
    <b:RefOrder>13</b:RefOrder>
  </b:Source>
  <b:Source>
    <b:Tag>Aus18</b:Tag>
    <b:SourceType>InternetSite</b:SourceType>
    <b:Guid>{2B400FE6-EAEA-4E66-9B67-90D6F9AFC42E}</b:Guid>
    <b:Title>Australian national guidelines for the management of healthcare workers living with blood borne viruses and healthcare workers who perform exposure prone procedures at risk of exposure to blood borne viruses</b:Title>
    <b:Year>2018</b:Year>
    <b:URL>https://www1.health.gov.au/internet/main/publishing.nsf/Content/cda-cdna-bloodborne.htm</b:URL>
    <b:RefOrder>11</b:RefOrder>
  </b:Source>
  <b:Source>
    <b:Tag>The19</b:Tag>
    <b:SourceType>InternetSite</b:SourceType>
    <b:Guid>{654B06D5-71E5-4D33-B0CD-6394B9F566A0}</b:Guid>
    <b:Title>PrEP guidelines update</b:Title>
    <b:Year>2019</b:Year>
    <b:ProductionCompany>ASHM</b:ProductionCompany>
    <b:URL>https://www.ashm.org.au/resources/hiv-resources-list/prep-guidelines-2019/</b:URL>
    <b:InternetSiteTitle>Australasian Society of HIV, Viral Hepatitis and Sexual Health Medicine (ASHM) </b:InternetSiteTitle>
    <b:RefOrder>10</b:RefOrder>
  </b:Source>
  <b:Source>
    <b:Tag>Bag10</b:Tag>
    <b:SourceType>JournalArticle</b:SourceType>
    <b:Guid>{BE208D83-3B2D-4388-9771-E537625CF318}</b:Guid>
    <b:Author>
      <b:Author>
        <b:NameList>
          <b:Person>
            <b:Last>Baggaley RF</b:Last>
            <b:First>White</b:First>
            <b:Middle>RG, Boily MC</b:Middle>
          </b:Person>
        </b:NameList>
      </b:Author>
    </b:Author>
    <b:Title>HIV transmission risk through anal intercourse: systematic review, meta-analysis and implications for HIV prevention</b:Title>
    <b:Year>2010</b:Year>
    <b:Publisher>International Journal of Epidemiology</b:Publisher>
    <b:Volume>39</b:Volume>
    <b:Issue>4</b:Issue>
    <b:StandardNumber>1048–1063</b:StandardNumber>
    <b:RefOrder>3</b:RefOrder>
  </b:Source>
  <b:Source>
    <b:Tag>Bag101</b:Tag>
    <b:SourceType>JournalArticle</b:SourceType>
    <b:Guid>{1A3991A6-34F4-452A-B95F-1B4B0C683457}</b:Guid>
    <b:Author>
      <b:Author>
        <b:NameList>
          <b:Person>
            <b:Last>Baggaley RF</b:Last>
            <b:First>White</b:First>
            <b:Middle>RG, Boily MC</b:Middle>
          </b:Person>
        </b:NameList>
      </b:Author>
    </b:Author>
    <b:Title>Infectiousness of HIV-infected homosexual men in the era of highly active antiretroviral therapy</b:Title>
    <b:Year>2010</b:Year>
    <b:Publisher>AIDS</b:Publisher>
    <b:Volume>24</b:Volume>
    <b:Issue>15</b:Issue>
    <b:StandardNumber>2418–2420</b:StandardNumber>
    <b:RefOrder>4</b:RefOrder>
  </b:Source>
  <b:Source>
    <b:Tag>Bav18</b:Tag>
    <b:SourceType>JournalArticle</b:SourceType>
    <b:Guid>{3646A078-66CB-4D9C-935B-03C849F3B44E}</b:Guid>
    <b:Author>
      <b:Author>
        <b:NameList>
          <b:Person>
            <b:Last>Bavinton B</b:Last>
            <b:First>Pinto</b:First>
            <b:Middle>A, Phanuphak N, Grinsztejn B, Prestage G, Zablotska-Manos I, et al.</b:Middle>
          </b:Person>
        </b:NameList>
      </b:Author>
    </b:Author>
    <b:Title>Viral suppression and HIV transmission in serodiscordant male couples: an international, prospective, observational, cohort study</b:Title>
    <b:Year>2018</b:Year>
    <b:Publisher>The Lancet HIV</b:Publisher>
    <b:Volume>2018</b:Volume>
    <b:Issue>8</b:Issue>
    <b:StandardNumber>438–447</b:StandardNumber>
    <b:RefOrder>8</b:RefOrder>
  </b:Source>
  <b:Source>
    <b:Tag>Cas05</b:Tag>
    <b:SourceType>JournalArticle</b:SourceType>
    <b:Guid>{69653B80-FE80-49C9-8401-12BC757D5F3D}</b:Guid>
    <b:Author>
      <b:Author>
        <b:NameList>
          <b:Person>
            <b:Last>Castilla J</b:Last>
            <b:First>Del</b:First>
            <b:Middle>Romero J, Hernando V, Marincovich B, Garcia S, Rodriguez C</b:Middle>
          </b:Person>
        </b:NameList>
      </b:Author>
    </b:Author>
    <b:Title>Effectiveness of highly active antiretroviral therapy in reducing heterosexual transmission of HIV</b:Title>
    <b:Year>2005</b:Year>
    <b:Publisher>Journal of Acquired Immune Deficiency Syndromes</b:Publisher>
    <b:Volume>40</b:Volume>
    <b:Issue>1</b:Issue>
    <b:StandardNumber>96–101</b:StandardNumber>
    <b:RefOrder>5</b:RefOrder>
  </b:Source>
  <b:Source>
    <b:Tag>Coh16</b:Tag>
    <b:SourceType>JournalArticle</b:SourceType>
    <b:Guid>{806C99BC-B84B-46E3-B603-F32F12C00AE9}</b:Guid>
    <b:Author>
      <b:Author>
        <b:NameList>
          <b:Person>
            <b:Last>Cohen M</b:Last>
            <b:First>Chen</b:First>
            <b:Middle>Y, McCauley M, Gamble T, Hosseinipour M, Kumarasamy N, et al.</b:Middle>
          </b:Person>
        </b:NameList>
      </b:Author>
    </b:Author>
    <b:Title>Antiretroviral therapy for the prevention of HIV-1 transmission</b:Title>
    <b:Year>2016</b:Year>
    <b:Publisher>The New England Journal of Medicine</b:Publisher>
    <b:Volume>375</b:Volume>
    <b:StandardNumber>830–839</b:StandardNumber>
    <b:RefOrder>6</b:RefOrder>
  </b:Source>
  <b:Source>
    <b:Tag>Don10</b:Tag>
    <b:SourceType>JournalArticle</b:SourceType>
    <b:Guid>{B025333C-45D6-426E-B7B2-B0F8297B941C}</b:Guid>
    <b:Author>
      <b:Author>
        <b:NameList>
          <b:Person>
            <b:Last>Donnell D</b:Last>
            <b:First>Baeten</b:First>
            <b:Middle>JM, Kiarie J, Thomas KK, Stevens W, Cohen CR, et al.</b:Middle>
          </b:Person>
        </b:NameList>
      </b:Author>
    </b:Author>
    <b:Title>Heterosexual HIV-1 transmission after initiation of antiretroviral therapy: a prospective cohort analysis</b:Title>
    <b:Year>2010</b:Year>
    <b:Publisher>Lancet</b:Publisher>
    <b:Volume>375</b:Volume>
    <b:Issue>9731</b:Issue>
    <b:StandardNumber>2092–2098</b:StandardNumber>
    <b:RefOrder>7</b:RefOrder>
  </b:Source>
  <b:Source>
    <b:Tag>Eis19</b:Tag>
    <b:SourceType>JournalArticle</b:SourceType>
    <b:Guid>{A6EF2E05-2BBA-44FA-BB72-0D766EA83A69}</b:Guid>
    <b:Title>HIV viral load and transmissibility of HIV infection: undetectable equals untransmittable</b:Title>
    <b:Year>2019</b:Year>
    <b:Publisher>JAMA</b:Publisher>
    <b:StandardNumber>451–452</b:StandardNumber>
    <b:Author>
      <b:Author>
        <b:NameList>
          <b:Person>
            <b:Last>Eisinger RW</b:Last>
            <b:First>Dieffenbach</b:First>
            <b:Middle>CW, Fauci AS</b:Middle>
          </b:Person>
        </b:NameList>
      </b:Author>
    </b:Author>
    <b:Volume>321</b:Volume>
    <b:Issue>5</b:Issue>
    <b:RefOrder>9</b:RefOrder>
  </b:Source>
  <b:Source>
    <b:Tag>Eur13</b:Tag>
    <b:SourceType>Report</b:SourceType>
    <b:Guid>{EEA0DB25-EAC8-4ACB-8EE6-67F73E439A56}</b:Guid>
    <b:Title>Position paper on the overly broad criminalisation of HIV transmission, exposure and/or non-disclosure</b:Title>
    <b:ProductionCompany>10.	European AIDS Treatment Group. Position Paper on the Overly Broad Criminalisation of HIV Transmission, Exposure and/or Non-disclosure. 2013. </b:ProductionCompany>
    <b:Year>2013</b:Year>
    <b:Author>
      <b:Author>
        <b:NameList>
          <b:Person>
            <b:Last>European AIDS Treatment Group</b:Last>
          </b:Person>
        </b:NameList>
      </b:Author>
    </b:Author>
    <b:RefOrder>12</b:RefOrder>
  </b:Source>
  <b:Source>
    <b:Tag>Aus19</b:Tag>
    <b:SourceType>Report</b:SourceType>
    <b:Guid>{0ADE5767-1D1B-4E63-BDBD-9D19FA95FC74}</b:Guid>
    <b:Author>
      <b:Author>
        <b:Corporate>Department of Health</b:Corporate>
      </b:Author>
    </b:Author>
    <b:Title>National guidelines for managing HIV transmission risk behaviours</b:Title>
    <b:Year>2018</b:Year>
    <b:Publisher>Australian Government</b:Publisher>
    <b:City>Canberra</b:City>
    <b:RefOrder>1</b:RefOrder>
  </b:Source>
  <b:Source>
    <b:Tag>Rod19</b:Tag>
    <b:SourceType>JournalArticle</b:SourceType>
    <b:Guid>{3F0C8A75-ECD5-4F2F-8095-EEA92DE12688}</b:Guid>
    <b:Author>
      <b:Author>
        <b:NameList>
          <b:Person>
            <b:Last>Rodger AJ</b:Last>
            <b:First>Cambiano</b:First>
            <b:Middle>V, Bruun T, Vernazza P, Collins S, Degen O, et al.</b:Middle>
          </b:Person>
        </b:NameList>
      </b:Author>
    </b:Author>
    <b:Title>HIV transmission risk through condomless sex in serodifferent gay couples with the HIV-positive partner taking suppressive antiretroviral therapy (PARTNER): final results of a multicentre, prospective, observational study</b:Title>
    <b:JournalName>Lancet</b:JournalName>
    <b:Year>2019</b:Year>
    <b:Publisher>The Lancet</b:Publisher>
    <b:Volume>393</b:Volume>
    <b:Issue>10189</b:Issue>
    <b:StandardNumber>2428–2438</b:StandardNumber>
    <b:RefOrder>2</b:RefOrder>
  </b:Source>
  <b:Source>
    <b:Tag>UNA13</b:Tag>
    <b:SourceType>Report</b:SourceType>
    <b:Guid>{313C6D54-7E81-4F12-BE9B-D66CDACEAC57}</b:Guid>
    <b:Author>
      <b:Author>
        <b:NameList>
          <b:Person>
            <b:Last>(UNAIDS)</b:Last>
            <b:First>Joint</b:First>
            <b:Middle>United Nations Programme on HIV/AIDS</b:Middle>
          </b:Person>
        </b:NameList>
      </b:Author>
    </b:Author>
    <b:Title>Ending overly broad criminalization of HIV non-disclosure, exposure and transmission: critical scientific, medical and legal considerations</b:Title>
    <b:Year>2013</b:Year>
    <b:Publisher>UNAIDS</b:Publisher>
    <b:City>Geneva</b:City>
    <b:RefOrder>14</b:RefOrder>
  </b:Source>
</b:Sources>
</file>

<file path=customXml/itemProps1.xml><?xml version="1.0" encoding="utf-8"?>
<ds:datastoreItem xmlns:ds="http://schemas.openxmlformats.org/officeDocument/2006/customXml" ds:itemID="{99945C7C-151A-4804-8D9D-3C2DC01AE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9921</Words>
  <Characters>56555</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Victorian guidelines for managing HIV transmission risk behaviours</vt:lpstr>
    </vt:vector>
  </TitlesOfParts>
  <Company>State of Victoria, Department of Health</Company>
  <LinksUpToDate>false</LinksUpToDate>
  <CharactersWithSpaces>66344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guidelines for managing HIV transmission risk behaviours</dc:title>
  <dc:subject>Victorian guidelines for managing HIV transmission risk behaviours</dc:subject>
  <dc:creator>Public Health</dc:creator>
  <cp:keywords>HIV, transmission, victoria</cp:keywords>
  <cp:lastModifiedBy>Spiro Iliopoulos (Health)</cp:lastModifiedBy>
  <cp:revision>4</cp:revision>
  <cp:lastPrinted>2022-01-07T04:29:00Z</cp:lastPrinted>
  <dcterms:created xsi:type="dcterms:W3CDTF">2022-01-07T04:28:00Z</dcterms:created>
  <dcterms:modified xsi:type="dcterms:W3CDTF">2022-01-07T04:29:00Z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2022-01-07T04:29:47Z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7561300a-d0e7-4a5a-98ea-75af48f6e497</vt:lpwstr>
  </property>
  <property fmtid="{D5CDD505-2E9C-101B-9397-08002B2CF9AE}" pid="9" name="MSIP_Label_43e64453-338c-4f93-8a4d-0039a0a41f2a_ContentBits">
    <vt:lpwstr>2</vt:lpwstr>
  </property>
</Properties>
</file>