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48EC5" w14:textId="303F3BC5" w:rsidR="0074696E" w:rsidRPr="004C6EEE" w:rsidRDefault="0074696E" w:rsidP="00EC40D5">
      <w:pPr>
        <w:pStyle w:val="Sectionbreakfirstpage"/>
      </w:pPr>
    </w:p>
    <w:p w14:paraId="4A95D3C3"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F1CB0E9" wp14:editId="1ABBB6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2D84A9F" w14:textId="77777777" w:rsidTr="73612581">
        <w:trPr>
          <w:trHeight w:val="622"/>
        </w:trPr>
        <w:tc>
          <w:tcPr>
            <w:tcW w:w="10348" w:type="dxa"/>
            <w:tcMar>
              <w:top w:w="1531" w:type="dxa"/>
              <w:left w:w="0" w:type="dxa"/>
              <w:right w:w="0" w:type="dxa"/>
            </w:tcMar>
          </w:tcPr>
          <w:p w14:paraId="70E9C285" w14:textId="4CC25884" w:rsidR="003B5733" w:rsidRPr="003B5733" w:rsidRDefault="00D40099" w:rsidP="003B5733">
            <w:pPr>
              <w:pStyle w:val="Documenttitle"/>
            </w:pPr>
            <w:r>
              <w:t>Vehicles and Equipment</w:t>
            </w:r>
          </w:p>
        </w:tc>
      </w:tr>
      <w:tr w:rsidR="003B5733" w14:paraId="5B64C3EC" w14:textId="77777777" w:rsidTr="73612581">
        <w:tc>
          <w:tcPr>
            <w:tcW w:w="10348" w:type="dxa"/>
          </w:tcPr>
          <w:p w14:paraId="4EB39B97" w14:textId="74E10B47" w:rsidR="003B5733" w:rsidRPr="00A1389F" w:rsidRDefault="402BAC70" w:rsidP="005F44C0">
            <w:pPr>
              <w:pStyle w:val="Documentsubtitle"/>
            </w:pPr>
            <w:r>
              <w:t>Non-emergency</w:t>
            </w:r>
            <w:r w:rsidR="55917317">
              <w:t xml:space="preserve"> patient transport</w:t>
            </w:r>
          </w:p>
        </w:tc>
      </w:tr>
      <w:tr w:rsidR="003B5733" w14:paraId="4B7F7A0D" w14:textId="6B75AC59" w:rsidTr="73612581">
        <w:tc>
          <w:tcPr>
            <w:tcW w:w="10348" w:type="dxa"/>
          </w:tcPr>
          <w:p w14:paraId="43BD2D4B" w14:textId="77777777" w:rsidR="003B5733" w:rsidRPr="001E5058" w:rsidRDefault="00752B48" w:rsidP="001E5058">
            <w:pPr>
              <w:pStyle w:val="Bannermarking"/>
            </w:pPr>
            <w:fldSimple w:instr="FILLIN  &quot;Type the protective marking&quot; \d OFFICIAL \o  \* MERGEFORMAT">
              <w:r w:rsidR="00D40099">
                <w:t>OFFICIAL</w:t>
              </w:r>
            </w:fldSimple>
          </w:p>
        </w:tc>
      </w:tr>
    </w:tbl>
    <w:p w14:paraId="5D38CEAD" w14:textId="269F61E6" w:rsidR="00EE29AD" w:rsidRDefault="7649C5C0" w:rsidP="00E261B3">
      <w:pPr>
        <w:pStyle w:val="Heading1"/>
      </w:pPr>
      <w:r>
        <w:t>References</w:t>
      </w:r>
    </w:p>
    <w:p w14:paraId="1898B2A4" w14:textId="681C79EF" w:rsidR="00EE29AD" w:rsidRDefault="7649C5C0" w:rsidP="73612581">
      <w:pPr>
        <w:pStyle w:val="Body"/>
        <w:rPr>
          <w:szCs w:val="21"/>
        </w:rPr>
      </w:pPr>
      <w:r w:rsidRPr="73612581">
        <w:rPr>
          <w:szCs w:val="21"/>
        </w:rPr>
        <w:t>Non-Emergency Patient Transport Regulations 2016 Part 9</w:t>
      </w:r>
    </w:p>
    <w:p w14:paraId="255B0A73" w14:textId="7D74376A" w:rsidR="00EE29AD" w:rsidRDefault="2B4DACCF" w:rsidP="73612581">
      <w:pPr>
        <w:pStyle w:val="Body"/>
        <w:rPr>
          <w:szCs w:val="21"/>
        </w:rPr>
      </w:pPr>
      <w:r w:rsidRPr="73612581">
        <w:rPr>
          <w:szCs w:val="21"/>
        </w:rPr>
        <w:t>Non-Emergency Patient Transport Regulations 2016 Part 12</w:t>
      </w:r>
    </w:p>
    <w:p w14:paraId="7D928FC4" w14:textId="4AF061FC" w:rsidR="00EE29AD" w:rsidRDefault="001C63B0" w:rsidP="73612581">
      <w:pPr>
        <w:pStyle w:val="Heading1"/>
        <w:rPr>
          <w:rFonts w:eastAsia="Times" w:cs="Times New Roman"/>
          <w:sz w:val="21"/>
          <w:szCs w:val="21"/>
        </w:rPr>
      </w:pPr>
      <w:r>
        <w:t>Introduction</w:t>
      </w:r>
    </w:p>
    <w:p w14:paraId="3961B779" w14:textId="0070704E" w:rsidR="00550F73" w:rsidRDefault="00AD2694" w:rsidP="001C63B0">
      <w:pPr>
        <w:pStyle w:val="Body"/>
      </w:pPr>
      <w:r>
        <w:t xml:space="preserve">The introduction of new patient </w:t>
      </w:r>
      <w:r w:rsidR="256B488D">
        <w:t xml:space="preserve">and staff </w:t>
      </w:r>
      <w:r>
        <w:t xml:space="preserve">safety measures </w:t>
      </w:r>
      <w:r w:rsidR="30F6A294">
        <w:t>with changes to the Non-Emergency Patient Transport</w:t>
      </w:r>
      <w:r w:rsidR="000320D1">
        <w:t xml:space="preserve"> </w:t>
      </w:r>
      <w:r w:rsidR="1D4FB072">
        <w:t>R</w:t>
      </w:r>
      <w:r w:rsidR="000320D1">
        <w:t>egulations</w:t>
      </w:r>
      <w:r w:rsidR="1EA4B2F9">
        <w:t xml:space="preserve"> 2016 (the regulations)</w:t>
      </w:r>
      <w:r w:rsidR="000320D1">
        <w:t xml:space="preserve"> include new requirements for vehicles and equipment.</w:t>
      </w:r>
      <w:r w:rsidR="763F007E">
        <w:t xml:space="preserve"> </w:t>
      </w:r>
      <w:r w:rsidR="001C63B0">
        <w:t xml:space="preserve">This </w:t>
      </w:r>
      <w:r w:rsidR="000320D1">
        <w:t xml:space="preserve">guidance sheet </w:t>
      </w:r>
      <w:r w:rsidR="00FE4F11">
        <w:t>explain</w:t>
      </w:r>
      <w:r w:rsidR="000320D1">
        <w:t>s</w:t>
      </w:r>
      <w:r w:rsidR="001C63B0">
        <w:t xml:space="preserve"> the requirements of vehicle and equipment maintenance</w:t>
      </w:r>
      <w:r w:rsidR="000320D1">
        <w:t>, along with</w:t>
      </w:r>
      <w:r w:rsidR="00550F73">
        <w:t xml:space="preserve"> specifications</w:t>
      </w:r>
      <w:r w:rsidR="001C63B0">
        <w:t xml:space="preserve"> for new applicants and existing holders of N</w:t>
      </w:r>
      <w:r w:rsidR="41C53F77">
        <w:t>on-Emergency Patient Transport (NEPT)</w:t>
      </w:r>
      <w:r w:rsidR="001C63B0">
        <w:t xml:space="preserve"> licences in Victoria.</w:t>
      </w:r>
    </w:p>
    <w:p w14:paraId="66368EC2" w14:textId="00427C39" w:rsidR="00C133EE" w:rsidRDefault="003465EC" w:rsidP="00FB4769">
      <w:pPr>
        <w:pStyle w:val="Heading1"/>
      </w:pPr>
      <w:bookmarkStart w:id="0" w:name="_Hlk83211302"/>
      <w:r>
        <w:t xml:space="preserve">Maintenance </w:t>
      </w:r>
      <w:r w:rsidR="00E26FA0">
        <w:t xml:space="preserve">records and reporting </w:t>
      </w:r>
      <w:r w:rsidR="008B2C51">
        <w:t>r</w:t>
      </w:r>
      <w:r w:rsidR="00E26FA0">
        <w:t>equirements</w:t>
      </w:r>
    </w:p>
    <w:bookmarkEnd w:id="0"/>
    <w:p w14:paraId="7B9F8794" w14:textId="4A070643" w:rsidR="004B4374" w:rsidRDefault="008B2C51" w:rsidP="008B2C51">
      <w:pPr>
        <w:pStyle w:val="Quotebullet1"/>
        <w:numPr>
          <w:ilvl w:val="0"/>
          <w:numId w:val="0"/>
        </w:numPr>
      </w:pPr>
      <w:r>
        <w:t>Every provider must keep an accurate maintenance schedule for all vehicles and equipment used when providing NEPT services</w:t>
      </w:r>
      <w:r w:rsidR="008B4644">
        <w:t xml:space="preserve"> - this extends</w:t>
      </w:r>
      <w:r w:rsidR="008878E5">
        <w:t xml:space="preserve"> to</w:t>
      </w:r>
      <w:r w:rsidR="000320D1">
        <w:t>:</w:t>
      </w:r>
    </w:p>
    <w:p w14:paraId="372044F7" w14:textId="736D715D" w:rsidR="004B4374" w:rsidRDefault="000320D1" w:rsidP="00556523">
      <w:pPr>
        <w:pStyle w:val="Quotebullet1"/>
        <w:numPr>
          <w:ilvl w:val="0"/>
          <w:numId w:val="43"/>
        </w:numPr>
      </w:pPr>
      <w:r>
        <w:t xml:space="preserve">the </w:t>
      </w:r>
      <w:r w:rsidR="008B4644">
        <w:t>vehicle itself</w:t>
      </w:r>
    </w:p>
    <w:p w14:paraId="376F788B" w14:textId="07AD3A91" w:rsidR="004B4374" w:rsidRDefault="000320D1" w:rsidP="004B4374">
      <w:pPr>
        <w:pStyle w:val="Quotebullet1"/>
        <w:numPr>
          <w:ilvl w:val="0"/>
          <w:numId w:val="43"/>
        </w:numPr>
      </w:pPr>
      <w:r>
        <w:t xml:space="preserve">any </w:t>
      </w:r>
      <w:r w:rsidR="008B4644">
        <w:t xml:space="preserve">medical equipment carried within the vehicle </w:t>
      </w:r>
    </w:p>
    <w:p w14:paraId="2C05ED27" w14:textId="7F4A01A7" w:rsidR="00550F73" w:rsidRDefault="000320D1" w:rsidP="004B4374">
      <w:pPr>
        <w:pStyle w:val="Quotebullet1"/>
        <w:numPr>
          <w:ilvl w:val="0"/>
          <w:numId w:val="43"/>
        </w:numPr>
      </w:pPr>
      <w:r>
        <w:t xml:space="preserve">any </w:t>
      </w:r>
      <w:r w:rsidR="008B4644">
        <w:t>ancillary equipment such as</w:t>
      </w:r>
      <w:r w:rsidR="00550F73">
        <w:t xml:space="preserve"> the</w:t>
      </w:r>
      <w:r w:rsidR="008B4644">
        <w:t xml:space="preserve"> stretcher</w:t>
      </w:r>
      <w:r w:rsidR="008B2C51">
        <w:t>.</w:t>
      </w:r>
    </w:p>
    <w:p w14:paraId="4E13BC43" w14:textId="77777777" w:rsidR="004B4374" w:rsidRDefault="008B2C51" w:rsidP="008B2C51">
      <w:pPr>
        <w:pStyle w:val="Quotebullet1"/>
        <w:numPr>
          <w:ilvl w:val="0"/>
          <w:numId w:val="0"/>
        </w:numPr>
      </w:pPr>
      <w:r>
        <w:t>Likewise, every provider must maintain a record of all maintenance and repairs to vehicles and equipment as it arises and must retain this maintenance schedule for the entire lifespan of the vehicle/equipment.</w:t>
      </w:r>
    </w:p>
    <w:p w14:paraId="33AB6F11" w14:textId="75447904" w:rsidR="00550F73" w:rsidRDefault="008B2C51" w:rsidP="00FD3C1B">
      <w:pPr>
        <w:autoSpaceDE w:val="0"/>
        <w:autoSpaceDN w:val="0"/>
        <w:adjustRightInd w:val="0"/>
        <w:spacing w:after="0" w:line="240" w:lineRule="auto"/>
      </w:pPr>
      <w:r>
        <w:t xml:space="preserve">It is also important to be aware that if a vehicle changes category code as defined under </w:t>
      </w:r>
      <w:r w:rsidR="14CB1489">
        <w:t xml:space="preserve">the Road Safety </w:t>
      </w:r>
      <w:r w:rsidR="2EA3FC38">
        <w:t>(</w:t>
      </w:r>
      <w:r w:rsidR="53598E85">
        <w:t>V</w:t>
      </w:r>
      <w:r w:rsidR="2EA3FC38">
        <w:t>ehicles) Regulations 2021 t</w:t>
      </w:r>
      <w:r w:rsidR="008B4644">
        <w:t xml:space="preserve">he NEPT provider must not use this vehicle unless the change has been reported to the </w:t>
      </w:r>
      <w:r w:rsidR="00550F73">
        <w:t>Department of Health</w:t>
      </w:r>
      <w:r w:rsidR="00E60194">
        <w:t xml:space="preserve"> and </w:t>
      </w:r>
      <w:r w:rsidR="007A58A6">
        <w:t xml:space="preserve">forwarded a </w:t>
      </w:r>
      <w:r w:rsidR="00E60194" w:rsidRPr="73612581">
        <w:rPr>
          <w:rFonts w:cs="Arial"/>
          <w:szCs w:val="21"/>
          <w:lang w:eastAsia="en-AU"/>
        </w:rPr>
        <w:t>copy of the vehicle assessment signatory scheme approval</w:t>
      </w:r>
      <w:r w:rsidR="007A58A6" w:rsidRPr="73612581">
        <w:rPr>
          <w:rFonts w:cs="Arial"/>
          <w:szCs w:val="21"/>
          <w:lang w:eastAsia="en-AU"/>
        </w:rPr>
        <w:t xml:space="preserve"> </w:t>
      </w:r>
      <w:r w:rsidR="00E60194" w:rsidRPr="73612581">
        <w:rPr>
          <w:rFonts w:cs="Arial"/>
          <w:szCs w:val="21"/>
          <w:lang w:eastAsia="en-AU"/>
        </w:rPr>
        <w:t xml:space="preserve">certificate or a photograph of the second stage of </w:t>
      </w:r>
      <w:r w:rsidR="007A58A6" w:rsidRPr="73612581">
        <w:rPr>
          <w:rFonts w:cs="Arial"/>
          <w:szCs w:val="21"/>
          <w:lang w:eastAsia="en-AU"/>
        </w:rPr>
        <w:t>manufacture</w:t>
      </w:r>
      <w:r w:rsidR="00E60194" w:rsidRPr="73612581">
        <w:rPr>
          <w:rFonts w:cs="Arial"/>
          <w:szCs w:val="21"/>
          <w:lang w:eastAsia="en-AU"/>
        </w:rPr>
        <w:t xml:space="preserve"> plate.</w:t>
      </w:r>
      <w:r w:rsidR="00550F73" w:rsidRPr="73612581">
        <w:rPr>
          <w:szCs w:val="21"/>
        </w:rPr>
        <w:t xml:space="preserve"> </w:t>
      </w:r>
    </w:p>
    <w:p w14:paraId="169332E9" w14:textId="6B11BB42" w:rsidR="00E22842" w:rsidRDefault="00550F73" w:rsidP="0038713B">
      <w:pPr>
        <w:pStyle w:val="Quotebullet1"/>
        <w:numPr>
          <w:ilvl w:val="0"/>
          <w:numId w:val="0"/>
        </w:numPr>
      </w:pPr>
      <w:r>
        <w:t xml:space="preserve">All </w:t>
      </w:r>
      <w:r w:rsidR="00241322">
        <w:t xml:space="preserve">records </w:t>
      </w:r>
      <w:r w:rsidR="003E3A9B">
        <w:t xml:space="preserve">of maintenance </w:t>
      </w:r>
      <w:r w:rsidR="00241322">
        <w:t>must be made available to the Department of Health on request</w:t>
      </w:r>
      <w:r w:rsidR="527EC7B1">
        <w:t>.</w:t>
      </w:r>
    </w:p>
    <w:p w14:paraId="0DFC84CA" w14:textId="46505898" w:rsidR="00550F73" w:rsidRDefault="00550F73" w:rsidP="00550F73">
      <w:pPr>
        <w:pStyle w:val="Heading1"/>
      </w:pPr>
      <w:r>
        <w:t>Interior of vehicle</w:t>
      </w:r>
    </w:p>
    <w:p w14:paraId="7DE5F8D7" w14:textId="0750D3CB" w:rsidR="00A76F88" w:rsidRPr="00A76F88" w:rsidRDefault="00A76F88" w:rsidP="00A76F88">
      <w:pPr>
        <w:pStyle w:val="Body"/>
      </w:pPr>
      <w:r>
        <w:t>There are important requirements for the interior of vehicles which directly affect the provision of safe and effective patient care and crew safety.</w:t>
      </w:r>
    </w:p>
    <w:p w14:paraId="4543CDDC" w14:textId="3367CBC2" w:rsidR="00550F73" w:rsidRDefault="00A76F88" w:rsidP="00550F73">
      <w:pPr>
        <w:pStyle w:val="Heading2"/>
      </w:pPr>
      <w:bookmarkStart w:id="1" w:name="_Hlk83213245"/>
      <w:r>
        <w:t>Vehicle access</w:t>
      </w:r>
      <w:r w:rsidR="00550F73">
        <w:t xml:space="preserve"> </w:t>
      </w:r>
    </w:p>
    <w:bookmarkEnd w:id="1"/>
    <w:p w14:paraId="4841EE11" w14:textId="6C4E177D" w:rsidR="00556523" w:rsidRDefault="000B77C2" w:rsidP="00556523">
      <w:pPr>
        <w:pStyle w:val="Body"/>
      </w:pPr>
      <w:r>
        <w:t xml:space="preserve">NEPT </w:t>
      </w:r>
      <w:r w:rsidR="00A76F88">
        <w:t>vehicle interior</w:t>
      </w:r>
      <w:r w:rsidR="00702069">
        <w:t>s</w:t>
      </w:r>
      <w:r w:rsidR="00A76F88">
        <w:t xml:space="preserve"> must be laid out so that every person travelling in the vehicle has adequate seating and that attendant</w:t>
      </w:r>
      <w:r>
        <w:t>(</w:t>
      </w:r>
      <w:r w:rsidR="00A76F88">
        <w:t>s</w:t>
      </w:r>
      <w:r>
        <w:t>)</w:t>
      </w:r>
      <w:r w:rsidR="00A76F88">
        <w:t xml:space="preserve"> are provided with </w:t>
      </w:r>
      <w:r>
        <w:t xml:space="preserve">sufficient </w:t>
      </w:r>
      <w:r w:rsidR="00A76F88">
        <w:t>room to provide adequate patient care</w:t>
      </w:r>
      <w:r>
        <w:t xml:space="preserve"> and monitoring</w:t>
      </w:r>
      <w:r w:rsidR="00A76F88">
        <w:t xml:space="preserve">. To </w:t>
      </w:r>
      <w:r w:rsidR="00A76F88">
        <w:lastRenderedPageBreak/>
        <w:t>ensure this requirement is being met in double-stretcher vehicles</w:t>
      </w:r>
      <w:r w:rsidR="00702069">
        <w:t>,</w:t>
      </w:r>
      <w:r w:rsidR="00A76F88">
        <w:t xml:space="preserve"> a new minimum separation of 350mm between stretchers has been mandated to allow sufficient space for patient access. </w:t>
      </w:r>
    </w:p>
    <w:p w14:paraId="7AEAECCC" w14:textId="49F0DE96" w:rsidR="000B77C2" w:rsidRDefault="000B77C2" w:rsidP="000B77C2">
      <w:pPr>
        <w:pStyle w:val="Heading2"/>
      </w:pPr>
      <w:r>
        <w:t>Amenities</w:t>
      </w:r>
    </w:p>
    <w:p w14:paraId="095592A0" w14:textId="54969FA1" w:rsidR="006F720B" w:rsidRDefault="000B77C2" w:rsidP="000B77C2">
      <w:pPr>
        <w:pStyle w:val="Body"/>
      </w:pPr>
      <w:r>
        <w:t>It is a requirement that all NEPT vehicles have</w:t>
      </w:r>
      <w:r w:rsidR="00FD3C1B">
        <w:t>:</w:t>
      </w:r>
    </w:p>
    <w:p w14:paraId="707B79CF" w14:textId="0FB9C4EA" w:rsidR="006F720B" w:rsidRDefault="538C0F23" w:rsidP="006F720B">
      <w:pPr>
        <w:pStyle w:val="Body"/>
        <w:numPr>
          <w:ilvl w:val="0"/>
          <w:numId w:val="44"/>
        </w:numPr>
      </w:pPr>
      <w:r>
        <w:t>S</w:t>
      </w:r>
      <w:r w:rsidR="000B77C2">
        <w:t xml:space="preserve">ufficient air conditioning and heating to provide patient comfort during transport </w:t>
      </w:r>
    </w:p>
    <w:p w14:paraId="3E3AF080" w14:textId="00196681" w:rsidR="006F720B" w:rsidRDefault="7FDD917A" w:rsidP="006F720B">
      <w:pPr>
        <w:pStyle w:val="Body"/>
        <w:numPr>
          <w:ilvl w:val="0"/>
          <w:numId w:val="44"/>
        </w:numPr>
      </w:pPr>
      <w:r>
        <w:t>W</w:t>
      </w:r>
      <w:r w:rsidR="000B77C2">
        <w:t xml:space="preserve">indows fitted to all doors and to ensure that these windows are </w:t>
      </w:r>
      <w:r w:rsidR="00FD3C1B">
        <w:t>tinted</w:t>
      </w:r>
      <w:r w:rsidR="000B77C2">
        <w:t xml:space="preserve"> to ensure that patient privacy is maintained</w:t>
      </w:r>
      <w:r w:rsidR="00FD3C1B">
        <w:t>. The tint</w:t>
      </w:r>
      <w:r w:rsidR="000B77C2">
        <w:t xml:space="preserve"> must be to a level as defined under Schedule 2 of the Road Safety (Vehicles) Regulations 20</w:t>
      </w:r>
      <w:r w:rsidR="55061097">
        <w:t>21</w:t>
      </w:r>
      <w:r w:rsidR="000B77C2">
        <w:t xml:space="preserve"> which essentially specifies a ‘road legal’ level of tint </w:t>
      </w:r>
    </w:p>
    <w:p w14:paraId="1A010D9D" w14:textId="4E8161FD" w:rsidR="000B77C2" w:rsidRDefault="6EBAC333" w:rsidP="006F720B">
      <w:pPr>
        <w:pStyle w:val="Body"/>
        <w:numPr>
          <w:ilvl w:val="0"/>
          <w:numId w:val="44"/>
        </w:numPr>
      </w:pPr>
      <w:r>
        <w:t>I</w:t>
      </w:r>
      <w:r w:rsidR="000B77C2">
        <w:t>nterior lighting for the purposes of patient comfort, monitoring and management in the vehicle which can be adjusted from both within the patient compartment but also from the driver’s compartment</w:t>
      </w:r>
      <w:r w:rsidR="003E3A9B">
        <w:t>.</w:t>
      </w:r>
    </w:p>
    <w:p w14:paraId="389EC3FD" w14:textId="2704BB53" w:rsidR="003E3A9B" w:rsidRDefault="003E3A9B" w:rsidP="003E3A9B">
      <w:pPr>
        <w:pStyle w:val="Heading2"/>
      </w:pPr>
      <w:r>
        <w:t>Internal surfaces and fixtures</w:t>
      </w:r>
    </w:p>
    <w:p w14:paraId="740B6EF7" w14:textId="51434690" w:rsidR="006F720B" w:rsidRDefault="003E3A9B" w:rsidP="000B77C2">
      <w:pPr>
        <w:pStyle w:val="Body"/>
      </w:pPr>
      <w:r>
        <w:t>To maintain a clean environment for patient care, transport vehicles must have smooth, impermeable and seamless materials for the surface of floors and walls.</w:t>
      </w:r>
      <w:r w:rsidR="006F720B">
        <w:t xml:space="preserve"> In addition</w:t>
      </w:r>
      <w:r w:rsidR="00FD3C1B">
        <w:t>:</w:t>
      </w:r>
    </w:p>
    <w:p w14:paraId="21F3029B" w14:textId="29BBD5C0" w:rsidR="006F720B" w:rsidRDefault="003E3A9B" w:rsidP="006F720B">
      <w:pPr>
        <w:pStyle w:val="Body"/>
        <w:numPr>
          <w:ilvl w:val="0"/>
          <w:numId w:val="45"/>
        </w:numPr>
      </w:pPr>
      <w:r>
        <w:t>The interior of a vehicle must be well maintained and in good repair at all times and is subject to inspection</w:t>
      </w:r>
    </w:p>
    <w:p w14:paraId="45013868" w14:textId="3BF67816" w:rsidR="003E3A9B" w:rsidRPr="000B77C2" w:rsidRDefault="003E3A9B" w:rsidP="006F720B">
      <w:pPr>
        <w:pStyle w:val="Body"/>
        <w:numPr>
          <w:ilvl w:val="0"/>
          <w:numId w:val="45"/>
        </w:numPr>
      </w:pPr>
      <w:r>
        <w:t>All fixtures and fittings must be tight and secure and must be checked and serviced at 200</w:t>
      </w:r>
      <w:r w:rsidR="00FD3C1B">
        <w:t>,</w:t>
      </w:r>
      <w:r>
        <w:t>000km, 400</w:t>
      </w:r>
      <w:r w:rsidR="00FD3C1B">
        <w:t>,</w:t>
      </w:r>
      <w:r>
        <w:t>000km, and (</w:t>
      </w:r>
      <w:r w:rsidR="00A37F7D">
        <w:t>in the case of an</w:t>
      </w:r>
      <w:r>
        <w:t xml:space="preserve"> approval of </w:t>
      </w:r>
      <w:r w:rsidR="00FD3C1B">
        <w:t xml:space="preserve">a rural </w:t>
      </w:r>
      <w:r>
        <w:t xml:space="preserve">vehicle life extension) annually until reaching 600 000km. </w:t>
      </w:r>
    </w:p>
    <w:p w14:paraId="41A49609" w14:textId="0D73150B" w:rsidR="003E3A9B" w:rsidRDefault="003E3A9B" w:rsidP="003E3A9B">
      <w:pPr>
        <w:pStyle w:val="Heading1"/>
      </w:pPr>
      <w:r>
        <w:t>Required Equipment</w:t>
      </w:r>
    </w:p>
    <w:p w14:paraId="19C4108D" w14:textId="0B35A5C0" w:rsidR="003E3A9B" w:rsidRDefault="003E3A9B" w:rsidP="003E3A9B">
      <w:pPr>
        <w:pStyle w:val="Heading2"/>
      </w:pPr>
      <w:r>
        <w:t>Clinical equipment to be carried</w:t>
      </w:r>
    </w:p>
    <w:p w14:paraId="12FAF501" w14:textId="0A910AE4" w:rsidR="003E3A9B" w:rsidRDefault="003E3A9B" w:rsidP="003E3A9B">
      <w:pPr>
        <w:pStyle w:val="Body"/>
      </w:pPr>
      <w:r>
        <w:t xml:space="preserve">It is a requirement that any NEPT </w:t>
      </w:r>
      <w:r w:rsidR="008D39B5">
        <w:t xml:space="preserve">stretcher </w:t>
      </w:r>
      <w:r>
        <w:t>vehicle will carry all equipment on board to care for a patient during their transport</w:t>
      </w:r>
      <w:r w:rsidR="57BFACA3">
        <w:t xml:space="preserve"> with respect to their acuity level</w:t>
      </w:r>
      <w:r>
        <w:t>. This includes (as a minimum) but is not limited to</w:t>
      </w:r>
      <w:r w:rsidR="00FD3C1B">
        <w:t>:</w:t>
      </w:r>
      <w:r>
        <w:t xml:space="preserve"> an Automated External De</w:t>
      </w:r>
      <w:r w:rsidR="008D39B5">
        <w:t>fibr</w:t>
      </w:r>
      <w:r>
        <w:t xml:space="preserve">illator (AED), Portable Oxygen Unit, Suction, and a Bag Valve Mask. </w:t>
      </w:r>
    </w:p>
    <w:p w14:paraId="5BA27604" w14:textId="069800E8" w:rsidR="008D39B5" w:rsidRDefault="008D39B5" w:rsidP="008D39B5">
      <w:pPr>
        <w:pStyle w:val="Heading2"/>
      </w:pPr>
      <w:r>
        <w:t xml:space="preserve">Manual Handling equipment </w:t>
      </w:r>
    </w:p>
    <w:p w14:paraId="6CDF2562" w14:textId="5427DB1D" w:rsidR="008D39B5" w:rsidRPr="008D39B5" w:rsidRDefault="008D39B5" w:rsidP="008D39B5">
      <w:pPr>
        <w:pStyle w:val="Body"/>
      </w:pPr>
      <w:r>
        <w:t xml:space="preserve">All NEPT stretcher vehicles will be required to be fitted with a powered stretcher and a powered lifting cushion as a requirement under the 2021 amendments. Other manual handling equipment is not specified under the regulations but is encouraged to be carried by all providers to provide a safe </w:t>
      </w:r>
      <w:r w:rsidR="00A64C16">
        <w:t>environment for patients</w:t>
      </w:r>
      <w:r>
        <w:t xml:space="preserve"> </w:t>
      </w:r>
      <w:r w:rsidR="00A64C16">
        <w:t>and NEPT workers.</w:t>
      </w:r>
      <w:r>
        <w:t xml:space="preserve"> </w:t>
      </w:r>
    </w:p>
    <w:p w14:paraId="0856F6D3" w14:textId="457CFCEA" w:rsidR="008D39B5" w:rsidRDefault="008D39B5" w:rsidP="008D39B5">
      <w:pPr>
        <w:pStyle w:val="Heading2"/>
      </w:pPr>
      <w:r>
        <w:t>Communications equipment</w:t>
      </w:r>
    </w:p>
    <w:p w14:paraId="05BD1565" w14:textId="174A35D1" w:rsidR="008D39B5" w:rsidRPr="003E3A9B" w:rsidRDefault="008D39B5" w:rsidP="003E3A9B">
      <w:pPr>
        <w:pStyle w:val="Body"/>
      </w:pPr>
      <w:r>
        <w:t xml:space="preserve">Communications equipment is required in all vehicles </w:t>
      </w:r>
      <w:r w:rsidR="00FD3C1B">
        <w:t xml:space="preserve">and must be </w:t>
      </w:r>
      <w:r>
        <w:t xml:space="preserve">of a standard that provides ready and reliable communication to the NEPT base, </w:t>
      </w:r>
      <w:r w:rsidR="00FD3C1B">
        <w:t xml:space="preserve">destination </w:t>
      </w:r>
      <w:r>
        <w:t>(i</w:t>
      </w:r>
      <w:r w:rsidR="00510ED2">
        <w:t>.</w:t>
      </w:r>
      <w:r>
        <w:t>e hospital, health service etc) and also to Ambulance Victoria.</w:t>
      </w:r>
    </w:p>
    <w:p w14:paraId="745953A7" w14:textId="6F6FA5B2" w:rsidR="008D39B5" w:rsidRDefault="008D39B5" w:rsidP="008D39B5">
      <w:pPr>
        <w:pStyle w:val="Heading1"/>
      </w:pPr>
      <w:r>
        <w:t>Vehicle Mileage</w:t>
      </w:r>
    </w:p>
    <w:p w14:paraId="2934A1C4" w14:textId="7F0F4417" w:rsidR="008D39B5" w:rsidRPr="008D39B5" w:rsidRDefault="008D39B5" w:rsidP="008D39B5">
      <w:pPr>
        <w:pStyle w:val="Body"/>
      </w:pPr>
      <w:r>
        <w:t>A vehicle m</w:t>
      </w:r>
      <w:r w:rsidR="00A37F7D">
        <w:t>ust</w:t>
      </w:r>
      <w:r>
        <w:t xml:space="preserve"> not be used for the transport of patients if the mileage of the vehicle exceeds 400 000km</w:t>
      </w:r>
      <w:r w:rsidR="2BAC0A35">
        <w:t xml:space="preserve"> unless an exemption has been granted by the secretary</w:t>
      </w:r>
      <w:r>
        <w:t>.</w:t>
      </w:r>
      <w:r w:rsidR="6149E2F4">
        <w:t xml:space="preserve"> An exemption maybe provided</w:t>
      </w:r>
      <w:r>
        <w:t xml:space="preserve"> </w:t>
      </w:r>
      <w:r w:rsidR="2598444B">
        <w:t xml:space="preserve">for NEPT vehicles used only for rural transports to extend the vehicle life up to 600 000km </w:t>
      </w:r>
      <w:r w:rsidR="1F15EBB6">
        <w:t xml:space="preserve">however this will be </w:t>
      </w:r>
      <w:r w:rsidR="5D2D3E66">
        <w:t xml:space="preserve">a determination </w:t>
      </w:r>
      <w:r w:rsidR="5D2D3E66">
        <w:lastRenderedPageBreak/>
        <w:t>on individual vehicles following an application to the department. NEPT licence holders who wish to apply for a vehicle life extension will be required to provide evidence of the following:</w:t>
      </w:r>
    </w:p>
    <w:p w14:paraId="3A997C32" w14:textId="296A9123" w:rsidR="7A489FDA" w:rsidRDefault="7A489FDA" w:rsidP="350908BD">
      <w:pPr>
        <w:pStyle w:val="Body"/>
        <w:numPr>
          <w:ilvl w:val="0"/>
          <w:numId w:val="1"/>
        </w:numPr>
        <w:rPr>
          <w:rFonts w:eastAsia="Arial" w:cs="Arial"/>
          <w:szCs w:val="21"/>
        </w:rPr>
      </w:pPr>
      <w:r w:rsidRPr="350908BD">
        <w:rPr>
          <w:szCs w:val="21"/>
        </w:rPr>
        <w:t>That the vehicle has only been used for rural transport</w:t>
      </w:r>
    </w:p>
    <w:p w14:paraId="2396EBD6" w14:textId="732CDD00" w:rsidR="2C519464" w:rsidRDefault="2C519464" w:rsidP="350908BD">
      <w:pPr>
        <w:pStyle w:val="Body"/>
        <w:numPr>
          <w:ilvl w:val="0"/>
          <w:numId w:val="1"/>
        </w:numPr>
        <w:rPr>
          <w:rFonts w:eastAsia="Arial" w:cs="Arial"/>
          <w:szCs w:val="21"/>
        </w:rPr>
      </w:pPr>
      <w:r w:rsidRPr="350908BD">
        <w:rPr>
          <w:szCs w:val="21"/>
        </w:rPr>
        <w:t>Installation of a new engine and new transmission</w:t>
      </w:r>
    </w:p>
    <w:p w14:paraId="6346DD4A" w14:textId="5A7980F0" w:rsidR="2C519464" w:rsidRDefault="2C519464" w:rsidP="350908BD">
      <w:pPr>
        <w:pStyle w:val="Body"/>
        <w:numPr>
          <w:ilvl w:val="0"/>
          <w:numId w:val="1"/>
        </w:numPr>
        <w:rPr>
          <w:szCs w:val="21"/>
        </w:rPr>
      </w:pPr>
      <w:r w:rsidRPr="350908BD">
        <w:rPr>
          <w:szCs w:val="21"/>
        </w:rPr>
        <w:t>Installation of new shock absorbers</w:t>
      </w:r>
    </w:p>
    <w:p w14:paraId="6E7675DB" w14:textId="356B847D" w:rsidR="2C519464" w:rsidRDefault="2C519464" w:rsidP="350908BD">
      <w:pPr>
        <w:pStyle w:val="Body"/>
        <w:numPr>
          <w:ilvl w:val="0"/>
          <w:numId w:val="1"/>
        </w:numPr>
        <w:rPr>
          <w:szCs w:val="21"/>
        </w:rPr>
      </w:pPr>
      <w:r w:rsidRPr="350908BD">
        <w:rPr>
          <w:szCs w:val="21"/>
        </w:rPr>
        <w:t xml:space="preserve">Installation of a new </w:t>
      </w:r>
      <w:r w:rsidR="56E824E7" w:rsidRPr="350908BD">
        <w:rPr>
          <w:szCs w:val="21"/>
        </w:rPr>
        <w:t>driver's</w:t>
      </w:r>
      <w:r w:rsidRPr="350908BD">
        <w:rPr>
          <w:szCs w:val="21"/>
        </w:rPr>
        <w:t xml:space="preserve"> seat</w:t>
      </w:r>
    </w:p>
    <w:p w14:paraId="42BC07AE" w14:textId="6B350B84" w:rsidR="2C519464" w:rsidRDefault="2C519464" w:rsidP="350908BD">
      <w:pPr>
        <w:pStyle w:val="Body"/>
        <w:numPr>
          <w:ilvl w:val="0"/>
          <w:numId w:val="1"/>
        </w:numPr>
        <w:rPr>
          <w:szCs w:val="21"/>
        </w:rPr>
      </w:pPr>
      <w:r w:rsidRPr="350908BD">
        <w:rPr>
          <w:szCs w:val="21"/>
        </w:rPr>
        <w:t>Engineers certificate certifying compliance with requirements under the Road Safety (vehicles) Regula</w:t>
      </w:r>
      <w:r w:rsidR="7CA4D6B9" w:rsidRPr="350908BD">
        <w:rPr>
          <w:szCs w:val="21"/>
        </w:rPr>
        <w:t>ti</w:t>
      </w:r>
      <w:r w:rsidRPr="350908BD">
        <w:rPr>
          <w:szCs w:val="21"/>
        </w:rPr>
        <w:t xml:space="preserve">ons 2021, Vehicle </w:t>
      </w:r>
      <w:r w:rsidR="2F7DC309" w:rsidRPr="350908BD">
        <w:rPr>
          <w:szCs w:val="21"/>
        </w:rPr>
        <w:t>S</w:t>
      </w:r>
      <w:r w:rsidRPr="350908BD">
        <w:rPr>
          <w:szCs w:val="21"/>
        </w:rPr>
        <w:t xml:space="preserve">tandards </w:t>
      </w:r>
      <w:r w:rsidR="066F740A" w:rsidRPr="350908BD">
        <w:rPr>
          <w:szCs w:val="21"/>
        </w:rPr>
        <w:t>B</w:t>
      </w:r>
      <w:r w:rsidRPr="350908BD">
        <w:rPr>
          <w:szCs w:val="21"/>
        </w:rPr>
        <w:t xml:space="preserve">ulletin </w:t>
      </w:r>
      <w:r w:rsidR="7D6A2C8F" w:rsidRPr="350908BD">
        <w:rPr>
          <w:szCs w:val="21"/>
        </w:rPr>
        <w:t>C</w:t>
      </w:r>
      <w:r w:rsidRPr="350908BD">
        <w:rPr>
          <w:szCs w:val="21"/>
        </w:rPr>
        <w:t>ompliance</w:t>
      </w:r>
      <w:r w:rsidR="78033D89" w:rsidRPr="350908BD">
        <w:rPr>
          <w:szCs w:val="21"/>
        </w:rPr>
        <w:t xml:space="preserve"> 14</w:t>
      </w:r>
      <w:r w:rsidRPr="350908BD">
        <w:rPr>
          <w:szCs w:val="21"/>
        </w:rPr>
        <w:t xml:space="preserve"> </w:t>
      </w:r>
      <w:r w:rsidR="4540F982" w:rsidRPr="350908BD">
        <w:rPr>
          <w:szCs w:val="21"/>
        </w:rPr>
        <w:t xml:space="preserve">(VSB14), and Australian </w:t>
      </w:r>
      <w:r w:rsidR="48C30290" w:rsidRPr="350908BD">
        <w:rPr>
          <w:szCs w:val="21"/>
        </w:rPr>
        <w:t>Design Regulations (ADR). Th</w:t>
      </w:r>
      <w:r w:rsidR="2E47A653" w:rsidRPr="350908BD">
        <w:rPr>
          <w:szCs w:val="21"/>
        </w:rPr>
        <w:t>is certification must then be renewed and supplied to the department annually until the maximum limit of 600 000 km is reached</w:t>
      </w:r>
    </w:p>
    <w:p w14:paraId="7D92EE8D" w14:textId="5998A375" w:rsidR="00510ED2" w:rsidRDefault="00510ED2" w:rsidP="00510ED2">
      <w:pPr>
        <w:pStyle w:val="Heading1"/>
      </w:pPr>
      <w:r>
        <w:t>Transitional provisions</w:t>
      </w:r>
    </w:p>
    <w:p w14:paraId="2B3E80F7" w14:textId="77777777" w:rsidR="003C0317" w:rsidRDefault="003C0317" w:rsidP="00510ED2">
      <w:pPr>
        <w:pStyle w:val="Body"/>
      </w:pPr>
      <w:r>
        <w:t>To assist with business planning the regulations include provision for a period of transition to new requirements.</w:t>
      </w:r>
    </w:p>
    <w:p w14:paraId="4FC3B12B" w14:textId="5E31FAAF" w:rsidR="00510ED2" w:rsidRDefault="00510ED2" w:rsidP="00510ED2">
      <w:pPr>
        <w:pStyle w:val="Body"/>
      </w:pPr>
      <w:r>
        <w:t xml:space="preserve">It is important to note that this only applies to vehicles that were being used in the provision of NEPT prior to the commencement of the 2021 amendments which are in effect as of the </w:t>
      </w:r>
      <w:r w:rsidR="00565B86">
        <w:t>30 November</w:t>
      </w:r>
      <w:r>
        <w:t xml:space="preserve"> 2021 and so any new vehicles acquired after this date will be subject to all new conditions.</w:t>
      </w:r>
      <w:r w:rsidR="003C0317">
        <w:t xml:space="preserve"> All </w:t>
      </w:r>
      <w:r>
        <w:t>providers are encouraged to complete these requirements as soon as practicable.</w:t>
      </w:r>
    </w:p>
    <w:p w14:paraId="034E69DF" w14:textId="24296AEC" w:rsidR="00510ED2" w:rsidRDefault="00510ED2" w:rsidP="00510ED2">
      <w:pPr>
        <w:pStyle w:val="Numberdigit"/>
        <w:numPr>
          <w:ilvl w:val="0"/>
          <w:numId w:val="42"/>
        </w:numPr>
      </w:pPr>
      <w:r>
        <w:t>30</w:t>
      </w:r>
      <w:r w:rsidRPr="350908BD">
        <w:rPr>
          <w:vertAlign w:val="superscript"/>
        </w:rPr>
        <w:t>th</w:t>
      </w:r>
      <w:r>
        <w:t xml:space="preserve"> of </w:t>
      </w:r>
      <w:r w:rsidR="00565B86">
        <w:t xml:space="preserve">November </w:t>
      </w:r>
      <w:r>
        <w:t xml:space="preserve">2024 </w:t>
      </w:r>
      <w:r w:rsidR="003C0317">
        <w:t xml:space="preserve">Power lift Stretchers and lifting cushions will have until </w:t>
      </w:r>
      <w:r>
        <w:t>to be fitted to all applicable NEPT vehicles.</w:t>
      </w:r>
    </w:p>
    <w:p w14:paraId="7F39B039" w14:textId="6D2B0DE5" w:rsidR="00510ED2" w:rsidRDefault="006F720B" w:rsidP="00510ED2">
      <w:pPr>
        <w:pStyle w:val="Numberdigit"/>
        <w:numPr>
          <w:ilvl w:val="0"/>
          <w:numId w:val="42"/>
        </w:numPr>
      </w:pPr>
      <w:r>
        <w:t>30</w:t>
      </w:r>
      <w:r w:rsidRPr="350908BD">
        <w:rPr>
          <w:vertAlign w:val="superscript"/>
        </w:rPr>
        <w:t>th</w:t>
      </w:r>
      <w:r>
        <w:t xml:space="preserve"> </w:t>
      </w:r>
      <w:r w:rsidR="00565B86">
        <w:t xml:space="preserve">November </w:t>
      </w:r>
      <w:r>
        <w:t>2026 minimum 350 mm between stretchers</w:t>
      </w:r>
      <w:r w:rsidR="00A64C16">
        <w:t>.</w:t>
      </w:r>
      <w:r>
        <w:t>to all applicable NEPT vehicles</w:t>
      </w:r>
    </w:p>
    <w:p w14:paraId="3B9533B7" w14:textId="41CA2E61" w:rsidR="00510ED2" w:rsidRDefault="006F720B" w:rsidP="00C6147C">
      <w:pPr>
        <w:pStyle w:val="Numberdigit"/>
        <w:numPr>
          <w:ilvl w:val="0"/>
          <w:numId w:val="42"/>
        </w:numPr>
      </w:pPr>
      <w:r>
        <w:t>30</w:t>
      </w:r>
      <w:r w:rsidRPr="350908BD">
        <w:rPr>
          <w:vertAlign w:val="superscript"/>
        </w:rPr>
        <w:t>th</w:t>
      </w:r>
      <w:r>
        <w:t xml:space="preserve"> </w:t>
      </w:r>
      <w:r w:rsidR="00565B86">
        <w:t xml:space="preserve">November </w:t>
      </w:r>
      <w:r>
        <w:t>2026 maximum 400 000km limit on vehicles</w:t>
      </w:r>
      <w:r w:rsidR="4BDFB913">
        <w:t xml:space="preserve"> </w:t>
      </w:r>
      <w:r>
        <w:t>(unless exemption granted)</w:t>
      </w:r>
    </w:p>
    <w:p w14:paraId="208451E2" w14:textId="77777777" w:rsidR="00510ED2" w:rsidRPr="00510ED2" w:rsidRDefault="00510ED2" w:rsidP="00510ED2">
      <w:pPr>
        <w:pStyle w:val="Body"/>
      </w:pPr>
    </w:p>
    <w:p w14:paraId="2CB37BF7" w14:textId="660A0D12" w:rsidR="00A76F88" w:rsidRPr="00550F73" w:rsidRDefault="00A76F88" w:rsidP="00550F73">
      <w:pPr>
        <w:pStyle w:val="Body"/>
      </w:pPr>
    </w:p>
    <w:p w14:paraId="2ACBAC04" w14:textId="31C56560" w:rsidR="00200176" w:rsidRDefault="00200176" w:rsidP="00200176">
      <w:pPr>
        <w:pStyle w:val="Body"/>
      </w:pPr>
    </w:p>
    <w:p w14:paraId="7CCEECE3" w14:textId="77777777" w:rsidR="00550F73" w:rsidRDefault="00550F73" w:rsidP="00200176">
      <w:pPr>
        <w:pStyle w:val="Body"/>
      </w:pPr>
    </w:p>
    <w:p w14:paraId="2D31164C" w14:textId="4F3134B4" w:rsidR="00550F73" w:rsidRDefault="00550F73" w:rsidP="00200176">
      <w:pPr>
        <w:pStyle w:val="Body"/>
      </w:pPr>
    </w:p>
    <w:p w14:paraId="2DBFC817" w14:textId="77777777" w:rsidR="00550F73" w:rsidRPr="00200176" w:rsidRDefault="00550F73"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3C9013D" w14:textId="77777777" w:rsidTr="350908BD">
        <w:tc>
          <w:tcPr>
            <w:tcW w:w="10194" w:type="dxa"/>
          </w:tcPr>
          <w:p w14:paraId="695E8B08" w14:textId="35751F15" w:rsidR="00D40099" w:rsidRPr="005A0FDA" w:rsidRDefault="0055119B" w:rsidP="00D40099">
            <w:pPr>
              <w:pStyle w:val="Accessibilitypara"/>
              <w:rPr>
                <w:sz w:val="20"/>
                <w:szCs w:val="20"/>
              </w:rPr>
            </w:pPr>
            <w:bookmarkStart w:id="2" w:name="_Hlk37240926"/>
            <w:r w:rsidRPr="0055119B">
              <w:t>To receive this document in another format</w:t>
            </w:r>
            <w:r>
              <w:t>,</w:t>
            </w:r>
            <w:r w:rsidRPr="0055119B">
              <w:t xml:space="preserve"> </w:t>
            </w:r>
            <w:hyperlink r:id="rId15" w:history="1">
              <w:r w:rsidR="00D40099" w:rsidRPr="005A0FDA">
                <w:rPr>
                  <w:rStyle w:val="Hyperlink"/>
                  <w:sz w:val="20"/>
                  <w:szCs w:val="20"/>
                </w:rPr>
                <w:t>email NEPT, First Aid and Investigations</w:t>
              </w:r>
            </w:hyperlink>
            <w:r w:rsidR="00D40099" w:rsidRPr="005A0FDA">
              <w:rPr>
                <w:color w:val="004C97"/>
                <w:sz w:val="20"/>
                <w:szCs w:val="20"/>
              </w:rPr>
              <w:t xml:space="preserve"> </w:t>
            </w:r>
            <w:r w:rsidR="00D40099" w:rsidRPr="005A0FDA">
              <w:rPr>
                <w:sz w:val="20"/>
                <w:szCs w:val="20"/>
              </w:rPr>
              <w:t>&lt; NEPTFirstAidRegulation@health.vic.gov.au&gt;.</w:t>
            </w:r>
          </w:p>
          <w:p w14:paraId="6B089E53" w14:textId="77777777" w:rsidR="00D40099" w:rsidRPr="0055119B" w:rsidRDefault="00D40099" w:rsidP="00D40099">
            <w:pPr>
              <w:pStyle w:val="Imprint"/>
            </w:pPr>
            <w:r w:rsidRPr="0055119B">
              <w:t>Authorised and published by the Victorian Government, 1 Treasury Place, Melbourne.</w:t>
            </w:r>
          </w:p>
          <w:p w14:paraId="44AECFFC" w14:textId="195925F2" w:rsidR="00D40099" w:rsidRPr="0055119B" w:rsidRDefault="55917317" w:rsidP="00D40099">
            <w:pPr>
              <w:pStyle w:val="Imprint"/>
            </w:pPr>
            <w:r>
              <w:t xml:space="preserve">© State of Victoria, Australia, Department of Health, </w:t>
            </w:r>
            <w:r w:rsidR="00565B86" w:rsidRPr="350908BD">
              <w:rPr>
                <w:color w:val="004C97"/>
              </w:rPr>
              <w:t xml:space="preserve">November </w:t>
            </w:r>
            <w:r w:rsidRPr="350908BD">
              <w:rPr>
                <w:color w:val="004C97"/>
              </w:rPr>
              <w:t>2021</w:t>
            </w:r>
            <w:r>
              <w:t>.</w:t>
            </w:r>
          </w:p>
          <w:p w14:paraId="197A4C2C" w14:textId="2751022E" w:rsidR="0055119B" w:rsidRDefault="0055119B" w:rsidP="00E33237">
            <w:pPr>
              <w:pStyle w:val="Imprint"/>
            </w:pPr>
            <w:r w:rsidRPr="0055119B">
              <w:t xml:space="preserve">Available at </w:t>
            </w:r>
            <w:hyperlink r:id="rId16" w:history="1">
              <w:r w:rsidR="00D40099" w:rsidRPr="00D40099">
                <w:rPr>
                  <w:rStyle w:val="Hyperlink"/>
                </w:rPr>
                <w:t>NEPT</w:t>
              </w:r>
            </w:hyperlink>
            <w:r w:rsidRPr="0055119B">
              <w:t xml:space="preserve"> &lt;</w:t>
            </w:r>
            <w:r w:rsidR="00D40099">
              <w:t xml:space="preserve"> </w:t>
            </w:r>
            <w:r w:rsidR="00D40099" w:rsidRPr="00D40099">
              <w:rPr>
                <w:color w:val="004C97"/>
              </w:rPr>
              <w:t>https://www2.health.vic.gov.au/hospitals-and-health-services/patient-care/non-emergency-transport</w:t>
            </w:r>
            <w:r w:rsidRPr="0055119B">
              <w:t>&gt;</w:t>
            </w:r>
          </w:p>
        </w:tc>
      </w:tr>
      <w:bookmarkEnd w:id="2"/>
    </w:tbl>
    <w:p w14:paraId="51413F0D"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E43A8" w14:textId="77777777" w:rsidR="00752B48" w:rsidRDefault="00752B48">
      <w:r>
        <w:separator/>
      </w:r>
    </w:p>
  </w:endnote>
  <w:endnote w:type="continuationSeparator" w:id="0">
    <w:p w14:paraId="0B4EAFA5" w14:textId="77777777" w:rsidR="00752B48" w:rsidRDefault="0075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4B68"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070EACE" wp14:editId="76ECA47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F6F76CC" wp14:editId="222D683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AE0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978E502">
            <v:shapetype id="_x0000_t202" coordsize="21600,21600" o:spt="202" path="m,l,21600r21600,l21600,xe" w14:anchorId="6F6F76CC">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v:textbox inset=",0,,0">
                <w:txbxContent>
                  <w:p w:rsidRPr="00B21F90" w:rsidR="00E261B3" w:rsidP="00B21F90" w:rsidRDefault="00E261B3" w14:paraId="17D1F485"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217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3040CC7" wp14:editId="0D6AFF5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2C6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9F97860">
            <v:shapetype id="_x0000_t202" coordsize="21600,21600" o:spt="202" path="m,l,21600r21600,l21600,xe" w14:anchorId="43040CC7">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3D21" w14:textId="0D00C4D4" w:rsidR="00373890" w:rsidRPr="00F65AA9" w:rsidRDefault="0015559C" w:rsidP="00F84FA0">
    <w:pPr>
      <w:pStyle w:val="Footer"/>
    </w:pPr>
    <w:r>
      <w:rPr>
        <w:noProof/>
      </w:rPr>
      <mc:AlternateContent>
        <mc:Choice Requires="wps">
          <w:drawing>
            <wp:anchor distT="0" distB="0" distL="114300" distR="114300" simplePos="0" relativeHeight="251676160" behindDoc="0" locked="0" layoutInCell="0" allowOverlap="1" wp14:anchorId="718BBDDF" wp14:editId="2EC8E448">
              <wp:simplePos x="0" y="0"/>
              <wp:positionH relativeFrom="page">
                <wp:posOffset>0</wp:posOffset>
              </wp:positionH>
              <wp:positionV relativeFrom="page">
                <wp:posOffset>10189210</wp:posOffset>
              </wp:positionV>
              <wp:extent cx="7560310" cy="311785"/>
              <wp:effectExtent l="0" t="0" r="0" b="12065"/>
              <wp:wrapNone/>
              <wp:docPr id="1" name="MSIPCM1ece4176b7b3002244bed7e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278D8" w14:textId="2C3F47DD" w:rsidR="0015559C" w:rsidRPr="0015559C" w:rsidRDefault="0015559C" w:rsidP="0015559C">
                          <w:pPr>
                            <w:spacing w:after="0"/>
                            <w:jc w:val="center"/>
                            <w:rPr>
                              <w:rFonts w:ascii="Arial Black" w:hAnsi="Arial Black"/>
                              <w:color w:val="000000"/>
                              <w:sz w:val="20"/>
                            </w:rPr>
                          </w:pPr>
                          <w:r w:rsidRPr="001555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8A62C81">
            <v:shapetype id="_x0000_t202" coordsize="21600,21600" o:spt="202" path="m,l,21600r21600,l21600,xe" w14:anchorId="718BBDDF">
              <v:stroke joinstyle="miter"/>
              <v:path gradientshapeok="t" o:connecttype="rect"/>
            </v:shapetype>
            <v:shape id="MSIPCM1ece4176b7b3002244bed7ee"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x8psAIAAEwFAAAOAAAAZHJzL2Uyb0RvYy54bWysVEtv2zAMvg/YfxB02Gmr7bzr1SmyFFkL&#10;pG2AdOhZluXYgC2qktI4G/bfR9ly2nU7DbvY1EeKj4+kLi6buiLPQpsSZEKjs5ASITlkpdwl9NvD&#10;6tOMEmOZzFgFUiT0KAy9nL9/d3FQsRhAAVUmNEEn0sQHldDCWhUHgeGFqJk5AyUkKnPQNbN41Lsg&#10;0+yA3usqGIThJDiAzpQGLoxB9KpT0nnrP88Ft/d5boQlVUIxN9t+dftN3TeYX7B4p5kqSu7TYP+Q&#10;Rc1KiUFPrq6YZWSvyz9c1SXXYCC3ZxzqAPK85KKtAauJwjfVbAumRFsLkmPUiSbz/9zyu+eNJmWG&#10;vaNEshpbdLu92SxvI8HFKJpO0mk6DMPBYDRKRTYVgpJMGI4M/vjwtAf7+ZqZYgmZ6E7xeTiajmfD&#10;SfTRq0W5K6xXzkY4IF7xWGa28Pj4fHzCNxXjohayv9OZrACs0J3sHdzITDTeQffb6LJm+vib1RYn&#10;AEfT2w383QdQHglPgdci72Mi+NNNxkGZGAnaKqTINl+gcSx53CDoGt7kunZ/bCVBPc7Y8TRXorGE&#10;IzgdT8JhhCqOumEUTWdj5yZ4ua20sV8F1MQJCdWYdTtO7HltbGfam7hgElZlVSHO4kqSQ0Inw3HY&#10;Xjhp0HklMYarocvVSbZJm7bbg76OFLIjlqehWw2j+KrEHNbM2A3TuAuYNu63vcdPXgHGAi9RUoD+&#10;/jfc2eOIopaSA+5WQs3TnmmcnepG4vCeR6ORW8b2gIJ+jaY9Kvf1EnBtcTAxq1Z0trbqxVxD/Yjr&#10;v3DRUMUkx5gJTXtxafGECnw+uFgsWhnXTjG7llvFnWtHoWP2oXlkWnn6LTbuDvrtY/GbLnS2XR8W&#10;ewt52bbI8dux6WnHlW2b7J8X9ya8PrdWL4/g/Bc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JvfHymwAgAATAUAAA4A&#10;AAAAAAAAAAAAAAAALgIAAGRycy9lMm9Eb2MueG1sUEsBAi0AFAAGAAgAAAAhAEgNXprfAAAACwEA&#10;AA8AAAAAAAAAAAAAAAAACgUAAGRycy9kb3ducmV2LnhtbFBLBQYAAAAABAAEAPMAAAAWBgAAAAA=&#10;">
              <v:textbox inset=",0,,0">
                <w:txbxContent>
                  <w:p w:rsidRPr="0015559C" w:rsidR="0015559C" w:rsidP="0015559C" w:rsidRDefault="0015559C" w14:paraId="09E77742" w14:textId="2C3F47DD">
                    <w:pPr>
                      <w:spacing w:after="0"/>
                      <w:jc w:val="center"/>
                      <w:rPr>
                        <w:rFonts w:ascii="Arial Black" w:hAnsi="Arial Black"/>
                        <w:color w:val="000000"/>
                        <w:sz w:val="20"/>
                      </w:rPr>
                    </w:pPr>
                    <w:r w:rsidRPr="0015559C">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5CD38127" wp14:editId="390EA45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1B8C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8F1D70D">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w14:anchorId="5CD38127">
              <v:textbox inset=",0,,0">
                <w:txbxContent>
                  <w:p w:rsidRPr="00B07FF7" w:rsidR="00B07FF7" w:rsidP="00B07FF7" w:rsidRDefault="00B07FF7" w14:paraId="75F360E3"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0FA23" w14:textId="77777777" w:rsidR="00752B48" w:rsidRDefault="00752B48" w:rsidP="002862F1">
      <w:pPr>
        <w:spacing w:before="120"/>
      </w:pPr>
      <w:r>
        <w:separator/>
      </w:r>
    </w:p>
  </w:footnote>
  <w:footnote w:type="continuationSeparator" w:id="0">
    <w:p w14:paraId="6AE2ED9F" w14:textId="77777777" w:rsidR="00752B48" w:rsidRDefault="0075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6918"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1A3548"/>
    <w:multiLevelType w:val="hybridMultilevel"/>
    <w:tmpl w:val="7C040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8711F3"/>
    <w:multiLevelType w:val="hybridMultilevel"/>
    <w:tmpl w:val="8A54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9E110B"/>
    <w:multiLevelType w:val="hybridMultilevel"/>
    <w:tmpl w:val="2A0A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544D19"/>
    <w:multiLevelType w:val="hybridMultilevel"/>
    <w:tmpl w:val="D8E41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5633BE"/>
    <w:multiLevelType w:val="hybridMultilevel"/>
    <w:tmpl w:val="7E8AF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204081"/>
    <w:multiLevelType w:val="hybridMultilevel"/>
    <w:tmpl w:val="A5B49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E65906"/>
    <w:multiLevelType w:val="hybridMultilevel"/>
    <w:tmpl w:val="09685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B96168A"/>
    <w:multiLevelType w:val="hybridMultilevel"/>
    <w:tmpl w:val="D22C8F26"/>
    <w:lvl w:ilvl="0" w:tplc="3C6A3AF8">
      <w:start w:val="1"/>
      <w:numFmt w:val="bullet"/>
      <w:lvlText w:val=""/>
      <w:lvlJc w:val="left"/>
      <w:pPr>
        <w:ind w:left="360" w:hanging="360"/>
      </w:pPr>
      <w:rPr>
        <w:rFonts w:ascii="Symbol" w:hAnsi="Symbol" w:hint="default"/>
      </w:rPr>
    </w:lvl>
    <w:lvl w:ilvl="1" w:tplc="9A484D12">
      <w:start w:val="1"/>
      <w:numFmt w:val="bullet"/>
      <w:lvlText w:val="o"/>
      <w:lvlJc w:val="left"/>
      <w:pPr>
        <w:ind w:left="1080" w:hanging="360"/>
      </w:pPr>
      <w:rPr>
        <w:rFonts w:ascii="Courier New" w:hAnsi="Courier New" w:hint="default"/>
      </w:rPr>
    </w:lvl>
    <w:lvl w:ilvl="2" w:tplc="409C1A6E">
      <w:start w:val="1"/>
      <w:numFmt w:val="bullet"/>
      <w:lvlText w:val=""/>
      <w:lvlJc w:val="left"/>
      <w:pPr>
        <w:ind w:left="1800" w:hanging="360"/>
      </w:pPr>
      <w:rPr>
        <w:rFonts w:ascii="Wingdings" w:hAnsi="Wingdings" w:hint="default"/>
      </w:rPr>
    </w:lvl>
    <w:lvl w:ilvl="3" w:tplc="421EF748">
      <w:start w:val="1"/>
      <w:numFmt w:val="bullet"/>
      <w:lvlText w:val=""/>
      <w:lvlJc w:val="left"/>
      <w:pPr>
        <w:ind w:left="2520" w:hanging="360"/>
      </w:pPr>
      <w:rPr>
        <w:rFonts w:ascii="Symbol" w:hAnsi="Symbol" w:hint="default"/>
      </w:rPr>
    </w:lvl>
    <w:lvl w:ilvl="4" w:tplc="2182C3BA">
      <w:start w:val="1"/>
      <w:numFmt w:val="bullet"/>
      <w:lvlText w:val="o"/>
      <w:lvlJc w:val="left"/>
      <w:pPr>
        <w:ind w:left="3240" w:hanging="360"/>
      </w:pPr>
      <w:rPr>
        <w:rFonts w:ascii="Courier New" w:hAnsi="Courier New" w:hint="default"/>
      </w:rPr>
    </w:lvl>
    <w:lvl w:ilvl="5" w:tplc="50CAA70E">
      <w:start w:val="1"/>
      <w:numFmt w:val="bullet"/>
      <w:lvlText w:val=""/>
      <w:lvlJc w:val="left"/>
      <w:pPr>
        <w:ind w:left="3960" w:hanging="360"/>
      </w:pPr>
      <w:rPr>
        <w:rFonts w:ascii="Wingdings" w:hAnsi="Wingdings" w:hint="default"/>
      </w:rPr>
    </w:lvl>
    <w:lvl w:ilvl="6" w:tplc="6C4E82F6">
      <w:start w:val="1"/>
      <w:numFmt w:val="bullet"/>
      <w:lvlText w:val=""/>
      <w:lvlJc w:val="left"/>
      <w:pPr>
        <w:ind w:left="4680" w:hanging="360"/>
      </w:pPr>
      <w:rPr>
        <w:rFonts w:ascii="Symbol" w:hAnsi="Symbol" w:hint="default"/>
      </w:rPr>
    </w:lvl>
    <w:lvl w:ilvl="7" w:tplc="83640142">
      <w:start w:val="1"/>
      <w:numFmt w:val="bullet"/>
      <w:lvlText w:val="o"/>
      <w:lvlJc w:val="left"/>
      <w:pPr>
        <w:ind w:left="5400" w:hanging="360"/>
      </w:pPr>
      <w:rPr>
        <w:rFonts w:ascii="Courier New" w:hAnsi="Courier New" w:hint="default"/>
      </w:rPr>
    </w:lvl>
    <w:lvl w:ilvl="8" w:tplc="838637BA">
      <w:start w:val="1"/>
      <w:numFmt w:val="bullet"/>
      <w:lvlText w:val=""/>
      <w:lvlJc w:val="left"/>
      <w:pPr>
        <w:ind w:left="6120" w:hanging="360"/>
      </w:pPr>
      <w:rPr>
        <w:rFonts w:ascii="Wingdings" w:hAnsi="Wingdings" w:hint="default"/>
      </w:rPr>
    </w:lvl>
  </w:abstractNum>
  <w:abstractNum w:abstractNumId="2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DA0503C"/>
    <w:multiLevelType w:val="hybridMultilevel"/>
    <w:tmpl w:val="A6A0CAE4"/>
    <w:lvl w:ilvl="0" w:tplc="0C09000F">
      <w:start w:val="1"/>
      <w:numFmt w:val="decimal"/>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10"/>
  </w:num>
  <w:num w:numId="3">
    <w:abstractNumId w:val="2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3"/>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4"/>
  </w:num>
  <w:num w:numId="26">
    <w:abstractNumId w:val="31"/>
  </w:num>
  <w:num w:numId="27">
    <w:abstractNumId w:val="27"/>
  </w:num>
  <w:num w:numId="28">
    <w:abstractNumId w:val="11"/>
  </w:num>
  <w:num w:numId="29">
    <w:abstractNumId w:val="3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9"/>
  </w:num>
  <w:num w:numId="43">
    <w:abstractNumId w:val="21"/>
  </w:num>
  <w:num w:numId="44">
    <w:abstractNumId w:val="22"/>
  </w:num>
  <w:num w:numId="45">
    <w:abstractNumId w:val="13"/>
  </w:num>
  <w:num w:numId="46">
    <w:abstractNumId w:val="17"/>
  </w:num>
  <w:num w:numId="47">
    <w:abstractNumId w:val="18"/>
  </w:num>
  <w:num w:numId="4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99"/>
    <w:rsid w:val="00000719"/>
    <w:rsid w:val="00003403"/>
    <w:rsid w:val="00005347"/>
    <w:rsid w:val="000072B6"/>
    <w:rsid w:val="0001021B"/>
    <w:rsid w:val="00011D89"/>
    <w:rsid w:val="000154FD"/>
    <w:rsid w:val="00016FBF"/>
    <w:rsid w:val="00022271"/>
    <w:rsid w:val="000235E8"/>
    <w:rsid w:val="00024D89"/>
    <w:rsid w:val="000250B6"/>
    <w:rsid w:val="000320D1"/>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B77C2"/>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559C"/>
    <w:rsid w:val="00156598"/>
    <w:rsid w:val="00161939"/>
    <w:rsid w:val="00161AA0"/>
    <w:rsid w:val="00161D2E"/>
    <w:rsid w:val="00161F3E"/>
    <w:rsid w:val="00162093"/>
    <w:rsid w:val="00162CA9"/>
    <w:rsid w:val="0016480B"/>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63B0"/>
    <w:rsid w:val="001D0B75"/>
    <w:rsid w:val="001D245C"/>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1322"/>
    <w:rsid w:val="002432E1"/>
    <w:rsid w:val="002435F2"/>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65EC"/>
    <w:rsid w:val="00350D38"/>
    <w:rsid w:val="00351B36"/>
    <w:rsid w:val="00357B4E"/>
    <w:rsid w:val="003716FD"/>
    <w:rsid w:val="0037204B"/>
    <w:rsid w:val="00373890"/>
    <w:rsid w:val="003744CF"/>
    <w:rsid w:val="00374717"/>
    <w:rsid w:val="0037676C"/>
    <w:rsid w:val="00381043"/>
    <w:rsid w:val="003829E5"/>
    <w:rsid w:val="00383405"/>
    <w:rsid w:val="00386109"/>
    <w:rsid w:val="00386944"/>
    <w:rsid w:val="0038713B"/>
    <w:rsid w:val="00387225"/>
    <w:rsid w:val="003956CC"/>
    <w:rsid w:val="00395C9A"/>
    <w:rsid w:val="003A0853"/>
    <w:rsid w:val="003A6B67"/>
    <w:rsid w:val="003B13B6"/>
    <w:rsid w:val="003B15E6"/>
    <w:rsid w:val="003B408A"/>
    <w:rsid w:val="003B5733"/>
    <w:rsid w:val="003C0317"/>
    <w:rsid w:val="003C08A2"/>
    <w:rsid w:val="003C2045"/>
    <w:rsid w:val="003C43A1"/>
    <w:rsid w:val="003C4FC0"/>
    <w:rsid w:val="003C55F4"/>
    <w:rsid w:val="003C7897"/>
    <w:rsid w:val="003C7A3F"/>
    <w:rsid w:val="003D2766"/>
    <w:rsid w:val="003D2A74"/>
    <w:rsid w:val="003D3E8F"/>
    <w:rsid w:val="003D6475"/>
    <w:rsid w:val="003E375C"/>
    <w:rsid w:val="003E3A9B"/>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1445"/>
    <w:rsid w:val="004B437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2D71"/>
    <w:rsid w:val="00503DC6"/>
    <w:rsid w:val="00506F5D"/>
    <w:rsid w:val="00510C37"/>
    <w:rsid w:val="00510ED2"/>
    <w:rsid w:val="00512413"/>
    <w:rsid w:val="005126D0"/>
    <w:rsid w:val="0051568D"/>
    <w:rsid w:val="00526AC7"/>
    <w:rsid w:val="00526C15"/>
    <w:rsid w:val="00536395"/>
    <w:rsid w:val="00536499"/>
    <w:rsid w:val="00543903"/>
    <w:rsid w:val="00543F11"/>
    <w:rsid w:val="00546305"/>
    <w:rsid w:val="00547A95"/>
    <w:rsid w:val="00550F73"/>
    <w:rsid w:val="0055119B"/>
    <w:rsid w:val="005548B5"/>
    <w:rsid w:val="00556523"/>
    <w:rsid w:val="00565B86"/>
    <w:rsid w:val="00572031"/>
    <w:rsid w:val="00572282"/>
    <w:rsid w:val="00573CE3"/>
    <w:rsid w:val="00576E84"/>
    <w:rsid w:val="00580394"/>
    <w:rsid w:val="0058041D"/>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8D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3B93"/>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6F720B"/>
    <w:rsid w:val="007013EF"/>
    <w:rsid w:val="00702069"/>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2B4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A58A6"/>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8E5"/>
    <w:rsid w:val="00887903"/>
    <w:rsid w:val="0089270A"/>
    <w:rsid w:val="0089397F"/>
    <w:rsid w:val="00893AF6"/>
    <w:rsid w:val="00894BC4"/>
    <w:rsid w:val="008A28A8"/>
    <w:rsid w:val="008A5B32"/>
    <w:rsid w:val="008B2C51"/>
    <w:rsid w:val="008B2EE4"/>
    <w:rsid w:val="008B4644"/>
    <w:rsid w:val="008B4D3D"/>
    <w:rsid w:val="008B57C7"/>
    <w:rsid w:val="008C2F92"/>
    <w:rsid w:val="008C3697"/>
    <w:rsid w:val="008C471B"/>
    <w:rsid w:val="008C5557"/>
    <w:rsid w:val="008C589D"/>
    <w:rsid w:val="008C6D51"/>
    <w:rsid w:val="008D2846"/>
    <w:rsid w:val="008D39B5"/>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5D02"/>
    <w:rsid w:val="00A07421"/>
    <w:rsid w:val="00A0776B"/>
    <w:rsid w:val="00A10FB9"/>
    <w:rsid w:val="00A11421"/>
    <w:rsid w:val="00A1389F"/>
    <w:rsid w:val="00A157B1"/>
    <w:rsid w:val="00A22229"/>
    <w:rsid w:val="00A24442"/>
    <w:rsid w:val="00A330BB"/>
    <w:rsid w:val="00A37F7D"/>
    <w:rsid w:val="00A44882"/>
    <w:rsid w:val="00A45125"/>
    <w:rsid w:val="00A54715"/>
    <w:rsid w:val="00A6061C"/>
    <w:rsid w:val="00A62D44"/>
    <w:rsid w:val="00A64C16"/>
    <w:rsid w:val="00A67263"/>
    <w:rsid w:val="00A7161C"/>
    <w:rsid w:val="00A72525"/>
    <w:rsid w:val="00A76F88"/>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94"/>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3DA1"/>
    <w:rsid w:val="00C149D0"/>
    <w:rsid w:val="00C26588"/>
    <w:rsid w:val="00C27DE9"/>
    <w:rsid w:val="00C32989"/>
    <w:rsid w:val="00C33388"/>
    <w:rsid w:val="00C35484"/>
    <w:rsid w:val="00C4173A"/>
    <w:rsid w:val="00C43CE9"/>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2C78"/>
    <w:rsid w:val="00C93C3E"/>
    <w:rsid w:val="00CA12E3"/>
    <w:rsid w:val="00CA1476"/>
    <w:rsid w:val="00CA48F2"/>
    <w:rsid w:val="00CA6611"/>
    <w:rsid w:val="00CA6AE6"/>
    <w:rsid w:val="00CA782F"/>
    <w:rsid w:val="00CB187B"/>
    <w:rsid w:val="00CB2835"/>
    <w:rsid w:val="00CB3285"/>
    <w:rsid w:val="00CB4500"/>
    <w:rsid w:val="00CB7800"/>
    <w:rsid w:val="00CC0C72"/>
    <w:rsid w:val="00CC2BFD"/>
    <w:rsid w:val="00CC6CC3"/>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099"/>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2842"/>
    <w:rsid w:val="00E261B3"/>
    <w:rsid w:val="00E26818"/>
    <w:rsid w:val="00E26FA0"/>
    <w:rsid w:val="00E27FFC"/>
    <w:rsid w:val="00E30B15"/>
    <w:rsid w:val="00E33237"/>
    <w:rsid w:val="00E40181"/>
    <w:rsid w:val="00E54950"/>
    <w:rsid w:val="00E56A01"/>
    <w:rsid w:val="00E60194"/>
    <w:rsid w:val="00E62622"/>
    <w:rsid w:val="00E629A1"/>
    <w:rsid w:val="00E6794C"/>
    <w:rsid w:val="00E71591"/>
    <w:rsid w:val="00E71CEB"/>
    <w:rsid w:val="00E7474F"/>
    <w:rsid w:val="00E80DE3"/>
    <w:rsid w:val="00E82C55"/>
    <w:rsid w:val="00E8787E"/>
    <w:rsid w:val="00E92AC3"/>
    <w:rsid w:val="00EA1360"/>
    <w:rsid w:val="00EA2F6A"/>
    <w:rsid w:val="00EB00E0"/>
    <w:rsid w:val="00EB22A5"/>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1EB3"/>
    <w:rsid w:val="00F024F3"/>
    <w:rsid w:val="00F02ABA"/>
    <w:rsid w:val="00F0437A"/>
    <w:rsid w:val="00F06475"/>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3C1B"/>
    <w:rsid w:val="00FD47C4"/>
    <w:rsid w:val="00FD722A"/>
    <w:rsid w:val="00FE2DCF"/>
    <w:rsid w:val="00FE3FA7"/>
    <w:rsid w:val="00FE4F11"/>
    <w:rsid w:val="00FF2A4E"/>
    <w:rsid w:val="00FF2FCE"/>
    <w:rsid w:val="00FF4DE4"/>
    <w:rsid w:val="00FF4F7D"/>
    <w:rsid w:val="00FF54DF"/>
    <w:rsid w:val="00FF6D9D"/>
    <w:rsid w:val="00FF7DD5"/>
    <w:rsid w:val="0136625F"/>
    <w:rsid w:val="02F79B68"/>
    <w:rsid w:val="05075878"/>
    <w:rsid w:val="066F740A"/>
    <w:rsid w:val="070B6A57"/>
    <w:rsid w:val="074E0ED2"/>
    <w:rsid w:val="09FFE788"/>
    <w:rsid w:val="0C4F3C54"/>
    <w:rsid w:val="0DEB0CB5"/>
    <w:rsid w:val="0F86DD16"/>
    <w:rsid w:val="0FDA8CE8"/>
    <w:rsid w:val="14CB1489"/>
    <w:rsid w:val="1885B1EE"/>
    <w:rsid w:val="18B354AA"/>
    <w:rsid w:val="191FDE84"/>
    <w:rsid w:val="1B94AB4C"/>
    <w:rsid w:val="1D4FB072"/>
    <w:rsid w:val="1EA4B2F9"/>
    <w:rsid w:val="1F15EBB6"/>
    <w:rsid w:val="222C9434"/>
    <w:rsid w:val="256B488D"/>
    <w:rsid w:val="2598444B"/>
    <w:rsid w:val="25E7970F"/>
    <w:rsid w:val="26142FEA"/>
    <w:rsid w:val="26F9C6AC"/>
    <w:rsid w:val="27B0004B"/>
    <w:rsid w:val="2B4DACCF"/>
    <w:rsid w:val="2BAC0A35"/>
    <w:rsid w:val="2C519464"/>
    <w:rsid w:val="2C8569AC"/>
    <w:rsid w:val="2E47A653"/>
    <w:rsid w:val="2EA3FC38"/>
    <w:rsid w:val="2F7DC309"/>
    <w:rsid w:val="30F6A294"/>
    <w:rsid w:val="319FC66D"/>
    <w:rsid w:val="350908BD"/>
    <w:rsid w:val="36948D70"/>
    <w:rsid w:val="39CC2E32"/>
    <w:rsid w:val="3D2D4B12"/>
    <w:rsid w:val="3EC91B73"/>
    <w:rsid w:val="402BAC70"/>
    <w:rsid w:val="41C53F77"/>
    <w:rsid w:val="4200BC35"/>
    <w:rsid w:val="4540F982"/>
    <w:rsid w:val="472321F1"/>
    <w:rsid w:val="48A9019D"/>
    <w:rsid w:val="48C30290"/>
    <w:rsid w:val="4BDFB913"/>
    <w:rsid w:val="4D89B855"/>
    <w:rsid w:val="527EC7B1"/>
    <w:rsid w:val="53598E85"/>
    <w:rsid w:val="538C0F23"/>
    <w:rsid w:val="55061097"/>
    <w:rsid w:val="55917317"/>
    <w:rsid w:val="56E824E7"/>
    <w:rsid w:val="57BFACA3"/>
    <w:rsid w:val="5A2E8EC3"/>
    <w:rsid w:val="5C0E8CC5"/>
    <w:rsid w:val="5C573387"/>
    <w:rsid w:val="5D2D3E66"/>
    <w:rsid w:val="5DAA5D26"/>
    <w:rsid w:val="5FB6D540"/>
    <w:rsid w:val="6149E2F4"/>
    <w:rsid w:val="62FA257F"/>
    <w:rsid w:val="6333EF60"/>
    <w:rsid w:val="639A38A0"/>
    <w:rsid w:val="680DC768"/>
    <w:rsid w:val="6EBAC333"/>
    <w:rsid w:val="73612581"/>
    <w:rsid w:val="75942D20"/>
    <w:rsid w:val="763F007E"/>
    <w:rsid w:val="7649C5C0"/>
    <w:rsid w:val="7745D8A3"/>
    <w:rsid w:val="78033D89"/>
    <w:rsid w:val="7841FDCC"/>
    <w:rsid w:val="7A489FDA"/>
    <w:rsid w:val="7B58969C"/>
    <w:rsid w:val="7CA4D6B9"/>
    <w:rsid w:val="7D6A2C8F"/>
    <w:rsid w:val="7FDD91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A14B1E3"/>
  <w15:docId w15:val="{69F21618-D7DE-49B8-A818-96047BB3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0"/>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12"/>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1"/>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1"/>
      </w:numPr>
    </w:pPr>
  </w:style>
  <w:style w:type="paragraph" w:customStyle="1" w:styleId="Numberlowerroman">
    <w:name w:val="Number lower roman"/>
    <w:basedOn w:val="Body"/>
    <w:uiPriority w:val="3"/>
    <w:rsid w:val="00721CFB"/>
    <w:pPr>
      <w:numPr>
        <w:numId w:val="14"/>
      </w:numPr>
    </w:pPr>
  </w:style>
  <w:style w:type="paragraph" w:customStyle="1" w:styleId="Numberlowerromanindent">
    <w:name w:val="Number lower roman indent"/>
    <w:basedOn w:val="Body"/>
    <w:uiPriority w:val="3"/>
    <w:rsid w:val="00721CFB"/>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ListParagraph">
    <w:name w:val="List Paragraph"/>
    <w:basedOn w:val="Normal"/>
    <w:uiPriority w:val="72"/>
    <w:semiHidden/>
    <w:qFormat/>
    <w:rsid w:val="00387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2.health.vic.gov.au/hospitals-and-health-services/patient-care/non-emergency-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1F22F-14B3-47F1-895A-90BB3EEC6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51ee8a1-a92c-40bc-9e81-d80532d07b49"/>
    <ds:schemaRef ds:uri="14671b8e-e891-4910-86ff-35e0958d08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5807</Characters>
  <Application>Microsoft Office Word</Application>
  <DocSecurity>4</DocSecurity>
  <Lines>48</Lines>
  <Paragraphs>13</Paragraphs>
  <ScaleCrop>false</ScaleCrop>
  <Manager/>
  <Company>Victoria State Government, Department of Health</Company>
  <LinksUpToDate>false</LinksUpToDate>
  <CharactersWithSpaces>6812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Vehicles and equipment</dc:title>
  <dc:subject>Vehicles and equipment</dc:subject>
  <dc:creator>Department of Health</dc:creator>
  <cp:keywords/>
  <dc:description/>
  <cp:revision>2</cp:revision>
  <cp:lastPrinted>2020-03-30T03:28:00Z</cp:lastPrinted>
  <dcterms:created xsi:type="dcterms:W3CDTF">2021-12-22T06:11:00Z</dcterms:created>
  <dcterms:modified xsi:type="dcterms:W3CDTF">2021-12-22T06:11:00Z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2021-12-22T06:11:35Z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