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8EC5" w14:textId="77777777" w:rsidR="0074696E" w:rsidRPr="004C6EEE" w:rsidRDefault="0074696E" w:rsidP="00EC40D5">
      <w:pPr>
        <w:pStyle w:val="Sectionbreakfirstpage"/>
      </w:pPr>
    </w:p>
    <w:p w14:paraId="4A95D3C3"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F1CB0E9" wp14:editId="1ABBB6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2D84A9F" w14:textId="77777777" w:rsidTr="067DEFDE">
        <w:trPr>
          <w:trHeight w:val="622"/>
        </w:trPr>
        <w:tc>
          <w:tcPr>
            <w:tcW w:w="10348" w:type="dxa"/>
            <w:tcMar>
              <w:top w:w="1531" w:type="dxa"/>
              <w:left w:w="0" w:type="dxa"/>
              <w:right w:w="0" w:type="dxa"/>
            </w:tcMar>
          </w:tcPr>
          <w:p w14:paraId="70E9C285" w14:textId="0872927D" w:rsidR="003B5733" w:rsidRPr="003B5733" w:rsidRDefault="00566AAA" w:rsidP="003B5733">
            <w:pPr>
              <w:pStyle w:val="Documenttitle"/>
            </w:pPr>
            <w:r>
              <w:t>Sentinel Event</w:t>
            </w:r>
            <w:r w:rsidR="002F548E">
              <w:t>s</w:t>
            </w:r>
          </w:p>
        </w:tc>
      </w:tr>
      <w:tr w:rsidR="003B5733" w14:paraId="5B64C3EC" w14:textId="77777777" w:rsidTr="067DEFDE">
        <w:tc>
          <w:tcPr>
            <w:tcW w:w="10348" w:type="dxa"/>
          </w:tcPr>
          <w:p w14:paraId="4EB39B97" w14:textId="3B2F2EC0" w:rsidR="003B5733" w:rsidRPr="00A1389F" w:rsidRDefault="00D40099" w:rsidP="005F44C0">
            <w:pPr>
              <w:pStyle w:val="Documentsubtitle"/>
            </w:pPr>
            <w:r>
              <w:t>Non emergency patient transport</w:t>
            </w:r>
          </w:p>
        </w:tc>
      </w:tr>
      <w:tr w:rsidR="003B5733" w14:paraId="4B7F7A0D" w14:textId="77777777" w:rsidTr="067DEFDE">
        <w:tc>
          <w:tcPr>
            <w:tcW w:w="10348" w:type="dxa"/>
          </w:tcPr>
          <w:p w14:paraId="43BD2D4B" w14:textId="77777777" w:rsidR="003B5733" w:rsidRPr="001E5058" w:rsidRDefault="00286328" w:rsidP="001E5058">
            <w:pPr>
              <w:pStyle w:val="Bannermarking"/>
            </w:pPr>
            <w:r>
              <w:fldChar w:fldCharType="begin"/>
            </w:r>
            <w:r>
              <w:instrText>FILLIN  "Type the protective marking" \d OFFICIAL \o  \* MERGEFORMAT</w:instrText>
            </w:r>
            <w:r>
              <w:fldChar w:fldCharType="separate"/>
            </w:r>
            <w:r w:rsidR="00D40099">
              <w:t>OFFICIAL</w:t>
            </w:r>
            <w:r>
              <w:fldChar w:fldCharType="end"/>
            </w:r>
          </w:p>
        </w:tc>
      </w:tr>
    </w:tbl>
    <w:p w14:paraId="2842C981" w14:textId="79C2191C" w:rsidR="00EE29AD" w:rsidRDefault="10F393B3" w:rsidP="00E261B3">
      <w:pPr>
        <w:pStyle w:val="Heading1"/>
      </w:pPr>
      <w:r>
        <w:t>Reference</w:t>
      </w:r>
    </w:p>
    <w:p w14:paraId="2D170F2D" w14:textId="0584789E" w:rsidR="00EE29AD" w:rsidRDefault="10F393B3" w:rsidP="067DEFDE">
      <w:pPr>
        <w:pStyle w:val="Body"/>
        <w:rPr>
          <w:szCs w:val="21"/>
        </w:rPr>
      </w:pPr>
      <w:r w:rsidRPr="2EC5E0A2">
        <w:rPr>
          <w:szCs w:val="21"/>
        </w:rPr>
        <w:t>Non-Emergency Patient Transport Regulations 2016 Part 1, Regulation 5 ‘Sentinel event’ definition</w:t>
      </w:r>
    </w:p>
    <w:p w14:paraId="6CFCE024" w14:textId="4DDFC0C7" w:rsidR="1A39A4A3" w:rsidRDefault="1A39A4A3" w:rsidP="2EC5E0A2">
      <w:pPr>
        <w:pStyle w:val="Body"/>
        <w:rPr>
          <w:szCs w:val="21"/>
        </w:rPr>
      </w:pPr>
      <w:r w:rsidRPr="2EC5E0A2">
        <w:rPr>
          <w:szCs w:val="21"/>
        </w:rPr>
        <w:t>Non-Emergency Patient Transport Regulations 2016 Division 3, Regulation 33</w:t>
      </w:r>
    </w:p>
    <w:p w14:paraId="7D928FC4" w14:textId="2DA57591" w:rsidR="00EE29AD" w:rsidRDefault="00566AAA" w:rsidP="2EC5E0A2">
      <w:pPr>
        <w:pStyle w:val="Heading1"/>
        <w:rPr>
          <w:rFonts w:eastAsia="Times" w:cs="Times New Roman"/>
          <w:sz w:val="21"/>
          <w:szCs w:val="21"/>
        </w:rPr>
      </w:pPr>
      <w:r>
        <w:t>Introduction</w:t>
      </w:r>
    </w:p>
    <w:p w14:paraId="03B7D13A" w14:textId="7820B080" w:rsidR="000235E8" w:rsidRPr="002365B4" w:rsidRDefault="00566AAA" w:rsidP="002365B4">
      <w:pPr>
        <w:pStyle w:val="Body"/>
      </w:pPr>
      <w:r>
        <w:t xml:space="preserve">The term ‘sentinel event’ replaces the term ‘critical incident’ in the </w:t>
      </w:r>
      <w:r w:rsidR="2395463C">
        <w:t xml:space="preserve">amended </w:t>
      </w:r>
      <w:r>
        <w:t>Non</w:t>
      </w:r>
      <w:r w:rsidR="09A253F6">
        <w:t>-</w:t>
      </w:r>
      <w:r>
        <w:t xml:space="preserve">Emergency Patient Transport Regulations </w:t>
      </w:r>
      <w:r w:rsidR="04F03E1E">
        <w:t xml:space="preserve">2016 </w:t>
      </w:r>
      <w:r>
        <w:t>(The regulations). The aim of capturing sentinel events is to improve patient safety and</w:t>
      </w:r>
      <w:r w:rsidR="004C5929">
        <w:t xml:space="preserve"> </w:t>
      </w:r>
      <w:r w:rsidR="00455C5B">
        <w:t xml:space="preserve">address </w:t>
      </w:r>
      <w:r>
        <w:t>systems improvement in the health sector. Reporting sentinel events as outlined in this document will bring the Non</w:t>
      </w:r>
      <w:r w:rsidR="5A2DAE19">
        <w:t>-</w:t>
      </w:r>
      <w:r>
        <w:t xml:space="preserve">Emergency Patient Transport (NEPT) sector in line with the rest of the health system. </w:t>
      </w:r>
    </w:p>
    <w:p w14:paraId="66368EC2" w14:textId="5984D2B2" w:rsidR="00C133EE" w:rsidRDefault="00566AAA" w:rsidP="00FB4769">
      <w:pPr>
        <w:pStyle w:val="Heading1"/>
      </w:pPr>
      <w:r>
        <w:t>Sentinel Event definition</w:t>
      </w:r>
    </w:p>
    <w:p w14:paraId="2C1E2E11" w14:textId="317D8012" w:rsidR="00C133EE" w:rsidRDefault="00566AAA" w:rsidP="0007080C">
      <w:pPr>
        <w:pStyle w:val="Body"/>
      </w:pPr>
      <w:r w:rsidRPr="49043887">
        <w:rPr>
          <w:rFonts w:eastAsiaTheme="minorEastAsia"/>
        </w:rPr>
        <w:t>A sentinel event is an unexpected and adverse patient safety event that occurs infrequently in the provision of services by a NEPT service</w:t>
      </w:r>
      <w:r>
        <w:t xml:space="preserve"> and r</w:t>
      </w:r>
      <w:r w:rsidRPr="49043887">
        <w:rPr>
          <w:rFonts w:eastAsiaTheme="minorEastAsia"/>
        </w:rPr>
        <w:t xml:space="preserve">esults in the death of, or serious physical or psychological injury to, a patient as a </w:t>
      </w:r>
      <w:r>
        <w:t>r</w:t>
      </w:r>
      <w:r w:rsidRPr="49043887">
        <w:rPr>
          <w:rFonts w:eastAsiaTheme="minorEastAsia"/>
        </w:rPr>
        <w:t xml:space="preserve">esult of system and process deficiencies </w:t>
      </w:r>
      <w:r w:rsidR="00136AB1" w:rsidRPr="49043887">
        <w:rPr>
          <w:rFonts w:eastAsiaTheme="minorEastAsia"/>
        </w:rPr>
        <w:t>of</w:t>
      </w:r>
      <w:r w:rsidR="00CD0DB9" w:rsidRPr="49043887">
        <w:rPr>
          <w:rFonts w:eastAsiaTheme="minorEastAsia"/>
        </w:rPr>
        <w:t xml:space="preserve"> </w:t>
      </w:r>
      <w:r w:rsidRPr="49043887">
        <w:rPr>
          <w:rFonts w:eastAsiaTheme="minorEastAsia"/>
        </w:rPr>
        <w:t>the non-emergency patient transport service</w:t>
      </w:r>
      <w:r w:rsidR="009A3490">
        <w:t>.</w:t>
      </w:r>
    </w:p>
    <w:p w14:paraId="0ED2BFF5" w14:textId="225191CF" w:rsidR="0007080C" w:rsidRDefault="0007080C" w:rsidP="0007080C">
      <w:pPr>
        <w:pStyle w:val="Heading1"/>
      </w:pPr>
      <w:r>
        <w:t>Reporting</w:t>
      </w:r>
    </w:p>
    <w:p w14:paraId="7A99787C" w14:textId="77777777" w:rsidR="0007080C" w:rsidRDefault="0007080C" w:rsidP="0007080C">
      <w:pPr>
        <w:pStyle w:val="Heading2"/>
      </w:pPr>
      <w:r>
        <w:t>Who needs to report?</w:t>
      </w:r>
    </w:p>
    <w:p w14:paraId="6CB017D1" w14:textId="3BA25C91" w:rsidR="0007080C" w:rsidRPr="002365B4" w:rsidRDefault="0007080C" w:rsidP="0007080C">
      <w:pPr>
        <w:pStyle w:val="Body"/>
      </w:pPr>
      <w:r>
        <w:t>All services within the health system, including NEPT, are required to report all sentinel events</w:t>
      </w:r>
      <w:r w:rsidR="009B2CD2">
        <w:t>.</w:t>
      </w:r>
    </w:p>
    <w:p w14:paraId="3A8EA6FC" w14:textId="77777777" w:rsidR="0007080C" w:rsidRDefault="0007080C" w:rsidP="0007080C">
      <w:pPr>
        <w:pStyle w:val="Heading2"/>
        <w:rPr>
          <w:sz w:val="21"/>
          <w:szCs w:val="21"/>
        </w:rPr>
      </w:pPr>
      <w:r>
        <w:t xml:space="preserve">What to Report </w:t>
      </w:r>
    </w:p>
    <w:p w14:paraId="0DA8E758" w14:textId="1DB76320" w:rsidR="0007080C" w:rsidRDefault="0007080C" w:rsidP="0007080C">
      <w:r>
        <w:t xml:space="preserve">In 2019, the Australian Commission on Safety and Quality in Healthcare (ACSQHC) published a national sentinel event category list, containing 10 sentinel event categories. In addition to the national categories, services within the Victorian health system are required to adhere to and report on category 11 ‘All other adverse patient safety events resulting in serious harm or death’. The sentinel event categories are available at the </w:t>
      </w:r>
      <w:hyperlink r:id="rId15" w:history="1">
        <w:r w:rsidRPr="00433899">
          <w:rPr>
            <w:rStyle w:val="Hyperlink"/>
          </w:rPr>
          <w:t>Safer Care Victoria website</w:t>
        </w:r>
      </w:hyperlink>
      <w:r>
        <w:t xml:space="preserve"> &lt;</w:t>
      </w:r>
      <w:r w:rsidRPr="00433899">
        <w:t>https://www.bettersafercare.vic.gov.au/notify-us/sentinel-events/what-to-report</w:t>
      </w:r>
      <w:r>
        <w:t>&gt;</w:t>
      </w:r>
      <w:r w:rsidRPr="00433899">
        <w:t xml:space="preserve"> </w:t>
      </w:r>
    </w:p>
    <w:p w14:paraId="04AE1D0B" w14:textId="57B9CD6B" w:rsidR="00C4266F" w:rsidRDefault="0007080C" w:rsidP="00C4266F">
      <w:pPr>
        <w:pStyle w:val="Body"/>
      </w:pPr>
      <w:r>
        <w:t xml:space="preserve">As a NEPT provider, if you are unsure if you need to report an adverse patient safety event, contact Safer Care Victoria via </w:t>
      </w:r>
      <w:hyperlink r:id="rId16">
        <w:r w:rsidRPr="49043887">
          <w:rPr>
            <w:rStyle w:val="Hyperlink"/>
          </w:rPr>
          <w:t>sentinel.events@safercare.vic.gov.au</w:t>
        </w:r>
      </w:hyperlink>
      <w:r w:rsidR="00C4266F">
        <w:t xml:space="preserve"> </w:t>
      </w:r>
      <w:r w:rsidR="00C4266F" w:rsidRPr="49043887">
        <w:rPr>
          <w:rStyle w:val="Hyperlink"/>
          <w:color w:val="auto"/>
          <w:u w:val="none"/>
        </w:rPr>
        <w:t xml:space="preserve">or </w:t>
      </w:r>
      <w:r w:rsidR="00C4266F">
        <w:t xml:space="preserve">1300 543 916 for advice. </w:t>
      </w:r>
      <w:r w:rsidR="00C4266F" w:rsidRPr="49043887">
        <w:rPr>
          <w:color w:val="000000" w:themeColor="text1"/>
        </w:rPr>
        <w:t xml:space="preserve">Safer Care Victoria are available to discuss incidents to determine if they fall within a sentinel event category and also offer support with incident review. </w:t>
      </w:r>
    </w:p>
    <w:p w14:paraId="10401E83" w14:textId="77777777" w:rsidR="0007080C" w:rsidRPr="006812ED" w:rsidRDefault="0007080C" w:rsidP="0007080C">
      <w:pPr>
        <w:pStyle w:val="Heading2"/>
      </w:pPr>
      <w:r>
        <w:lastRenderedPageBreak/>
        <w:t>How to Report</w:t>
      </w:r>
    </w:p>
    <w:p w14:paraId="06DF4197" w14:textId="77777777" w:rsidR="0007080C" w:rsidRDefault="0007080C" w:rsidP="0007080C">
      <w:pPr>
        <w:pStyle w:val="Body"/>
      </w:pPr>
      <w:r>
        <w:t xml:space="preserve">Safer Care Victoria is Victoria’s healthcare quality and safety improvement specialist, providing support to providers within the </w:t>
      </w:r>
      <w:r w:rsidRPr="001C6661">
        <w:t>health system for all concerns relating to patient safety.</w:t>
      </w:r>
    </w:p>
    <w:p w14:paraId="6A5276B5" w14:textId="3909C5CC" w:rsidR="0007080C" w:rsidRDefault="0007080C" w:rsidP="0007080C">
      <w:pPr>
        <w:pStyle w:val="Body"/>
      </w:pPr>
      <w:r>
        <w:t xml:space="preserve">The process of how to report sentinel events to SCV is the same for all services within the Victorian health system and is described in Table </w:t>
      </w:r>
      <w:r w:rsidR="31CFA182">
        <w:t>1</w:t>
      </w:r>
      <w:r>
        <w:t>.</w:t>
      </w:r>
    </w:p>
    <w:p w14:paraId="78A0EC92" w14:textId="4D21172B" w:rsidR="0007080C" w:rsidRDefault="0007080C" w:rsidP="0007080C">
      <w:pPr>
        <w:pStyle w:val="Tablecaption"/>
      </w:pPr>
      <w:r>
        <w:t xml:space="preserve">Table </w:t>
      </w:r>
      <w:r w:rsidR="4C06062F">
        <w:t>1</w:t>
      </w:r>
      <w:r>
        <w:t>: Sentinel Event Reporting to Safer Care Victoria</w:t>
      </w:r>
    </w:p>
    <w:tbl>
      <w:tblPr>
        <w:tblStyle w:val="TableGrid"/>
        <w:tblW w:w="8642" w:type="dxa"/>
        <w:tblLook w:val="06A0" w:firstRow="1" w:lastRow="0" w:firstColumn="1" w:lastColumn="0" w:noHBand="1" w:noVBand="1"/>
      </w:tblPr>
      <w:tblGrid>
        <w:gridCol w:w="2320"/>
        <w:gridCol w:w="6322"/>
      </w:tblGrid>
      <w:tr w:rsidR="0007080C" w14:paraId="4785AA16" w14:textId="77777777" w:rsidTr="00E55C97">
        <w:trPr>
          <w:tblHeader/>
        </w:trPr>
        <w:tc>
          <w:tcPr>
            <w:tcW w:w="2320" w:type="dxa"/>
          </w:tcPr>
          <w:p w14:paraId="50A08FAE" w14:textId="77777777" w:rsidR="0007080C" w:rsidRPr="00CB3285" w:rsidRDefault="0007080C" w:rsidP="00E55C97">
            <w:pPr>
              <w:pStyle w:val="Tablecolhead"/>
            </w:pPr>
            <w:r>
              <w:t>Reporting steps</w:t>
            </w:r>
          </w:p>
        </w:tc>
        <w:tc>
          <w:tcPr>
            <w:tcW w:w="6322" w:type="dxa"/>
          </w:tcPr>
          <w:p w14:paraId="3AB4DCC1" w14:textId="77777777" w:rsidR="0007080C" w:rsidRDefault="0007080C" w:rsidP="00E55C97">
            <w:pPr>
              <w:pStyle w:val="Tablecolhead"/>
            </w:pPr>
            <w:r>
              <w:t>Description</w:t>
            </w:r>
          </w:p>
        </w:tc>
      </w:tr>
      <w:tr w:rsidR="0007080C" w14:paraId="709F7013" w14:textId="77777777" w:rsidTr="00E55C97">
        <w:trPr>
          <w:tblHeader/>
        </w:trPr>
        <w:tc>
          <w:tcPr>
            <w:tcW w:w="2320" w:type="dxa"/>
          </w:tcPr>
          <w:p w14:paraId="6DDADCE4" w14:textId="77777777" w:rsidR="0007080C" w:rsidRDefault="0007080C" w:rsidP="00E55C97">
            <w:pPr>
              <w:pStyle w:val="Tabletext"/>
            </w:pPr>
            <w:r>
              <w:t>Step 1: Access the SCV portal</w:t>
            </w:r>
          </w:p>
        </w:tc>
        <w:tc>
          <w:tcPr>
            <w:tcW w:w="6322" w:type="dxa"/>
          </w:tcPr>
          <w:p w14:paraId="0058FAF0" w14:textId="77777777" w:rsidR="0007080C" w:rsidRDefault="0007080C" w:rsidP="00E55C97">
            <w:r>
              <w:t>Access the sentinel event portal on the SCV website. Note: If this is the first time reporting, you may need to complete an onboarding form and submit to SCV.</w:t>
            </w:r>
          </w:p>
        </w:tc>
      </w:tr>
      <w:tr w:rsidR="0007080C" w14:paraId="32E0C007" w14:textId="77777777" w:rsidTr="00E55C97">
        <w:tc>
          <w:tcPr>
            <w:tcW w:w="2320" w:type="dxa"/>
          </w:tcPr>
          <w:p w14:paraId="2F9B6D29" w14:textId="77777777" w:rsidR="0007080C" w:rsidRDefault="0007080C" w:rsidP="00E55C97">
            <w:pPr>
              <w:pStyle w:val="Tabletext"/>
            </w:pPr>
            <w:r>
              <w:t>Step 2: Submit the Sentinel event</w:t>
            </w:r>
          </w:p>
        </w:tc>
        <w:tc>
          <w:tcPr>
            <w:tcW w:w="6322" w:type="dxa"/>
          </w:tcPr>
          <w:p w14:paraId="78B7811A" w14:textId="77777777" w:rsidR="0007080C" w:rsidRDefault="0007080C" w:rsidP="00E55C97">
            <w:r w:rsidRPr="00B51D50">
              <w:t xml:space="preserve">Notify SCV within three business days of the service becoming aware of the event </w:t>
            </w:r>
            <w:r>
              <w:t>via the portal.</w:t>
            </w:r>
          </w:p>
        </w:tc>
      </w:tr>
      <w:tr w:rsidR="0007080C" w14:paraId="3005C1E6" w14:textId="77777777" w:rsidTr="00E55C97">
        <w:trPr>
          <w:trHeight w:val="594"/>
        </w:trPr>
        <w:tc>
          <w:tcPr>
            <w:tcW w:w="2320" w:type="dxa"/>
          </w:tcPr>
          <w:p w14:paraId="73339080" w14:textId="77777777" w:rsidR="0007080C" w:rsidRPr="002365B4" w:rsidRDefault="0007080C" w:rsidP="00E55C97">
            <w:pPr>
              <w:pStyle w:val="Tabletext6pt"/>
            </w:pPr>
            <w:r>
              <w:t>Step 3: Conduct a Review</w:t>
            </w:r>
          </w:p>
        </w:tc>
        <w:tc>
          <w:tcPr>
            <w:tcW w:w="6322" w:type="dxa"/>
          </w:tcPr>
          <w:p w14:paraId="1C3B750A" w14:textId="77777777" w:rsidR="0007080C" w:rsidRPr="002365B4" w:rsidRDefault="0007080C" w:rsidP="00E55C97">
            <w:r w:rsidRPr="00CF0EEE">
              <w:t>Review and analyse the sentinel event using root cause analysis (RCA) methodology</w:t>
            </w:r>
          </w:p>
        </w:tc>
      </w:tr>
      <w:tr w:rsidR="0007080C" w14:paraId="5CED4574" w14:textId="77777777" w:rsidTr="00E55C97">
        <w:trPr>
          <w:trHeight w:val="549"/>
        </w:trPr>
        <w:tc>
          <w:tcPr>
            <w:tcW w:w="2320" w:type="dxa"/>
          </w:tcPr>
          <w:p w14:paraId="67EC500C" w14:textId="77777777" w:rsidR="0007080C" w:rsidRPr="002365B4" w:rsidRDefault="0007080C" w:rsidP="00E55C97">
            <w:pPr>
              <w:pStyle w:val="Tabletext6pt"/>
            </w:pPr>
            <w:r>
              <w:t>Step 4: Submit Review</w:t>
            </w:r>
          </w:p>
        </w:tc>
        <w:tc>
          <w:tcPr>
            <w:tcW w:w="6322" w:type="dxa"/>
          </w:tcPr>
          <w:p w14:paraId="6FC7BEBD" w14:textId="77777777" w:rsidR="0007080C" w:rsidRPr="00CF0EEE" w:rsidRDefault="0007080C" w:rsidP="00E55C97">
            <w:r w:rsidRPr="00CF0EEE">
              <w:t xml:space="preserve">Submit an RCA report (parts a and b) within 30 business days of the notification </w:t>
            </w:r>
          </w:p>
        </w:tc>
      </w:tr>
      <w:tr w:rsidR="0007080C" w14:paraId="582E7B66" w14:textId="77777777" w:rsidTr="00E55C97">
        <w:trPr>
          <w:trHeight w:val="756"/>
        </w:trPr>
        <w:tc>
          <w:tcPr>
            <w:tcW w:w="2320" w:type="dxa"/>
          </w:tcPr>
          <w:p w14:paraId="158E6975" w14:textId="77777777" w:rsidR="0007080C" w:rsidRPr="002365B4" w:rsidRDefault="0007080C" w:rsidP="00E55C97">
            <w:pPr>
              <w:pStyle w:val="Tabletext6pt"/>
            </w:pPr>
            <w:r>
              <w:t>Step 5: Make Recommendations</w:t>
            </w:r>
          </w:p>
        </w:tc>
        <w:tc>
          <w:tcPr>
            <w:tcW w:w="6322" w:type="dxa"/>
          </w:tcPr>
          <w:p w14:paraId="137059B7" w14:textId="77777777" w:rsidR="0007080C" w:rsidRPr="00CF0EEE" w:rsidRDefault="0007080C" w:rsidP="00E55C97">
            <w:r w:rsidRPr="00CF0EEE">
              <w:t xml:space="preserve">Submit recommendations from the RCA (part c) within 50 business days of the notification </w:t>
            </w:r>
          </w:p>
        </w:tc>
      </w:tr>
      <w:tr w:rsidR="0007080C" w14:paraId="5806DDD2" w14:textId="77777777" w:rsidTr="00E55C97">
        <w:trPr>
          <w:trHeight w:val="586"/>
        </w:trPr>
        <w:tc>
          <w:tcPr>
            <w:tcW w:w="2320" w:type="dxa"/>
          </w:tcPr>
          <w:p w14:paraId="0A40E18F" w14:textId="77777777" w:rsidR="0007080C" w:rsidRPr="002365B4" w:rsidRDefault="0007080C" w:rsidP="00E55C97">
            <w:pPr>
              <w:pStyle w:val="Tabletext6pt"/>
            </w:pPr>
            <w:r>
              <w:t>Step 6: Implement Recommendations</w:t>
            </w:r>
          </w:p>
        </w:tc>
        <w:tc>
          <w:tcPr>
            <w:tcW w:w="6322" w:type="dxa"/>
          </w:tcPr>
          <w:p w14:paraId="7619D4D5" w14:textId="77777777" w:rsidR="0007080C" w:rsidRPr="00CF0EEE" w:rsidRDefault="0007080C" w:rsidP="00E55C97">
            <w:r w:rsidRPr="00CF0EEE">
              <w:t xml:space="preserve">Submit a recommendation monitoring report within 120 business days of the notification. </w:t>
            </w:r>
          </w:p>
        </w:tc>
      </w:tr>
    </w:tbl>
    <w:p w14:paraId="0AD24170" w14:textId="77777777" w:rsidR="0007080C" w:rsidRPr="0029752B" w:rsidRDefault="0007080C" w:rsidP="0007080C">
      <w:pPr>
        <w:pStyle w:val="Body"/>
      </w:pPr>
    </w:p>
    <w:p w14:paraId="67CD647F" w14:textId="77777777" w:rsidR="000B3D92" w:rsidRDefault="000B3D92" w:rsidP="000B3D92">
      <w:pPr>
        <w:pStyle w:val="Heading1"/>
      </w:pPr>
      <w:r>
        <w:t>Additional Information</w:t>
      </w:r>
    </w:p>
    <w:p w14:paraId="4D955239" w14:textId="77777777" w:rsidR="000B3D92" w:rsidRDefault="000B3D92" w:rsidP="000B3D92">
      <w:pPr>
        <w:pStyle w:val="Body"/>
      </w:pPr>
      <w:r>
        <w:t xml:space="preserve">Further information on how to report and conduct a review of sentinel events, including the use of a root cause analysis methodology can be found on the </w:t>
      </w:r>
      <w:hyperlink r:id="rId17" w:history="1">
        <w:r w:rsidRPr="49043887">
          <w:rPr>
            <w:rStyle w:val="Hyperlink"/>
          </w:rPr>
          <w:t>Safer Care Victoria Website</w:t>
        </w:r>
      </w:hyperlink>
      <w:r>
        <w:t xml:space="preserve"> &lt; https://www.bettersafercare.vic.gov.au/notify-us/sentinel-events&gt;.</w:t>
      </w:r>
    </w:p>
    <w:p w14:paraId="748038BC" w14:textId="77777777" w:rsidR="000B3D92" w:rsidRDefault="000B3D92" w:rsidP="49043887">
      <w:pPr>
        <w:pStyle w:val="Bullet1"/>
        <w:numPr>
          <w:ilvl w:val="0"/>
          <w:numId w:val="0"/>
        </w:numPr>
        <w:rPr>
          <w:rStyle w:val="eop"/>
          <w:rFonts w:cs="Arial"/>
        </w:rPr>
      </w:pPr>
      <w:r>
        <w:t>Alternatively,</w:t>
      </w:r>
      <w:r w:rsidRPr="49043887">
        <w:rPr>
          <w:rStyle w:val="normaltextrun"/>
          <w:rFonts w:cs="Arial"/>
        </w:rPr>
        <w:t> </w:t>
      </w:r>
      <w:hyperlink r:id="rId18" w:tgtFrame="_blank" w:history="1">
        <w:r w:rsidRPr="49043887">
          <w:rPr>
            <w:rStyle w:val="normaltextrun"/>
            <w:rFonts w:cs="Arial"/>
            <w:color w:val="004C97"/>
            <w:sz w:val="20"/>
            <w:u w:val="single"/>
          </w:rPr>
          <w:t>email NEPT, First Aid and Investigations</w:t>
        </w:r>
      </w:hyperlink>
      <w:r w:rsidRPr="49043887">
        <w:rPr>
          <w:rStyle w:val="normaltextrun"/>
          <w:rFonts w:cs="Arial"/>
          <w:color w:val="004C97"/>
          <w:sz w:val="20"/>
          <w:u w:val="single"/>
        </w:rPr>
        <w:t>.</w:t>
      </w:r>
      <w:r w:rsidRPr="49043887">
        <w:rPr>
          <w:rStyle w:val="eop"/>
          <w:rFonts w:cs="Arial"/>
        </w:rPr>
        <w:t> </w:t>
      </w:r>
    </w:p>
    <w:p w14:paraId="18856227" w14:textId="144EA7AD" w:rsidR="000B3D92" w:rsidRDefault="000B3D92" w:rsidP="00200176">
      <w:pPr>
        <w:pStyle w:val="Body"/>
      </w:pPr>
    </w:p>
    <w:p w14:paraId="28835F1B" w14:textId="3E46CA27" w:rsidR="000B3D92" w:rsidRDefault="000B3D92" w:rsidP="00200176">
      <w:pPr>
        <w:pStyle w:val="Body"/>
      </w:pPr>
    </w:p>
    <w:p w14:paraId="3CC6101C" w14:textId="77777777" w:rsidR="00F86F39" w:rsidRPr="00200176" w:rsidRDefault="00F86F39"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3C9013D" w14:textId="77777777" w:rsidTr="00EC40D5">
        <w:tc>
          <w:tcPr>
            <w:tcW w:w="10194" w:type="dxa"/>
          </w:tcPr>
          <w:p w14:paraId="695E8B08" w14:textId="35751F15" w:rsidR="00D40099" w:rsidRPr="005A0FDA" w:rsidRDefault="0055119B" w:rsidP="00D40099">
            <w:pPr>
              <w:pStyle w:val="Accessibilitypara"/>
              <w:rPr>
                <w:sz w:val="20"/>
                <w:szCs w:val="20"/>
              </w:rPr>
            </w:pPr>
            <w:bookmarkStart w:id="0" w:name="_Hlk37240926"/>
            <w:r w:rsidRPr="0055119B">
              <w:t>To receive this document in another format</w:t>
            </w:r>
            <w:r>
              <w:t>,</w:t>
            </w:r>
            <w:r w:rsidRPr="0055119B">
              <w:t xml:space="preserve"> </w:t>
            </w:r>
            <w:hyperlink r:id="rId19" w:history="1">
              <w:r w:rsidR="00D40099" w:rsidRPr="005A0FDA">
                <w:rPr>
                  <w:rStyle w:val="Hyperlink"/>
                  <w:sz w:val="20"/>
                  <w:szCs w:val="20"/>
                </w:rPr>
                <w:t>email NEPT, First Aid and Investigations</w:t>
              </w:r>
            </w:hyperlink>
            <w:r w:rsidR="00D40099" w:rsidRPr="005A0FDA">
              <w:rPr>
                <w:color w:val="004C97"/>
                <w:sz w:val="20"/>
                <w:szCs w:val="20"/>
              </w:rPr>
              <w:t xml:space="preserve"> </w:t>
            </w:r>
            <w:r w:rsidR="00D40099" w:rsidRPr="005A0FDA">
              <w:rPr>
                <w:sz w:val="20"/>
                <w:szCs w:val="20"/>
              </w:rPr>
              <w:t>&lt; NEPTFirstAidRegulation@health.vic.gov.au&gt;.</w:t>
            </w:r>
          </w:p>
          <w:p w14:paraId="6B089E53" w14:textId="77777777" w:rsidR="00D40099" w:rsidRPr="0055119B" w:rsidRDefault="00D40099" w:rsidP="00D40099">
            <w:pPr>
              <w:pStyle w:val="Imprint"/>
            </w:pPr>
            <w:r w:rsidRPr="0055119B">
              <w:t>Authorised and published by the Victorian Government, 1 Treasury Place, Melbourne.</w:t>
            </w:r>
          </w:p>
          <w:p w14:paraId="44AECFFC" w14:textId="77777777" w:rsidR="00D40099" w:rsidRPr="0055119B" w:rsidRDefault="00D40099" w:rsidP="00D40099">
            <w:pPr>
              <w:pStyle w:val="Imprint"/>
            </w:pPr>
            <w:r w:rsidRPr="0055119B">
              <w:t xml:space="preserve">© State of Victoria, Australia, </w:t>
            </w:r>
            <w:r w:rsidRPr="001E2A36">
              <w:t>Department of Health</w:t>
            </w:r>
            <w:r w:rsidRPr="0055119B">
              <w:t xml:space="preserve">, </w:t>
            </w:r>
            <w:r>
              <w:rPr>
                <w:color w:val="004C97"/>
              </w:rPr>
              <w:t>September 2021</w:t>
            </w:r>
            <w:r w:rsidRPr="0055119B">
              <w:t>.</w:t>
            </w:r>
          </w:p>
          <w:p w14:paraId="197A4C2C" w14:textId="2751022E" w:rsidR="0055119B" w:rsidRDefault="0055119B" w:rsidP="00E33237">
            <w:pPr>
              <w:pStyle w:val="Imprint"/>
            </w:pPr>
            <w:r w:rsidRPr="0055119B">
              <w:t xml:space="preserve">Available at </w:t>
            </w:r>
            <w:hyperlink r:id="rId20" w:history="1">
              <w:r w:rsidR="00D40099" w:rsidRPr="00D40099">
                <w:rPr>
                  <w:rStyle w:val="Hyperlink"/>
                </w:rPr>
                <w:t>NEPT</w:t>
              </w:r>
            </w:hyperlink>
            <w:r w:rsidRPr="0055119B">
              <w:t xml:space="preserve"> &lt;</w:t>
            </w:r>
            <w:r w:rsidR="00D40099">
              <w:t xml:space="preserve"> </w:t>
            </w:r>
            <w:r w:rsidR="00D40099" w:rsidRPr="00D40099">
              <w:rPr>
                <w:color w:val="004C97"/>
              </w:rPr>
              <w:t>https://www2.health.vic.gov.au/hospitals-and-health-services/patient-care/non-emergency-transport</w:t>
            </w:r>
            <w:r w:rsidRPr="0055119B">
              <w:t>&gt;</w:t>
            </w:r>
          </w:p>
        </w:tc>
      </w:tr>
      <w:bookmarkEnd w:id="0"/>
    </w:tbl>
    <w:p w14:paraId="51413F0D"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F161E" w14:textId="77777777" w:rsidR="00D40099" w:rsidRDefault="00D40099">
      <w:r>
        <w:separator/>
      </w:r>
    </w:p>
  </w:endnote>
  <w:endnote w:type="continuationSeparator" w:id="0">
    <w:p w14:paraId="01DE1DF0" w14:textId="77777777" w:rsidR="00D40099" w:rsidRDefault="00D4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4B6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070EACE" wp14:editId="76ECA47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F6F76CC" wp14:editId="222D683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E019D28">
            <v:shapetype id="_x0000_t202" coordsize="21600,21600" o:spt="202" path="m,l,21600r21600,l21600,xe" w14:anchorId="6F6F76CC">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17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43040CC7" wp14:editId="0D6AFF5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924F167">
            <v:shapetype id="_x0000_t202" coordsize="21600,21600" o:spt="202" path="m,l,21600r21600,l21600,xe" w14:anchorId="43040CC7">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3D21" w14:textId="0010E447" w:rsidR="00373890" w:rsidRPr="00F65AA9" w:rsidRDefault="004E0106" w:rsidP="00F84FA0">
    <w:pPr>
      <w:pStyle w:val="Footer"/>
    </w:pPr>
    <w:r>
      <w:rPr>
        <w:noProof/>
      </w:rPr>
      <mc:AlternateContent>
        <mc:Choice Requires="wps">
          <w:drawing>
            <wp:anchor distT="0" distB="0" distL="114300" distR="114300" simplePos="0" relativeHeight="251676160" behindDoc="0" locked="0" layoutInCell="0" allowOverlap="1" wp14:anchorId="23121E29" wp14:editId="2241AFD4">
              <wp:simplePos x="0" y="0"/>
              <wp:positionH relativeFrom="page">
                <wp:posOffset>0</wp:posOffset>
              </wp:positionH>
              <wp:positionV relativeFrom="page">
                <wp:posOffset>10189210</wp:posOffset>
              </wp:positionV>
              <wp:extent cx="7560310" cy="311785"/>
              <wp:effectExtent l="0" t="0" r="0" b="12065"/>
              <wp:wrapNone/>
              <wp:docPr id="9" name="MSIPCMc93e49df88fae28ed589f43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321D3" w14:textId="0FDC5046" w:rsidR="004E0106" w:rsidRPr="004E0106" w:rsidRDefault="004E0106" w:rsidP="004E0106">
                          <w:pPr>
                            <w:spacing w:after="0"/>
                            <w:jc w:val="center"/>
                            <w:rPr>
                              <w:rFonts w:ascii="Arial Black" w:hAnsi="Arial Black"/>
                              <w:color w:val="000000"/>
                              <w:sz w:val="20"/>
                            </w:rPr>
                          </w:pPr>
                          <w:r w:rsidRPr="004E010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8593DA9">
            <v:shapetype id="_x0000_t202" coordsize="21600,21600" o:spt="202" path="m,l,21600r21600,l21600,xe" w14:anchorId="23121E29">
              <v:stroke joinstyle="miter"/>
              <v:path gradientshapeok="t" o:connecttype="rect"/>
            </v:shapetype>
            <v:shape id="MSIPCMc93e49df88fae28ed589f439"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lKrgIAAEwFAAAOAAAAZHJzL2Uyb0RvYy54bWysVN1v0zAQf0fif7D8wBMsSb+WlqVTKRpM&#10;6rZKHdqz69hNpMTn2e6agvjfOTtJNwZPiBf77n7n+z5fXDZ1RZ6EsSWojCZnMSVCcchLtcvot/ur&#10;Dykl1jGVswqUyOhRWHo5f/vm4qBnYgAFVLkwBI0oOzvojBbO6VkUWV6Imtkz0EIhKMHUzCFrdlFu&#10;2AGt11U0iONJdACTawNcWIvSzy1I58G+lIK7OymtcKTKKMbmwmnCufVnNL9gs51huih5Fwb7hyhq&#10;Vip0ejL1mTlG9qb8w1RdcgMWpDvjUEcgZclFyAGzSeJX2WwKpkXIBYtj9alM9v+Z5bdPa0PKPKNT&#10;ShSrsUU3m+v18oZPh2I0zWWaSiYGqcjH6VSOhqiVC8uxgj/ePe7BffzKbLGEXLTcbBqPzsfpcJK8&#10;72BR7grXgekIB6QDHsrcFZ18PB2f5OuKcVEL1b9pVa4AnDAt3Rm4VrloOgPttTZlzczxN60NTgCO&#10;Zqc36N7eg+4k8cnxSsjeJwp/+sk4aDvDAm00lsg1n6DBCe/lFoW+4Y00tb+xlQRxnLHjaa5E4whH&#10;4fl4Eg8ThDhiwyQ5T8feTPT8WhvrvgioiScyajDqME7saWVdq9qreGcKrsqqCrNbKXLI6GQ4jsOD&#10;E4LGK4U+fA5trJ5yzbYJ3R70eWwhP2J6BtrVsJpflRjDilm3ZgZ3AcPG/XZ3eMgK0Bd0FCUFmO9/&#10;k3t9HFFEKTngbmXUPu6ZEZRU1wqHd5qMRn4ZA4OEeSnd9lK1r5eAa5vgD6J5IL2uq3pSGqgfcP0X&#10;3htCTHH0mdFtTy4dcgjg98HFYhFoXDvN3EptNPemfTV9Ze+bB2Z0V36HjbuFfvvY7FUXWt22D4u9&#10;A1mGFvn6ttXsyo4rG5rcfS/+T3jJB63nT3D+C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2o9lKrgIAAEwFAAAOAAAA&#10;AAAAAAAAAAAAAC4CAABkcnMvZTJvRG9jLnhtbFBLAQItABQABgAIAAAAIQBIDV6a3wAAAAsBAAAP&#10;AAAAAAAAAAAAAAAAAAgFAABkcnMvZG93bnJldi54bWxQSwUGAAAAAAQABADzAAAAFAYAAAAA&#10;">
              <v:textbox inset=",0,,0">
                <w:txbxContent>
                  <w:p w:rsidRPr="004E0106" w:rsidR="004E0106" w:rsidP="004E0106" w:rsidRDefault="004E0106" w14:paraId="75F360E3" w14:textId="0FDC5046">
                    <w:pPr>
                      <w:spacing w:after="0"/>
                      <w:jc w:val="center"/>
                      <w:rPr>
                        <w:rFonts w:ascii="Arial Black" w:hAnsi="Arial Black"/>
                        <w:color w:val="000000"/>
                        <w:sz w:val="20"/>
                      </w:rPr>
                    </w:pPr>
                    <w:r w:rsidRPr="004E010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5CD38127" wp14:editId="390EA4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F85CEE8">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w14:anchorId="5CD38127">
              <v:textbox inset=",0,,0">
                <w:txbxContent>
                  <w:p w:rsidRPr="00B07FF7" w:rsidR="00B07FF7" w:rsidP="00B07FF7" w:rsidRDefault="00B07FF7" w14:paraId="17D1F485"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8F1B6" w14:textId="77777777" w:rsidR="00D40099" w:rsidRDefault="00D40099" w:rsidP="002862F1">
      <w:pPr>
        <w:spacing w:before="120"/>
      </w:pPr>
      <w:r>
        <w:separator/>
      </w:r>
    </w:p>
  </w:footnote>
  <w:footnote w:type="continuationSeparator" w:id="0">
    <w:p w14:paraId="3EDB7699" w14:textId="77777777" w:rsidR="00D40099" w:rsidRDefault="00D4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691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0CA"/>
    <w:rsid w:val="00041BF0"/>
    <w:rsid w:val="00042C8A"/>
    <w:rsid w:val="0004536B"/>
    <w:rsid w:val="00046B68"/>
    <w:rsid w:val="000527DD"/>
    <w:rsid w:val="000578B2"/>
    <w:rsid w:val="00060959"/>
    <w:rsid w:val="00060C8F"/>
    <w:rsid w:val="0006298A"/>
    <w:rsid w:val="000663CD"/>
    <w:rsid w:val="0007080C"/>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D92"/>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6AB1"/>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6328"/>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48E"/>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5C5B"/>
    <w:rsid w:val="00457122"/>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5929"/>
    <w:rsid w:val="004C6EEE"/>
    <w:rsid w:val="004C702B"/>
    <w:rsid w:val="004D0033"/>
    <w:rsid w:val="004D016B"/>
    <w:rsid w:val="004D1B22"/>
    <w:rsid w:val="004D23CC"/>
    <w:rsid w:val="004D36F2"/>
    <w:rsid w:val="004E0106"/>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66AAA"/>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C42"/>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2CD2"/>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266F"/>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0DB9"/>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099"/>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556"/>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46B9"/>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86F39"/>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4F03E1E"/>
    <w:rsid w:val="067DEFDE"/>
    <w:rsid w:val="09A253F6"/>
    <w:rsid w:val="0AD96B34"/>
    <w:rsid w:val="10F393B3"/>
    <w:rsid w:val="1A39A4A3"/>
    <w:rsid w:val="2395463C"/>
    <w:rsid w:val="2EC5E0A2"/>
    <w:rsid w:val="31CFA182"/>
    <w:rsid w:val="3276E5B3"/>
    <w:rsid w:val="37FA51CA"/>
    <w:rsid w:val="49043887"/>
    <w:rsid w:val="4C06062F"/>
    <w:rsid w:val="5A2DAE19"/>
    <w:rsid w:val="5CD491BF"/>
    <w:rsid w:val="689ED464"/>
    <w:rsid w:val="72E5C5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A14B1E3"/>
  <w15:docId w15:val="{69F21618-D7DE-49B8-A818-96047BB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normaltextrun">
    <w:name w:val="normaltextrun"/>
    <w:basedOn w:val="DefaultParagraphFont"/>
    <w:rsid w:val="000B3D92"/>
  </w:style>
  <w:style w:type="character" w:customStyle="1" w:styleId="eop">
    <w:name w:val="eop"/>
    <w:basedOn w:val="DefaultParagraphFont"/>
    <w:rsid w:val="000B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EPTFirstAidRegulation@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ettersafercare.vic.gov.au/notify-us/sentinel-events" TargetMode="External"/><Relationship Id="rId2" Type="http://schemas.openxmlformats.org/officeDocument/2006/relationships/customXml" Target="../customXml/item2.xml"/><Relationship Id="rId16" Type="http://schemas.openxmlformats.org/officeDocument/2006/relationships/hyperlink" Target="mailto:sentinel.events@safercare.vic.gov.au" TargetMode="External"/><Relationship Id="rId20" Type="http://schemas.openxmlformats.org/officeDocument/2006/relationships/hyperlink" Target="https://www2.health.vic.gov.au/hospitals-and-health-services/patient-care/non-emergency-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ettersafercare.vic.gov.au/notify-us/sentinel-events/what-to-re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9E3BF-4F46-40DA-B7F2-D8357903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51ee8a1-a92c-40bc-9e81-d80532d07b4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4</DocSecurity>
  <Lines>32</Lines>
  <Paragraphs>9</Paragraphs>
  <ScaleCrop>false</ScaleCrop>
  <Manager/>
  <Company>Victoria State Government, Department of Health</Company>
  <LinksUpToDate>false</LinksUpToDate>
  <CharactersWithSpaces>4586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Sentinel events</dc:title>
  <dc:subject>Sentinel events</dc:subject>
  <dc:creator>Department of Health</dc:creator>
  <cp:keywords/>
  <dc:description/>
  <cp:revision>2</cp:revision>
  <cp:lastPrinted>2020-03-30T03:28:00Z</cp:lastPrinted>
  <dcterms:created xsi:type="dcterms:W3CDTF">2021-12-22T06:31:00Z</dcterms:created>
  <dcterms:modified xsi:type="dcterms:W3CDTF">2021-12-22T06:31:00Z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2021-12-22T06:31:25Z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