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748EC5" w14:textId="77777777" w:rsidR="0074696E" w:rsidRPr="004C6EEE" w:rsidRDefault="0074696E" w:rsidP="00EC40D5">
      <w:pPr>
        <w:pStyle w:val="Sectionbreakfirstpage"/>
      </w:pPr>
    </w:p>
    <w:p w14:paraId="4A95D3C3" w14:textId="77777777" w:rsidR="00A62D44" w:rsidRPr="004C6EEE" w:rsidRDefault="00BC63D9" w:rsidP="00EC40D5">
      <w:pPr>
        <w:pStyle w:val="Sectionbreakfirstpage"/>
        <w:sectPr w:rsidR="00A62D44" w:rsidRPr="004C6EEE" w:rsidSect="00E62622">
          <w:headerReference w:type="even" r:id="rId11"/>
          <w:headerReference w:type="default" r:id="rId12"/>
          <w:footerReference w:type="even" r:id="rId13"/>
          <w:footerReference w:type="default" r:id="rId14"/>
          <w:headerReference w:type="first" r:id="rId15"/>
          <w:footerReference w:type="first" r:id="rId16"/>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4F1CB0E9" wp14:editId="1ABBB6A9">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7"/>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52D84A9F" w14:textId="77777777" w:rsidTr="00B07FF7">
        <w:trPr>
          <w:trHeight w:val="622"/>
        </w:trPr>
        <w:tc>
          <w:tcPr>
            <w:tcW w:w="10348" w:type="dxa"/>
            <w:tcMar>
              <w:top w:w="1531" w:type="dxa"/>
              <w:left w:w="0" w:type="dxa"/>
              <w:right w:w="0" w:type="dxa"/>
            </w:tcMar>
          </w:tcPr>
          <w:p w14:paraId="70E9C285" w14:textId="6E8D433D" w:rsidR="003B5733" w:rsidRPr="003B5733" w:rsidRDefault="00690CFC" w:rsidP="003B5733">
            <w:pPr>
              <w:pStyle w:val="Documenttitle"/>
            </w:pPr>
            <w:r>
              <w:t>Quality Assurance Plan</w:t>
            </w:r>
          </w:p>
        </w:tc>
      </w:tr>
      <w:tr w:rsidR="003B5733" w14:paraId="5B64C3EC" w14:textId="77777777" w:rsidTr="00B07FF7">
        <w:tc>
          <w:tcPr>
            <w:tcW w:w="10348" w:type="dxa"/>
          </w:tcPr>
          <w:p w14:paraId="4EB39B97" w14:textId="3B2F2EC0" w:rsidR="003B5733" w:rsidRPr="00A1389F" w:rsidRDefault="00D40099" w:rsidP="005F44C0">
            <w:pPr>
              <w:pStyle w:val="Documentsubtitle"/>
            </w:pPr>
            <w:r>
              <w:t>Non emergency patient transport</w:t>
            </w:r>
          </w:p>
        </w:tc>
      </w:tr>
      <w:tr w:rsidR="003B5733" w14:paraId="4B7F7A0D" w14:textId="77777777" w:rsidTr="00B07FF7">
        <w:tc>
          <w:tcPr>
            <w:tcW w:w="10348" w:type="dxa"/>
          </w:tcPr>
          <w:p w14:paraId="43BD2D4B" w14:textId="77777777" w:rsidR="003B5733" w:rsidRPr="001E5058" w:rsidRDefault="00BC0D5E" w:rsidP="001E5058">
            <w:pPr>
              <w:pStyle w:val="Bannermarking"/>
            </w:pPr>
            <w:r>
              <w:fldChar w:fldCharType="begin"/>
            </w:r>
            <w:r>
              <w:instrText xml:space="preserve"> FILLIN  "Type the protective marking" \d OFFICIAL \o  \* MERGEFORMAT </w:instrText>
            </w:r>
            <w:r>
              <w:fldChar w:fldCharType="separate"/>
            </w:r>
            <w:r w:rsidR="00D40099">
              <w:t>OFFICIAL</w:t>
            </w:r>
            <w:r>
              <w:fldChar w:fldCharType="end"/>
            </w:r>
          </w:p>
        </w:tc>
      </w:tr>
    </w:tbl>
    <w:p w14:paraId="7E7406DB"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3A672B5D" w14:textId="07259CD8" w:rsidR="00690CFC" w:rsidRDefault="7491F6DC" w:rsidP="62D8152B">
      <w:pPr>
        <w:pStyle w:val="Heading1"/>
      </w:pPr>
      <w:r>
        <w:t>Reference</w:t>
      </w:r>
    </w:p>
    <w:p w14:paraId="75710560" w14:textId="74A57D69" w:rsidR="00690CFC" w:rsidRDefault="7491F6DC" w:rsidP="62D8152B">
      <w:pPr>
        <w:pStyle w:val="Body"/>
        <w:rPr>
          <w:szCs w:val="21"/>
        </w:rPr>
      </w:pPr>
      <w:r w:rsidRPr="62D8152B">
        <w:rPr>
          <w:szCs w:val="21"/>
        </w:rPr>
        <w:t>Non-Emergency Patient Transport Regulations 2016 Division 2</w:t>
      </w:r>
    </w:p>
    <w:p w14:paraId="042BEB1A" w14:textId="2EA46F42" w:rsidR="00690CFC" w:rsidRDefault="7491F6DC" w:rsidP="62D8152B">
      <w:pPr>
        <w:pStyle w:val="Body"/>
        <w:rPr>
          <w:szCs w:val="21"/>
        </w:rPr>
      </w:pPr>
      <w:r w:rsidRPr="62D8152B">
        <w:rPr>
          <w:szCs w:val="21"/>
        </w:rPr>
        <w:t xml:space="preserve">Non-Emergency Patient Transport Regulations 2016 Part 7, Regulations 41-42 </w:t>
      </w:r>
    </w:p>
    <w:p w14:paraId="3ADDCD3B" w14:textId="759AF625" w:rsidR="00690CFC" w:rsidRDefault="00690CFC" w:rsidP="00690CFC">
      <w:pPr>
        <w:pStyle w:val="Heading1"/>
        <w:rPr>
          <w:rFonts w:eastAsia="Times" w:cs="Times New Roman"/>
          <w:sz w:val="21"/>
          <w:szCs w:val="21"/>
        </w:rPr>
      </w:pPr>
      <w:r>
        <w:t>Introduction</w:t>
      </w:r>
      <w:bookmarkStart w:id="0" w:name="_Toc63347079"/>
    </w:p>
    <w:p w14:paraId="302B53A7" w14:textId="76BD50DB" w:rsidR="00C402DE" w:rsidRPr="00C402DE" w:rsidRDefault="00F055F5" w:rsidP="00C402DE">
      <w:pPr>
        <w:pStyle w:val="Body"/>
      </w:pPr>
      <w:r>
        <w:t xml:space="preserve">A </w:t>
      </w:r>
      <w:r w:rsidR="00C402DE">
        <w:t xml:space="preserve">Quality Assurance plan </w:t>
      </w:r>
      <w:r>
        <w:t xml:space="preserve">is </w:t>
      </w:r>
      <w:r w:rsidR="00C402DE">
        <w:t>an</w:t>
      </w:r>
      <w:r w:rsidR="00C402DE" w:rsidDel="00F055F5">
        <w:t xml:space="preserve"> </w:t>
      </w:r>
      <w:r>
        <w:t xml:space="preserve">important </w:t>
      </w:r>
      <w:r w:rsidR="00C402DE">
        <w:t xml:space="preserve">component of health care provision. Quality assurance plans allow an organisation to identify, assess, correct, and monitor important aspects of service provision to enhance patient safety and efficiency of service delivery. The 2021 amendments to the </w:t>
      </w:r>
      <w:r w:rsidR="00C402DE" w:rsidDel="00315D1B">
        <w:t xml:space="preserve">regulations of </w:t>
      </w:r>
      <w:r w:rsidR="00C402DE">
        <w:t>Non</w:t>
      </w:r>
      <w:r w:rsidR="039BB506">
        <w:t>-</w:t>
      </w:r>
      <w:r w:rsidR="00C402DE">
        <w:t xml:space="preserve">Emergency Patient Transport </w:t>
      </w:r>
      <w:r w:rsidR="00B47783">
        <w:t xml:space="preserve"> Regulations </w:t>
      </w:r>
      <w:r w:rsidR="00E91EE2">
        <w:t>2016</w:t>
      </w:r>
      <w:r w:rsidR="00C402DE">
        <w:t xml:space="preserve"> stipulate that a NEPT licence holder must provide and maintain a quality assurance plan accredited by an </w:t>
      </w:r>
      <w:r w:rsidR="007E5B9A">
        <w:t xml:space="preserve">accreditation </w:t>
      </w:r>
      <w:r w:rsidR="00C402DE">
        <w:t>body.</w:t>
      </w:r>
    </w:p>
    <w:bookmarkEnd w:id="0"/>
    <w:p w14:paraId="0C74E8D3" w14:textId="3C41A2FB" w:rsidR="00BF1F64" w:rsidRDefault="007508CC" w:rsidP="00BF1F64">
      <w:pPr>
        <w:pStyle w:val="Heading2"/>
      </w:pPr>
      <w:r>
        <w:t>Content of Quality Assurance Plan</w:t>
      </w:r>
      <w:bookmarkStart w:id="1" w:name="_Toc410717546"/>
      <w:bookmarkStart w:id="2" w:name="_Toc63347080"/>
    </w:p>
    <w:p w14:paraId="1B38D629" w14:textId="14B7E255" w:rsidR="00BF1F64" w:rsidRDefault="00BF1F64" w:rsidP="00BF1F64">
      <w:pPr>
        <w:pStyle w:val="Body"/>
      </w:pPr>
      <w:r>
        <w:t>All Quality assurance plans must contain detail about the following:</w:t>
      </w:r>
    </w:p>
    <w:p w14:paraId="5F63E9E4" w14:textId="60DC84CF" w:rsidR="00BF1F64" w:rsidRDefault="00BF1F64" w:rsidP="00BF1F64">
      <w:pPr>
        <w:pStyle w:val="Bullet1"/>
      </w:pPr>
      <w:bookmarkStart w:id="3" w:name="_Toc410717547"/>
      <w:bookmarkStart w:id="4" w:name="_Toc63347081"/>
      <w:bookmarkEnd w:id="1"/>
      <w:bookmarkEnd w:id="2"/>
      <w:r>
        <w:t>Infection control</w:t>
      </w:r>
    </w:p>
    <w:p w14:paraId="06DFD644" w14:textId="2FCD92E7" w:rsidR="00BF1F64" w:rsidRDefault="00BF1F64" w:rsidP="00BF1F64">
      <w:pPr>
        <w:pStyle w:val="Bullet1"/>
      </w:pPr>
      <w:r>
        <w:t>Active clinical monitoring of patients</w:t>
      </w:r>
    </w:p>
    <w:p w14:paraId="7C897DB5" w14:textId="4B538B38" w:rsidR="00BF1F64" w:rsidRDefault="00BF1F64" w:rsidP="00BF1F64">
      <w:pPr>
        <w:pStyle w:val="Bullet1"/>
      </w:pPr>
      <w:r>
        <w:t>Management of critical incidents</w:t>
      </w:r>
    </w:p>
    <w:p w14:paraId="5F10CB7E" w14:textId="4344C97C" w:rsidR="00BF1F64" w:rsidRDefault="00BF1F64" w:rsidP="00BF1F64">
      <w:pPr>
        <w:pStyle w:val="Bullet1"/>
      </w:pPr>
      <w:r>
        <w:t xml:space="preserve">Management of deteriorating patients </w:t>
      </w:r>
    </w:p>
    <w:p w14:paraId="40F27BFA" w14:textId="1853C386" w:rsidR="00BF1F64" w:rsidRDefault="00BF1F64" w:rsidP="00BF1F64">
      <w:pPr>
        <w:pStyle w:val="Bullet1"/>
      </w:pPr>
      <w:r>
        <w:t>Staff qualifications and training, assessment of qualifications and maintenance of currency of qualifications</w:t>
      </w:r>
    </w:p>
    <w:p w14:paraId="6080A140" w14:textId="7DB0B25E" w:rsidR="00BF1F64" w:rsidRDefault="00BF1F64" w:rsidP="00BF1F64">
      <w:pPr>
        <w:pStyle w:val="Bullet1"/>
      </w:pPr>
      <w:r>
        <w:t>Recognition of prior learning and overseas qualifications of staff</w:t>
      </w:r>
    </w:p>
    <w:p w14:paraId="7EB7CE0F" w14:textId="4AE5376A" w:rsidR="00BF1F64" w:rsidRDefault="00BF1F64" w:rsidP="00BF1F64">
      <w:pPr>
        <w:pStyle w:val="Bullet1"/>
      </w:pPr>
      <w:r>
        <w:t>Access to clinical advice for crew members</w:t>
      </w:r>
    </w:p>
    <w:p w14:paraId="568BCBF3" w14:textId="4A1409C4" w:rsidR="00BF1F64" w:rsidRDefault="00BF1F64" w:rsidP="00BF1F64">
      <w:pPr>
        <w:pStyle w:val="Bullet1"/>
      </w:pPr>
      <w:r>
        <w:t>Drug security, including storage, use, disposal and records</w:t>
      </w:r>
    </w:p>
    <w:p w14:paraId="18A7D51B" w14:textId="2D27183D" w:rsidR="00BF1F64" w:rsidRDefault="00BF1F64" w:rsidP="00BF1F64">
      <w:pPr>
        <w:pStyle w:val="Bullet1"/>
      </w:pPr>
      <w:r>
        <w:t>Transportation of personal belongings including mobility devices</w:t>
      </w:r>
    </w:p>
    <w:p w14:paraId="4FD9BA7F" w14:textId="53109E6D" w:rsidR="00BF1F64" w:rsidRDefault="00BF1F64" w:rsidP="00BF1F64">
      <w:pPr>
        <w:pStyle w:val="Bullet1"/>
      </w:pPr>
      <w:r>
        <w:t>Patient records</w:t>
      </w:r>
    </w:p>
    <w:p w14:paraId="3F9AA8D8" w14:textId="3B94645D" w:rsidR="00BF1F64" w:rsidRDefault="00BF1F64" w:rsidP="00BF1F64">
      <w:pPr>
        <w:pStyle w:val="Bullet1"/>
      </w:pPr>
      <w:r>
        <w:t>Complaints management</w:t>
      </w:r>
    </w:p>
    <w:p w14:paraId="46DB0A38" w14:textId="5A0245A1" w:rsidR="00BF1F64" w:rsidRDefault="00BF1F64" w:rsidP="00BF1F64">
      <w:pPr>
        <w:pStyle w:val="Bullet1"/>
      </w:pPr>
      <w:r>
        <w:t>Clinical handover process</w:t>
      </w:r>
    </w:p>
    <w:p w14:paraId="24361FB6" w14:textId="6C121EA9" w:rsidR="00BF1F64" w:rsidRDefault="00BF1F64" w:rsidP="00BF1F64">
      <w:pPr>
        <w:pStyle w:val="Bullet1"/>
      </w:pPr>
      <w:r>
        <w:t>Vehicle equipment</w:t>
      </w:r>
    </w:p>
    <w:p w14:paraId="0E2F22D2" w14:textId="697C8527" w:rsidR="00BF1F64" w:rsidRDefault="00BF1F64" w:rsidP="00BF1F64">
      <w:pPr>
        <w:pStyle w:val="Bullet1"/>
      </w:pPr>
      <w:r>
        <w:t>Vehicle crewing</w:t>
      </w:r>
    </w:p>
    <w:p w14:paraId="19FFCF5E" w14:textId="2D602B09" w:rsidR="00BF1F64" w:rsidRDefault="00BF1F64" w:rsidP="00BF1F64">
      <w:pPr>
        <w:pStyle w:val="Bullet1"/>
      </w:pPr>
      <w:r>
        <w:t>Vehicle and equipment maintenance and repairs to vehicles and equipment</w:t>
      </w:r>
    </w:p>
    <w:p w14:paraId="5D5FBEC7" w14:textId="3499278F" w:rsidR="00BF1F64" w:rsidRDefault="00BF1F64" w:rsidP="00BF1F64">
      <w:pPr>
        <w:pStyle w:val="Bullet1"/>
      </w:pPr>
      <w:r>
        <w:t>Vehicle and equipment cleaning</w:t>
      </w:r>
    </w:p>
    <w:p w14:paraId="3504C4DD" w14:textId="31BB5B95" w:rsidR="00BF1F64" w:rsidRDefault="00BF1F64" w:rsidP="00BF1F64">
      <w:pPr>
        <w:pStyle w:val="Bullet1"/>
      </w:pPr>
      <w:r>
        <w:t>Complaints register including the process for investigating complaints</w:t>
      </w:r>
    </w:p>
    <w:p w14:paraId="64775160" w14:textId="6809B10E" w:rsidR="00BF1F64" w:rsidRDefault="000762EC" w:rsidP="00BF1F64">
      <w:pPr>
        <w:pStyle w:val="Heading2"/>
      </w:pPr>
      <w:r>
        <w:lastRenderedPageBreak/>
        <w:t xml:space="preserve">Compliance and audit </w:t>
      </w:r>
    </w:p>
    <w:bookmarkEnd w:id="3"/>
    <w:bookmarkEnd w:id="4"/>
    <w:p w14:paraId="69804C7B" w14:textId="7B90F6E8" w:rsidR="000762EC" w:rsidRDefault="000762EC" w:rsidP="000762EC">
      <w:pPr>
        <w:pStyle w:val="Body"/>
        <w:numPr>
          <w:ilvl w:val="0"/>
          <w:numId w:val="44"/>
        </w:numPr>
      </w:pPr>
      <w:r>
        <w:t>All quality assurance plans must be accredited by a recognised accreditation body</w:t>
      </w:r>
    </w:p>
    <w:p w14:paraId="035D2B7B" w14:textId="37CFA926" w:rsidR="000762EC" w:rsidRDefault="000762EC" w:rsidP="000762EC">
      <w:pPr>
        <w:pStyle w:val="Body"/>
        <w:numPr>
          <w:ilvl w:val="0"/>
          <w:numId w:val="44"/>
        </w:numPr>
      </w:pPr>
      <w:r>
        <w:t>If the quality assurance plan is audited by an accreditation body</w:t>
      </w:r>
      <w:r w:rsidR="00A461C3">
        <w:t>,</w:t>
      </w:r>
      <w:r>
        <w:t xml:space="preserve"> then the licence holder must supply a copy of the audit report for the Department of Health</w:t>
      </w:r>
      <w:r w:rsidR="00C95A1F">
        <w:t xml:space="preserve"> (the department)</w:t>
      </w:r>
      <w:r>
        <w:t xml:space="preserve"> no later than 14 days after receiving a copy of the report from the accreditation body</w:t>
      </w:r>
    </w:p>
    <w:p w14:paraId="00B22644" w14:textId="00C1DE59" w:rsidR="000762EC" w:rsidRDefault="000762EC" w:rsidP="000762EC">
      <w:pPr>
        <w:pStyle w:val="Body"/>
        <w:numPr>
          <w:ilvl w:val="0"/>
          <w:numId w:val="44"/>
        </w:numPr>
      </w:pPr>
      <w:r>
        <w:t>If the quality assurance plan is audited and a notification is generated of a risk of high probability of harm or injury to a patient</w:t>
      </w:r>
      <w:r w:rsidR="00846225">
        <w:t>,</w:t>
      </w:r>
      <w:r>
        <w:t xml:space="preserve"> the licence holder must notify the </w:t>
      </w:r>
      <w:r w:rsidR="00C95A1F">
        <w:t xml:space="preserve">department </w:t>
      </w:r>
      <w:r>
        <w:t>within 24 hours of receiving the report from the accreditation body</w:t>
      </w:r>
    </w:p>
    <w:p w14:paraId="11F2294F" w14:textId="2FCF8B84" w:rsidR="003C4576" w:rsidRPr="003C4576" w:rsidRDefault="000762EC" w:rsidP="003C4576">
      <w:pPr>
        <w:pStyle w:val="Body"/>
        <w:numPr>
          <w:ilvl w:val="0"/>
          <w:numId w:val="44"/>
        </w:numPr>
      </w:pPr>
      <w:r>
        <w:t xml:space="preserve">If the accreditation of the quality assurance plan is revoked the licence holder must not operate a NEPT service and must immediately report the revocation to the </w:t>
      </w:r>
      <w:r w:rsidR="00C95A1F">
        <w:t>d</w:t>
      </w:r>
      <w:r>
        <w:t>epartment</w:t>
      </w:r>
      <w:r w:rsidR="00C95A1F">
        <w:t>.</w:t>
      </w:r>
    </w:p>
    <w:p w14:paraId="655E2D2D" w14:textId="4F50005A" w:rsidR="23909083" w:rsidRDefault="003E10C2" w:rsidP="00291D0E">
      <w:pPr>
        <w:pStyle w:val="Heading2"/>
        <w:rPr>
          <w:szCs w:val="21"/>
        </w:rPr>
      </w:pPr>
      <w:r>
        <w:t>New NEPT providers</w:t>
      </w:r>
    </w:p>
    <w:p w14:paraId="4B2A593B" w14:textId="03B159E4" w:rsidR="00B07312" w:rsidRDefault="00342A1C" w:rsidP="23909083">
      <w:pPr>
        <w:pStyle w:val="Body"/>
        <w:rPr>
          <w:szCs w:val="21"/>
        </w:rPr>
      </w:pPr>
      <w:r>
        <w:rPr>
          <w:szCs w:val="21"/>
        </w:rPr>
        <w:t xml:space="preserve">When applying for a NEPT licence, </w:t>
      </w:r>
      <w:r w:rsidR="005B4ED6">
        <w:rPr>
          <w:szCs w:val="21"/>
        </w:rPr>
        <w:t xml:space="preserve">the </w:t>
      </w:r>
      <w:r w:rsidR="00C2183B">
        <w:rPr>
          <w:szCs w:val="21"/>
        </w:rPr>
        <w:t>provider</w:t>
      </w:r>
      <w:r w:rsidR="005B4ED6">
        <w:rPr>
          <w:szCs w:val="21"/>
        </w:rPr>
        <w:t xml:space="preserve"> must supply</w:t>
      </w:r>
      <w:r w:rsidR="00C2183B">
        <w:rPr>
          <w:szCs w:val="21"/>
        </w:rPr>
        <w:t xml:space="preserve"> with their application:</w:t>
      </w:r>
    </w:p>
    <w:p w14:paraId="45D2290A" w14:textId="685A3B0D" w:rsidR="00C2183B" w:rsidRPr="00291D0E" w:rsidRDefault="00975106" w:rsidP="00975106">
      <w:pPr>
        <w:pStyle w:val="Bullet1"/>
      </w:pPr>
      <w:r>
        <w:rPr>
          <w:rFonts w:cs="Arial"/>
          <w:shd w:val="clear" w:color="auto" w:fill="F8F8F8"/>
        </w:rPr>
        <w:t xml:space="preserve">a certificate certifying that the applicant's quality assurance plan has been accredited by an accreditation body; </w:t>
      </w:r>
      <w:r w:rsidRPr="00291D0E">
        <w:rPr>
          <w:rFonts w:cs="Arial"/>
          <w:b/>
          <w:bCs/>
          <w:shd w:val="clear" w:color="auto" w:fill="F8F8F8"/>
        </w:rPr>
        <w:t>or</w:t>
      </w:r>
    </w:p>
    <w:p w14:paraId="68984FB7" w14:textId="5DDC0546" w:rsidR="00975106" w:rsidRDefault="00A03BA1" w:rsidP="00291D0E">
      <w:pPr>
        <w:pStyle w:val="Bullet1"/>
      </w:pPr>
      <w:r>
        <w:rPr>
          <w:rFonts w:cs="Arial"/>
          <w:shd w:val="clear" w:color="auto" w:fill="F8F8F8"/>
        </w:rPr>
        <w:t xml:space="preserve">a draft quality assurance plan </w:t>
      </w:r>
      <w:r w:rsidR="00C640FB">
        <w:rPr>
          <w:rFonts w:cs="Arial"/>
          <w:shd w:val="clear" w:color="auto" w:fill="F8F8F8"/>
        </w:rPr>
        <w:t xml:space="preserve">with the </w:t>
      </w:r>
      <w:r w:rsidR="00E273CC">
        <w:rPr>
          <w:rFonts w:cs="Arial"/>
          <w:shd w:val="clear" w:color="auto" w:fill="F8F8F8"/>
        </w:rPr>
        <w:t xml:space="preserve">required contents </w:t>
      </w:r>
      <w:r>
        <w:rPr>
          <w:rFonts w:cs="Arial"/>
          <w:shd w:val="clear" w:color="auto" w:fill="F8F8F8"/>
        </w:rPr>
        <w:t xml:space="preserve">and a report </w:t>
      </w:r>
      <w:r w:rsidR="00E273CC">
        <w:rPr>
          <w:rFonts w:cs="Arial"/>
          <w:shd w:val="clear" w:color="auto" w:fill="F8F8F8"/>
        </w:rPr>
        <w:t>(</w:t>
      </w:r>
      <w:r w:rsidR="00486221">
        <w:rPr>
          <w:rFonts w:cs="Arial"/>
          <w:shd w:val="clear" w:color="auto" w:fill="F8F8F8"/>
        </w:rPr>
        <w:t xml:space="preserve">gap analysis) </w:t>
      </w:r>
      <w:r>
        <w:rPr>
          <w:rFonts w:cs="Arial"/>
          <w:shd w:val="clear" w:color="auto" w:fill="F8F8F8"/>
        </w:rPr>
        <w:t>from an accreditation body that sets out the steps that</w:t>
      </w:r>
      <w:r w:rsidR="00E273CC">
        <w:rPr>
          <w:rFonts w:cs="Arial"/>
          <w:shd w:val="clear" w:color="auto" w:fill="F8F8F8"/>
        </w:rPr>
        <w:t xml:space="preserve"> </w:t>
      </w:r>
      <w:r>
        <w:rPr>
          <w:rFonts w:cs="Arial"/>
          <w:shd w:val="clear" w:color="auto" w:fill="F8F8F8"/>
        </w:rPr>
        <w:t xml:space="preserve">must </w:t>
      </w:r>
      <w:r w:rsidR="00CB6504">
        <w:rPr>
          <w:rFonts w:cs="Arial"/>
          <w:shd w:val="clear" w:color="auto" w:fill="F8F8F8"/>
        </w:rPr>
        <w:t xml:space="preserve">be </w:t>
      </w:r>
      <w:r>
        <w:rPr>
          <w:rFonts w:cs="Arial"/>
          <w:shd w:val="clear" w:color="auto" w:fill="F8F8F8"/>
        </w:rPr>
        <w:t>take</w:t>
      </w:r>
      <w:r w:rsidR="00CB6504">
        <w:rPr>
          <w:rFonts w:cs="Arial"/>
          <w:shd w:val="clear" w:color="auto" w:fill="F8F8F8"/>
        </w:rPr>
        <w:t>n</w:t>
      </w:r>
      <w:r>
        <w:rPr>
          <w:rFonts w:cs="Arial"/>
          <w:shd w:val="clear" w:color="auto" w:fill="F8F8F8"/>
        </w:rPr>
        <w:t xml:space="preserve"> for the</w:t>
      </w:r>
      <w:r w:rsidR="00486221">
        <w:rPr>
          <w:rFonts w:cs="Arial"/>
          <w:shd w:val="clear" w:color="auto" w:fill="F8F8F8"/>
        </w:rPr>
        <w:t xml:space="preserve"> quality assurance</w:t>
      </w:r>
      <w:r>
        <w:rPr>
          <w:rFonts w:cs="Arial"/>
          <w:shd w:val="clear" w:color="auto" w:fill="F8F8F8"/>
        </w:rPr>
        <w:t xml:space="preserve"> plan to be accredited by that</w:t>
      </w:r>
      <w:r w:rsidR="00CB6504">
        <w:rPr>
          <w:rFonts w:cs="Arial"/>
          <w:shd w:val="clear" w:color="auto" w:fill="F8F8F8"/>
        </w:rPr>
        <w:t xml:space="preserve"> </w:t>
      </w:r>
      <w:r>
        <w:rPr>
          <w:rFonts w:cs="Arial"/>
          <w:shd w:val="clear" w:color="auto" w:fill="F8F8F8"/>
        </w:rPr>
        <w:t>body within 3</w:t>
      </w:r>
      <w:r w:rsidR="00CB6504">
        <w:rPr>
          <w:rFonts w:cs="Arial"/>
          <w:shd w:val="clear" w:color="auto" w:fill="F8F8F8"/>
        </w:rPr>
        <w:t xml:space="preserve"> </w:t>
      </w:r>
      <w:r>
        <w:rPr>
          <w:rFonts w:cs="Arial"/>
          <w:shd w:val="clear" w:color="auto" w:fill="F8F8F8"/>
        </w:rPr>
        <w:t>months after</w:t>
      </w:r>
      <w:r w:rsidR="00CB6504">
        <w:rPr>
          <w:rFonts w:cs="Arial"/>
          <w:shd w:val="clear" w:color="auto" w:fill="F8F8F8"/>
        </w:rPr>
        <w:t xml:space="preserve"> </w:t>
      </w:r>
      <w:r>
        <w:rPr>
          <w:rFonts w:cs="Arial"/>
          <w:shd w:val="clear" w:color="auto" w:fill="F8F8F8"/>
        </w:rPr>
        <w:t>the licence</w:t>
      </w:r>
      <w:r w:rsidR="00CB6504">
        <w:rPr>
          <w:rFonts w:cs="Arial"/>
          <w:shd w:val="clear" w:color="auto" w:fill="F8F8F8"/>
        </w:rPr>
        <w:t xml:space="preserve"> is granted</w:t>
      </w:r>
      <w:r>
        <w:rPr>
          <w:rFonts w:cs="Arial"/>
          <w:shd w:val="clear" w:color="auto" w:fill="F8F8F8"/>
        </w:rPr>
        <w:t>.</w:t>
      </w:r>
    </w:p>
    <w:p w14:paraId="25A01C31" w14:textId="0FFC6D53" w:rsidR="6DDEBFDF" w:rsidRDefault="6DDEBFDF" w:rsidP="23909083">
      <w:pPr>
        <w:pStyle w:val="Heading1"/>
      </w:pPr>
      <w:r>
        <w:t xml:space="preserve">Complaints </w:t>
      </w:r>
      <w:r w:rsidR="00986FB5">
        <w:t>Management</w:t>
      </w:r>
    </w:p>
    <w:p w14:paraId="5A742A05" w14:textId="0FEF1450" w:rsidR="6DDEBFDF" w:rsidRDefault="008413D6" w:rsidP="57682E14">
      <w:pPr>
        <w:pStyle w:val="Body"/>
        <w:rPr>
          <w:szCs w:val="21"/>
        </w:rPr>
      </w:pPr>
      <w:r>
        <w:rPr>
          <w:szCs w:val="21"/>
        </w:rPr>
        <w:t xml:space="preserve">The quality assurance plan must include </w:t>
      </w:r>
      <w:r w:rsidR="00010896">
        <w:rPr>
          <w:szCs w:val="21"/>
        </w:rPr>
        <w:t xml:space="preserve">detail about the provider’s processes for complaints management. </w:t>
      </w:r>
      <w:r w:rsidR="6DDEBFDF" w:rsidRPr="57682E14">
        <w:rPr>
          <w:szCs w:val="21"/>
        </w:rPr>
        <w:t>It is a requirement for an NEPT licence holder to establish and maintain a complaints register to keep track of all complaints received about the service. These complaints may be made by any means either orally or in writing.</w:t>
      </w:r>
    </w:p>
    <w:p w14:paraId="4CA7CB7C" w14:textId="457F8E20" w:rsidR="6DDEBFDF" w:rsidRDefault="6DDEBFDF" w:rsidP="57682E14">
      <w:pPr>
        <w:pStyle w:val="Body"/>
        <w:rPr>
          <w:szCs w:val="21"/>
        </w:rPr>
      </w:pPr>
      <w:r w:rsidRPr="57682E14">
        <w:rPr>
          <w:szCs w:val="21"/>
        </w:rPr>
        <w:t>The complaints register must include the following information about each complaint made:</w:t>
      </w:r>
    </w:p>
    <w:p w14:paraId="7F122DC4" w14:textId="4021BF83" w:rsidR="6DDEBFDF" w:rsidRDefault="6DDEBFDF" w:rsidP="57682E14">
      <w:pPr>
        <w:pStyle w:val="Body"/>
        <w:numPr>
          <w:ilvl w:val="0"/>
          <w:numId w:val="45"/>
        </w:numPr>
        <w:rPr>
          <w:rFonts w:eastAsia="Arial" w:cs="Arial"/>
          <w:szCs w:val="21"/>
        </w:rPr>
      </w:pPr>
      <w:r w:rsidRPr="57682E14">
        <w:rPr>
          <w:szCs w:val="21"/>
        </w:rPr>
        <w:t>The name of the patient</w:t>
      </w:r>
    </w:p>
    <w:p w14:paraId="6CFC7F69" w14:textId="5299D814" w:rsidR="6DDEBFDF" w:rsidRDefault="6DDEBFDF" w:rsidP="57682E14">
      <w:pPr>
        <w:pStyle w:val="Body"/>
        <w:numPr>
          <w:ilvl w:val="0"/>
          <w:numId w:val="45"/>
        </w:numPr>
        <w:rPr>
          <w:szCs w:val="21"/>
        </w:rPr>
      </w:pPr>
      <w:r w:rsidRPr="57682E14">
        <w:rPr>
          <w:szCs w:val="21"/>
        </w:rPr>
        <w:t>The patient’s pick-up location and final destination</w:t>
      </w:r>
    </w:p>
    <w:p w14:paraId="0D663245" w14:textId="1A5DA66F" w:rsidR="6DDEBFDF" w:rsidRDefault="6DDEBFDF" w:rsidP="57682E14">
      <w:pPr>
        <w:pStyle w:val="Body"/>
        <w:numPr>
          <w:ilvl w:val="0"/>
          <w:numId w:val="45"/>
        </w:numPr>
        <w:rPr>
          <w:szCs w:val="21"/>
        </w:rPr>
      </w:pPr>
      <w:r w:rsidRPr="57682E14">
        <w:rPr>
          <w:szCs w:val="21"/>
        </w:rPr>
        <w:t>The nature of the complaint</w:t>
      </w:r>
    </w:p>
    <w:p w14:paraId="723CFC61" w14:textId="798ADD2E" w:rsidR="6DDEBFDF" w:rsidRDefault="6DDEBFDF" w:rsidP="57682E14">
      <w:pPr>
        <w:pStyle w:val="Body"/>
        <w:numPr>
          <w:ilvl w:val="0"/>
          <w:numId w:val="45"/>
        </w:numPr>
        <w:rPr>
          <w:szCs w:val="21"/>
        </w:rPr>
      </w:pPr>
      <w:r w:rsidRPr="57682E14">
        <w:rPr>
          <w:szCs w:val="21"/>
        </w:rPr>
        <w:t>The date of the complaint</w:t>
      </w:r>
    </w:p>
    <w:p w14:paraId="57D14798" w14:textId="1DB6D533" w:rsidR="6DDEBFDF" w:rsidRDefault="6DDEBFDF" w:rsidP="57682E14">
      <w:pPr>
        <w:pStyle w:val="Body"/>
        <w:numPr>
          <w:ilvl w:val="0"/>
          <w:numId w:val="45"/>
        </w:numPr>
        <w:rPr>
          <w:szCs w:val="21"/>
        </w:rPr>
      </w:pPr>
      <w:r w:rsidRPr="57682E14">
        <w:rPr>
          <w:szCs w:val="21"/>
        </w:rPr>
        <w:t xml:space="preserve">Details of any investigation of the complaint and the outcome of the investigation. When </w:t>
      </w:r>
      <w:r w:rsidR="04F5ADC9" w:rsidRPr="57682E14">
        <w:rPr>
          <w:szCs w:val="21"/>
        </w:rPr>
        <w:t>i</w:t>
      </w:r>
      <w:r w:rsidRPr="57682E14">
        <w:rPr>
          <w:szCs w:val="21"/>
        </w:rPr>
        <w:t>nvestigating complaints it is important that the investigation is not detrimental to either the complainant or the continued provision of the service</w:t>
      </w:r>
    </w:p>
    <w:p w14:paraId="0EA2D3ED" w14:textId="37A652B1" w:rsidR="6DDEBFDF" w:rsidRDefault="6DDEBFDF" w:rsidP="57682E14">
      <w:pPr>
        <w:pStyle w:val="Body"/>
        <w:numPr>
          <w:ilvl w:val="0"/>
          <w:numId w:val="45"/>
        </w:numPr>
        <w:rPr>
          <w:szCs w:val="21"/>
        </w:rPr>
      </w:pPr>
      <w:r w:rsidRPr="57682E14">
        <w:rPr>
          <w:szCs w:val="21"/>
        </w:rPr>
        <w:t>Details of any action taken as a result of the complaint</w:t>
      </w:r>
    </w:p>
    <w:p w14:paraId="67FEE7BC" w14:textId="4F5F80A2" w:rsidR="00EF6E2B" w:rsidRDefault="00EF6E2B" w:rsidP="00EF6E2B">
      <w:pPr>
        <w:pStyle w:val="Body"/>
        <w:rPr>
          <w:szCs w:val="21"/>
        </w:rPr>
      </w:pPr>
    </w:p>
    <w:p w14:paraId="56401504" w14:textId="10DE46B4" w:rsidR="00EF6E2B" w:rsidRDefault="00EF6E2B" w:rsidP="00EF6E2B">
      <w:pPr>
        <w:pStyle w:val="Body"/>
        <w:rPr>
          <w:szCs w:val="21"/>
        </w:rPr>
      </w:pPr>
    </w:p>
    <w:p w14:paraId="08224656" w14:textId="41E12E2F" w:rsidR="00EF6E2B" w:rsidRPr="00200176" w:rsidRDefault="00EF6E2B" w:rsidP="00810649">
      <w:pPr>
        <w:pStyle w:val="Body"/>
      </w:pPr>
    </w:p>
    <w:tbl>
      <w:tblPr>
        <w:tblStyle w:val="TableGrid"/>
        <w:tblpPr w:leftFromText="180" w:rightFromText="180" w:vertAnchor="text" w:horzAnchor="margin" w:tblpY="7568"/>
        <w:tblW w:w="0" w:type="auto"/>
        <w:tblCellMar>
          <w:bottom w:w="108" w:type="dxa"/>
        </w:tblCellMar>
        <w:tblLook w:val="0600" w:firstRow="0" w:lastRow="0" w:firstColumn="0" w:lastColumn="0" w:noHBand="1" w:noVBand="1"/>
      </w:tblPr>
      <w:tblGrid>
        <w:gridCol w:w="10194"/>
      </w:tblGrid>
      <w:tr w:rsidR="000762EC" w14:paraId="72652DDA" w14:textId="77777777" w:rsidTr="000762EC">
        <w:tc>
          <w:tcPr>
            <w:tcW w:w="10194" w:type="dxa"/>
          </w:tcPr>
          <w:p w14:paraId="34F9DF55" w14:textId="77777777" w:rsidR="000762EC" w:rsidRPr="005A0FDA" w:rsidRDefault="000762EC" w:rsidP="000762EC">
            <w:pPr>
              <w:pStyle w:val="Accessibilitypara"/>
              <w:rPr>
                <w:sz w:val="20"/>
                <w:szCs w:val="20"/>
              </w:rPr>
            </w:pPr>
            <w:bookmarkStart w:id="5" w:name="_Hlk37240926"/>
            <w:r w:rsidRPr="0055119B">
              <w:lastRenderedPageBreak/>
              <w:t>To receive this document in another format</w:t>
            </w:r>
            <w:r>
              <w:t>,</w:t>
            </w:r>
            <w:r w:rsidRPr="0055119B">
              <w:t xml:space="preserve"> </w:t>
            </w:r>
            <w:hyperlink r:id="rId19" w:history="1">
              <w:r w:rsidRPr="005A0FDA">
                <w:rPr>
                  <w:rStyle w:val="Hyperlink"/>
                  <w:sz w:val="20"/>
                  <w:szCs w:val="20"/>
                </w:rPr>
                <w:t>email NEPT, First Aid and Investigations</w:t>
              </w:r>
            </w:hyperlink>
            <w:r w:rsidRPr="005A0FDA">
              <w:rPr>
                <w:color w:val="004C97"/>
                <w:sz w:val="20"/>
                <w:szCs w:val="20"/>
              </w:rPr>
              <w:t xml:space="preserve"> </w:t>
            </w:r>
            <w:r w:rsidRPr="005A0FDA">
              <w:rPr>
                <w:sz w:val="20"/>
                <w:szCs w:val="20"/>
              </w:rPr>
              <w:t>&lt; NEPTFirstAidRegulation@health.vic.gov.au&gt;.</w:t>
            </w:r>
          </w:p>
          <w:p w14:paraId="70F98E8D" w14:textId="77777777" w:rsidR="000762EC" w:rsidRPr="0055119B" w:rsidRDefault="000762EC" w:rsidP="000762EC">
            <w:pPr>
              <w:pStyle w:val="Imprint"/>
            </w:pPr>
            <w:r w:rsidRPr="0055119B">
              <w:t>Authorised and published by the Victorian Government, 1 Treasury Place, Melbourne.</w:t>
            </w:r>
          </w:p>
          <w:p w14:paraId="30DEACC9" w14:textId="61FAB030" w:rsidR="000762EC" w:rsidRPr="0055119B" w:rsidRDefault="000762EC" w:rsidP="000762EC">
            <w:pPr>
              <w:pStyle w:val="Imprint"/>
            </w:pPr>
            <w:r w:rsidRPr="0055119B">
              <w:t xml:space="preserve">© State of Victoria, Australia, </w:t>
            </w:r>
            <w:r w:rsidRPr="001E2A36">
              <w:t>Department of Health</w:t>
            </w:r>
            <w:r w:rsidRPr="0055119B">
              <w:t xml:space="preserve">, </w:t>
            </w:r>
            <w:r w:rsidR="00F11FB4">
              <w:rPr>
                <w:color w:val="004C97"/>
              </w:rPr>
              <w:t xml:space="preserve">December </w:t>
            </w:r>
            <w:r>
              <w:rPr>
                <w:color w:val="004C97"/>
              </w:rPr>
              <w:t>2021</w:t>
            </w:r>
            <w:r w:rsidRPr="0055119B">
              <w:t>.</w:t>
            </w:r>
          </w:p>
          <w:p w14:paraId="699774B5" w14:textId="77777777" w:rsidR="000762EC" w:rsidRDefault="000762EC" w:rsidP="000762EC">
            <w:pPr>
              <w:pStyle w:val="Imprint"/>
            </w:pPr>
            <w:r w:rsidRPr="0055119B">
              <w:t xml:space="preserve">Available at </w:t>
            </w:r>
            <w:hyperlink r:id="rId20" w:history="1">
              <w:r w:rsidRPr="00D40099">
                <w:rPr>
                  <w:rStyle w:val="Hyperlink"/>
                </w:rPr>
                <w:t>NEPT</w:t>
              </w:r>
            </w:hyperlink>
            <w:r w:rsidRPr="0055119B">
              <w:t xml:space="preserve"> &lt;</w:t>
            </w:r>
            <w:r>
              <w:t xml:space="preserve"> </w:t>
            </w:r>
            <w:r w:rsidRPr="00D40099">
              <w:rPr>
                <w:color w:val="004C97"/>
              </w:rPr>
              <w:t>https://www2.health.vic.gov.au/hospitals-and-health-services/patient-care/non-emergency-transport</w:t>
            </w:r>
            <w:r w:rsidRPr="0055119B">
              <w:t>&gt;</w:t>
            </w:r>
          </w:p>
        </w:tc>
      </w:tr>
      <w:bookmarkEnd w:id="5"/>
    </w:tbl>
    <w:p w14:paraId="51413F0D" w14:textId="77777777" w:rsidR="00162CA9" w:rsidRDefault="00162CA9" w:rsidP="00162CA9">
      <w:pPr>
        <w:pStyle w:val="Body"/>
      </w:pPr>
    </w:p>
    <w:sectPr w:rsidR="00162CA9" w:rsidSect="00E62622">
      <w:footerReference w:type="default" r:id="rId21"/>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A15504" w14:textId="77777777" w:rsidR="00360A3A" w:rsidRDefault="00360A3A">
      <w:r>
        <w:separator/>
      </w:r>
    </w:p>
  </w:endnote>
  <w:endnote w:type="continuationSeparator" w:id="0">
    <w:p w14:paraId="78DAA08D" w14:textId="77777777" w:rsidR="00360A3A" w:rsidRDefault="00360A3A">
      <w:r>
        <w:continuationSeparator/>
      </w:r>
    </w:p>
  </w:endnote>
  <w:endnote w:type="continuationNotice" w:id="1">
    <w:p w14:paraId="34C61209" w14:textId="77777777" w:rsidR="00360A3A" w:rsidRDefault="00360A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63144" w14:textId="77777777" w:rsidR="00BC0D5E" w:rsidRDefault="00BC0D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B4B68" w14:textId="77777777" w:rsidR="00E261B3" w:rsidRPr="00F65AA9" w:rsidRDefault="0072251A" w:rsidP="00F84FA0">
    <w:pPr>
      <w:pStyle w:val="Footer"/>
    </w:pPr>
    <w:r>
      <w:rPr>
        <w:noProof/>
        <w:lang w:eastAsia="en-AU"/>
      </w:rPr>
      <w:drawing>
        <wp:anchor distT="0" distB="0" distL="114300" distR="114300" simplePos="0" relativeHeight="251658242" behindDoc="1" locked="1" layoutInCell="1" allowOverlap="1" wp14:anchorId="3070EACE" wp14:editId="76ECA47E">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6F6F76CC" wp14:editId="222D6839">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CAE06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F6F76CC"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75CAE06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02172"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43040CC7" wp14:editId="0D6AFF5E">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82C69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040CC7"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oQpgUrgIAAE4FAAAOAAAA&#10;AAAAAAAAAAAAAC4CAABkcnMvZTJvRG9jLnhtbFBLAQItABQABgAIAAAAIQBIDV6a3wAAAAsBAAAP&#10;AAAAAAAAAAAAAAAAAAgFAABkcnMvZG93bnJldi54bWxQSwUGAAAAAAQABADzAAAAFAYAAAAA&#10;" o:allowincell="f" filled="f" stroked="f" strokeweight=".5pt">
              <v:textbox inset=",0,,0">
                <w:txbxContent>
                  <w:p w14:paraId="3382C69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53D21" w14:textId="77777777" w:rsidR="00373890" w:rsidRPr="00F65AA9" w:rsidRDefault="00B07FF7" w:rsidP="00F84FA0">
    <w:pPr>
      <w:pStyle w:val="Footer"/>
    </w:pPr>
    <w:r>
      <w:rPr>
        <w:noProof/>
      </w:rPr>
      <mc:AlternateContent>
        <mc:Choice Requires="wps">
          <w:drawing>
            <wp:anchor distT="0" distB="0" distL="114300" distR="114300" simplePos="0" relativeHeight="251658243" behindDoc="0" locked="0" layoutInCell="0" allowOverlap="1" wp14:anchorId="5CD38127" wp14:editId="390EA45D">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81B8CC"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CD38127"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AkqScOwAgAATAUAAA4A&#10;AAAAAAAAAAAAAAAALgIAAGRycy9lMm9Eb2MueG1sUEsBAi0AFAAGAAgAAAAhAEgNXprfAAAACwEA&#10;AA8AAAAAAAAAAAAAAAAACgUAAGRycy9kb3ducmV2LnhtbFBLBQYAAAAABAAEAPMAAAAWBgAAAAA=&#10;" o:allowincell="f" filled="f" stroked="f" strokeweight=".5pt">
              <v:textbox inset=",0,,0">
                <w:txbxContent>
                  <w:p w14:paraId="4C81B8CC"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C03C98" w14:textId="77777777" w:rsidR="00360A3A" w:rsidRDefault="00360A3A" w:rsidP="002862F1">
      <w:pPr>
        <w:spacing w:before="120"/>
      </w:pPr>
      <w:r>
        <w:separator/>
      </w:r>
    </w:p>
  </w:footnote>
  <w:footnote w:type="continuationSeparator" w:id="0">
    <w:p w14:paraId="7FA99D97" w14:textId="77777777" w:rsidR="00360A3A" w:rsidRDefault="00360A3A">
      <w:r>
        <w:continuationSeparator/>
      </w:r>
    </w:p>
  </w:footnote>
  <w:footnote w:type="continuationNotice" w:id="1">
    <w:p w14:paraId="57806444" w14:textId="77777777" w:rsidR="00360A3A" w:rsidRDefault="00360A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E0A6D" w14:textId="77777777" w:rsidR="00BC0D5E" w:rsidRDefault="00BC0D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C6918" w14:textId="692AD129" w:rsidR="00EC40D5" w:rsidRDefault="000762EC" w:rsidP="00EC40D5">
    <w:pPr>
      <w:pStyle w:val="Header"/>
      <w:spacing w:after="0"/>
    </w:pPr>
    <w:r>
      <w:t xml:space="preserve">Qualityu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55117" w14:textId="77777777" w:rsidR="00BC0D5E" w:rsidRDefault="00BC0D5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420B3" w14:textId="1C900CF1" w:rsidR="00E261B3" w:rsidRPr="0051568D" w:rsidRDefault="000762EC" w:rsidP="0011701A">
    <w:pPr>
      <w:pStyle w:val="Header"/>
    </w:pPr>
    <w:r>
      <w:t>Quality Assurance Plan</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A223F82"/>
    <w:multiLevelType w:val="hybridMultilevel"/>
    <w:tmpl w:val="5FEC7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5F02909"/>
    <w:multiLevelType w:val="hybridMultilevel"/>
    <w:tmpl w:val="0180DD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A7C2142"/>
    <w:multiLevelType w:val="hybridMultilevel"/>
    <w:tmpl w:val="31A01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4170E3"/>
    <w:multiLevelType w:val="hybridMultilevel"/>
    <w:tmpl w:val="F5683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6C68D4"/>
    <w:multiLevelType w:val="multilevel"/>
    <w:tmpl w:val="1D06E7FE"/>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43EB48E3"/>
    <w:multiLevelType w:val="hybridMultilevel"/>
    <w:tmpl w:val="CEAAC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DF25047"/>
    <w:multiLevelType w:val="hybridMultilevel"/>
    <w:tmpl w:val="08E0B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70E5D8F"/>
    <w:multiLevelType w:val="hybridMultilevel"/>
    <w:tmpl w:val="FFFFFFFF"/>
    <w:lvl w:ilvl="0" w:tplc="FEBE4E9A">
      <w:start w:val="1"/>
      <w:numFmt w:val="bullet"/>
      <w:lvlText w:val=""/>
      <w:lvlJc w:val="left"/>
      <w:pPr>
        <w:ind w:left="360" w:hanging="360"/>
      </w:pPr>
      <w:rPr>
        <w:rFonts w:ascii="Symbol" w:hAnsi="Symbol" w:hint="default"/>
      </w:rPr>
    </w:lvl>
    <w:lvl w:ilvl="1" w:tplc="DC9A904E">
      <w:start w:val="1"/>
      <w:numFmt w:val="bullet"/>
      <w:lvlText w:val="o"/>
      <w:lvlJc w:val="left"/>
      <w:pPr>
        <w:ind w:left="1080" w:hanging="360"/>
      </w:pPr>
      <w:rPr>
        <w:rFonts w:ascii="Courier New" w:hAnsi="Courier New" w:hint="default"/>
      </w:rPr>
    </w:lvl>
    <w:lvl w:ilvl="2" w:tplc="67BE635E">
      <w:start w:val="1"/>
      <w:numFmt w:val="bullet"/>
      <w:lvlText w:val=""/>
      <w:lvlJc w:val="left"/>
      <w:pPr>
        <w:ind w:left="1800" w:hanging="360"/>
      </w:pPr>
      <w:rPr>
        <w:rFonts w:ascii="Wingdings" w:hAnsi="Wingdings" w:hint="default"/>
      </w:rPr>
    </w:lvl>
    <w:lvl w:ilvl="3" w:tplc="9FFAB87A">
      <w:start w:val="1"/>
      <w:numFmt w:val="bullet"/>
      <w:lvlText w:val=""/>
      <w:lvlJc w:val="left"/>
      <w:pPr>
        <w:ind w:left="2520" w:hanging="360"/>
      </w:pPr>
      <w:rPr>
        <w:rFonts w:ascii="Symbol" w:hAnsi="Symbol" w:hint="default"/>
      </w:rPr>
    </w:lvl>
    <w:lvl w:ilvl="4" w:tplc="9ADEC366">
      <w:start w:val="1"/>
      <w:numFmt w:val="bullet"/>
      <w:lvlText w:val="o"/>
      <w:lvlJc w:val="left"/>
      <w:pPr>
        <w:ind w:left="3240" w:hanging="360"/>
      </w:pPr>
      <w:rPr>
        <w:rFonts w:ascii="Courier New" w:hAnsi="Courier New" w:hint="default"/>
      </w:rPr>
    </w:lvl>
    <w:lvl w:ilvl="5" w:tplc="D9FEA23E">
      <w:start w:val="1"/>
      <w:numFmt w:val="bullet"/>
      <w:lvlText w:val=""/>
      <w:lvlJc w:val="left"/>
      <w:pPr>
        <w:ind w:left="3960" w:hanging="360"/>
      </w:pPr>
      <w:rPr>
        <w:rFonts w:ascii="Wingdings" w:hAnsi="Wingdings" w:hint="default"/>
      </w:rPr>
    </w:lvl>
    <w:lvl w:ilvl="6" w:tplc="8D187A88">
      <w:start w:val="1"/>
      <w:numFmt w:val="bullet"/>
      <w:lvlText w:val=""/>
      <w:lvlJc w:val="left"/>
      <w:pPr>
        <w:ind w:left="4680" w:hanging="360"/>
      </w:pPr>
      <w:rPr>
        <w:rFonts w:ascii="Symbol" w:hAnsi="Symbol" w:hint="default"/>
      </w:rPr>
    </w:lvl>
    <w:lvl w:ilvl="7" w:tplc="3E187EB0">
      <w:start w:val="1"/>
      <w:numFmt w:val="bullet"/>
      <w:lvlText w:val="o"/>
      <w:lvlJc w:val="left"/>
      <w:pPr>
        <w:ind w:left="5400" w:hanging="360"/>
      </w:pPr>
      <w:rPr>
        <w:rFonts w:ascii="Courier New" w:hAnsi="Courier New" w:hint="default"/>
      </w:rPr>
    </w:lvl>
    <w:lvl w:ilvl="8" w:tplc="AE187A6C">
      <w:start w:val="1"/>
      <w:numFmt w:val="bullet"/>
      <w:lvlText w:val=""/>
      <w:lvlJc w:val="left"/>
      <w:pPr>
        <w:ind w:left="6120" w:hanging="360"/>
      </w:pPr>
      <w:rPr>
        <w:rFonts w:ascii="Wingdings" w:hAnsi="Wingdings" w:hint="default"/>
      </w:rPr>
    </w:lvl>
  </w:abstractNum>
  <w:abstractNum w:abstractNumId="31"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21"/>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20"/>
  </w:num>
  <w:num w:numId="9">
    <w:abstractNumId w:val="25"/>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32"/>
  </w:num>
  <w:num w:numId="25">
    <w:abstractNumId w:val="29"/>
  </w:num>
  <w:num w:numId="26">
    <w:abstractNumId w:val="24"/>
  </w:num>
  <w:num w:numId="27">
    <w:abstractNumId w:val="11"/>
  </w:num>
  <w:num w:numId="28">
    <w:abstractNumId w:val="33"/>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 w:numId="41">
    <w:abstractNumId w:val="19"/>
  </w:num>
  <w:num w:numId="42">
    <w:abstractNumId w:val="16"/>
  </w:num>
  <w:num w:numId="43">
    <w:abstractNumId w:val="27"/>
  </w:num>
  <w:num w:numId="44">
    <w:abstractNumId w:val="17"/>
  </w:num>
  <w:num w:numId="45">
    <w:abstractNumId w:val="30"/>
  </w:num>
  <w:num w:numId="46">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099"/>
    <w:rsid w:val="00000719"/>
    <w:rsid w:val="00003403"/>
    <w:rsid w:val="00005347"/>
    <w:rsid w:val="000072B6"/>
    <w:rsid w:val="0001021B"/>
    <w:rsid w:val="00010896"/>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5EA"/>
    <w:rsid w:val="0006298A"/>
    <w:rsid w:val="000663CD"/>
    <w:rsid w:val="000733FE"/>
    <w:rsid w:val="00074219"/>
    <w:rsid w:val="00074ED5"/>
    <w:rsid w:val="000762EC"/>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17A2"/>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06A8"/>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495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1D0E"/>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5D1B"/>
    <w:rsid w:val="00316F27"/>
    <w:rsid w:val="003214F1"/>
    <w:rsid w:val="00322E4B"/>
    <w:rsid w:val="00327870"/>
    <w:rsid w:val="0033259D"/>
    <w:rsid w:val="003333D2"/>
    <w:rsid w:val="003406C6"/>
    <w:rsid w:val="003418CC"/>
    <w:rsid w:val="00342A1C"/>
    <w:rsid w:val="003459BD"/>
    <w:rsid w:val="00350D38"/>
    <w:rsid w:val="00351B36"/>
    <w:rsid w:val="00357B4E"/>
    <w:rsid w:val="00360A3A"/>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576"/>
    <w:rsid w:val="003C4FC0"/>
    <w:rsid w:val="003C55F4"/>
    <w:rsid w:val="003C7897"/>
    <w:rsid w:val="003C7A3F"/>
    <w:rsid w:val="003D2766"/>
    <w:rsid w:val="003D2A74"/>
    <w:rsid w:val="003D3E8F"/>
    <w:rsid w:val="003D6475"/>
    <w:rsid w:val="003E10C2"/>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86221"/>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2FD"/>
    <w:rsid w:val="00546305"/>
    <w:rsid w:val="00547A95"/>
    <w:rsid w:val="0055119B"/>
    <w:rsid w:val="005548B5"/>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4ED6"/>
    <w:rsid w:val="005B7A63"/>
    <w:rsid w:val="005C0955"/>
    <w:rsid w:val="005C49DA"/>
    <w:rsid w:val="005C50F3"/>
    <w:rsid w:val="005C54B5"/>
    <w:rsid w:val="005C5D80"/>
    <w:rsid w:val="005C5D91"/>
    <w:rsid w:val="005D07B8"/>
    <w:rsid w:val="005D568F"/>
    <w:rsid w:val="005D6597"/>
    <w:rsid w:val="005E14E7"/>
    <w:rsid w:val="005E26A3"/>
    <w:rsid w:val="005E2ECB"/>
    <w:rsid w:val="005E447E"/>
    <w:rsid w:val="005E4FD1"/>
    <w:rsid w:val="005F0775"/>
    <w:rsid w:val="005F0CF5"/>
    <w:rsid w:val="005F21EB"/>
    <w:rsid w:val="00605908"/>
    <w:rsid w:val="00606C42"/>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0CF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8CC"/>
    <w:rsid w:val="00750EC2"/>
    <w:rsid w:val="00752B28"/>
    <w:rsid w:val="007541A9"/>
    <w:rsid w:val="00754E36"/>
    <w:rsid w:val="00763139"/>
    <w:rsid w:val="007665C8"/>
    <w:rsid w:val="00770F37"/>
    <w:rsid w:val="007711A0"/>
    <w:rsid w:val="00772D5E"/>
    <w:rsid w:val="0077463E"/>
    <w:rsid w:val="00776928"/>
    <w:rsid w:val="00776E0F"/>
    <w:rsid w:val="007774B1"/>
    <w:rsid w:val="00777BE1"/>
    <w:rsid w:val="00777F98"/>
    <w:rsid w:val="007833D8"/>
    <w:rsid w:val="00785677"/>
    <w:rsid w:val="007862E6"/>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E5B9A"/>
    <w:rsid w:val="007F31B6"/>
    <w:rsid w:val="007F546C"/>
    <w:rsid w:val="007F625F"/>
    <w:rsid w:val="007F665E"/>
    <w:rsid w:val="00800412"/>
    <w:rsid w:val="0080587B"/>
    <w:rsid w:val="00806468"/>
    <w:rsid w:val="00810649"/>
    <w:rsid w:val="008119CA"/>
    <w:rsid w:val="008130C4"/>
    <w:rsid w:val="008155F0"/>
    <w:rsid w:val="00816735"/>
    <w:rsid w:val="00820141"/>
    <w:rsid w:val="00820E0C"/>
    <w:rsid w:val="008213F0"/>
    <w:rsid w:val="00823275"/>
    <w:rsid w:val="0082366F"/>
    <w:rsid w:val="008338A2"/>
    <w:rsid w:val="00835FAF"/>
    <w:rsid w:val="008413D6"/>
    <w:rsid w:val="00841AA9"/>
    <w:rsid w:val="00846225"/>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97F"/>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42935"/>
    <w:rsid w:val="00950E2C"/>
    <w:rsid w:val="00951D50"/>
    <w:rsid w:val="009525EB"/>
    <w:rsid w:val="0095470B"/>
    <w:rsid w:val="00954874"/>
    <w:rsid w:val="0095615A"/>
    <w:rsid w:val="00961400"/>
    <w:rsid w:val="00963646"/>
    <w:rsid w:val="0096632D"/>
    <w:rsid w:val="009718C7"/>
    <w:rsid w:val="00975106"/>
    <w:rsid w:val="0097559F"/>
    <w:rsid w:val="0097761E"/>
    <w:rsid w:val="00982454"/>
    <w:rsid w:val="00982CF0"/>
    <w:rsid w:val="009853E1"/>
    <w:rsid w:val="00986E6B"/>
    <w:rsid w:val="00986FB5"/>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6FDD"/>
    <w:rsid w:val="009F7B78"/>
    <w:rsid w:val="00A0057A"/>
    <w:rsid w:val="00A02FA1"/>
    <w:rsid w:val="00A03BA1"/>
    <w:rsid w:val="00A04CCE"/>
    <w:rsid w:val="00A07421"/>
    <w:rsid w:val="00A0776B"/>
    <w:rsid w:val="00A10FB9"/>
    <w:rsid w:val="00A11421"/>
    <w:rsid w:val="00A1389F"/>
    <w:rsid w:val="00A157B1"/>
    <w:rsid w:val="00A22229"/>
    <w:rsid w:val="00A24442"/>
    <w:rsid w:val="00A26534"/>
    <w:rsid w:val="00A330BB"/>
    <w:rsid w:val="00A44882"/>
    <w:rsid w:val="00A45125"/>
    <w:rsid w:val="00A461C3"/>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312"/>
    <w:rsid w:val="00B07FF7"/>
    <w:rsid w:val="00B13851"/>
    <w:rsid w:val="00B13B1C"/>
    <w:rsid w:val="00B14780"/>
    <w:rsid w:val="00B21175"/>
    <w:rsid w:val="00B21AB8"/>
    <w:rsid w:val="00B21F90"/>
    <w:rsid w:val="00B22291"/>
    <w:rsid w:val="00B23F9A"/>
    <w:rsid w:val="00B2417B"/>
    <w:rsid w:val="00B24E6F"/>
    <w:rsid w:val="00B26CB5"/>
    <w:rsid w:val="00B2752E"/>
    <w:rsid w:val="00B277CB"/>
    <w:rsid w:val="00B307CC"/>
    <w:rsid w:val="00B326B7"/>
    <w:rsid w:val="00B3588E"/>
    <w:rsid w:val="00B41F3D"/>
    <w:rsid w:val="00B431E8"/>
    <w:rsid w:val="00B45141"/>
    <w:rsid w:val="00B46DE7"/>
    <w:rsid w:val="00B47783"/>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0D5E"/>
    <w:rsid w:val="00BC3E8F"/>
    <w:rsid w:val="00BC60BE"/>
    <w:rsid w:val="00BC63D9"/>
    <w:rsid w:val="00BC7468"/>
    <w:rsid w:val="00BC7D4F"/>
    <w:rsid w:val="00BC7ED7"/>
    <w:rsid w:val="00BD2850"/>
    <w:rsid w:val="00BE28D2"/>
    <w:rsid w:val="00BE4A64"/>
    <w:rsid w:val="00BE5E43"/>
    <w:rsid w:val="00BF1F64"/>
    <w:rsid w:val="00BF30B2"/>
    <w:rsid w:val="00BF557D"/>
    <w:rsid w:val="00BF7F58"/>
    <w:rsid w:val="00C01381"/>
    <w:rsid w:val="00C01AB1"/>
    <w:rsid w:val="00C026A0"/>
    <w:rsid w:val="00C06137"/>
    <w:rsid w:val="00C079B8"/>
    <w:rsid w:val="00C10037"/>
    <w:rsid w:val="00C123EA"/>
    <w:rsid w:val="00C12A49"/>
    <w:rsid w:val="00C133EE"/>
    <w:rsid w:val="00C149D0"/>
    <w:rsid w:val="00C2183B"/>
    <w:rsid w:val="00C26588"/>
    <w:rsid w:val="00C27DE9"/>
    <w:rsid w:val="00C32989"/>
    <w:rsid w:val="00C33388"/>
    <w:rsid w:val="00C35484"/>
    <w:rsid w:val="00C402DE"/>
    <w:rsid w:val="00C4173A"/>
    <w:rsid w:val="00C50DED"/>
    <w:rsid w:val="00C602FF"/>
    <w:rsid w:val="00C61174"/>
    <w:rsid w:val="00C6148F"/>
    <w:rsid w:val="00C621B1"/>
    <w:rsid w:val="00C62F7A"/>
    <w:rsid w:val="00C63B9C"/>
    <w:rsid w:val="00C640FB"/>
    <w:rsid w:val="00C6682F"/>
    <w:rsid w:val="00C67BF4"/>
    <w:rsid w:val="00C7275E"/>
    <w:rsid w:val="00C74C5D"/>
    <w:rsid w:val="00C863C4"/>
    <w:rsid w:val="00C8746D"/>
    <w:rsid w:val="00C920EA"/>
    <w:rsid w:val="00C93C3E"/>
    <w:rsid w:val="00C95A1F"/>
    <w:rsid w:val="00CA12E3"/>
    <w:rsid w:val="00CA1476"/>
    <w:rsid w:val="00CA6611"/>
    <w:rsid w:val="00CA6AE6"/>
    <w:rsid w:val="00CA782F"/>
    <w:rsid w:val="00CB187B"/>
    <w:rsid w:val="00CB2835"/>
    <w:rsid w:val="00CB3285"/>
    <w:rsid w:val="00CB4500"/>
    <w:rsid w:val="00CB6504"/>
    <w:rsid w:val="00CB768E"/>
    <w:rsid w:val="00CB7800"/>
    <w:rsid w:val="00CC0C72"/>
    <w:rsid w:val="00CC2BFD"/>
    <w:rsid w:val="00CD3476"/>
    <w:rsid w:val="00CD64DF"/>
    <w:rsid w:val="00CE225F"/>
    <w:rsid w:val="00CE40FC"/>
    <w:rsid w:val="00CF2F50"/>
    <w:rsid w:val="00CF6198"/>
    <w:rsid w:val="00D01B99"/>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099"/>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97C86"/>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2EA"/>
    <w:rsid w:val="00DD1951"/>
    <w:rsid w:val="00DD3219"/>
    <w:rsid w:val="00DD487D"/>
    <w:rsid w:val="00DD4E83"/>
    <w:rsid w:val="00DD6628"/>
    <w:rsid w:val="00DD6945"/>
    <w:rsid w:val="00DE2D04"/>
    <w:rsid w:val="00DE3250"/>
    <w:rsid w:val="00DE451A"/>
    <w:rsid w:val="00DE6028"/>
    <w:rsid w:val="00DE78A3"/>
    <w:rsid w:val="00DF1209"/>
    <w:rsid w:val="00DF1A71"/>
    <w:rsid w:val="00DF50FC"/>
    <w:rsid w:val="00DF68C7"/>
    <w:rsid w:val="00DF731A"/>
    <w:rsid w:val="00E06B75"/>
    <w:rsid w:val="00E11332"/>
    <w:rsid w:val="00E11352"/>
    <w:rsid w:val="00E170DC"/>
    <w:rsid w:val="00E17546"/>
    <w:rsid w:val="00E210B5"/>
    <w:rsid w:val="00E261B3"/>
    <w:rsid w:val="00E26818"/>
    <w:rsid w:val="00E273CC"/>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1EE2"/>
    <w:rsid w:val="00E92AC3"/>
    <w:rsid w:val="00EA1360"/>
    <w:rsid w:val="00EA2F6A"/>
    <w:rsid w:val="00EB00E0"/>
    <w:rsid w:val="00EC04BA"/>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EF6E2B"/>
    <w:rsid w:val="00F00F9C"/>
    <w:rsid w:val="00F01E5F"/>
    <w:rsid w:val="00F024F3"/>
    <w:rsid w:val="00F02ABA"/>
    <w:rsid w:val="00F0437A"/>
    <w:rsid w:val="00F055F5"/>
    <w:rsid w:val="00F101B8"/>
    <w:rsid w:val="00F11037"/>
    <w:rsid w:val="00F11FB4"/>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8F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 w:val="039BB506"/>
    <w:rsid w:val="04F5ADC9"/>
    <w:rsid w:val="0613F411"/>
    <w:rsid w:val="0790DA99"/>
    <w:rsid w:val="0832C1E4"/>
    <w:rsid w:val="08F13528"/>
    <w:rsid w:val="096AB17D"/>
    <w:rsid w:val="09C479B0"/>
    <w:rsid w:val="0A3DF605"/>
    <w:rsid w:val="0ABBFFE9"/>
    <w:rsid w:val="0B416038"/>
    <w:rsid w:val="13A1431D"/>
    <w:rsid w:val="157B1A01"/>
    <w:rsid w:val="16935578"/>
    <w:rsid w:val="1751C8BC"/>
    <w:rsid w:val="17B673CD"/>
    <w:rsid w:val="1AA88628"/>
    <w:rsid w:val="1C1DB1FB"/>
    <w:rsid w:val="1D55A194"/>
    <w:rsid w:val="1E3C7FCE"/>
    <w:rsid w:val="1E590BC7"/>
    <w:rsid w:val="214B1E22"/>
    <w:rsid w:val="21620B49"/>
    <w:rsid w:val="2381E562"/>
    <w:rsid w:val="23909083"/>
    <w:rsid w:val="24C71E5B"/>
    <w:rsid w:val="24FECBEA"/>
    <w:rsid w:val="25139D2E"/>
    <w:rsid w:val="2673F7BD"/>
    <w:rsid w:val="29C78D00"/>
    <w:rsid w:val="2E93763F"/>
    <w:rsid w:val="335F5F7E"/>
    <w:rsid w:val="35393662"/>
    <w:rsid w:val="369668C8"/>
    <w:rsid w:val="3AA3DEC3"/>
    <w:rsid w:val="3B0889D4"/>
    <w:rsid w:val="424D0919"/>
    <w:rsid w:val="4399C9F6"/>
    <w:rsid w:val="449D3429"/>
    <w:rsid w:val="45B897C9"/>
    <w:rsid w:val="46770B0D"/>
    <w:rsid w:val="49079A80"/>
    <w:rsid w:val="4DBB8A52"/>
    <w:rsid w:val="500EDD8B"/>
    <w:rsid w:val="55FCA1F5"/>
    <w:rsid w:val="57682E14"/>
    <w:rsid w:val="5811D014"/>
    <w:rsid w:val="5AA6F213"/>
    <w:rsid w:val="5D378186"/>
    <w:rsid w:val="5E5A9FDB"/>
    <w:rsid w:val="5FCFCBAE"/>
    <w:rsid w:val="62501C69"/>
    <w:rsid w:val="62C1DE09"/>
    <w:rsid w:val="62D8152B"/>
    <w:rsid w:val="6380514D"/>
    <w:rsid w:val="63C5483C"/>
    <w:rsid w:val="64E0ABDC"/>
    <w:rsid w:val="66EBDFFD"/>
    <w:rsid w:val="67D2BE37"/>
    <w:rsid w:val="6BB7C93C"/>
    <w:rsid w:val="6DDEBFDF"/>
    <w:rsid w:val="6E1B8DFE"/>
    <w:rsid w:val="6F0E8AC5"/>
    <w:rsid w:val="72E7773D"/>
    <w:rsid w:val="7491F6DC"/>
    <w:rsid w:val="765305ED"/>
    <w:rsid w:val="7A038B8C"/>
    <w:rsid w:val="7B06F5BF"/>
    <w:rsid w:val="7CE0CCA3"/>
    <w:rsid w:val="7CF59DE7"/>
    <w:rsid w:val="7E1FB0C5"/>
    <w:rsid w:val="7FD2DEF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A14B1E3"/>
  <w15:docId w15:val="{69F21618-D7DE-49B8-A818-96047BB37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EC04BA"/>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C04BA"/>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ind w:left="794" w:hanging="397"/>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tabs>
        <w:tab w:val="num" w:pos="397"/>
      </w:tabs>
      <w:ind w:left="397" w:hanging="397"/>
    </w:pPr>
  </w:style>
  <w:style w:type="paragraph" w:customStyle="1" w:styleId="Numberloweralphaindent">
    <w:name w:val="Number lower alpha indent"/>
    <w:basedOn w:val="Body"/>
    <w:uiPriority w:val="3"/>
    <w:rsid w:val="00721CFB"/>
    <w:pPr>
      <w:tabs>
        <w:tab w:val="num" w:pos="794"/>
      </w:tabs>
      <w:ind w:left="794" w:hanging="397"/>
    </w:pPr>
  </w:style>
  <w:style w:type="paragraph" w:customStyle="1" w:styleId="Numberdigitindent">
    <w:name w:val="Number digit indent"/>
    <w:basedOn w:val="Numberloweralphaindent"/>
    <w:uiPriority w:val="3"/>
    <w:rsid w:val="00101001"/>
  </w:style>
  <w:style w:type="paragraph" w:customStyle="1" w:styleId="Numberloweralpha">
    <w:name w:val="Number lower alpha"/>
    <w:basedOn w:val="Body"/>
    <w:uiPriority w:val="3"/>
    <w:rsid w:val="00721CFB"/>
    <w:pPr>
      <w:tabs>
        <w:tab w:val="num" w:pos="397"/>
      </w:tabs>
      <w:ind w:left="397" w:hanging="397"/>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ind w:left="1191" w:hanging="397"/>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 w:type="character" w:customStyle="1" w:styleId="highlight">
    <w:name w:val="highlight"/>
    <w:basedOn w:val="DefaultParagraphFont"/>
    <w:rsid w:val="00975106"/>
  </w:style>
  <w:style w:type="character" w:styleId="Mention">
    <w:name w:val="Mention"/>
    <w:basedOn w:val="DefaultParagraphFont"/>
    <w:uiPriority w:val="99"/>
    <w:unhideWhenUsed/>
    <w:rsid w:val="0081064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2.health.vic.gov.au/hospitals-and-health-services/patient-care/non-emergency-transpor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NEPTFirstAidRegulation@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202021\DH%20pink%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D4EC38A340344CBCABAB2C9386349A" ma:contentTypeVersion="10" ma:contentTypeDescription="Create a new document." ma:contentTypeScope="" ma:versionID="70d81d3fad279923d710a69c3b2a9338">
  <xsd:schema xmlns:xsd="http://www.w3.org/2001/XMLSchema" xmlns:xs="http://www.w3.org/2001/XMLSchema" xmlns:p="http://schemas.microsoft.com/office/2006/metadata/properties" xmlns:ns2="14671b8e-e891-4910-86ff-35e0958d089d" xmlns:ns3="951ee8a1-a92c-40bc-9e81-d80532d07b49" targetNamespace="http://schemas.microsoft.com/office/2006/metadata/properties" ma:root="true" ma:fieldsID="4df047f73a8b9354116f956202f22553" ns2:_="" ns3:_="">
    <xsd:import namespace="14671b8e-e891-4910-86ff-35e0958d089d"/>
    <xsd:import namespace="951ee8a1-a92c-40bc-9e81-d80532d07b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671b8e-e891-4910-86ff-35e0958d0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1ee8a1-a92c-40bc-9e81-d80532d07b4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14671b8e-e891-4910-86ff-35e0958d089d"/>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elements/1.1/"/>
    <ds:schemaRef ds:uri="951ee8a1-a92c-40bc-9e81-d80532d07b49"/>
    <ds:schemaRef ds:uri="http://purl.org/dc/dcmitype/"/>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07684B18-E3BE-4354-AE89-FCEB8F64FE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671b8e-e891-4910-86ff-35e0958d089d"/>
    <ds:schemaRef ds:uri="951ee8a1-a92c-40bc-9e81-d80532d07b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DH pink factsheet.dotx</Template>
  <TotalTime>5</TotalTime>
  <Pages>3</Pages>
  <Words>651</Words>
  <Characters>3712</Characters>
  <Application>Microsoft Office Word</Application>
  <DocSecurity>4</DocSecurity>
  <Lines>30</Lines>
  <Paragraphs>8</Paragraphs>
  <ScaleCrop>false</ScaleCrop>
  <Manager/>
  <Company>Victoria State Government, Department of Health</Company>
  <LinksUpToDate>false</LinksUpToDate>
  <CharactersWithSpaces>4355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assurance plan</dc:title>
  <dc:subject>Quality assurance plan</dc:subject>
  <dc:creator>Department of Health</dc:creator>
  <cp:keywords/>
  <dc:description/>
  <cp:revision>2</cp:revision>
  <cp:lastPrinted>2020-03-30T03:28:00Z</cp:lastPrinted>
  <dcterms:created xsi:type="dcterms:W3CDTF">2021-12-22T06:53:00Z</dcterms:created>
  <dcterms:modified xsi:type="dcterms:W3CDTF">2021-12-22T06:53:00Z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0x010100BAD4EC38A340344CBCABAB2C9386349A</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2021-12-22T06:52:47Z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