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3736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A58CE27" wp14:editId="1BE990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9E94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00"/>
        <w:gridCol w:w="5099"/>
        <w:gridCol w:w="149"/>
      </w:tblGrid>
      <w:tr w:rsidR="003B5733" w14:paraId="023F3655" w14:textId="77777777" w:rsidTr="00902F4E">
        <w:trPr>
          <w:trHeight w:val="622"/>
        </w:trPr>
        <w:tc>
          <w:tcPr>
            <w:tcW w:w="10348" w:type="dxa"/>
            <w:gridSpan w:val="3"/>
            <w:tcMar>
              <w:top w:w="1531" w:type="dxa"/>
              <w:left w:w="0" w:type="dxa"/>
              <w:right w:w="0" w:type="dxa"/>
            </w:tcMar>
          </w:tcPr>
          <w:p w14:paraId="37D85B9C" w14:textId="0876EF05" w:rsidR="003B5733" w:rsidRPr="003B5733" w:rsidRDefault="00AF6DC1" w:rsidP="003B5733">
            <w:pPr>
              <w:pStyle w:val="Documenttitle"/>
            </w:pPr>
            <w:r>
              <w:t>Quick Links for Immunisation</w:t>
            </w:r>
          </w:p>
        </w:tc>
      </w:tr>
      <w:tr w:rsidR="003B5733" w14:paraId="741E17B8" w14:textId="77777777" w:rsidTr="00902F4E">
        <w:tc>
          <w:tcPr>
            <w:tcW w:w="10348" w:type="dxa"/>
            <w:gridSpan w:val="3"/>
          </w:tcPr>
          <w:p w14:paraId="4E14195E" w14:textId="22B47194" w:rsidR="003B5733" w:rsidRPr="00A1389F" w:rsidRDefault="00AF6DC1" w:rsidP="005F44C0">
            <w:pPr>
              <w:pStyle w:val="Documentsubtitle"/>
            </w:pPr>
            <w:r>
              <w:t>Links for Victorian Immunisation Providers</w:t>
            </w:r>
          </w:p>
        </w:tc>
      </w:tr>
      <w:tr w:rsidR="003B5733" w14:paraId="090E218F" w14:textId="77777777" w:rsidTr="00902F4E">
        <w:tc>
          <w:tcPr>
            <w:tcW w:w="10348" w:type="dxa"/>
            <w:gridSpan w:val="3"/>
          </w:tcPr>
          <w:p w14:paraId="4180E641" w14:textId="77777777" w:rsidR="003B5733" w:rsidRPr="001E5058" w:rsidRDefault="00871A95" w:rsidP="001E5058">
            <w:pPr>
              <w:pStyle w:val="Bannermarking"/>
            </w:pPr>
            <w:fldSimple w:instr=" FILLIN  &quot;Type the protective marking&quot; \d OFFICIAL \o  \* MERGEFORMAT ">
              <w:r w:rsidR="00AF6DC1">
                <w:t>OFFICIAL</w:t>
              </w:r>
            </w:fldSimple>
          </w:p>
        </w:tc>
      </w:tr>
      <w:tr w:rsidR="00902F4E" w14:paraId="4E6DA048" w14:textId="77777777" w:rsidTr="0090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54" w:type="dxa"/>
        </w:trPr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C260E" w14:textId="77777777" w:rsidR="00902F4E" w:rsidRPr="00C5597A" w:rsidRDefault="00902F4E" w:rsidP="00902F4E">
            <w:pPr>
              <w:pStyle w:val="Heading4"/>
            </w:pPr>
            <w:r w:rsidRPr="00C5597A">
              <w:t xml:space="preserve">Immunisation Unit Victorian </w:t>
            </w:r>
            <w:r w:rsidRPr="00FB1096">
              <w:t>G</w:t>
            </w:r>
            <w:r w:rsidRPr="00C5597A">
              <w:t>overnment</w:t>
            </w:r>
          </w:p>
          <w:p w14:paraId="5CCCC1D3" w14:textId="77777777" w:rsidR="00902F4E" w:rsidRPr="00AF6DC1" w:rsidRDefault="00902F4E" w:rsidP="00902F4E">
            <w:pPr>
              <w:pStyle w:val="Body"/>
              <w:rPr>
                <w:b/>
                <w:bCs/>
              </w:rPr>
            </w:pPr>
            <w:r w:rsidRPr="00AF6DC1">
              <w:t xml:space="preserve">Email: </w:t>
            </w:r>
            <w:hyperlink r:id="rId15" w:history="1">
              <w:r w:rsidRPr="00AF6DC1">
                <w:rPr>
                  <w:rStyle w:val="Hyperlink"/>
                  <w:szCs w:val="21"/>
                </w:rPr>
                <w:t>immunisation@health.vic.gov.au</w:t>
              </w:r>
            </w:hyperlink>
            <w:r w:rsidRPr="00AF6DC1">
              <w:t xml:space="preserve"> </w:t>
            </w:r>
          </w:p>
          <w:p w14:paraId="36349438" w14:textId="77777777" w:rsidR="00902F4E" w:rsidRPr="004E67F7" w:rsidRDefault="00902F4E" w:rsidP="00902F4E">
            <w:pPr>
              <w:pStyle w:val="Body"/>
            </w:pPr>
            <w:hyperlink r:id="rId16" w:history="1">
              <w:r w:rsidRPr="004E67F7">
                <w:rPr>
                  <w:rStyle w:val="Hyperlink"/>
                </w:rPr>
                <w:t xml:space="preserve">Immunisation Victorian </w:t>
              </w:r>
            </w:hyperlink>
          </w:p>
          <w:p w14:paraId="1A26F6A5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hyperlink r:id="rId17" w:history="1">
              <w:r w:rsidRPr="00910843">
                <w:rPr>
                  <w:rStyle w:val="Hyperlink"/>
                  <w:szCs w:val="21"/>
                </w:rPr>
                <w:t>Immunisation schedule and vaccine eligibility criteria</w:t>
              </w:r>
            </w:hyperlink>
          </w:p>
          <w:p w14:paraId="63D0EAA9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hyperlink r:id="rId18" w:history="1">
              <w:r w:rsidRPr="00910843">
                <w:rPr>
                  <w:rStyle w:val="Hyperlink"/>
                  <w:szCs w:val="21"/>
                </w:rPr>
                <w:t>Cold chain breach reporting</w:t>
              </w:r>
            </w:hyperlink>
          </w:p>
          <w:p w14:paraId="60C7439D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hyperlink r:id="rId19" w:history="1">
              <w:r w:rsidRPr="00910843">
                <w:rPr>
                  <w:rStyle w:val="Hyperlink"/>
                  <w:szCs w:val="21"/>
                </w:rPr>
                <w:t>Order Victorian resources online</w:t>
              </w:r>
            </w:hyperlink>
          </w:p>
          <w:p w14:paraId="5779BF4A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hyperlink r:id="rId20" w:history="1">
              <w:r w:rsidRPr="00910843">
                <w:rPr>
                  <w:rStyle w:val="Hyperlink"/>
                  <w:szCs w:val="21"/>
                </w:rPr>
                <w:t>Resources for providers - fact sheets, vaccine hesitancy</w:t>
              </w:r>
            </w:hyperlink>
          </w:p>
          <w:p w14:paraId="74AC713E" w14:textId="77777777" w:rsidR="00902F4E" w:rsidRPr="00C5597A" w:rsidRDefault="00902F4E" w:rsidP="00902F4E">
            <w:pPr>
              <w:pStyle w:val="Heading4"/>
            </w:pPr>
            <w:r w:rsidRPr="00C5597A">
              <w:t>Onelink (vaccine orders and supply)</w:t>
            </w:r>
          </w:p>
          <w:p w14:paraId="16813EED" w14:textId="77777777" w:rsidR="00902F4E" w:rsidRPr="00AF6DC1" w:rsidRDefault="00902F4E" w:rsidP="00902F4E">
            <w:pPr>
              <w:pStyle w:val="Body"/>
              <w:rPr>
                <w:b/>
                <w:bCs/>
              </w:rPr>
            </w:pPr>
            <w:r w:rsidRPr="00AF6DC1">
              <w:t xml:space="preserve">Email: </w:t>
            </w:r>
            <w:hyperlink r:id="rId21" w:history="1">
              <w:r w:rsidRPr="00AF6DC1">
                <w:rPr>
                  <w:rStyle w:val="Hyperlink"/>
                  <w:szCs w:val="21"/>
                </w:rPr>
                <w:t>customerservice@onelink.com.au</w:t>
              </w:r>
            </w:hyperlink>
            <w:r w:rsidRPr="00AF6DC1">
              <w:t xml:space="preserve"> </w:t>
            </w:r>
          </w:p>
          <w:p w14:paraId="7757D70C" w14:textId="77777777" w:rsidR="00902F4E" w:rsidRDefault="00902F4E" w:rsidP="00902F4E">
            <w:pPr>
              <w:pStyle w:val="Body"/>
            </w:pPr>
            <w:r w:rsidRPr="00AF6DC1">
              <w:t xml:space="preserve">Phone: </w:t>
            </w:r>
            <w:r>
              <w:t xml:space="preserve">(03) </w:t>
            </w:r>
            <w:r w:rsidRPr="00AF6DC1">
              <w:t>8588 1042</w:t>
            </w:r>
            <w:r w:rsidRPr="00A77403">
              <w:t xml:space="preserve"> </w:t>
            </w:r>
          </w:p>
          <w:p w14:paraId="7FE1D61A" w14:textId="77777777" w:rsidR="00902F4E" w:rsidRDefault="00902F4E" w:rsidP="00902F4E">
            <w:pPr>
              <w:pStyle w:val="Body"/>
            </w:pPr>
            <w:hyperlink r:id="rId22" w:history="1">
              <w:r w:rsidRPr="00FB1096">
                <w:rPr>
                  <w:rStyle w:val="Hyperlink"/>
                </w:rPr>
                <w:t>Onelink Online</w:t>
              </w:r>
            </w:hyperlink>
          </w:p>
          <w:p w14:paraId="15DF8F45" w14:textId="77777777" w:rsidR="00902F4E" w:rsidRPr="00C5597A" w:rsidRDefault="00902F4E" w:rsidP="00902F4E">
            <w:pPr>
              <w:pStyle w:val="Heading4"/>
            </w:pPr>
            <w:r w:rsidRPr="00C5597A">
              <w:t>Better Health Channel</w:t>
            </w:r>
            <w:r w:rsidRPr="00C5597A">
              <w:t xml:space="preserve"> </w:t>
            </w:r>
          </w:p>
          <w:p w14:paraId="3C880C3B" w14:textId="77777777" w:rsidR="00902F4E" w:rsidRDefault="00902F4E" w:rsidP="00902F4E">
            <w:pPr>
              <w:pStyle w:val="Body"/>
            </w:pPr>
            <w:hyperlink r:id="rId23" w:history="1">
              <w:r w:rsidRPr="0043002F">
                <w:rPr>
                  <w:rStyle w:val="Hyperlink"/>
                </w:rPr>
                <w:t>Immunisation</w:t>
              </w:r>
            </w:hyperlink>
          </w:p>
          <w:p w14:paraId="4A49F5D2" w14:textId="77777777" w:rsidR="00902F4E" w:rsidRPr="00AF6DC1" w:rsidRDefault="00902F4E" w:rsidP="00902F4E">
            <w:pPr>
              <w:pStyle w:val="Heading4"/>
            </w:pPr>
            <w:r w:rsidRPr="00AF6DC1">
              <w:t>Hospital-based immunisation service – RCH/Monash</w:t>
            </w:r>
          </w:p>
          <w:p w14:paraId="12685095" w14:textId="77777777" w:rsidR="00902F4E" w:rsidRDefault="00902F4E" w:rsidP="00902F4E">
            <w:pPr>
              <w:pStyle w:val="Body"/>
            </w:pPr>
            <w:r w:rsidRPr="00AF6DC1">
              <w:t>Phone:</w:t>
            </w:r>
            <w:r>
              <w:t xml:space="preserve"> </w:t>
            </w:r>
            <w:r w:rsidRPr="00AF6DC1">
              <w:t>1300 882 924</w:t>
            </w:r>
          </w:p>
          <w:p w14:paraId="46E82F0F" w14:textId="77777777" w:rsidR="00902F4E" w:rsidRPr="00AF6DC1" w:rsidRDefault="00902F4E" w:rsidP="00902F4E">
            <w:pPr>
              <w:pStyle w:val="Heading4"/>
            </w:pPr>
            <w:r w:rsidRPr="00AF6DC1">
              <w:t xml:space="preserve">SAEFVIC vaccine safety service </w:t>
            </w:r>
          </w:p>
          <w:p w14:paraId="54621E80" w14:textId="77777777" w:rsidR="00902F4E" w:rsidRPr="00AF6DC1" w:rsidRDefault="00902F4E" w:rsidP="00902F4E">
            <w:pPr>
              <w:pStyle w:val="Body"/>
              <w:rPr>
                <w:b/>
                <w:bCs/>
                <w:szCs w:val="21"/>
              </w:rPr>
            </w:pPr>
            <w:r w:rsidRPr="00AF6DC1">
              <w:rPr>
                <w:szCs w:val="21"/>
              </w:rPr>
              <w:t>Phone: 1300 882 924 #1</w:t>
            </w:r>
          </w:p>
          <w:p w14:paraId="5338FC5A" w14:textId="77777777" w:rsidR="00902F4E" w:rsidRPr="00AF6DC1" w:rsidRDefault="00902F4E" w:rsidP="00902F4E">
            <w:pPr>
              <w:pStyle w:val="Body"/>
              <w:rPr>
                <w:b/>
                <w:bCs/>
                <w:szCs w:val="21"/>
              </w:rPr>
            </w:pPr>
            <w:r w:rsidRPr="00AF6DC1">
              <w:rPr>
                <w:szCs w:val="21"/>
              </w:rPr>
              <w:t xml:space="preserve">Email: </w:t>
            </w:r>
            <w:hyperlink r:id="rId24" w:history="1">
              <w:r w:rsidRPr="00AF6DC1">
                <w:rPr>
                  <w:rStyle w:val="Hyperlink"/>
                  <w:szCs w:val="21"/>
                </w:rPr>
                <w:t>saefvic@mcri.edu.au</w:t>
              </w:r>
            </w:hyperlink>
            <w:r w:rsidRPr="00AF6DC1">
              <w:rPr>
                <w:szCs w:val="21"/>
              </w:rPr>
              <w:t xml:space="preserve"> </w:t>
            </w:r>
          </w:p>
          <w:p w14:paraId="4C35D918" w14:textId="77777777" w:rsidR="00902F4E" w:rsidRDefault="00902F4E" w:rsidP="00902F4E">
            <w:pPr>
              <w:pStyle w:val="Body"/>
              <w:rPr>
                <w:rStyle w:val="Hyperlink"/>
                <w:szCs w:val="21"/>
              </w:rPr>
            </w:pPr>
            <w:hyperlink r:id="rId25" w:history="1">
              <w:r w:rsidRPr="00C5597A">
                <w:rPr>
                  <w:rStyle w:val="Hyperlink"/>
                  <w:szCs w:val="21"/>
                </w:rPr>
                <w:t>Online report</w:t>
              </w:r>
            </w:hyperlink>
            <w:r w:rsidRPr="00AF6DC1">
              <w:rPr>
                <w:rStyle w:val="Hyperlink"/>
                <w:szCs w:val="21"/>
              </w:rPr>
              <w:t xml:space="preserve"> </w:t>
            </w:r>
          </w:p>
          <w:p w14:paraId="576A1EE3" w14:textId="6D605D73" w:rsidR="00902F4E" w:rsidRPr="00902F4E" w:rsidRDefault="00902F4E" w:rsidP="00902F4E">
            <w:pPr>
              <w:pStyle w:val="Body"/>
              <w:rPr>
                <w:color w:val="004C97"/>
                <w:szCs w:val="21"/>
                <w:u w:val="dotted"/>
              </w:rPr>
            </w:pPr>
            <w:hyperlink r:id="rId26" w:history="1">
              <w:r w:rsidRPr="00C5597A">
                <w:rPr>
                  <w:rStyle w:val="Hyperlink"/>
                  <w:szCs w:val="21"/>
                </w:rPr>
                <w:t>Zostavax vaccine GP decision aid</w:t>
              </w:r>
            </w:hyperlink>
            <w:r>
              <w:t xml:space="preserve">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93AEA" w14:textId="77777777" w:rsidR="00902F4E" w:rsidRPr="00AF6DC1" w:rsidRDefault="00902F4E" w:rsidP="00902F4E">
            <w:pPr>
              <w:pStyle w:val="Heading4"/>
            </w:pPr>
            <w:r w:rsidRPr="00AF6DC1">
              <w:t>Australian Immunisation Register</w:t>
            </w:r>
          </w:p>
          <w:p w14:paraId="4A160949" w14:textId="77777777" w:rsidR="00902F4E" w:rsidRPr="00AF6DC1" w:rsidRDefault="00902F4E" w:rsidP="00902F4E">
            <w:pPr>
              <w:pStyle w:val="Body"/>
              <w:rPr>
                <w:b/>
                <w:bCs/>
              </w:rPr>
            </w:pPr>
            <w:r w:rsidRPr="00AF6DC1">
              <w:t xml:space="preserve">Email: </w:t>
            </w:r>
            <w:hyperlink r:id="rId27" w:history="1">
              <w:r w:rsidRPr="00AF6DC1">
                <w:rPr>
                  <w:rStyle w:val="Hyperlink"/>
                  <w:szCs w:val="21"/>
                </w:rPr>
                <w:t>AIR@servicesaustralia.gov.au</w:t>
              </w:r>
            </w:hyperlink>
            <w:r w:rsidRPr="00AF6DC1">
              <w:t xml:space="preserve"> </w:t>
            </w:r>
          </w:p>
          <w:p w14:paraId="4A6F0D09" w14:textId="77777777" w:rsidR="00902F4E" w:rsidRPr="00AF6DC1" w:rsidRDefault="00902F4E" w:rsidP="00902F4E">
            <w:pPr>
              <w:pStyle w:val="Body"/>
              <w:rPr>
                <w:b/>
                <w:bCs/>
              </w:rPr>
            </w:pPr>
            <w:r w:rsidRPr="00AF6DC1">
              <w:t>Phone: 1800 653 809</w:t>
            </w:r>
          </w:p>
          <w:p w14:paraId="2153F21B" w14:textId="77777777" w:rsidR="00902F4E" w:rsidRPr="00AF6DC1" w:rsidRDefault="00902F4E" w:rsidP="00902F4E">
            <w:pPr>
              <w:pStyle w:val="Body"/>
              <w:rPr>
                <w:b/>
                <w:bCs/>
              </w:rPr>
            </w:pPr>
            <w:r w:rsidRPr="00AF6DC1">
              <w:t>Fax: (08) 9254 4810</w:t>
            </w:r>
          </w:p>
          <w:p w14:paraId="2C7BB580" w14:textId="77777777" w:rsidR="00902F4E" w:rsidRDefault="00902F4E" w:rsidP="00902F4E">
            <w:pPr>
              <w:pStyle w:val="Body"/>
            </w:pPr>
            <w:r w:rsidRPr="00AF6DC1">
              <w:t>Internet Helpdesk: 1300 650 039</w:t>
            </w:r>
          </w:p>
          <w:p w14:paraId="20EEB21D" w14:textId="77777777" w:rsidR="00902F4E" w:rsidRPr="00C5597A" w:rsidRDefault="00902F4E" w:rsidP="00902F4E">
            <w:pPr>
              <w:pStyle w:val="Heading4"/>
            </w:pPr>
            <w:r w:rsidRPr="00C5597A">
              <w:t>Australian Immunisation Handbook</w:t>
            </w:r>
          </w:p>
          <w:p w14:paraId="0033C85F" w14:textId="77777777" w:rsidR="00902F4E" w:rsidRPr="00FF6B70" w:rsidRDefault="00902F4E" w:rsidP="00902F4E">
            <w:pPr>
              <w:pStyle w:val="Body"/>
            </w:pPr>
            <w:hyperlink r:id="rId28" w:history="1">
              <w:r w:rsidRPr="00FF6B70">
                <w:rPr>
                  <w:rStyle w:val="Hyperlink"/>
                </w:rPr>
                <w:t>Australian Immunisation Handbook</w:t>
              </w:r>
            </w:hyperlink>
          </w:p>
          <w:p w14:paraId="5D9AA313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r w:rsidRPr="00C5597A">
              <w:fldChar w:fldCharType="begin"/>
            </w:r>
            <w:r w:rsidRPr="00C5597A">
              <w:instrText xml:space="preserve"> HYPERLINK "https://immunisationhandbook.health.gov.au/resources" </w:instrText>
            </w:r>
            <w:r w:rsidRPr="00C5597A">
              <w:fldChar w:fldCharType="separate"/>
            </w:r>
            <w:r>
              <w:rPr>
                <w:rStyle w:val="Hyperlink"/>
                <w:szCs w:val="21"/>
              </w:rPr>
              <w:t>Re</w:t>
            </w:r>
            <w:r w:rsidRPr="00910843">
              <w:rPr>
                <w:rStyle w:val="Hyperlink"/>
                <w:szCs w:val="21"/>
              </w:rPr>
              <w:t>sources</w:t>
            </w:r>
          </w:p>
          <w:p w14:paraId="106F0372" w14:textId="77777777" w:rsidR="00902F4E" w:rsidRPr="00C50274" w:rsidRDefault="00902F4E" w:rsidP="00902F4E">
            <w:pPr>
              <w:pStyle w:val="Heading4"/>
            </w:pPr>
            <w:r w:rsidRPr="00C5597A">
              <w:fldChar w:fldCharType="end"/>
            </w:r>
            <w:r w:rsidRPr="00C50274">
              <w:t>Australian govern</w:t>
            </w:r>
            <w:r w:rsidRPr="00C50274">
              <w:t>m</w:t>
            </w:r>
            <w:r w:rsidRPr="00C50274">
              <w:t xml:space="preserve">ent – </w:t>
            </w:r>
            <w:bookmarkStart w:id="0" w:name="_Hlk86824608"/>
            <w:r w:rsidRPr="00C50274">
              <w:t>resources</w:t>
            </w:r>
            <w:bookmarkEnd w:id="0"/>
          </w:p>
          <w:p w14:paraId="0DE3F1BA" w14:textId="77777777" w:rsidR="00902F4E" w:rsidRPr="00C50274" w:rsidRDefault="00902F4E" w:rsidP="00902F4E">
            <w:pPr>
              <w:pStyle w:val="Body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"https://www.health.gov.au/resources" </w:instrText>
            </w:r>
            <w:r>
              <w:fldChar w:fldCharType="separate"/>
            </w:r>
            <w:r w:rsidRPr="00C50274">
              <w:rPr>
                <w:rStyle w:val="Hyperlink"/>
              </w:rPr>
              <w:t>Resources</w:t>
            </w:r>
          </w:p>
          <w:p w14:paraId="7CBD20B8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r>
              <w:fldChar w:fldCharType="end"/>
            </w:r>
            <w:hyperlink r:id="rId29" w:history="1">
              <w:r w:rsidRPr="00910843">
                <w:rPr>
                  <w:rStyle w:val="Hyperlink"/>
                  <w:szCs w:val="21"/>
                </w:rPr>
                <w:t>National Vaccine Storage Guidelines ‘Strive for 5’</w:t>
              </w:r>
            </w:hyperlink>
          </w:p>
          <w:p w14:paraId="7E9D1CDD" w14:textId="77777777" w:rsidR="00902F4E" w:rsidRPr="00910843" w:rsidRDefault="00902F4E" w:rsidP="00902F4E">
            <w:pPr>
              <w:pStyle w:val="Heading4"/>
            </w:pPr>
            <w:r>
              <w:t>Vaccine catch-up</w:t>
            </w:r>
          </w:p>
          <w:p w14:paraId="6C694B62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hyperlink r:id="rId30" w:history="1">
              <w:r w:rsidRPr="00910843">
                <w:rPr>
                  <w:rStyle w:val="Hyperlink"/>
                  <w:szCs w:val="21"/>
                </w:rPr>
                <w:t>Under 10 years</w:t>
              </w:r>
            </w:hyperlink>
          </w:p>
          <w:p w14:paraId="1E7DED9B" w14:textId="77777777" w:rsidR="00902F4E" w:rsidRPr="00910843" w:rsidRDefault="00902F4E" w:rsidP="00902F4E">
            <w:pPr>
              <w:pStyle w:val="Body"/>
              <w:rPr>
                <w:rStyle w:val="Hyperlink"/>
                <w:szCs w:val="21"/>
              </w:rPr>
            </w:pPr>
            <w:hyperlink r:id="rId31" w:history="1">
              <w:r w:rsidRPr="00910843">
                <w:rPr>
                  <w:rStyle w:val="Hyperlink"/>
                  <w:szCs w:val="21"/>
                </w:rPr>
                <w:t>10 years and over</w:t>
              </w:r>
            </w:hyperlink>
          </w:p>
          <w:p w14:paraId="601128A6" w14:textId="77777777" w:rsidR="00902F4E" w:rsidRPr="00AF6DC1" w:rsidRDefault="00902F4E" w:rsidP="00902F4E">
            <w:pPr>
              <w:pStyle w:val="Heading4"/>
            </w:pPr>
            <w:r w:rsidRPr="00AF6DC1">
              <w:t>Vaccine manufacturers</w:t>
            </w:r>
          </w:p>
          <w:p w14:paraId="0D51643D" w14:textId="77777777" w:rsidR="00902F4E" w:rsidRPr="00AF6DC1" w:rsidRDefault="00902F4E" w:rsidP="00902F4E">
            <w:pPr>
              <w:pStyle w:val="Body"/>
              <w:rPr>
                <w:b/>
                <w:bCs/>
                <w:szCs w:val="21"/>
              </w:rPr>
            </w:pPr>
            <w:r w:rsidRPr="00AF6DC1">
              <w:rPr>
                <w:szCs w:val="21"/>
              </w:rPr>
              <w:t>Seqirus: 1800 008 275</w:t>
            </w:r>
          </w:p>
          <w:p w14:paraId="067F3C46" w14:textId="77777777" w:rsidR="00902F4E" w:rsidRPr="00AF6DC1" w:rsidRDefault="00902F4E" w:rsidP="00902F4E">
            <w:pPr>
              <w:pStyle w:val="Body"/>
              <w:rPr>
                <w:b/>
                <w:bCs/>
                <w:szCs w:val="21"/>
              </w:rPr>
            </w:pPr>
            <w:r w:rsidRPr="00AF6DC1">
              <w:rPr>
                <w:szCs w:val="21"/>
              </w:rPr>
              <w:t>Seqirus Medical: 1800 642 865</w:t>
            </w:r>
          </w:p>
          <w:p w14:paraId="5A38012D" w14:textId="77777777" w:rsidR="00902F4E" w:rsidRPr="00AF6DC1" w:rsidRDefault="00902F4E" w:rsidP="00902F4E">
            <w:pPr>
              <w:pStyle w:val="Body"/>
              <w:rPr>
                <w:b/>
                <w:bCs/>
                <w:szCs w:val="21"/>
              </w:rPr>
            </w:pPr>
            <w:r w:rsidRPr="00AF6DC1">
              <w:rPr>
                <w:szCs w:val="21"/>
              </w:rPr>
              <w:t>GSK Medical/General: 1800 033 109</w:t>
            </w:r>
          </w:p>
          <w:p w14:paraId="3191FA95" w14:textId="77777777" w:rsidR="00902F4E" w:rsidRPr="00AF6DC1" w:rsidRDefault="00902F4E" w:rsidP="00902F4E">
            <w:pPr>
              <w:pStyle w:val="Body"/>
              <w:rPr>
                <w:b/>
                <w:bCs/>
                <w:szCs w:val="21"/>
              </w:rPr>
            </w:pPr>
            <w:r w:rsidRPr="00AF6DC1">
              <w:rPr>
                <w:szCs w:val="21"/>
              </w:rPr>
              <w:t>Pfizer: 1800 675 229</w:t>
            </w:r>
          </w:p>
          <w:p w14:paraId="4846FACC" w14:textId="77777777" w:rsidR="00902F4E" w:rsidRDefault="00902F4E" w:rsidP="00902F4E">
            <w:pPr>
              <w:pStyle w:val="Body"/>
            </w:pPr>
            <w:r w:rsidRPr="00AF6DC1">
              <w:t>Sanofi Pasteur Medical/General: 1800 829 468</w:t>
            </w:r>
            <w:r w:rsidRPr="00A77403">
              <w:t xml:space="preserve"> </w:t>
            </w:r>
          </w:p>
          <w:p w14:paraId="1D2FD0E5" w14:textId="77777777" w:rsidR="00902F4E" w:rsidRDefault="00902F4E" w:rsidP="00C5597A">
            <w:pPr>
              <w:pStyle w:val="Heading4"/>
            </w:pPr>
          </w:p>
        </w:tc>
      </w:tr>
      <w:tr w:rsidR="0055119B" w14:paraId="32490EB9" w14:textId="77777777" w:rsidTr="0090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108" w:type="dxa"/>
            <w:right w:w="108" w:type="dxa"/>
          </w:tblCellMar>
        </w:tblPrEx>
        <w:trPr>
          <w:gridAfter w:val="1"/>
          <w:wAfter w:w="149" w:type="dxa"/>
        </w:trPr>
        <w:tc>
          <w:tcPr>
            <w:tcW w:w="10194" w:type="dxa"/>
            <w:gridSpan w:val="2"/>
            <w:tcBorders>
              <w:top w:val="single" w:sz="4" w:space="0" w:color="auto"/>
            </w:tcBorders>
          </w:tcPr>
          <w:p w14:paraId="1A9F3CBD" w14:textId="757554F3" w:rsidR="00A77403" w:rsidRPr="0055119B" w:rsidRDefault="00A77403" w:rsidP="00A77403">
            <w:pPr>
              <w:pStyle w:val="Accessibilitypara"/>
            </w:pPr>
            <w:bookmarkStart w:id="1" w:name="_Hlk37240926"/>
            <w:r w:rsidRPr="0055119B">
              <w:t>To receive this document in another format, email</w:t>
            </w:r>
            <w:r>
              <w:t xml:space="preserve"> the </w:t>
            </w:r>
            <w:hyperlink r:id="rId32" w:history="1">
              <w:r w:rsidRPr="009C6D72">
                <w:rPr>
                  <w:rStyle w:val="Hyperlink"/>
                </w:rPr>
                <w:t>Immunisation Unit, Department of Health &lt;immunisation@health.vic.gov.au&gt;.</w:t>
              </w:r>
            </w:hyperlink>
          </w:p>
          <w:p w14:paraId="69E9DA3A" w14:textId="77777777" w:rsidR="00A77403" w:rsidRPr="0055119B" w:rsidRDefault="00A77403" w:rsidP="00A77403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FAC5BC3" w14:textId="2FE7E65D" w:rsidR="0055119B" w:rsidRDefault="00A77403" w:rsidP="00A77403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902F4E">
              <w:t>November</w:t>
            </w:r>
            <w:r w:rsidRPr="009C6D72">
              <w:t xml:space="preserve"> 2021</w:t>
            </w:r>
            <w:r w:rsidRPr="0055119B">
              <w:t>.</w:t>
            </w:r>
          </w:p>
        </w:tc>
      </w:tr>
      <w:bookmarkEnd w:id="1"/>
    </w:tbl>
    <w:p w14:paraId="37C6A29A" w14:textId="5852E4B0" w:rsidR="00162CA9" w:rsidRDefault="00162CA9" w:rsidP="00162CA9">
      <w:pPr>
        <w:pStyle w:val="Body"/>
      </w:pPr>
    </w:p>
    <w:sectPr w:rsidR="00162CA9" w:rsidSect="00E62622">
      <w:footerReference w:type="default" r:id="rId3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EFE49" w14:textId="77777777" w:rsidR="00696194" w:rsidRDefault="00696194">
      <w:r>
        <w:separator/>
      </w:r>
    </w:p>
  </w:endnote>
  <w:endnote w:type="continuationSeparator" w:id="0">
    <w:p w14:paraId="08759372" w14:textId="77777777" w:rsidR="00696194" w:rsidRDefault="0069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⸿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561B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04FD67D" wp14:editId="41E4709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3C15D4C" wp14:editId="5C252F2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2CCB9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C15D4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A2CCB9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2A936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98E1561" wp14:editId="7AD6DE8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8E877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8E1561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88E877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154B8" w14:textId="14BA647E" w:rsidR="00373890" w:rsidRPr="00F65AA9" w:rsidRDefault="00D54B6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DADE01B" wp14:editId="3EEA8D9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39048a6b23ca75f3c85ac2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E911C" w14:textId="5310CBA5" w:rsidR="00D54B66" w:rsidRPr="00D54B66" w:rsidRDefault="00D54B66" w:rsidP="00D54B6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54B6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ADE01B" id="_x0000_t202" coordsize="21600,21600" o:spt="202" path="m,l,21600r21600,l21600,xe">
              <v:stroke joinstyle="miter"/>
              <v:path gradientshapeok="t" o:connecttype="rect"/>
            </v:shapetype>
            <v:shape id="MSIPCMe39048a6b23ca75f3c85ac2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0RrgIAAEwFAAAOAAAAZHJzL2Uyb0RvYy54bWysVM9v2jAUvk/a/2D5sNPWJECAZg0Vo2Kt&#10;RFskOvVsHIdESvxc25Swaf/7nhOHdt1O0y7J8/c9v9/PF5dNXZFnoU0JMqXRWUiJkByyUu5S+u1h&#10;+WlKibFMZqwCKVJ6FIZezt6/uzioRAyggCoTmqARaZKDSmlhrUqCwPBC1MycgRISyRx0zSwe9S7I&#10;NDug9boKBmE4Dg6gM6WBC2MQvepIOmvt57ng9j7PjbCkSinGZtuvbr9b9w1mFyzZaaaKkvsw2D9E&#10;UbNSotOTqStmGdnr8g9Tdck1GMjtGYc6gDwvuWhzwGyi8E02m4Ip0eaCxTHqVCbz/8zyu+e1JmWG&#10;vaNEshpbdLu5WS9uxfA8HE3ZeDsYcjaJ8yGfxowPYkoyYThW8MeHpz3Yz9fMFAvIRHdK8NIkng7H&#10;0UdPi3JXWE9ORzggnngsM1t4PD6PT/i6YlzUQvZ3OpUlgBW6k72BG5mJxhvofmtd1kwff9Pa4ATg&#10;aHq9gb/7AMoj4cnxSuS9TwR/usk4KJNggTYKS2SbL9C4KnncIOga3uS6dn9sJUEeZ+x4mivRWMIR&#10;nMTjcBghxZEbRtFkGjszwcttpY39KqAmTkipxqjbcWLPK2M71V7FOZOwLKsKcZZUkhxSOh7GYXvh&#10;xKDxSqIPl0MXq5Nss23abg/6PLaQHTE9Dd1qGMWXJcawYsaumcZdwLBxv+09fvIK0Bd4iZIC9Pe/&#10;4U4fRxRZSg64Wyk1T3umBSXVjcThPY9GI7eM7QEF/Rrd9qjc1wvAtcXBxKha0enaqhdzDfUjrv/c&#10;eUOKSY4+U7rtxYXFExL4fHAxn7cyrp1idiU3ijvTroSusg/NI9PKl99i4+6g3z6WvOlCp9v1Yb63&#10;kJdti1x9u2r6suPKtk32z4t7E16fW62XR3D2C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/Zy0R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62E911C" w14:textId="5310CBA5" w:rsidR="00D54B66" w:rsidRPr="00D54B66" w:rsidRDefault="00D54B66" w:rsidP="00D54B6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54B6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02425BB" wp14:editId="25C849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4BB53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425BB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14BB53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B3D69" w14:textId="77777777" w:rsidR="00696194" w:rsidRDefault="00696194" w:rsidP="002862F1">
      <w:pPr>
        <w:spacing w:before="120"/>
      </w:pPr>
      <w:r>
        <w:separator/>
      </w:r>
    </w:p>
  </w:footnote>
  <w:footnote w:type="continuationSeparator" w:id="0">
    <w:p w14:paraId="2B5517A8" w14:textId="77777777" w:rsidR="00696194" w:rsidRDefault="0069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801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C1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002F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E67F7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19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4B5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65C8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1A95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2F4E"/>
    <w:rsid w:val="00904A1C"/>
    <w:rsid w:val="00904AB4"/>
    <w:rsid w:val="00905030"/>
    <w:rsid w:val="00906490"/>
    <w:rsid w:val="00910843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0D9E"/>
    <w:rsid w:val="00A7161C"/>
    <w:rsid w:val="00A77403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4856"/>
    <w:rsid w:val="00AE59A0"/>
    <w:rsid w:val="00AF0C57"/>
    <w:rsid w:val="00AF26F3"/>
    <w:rsid w:val="00AF5F04"/>
    <w:rsid w:val="00AF6DC1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5825"/>
    <w:rsid w:val="00C26588"/>
    <w:rsid w:val="00C27DE9"/>
    <w:rsid w:val="00C32989"/>
    <w:rsid w:val="00C33388"/>
    <w:rsid w:val="00C35484"/>
    <w:rsid w:val="00C4173A"/>
    <w:rsid w:val="00C50274"/>
    <w:rsid w:val="00C50DED"/>
    <w:rsid w:val="00C5597A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B66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6259"/>
    <w:rsid w:val="00EF109B"/>
    <w:rsid w:val="00EF1D5C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1096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B70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B30F3"/>
  <w15:docId w15:val="{2E92FD2B-ED74-4C6C-9753-3494E0E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public-health/immunisation/cold-chain-management/cold-chain-breach-reporting" TargetMode="External"/><Relationship Id="rId26" Type="http://schemas.openxmlformats.org/officeDocument/2006/relationships/hyperlink" Target="https://mvec.mcri.edu.au/wp-content/uploads/2017/08/Zostavax-GP-Decision-Ai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ustomerservice@onelink.com.au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health.vic.gov.au/public-health/immunisation/immunisation-schedule-vaccine-eligibility-criteria/immunisation-schedule-victoria" TargetMode="External"/><Relationship Id="rId25" Type="http://schemas.openxmlformats.org/officeDocument/2006/relationships/hyperlink" Target="https://www.aefican.org.au/Home/Login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health.vic.gov.au/public-health/immunisation" TargetMode="External"/><Relationship Id="rId20" Type="http://schemas.openxmlformats.org/officeDocument/2006/relationships/hyperlink" Target="https://www2.health.vic.gov.au/public-health/immunisation/immunisation-provider-information/immunisation-resources-for-providers" TargetMode="External"/><Relationship Id="rId29" Type="http://schemas.openxmlformats.org/officeDocument/2006/relationships/hyperlink" Target="https://www.health.gov.au/resources/collections/national-vaccine-storage-guidelines-resource-collec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aefvic@mcri.edu.au" TargetMode="External"/><Relationship Id="rId32" Type="http://schemas.openxmlformats.org/officeDocument/2006/relationships/hyperlink" Target="mailto:immunisation@health.vic.gov.au?subject=Quick%20links%20for%20immunisation%20-%20fact%20shee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mmunisation@health.vic.gov.au" TargetMode="External"/><Relationship Id="rId23" Type="http://schemas.openxmlformats.org/officeDocument/2006/relationships/hyperlink" Target="https://www.betterhealth.vic.gov.au/healthyliving/immunisation" TargetMode="External"/><Relationship Id="rId28" Type="http://schemas.openxmlformats.org/officeDocument/2006/relationships/hyperlink" Target="https://immunisationhandbook.health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public-health/immunisation/immunisation-resources-order-form" TargetMode="External"/><Relationship Id="rId31" Type="http://schemas.openxmlformats.org/officeDocument/2006/relationships/hyperlink" Target="https://www2.health.vic.gov.au/about/publications/factsheets/vic-immunisation-catch-up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onelinkonline.net/" TargetMode="External"/><Relationship Id="rId27" Type="http://schemas.openxmlformats.org/officeDocument/2006/relationships/hyperlink" Target="mailto:AIR@servicesaustralia.gov.au" TargetMode="External"/><Relationship Id="rId30" Type="http://schemas.openxmlformats.org/officeDocument/2006/relationships/hyperlink" Target="https://immunisationhandbook.health.gov.au/catch-up-calculator/calculator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6f13c3b-1a5e-4b20-8813-0ef8710fa369"/>
  </ds:schemaRefs>
</ds:datastoreItem>
</file>

<file path=customXml/itemProps4.xml><?xml version="1.0" encoding="utf-8"?>
<ds:datastoreItem xmlns:ds="http://schemas.openxmlformats.org/officeDocument/2006/customXml" ds:itemID="{8F3923CF-57AE-4D41-97A1-FE675B393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3312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navy factsheet</dc:title>
  <dc:subject/>
  <dc:creator>Georgia Flowers (DHHS)</dc:creator>
  <cp:keywords/>
  <dc:description/>
  <cp:lastModifiedBy>Georgia Flowers (Health)</cp:lastModifiedBy>
  <cp:revision>13</cp:revision>
  <cp:lastPrinted>2021-11-02T22:42:00Z</cp:lastPrinted>
  <dcterms:created xsi:type="dcterms:W3CDTF">2021-09-17T00:54:00Z</dcterms:created>
  <dcterms:modified xsi:type="dcterms:W3CDTF">2021-11-02T22:42:00Z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2021-11-02T22:42:36Z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