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5F" w:rsidRPr="00602735" w:rsidRDefault="005D364D" w:rsidP="008F1621">
      <w:pPr>
        <w:pStyle w:val="DHHStabletext"/>
        <w:rPr>
          <w:rFonts w:ascii="VIC" w:hAnsi="VIC"/>
        </w:rPr>
      </w:pPr>
      <w:r w:rsidRPr="00602735">
        <w:rPr>
          <w:rFonts w:ascii="VIC" w:hAnsi="VIC"/>
          <w:noProof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5305" cy="1713865"/>
            <wp:effectExtent l="0" t="0" r="0" b="0"/>
            <wp:wrapNone/>
            <wp:docPr id="35" name="Picture 35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602735" w:rsidRDefault="00A62D44" w:rsidP="008F1621">
      <w:pPr>
        <w:pStyle w:val="DHHStabletext"/>
        <w:rPr>
          <w:rFonts w:ascii="VIC" w:hAnsi="VIC"/>
        </w:rPr>
        <w:sectPr w:rsidR="00A62D44" w:rsidRPr="00602735" w:rsidSect="00CF41DA">
          <w:footerReference w:type="default" r:id="rId9"/>
          <w:pgSz w:w="16838" w:h="11906" w:orient="landscape" w:code="9"/>
          <w:pgMar w:top="425" w:right="851" w:bottom="1418" w:left="851" w:header="510" w:footer="510" w:gutter="0"/>
          <w:cols w:space="708"/>
          <w:docGrid w:linePitch="360"/>
        </w:sectPr>
      </w:pPr>
    </w:p>
    <w:tbl>
      <w:tblPr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A3438" w:rsidRPr="00602735" w:rsidTr="00BA4845">
        <w:trPr>
          <w:trHeight w:val="1106"/>
        </w:trPr>
        <w:tc>
          <w:tcPr>
            <w:tcW w:w="13291" w:type="dxa"/>
            <w:shd w:val="clear" w:color="auto" w:fill="auto"/>
            <w:vAlign w:val="bottom"/>
          </w:tcPr>
          <w:p w:rsidR="003A3438" w:rsidRPr="00602735" w:rsidRDefault="005D364D" w:rsidP="00335656">
            <w:pPr>
              <w:pStyle w:val="DHHSmainheading"/>
              <w:rPr>
                <w:rFonts w:ascii="VIC" w:hAnsi="VIC"/>
              </w:rPr>
            </w:pPr>
            <w:bookmarkStart w:id="0" w:name="_Toc410762195"/>
            <w:r w:rsidRPr="00602735">
              <w:rPr>
                <w:rFonts w:ascii="VIC" w:hAnsi="VIC"/>
              </w:rPr>
              <w:t xml:space="preserve">CYMHS/CAMHS mental health </w:t>
            </w:r>
            <w:r w:rsidR="00671410">
              <w:rPr>
                <w:rFonts w:ascii="VIC" w:hAnsi="VIC"/>
              </w:rPr>
              <w:t>q</w:t>
            </w:r>
            <w:r w:rsidRPr="00602735">
              <w:rPr>
                <w:rFonts w:ascii="VIC" w:hAnsi="VIC"/>
              </w:rPr>
              <w:t xml:space="preserve">uarterly </w:t>
            </w:r>
            <w:r w:rsidR="00671410">
              <w:rPr>
                <w:rFonts w:ascii="VIC" w:hAnsi="VIC"/>
              </w:rPr>
              <w:t xml:space="preserve">KPI </w:t>
            </w:r>
            <w:r w:rsidRPr="00602735">
              <w:rPr>
                <w:rFonts w:ascii="VIC" w:hAnsi="VIC"/>
              </w:rPr>
              <w:t xml:space="preserve">report </w:t>
            </w:r>
          </w:p>
        </w:tc>
      </w:tr>
      <w:tr w:rsidR="003A3438" w:rsidRPr="00602735" w:rsidTr="00CA6B58">
        <w:trPr>
          <w:trHeight w:hRule="exact" w:val="709"/>
        </w:trPr>
        <w:tc>
          <w:tcPr>
            <w:tcW w:w="13291" w:type="dxa"/>
            <w:shd w:val="clear" w:color="auto" w:fill="auto"/>
            <w:tcMar>
              <w:top w:w="340" w:type="dxa"/>
              <w:bottom w:w="680" w:type="dxa"/>
            </w:tcMar>
          </w:tcPr>
          <w:p w:rsidR="003A3438" w:rsidRPr="00602735" w:rsidRDefault="005D364D" w:rsidP="00335656">
            <w:pPr>
              <w:pStyle w:val="DHHSmainsubheading"/>
              <w:rPr>
                <w:rFonts w:ascii="VIC" w:hAnsi="VIC"/>
              </w:rPr>
            </w:pPr>
            <w:r w:rsidRPr="00602735">
              <w:rPr>
                <w:rFonts w:ascii="VIC" w:hAnsi="VIC"/>
              </w:rPr>
              <w:t>2018-19 Q4</w:t>
            </w:r>
          </w:p>
        </w:tc>
      </w:tr>
    </w:tbl>
    <w:p w:rsidR="00BE5C6B" w:rsidRDefault="00BE5C6B" w:rsidP="00BE5C6B">
      <w:pPr>
        <w:pStyle w:val="DHHSTOCheadingfactsheet"/>
        <w:rPr>
          <w:rFonts w:ascii="VIC" w:hAnsi="VIC"/>
        </w:rPr>
      </w:pPr>
      <w:r>
        <w:rPr>
          <w:rFonts w:ascii="VIC" w:hAnsi="VIC"/>
        </w:rPr>
        <w:t>Contents</w:t>
      </w:r>
    </w:p>
    <w:p w:rsidR="00D62C84" w:rsidRDefault="003A3438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 w:rsidRPr="00602735">
        <w:rPr>
          <w:rFonts w:ascii="VIC" w:hAnsi="VIC"/>
        </w:rPr>
        <w:fldChar w:fldCharType="begin"/>
      </w:r>
      <w:r w:rsidRPr="00602735">
        <w:rPr>
          <w:rFonts w:ascii="VIC" w:hAnsi="VIC"/>
        </w:rPr>
        <w:instrText xml:space="preserve"> TOC \h \z \t "Heading 1,1,Heading 2,2" </w:instrText>
      </w:r>
      <w:r w:rsidRPr="00602735">
        <w:rPr>
          <w:rFonts w:ascii="VIC" w:hAnsi="VIC"/>
        </w:rPr>
        <w:fldChar w:fldCharType="separate"/>
      </w:r>
      <w:hyperlink w:anchor="_Toc15472488" w:history="1">
        <w:r w:rsidR="00D62C84" w:rsidRPr="00592A16">
          <w:rPr>
            <w:rStyle w:val="Hyperlink"/>
            <w:rFonts w:ascii="VIC" w:hAnsi="VIC"/>
          </w:rPr>
          <w:t>Inpatient - 2018-19 Q4</w:t>
        </w:r>
        <w:r w:rsidR="00D62C84">
          <w:rPr>
            <w:webHidden/>
          </w:rPr>
          <w:tab/>
        </w:r>
        <w:r w:rsidR="00D62C84">
          <w:rPr>
            <w:webHidden/>
          </w:rPr>
          <w:fldChar w:fldCharType="begin"/>
        </w:r>
        <w:r w:rsidR="00D62C84">
          <w:rPr>
            <w:webHidden/>
          </w:rPr>
          <w:instrText xml:space="preserve"> PAGEREF _Toc15472488 \h </w:instrText>
        </w:r>
        <w:r w:rsidR="00D62C84">
          <w:rPr>
            <w:webHidden/>
          </w:rPr>
        </w:r>
        <w:r w:rsidR="00D62C84">
          <w:rPr>
            <w:webHidden/>
          </w:rPr>
          <w:fldChar w:fldCharType="separate"/>
        </w:r>
        <w:r w:rsidR="00D62C84">
          <w:rPr>
            <w:webHidden/>
          </w:rPr>
          <w:t>2</w:t>
        </w:r>
        <w:r w:rsidR="00D62C84">
          <w:rPr>
            <w:webHidden/>
          </w:rPr>
          <w:fldChar w:fldCharType="end"/>
        </w:r>
      </w:hyperlink>
    </w:p>
    <w:p w:rsidR="00D62C84" w:rsidRDefault="00936CD6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472489" w:history="1">
        <w:r w:rsidR="00D62C84" w:rsidRPr="00592A16">
          <w:rPr>
            <w:rStyle w:val="Hyperlink"/>
            <w:rFonts w:ascii="VIC" w:hAnsi="VIC"/>
          </w:rPr>
          <w:t>Community - 2018-19 Q4</w:t>
        </w:r>
        <w:r w:rsidR="00D62C84">
          <w:rPr>
            <w:webHidden/>
          </w:rPr>
          <w:tab/>
        </w:r>
        <w:r w:rsidR="00D62C84">
          <w:rPr>
            <w:webHidden/>
          </w:rPr>
          <w:fldChar w:fldCharType="begin"/>
        </w:r>
        <w:r w:rsidR="00D62C84">
          <w:rPr>
            <w:webHidden/>
          </w:rPr>
          <w:instrText xml:space="preserve"> PAGEREF _Toc15472489 \h </w:instrText>
        </w:r>
        <w:r w:rsidR="00D62C84">
          <w:rPr>
            <w:webHidden/>
          </w:rPr>
        </w:r>
        <w:r w:rsidR="00D62C84">
          <w:rPr>
            <w:webHidden/>
          </w:rPr>
          <w:fldChar w:fldCharType="separate"/>
        </w:r>
        <w:r w:rsidR="00D62C84">
          <w:rPr>
            <w:webHidden/>
          </w:rPr>
          <w:t>3</w:t>
        </w:r>
        <w:r w:rsidR="00D62C84">
          <w:rPr>
            <w:webHidden/>
          </w:rPr>
          <w:fldChar w:fldCharType="end"/>
        </w:r>
      </w:hyperlink>
    </w:p>
    <w:p w:rsidR="00D62C84" w:rsidRDefault="00936CD6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472490" w:history="1">
        <w:r w:rsidR="00D62C84" w:rsidRPr="00592A16">
          <w:rPr>
            <w:rStyle w:val="Hyperlink"/>
            <w:rFonts w:ascii="VIC" w:hAnsi="VIC"/>
          </w:rPr>
          <w:t>Inpatient - Year to Date (2018-19 Q1-4)</w:t>
        </w:r>
        <w:r w:rsidR="00D62C84">
          <w:rPr>
            <w:webHidden/>
          </w:rPr>
          <w:tab/>
        </w:r>
        <w:r w:rsidR="00D62C84">
          <w:rPr>
            <w:webHidden/>
          </w:rPr>
          <w:fldChar w:fldCharType="begin"/>
        </w:r>
        <w:r w:rsidR="00D62C84">
          <w:rPr>
            <w:webHidden/>
          </w:rPr>
          <w:instrText xml:space="preserve"> PAGEREF _Toc15472490 \h </w:instrText>
        </w:r>
        <w:r w:rsidR="00D62C84">
          <w:rPr>
            <w:webHidden/>
          </w:rPr>
        </w:r>
        <w:r w:rsidR="00D62C84">
          <w:rPr>
            <w:webHidden/>
          </w:rPr>
          <w:fldChar w:fldCharType="separate"/>
        </w:r>
        <w:r w:rsidR="00D62C84">
          <w:rPr>
            <w:webHidden/>
          </w:rPr>
          <w:t>5</w:t>
        </w:r>
        <w:r w:rsidR="00D62C84">
          <w:rPr>
            <w:webHidden/>
          </w:rPr>
          <w:fldChar w:fldCharType="end"/>
        </w:r>
      </w:hyperlink>
    </w:p>
    <w:p w:rsidR="00D62C84" w:rsidRDefault="00936CD6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472491" w:history="1">
        <w:r w:rsidR="00D62C84" w:rsidRPr="00592A16">
          <w:rPr>
            <w:rStyle w:val="Hyperlink"/>
            <w:rFonts w:ascii="VIC" w:hAnsi="VIC"/>
          </w:rPr>
          <w:t>Community - Year to Date (2018-19 Q1-4)</w:t>
        </w:r>
        <w:r w:rsidR="00D62C84">
          <w:rPr>
            <w:webHidden/>
          </w:rPr>
          <w:tab/>
        </w:r>
        <w:r w:rsidR="00D62C84">
          <w:rPr>
            <w:webHidden/>
          </w:rPr>
          <w:fldChar w:fldCharType="begin"/>
        </w:r>
        <w:r w:rsidR="00D62C84">
          <w:rPr>
            <w:webHidden/>
          </w:rPr>
          <w:instrText xml:space="preserve"> PAGEREF _Toc15472491 \h </w:instrText>
        </w:r>
        <w:r w:rsidR="00D62C84">
          <w:rPr>
            <w:webHidden/>
          </w:rPr>
        </w:r>
        <w:r w:rsidR="00D62C84">
          <w:rPr>
            <w:webHidden/>
          </w:rPr>
          <w:fldChar w:fldCharType="separate"/>
        </w:r>
        <w:r w:rsidR="00D62C84">
          <w:rPr>
            <w:webHidden/>
          </w:rPr>
          <w:t>6</w:t>
        </w:r>
        <w:r w:rsidR="00D62C84">
          <w:rPr>
            <w:webHidden/>
          </w:rPr>
          <w:fldChar w:fldCharType="end"/>
        </w:r>
      </w:hyperlink>
    </w:p>
    <w:p w:rsidR="00D62C84" w:rsidRDefault="00936CD6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15472492" w:history="1">
        <w:r w:rsidR="00D62C84" w:rsidRPr="00592A16">
          <w:rPr>
            <w:rStyle w:val="Hyperlink"/>
            <w:rFonts w:ascii="VIC" w:hAnsi="VIC"/>
          </w:rPr>
          <w:t>Definitions</w:t>
        </w:r>
        <w:r w:rsidR="00D62C84">
          <w:rPr>
            <w:webHidden/>
          </w:rPr>
          <w:tab/>
        </w:r>
        <w:r w:rsidR="00D62C84">
          <w:rPr>
            <w:webHidden/>
          </w:rPr>
          <w:fldChar w:fldCharType="begin"/>
        </w:r>
        <w:r w:rsidR="00D62C84">
          <w:rPr>
            <w:webHidden/>
          </w:rPr>
          <w:instrText xml:space="preserve"> PAGEREF _Toc15472492 \h </w:instrText>
        </w:r>
        <w:r w:rsidR="00D62C84">
          <w:rPr>
            <w:webHidden/>
          </w:rPr>
        </w:r>
        <w:r w:rsidR="00D62C84">
          <w:rPr>
            <w:webHidden/>
          </w:rPr>
          <w:fldChar w:fldCharType="separate"/>
        </w:r>
        <w:r w:rsidR="00D62C84">
          <w:rPr>
            <w:webHidden/>
          </w:rPr>
          <w:t>7</w:t>
        </w:r>
        <w:r w:rsidR="00D62C84">
          <w:rPr>
            <w:webHidden/>
          </w:rPr>
          <w:fldChar w:fldCharType="end"/>
        </w:r>
      </w:hyperlink>
    </w:p>
    <w:p w:rsidR="00E43426" w:rsidRPr="00602735" w:rsidRDefault="003A3438" w:rsidP="00335656">
      <w:pPr>
        <w:pStyle w:val="TOC1"/>
        <w:rPr>
          <w:rFonts w:ascii="VIC" w:hAnsi="VIC"/>
          <w:color w:val="D50032"/>
        </w:rPr>
      </w:pPr>
      <w:r w:rsidRPr="00602735">
        <w:rPr>
          <w:rFonts w:ascii="VIC" w:hAnsi="VIC"/>
        </w:rPr>
        <w:fldChar w:fldCharType="end"/>
      </w:r>
    </w:p>
    <w:p w:rsidR="00E43426" w:rsidRPr="00602735" w:rsidRDefault="00E43426" w:rsidP="008F1621">
      <w:pPr>
        <w:pStyle w:val="DHHStabletext"/>
        <w:rPr>
          <w:rFonts w:ascii="VIC" w:hAnsi="VIC"/>
        </w:rPr>
      </w:pPr>
    </w:p>
    <w:p w:rsidR="00E43426" w:rsidRPr="00602735" w:rsidRDefault="00E43426" w:rsidP="008F1621">
      <w:pPr>
        <w:pStyle w:val="DHHStabletext"/>
        <w:rPr>
          <w:rFonts w:ascii="VIC" w:hAnsi="VIC"/>
        </w:rPr>
        <w:sectPr w:rsidR="00E43426" w:rsidRPr="00602735" w:rsidSect="004367B3">
          <w:type w:val="continuous"/>
          <w:pgSz w:w="16838" w:h="11906" w:orient="landscape"/>
          <w:pgMar w:top="851" w:right="851" w:bottom="851" w:left="851" w:header="567" w:footer="510" w:gutter="0"/>
          <w:cols w:space="720"/>
          <w:docGrid w:linePitch="272"/>
        </w:sectPr>
      </w:pPr>
    </w:p>
    <w:bookmarkEnd w:id="0"/>
    <w:p w:rsidR="002E4D21" w:rsidRDefault="002E4D21">
      <w:pPr>
        <w:widowControl/>
        <w:rPr>
          <w:rFonts w:ascii="VIC" w:eastAsia="MS Gothic" w:hAnsi="VIC" w:cs="Arial"/>
          <w:bCs/>
          <w:color w:val="004EA8"/>
          <w:kern w:val="32"/>
          <w:sz w:val="36"/>
          <w:szCs w:val="40"/>
          <w:lang w:val="en-AU"/>
        </w:rPr>
      </w:pPr>
      <w:r>
        <w:rPr>
          <w:rFonts w:ascii="VIC" w:hAnsi="VIC"/>
        </w:rPr>
        <w:br w:type="page"/>
      </w:r>
    </w:p>
    <w:p w:rsidR="00D0539B" w:rsidRDefault="008F1621" w:rsidP="00335656">
      <w:pPr>
        <w:pStyle w:val="Heading1"/>
        <w:rPr>
          <w:rFonts w:ascii="VIC" w:hAnsi="VIC"/>
        </w:rPr>
      </w:pPr>
      <w:bookmarkStart w:id="1" w:name="_Toc15472488"/>
      <w:r w:rsidRPr="00602735">
        <w:rPr>
          <w:rFonts w:ascii="VIC" w:hAnsi="VIC"/>
        </w:rPr>
        <w:lastRenderedPageBreak/>
        <w:t xml:space="preserve">Inpatient - </w:t>
      </w:r>
      <w:r w:rsidR="00671410">
        <w:rPr>
          <w:rFonts w:ascii="VIC" w:hAnsi="VIC"/>
        </w:rPr>
        <w:t>2018-19</w:t>
      </w:r>
      <w:r w:rsidRPr="0042318A">
        <w:rPr>
          <w:rFonts w:ascii="VIC" w:hAnsi="VIC"/>
        </w:rPr>
        <w:t xml:space="preserve"> </w:t>
      </w:r>
      <w:r w:rsidRPr="00602735">
        <w:rPr>
          <w:rFonts w:ascii="VIC" w:hAnsi="VIC"/>
        </w:rPr>
        <w:t>Q4</w:t>
      </w:r>
      <w:bookmarkEnd w:id="1"/>
    </w:p>
    <w:p w:rsidR="002F12AD" w:rsidRPr="002F12AD" w:rsidRDefault="002F12AD" w:rsidP="002F12AD">
      <w:pPr>
        <w:pStyle w:val="DHHSbody"/>
      </w:pPr>
    </w:p>
    <w:tbl>
      <w:tblPr>
        <w:tblW w:w="15853" w:type="dxa"/>
        <w:tblInd w:w="-2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74"/>
        <w:gridCol w:w="1871"/>
        <w:gridCol w:w="2510"/>
        <w:gridCol w:w="1418"/>
        <w:gridCol w:w="1276"/>
        <w:gridCol w:w="1701"/>
        <w:gridCol w:w="1417"/>
        <w:gridCol w:w="1418"/>
        <w:gridCol w:w="1275"/>
        <w:gridCol w:w="1393"/>
      </w:tblGrid>
      <w:tr w:rsidR="009B21F6" w:rsidRPr="00602735" w:rsidTr="009B21F6">
        <w:trPr>
          <w:trHeight w:val="686"/>
          <w:tblHeader/>
        </w:trPr>
        <w:tc>
          <w:tcPr>
            <w:tcW w:w="5955" w:type="dxa"/>
            <w:gridSpan w:val="3"/>
            <w:shd w:val="clear" w:color="auto" w:fill="auto"/>
          </w:tcPr>
          <w:p w:rsidR="008F1621" w:rsidRPr="002F12AD" w:rsidRDefault="008F1621" w:rsidP="008F1621">
            <w:pPr>
              <w:pStyle w:val="DHHStablecolhead"/>
              <w:rPr>
                <w:rFonts w:ascii="VIC" w:hAnsi="VIC"/>
              </w:rPr>
            </w:pPr>
            <w:r w:rsidRPr="00602735">
              <w:rPr>
                <w:rFonts w:ascii="VIC" w:hAnsi="VIC"/>
              </w:rPr>
              <w:t xml:space="preserve">Inpatient - </w:t>
            </w:r>
            <w:r w:rsidR="00671410">
              <w:rPr>
                <w:rFonts w:ascii="VIC" w:hAnsi="VIC"/>
              </w:rPr>
              <w:t>2018-19</w:t>
            </w:r>
            <w:r w:rsidRPr="002F12AD">
              <w:rPr>
                <w:rFonts w:ascii="VIC" w:hAnsi="VIC"/>
              </w:rPr>
              <w:t xml:space="preserve"> </w:t>
            </w:r>
            <w:r w:rsidRPr="00602735">
              <w:rPr>
                <w:rFonts w:ascii="VIC" w:hAnsi="VIC"/>
              </w:rPr>
              <w:t>Q4</w:t>
            </w:r>
          </w:p>
        </w:tc>
        <w:tc>
          <w:tcPr>
            <w:tcW w:w="1418" w:type="dxa"/>
          </w:tcPr>
          <w:p w:rsidR="008F1621" w:rsidRPr="002F12AD" w:rsidRDefault="00BE5C6B" w:rsidP="0073710D">
            <w:pPr>
              <w:pStyle w:val="DHHStablecolhead"/>
              <w:jc w:val="center"/>
              <w:rPr>
                <w:rFonts w:ascii="VIC" w:hAnsi="VIC"/>
              </w:rPr>
            </w:pPr>
            <w:r w:rsidRPr="002F12AD">
              <w:rPr>
                <w:rFonts w:ascii="VIC" w:hAnsi="VIC"/>
              </w:rPr>
              <w:t>No. beds / 10,000 pop (metro)</w:t>
            </w:r>
          </w:p>
        </w:tc>
        <w:tc>
          <w:tcPr>
            <w:tcW w:w="1276" w:type="dxa"/>
          </w:tcPr>
          <w:p w:rsidR="008F1621" w:rsidRPr="002F12AD" w:rsidRDefault="00BE5C6B" w:rsidP="00BE5C6B">
            <w:pPr>
              <w:pStyle w:val="DHHStablecolhead"/>
              <w:jc w:val="center"/>
              <w:rPr>
                <w:rFonts w:ascii="VIC" w:hAnsi="VIC"/>
              </w:rPr>
            </w:pPr>
            <w:r w:rsidRPr="002F12AD">
              <w:rPr>
                <w:rFonts w:ascii="VIC" w:hAnsi="VIC"/>
              </w:rPr>
              <w:t xml:space="preserve">Avg trim </w:t>
            </w:r>
            <w:proofErr w:type="spellStart"/>
            <w:r w:rsidRPr="002F12AD">
              <w:rPr>
                <w:rFonts w:ascii="VIC" w:hAnsi="VIC"/>
              </w:rPr>
              <w:t>LoS</w:t>
            </w:r>
            <w:proofErr w:type="spellEnd"/>
            <w:r w:rsidRPr="002F12AD">
              <w:rPr>
                <w:rFonts w:ascii="VIC" w:hAnsi="VIC"/>
              </w:rPr>
              <w:t xml:space="preserve"> =&lt;35 days</w:t>
            </w:r>
          </w:p>
        </w:tc>
        <w:tc>
          <w:tcPr>
            <w:tcW w:w="1701" w:type="dxa"/>
          </w:tcPr>
          <w:p w:rsidR="008F1621" w:rsidRPr="002F12AD" w:rsidRDefault="00BE5C6B" w:rsidP="00BE5C6B">
            <w:pPr>
              <w:pStyle w:val="DHHStablecolhead"/>
              <w:jc w:val="center"/>
              <w:rPr>
                <w:rFonts w:ascii="VIC" w:hAnsi="VIC"/>
              </w:rPr>
            </w:pPr>
            <w:r w:rsidRPr="002F12AD">
              <w:rPr>
                <w:rFonts w:ascii="VIC" w:hAnsi="VIC"/>
              </w:rPr>
              <w:t>Rate seclusion / 1,000 occ bed days</w:t>
            </w:r>
          </w:p>
        </w:tc>
        <w:tc>
          <w:tcPr>
            <w:tcW w:w="1417" w:type="dxa"/>
          </w:tcPr>
          <w:p w:rsidR="008F1621" w:rsidRPr="002F12AD" w:rsidRDefault="00BE5C6B" w:rsidP="0030620E">
            <w:pPr>
              <w:pStyle w:val="DHHStablecolhead"/>
              <w:jc w:val="center"/>
              <w:rPr>
                <w:rFonts w:ascii="VIC" w:hAnsi="VIC"/>
              </w:rPr>
            </w:pPr>
            <w:r w:rsidRPr="002F12AD">
              <w:rPr>
                <w:rFonts w:ascii="VIC" w:hAnsi="VIC"/>
              </w:rPr>
              <w:t>% self rated measures offered</w:t>
            </w:r>
          </w:p>
        </w:tc>
        <w:tc>
          <w:tcPr>
            <w:tcW w:w="1418" w:type="dxa"/>
          </w:tcPr>
          <w:p w:rsidR="008F1621" w:rsidRPr="002F12AD" w:rsidRDefault="00BE5C6B" w:rsidP="0030620E">
            <w:pPr>
              <w:pStyle w:val="DHHStablecolhead"/>
              <w:jc w:val="center"/>
              <w:rPr>
                <w:rFonts w:ascii="VIC" w:hAnsi="VIC"/>
              </w:rPr>
            </w:pPr>
            <w:r w:rsidRPr="002F12AD">
              <w:rPr>
                <w:rFonts w:ascii="VIC" w:hAnsi="VIC"/>
              </w:rPr>
              <w:t>% self rated measures completed</w:t>
            </w:r>
          </w:p>
        </w:tc>
        <w:tc>
          <w:tcPr>
            <w:tcW w:w="1275" w:type="dxa"/>
          </w:tcPr>
          <w:p w:rsidR="008F1621" w:rsidRPr="002F12AD" w:rsidRDefault="0073710D" w:rsidP="00BE5C6B">
            <w:pPr>
              <w:pStyle w:val="DHHStablecolhead"/>
              <w:jc w:val="center"/>
              <w:rPr>
                <w:rFonts w:ascii="VIC" w:hAnsi="VIC"/>
              </w:rPr>
            </w:pPr>
            <w:r w:rsidRPr="002F12AD">
              <w:rPr>
                <w:rFonts w:ascii="VIC" w:hAnsi="VIC"/>
              </w:rPr>
              <w:t xml:space="preserve">% events w/valid </w:t>
            </w:r>
            <w:proofErr w:type="spellStart"/>
            <w:r w:rsidRPr="002F12AD">
              <w:rPr>
                <w:rFonts w:ascii="VIC" w:hAnsi="VIC"/>
              </w:rPr>
              <w:t>HoNOS</w:t>
            </w:r>
            <w:proofErr w:type="spellEnd"/>
          </w:p>
        </w:tc>
        <w:tc>
          <w:tcPr>
            <w:tcW w:w="1393" w:type="dxa"/>
            <w:shd w:val="clear" w:color="auto" w:fill="auto"/>
          </w:tcPr>
          <w:p w:rsidR="008F1621" w:rsidRPr="002F12AD" w:rsidRDefault="0073710D" w:rsidP="0030620E">
            <w:pPr>
              <w:pStyle w:val="DHHStablecolhead"/>
              <w:jc w:val="center"/>
              <w:rPr>
                <w:rFonts w:ascii="VIC" w:hAnsi="VIC"/>
              </w:rPr>
            </w:pPr>
            <w:r w:rsidRPr="002F12AD">
              <w:rPr>
                <w:rFonts w:ascii="VIC" w:hAnsi="VIC"/>
              </w:rPr>
              <w:t xml:space="preserve">Avg </w:t>
            </w:r>
            <w:proofErr w:type="spellStart"/>
            <w:r w:rsidRPr="002F12AD">
              <w:rPr>
                <w:rFonts w:ascii="VIC" w:hAnsi="VIC"/>
              </w:rPr>
              <w:t>HoNOS</w:t>
            </w:r>
            <w:proofErr w:type="spellEnd"/>
            <w:r w:rsidRPr="002F12AD">
              <w:rPr>
                <w:rFonts w:ascii="VIC" w:hAnsi="VIC"/>
              </w:rPr>
              <w:t xml:space="preserve"> at episode start</w:t>
            </w:r>
          </w:p>
        </w:tc>
      </w:tr>
      <w:tr w:rsidR="009B21F6" w:rsidRPr="00602735" w:rsidTr="009B21F6">
        <w:trPr>
          <w:trHeight w:val="417"/>
        </w:trPr>
        <w:tc>
          <w:tcPr>
            <w:tcW w:w="1574" w:type="dxa"/>
            <w:vMerge w:val="restart"/>
            <w:shd w:val="clear" w:color="auto" w:fill="E0EAF5"/>
          </w:tcPr>
          <w:p w:rsidR="008F1621" w:rsidRPr="00602735" w:rsidRDefault="008F1621" w:rsidP="008F162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Adolescent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Units</w:t>
            </w:r>
          </w:p>
        </w:tc>
        <w:tc>
          <w:tcPr>
            <w:tcW w:w="1871" w:type="dxa"/>
          </w:tcPr>
          <w:p w:rsidR="008F1621" w:rsidRPr="00602735" w:rsidRDefault="008F1621" w:rsidP="008F162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Austin</w:t>
            </w:r>
            <w:r w:rsidRPr="00602735">
              <w:rPr>
                <w:rFonts w:ascii="VIC" w:hAnsi="VIC"/>
                <w:spacing w:val="-11"/>
              </w:rPr>
              <w:t xml:space="preserve"> </w:t>
            </w:r>
            <w:r w:rsidRPr="00602735">
              <w:rPr>
                <w:rFonts w:ascii="VIC" w:hAnsi="VIC"/>
              </w:rPr>
              <w:t>Health</w:t>
            </w:r>
          </w:p>
        </w:tc>
        <w:tc>
          <w:tcPr>
            <w:tcW w:w="2510" w:type="dxa"/>
          </w:tcPr>
          <w:p w:rsidR="008F1621" w:rsidRPr="00602735" w:rsidRDefault="008F1621" w:rsidP="008F162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North East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(Austin)</w:t>
            </w:r>
          </w:p>
        </w:tc>
        <w:tc>
          <w:tcPr>
            <w:tcW w:w="1418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2.3</w:t>
            </w:r>
          </w:p>
        </w:tc>
        <w:tc>
          <w:tcPr>
            <w:tcW w:w="1276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7.1</w:t>
            </w:r>
          </w:p>
        </w:tc>
        <w:tc>
          <w:tcPr>
            <w:tcW w:w="1701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10.4</w:t>
            </w:r>
          </w:p>
        </w:tc>
        <w:tc>
          <w:tcPr>
            <w:tcW w:w="1417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81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%</w:t>
            </w:r>
          </w:p>
        </w:tc>
        <w:tc>
          <w:tcPr>
            <w:tcW w:w="1418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78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%</w:t>
            </w:r>
          </w:p>
        </w:tc>
        <w:tc>
          <w:tcPr>
            <w:tcW w:w="1275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96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%</w:t>
            </w:r>
          </w:p>
        </w:tc>
        <w:tc>
          <w:tcPr>
            <w:tcW w:w="1393" w:type="dxa"/>
            <w:shd w:val="clear" w:color="auto" w:fill="auto"/>
          </w:tcPr>
          <w:p w:rsidR="008F1621" w:rsidRPr="00602735" w:rsidRDefault="00602735" w:rsidP="0030620E">
            <w:pPr>
              <w:pStyle w:val="DHHStabletext"/>
              <w:jc w:val="center"/>
              <w:rPr>
                <w:rFonts w:ascii="VIC" w:hAnsi="VIC"/>
              </w:rPr>
            </w:pPr>
            <w:r w:rsidRPr="00602735">
              <w:rPr>
                <w:rFonts w:ascii="VIC" w:hAnsi="VIC"/>
                <w:lang w:val="en-US"/>
              </w:rPr>
              <w:t>20.1</w:t>
            </w:r>
          </w:p>
        </w:tc>
      </w:tr>
      <w:tr w:rsidR="009B21F6" w:rsidRPr="00602735" w:rsidTr="009B21F6">
        <w:trPr>
          <w:trHeight w:val="409"/>
        </w:trPr>
        <w:tc>
          <w:tcPr>
            <w:tcW w:w="1574" w:type="dxa"/>
            <w:vMerge/>
            <w:shd w:val="clear" w:color="auto" w:fill="E0EAF5"/>
          </w:tcPr>
          <w:p w:rsidR="008F1621" w:rsidRPr="00602735" w:rsidRDefault="008F1621" w:rsidP="008F16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71" w:type="dxa"/>
            <w:shd w:val="clear" w:color="auto" w:fill="E0EAF5"/>
          </w:tcPr>
          <w:p w:rsidR="008F1621" w:rsidRPr="00602735" w:rsidRDefault="008F1621" w:rsidP="008F162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Eastern</w:t>
            </w:r>
            <w:r w:rsidRPr="00602735">
              <w:rPr>
                <w:rFonts w:ascii="VIC" w:hAnsi="VIC"/>
                <w:spacing w:val="-14"/>
              </w:rPr>
              <w:t xml:space="preserve"> </w:t>
            </w:r>
            <w:r w:rsidRPr="00602735">
              <w:rPr>
                <w:rFonts w:ascii="VIC" w:hAnsi="VIC"/>
              </w:rPr>
              <w:t>Health</w:t>
            </w:r>
          </w:p>
        </w:tc>
        <w:tc>
          <w:tcPr>
            <w:tcW w:w="2510" w:type="dxa"/>
            <w:shd w:val="clear" w:color="auto" w:fill="E0EAF5"/>
          </w:tcPr>
          <w:p w:rsidR="008F1621" w:rsidRPr="00602735" w:rsidRDefault="008F1621" w:rsidP="008F162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Eastern</w:t>
            </w:r>
            <w:r w:rsidRPr="00602735">
              <w:rPr>
                <w:rFonts w:ascii="VIC" w:hAnsi="VIC"/>
                <w:spacing w:val="-13"/>
              </w:rPr>
              <w:t xml:space="preserve"> </w:t>
            </w:r>
            <w:r w:rsidRPr="00602735">
              <w:rPr>
                <w:rFonts w:ascii="VIC" w:hAnsi="VIC"/>
              </w:rPr>
              <w:t>CYMHS</w:t>
            </w:r>
          </w:p>
        </w:tc>
        <w:tc>
          <w:tcPr>
            <w:tcW w:w="1418" w:type="dxa"/>
            <w:shd w:val="clear" w:color="auto" w:fill="E0EAF5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2.3</w:t>
            </w:r>
          </w:p>
        </w:tc>
        <w:tc>
          <w:tcPr>
            <w:tcW w:w="1276" w:type="dxa"/>
            <w:shd w:val="clear" w:color="auto" w:fill="E0EAF5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3.9</w:t>
            </w:r>
          </w:p>
        </w:tc>
        <w:tc>
          <w:tcPr>
            <w:tcW w:w="1701" w:type="dxa"/>
            <w:shd w:val="clear" w:color="auto" w:fill="E0EAF5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7.2</w:t>
            </w:r>
          </w:p>
        </w:tc>
        <w:tc>
          <w:tcPr>
            <w:tcW w:w="1417" w:type="dxa"/>
            <w:shd w:val="clear" w:color="auto" w:fill="E0EAF5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72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%</w:t>
            </w:r>
          </w:p>
        </w:tc>
        <w:tc>
          <w:tcPr>
            <w:tcW w:w="1418" w:type="dxa"/>
            <w:shd w:val="clear" w:color="auto" w:fill="E0EAF5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45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%</w:t>
            </w:r>
          </w:p>
        </w:tc>
        <w:tc>
          <w:tcPr>
            <w:tcW w:w="1275" w:type="dxa"/>
            <w:shd w:val="clear" w:color="auto" w:fill="E0EAF5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76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%</w:t>
            </w:r>
          </w:p>
        </w:tc>
        <w:tc>
          <w:tcPr>
            <w:tcW w:w="1393" w:type="dxa"/>
            <w:shd w:val="clear" w:color="auto" w:fill="E0EAF5"/>
          </w:tcPr>
          <w:p w:rsidR="008F1621" w:rsidRPr="00602735" w:rsidRDefault="00602735" w:rsidP="0030620E">
            <w:pPr>
              <w:pStyle w:val="DHHStabletext"/>
              <w:jc w:val="center"/>
              <w:rPr>
                <w:rFonts w:ascii="VIC" w:hAnsi="VIC"/>
              </w:rPr>
            </w:pPr>
            <w:r w:rsidRPr="00602735">
              <w:rPr>
                <w:rFonts w:ascii="VIC" w:hAnsi="VIC"/>
                <w:lang w:val="en-US"/>
              </w:rPr>
              <w:t>18.0</w:t>
            </w:r>
          </w:p>
        </w:tc>
      </w:tr>
      <w:tr w:rsidR="009B21F6" w:rsidRPr="00602735" w:rsidTr="009B21F6">
        <w:trPr>
          <w:trHeight w:val="686"/>
        </w:trPr>
        <w:tc>
          <w:tcPr>
            <w:tcW w:w="1574" w:type="dxa"/>
            <w:vMerge/>
            <w:shd w:val="clear" w:color="auto" w:fill="E0EAF5"/>
          </w:tcPr>
          <w:p w:rsidR="008F1621" w:rsidRPr="00602735" w:rsidRDefault="008F1621" w:rsidP="008F16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71" w:type="dxa"/>
          </w:tcPr>
          <w:p w:rsidR="008F1621" w:rsidRPr="00602735" w:rsidRDefault="008F1621" w:rsidP="008F162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Monash</w:t>
            </w:r>
            <w:r w:rsidRPr="00602735">
              <w:rPr>
                <w:rFonts w:ascii="VIC" w:hAnsi="VIC"/>
                <w:spacing w:val="-12"/>
              </w:rPr>
              <w:t xml:space="preserve"> </w:t>
            </w:r>
            <w:r w:rsidRPr="00602735">
              <w:rPr>
                <w:rFonts w:ascii="VIC" w:hAnsi="VIC"/>
              </w:rPr>
              <w:t>Health</w:t>
            </w:r>
          </w:p>
        </w:tc>
        <w:tc>
          <w:tcPr>
            <w:tcW w:w="2510" w:type="dxa"/>
          </w:tcPr>
          <w:p w:rsidR="008F1621" w:rsidRPr="00602735" w:rsidRDefault="008F1621" w:rsidP="008F162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South Eastern</w:t>
            </w:r>
            <w:r w:rsidRPr="00602735">
              <w:rPr>
                <w:rFonts w:ascii="VIC" w:hAnsi="VIC"/>
                <w:spacing w:val="-15"/>
              </w:rPr>
              <w:t xml:space="preserve"> </w:t>
            </w:r>
            <w:r w:rsidRPr="00602735">
              <w:rPr>
                <w:rFonts w:ascii="VIC" w:hAnsi="VIC"/>
              </w:rPr>
              <w:t>(Monash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CAMHS)</w:t>
            </w:r>
          </w:p>
        </w:tc>
        <w:tc>
          <w:tcPr>
            <w:tcW w:w="1418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1.6</w:t>
            </w:r>
          </w:p>
        </w:tc>
        <w:tc>
          <w:tcPr>
            <w:tcW w:w="1276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8.1</w:t>
            </w:r>
          </w:p>
        </w:tc>
        <w:tc>
          <w:tcPr>
            <w:tcW w:w="1701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9.9</w:t>
            </w:r>
          </w:p>
        </w:tc>
        <w:tc>
          <w:tcPr>
            <w:tcW w:w="1417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31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%</w:t>
            </w:r>
          </w:p>
        </w:tc>
        <w:tc>
          <w:tcPr>
            <w:tcW w:w="1418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29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%</w:t>
            </w:r>
          </w:p>
        </w:tc>
        <w:tc>
          <w:tcPr>
            <w:tcW w:w="1275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98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%</w:t>
            </w:r>
          </w:p>
        </w:tc>
        <w:tc>
          <w:tcPr>
            <w:tcW w:w="1393" w:type="dxa"/>
            <w:shd w:val="clear" w:color="auto" w:fill="auto"/>
          </w:tcPr>
          <w:p w:rsidR="008F1621" w:rsidRPr="00602735" w:rsidRDefault="00602735" w:rsidP="0030620E">
            <w:pPr>
              <w:pStyle w:val="DHHStabletext"/>
              <w:jc w:val="center"/>
              <w:rPr>
                <w:rFonts w:ascii="VIC" w:hAnsi="VIC"/>
              </w:rPr>
            </w:pPr>
            <w:r w:rsidRPr="00602735">
              <w:rPr>
                <w:rFonts w:ascii="VIC" w:hAnsi="VIC"/>
                <w:lang w:val="en-US"/>
              </w:rPr>
              <w:t>18.8</w:t>
            </w:r>
          </w:p>
        </w:tc>
      </w:tr>
      <w:tr w:rsidR="009B21F6" w:rsidRPr="00602735" w:rsidTr="009B21F6">
        <w:trPr>
          <w:trHeight w:val="487"/>
        </w:trPr>
        <w:tc>
          <w:tcPr>
            <w:tcW w:w="1574" w:type="dxa"/>
            <w:vMerge/>
            <w:shd w:val="clear" w:color="auto" w:fill="E0EAF5"/>
          </w:tcPr>
          <w:p w:rsidR="008F1621" w:rsidRPr="00602735" w:rsidRDefault="008F1621" w:rsidP="008F1621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871" w:type="dxa"/>
            <w:shd w:val="clear" w:color="auto" w:fill="E0EAF5"/>
          </w:tcPr>
          <w:p w:rsidR="008F1621" w:rsidRPr="00602735" w:rsidRDefault="008F1621" w:rsidP="008F162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Royal</w:t>
            </w:r>
            <w:r w:rsidRPr="00602735">
              <w:rPr>
                <w:rFonts w:ascii="VIC" w:hAnsi="VIC"/>
                <w:spacing w:val="-15"/>
              </w:rPr>
              <w:t xml:space="preserve"> </w:t>
            </w:r>
            <w:r w:rsidRPr="00602735">
              <w:rPr>
                <w:rFonts w:ascii="VIC" w:hAnsi="VIC"/>
              </w:rPr>
              <w:t>Children's</w:t>
            </w:r>
          </w:p>
        </w:tc>
        <w:tc>
          <w:tcPr>
            <w:tcW w:w="2510" w:type="dxa"/>
            <w:shd w:val="clear" w:color="auto" w:fill="E0EAF5"/>
          </w:tcPr>
          <w:p w:rsidR="008F1621" w:rsidRPr="00602735" w:rsidRDefault="008F1621" w:rsidP="008F162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North Western</w:t>
            </w:r>
            <w:r w:rsidRPr="00602735">
              <w:rPr>
                <w:rFonts w:ascii="VIC" w:hAnsi="VIC"/>
                <w:spacing w:val="-8"/>
              </w:rPr>
              <w:t xml:space="preserve"> </w:t>
            </w:r>
            <w:r w:rsidRPr="00602735">
              <w:rPr>
                <w:rFonts w:ascii="VIC" w:hAnsi="VIC"/>
              </w:rPr>
              <w:t>(RCH)</w:t>
            </w:r>
          </w:p>
        </w:tc>
        <w:tc>
          <w:tcPr>
            <w:tcW w:w="1418" w:type="dxa"/>
            <w:shd w:val="clear" w:color="auto" w:fill="E0EAF5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2.0</w:t>
            </w:r>
          </w:p>
        </w:tc>
        <w:tc>
          <w:tcPr>
            <w:tcW w:w="1276" w:type="dxa"/>
            <w:shd w:val="clear" w:color="auto" w:fill="E0EAF5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5.7</w:t>
            </w:r>
          </w:p>
        </w:tc>
        <w:tc>
          <w:tcPr>
            <w:tcW w:w="1701" w:type="dxa"/>
            <w:shd w:val="clear" w:color="auto" w:fill="E0EAF5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8.3</w:t>
            </w:r>
          </w:p>
        </w:tc>
        <w:tc>
          <w:tcPr>
            <w:tcW w:w="1417" w:type="dxa"/>
            <w:shd w:val="clear" w:color="auto" w:fill="E0EAF5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66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%</w:t>
            </w:r>
          </w:p>
        </w:tc>
        <w:tc>
          <w:tcPr>
            <w:tcW w:w="1418" w:type="dxa"/>
            <w:shd w:val="clear" w:color="auto" w:fill="E0EAF5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66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%</w:t>
            </w:r>
          </w:p>
        </w:tc>
        <w:tc>
          <w:tcPr>
            <w:tcW w:w="1275" w:type="dxa"/>
            <w:shd w:val="clear" w:color="auto" w:fill="E0EAF5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71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%</w:t>
            </w:r>
          </w:p>
        </w:tc>
        <w:tc>
          <w:tcPr>
            <w:tcW w:w="1393" w:type="dxa"/>
            <w:shd w:val="clear" w:color="auto" w:fill="E0EAF5"/>
          </w:tcPr>
          <w:p w:rsidR="008F1621" w:rsidRPr="00602735" w:rsidRDefault="00602735" w:rsidP="0030620E">
            <w:pPr>
              <w:pStyle w:val="DHHStabletext"/>
              <w:jc w:val="center"/>
              <w:rPr>
                <w:rFonts w:ascii="VIC" w:hAnsi="VIC"/>
              </w:rPr>
            </w:pPr>
            <w:r w:rsidRPr="00602735">
              <w:rPr>
                <w:rFonts w:ascii="VIC" w:hAnsi="VIC"/>
                <w:lang w:val="en-US"/>
              </w:rPr>
              <w:t>19.6</w:t>
            </w:r>
          </w:p>
        </w:tc>
      </w:tr>
      <w:tr w:rsidR="009B21F6" w:rsidRPr="00602735" w:rsidTr="009B21F6">
        <w:trPr>
          <w:trHeight w:val="251"/>
        </w:trPr>
        <w:tc>
          <w:tcPr>
            <w:tcW w:w="1574" w:type="dxa"/>
            <w:vMerge/>
            <w:shd w:val="clear" w:color="auto" w:fill="E0EAF5"/>
          </w:tcPr>
          <w:p w:rsidR="008F1621" w:rsidRPr="00602735" w:rsidRDefault="008F1621" w:rsidP="008F1621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1871" w:type="dxa"/>
            <w:shd w:val="clear" w:color="auto" w:fill="99B8DC"/>
          </w:tcPr>
          <w:p w:rsidR="008F1621" w:rsidRPr="00602735" w:rsidRDefault="008F1621" w:rsidP="008F1621">
            <w:pPr>
              <w:pStyle w:val="DHHStabletext"/>
              <w:rPr>
                <w:rFonts w:ascii="VIC" w:eastAsia="Verdana" w:hAnsi="VIC" w:cs="Verdana"/>
                <w:b/>
                <w:szCs w:val="18"/>
              </w:rPr>
            </w:pPr>
            <w:r w:rsidRPr="00602735">
              <w:rPr>
                <w:rFonts w:ascii="VIC" w:hAnsi="VIC"/>
                <w:b/>
              </w:rPr>
              <w:t>TOTAL</w:t>
            </w:r>
            <w:r w:rsidRPr="00602735">
              <w:rPr>
                <w:rFonts w:ascii="VIC" w:hAnsi="VIC"/>
                <w:b/>
                <w:spacing w:val="-10"/>
              </w:rPr>
              <w:t xml:space="preserve"> </w:t>
            </w:r>
            <w:r w:rsidRPr="00602735">
              <w:rPr>
                <w:rFonts w:ascii="VIC" w:hAnsi="VIC"/>
                <w:b/>
              </w:rPr>
              <w:t>METRO</w:t>
            </w:r>
          </w:p>
        </w:tc>
        <w:tc>
          <w:tcPr>
            <w:tcW w:w="2510" w:type="dxa"/>
            <w:shd w:val="clear" w:color="auto" w:fill="99B8DC"/>
          </w:tcPr>
          <w:p w:rsidR="008F1621" w:rsidRPr="00602735" w:rsidRDefault="008F1621" w:rsidP="008F1621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1418" w:type="dxa"/>
            <w:shd w:val="clear" w:color="auto" w:fill="99B8DC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602735">
              <w:rPr>
                <w:rFonts w:ascii="VIC" w:hAnsi="VIC"/>
                <w:b/>
              </w:rPr>
              <w:t>2.0</w:t>
            </w:r>
          </w:p>
        </w:tc>
        <w:tc>
          <w:tcPr>
            <w:tcW w:w="1276" w:type="dxa"/>
            <w:shd w:val="clear" w:color="auto" w:fill="99B8DC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602735">
              <w:rPr>
                <w:rFonts w:ascii="VIC" w:hAnsi="VIC"/>
                <w:b/>
              </w:rPr>
              <w:t>5.9</w:t>
            </w:r>
          </w:p>
        </w:tc>
        <w:tc>
          <w:tcPr>
            <w:tcW w:w="1701" w:type="dxa"/>
            <w:shd w:val="clear" w:color="auto" w:fill="99B8DC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602735">
              <w:rPr>
                <w:rFonts w:ascii="VIC" w:hAnsi="VIC"/>
                <w:b/>
              </w:rPr>
              <w:t>9.0</w:t>
            </w:r>
          </w:p>
        </w:tc>
        <w:tc>
          <w:tcPr>
            <w:tcW w:w="1417" w:type="dxa"/>
            <w:shd w:val="clear" w:color="auto" w:fill="99B8DC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602735">
              <w:rPr>
                <w:rFonts w:ascii="VIC" w:hAnsi="VIC"/>
                <w:b/>
              </w:rPr>
              <w:t>62</w:t>
            </w:r>
            <w:r w:rsidRPr="00602735">
              <w:rPr>
                <w:rFonts w:ascii="VIC" w:hAnsi="VIC"/>
                <w:b/>
                <w:spacing w:val="-3"/>
              </w:rPr>
              <w:t xml:space="preserve"> </w:t>
            </w:r>
            <w:r w:rsidRPr="00602735">
              <w:rPr>
                <w:rFonts w:ascii="VIC" w:hAnsi="VIC"/>
                <w:b/>
              </w:rPr>
              <w:t>%</w:t>
            </w:r>
          </w:p>
        </w:tc>
        <w:tc>
          <w:tcPr>
            <w:tcW w:w="1418" w:type="dxa"/>
            <w:shd w:val="clear" w:color="auto" w:fill="99B8DC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602735">
              <w:rPr>
                <w:rFonts w:ascii="VIC" w:hAnsi="VIC"/>
                <w:b/>
              </w:rPr>
              <w:t>53</w:t>
            </w:r>
            <w:r w:rsidRPr="00602735">
              <w:rPr>
                <w:rFonts w:ascii="VIC" w:hAnsi="VIC"/>
                <w:b/>
                <w:spacing w:val="-3"/>
              </w:rPr>
              <w:t xml:space="preserve"> </w:t>
            </w:r>
            <w:r w:rsidRPr="00602735">
              <w:rPr>
                <w:rFonts w:ascii="VIC" w:hAnsi="VIC"/>
                <w:b/>
              </w:rPr>
              <w:t>%</w:t>
            </w:r>
          </w:p>
        </w:tc>
        <w:tc>
          <w:tcPr>
            <w:tcW w:w="1275" w:type="dxa"/>
            <w:shd w:val="clear" w:color="auto" w:fill="99B8DC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b/>
                <w:szCs w:val="18"/>
              </w:rPr>
            </w:pPr>
            <w:r w:rsidRPr="00602735">
              <w:rPr>
                <w:rFonts w:ascii="VIC" w:hAnsi="VIC"/>
                <w:b/>
              </w:rPr>
              <w:t>83</w:t>
            </w:r>
            <w:r w:rsidRPr="00602735">
              <w:rPr>
                <w:rFonts w:ascii="VIC" w:hAnsi="VIC"/>
                <w:b/>
                <w:spacing w:val="-3"/>
              </w:rPr>
              <w:t xml:space="preserve"> </w:t>
            </w:r>
            <w:r w:rsidRPr="00602735">
              <w:rPr>
                <w:rFonts w:ascii="VIC" w:hAnsi="VIC"/>
                <w:b/>
              </w:rPr>
              <w:t>%</w:t>
            </w:r>
          </w:p>
        </w:tc>
        <w:tc>
          <w:tcPr>
            <w:tcW w:w="1393" w:type="dxa"/>
            <w:shd w:val="clear" w:color="auto" w:fill="99B8DC"/>
          </w:tcPr>
          <w:p w:rsidR="008F1621" w:rsidRPr="00602735" w:rsidRDefault="00602735" w:rsidP="0030620E">
            <w:pPr>
              <w:pStyle w:val="DHHStabletext"/>
              <w:jc w:val="center"/>
              <w:rPr>
                <w:rFonts w:ascii="VIC" w:hAnsi="VIC"/>
                <w:b/>
              </w:rPr>
            </w:pPr>
            <w:r w:rsidRPr="00602735">
              <w:rPr>
                <w:rFonts w:ascii="VIC" w:hAnsi="VIC"/>
                <w:b/>
                <w:lang w:val="en-US"/>
              </w:rPr>
              <w:t>19.0</w:t>
            </w:r>
          </w:p>
        </w:tc>
      </w:tr>
      <w:tr w:rsidR="009B21F6" w:rsidRPr="00602735" w:rsidTr="009B21F6">
        <w:trPr>
          <w:trHeight w:val="257"/>
        </w:trPr>
        <w:tc>
          <w:tcPr>
            <w:tcW w:w="1574" w:type="dxa"/>
            <w:shd w:val="clear" w:color="auto" w:fill="auto"/>
          </w:tcPr>
          <w:p w:rsidR="008F1621" w:rsidRPr="00602735" w:rsidRDefault="008F1621" w:rsidP="008F162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Child</w:t>
            </w:r>
            <w:r w:rsidRPr="00602735">
              <w:rPr>
                <w:rFonts w:ascii="VIC" w:hAnsi="VIC"/>
                <w:spacing w:val="-9"/>
              </w:rPr>
              <w:t xml:space="preserve"> </w:t>
            </w:r>
            <w:r w:rsidRPr="00602735">
              <w:rPr>
                <w:rFonts w:ascii="VIC" w:hAnsi="VIC"/>
              </w:rPr>
              <w:t>Unit</w:t>
            </w:r>
          </w:p>
        </w:tc>
        <w:tc>
          <w:tcPr>
            <w:tcW w:w="1871" w:type="dxa"/>
          </w:tcPr>
          <w:p w:rsidR="008F1621" w:rsidRPr="00602735" w:rsidRDefault="008F1621" w:rsidP="008F162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Monash</w:t>
            </w:r>
            <w:r w:rsidRPr="00602735">
              <w:rPr>
                <w:rFonts w:ascii="VIC" w:hAnsi="VIC"/>
                <w:spacing w:val="-12"/>
              </w:rPr>
              <w:t xml:space="preserve"> </w:t>
            </w:r>
            <w:r w:rsidRPr="00602735">
              <w:rPr>
                <w:rFonts w:ascii="VIC" w:hAnsi="VIC"/>
              </w:rPr>
              <w:t>Health</w:t>
            </w:r>
          </w:p>
        </w:tc>
        <w:tc>
          <w:tcPr>
            <w:tcW w:w="2510" w:type="dxa"/>
          </w:tcPr>
          <w:p w:rsidR="008F1621" w:rsidRPr="00602735" w:rsidRDefault="008F1621" w:rsidP="008F162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Oasis</w:t>
            </w:r>
          </w:p>
        </w:tc>
        <w:tc>
          <w:tcPr>
            <w:tcW w:w="1418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1276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11.7</w:t>
            </w:r>
          </w:p>
        </w:tc>
        <w:tc>
          <w:tcPr>
            <w:tcW w:w="1701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0.0</w:t>
            </w:r>
          </w:p>
        </w:tc>
        <w:tc>
          <w:tcPr>
            <w:tcW w:w="1417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65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%</w:t>
            </w:r>
          </w:p>
        </w:tc>
        <w:tc>
          <w:tcPr>
            <w:tcW w:w="1418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65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%</w:t>
            </w:r>
          </w:p>
        </w:tc>
        <w:tc>
          <w:tcPr>
            <w:tcW w:w="1275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98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%</w:t>
            </w:r>
          </w:p>
        </w:tc>
        <w:tc>
          <w:tcPr>
            <w:tcW w:w="1393" w:type="dxa"/>
            <w:shd w:val="clear" w:color="auto" w:fill="auto"/>
          </w:tcPr>
          <w:p w:rsidR="008F1621" w:rsidRPr="00602735" w:rsidRDefault="00602735" w:rsidP="0030620E">
            <w:pPr>
              <w:pStyle w:val="DHHStabletext"/>
              <w:jc w:val="center"/>
              <w:rPr>
                <w:rFonts w:ascii="VIC" w:hAnsi="VIC"/>
              </w:rPr>
            </w:pPr>
            <w:r w:rsidRPr="00602735">
              <w:rPr>
                <w:rFonts w:ascii="VIC" w:hAnsi="VIC"/>
                <w:lang w:val="en-US"/>
              </w:rPr>
              <w:t>22.3</w:t>
            </w:r>
          </w:p>
        </w:tc>
      </w:tr>
      <w:tr w:rsidR="009B21F6" w:rsidRPr="00602735" w:rsidTr="009B21F6">
        <w:trPr>
          <w:trHeight w:val="686"/>
        </w:trPr>
        <w:tc>
          <w:tcPr>
            <w:tcW w:w="1574" w:type="dxa"/>
            <w:shd w:val="clear" w:color="auto" w:fill="auto"/>
          </w:tcPr>
          <w:p w:rsidR="008F1621" w:rsidRPr="00602735" w:rsidRDefault="008F1621" w:rsidP="008F162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Statewide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Child</w:t>
            </w:r>
            <w:r w:rsidRPr="00602735">
              <w:rPr>
                <w:rFonts w:ascii="VIC" w:hAnsi="VIC"/>
                <w:spacing w:val="-9"/>
              </w:rPr>
              <w:t xml:space="preserve"> </w:t>
            </w:r>
            <w:r w:rsidRPr="00602735">
              <w:rPr>
                <w:rFonts w:ascii="VIC" w:hAnsi="VIC"/>
              </w:rPr>
              <w:t>Unit</w:t>
            </w:r>
          </w:p>
        </w:tc>
        <w:tc>
          <w:tcPr>
            <w:tcW w:w="1871" w:type="dxa"/>
          </w:tcPr>
          <w:p w:rsidR="008F1621" w:rsidRPr="00602735" w:rsidRDefault="008F1621" w:rsidP="008F162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Austin</w:t>
            </w:r>
            <w:r w:rsidRPr="00602735">
              <w:rPr>
                <w:rFonts w:ascii="VIC" w:hAnsi="VIC"/>
                <w:spacing w:val="-11"/>
              </w:rPr>
              <w:t xml:space="preserve"> </w:t>
            </w:r>
            <w:r w:rsidRPr="00602735">
              <w:rPr>
                <w:rFonts w:ascii="VIC" w:hAnsi="VIC"/>
              </w:rPr>
              <w:t>Health</w:t>
            </w:r>
          </w:p>
        </w:tc>
        <w:tc>
          <w:tcPr>
            <w:tcW w:w="2510" w:type="dxa"/>
          </w:tcPr>
          <w:p w:rsidR="008F1621" w:rsidRPr="00602735" w:rsidRDefault="008F1621" w:rsidP="008F1621">
            <w:pPr>
              <w:pStyle w:val="DHHStabletext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Statewide Child</w:t>
            </w:r>
            <w:r w:rsidRPr="00602735">
              <w:rPr>
                <w:rFonts w:ascii="VIC" w:hAnsi="VIC"/>
                <w:spacing w:val="-14"/>
              </w:rPr>
              <w:t xml:space="preserve"> </w:t>
            </w:r>
            <w:r w:rsidRPr="00602735">
              <w:rPr>
                <w:rFonts w:ascii="VIC" w:hAnsi="VIC"/>
              </w:rPr>
              <w:t>Unit</w:t>
            </w:r>
            <w:r w:rsidRPr="00602735">
              <w:rPr>
                <w:rFonts w:ascii="VIC" w:hAnsi="VIC"/>
                <w:spacing w:val="-1"/>
              </w:rPr>
              <w:t xml:space="preserve"> </w:t>
            </w:r>
            <w:r w:rsidRPr="00602735">
              <w:rPr>
                <w:rFonts w:ascii="VIC" w:hAnsi="VIC"/>
              </w:rPr>
              <w:t>(Eagle)</w:t>
            </w:r>
          </w:p>
        </w:tc>
        <w:tc>
          <w:tcPr>
            <w:tcW w:w="1418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1276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14.2</w:t>
            </w:r>
          </w:p>
        </w:tc>
        <w:tc>
          <w:tcPr>
            <w:tcW w:w="1701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0.0</w:t>
            </w:r>
          </w:p>
        </w:tc>
        <w:tc>
          <w:tcPr>
            <w:tcW w:w="1417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35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%</w:t>
            </w:r>
          </w:p>
        </w:tc>
        <w:tc>
          <w:tcPr>
            <w:tcW w:w="1418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26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%</w:t>
            </w:r>
          </w:p>
        </w:tc>
        <w:tc>
          <w:tcPr>
            <w:tcW w:w="1275" w:type="dxa"/>
          </w:tcPr>
          <w:p w:rsidR="008F1621" w:rsidRPr="00602735" w:rsidRDefault="008F1621" w:rsidP="0030620E">
            <w:pPr>
              <w:pStyle w:val="DHHStabletext"/>
              <w:jc w:val="center"/>
              <w:rPr>
                <w:rFonts w:ascii="VIC" w:eastAsia="Verdana" w:hAnsi="VIC" w:cs="Verdana"/>
                <w:szCs w:val="18"/>
              </w:rPr>
            </w:pPr>
            <w:r w:rsidRPr="00602735">
              <w:rPr>
                <w:rFonts w:ascii="VIC" w:hAnsi="VIC"/>
              </w:rPr>
              <w:t>34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%</w:t>
            </w:r>
          </w:p>
        </w:tc>
        <w:tc>
          <w:tcPr>
            <w:tcW w:w="1393" w:type="dxa"/>
            <w:shd w:val="clear" w:color="auto" w:fill="auto"/>
          </w:tcPr>
          <w:p w:rsidR="008F1621" w:rsidRPr="00602735" w:rsidRDefault="00602735" w:rsidP="0030620E">
            <w:pPr>
              <w:pStyle w:val="DHHStabletext"/>
              <w:jc w:val="center"/>
              <w:rPr>
                <w:rFonts w:ascii="VIC" w:hAnsi="VIC"/>
              </w:rPr>
            </w:pPr>
            <w:r w:rsidRPr="00602735">
              <w:rPr>
                <w:rFonts w:ascii="VIC" w:hAnsi="VIC"/>
                <w:lang w:val="en-US"/>
              </w:rPr>
              <w:t>27.5</w:t>
            </w:r>
          </w:p>
        </w:tc>
      </w:tr>
    </w:tbl>
    <w:p w:rsidR="002F12AD" w:rsidRDefault="002F12AD" w:rsidP="008F1621">
      <w:pPr>
        <w:pStyle w:val="Heading1"/>
        <w:rPr>
          <w:rFonts w:ascii="VIC" w:hAnsi="VIC"/>
        </w:rPr>
      </w:pPr>
    </w:p>
    <w:p w:rsidR="002F12AD" w:rsidRDefault="002F12AD">
      <w:pPr>
        <w:widowControl/>
        <w:rPr>
          <w:rFonts w:ascii="VIC" w:eastAsia="MS Gothic" w:hAnsi="VIC" w:cs="Arial"/>
          <w:bCs/>
          <w:color w:val="004EA8"/>
          <w:kern w:val="32"/>
          <w:sz w:val="36"/>
          <w:szCs w:val="40"/>
          <w:lang w:val="en-AU"/>
        </w:rPr>
      </w:pPr>
      <w:r>
        <w:rPr>
          <w:rFonts w:ascii="VIC" w:hAnsi="VIC"/>
        </w:rPr>
        <w:br w:type="page"/>
      </w:r>
    </w:p>
    <w:p w:rsidR="002802E3" w:rsidRPr="00602735" w:rsidRDefault="008F1621" w:rsidP="008F1621">
      <w:pPr>
        <w:pStyle w:val="Heading1"/>
        <w:rPr>
          <w:rFonts w:ascii="VIC" w:hAnsi="VIC"/>
          <w:i/>
          <w:color w:val="D50032"/>
          <w:sz w:val="26"/>
          <w:szCs w:val="26"/>
        </w:rPr>
      </w:pPr>
      <w:bookmarkStart w:id="2" w:name="_Toc15472489"/>
      <w:r w:rsidRPr="00602735">
        <w:rPr>
          <w:rFonts w:ascii="VIC" w:hAnsi="VIC"/>
        </w:rPr>
        <w:lastRenderedPageBreak/>
        <w:t xml:space="preserve">Community - </w:t>
      </w:r>
      <w:r w:rsidR="00671410">
        <w:rPr>
          <w:rFonts w:ascii="VIC" w:hAnsi="VIC"/>
        </w:rPr>
        <w:t>2018-19</w:t>
      </w:r>
      <w:r w:rsidRPr="00602735">
        <w:rPr>
          <w:rFonts w:ascii="VIC" w:hAnsi="VIC"/>
        </w:rPr>
        <w:t xml:space="preserve"> Q4</w:t>
      </w:r>
      <w:bookmarkEnd w:id="2"/>
    </w:p>
    <w:p w:rsidR="008F1621" w:rsidRPr="00602735" w:rsidRDefault="008F1621" w:rsidP="008F1621">
      <w:pPr>
        <w:pStyle w:val="DHHStabletext"/>
        <w:rPr>
          <w:rFonts w:ascii="VIC" w:hAnsi="VIC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944"/>
        <w:gridCol w:w="1174"/>
        <w:gridCol w:w="1143"/>
        <w:gridCol w:w="1094"/>
        <w:gridCol w:w="903"/>
        <w:gridCol w:w="737"/>
        <w:gridCol w:w="992"/>
        <w:gridCol w:w="1134"/>
        <w:gridCol w:w="1134"/>
        <w:gridCol w:w="1276"/>
        <w:gridCol w:w="992"/>
        <w:gridCol w:w="809"/>
      </w:tblGrid>
      <w:tr w:rsidR="009B21F6" w:rsidRPr="00602735" w:rsidTr="009B21F6">
        <w:trPr>
          <w:tblHeader/>
        </w:trPr>
        <w:tc>
          <w:tcPr>
            <w:tcW w:w="3620" w:type="dxa"/>
            <w:gridSpan w:val="2"/>
          </w:tcPr>
          <w:p w:rsidR="008F1621" w:rsidRPr="00602735" w:rsidRDefault="008F1621" w:rsidP="008F1621">
            <w:pPr>
              <w:pStyle w:val="DHHStablecolhead"/>
              <w:rPr>
                <w:rFonts w:ascii="VIC" w:eastAsia="Verdana" w:hAnsi="VIC"/>
              </w:rPr>
            </w:pPr>
            <w:r w:rsidRPr="00602735">
              <w:rPr>
                <w:rFonts w:ascii="VIC" w:hAnsi="VIC"/>
              </w:rPr>
              <w:t xml:space="preserve">Community - </w:t>
            </w:r>
            <w:r w:rsidR="00671410">
              <w:rPr>
                <w:rFonts w:ascii="VIC" w:hAnsi="VIC"/>
              </w:rPr>
              <w:t>2018-19</w:t>
            </w:r>
            <w:r w:rsidRPr="00602735">
              <w:rPr>
                <w:rFonts w:ascii="VIC" w:hAnsi="VIC"/>
              </w:rPr>
              <w:t xml:space="preserve"> Q4</w:t>
            </w:r>
          </w:p>
        </w:tc>
        <w:tc>
          <w:tcPr>
            <w:tcW w:w="1174" w:type="dxa"/>
          </w:tcPr>
          <w:p w:rsidR="008F1621" w:rsidRPr="00602735" w:rsidRDefault="004E12F1" w:rsidP="004E12F1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 xml:space="preserve">% </w:t>
            </w:r>
            <w:proofErr w:type="spellStart"/>
            <w:r>
              <w:rPr>
                <w:rFonts w:ascii="VIC" w:hAnsi="VIC"/>
              </w:rPr>
              <w:t>adm</w:t>
            </w:r>
            <w:proofErr w:type="spellEnd"/>
            <w:r>
              <w:rPr>
                <w:rFonts w:ascii="VIC" w:hAnsi="VIC"/>
              </w:rPr>
              <w:t xml:space="preserve"> w/pre-</w:t>
            </w:r>
            <w:proofErr w:type="spellStart"/>
            <w:r>
              <w:rPr>
                <w:rFonts w:ascii="VIC" w:hAnsi="VIC"/>
              </w:rPr>
              <w:t>adm</w:t>
            </w:r>
            <w:proofErr w:type="spellEnd"/>
            <w:r>
              <w:rPr>
                <w:rFonts w:ascii="VIC" w:hAnsi="VIC"/>
              </w:rPr>
              <w:t xml:space="preserve"> contact (CAMHS)</w:t>
            </w:r>
          </w:p>
        </w:tc>
        <w:tc>
          <w:tcPr>
            <w:tcW w:w="1143" w:type="dxa"/>
          </w:tcPr>
          <w:p w:rsidR="008F1621" w:rsidRPr="00602735" w:rsidRDefault="004E12F1" w:rsidP="004E12F1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 xml:space="preserve">% </w:t>
            </w:r>
            <w:proofErr w:type="spellStart"/>
            <w:r>
              <w:rPr>
                <w:rFonts w:ascii="VIC" w:hAnsi="VIC"/>
              </w:rPr>
              <w:t>inpt</w:t>
            </w:r>
            <w:proofErr w:type="spellEnd"/>
            <w:r>
              <w:rPr>
                <w:rFonts w:ascii="VIC" w:hAnsi="VIC"/>
              </w:rPr>
              <w:t xml:space="preserve"> </w:t>
            </w:r>
            <w:proofErr w:type="spellStart"/>
            <w:r>
              <w:rPr>
                <w:rFonts w:ascii="VIC" w:hAnsi="VIC"/>
              </w:rPr>
              <w:t>seps</w:t>
            </w:r>
            <w:proofErr w:type="spellEnd"/>
            <w:r>
              <w:rPr>
                <w:rFonts w:ascii="VIC" w:hAnsi="VIC"/>
              </w:rPr>
              <w:t xml:space="preserve"> w/7 day follow up (CAMHS)</w:t>
            </w:r>
          </w:p>
        </w:tc>
        <w:tc>
          <w:tcPr>
            <w:tcW w:w="1094" w:type="dxa"/>
          </w:tcPr>
          <w:p w:rsidR="008F1621" w:rsidRPr="00602735" w:rsidRDefault="004E12F1" w:rsidP="004E12F1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>% closed comm cases re-referred</w:t>
            </w:r>
          </w:p>
        </w:tc>
        <w:tc>
          <w:tcPr>
            <w:tcW w:w="903" w:type="dxa"/>
          </w:tcPr>
          <w:p w:rsidR="008F1621" w:rsidRPr="00602735" w:rsidRDefault="004E12F1" w:rsidP="004E12F1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 xml:space="preserve">Avg </w:t>
            </w:r>
            <w:r w:rsidR="008057FA">
              <w:rPr>
                <w:rFonts w:ascii="VIC" w:hAnsi="VIC"/>
              </w:rPr>
              <w:t>length</w:t>
            </w:r>
            <w:r>
              <w:rPr>
                <w:rFonts w:ascii="VIC" w:hAnsi="VIC"/>
              </w:rPr>
              <w:t xml:space="preserve"> of case (days)</w:t>
            </w:r>
          </w:p>
        </w:tc>
        <w:tc>
          <w:tcPr>
            <w:tcW w:w="737" w:type="dxa"/>
          </w:tcPr>
          <w:p w:rsidR="008F1621" w:rsidRPr="00602735" w:rsidRDefault="004E12F1" w:rsidP="004E12F1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>Avg no. Tx days</w:t>
            </w:r>
          </w:p>
        </w:tc>
        <w:tc>
          <w:tcPr>
            <w:tcW w:w="992" w:type="dxa"/>
            <w:shd w:val="clear" w:color="auto" w:fill="auto"/>
          </w:tcPr>
          <w:p w:rsidR="008F1621" w:rsidRPr="00602735" w:rsidRDefault="0073710D" w:rsidP="004E12F1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 xml:space="preserve">% events w/valid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</w:tc>
        <w:tc>
          <w:tcPr>
            <w:tcW w:w="1134" w:type="dxa"/>
          </w:tcPr>
          <w:p w:rsidR="008F1621" w:rsidRPr="00602735" w:rsidRDefault="004E12F1" w:rsidP="004E12F1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 xml:space="preserve">Avg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  <w:r>
              <w:rPr>
                <w:rFonts w:ascii="VIC" w:hAnsi="VIC"/>
              </w:rPr>
              <w:t xml:space="preserve"> at comm case start</w:t>
            </w:r>
          </w:p>
        </w:tc>
        <w:tc>
          <w:tcPr>
            <w:tcW w:w="1134" w:type="dxa"/>
          </w:tcPr>
          <w:p w:rsidR="008F1621" w:rsidRPr="00602735" w:rsidRDefault="004E12F1" w:rsidP="004E12F1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>% closed cases w/sig. improv. case end</w:t>
            </w:r>
          </w:p>
        </w:tc>
        <w:tc>
          <w:tcPr>
            <w:tcW w:w="1276" w:type="dxa"/>
          </w:tcPr>
          <w:p w:rsidR="008F1621" w:rsidRPr="00602735" w:rsidRDefault="00BE5C6B" w:rsidP="004E12F1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>% self rated measures completed</w:t>
            </w:r>
          </w:p>
        </w:tc>
        <w:tc>
          <w:tcPr>
            <w:tcW w:w="992" w:type="dxa"/>
          </w:tcPr>
          <w:p w:rsidR="008F1621" w:rsidRPr="00602735" w:rsidRDefault="004E12F1" w:rsidP="006475A0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 xml:space="preserve">Diff in avg no. of clin sig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</w:tc>
        <w:tc>
          <w:tcPr>
            <w:tcW w:w="809" w:type="dxa"/>
            <w:shd w:val="clear" w:color="auto" w:fill="auto"/>
          </w:tcPr>
          <w:p w:rsidR="008F1621" w:rsidRPr="00602735" w:rsidRDefault="004E12F1" w:rsidP="004E12F1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>% aged under 12</w:t>
            </w:r>
          </w:p>
        </w:tc>
      </w:tr>
      <w:tr w:rsidR="009B21F6" w:rsidRPr="00164A9A" w:rsidTr="009B21F6">
        <w:tc>
          <w:tcPr>
            <w:tcW w:w="1676" w:type="dxa"/>
            <w:shd w:val="clear" w:color="auto" w:fill="E0EAF5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Alfred</w:t>
            </w:r>
            <w:r w:rsidRPr="00164A9A">
              <w:rPr>
                <w:rFonts w:ascii="VIC" w:hAnsi="VIC"/>
                <w:spacing w:val="-12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1944" w:type="dxa"/>
            <w:shd w:val="clear" w:color="auto" w:fill="E0EAF5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Inner South</w:t>
            </w:r>
            <w:r w:rsidRPr="00164A9A">
              <w:rPr>
                <w:rFonts w:ascii="VIC" w:hAnsi="VIC"/>
                <w:spacing w:val="-10"/>
              </w:rPr>
              <w:t xml:space="preserve"> </w:t>
            </w:r>
            <w:r w:rsidRPr="00164A9A">
              <w:rPr>
                <w:rFonts w:ascii="VIC" w:hAnsi="VIC"/>
              </w:rPr>
              <w:t>East</w:t>
            </w:r>
            <w:r w:rsidRPr="00164A9A">
              <w:rPr>
                <w:rFonts w:ascii="VIC" w:hAnsi="VIC"/>
                <w:spacing w:val="-1"/>
              </w:rPr>
              <w:t xml:space="preserve"> </w:t>
            </w:r>
            <w:r w:rsidRPr="00164A9A">
              <w:rPr>
                <w:rFonts w:ascii="VIC" w:hAnsi="VIC"/>
              </w:rPr>
              <w:t>(The</w:t>
            </w:r>
            <w:r w:rsidRPr="00164A9A">
              <w:rPr>
                <w:rFonts w:ascii="VIC" w:hAnsi="VIC"/>
                <w:spacing w:val="-12"/>
              </w:rPr>
              <w:t xml:space="preserve"> </w:t>
            </w:r>
            <w:r w:rsidRPr="00164A9A">
              <w:rPr>
                <w:rFonts w:ascii="VIC" w:hAnsi="VIC"/>
              </w:rPr>
              <w:t>Alfred)</w:t>
            </w:r>
          </w:p>
        </w:tc>
        <w:tc>
          <w:tcPr>
            <w:tcW w:w="117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53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43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88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09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12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03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246.9</w:t>
            </w:r>
          </w:p>
        </w:tc>
        <w:tc>
          <w:tcPr>
            <w:tcW w:w="737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5.7</w:t>
            </w:r>
          </w:p>
        </w:tc>
        <w:tc>
          <w:tcPr>
            <w:tcW w:w="992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62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17.0</w:t>
            </w:r>
          </w:p>
        </w:tc>
        <w:tc>
          <w:tcPr>
            <w:tcW w:w="113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62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276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12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2.1</w:t>
            </w:r>
          </w:p>
        </w:tc>
        <w:tc>
          <w:tcPr>
            <w:tcW w:w="809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36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9B21F6" w:rsidRPr="00164A9A" w:rsidTr="009B21F6">
        <w:tc>
          <w:tcPr>
            <w:tcW w:w="1676" w:type="dxa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Austin</w:t>
            </w:r>
            <w:r w:rsidRPr="00164A9A">
              <w:rPr>
                <w:rFonts w:ascii="VIC" w:hAnsi="VIC"/>
                <w:spacing w:val="-11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1944" w:type="dxa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North East</w:t>
            </w:r>
            <w:r w:rsidRPr="00164A9A">
              <w:rPr>
                <w:rFonts w:ascii="VIC" w:hAnsi="VIC"/>
                <w:spacing w:val="-6"/>
              </w:rPr>
              <w:t xml:space="preserve"> </w:t>
            </w:r>
            <w:r w:rsidRPr="00164A9A">
              <w:rPr>
                <w:rFonts w:ascii="VIC" w:hAnsi="VIC"/>
              </w:rPr>
              <w:t>(Austin)</w:t>
            </w:r>
          </w:p>
        </w:tc>
        <w:tc>
          <w:tcPr>
            <w:tcW w:w="117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51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43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89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09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18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03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177.6</w:t>
            </w:r>
          </w:p>
        </w:tc>
        <w:tc>
          <w:tcPr>
            <w:tcW w:w="737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5.4</w:t>
            </w:r>
          </w:p>
        </w:tc>
        <w:tc>
          <w:tcPr>
            <w:tcW w:w="992" w:type="dxa"/>
            <w:shd w:val="clear" w:color="auto" w:fill="auto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60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16.4</w:t>
            </w:r>
          </w:p>
        </w:tc>
        <w:tc>
          <w:tcPr>
            <w:tcW w:w="113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45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276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37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1.6</w:t>
            </w:r>
          </w:p>
        </w:tc>
        <w:tc>
          <w:tcPr>
            <w:tcW w:w="809" w:type="dxa"/>
            <w:shd w:val="clear" w:color="auto" w:fill="auto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19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9B21F6" w:rsidRPr="00164A9A" w:rsidTr="009B21F6">
        <w:tc>
          <w:tcPr>
            <w:tcW w:w="1676" w:type="dxa"/>
            <w:shd w:val="clear" w:color="auto" w:fill="E0EAF5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Eastern</w:t>
            </w:r>
            <w:r w:rsidRPr="00164A9A">
              <w:rPr>
                <w:rFonts w:ascii="VIC" w:hAnsi="VIC"/>
                <w:spacing w:val="-14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1944" w:type="dxa"/>
            <w:shd w:val="clear" w:color="auto" w:fill="E0EAF5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Eastern</w:t>
            </w:r>
            <w:r w:rsidRPr="00164A9A">
              <w:rPr>
                <w:rFonts w:ascii="VIC" w:hAnsi="VIC"/>
                <w:spacing w:val="-13"/>
              </w:rPr>
              <w:t xml:space="preserve"> </w:t>
            </w:r>
            <w:r w:rsidRPr="00164A9A">
              <w:rPr>
                <w:rFonts w:ascii="VIC" w:hAnsi="VIC"/>
              </w:rPr>
              <w:t>CYMHS</w:t>
            </w:r>
          </w:p>
        </w:tc>
        <w:tc>
          <w:tcPr>
            <w:tcW w:w="117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67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43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87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09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12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03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297.5</w:t>
            </w:r>
          </w:p>
        </w:tc>
        <w:tc>
          <w:tcPr>
            <w:tcW w:w="737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7.5</w:t>
            </w:r>
          </w:p>
        </w:tc>
        <w:tc>
          <w:tcPr>
            <w:tcW w:w="992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77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19.0</w:t>
            </w:r>
          </w:p>
        </w:tc>
        <w:tc>
          <w:tcPr>
            <w:tcW w:w="113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49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276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51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1.2</w:t>
            </w:r>
          </w:p>
        </w:tc>
        <w:tc>
          <w:tcPr>
            <w:tcW w:w="809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23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9B21F6" w:rsidRPr="00164A9A" w:rsidTr="009B21F6">
        <w:tc>
          <w:tcPr>
            <w:tcW w:w="1676" w:type="dxa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Monash</w:t>
            </w:r>
            <w:r w:rsidRPr="00164A9A">
              <w:rPr>
                <w:rFonts w:ascii="VIC" w:hAnsi="VIC"/>
                <w:spacing w:val="-12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1944" w:type="dxa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South</w:t>
            </w:r>
            <w:r w:rsidRPr="00164A9A">
              <w:rPr>
                <w:rFonts w:ascii="VIC" w:hAnsi="VIC"/>
                <w:spacing w:val="-2"/>
              </w:rPr>
              <w:t xml:space="preserve"> </w:t>
            </w:r>
            <w:r w:rsidRPr="00164A9A">
              <w:rPr>
                <w:rFonts w:ascii="VIC" w:hAnsi="VIC"/>
              </w:rPr>
              <w:t>Eastern</w:t>
            </w:r>
            <w:r w:rsidRPr="00164A9A">
              <w:rPr>
                <w:rFonts w:ascii="VIC" w:hAnsi="VIC"/>
                <w:spacing w:val="-1"/>
                <w:w w:val="99"/>
              </w:rPr>
              <w:t xml:space="preserve"> </w:t>
            </w:r>
            <w:r w:rsidRPr="00164A9A">
              <w:rPr>
                <w:rFonts w:ascii="VIC" w:hAnsi="VIC"/>
              </w:rPr>
              <w:t>(Monash</w:t>
            </w:r>
            <w:r w:rsidRPr="00164A9A">
              <w:rPr>
                <w:rFonts w:ascii="VIC" w:hAnsi="VIC"/>
                <w:spacing w:val="-14"/>
              </w:rPr>
              <w:t xml:space="preserve"> </w:t>
            </w:r>
            <w:r w:rsidRPr="00164A9A">
              <w:rPr>
                <w:rFonts w:ascii="VIC" w:hAnsi="VIC"/>
              </w:rPr>
              <w:t>CAMHS)</w:t>
            </w:r>
          </w:p>
        </w:tc>
        <w:tc>
          <w:tcPr>
            <w:tcW w:w="117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50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43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97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09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11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03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149.6</w:t>
            </w:r>
          </w:p>
        </w:tc>
        <w:tc>
          <w:tcPr>
            <w:tcW w:w="737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5.5</w:t>
            </w:r>
          </w:p>
        </w:tc>
        <w:tc>
          <w:tcPr>
            <w:tcW w:w="992" w:type="dxa"/>
            <w:shd w:val="clear" w:color="auto" w:fill="auto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84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17.1</w:t>
            </w:r>
          </w:p>
        </w:tc>
        <w:tc>
          <w:tcPr>
            <w:tcW w:w="113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36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276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41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0.8</w:t>
            </w:r>
          </w:p>
        </w:tc>
        <w:tc>
          <w:tcPr>
            <w:tcW w:w="809" w:type="dxa"/>
            <w:shd w:val="clear" w:color="auto" w:fill="auto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29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9B21F6" w:rsidRPr="00164A9A" w:rsidTr="009B21F6">
        <w:tc>
          <w:tcPr>
            <w:tcW w:w="1676" w:type="dxa"/>
            <w:shd w:val="clear" w:color="auto" w:fill="E0EAF5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Royal</w:t>
            </w:r>
            <w:r w:rsidRPr="00164A9A">
              <w:rPr>
                <w:rFonts w:ascii="VIC" w:hAnsi="VIC"/>
                <w:spacing w:val="-15"/>
              </w:rPr>
              <w:t xml:space="preserve"> </w:t>
            </w:r>
            <w:r w:rsidRPr="00164A9A">
              <w:rPr>
                <w:rFonts w:ascii="VIC" w:hAnsi="VIC"/>
              </w:rPr>
              <w:t>Children's</w:t>
            </w:r>
          </w:p>
        </w:tc>
        <w:tc>
          <w:tcPr>
            <w:tcW w:w="1944" w:type="dxa"/>
            <w:shd w:val="clear" w:color="auto" w:fill="E0EAF5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North</w:t>
            </w:r>
            <w:r w:rsidRPr="00164A9A">
              <w:rPr>
                <w:rFonts w:ascii="VIC" w:hAnsi="VIC"/>
                <w:spacing w:val="-6"/>
              </w:rPr>
              <w:t xml:space="preserve"> </w:t>
            </w:r>
            <w:r w:rsidRPr="00164A9A">
              <w:rPr>
                <w:rFonts w:ascii="VIC" w:hAnsi="VIC"/>
              </w:rPr>
              <w:t>Western</w:t>
            </w:r>
            <w:r w:rsidRPr="00164A9A">
              <w:rPr>
                <w:rFonts w:ascii="VIC" w:hAnsi="VIC"/>
                <w:spacing w:val="-1"/>
                <w:w w:val="99"/>
              </w:rPr>
              <w:t xml:space="preserve"> </w:t>
            </w:r>
            <w:r w:rsidRPr="00164A9A">
              <w:rPr>
                <w:rFonts w:ascii="VIC" w:hAnsi="VIC"/>
              </w:rPr>
              <w:t>(RCH)</w:t>
            </w:r>
          </w:p>
        </w:tc>
        <w:tc>
          <w:tcPr>
            <w:tcW w:w="117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65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43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82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09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20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03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141.4</w:t>
            </w:r>
          </w:p>
        </w:tc>
        <w:tc>
          <w:tcPr>
            <w:tcW w:w="737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3.0</w:t>
            </w:r>
          </w:p>
        </w:tc>
        <w:tc>
          <w:tcPr>
            <w:tcW w:w="992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61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16.6</w:t>
            </w:r>
          </w:p>
        </w:tc>
        <w:tc>
          <w:tcPr>
            <w:tcW w:w="113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47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276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75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1.3</w:t>
            </w:r>
          </w:p>
        </w:tc>
        <w:tc>
          <w:tcPr>
            <w:tcW w:w="809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32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9B21F6" w:rsidRPr="00164A9A" w:rsidTr="009B21F6">
        <w:tc>
          <w:tcPr>
            <w:tcW w:w="1676" w:type="dxa"/>
            <w:shd w:val="clear" w:color="auto" w:fill="99B8DC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TOTAL</w:t>
            </w:r>
            <w:r w:rsidRPr="00164A9A">
              <w:rPr>
                <w:rFonts w:ascii="VIC" w:hAnsi="VIC"/>
                <w:b/>
                <w:spacing w:val="-10"/>
              </w:rPr>
              <w:t xml:space="preserve"> </w:t>
            </w:r>
            <w:r w:rsidRPr="00164A9A">
              <w:rPr>
                <w:rFonts w:ascii="VIC" w:hAnsi="VIC"/>
                <w:b/>
              </w:rPr>
              <w:t>METRO</w:t>
            </w:r>
          </w:p>
        </w:tc>
        <w:tc>
          <w:tcPr>
            <w:tcW w:w="1944" w:type="dxa"/>
            <w:shd w:val="clear" w:color="auto" w:fill="99B8DC"/>
          </w:tcPr>
          <w:p w:rsidR="008F1621" w:rsidRPr="00164A9A" w:rsidRDefault="008F1621" w:rsidP="008F1621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1174" w:type="dxa"/>
            <w:shd w:val="clear" w:color="auto" w:fill="99B8DC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59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1143" w:type="dxa"/>
            <w:shd w:val="clear" w:color="auto" w:fill="99B8DC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88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1094" w:type="dxa"/>
            <w:shd w:val="clear" w:color="auto" w:fill="99B8DC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15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903" w:type="dxa"/>
            <w:shd w:val="clear" w:color="auto" w:fill="99B8DC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188.4</w:t>
            </w:r>
          </w:p>
        </w:tc>
        <w:tc>
          <w:tcPr>
            <w:tcW w:w="737" w:type="dxa"/>
            <w:shd w:val="clear" w:color="auto" w:fill="99B8DC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5.4</w:t>
            </w:r>
          </w:p>
        </w:tc>
        <w:tc>
          <w:tcPr>
            <w:tcW w:w="992" w:type="dxa"/>
            <w:shd w:val="clear" w:color="auto" w:fill="99B8DC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72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17.4</w:t>
            </w:r>
          </w:p>
        </w:tc>
        <w:tc>
          <w:tcPr>
            <w:tcW w:w="1134" w:type="dxa"/>
            <w:shd w:val="clear" w:color="auto" w:fill="99B8DC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45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1276" w:type="dxa"/>
            <w:shd w:val="clear" w:color="auto" w:fill="99B8DC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47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992" w:type="dxa"/>
            <w:shd w:val="clear" w:color="auto" w:fill="99B8DC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1.2</w:t>
            </w:r>
          </w:p>
        </w:tc>
        <w:tc>
          <w:tcPr>
            <w:tcW w:w="809" w:type="dxa"/>
            <w:shd w:val="clear" w:color="auto" w:fill="99B8DC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28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</w:tr>
      <w:tr w:rsidR="009B21F6" w:rsidRPr="00164A9A" w:rsidTr="009B21F6">
        <w:tc>
          <w:tcPr>
            <w:tcW w:w="1676" w:type="dxa"/>
            <w:shd w:val="clear" w:color="auto" w:fill="E0EAF5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Ballarat</w:t>
            </w:r>
            <w:r w:rsidRPr="00164A9A">
              <w:rPr>
                <w:rFonts w:ascii="VIC" w:hAnsi="VIC"/>
                <w:spacing w:val="-14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1944" w:type="dxa"/>
            <w:shd w:val="clear" w:color="auto" w:fill="E0EAF5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Grampians</w:t>
            </w:r>
          </w:p>
        </w:tc>
        <w:tc>
          <w:tcPr>
            <w:tcW w:w="117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79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43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79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09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11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03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260.6</w:t>
            </w:r>
          </w:p>
        </w:tc>
        <w:tc>
          <w:tcPr>
            <w:tcW w:w="737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7.3</w:t>
            </w:r>
          </w:p>
        </w:tc>
        <w:tc>
          <w:tcPr>
            <w:tcW w:w="992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34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15.7</w:t>
            </w:r>
          </w:p>
        </w:tc>
        <w:tc>
          <w:tcPr>
            <w:tcW w:w="113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67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276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42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809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29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9B21F6" w:rsidRPr="00164A9A" w:rsidTr="009B21F6">
        <w:tc>
          <w:tcPr>
            <w:tcW w:w="1676" w:type="dxa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Barwon</w:t>
            </w:r>
            <w:r w:rsidRPr="00164A9A">
              <w:rPr>
                <w:rFonts w:ascii="VIC" w:hAnsi="VIC"/>
                <w:spacing w:val="-12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1944" w:type="dxa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Barwon</w:t>
            </w:r>
          </w:p>
        </w:tc>
        <w:tc>
          <w:tcPr>
            <w:tcW w:w="117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63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43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64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09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0</w:t>
            </w:r>
            <w:r w:rsidRPr="00164A9A">
              <w:rPr>
                <w:rFonts w:ascii="VIC" w:hAnsi="VIC"/>
                <w:spacing w:val="-1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03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326.2</w:t>
            </w:r>
          </w:p>
        </w:tc>
        <w:tc>
          <w:tcPr>
            <w:tcW w:w="737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4.1</w:t>
            </w:r>
          </w:p>
        </w:tc>
        <w:tc>
          <w:tcPr>
            <w:tcW w:w="992" w:type="dxa"/>
            <w:shd w:val="clear" w:color="auto" w:fill="auto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41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21.4</w:t>
            </w:r>
          </w:p>
        </w:tc>
        <w:tc>
          <w:tcPr>
            <w:tcW w:w="113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33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276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14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809" w:type="dxa"/>
            <w:shd w:val="clear" w:color="auto" w:fill="auto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30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9B21F6" w:rsidRPr="00164A9A" w:rsidTr="009B21F6">
        <w:tc>
          <w:tcPr>
            <w:tcW w:w="1676" w:type="dxa"/>
            <w:shd w:val="clear" w:color="auto" w:fill="E0EAF5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Bendigo</w:t>
            </w:r>
            <w:r w:rsidRPr="00164A9A">
              <w:rPr>
                <w:rFonts w:ascii="VIC" w:hAnsi="VIC"/>
                <w:spacing w:val="-13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1944" w:type="dxa"/>
            <w:shd w:val="clear" w:color="auto" w:fill="E0EAF5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Loddon/Southern</w:t>
            </w:r>
            <w:r w:rsidRPr="00164A9A">
              <w:rPr>
                <w:rFonts w:ascii="VIC" w:hAnsi="VIC"/>
                <w:spacing w:val="-1"/>
                <w:w w:val="99"/>
              </w:rPr>
              <w:t xml:space="preserve"> </w:t>
            </w:r>
            <w:r w:rsidRPr="00164A9A">
              <w:rPr>
                <w:rFonts w:ascii="VIC" w:hAnsi="VIC"/>
              </w:rPr>
              <w:t>Mallee</w:t>
            </w:r>
          </w:p>
        </w:tc>
        <w:tc>
          <w:tcPr>
            <w:tcW w:w="117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63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43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100</w:t>
            </w:r>
            <w:r w:rsidRPr="00164A9A">
              <w:rPr>
                <w:rFonts w:ascii="VIC" w:hAnsi="VIC"/>
                <w:spacing w:val="-4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09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14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03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204.2</w:t>
            </w:r>
          </w:p>
        </w:tc>
        <w:tc>
          <w:tcPr>
            <w:tcW w:w="737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3.1</w:t>
            </w:r>
          </w:p>
        </w:tc>
        <w:tc>
          <w:tcPr>
            <w:tcW w:w="992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45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17.2</w:t>
            </w:r>
          </w:p>
        </w:tc>
        <w:tc>
          <w:tcPr>
            <w:tcW w:w="113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54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276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37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1.1</w:t>
            </w:r>
          </w:p>
        </w:tc>
        <w:tc>
          <w:tcPr>
            <w:tcW w:w="809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35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9B21F6" w:rsidRPr="00164A9A" w:rsidTr="009B21F6">
        <w:tc>
          <w:tcPr>
            <w:tcW w:w="1676" w:type="dxa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Goulburn</w:t>
            </w:r>
            <w:r w:rsidRPr="00164A9A">
              <w:rPr>
                <w:rFonts w:ascii="VIC" w:hAnsi="VIC"/>
                <w:spacing w:val="-10"/>
              </w:rPr>
              <w:t xml:space="preserve"> </w:t>
            </w:r>
            <w:r w:rsidRPr="00164A9A">
              <w:rPr>
                <w:rFonts w:ascii="VIC" w:hAnsi="VIC"/>
              </w:rPr>
              <w:t>Valley</w:t>
            </w:r>
            <w:r w:rsidRPr="00164A9A">
              <w:rPr>
                <w:rFonts w:ascii="VIC" w:hAnsi="VIC"/>
                <w:spacing w:val="-1"/>
                <w:w w:val="99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1944" w:type="dxa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Goulburn</w:t>
            </w:r>
            <w:r w:rsidRPr="00164A9A">
              <w:rPr>
                <w:rFonts w:ascii="VIC" w:hAnsi="VIC"/>
                <w:spacing w:val="-6"/>
              </w:rPr>
              <w:t xml:space="preserve"> </w:t>
            </w:r>
            <w:r w:rsidRPr="00164A9A">
              <w:rPr>
                <w:rFonts w:ascii="VIC" w:hAnsi="VIC"/>
              </w:rPr>
              <w:t>&amp;</w:t>
            </w:r>
            <w:r w:rsidRPr="00164A9A">
              <w:rPr>
                <w:rFonts w:ascii="VIC" w:hAnsi="VIC"/>
                <w:w w:val="99"/>
              </w:rPr>
              <w:t xml:space="preserve"> </w:t>
            </w:r>
            <w:r w:rsidRPr="00164A9A">
              <w:rPr>
                <w:rFonts w:ascii="VIC" w:hAnsi="VIC"/>
              </w:rPr>
              <w:t>Southern</w:t>
            </w:r>
          </w:p>
        </w:tc>
        <w:tc>
          <w:tcPr>
            <w:tcW w:w="117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67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43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100</w:t>
            </w:r>
            <w:r w:rsidRPr="00164A9A">
              <w:rPr>
                <w:rFonts w:ascii="VIC" w:hAnsi="VIC"/>
                <w:spacing w:val="-4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09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8</w:t>
            </w:r>
            <w:r w:rsidRPr="00164A9A">
              <w:rPr>
                <w:rFonts w:ascii="VIC" w:hAnsi="VIC"/>
                <w:spacing w:val="-1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03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139.6</w:t>
            </w:r>
          </w:p>
        </w:tc>
        <w:tc>
          <w:tcPr>
            <w:tcW w:w="737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4.1</w:t>
            </w:r>
          </w:p>
        </w:tc>
        <w:tc>
          <w:tcPr>
            <w:tcW w:w="992" w:type="dxa"/>
            <w:shd w:val="clear" w:color="auto" w:fill="auto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60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14.4</w:t>
            </w:r>
          </w:p>
        </w:tc>
        <w:tc>
          <w:tcPr>
            <w:tcW w:w="113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48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276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26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1.7</w:t>
            </w:r>
          </w:p>
        </w:tc>
        <w:tc>
          <w:tcPr>
            <w:tcW w:w="809" w:type="dxa"/>
            <w:shd w:val="clear" w:color="auto" w:fill="auto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45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9B21F6" w:rsidRPr="00164A9A" w:rsidTr="009B21F6">
        <w:tc>
          <w:tcPr>
            <w:tcW w:w="1676" w:type="dxa"/>
            <w:shd w:val="clear" w:color="auto" w:fill="E0EAF5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Latrobe</w:t>
            </w:r>
            <w:r w:rsidRPr="00164A9A">
              <w:rPr>
                <w:rFonts w:ascii="VIC" w:hAnsi="VIC"/>
                <w:spacing w:val="-15"/>
              </w:rPr>
              <w:t xml:space="preserve"> </w:t>
            </w:r>
            <w:r w:rsidRPr="00164A9A">
              <w:rPr>
                <w:rFonts w:ascii="VIC" w:hAnsi="VIC"/>
              </w:rPr>
              <w:t>Regional</w:t>
            </w:r>
          </w:p>
        </w:tc>
        <w:tc>
          <w:tcPr>
            <w:tcW w:w="1944" w:type="dxa"/>
            <w:shd w:val="clear" w:color="auto" w:fill="E0EAF5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Gippsland</w:t>
            </w:r>
          </w:p>
        </w:tc>
        <w:tc>
          <w:tcPr>
            <w:tcW w:w="117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64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43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92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09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8</w:t>
            </w:r>
            <w:r w:rsidRPr="00164A9A">
              <w:rPr>
                <w:rFonts w:ascii="VIC" w:hAnsi="VIC"/>
                <w:spacing w:val="-1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03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373.3</w:t>
            </w:r>
          </w:p>
        </w:tc>
        <w:tc>
          <w:tcPr>
            <w:tcW w:w="737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5.8</w:t>
            </w:r>
          </w:p>
        </w:tc>
        <w:tc>
          <w:tcPr>
            <w:tcW w:w="992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90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16.2</w:t>
            </w:r>
          </w:p>
        </w:tc>
        <w:tc>
          <w:tcPr>
            <w:tcW w:w="113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61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276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23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1.9</w:t>
            </w:r>
          </w:p>
        </w:tc>
        <w:tc>
          <w:tcPr>
            <w:tcW w:w="809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32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9B21F6" w:rsidRPr="00164A9A" w:rsidTr="009B21F6">
        <w:tc>
          <w:tcPr>
            <w:tcW w:w="1676" w:type="dxa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lastRenderedPageBreak/>
              <w:t>Mildura Base</w:t>
            </w:r>
            <w:r w:rsidRPr="00164A9A">
              <w:rPr>
                <w:rFonts w:ascii="VIC" w:hAnsi="VIC"/>
                <w:spacing w:val="-19"/>
              </w:rPr>
              <w:t xml:space="preserve"> </w:t>
            </w:r>
            <w:r w:rsidRPr="00164A9A">
              <w:rPr>
                <w:rFonts w:ascii="VIC" w:hAnsi="VIC"/>
              </w:rPr>
              <w:t>Hospital</w:t>
            </w:r>
          </w:p>
        </w:tc>
        <w:tc>
          <w:tcPr>
            <w:tcW w:w="1944" w:type="dxa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Northern</w:t>
            </w:r>
            <w:r w:rsidRPr="00164A9A">
              <w:rPr>
                <w:rFonts w:ascii="VIC" w:hAnsi="VIC"/>
                <w:spacing w:val="-8"/>
              </w:rPr>
              <w:t xml:space="preserve"> </w:t>
            </w:r>
            <w:r w:rsidRPr="00164A9A">
              <w:rPr>
                <w:rFonts w:ascii="VIC" w:hAnsi="VIC"/>
              </w:rPr>
              <w:t>Mallee</w:t>
            </w:r>
          </w:p>
        </w:tc>
        <w:tc>
          <w:tcPr>
            <w:tcW w:w="117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1143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hAnsi="VIC"/>
              </w:rPr>
            </w:pPr>
          </w:p>
        </w:tc>
        <w:tc>
          <w:tcPr>
            <w:tcW w:w="109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0</w:t>
            </w:r>
            <w:r w:rsidRPr="00164A9A">
              <w:rPr>
                <w:rFonts w:ascii="VIC" w:hAnsi="VIC"/>
                <w:spacing w:val="-1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03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274.6</w:t>
            </w:r>
          </w:p>
        </w:tc>
        <w:tc>
          <w:tcPr>
            <w:tcW w:w="737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7.0</w:t>
            </w:r>
          </w:p>
        </w:tc>
        <w:tc>
          <w:tcPr>
            <w:tcW w:w="992" w:type="dxa"/>
            <w:shd w:val="clear" w:color="auto" w:fill="auto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78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15.2</w:t>
            </w:r>
          </w:p>
        </w:tc>
        <w:tc>
          <w:tcPr>
            <w:tcW w:w="113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50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276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</w:t>
            </w:r>
            <w:r w:rsidRPr="00164A9A">
              <w:rPr>
                <w:rFonts w:ascii="VIC" w:hAnsi="VIC"/>
                <w:spacing w:val="-1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1.6</w:t>
            </w:r>
          </w:p>
        </w:tc>
        <w:tc>
          <w:tcPr>
            <w:tcW w:w="809" w:type="dxa"/>
            <w:shd w:val="clear" w:color="auto" w:fill="auto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24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9B21F6" w:rsidRPr="00164A9A" w:rsidTr="009B21F6">
        <w:tc>
          <w:tcPr>
            <w:tcW w:w="1676" w:type="dxa"/>
            <w:shd w:val="clear" w:color="auto" w:fill="E0EAF5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Albury</w:t>
            </w:r>
            <w:r w:rsidRPr="00164A9A">
              <w:rPr>
                <w:rFonts w:ascii="VIC" w:hAnsi="VIC"/>
                <w:spacing w:val="-9"/>
              </w:rPr>
              <w:t xml:space="preserve"> </w:t>
            </w:r>
            <w:r w:rsidRPr="00164A9A">
              <w:rPr>
                <w:rFonts w:ascii="VIC" w:hAnsi="VIC"/>
              </w:rPr>
              <w:t>Wodonga</w:t>
            </w:r>
            <w:r w:rsidRPr="00164A9A">
              <w:rPr>
                <w:rFonts w:ascii="VIC" w:hAnsi="VIC"/>
                <w:spacing w:val="-1"/>
                <w:w w:val="99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1944" w:type="dxa"/>
            <w:shd w:val="clear" w:color="auto" w:fill="E0EAF5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North East</w:t>
            </w:r>
            <w:r w:rsidRPr="00164A9A">
              <w:rPr>
                <w:rFonts w:ascii="VIC" w:hAnsi="VIC"/>
                <w:spacing w:val="-5"/>
              </w:rPr>
              <w:t xml:space="preserve"> </w:t>
            </w:r>
            <w:r w:rsidRPr="00164A9A">
              <w:rPr>
                <w:rFonts w:ascii="VIC" w:hAnsi="VIC"/>
              </w:rPr>
              <w:t>&amp;</w:t>
            </w:r>
            <w:r w:rsidRPr="00164A9A">
              <w:rPr>
                <w:rFonts w:ascii="VIC" w:hAnsi="VIC"/>
                <w:w w:val="99"/>
              </w:rPr>
              <w:t xml:space="preserve"> </w:t>
            </w:r>
            <w:r w:rsidRPr="00164A9A">
              <w:rPr>
                <w:rFonts w:ascii="VIC" w:hAnsi="VIC"/>
              </w:rPr>
              <w:t>Border</w:t>
            </w:r>
          </w:p>
        </w:tc>
        <w:tc>
          <w:tcPr>
            <w:tcW w:w="117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63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43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60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09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16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03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174.9</w:t>
            </w:r>
          </w:p>
        </w:tc>
        <w:tc>
          <w:tcPr>
            <w:tcW w:w="737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2.7</w:t>
            </w:r>
          </w:p>
        </w:tc>
        <w:tc>
          <w:tcPr>
            <w:tcW w:w="992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47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17.0</w:t>
            </w:r>
          </w:p>
        </w:tc>
        <w:tc>
          <w:tcPr>
            <w:tcW w:w="1134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55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276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70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2.2</w:t>
            </w:r>
          </w:p>
        </w:tc>
        <w:tc>
          <w:tcPr>
            <w:tcW w:w="809" w:type="dxa"/>
            <w:shd w:val="clear" w:color="auto" w:fill="E0EAF5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29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9B21F6" w:rsidRPr="00164A9A" w:rsidTr="009B21F6">
        <w:tc>
          <w:tcPr>
            <w:tcW w:w="1676" w:type="dxa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South West</w:t>
            </w:r>
            <w:r w:rsidRPr="00164A9A">
              <w:rPr>
                <w:rFonts w:ascii="VIC" w:hAnsi="VIC"/>
                <w:spacing w:val="-14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1944" w:type="dxa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South West</w:t>
            </w:r>
            <w:r w:rsidRPr="00164A9A">
              <w:rPr>
                <w:rFonts w:ascii="VIC" w:hAnsi="VIC"/>
                <w:spacing w:val="-11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  <w:r w:rsidRPr="00164A9A">
              <w:rPr>
                <w:rFonts w:ascii="VIC" w:hAnsi="VIC"/>
                <w:spacing w:val="-1"/>
              </w:rPr>
              <w:t xml:space="preserve"> </w:t>
            </w:r>
            <w:r w:rsidRPr="00164A9A">
              <w:rPr>
                <w:rFonts w:ascii="VIC" w:hAnsi="VIC"/>
              </w:rPr>
              <w:t>Care</w:t>
            </w:r>
          </w:p>
        </w:tc>
        <w:tc>
          <w:tcPr>
            <w:tcW w:w="117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100</w:t>
            </w:r>
            <w:r w:rsidRPr="00164A9A">
              <w:rPr>
                <w:rFonts w:ascii="VIC" w:hAnsi="VIC"/>
                <w:spacing w:val="-4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43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86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09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</w:t>
            </w:r>
            <w:r w:rsidRPr="00164A9A">
              <w:rPr>
                <w:rFonts w:ascii="VIC" w:hAnsi="VIC"/>
                <w:spacing w:val="-1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03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297.4</w:t>
            </w:r>
          </w:p>
        </w:tc>
        <w:tc>
          <w:tcPr>
            <w:tcW w:w="737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3.6</w:t>
            </w:r>
          </w:p>
        </w:tc>
        <w:tc>
          <w:tcPr>
            <w:tcW w:w="992" w:type="dxa"/>
            <w:shd w:val="clear" w:color="auto" w:fill="auto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53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16.9</w:t>
            </w:r>
          </w:p>
        </w:tc>
        <w:tc>
          <w:tcPr>
            <w:tcW w:w="1134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84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276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29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2.8</w:t>
            </w:r>
          </w:p>
        </w:tc>
        <w:tc>
          <w:tcPr>
            <w:tcW w:w="809" w:type="dxa"/>
            <w:shd w:val="clear" w:color="auto" w:fill="auto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29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9B21F6" w:rsidRPr="00164A9A" w:rsidTr="009B21F6">
        <w:tc>
          <w:tcPr>
            <w:tcW w:w="1676" w:type="dxa"/>
            <w:shd w:val="clear" w:color="auto" w:fill="CCDCE6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TOTAL</w:t>
            </w:r>
            <w:r w:rsidRPr="00164A9A">
              <w:rPr>
                <w:rFonts w:ascii="VIC" w:hAnsi="VIC"/>
                <w:b/>
                <w:spacing w:val="-11"/>
              </w:rPr>
              <w:t xml:space="preserve"> </w:t>
            </w:r>
            <w:r w:rsidRPr="00164A9A">
              <w:rPr>
                <w:rFonts w:ascii="VIC" w:hAnsi="VIC"/>
                <w:b/>
              </w:rPr>
              <w:t>RURAL</w:t>
            </w:r>
          </w:p>
        </w:tc>
        <w:tc>
          <w:tcPr>
            <w:tcW w:w="1944" w:type="dxa"/>
            <w:shd w:val="clear" w:color="auto" w:fill="CCDCE6"/>
          </w:tcPr>
          <w:p w:rsidR="008F1621" w:rsidRPr="00164A9A" w:rsidRDefault="008F1621" w:rsidP="008F1621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1174" w:type="dxa"/>
            <w:shd w:val="clear" w:color="auto" w:fill="CCDCE6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70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1143" w:type="dxa"/>
            <w:shd w:val="clear" w:color="auto" w:fill="CCDCE6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81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1094" w:type="dxa"/>
            <w:shd w:val="clear" w:color="auto" w:fill="CCDCE6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9</w:t>
            </w:r>
            <w:r w:rsidRPr="00164A9A">
              <w:rPr>
                <w:rFonts w:ascii="VIC" w:hAnsi="VIC"/>
                <w:b/>
                <w:spacing w:val="-1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903" w:type="dxa"/>
            <w:shd w:val="clear" w:color="auto" w:fill="CCDCE6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248.0</w:t>
            </w:r>
          </w:p>
        </w:tc>
        <w:tc>
          <w:tcPr>
            <w:tcW w:w="737" w:type="dxa"/>
            <w:shd w:val="clear" w:color="auto" w:fill="CCDCE6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4.8</w:t>
            </w:r>
          </w:p>
        </w:tc>
        <w:tc>
          <w:tcPr>
            <w:tcW w:w="992" w:type="dxa"/>
            <w:shd w:val="clear" w:color="auto" w:fill="CCDCE6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54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CCDCE6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16.5</w:t>
            </w:r>
          </w:p>
        </w:tc>
        <w:tc>
          <w:tcPr>
            <w:tcW w:w="1134" w:type="dxa"/>
            <w:shd w:val="clear" w:color="auto" w:fill="CCDCE6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59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1276" w:type="dxa"/>
            <w:shd w:val="clear" w:color="auto" w:fill="CCDCE6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34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992" w:type="dxa"/>
            <w:shd w:val="clear" w:color="auto" w:fill="CCDCE6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1.8</w:t>
            </w:r>
          </w:p>
        </w:tc>
        <w:tc>
          <w:tcPr>
            <w:tcW w:w="809" w:type="dxa"/>
            <w:shd w:val="clear" w:color="auto" w:fill="CCDCE6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32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</w:tr>
      <w:tr w:rsidR="009B21F6" w:rsidRPr="00164A9A" w:rsidTr="009B21F6">
        <w:tc>
          <w:tcPr>
            <w:tcW w:w="1676" w:type="dxa"/>
            <w:shd w:val="clear" w:color="auto" w:fill="99B8DC"/>
          </w:tcPr>
          <w:p w:rsidR="008F1621" w:rsidRPr="00164A9A" w:rsidRDefault="008F1621" w:rsidP="008F1621">
            <w:pPr>
              <w:pStyle w:val="DHHStabletext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TOTAL</w:t>
            </w:r>
            <w:r w:rsidRPr="00164A9A">
              <w:rPr>
                <w:rFonts w:ascii="VIC" w:hAnsi="VIC"/>
                <w:b/>
                <w:spacing w:val="-15"/>
              </w:rPr>
              <w:t xml:space="preserve"> </w:t>
            </w:r>
            <w:r w:rsidRPr="00164A9A">
              <w:rPr>
                <w:rFonts w:ascii="VIC" w:hAnsi="VIC"/>
                <w:b/>
              </w:rPr>
              <w:t>STATEWIDE</w:t>
            </w:r>
          </w:p>
        </w:tc>
        <w:tc>
          <w:tcPr>
            <w:tcW w:w="1944" w:type="dxa"/>
            <w:shd w:val="clear" w:color="auto" w:fill="99B8DC"/>
          </w:tcPr>
          <w:p w:rsidR="008F1621" w:rsidRPr="00164A9A" w:rsidRDefault="008F1621" w:rsidP="008F1621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1174" w:type="dxa"/>
            <w:shd w:val="clear" w:color="auto" w:fill="99B8DC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61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1143" w:type="dxa"/>
            <w:shd w:val="clear" w:color="auto" w:fill="99B8DC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87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1094" w:type="dxa"/>
            <w:shd w:val="clear" w:color="auto" w:fill="99B8DC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13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903" w:type="dxa"/>
            <w:shd w:val="clear" w:color="auto" w:fill="99B8DC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204.4</w:t>
            </w:r>
          </w:p>
        </w:tc>
        <w:tc>
          <w:tcPr>
            <w:tcW w:w="737" w:type="dxa"/>
            <w:shd w:val="clear" w:color="auto" w:fill="99B8DC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5.2</w:t>
            </w:r>
          </w:p>
        </w:tc>
        <w:tc>
          <w:tcPr>
            <w:tcW w:w="992" w:type="dxa"/>
            <w:shd w:val="clear" w:color="auto" w:fill="99B8DC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67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17.1</w:t>
            </w:r>
          </w:p>
        </w:tc>
        <w:tc>
          <w:tcPr>
            <w:tcW w:w="1134" w:type="dxa"/>
            <w:shd w:val="clear" w:color="auto" w:fill="99B8DC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47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1276" w:type="dxa"/>
            <w:shd w:val="clear" w:color="auto" w:fill="99B8DC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44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992" w:type="dxa"/>
            <w:shd w:val="clear" w:color="auto" w:fill="99B8DC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1.3</w:t>
            </w:r>
          </w:p>
        </w:tc>
        <w:tc>
          <w:tcPr>
            <w:tcW w:w="809" w:type="dxa"/>
            <w:shd w:val="clear" w:color="auto" w:fill="99B8DC"/>
          </w:tcPr>
          <w:p w:rsidR="008F1621" w:rsidRPr="00164A9A" w:rsidRDefault="008F1621" w:rsidP="004E12F1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29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</w:tr>
    </w:tbl>
    <w:p w:rsidR="002F12AD" w:rsidRDefault="002F12AD" w:rsidP="00F834B6">
      <w:pPr>
        <w:pStyle w:val="Heading1"/>
        <w:rPr>
          <w:rFonts w:ascii="VIC" w:hAnsi="VIC"/>
        </w:rPr>
      </w:pPr>
    </w:p>
    <w:p w:rsidR="002F12AD" w:rsidRDefault="002F12AD">
      <w:pPr>
        <w:widowControl/>
        <w:rPr>
          <w:rFonts w:ascii="VIC" w:eastAsia="MS Gothic" w:hAnsi="VIC" w:cs="Arial"/>
          <w:bCs/>
          <w:color w:val="004EA8"/>
          <w:kern w:val="32"/>
          <w:sz w:val="36"/>
          <w:szCs w:val="40"/>
          <w:lang w:val="en-AU"/>
        </w:rPr>
      </w:pPr>
      <w:r>
        <w:rPr>
          <w:rFonts w:ascii="VIC" w:hAnsi="VIC"/>
        </w:rPr>
        <w:br w:type="page"/>
      </w:r>
    </w:p>
    <w:p w:rsidR="008F1621" w:rsidRPr="006475A0" w:rsidRDefault="00F834B6" w:rsidP="00F834B6">
      <w:pPr>
        <w:pStyle w:val="Heading1"/>
        <w:rPr>
          <w:rFonts w:ascii="VIC" w:hAnsi="VIC"/>
        </w:rPr>
      </w:pPr>
      <w:bookmarkStart w:id="3" w:name="_Toc15472490"/>
      <w:r w:rsidRPr="006475A0">
        <w:rPr>
          <w:rFonts w:ascii="VIC" w:hAnsi="VIC"/>
        </w:rPr>
        <w:lastRenderedPageBreak/>
        <w:t>Inpatient - Year to Date (</w:t>
      </w:r>
      <w:r w:rsidR="00671410" w:rsidRPr="006475A0">
        <w:rPr>
          <w:rFonts w:ascii="VIC" w:hAnsi="VIC"/>
        </w:rPr>
        <w:t>2018-19</w:t>
      </w:r>
      <w:r w:rsidRPr="006475A0">
        <w:rPr>
          <w:rFonts w:ascii="VIC" w:hAnsi="VIC"/>
        </w:rPr>
        <w:t xml:space="preserve"> Q1-4)</w:t>
      </w:r>
      <w:bookmarkEnd w:id="3"/>
    </w:p>
    <w:tbl>
      <w:tblPr>
        <w:tblW w:w="15018" w:type="dxa"/>
        <w:tblInd w:w="-2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98"/>
        <w:gridCol w:w="1764"/>
        <w:gridCol w:w="2126"/>
        <w:gridCol w:w="1418"/>
        <w:gridCol w:w="1134"/>
        <w:gridCol w:w="1417"/>
        <w:gridCol w:w="1418"/>
        <w:gridCol w:w="1417"/>
        <w:gridCol w:w="1351"/>
        <w:gridCol w:w="1475"/>
      </w:tblGrid>
      <w:tr w:rsidR="00F834B6" w:rsidRPr="00164A9A" w:rsidTr="003729C1">
        <w:trPr>
          <w:trHeight w:val="686"/>
          <w:tblHeader/>
        </w:trPr>
        <w:tc>
          <w:tcPr>
            <w:tcW w:w="5388" w:type="dxa"/>
            <w:gridSpan w:val="3"/>
            <w:shd w:val="clear" w:color="auto" w:fill="auto"/>
          </w:tcPr>
          <w:p w:rsidR="00F834B6" w:rsidRPr="00164A9A" w:rsidRDefault="00F834B6" w:rsidP="00164A9A">
            <w:pPr>
              <w:pStyle w:val="DHHStablecolhead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 xml:space="preserve">Inpatient - </w:t>
            </w:r>
            <w:r w:rsidR="00671410">
              <w:rPr>
                <w:rFonts w:ascii="VIC" w:hAnsi="VIC"/>
              </w:rPr>
              <w:t>2018-19</w:t>
            </w:r>
            <w:r w:rsidRPr="00164A9A">
              <w:rPr>
                <w:rFonts w:ascii="VIC" w:hAnsi="VIC"/>
                <w:spacing w:val="-16"/>
              </w:rPr>
              <w:t xml:space="preserve"> </w:t>
            </w:r>
            <w:r w:rsidRPr="00164A9A">
              <w:rPr>
                <w:rFonts w:ascii="VIC" w:hAnsi="VIC"/>
              </w:rPr>
              <w:t>Q</w:t>
            </w:r>
            <w:r w:rsidR="00817493" w:rsidRPr="00164A9A">
              <w:rPr>
                <w:rFonts w:ascii="VIC" w:hAnsi="VIC"/>
              </w:rPr>
              <w:t>1-</w:t>
            </w:r>
            <w:r w:rsidRPr="00164A9A">
              <w:rPr>
                <w:rFonts w:ascii="VIC" w:hAnsi="VIC"/>
              </w:rPr>
              <w:t>4</w:t>
            </w:r>
          </w:p>
        </w:tc>
        <w:tc>
          <w:tcPr>
            <w:tcW w:w="1418" w:type="dxa"/>
          </w:tcPr>
          <w:p w:rsidR="00F834B6" w:rsidRPr="00164A9A" w:rsidRDefault="00BE5C6B" w:rsidP="006475A0">
            <w:pPr>
              <w:pStyle w:val="DHHStablecolhead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</w:rPr>
              <w:t>No. beds / 10,000 pop (metro)</w:t>
            </w:r>
          </w:p>
        </w:tc>
        <w:tc>
          <w:tcPr>
            <w:tcW w:w="1134" w:type="dxa"/>
          </w:tcPr>
          <w:p w:rsidR="00F834B6" w:rsidRPr="00164A9A" w:rsidRDefault="00BE5C6B" w:rsidP="006475A0">
            <w:pPr>
              <w:pStyle w:val="DHHStablecolhead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</w:rPr>
              <w:t xml:space="preserve">Avg trim </w:t>
            </w:r>
            <w:proofErr w:type="spellStart"/>
            <w:r>
              <w:rPr>
                <w:rFonts w:ascii="VIC" w:hAnsi="VIC"/>
              </w:rPr>
              <w:t>LoS</w:t>
            </w:r>
            <w:proofErr w:type="spellEnd"/>
            <w:r>
              <w:rPr>
                <w:rFonts w:ascii="VIC" w:hAnsi="VIC"/>
              </w:rPr>
              <w:t xml:space="preserve"> =&lt;35 days</w:t>
            </w:r>
          </w:p>
        </w:tc>
        <w:tc>
          <w:tcPr>
            <w:tcW w:w="1417" w:type="dxa"/>
          </w:tcPr>
          <w:p w:rsidR="00F834B6" w:rsidRPr="00164A9A" w:rsidRDefault="00BE5C6B" w:rsidP="006475A0">
            <w:pPr>
              <w:pStyle w:val="DHHStablecolhead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</w:rPr>
              <w:t>Rate seclusion / 1,000 occ bed days</w:t>
            </w:r>
          </w:p>
        </w:tc>
        <w:tc>
          <w:tcPr>
            <w:tcW w:w="1418" w:type="dxa"/>
          </w:tcPr>
          <w:p w:rsidR="00F834B6" w:rsidRPr="00164A9A" w:rsidRDefault="00BE5C6B" w:rsidP="006475A0">
            <w:pPr>
              <w:pStyle w:val="DHHStablecolhead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</w:rPr>
              <w:t>% self rated measures offered</w:t>
            </w:r>
          </w:p>
        </w:tc>
        <w:tc>
          <w:tcPr>
            <w:tcW w:w="1417" w:type="dxa"/>
          </w:tcPr>
          <w:p w:rsidR="00F834B6" w:rsidRPr="00164A9A" w:rsidRDefault="00BE5C6B" w:rsidP="006475A0">
            <w:pPr>
              <w:pStyle w:val="DHHStablecolhead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</w:rPr>
              <w:t>% self rated measures completed</w:t>
            </w:r>
          </w:p>
        </w:tc>
        <w:tc>
          <w:tcPr>
            <w:tcW w:w="1351" w:type="dxa"/>
          </w:tcPr>
          <w:p w:rsidR="00F834B6" w:rsidRPr="00164A9A" w:rsidRDefault="0073710D" w:rsidP="006475A0">
            <w:pPr>
              <w:pStyle w:val="DHHStablecolhead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</w:rPr>
              <w:t xml:space="preserve">% events w/valid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F834B6" w:rsidRPr="00164A9A" w:rsidRDefault="0073710D" w:rsidP="006475A0">
            <w:pPr>
              <w:pStyle w:val="DHHStablecolhead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</w:rPr>
              <w:t xml:space="preserve">Avg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  <w:r>
              <w:rPr>
                <w:rFonts w:ascii="VIC" w:hAnsi="VIC"/>
              </w:rPr>
              <w:t xml:space="preserve"> at episode start</w:t>
            </w:r>
          </w:p>
        </w:tc>
      </w:tr>
      <w:tr w:rsidR="00F834B6" w:rsidRPr="00164A9A" w:rsidTr="003729C1">
        <w:trPr>
          <w:trHeight w:val="176"/>
        </w:trPr>
        <w:tc>
          <w:tcPr>
            <w:tcW w:w="1498" w:type="dxa"/>
            <w:vMerge w:val="restart"/>
            <w:shd w:val="clear" w:color="auto" w:fill="E0EAF5"/>
          </w:tcPr>
          <w:p w:rsidR="00F834B6" w:rsidRPr="00164A9A" w:rsidRDefault="00F834B6" w:rsidP="00164A9A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Adolescent</w:t>
            </w:r>
            <w:r w:rsidRPr="00164A9A">
              <w:rPr>
                <w:rFonts w:ascii="VIC" w:hAnsi="VIC"/>
                <w:spacing w:val="-1"/>
                <w:w w:val="99"/>
              </w:rPr>
              <w:t xml:space="preserve"> </w:t>
            </w:r>
            <w:r w:rsidRPr="00164A9A">
              <w:rPr>
                <w:rFonts w:ascii="VIC" w:hAnsi="VIC"/>
              </w:rPr>
              <w:t>Units</w:t>
            </w:r>
          </w:p>
        </w:tc>
        <w:tc>
          <w:tcPr>
            <w:tcW w:w="1764" w:type="dxa"/>
          </w:tcPr>
          <w:p w:rsidR="00F834B6" w:rsidRPr="00164A9A" w:rsidRDefault="00F834B6" w:rsidP="00164A9A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Austin</w:t>
            </w:r>
            <w:r w:rsidRPr="00164A9A">
              <w:rPr>
                <w:rFonts w:ascii="VIC" w:hAnsi="VIC"/>
                <w:spacing w:val="-11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2126" w:type="dxa"/>
          </w:tcPr>
          <w:p w:rsidR="00F834B6" w:rsidRPr="00164A9A" w:rsidRDefault="00F834B6" w:rsidP="00164A9A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North East</w:t>
            </w:r>
            <w:r w:rsidRPr="00164A9A">
              <w:rPr>
                <w:rFonts w:ascii="VIC" w:hAnsi="VIC"/>
                <w:spacing w:val="-6"/>
              </w:rPr>
              <w:t xml:space="preserve"> </w:t>
            </w:r>
            <w:r w:rsidRPr="00164A9A">
              <w:rPr>
                <w:rFonts w:ascii="VIC" w:hAnsi="VIC"/>
              </w:rPr>
              <w:t>(Austin)</w:t>
            </w:r>
          </w:p>
        </w:tc>
        <w:tc>
          <w:tcPr>
            <w:tcW w:w="1418" w:type="dxa"/>
          </w:tcPr>
          <w:p w:rsidR="00F834B6" w:rsidRPr="00164A9A" w:rsidRDefault="00F834B6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2.3</w:t>
            </w:r>
          </w:p>
        </w:tc>
        <w:tc>
          <w:tcPr>
            <w:tcW w:w="1134" w:type="dxa"/>
          </w:tcPr>
          <w:p w:rsidR="00F834B6" w:rsidRPr="00164A9A" w:rsidRDefault="007D0DB1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7D0DB1">
              <w:rPr>
                <w:rFonts w:ascii="VIC" w:hAnsi="VIC"/>
                <w:lang w:val="en-US"/>
              </w:rPr>
              <w:t>7.3</w:t>
            </w:r>
          </w:p>
        </w:tc>
        <w:tc>
          <w:tcPr>
            <w:tcW w:w="1417" w:type="dxa"/>
          </w:tcPr>
          <w:p w:rsidR="00F834B6" w:rsidRPr="00164A9A" w:rsidRDefault="007D0DB1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7D0DB1">
              <w:rPr>
                <w:rFonts w:ascii="VIC" w:hAnsi="VIC"/>
                <w:lang w:val="en-US"/>
              </w:rPr>
              <w:t>21.6</w:t>
            </w:r>
          </w:p>
        </w:tc>
        <w:tc>
          <w:tcPr>
            <w:tcW w:w="1418" w:type="dxa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  <w:spacing w:val="-3"/>
              </w:rPr>
              <w:t>77</w:t>
            </w:r>
            <w:r w:rsidR="00F834B6" w:rsidRPr="00164A9A">
              <w:rPr>
                <w:rFonts w:ascii="VIC" w:hAnsi="VIC"/>
                <w:spacing w:val="-3"/>
              </w:rPr>
              <w:t xml:space="preserve"> </w:t>
            </w:r>
            <w:r w:rsidR="00F834B6" w:rsidRPr="00164A9A">
              <w:rPr>
                <w:rFonts w:ascii="VIC" w:hAnsi="VIC"/>
              </w:rPr>
              <w:t>%</w:t>
            </w:r>
          </w:p>
        </w:tc>
        <w:tc>
          <w:tcPr>
            <w:tcW w:w="1417" w:type="dxa"/>
          </w:tcPr>
          <w:p w:rsidR="00F834B6" w:rsidRPr="00164A9A" w:rsidRDefault="00F834B6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</w:t>
            </w:r>
            <w:r w:rsidR="00CB26E1">
              <w:rPr>
                <w:rFonts w:ascii="VIC" w:hAnsi="VIC"/>
              </w:rPr>
              <w:t>6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351" w:type="dxa"/>
          </w:tcPr>
          <w:p w:rsidR="00F834B6" w:rsidRPr="00164A9A" w:rsidRDefault="00F834B6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9</w:t>
            </w:r>
            <w:r w:rsidR="00CB26E1">
              <w:rPr>
                <w:rFonts w:ascii="VIC" w:hAnsi="VIC"/>
              </w:rPr>
              <w:t>3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475" w:type="dxa"/>
            <w:shd w:val="clear" w:color="auto" w:fill="auto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20.8</w:t>
            </w:r>
          </w:p>
        </w:tc>
      </w:tr>
      <w:tr w:rsidR="00F834B6" w:rsidRPr="00164A9A" w:rsidTr="003729C1">
        <w:trPr>
          <w:trHeight w:val="171"/>
        </w:trPr>
        <w:tc>
          <w:tcPr>
            <w:tcW w:w="1498" w:type="dxa"/>
            <w:vMerge/>
            <w:shd w:val="clear" w:color="auto" w:fill="E0EAF5"/>
          </w:tcPr>
          <w:p w:rsidR="00F834B6" w:rsidRPr="00164A9A" w:rsidRDefault="00F834B6" w:rsidP="00164A9A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764" w:type="dxa"/>
            <w:shd w:val="clear" w:color="auto" w:fill="E0EAF5"/>
          </w:tcPr>
          <w:p w:rsidR="00F834B6" w:rsidRPr="00164A9A" w:rsidRDefault="00F834B6" w:rsidP="00164A9A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Eastern</w:t>
            </w:r>
            <w:r w:rsidRPr="00164A9A">
              <w:rPr>
                <w:rFonts w:ascii="VIC" w:hAnsi="VIC"/>
                <w:spacing w:val="-14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2126" w:type="dxa"/>
            <w:shd w:val="clear" w:color="auto" w:fill="E0EAF5"/>
          </w:tcPr>
          <w:p w:rsidR="00F834B6" w:rsidRPr="00164A9A" w:rsidRDefault="00F834B6" w:rsidP="00164A9A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Eastern</w:t>
            </w:r>
            <w:r w:rsidRPr="00164A9A">
              <w:rPr>
                <w:rFonts w:ascii="VIC" w:hAnsi="VIC"/>
                <w:spacing w:val="-13"/>
              </w:rPr>
              <w:t xml:space="preserve"> </w:t>
            </w:r>
            <w:r w:rsidRPr="00164A9A">
              <w:rPr>
                <w:rFonts w:ascii="VIC" w:hAnsi="VIC"/>
              </w:rPr>
              <w:t>CYMHS</w:t>
            </w:r>
          </w:p>
        </w:tc>
        <w:tc>
          <w:tcPr>
            <w:tcW w:w="1418" w:type="dxa"/>
            <w:shd w:val="clear" w:color="auto" w:fill="E0EAF5"/>
          </w:tcPr>
          <w:p w:rsidR="00F834B6" w:rsidRPr="00164A9A" w:rsidRDefault="00F834B6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2.3</w:t>
            </w:r>
          </w:p>
        </w:tc>
        <w:tc>
          <w:tcPr>
            <w:tcW w:w="1134" w:type="dxa"/>
            <w:shd w:val="clear" w:color="auto" w:fill="E0EAF5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</w:rPr>
              <w:t>4.0</w:t>
            </w:r>
          </w:p>
        </w:tc>
        <w:tc>
          <w:tcPr>
            <w:tcW w:w="1417" w:type="dxa"/>
            <w:shd w:val="clear" w:color="auto" w:fill="E0EAF5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</w:rPr>
              <w:t>6</w:t>
            </w:r>
            <w:r w:rsidR="00F834B6" w:rsidRPr="00164A9A">
              <w:rPr>
                <w:rFonts w:ascii="VIC" w:hAnsi="VIC"/>
              </w:rPr>
              <w:t>.2</w:t>
            </w:r>
          </w:p>
        </w:tc>
        <w:tc>
          <w:tcPr>
            <w:tcW w:w="1418" w:type="dxa"/>
            <w:shd w:val="clear" w:color="auto" w:fill="E0EAF5"/>
          </w:tcPr>
          <w:p w:rsidR="00F834B6" w:rsidRPr="00164A9A" w:rsidRDefault="00F834B6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</w:t>
            </w:r>
            <w:r w:rsidR="00CB26E1">
              <w:rPr>
                <w:rFonts w:ascii="VIC" w:hAnsi="VIC"/>
              </w:rPr>
              <w:t>8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417" w:type="dxa"/>
            <w:shd w:val="clear" w:color="auto" w:fill="E0EAF5"/>
          </w:tcPr>
          <w:p w:rsidR="00F834B6" w:rsidRPr="00164A9A" w:rsidRDefault="00F834B6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</w:t>
            </w:r>
            <w:r w:rsidR="00CB26E1">
              <w:rPr>
                <w:rFonts w:ascii="VIC" w:hAnsi="VIC"/>
              </w:rPr>
              <w:t>3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351" w:type="dxa"/>
            <w:shd w:val="clear" w:color="auto" w:fill="E0EAF5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</w:rPr>
              <w:t>8</w:t>
            </w:r>
            <w:r w:rsidR="00F834B6" w:rsidRPr="00164A9A">
              <w:rPr>
                <w:rFonts w:ascii="VIC" w:hAnsi="VIC"/>
              </w:rPr>
              <w:t>6</w:t>
            </w:r>
            <w:r w:rsidR="00F834B6" w:rsidRPr="00164A9A">
              <w:rPr>
                <w:rFonts w:ascii="VIC" w:hAnsi="VIC"/>
                <w:spacing w:val="-3"/>
              </w:rPr>
              <w:t xml:space="preserve"> </w:t>
            </w:r>
            <w:r w:rsidR="00F834B6" w:rsidRPr="00164A9A">
              <w:rPr>
                <w:rFonts w:ascii="VIC" w:hAnsi="VIC"/>
              </w:rPr>
              <w:t>%</w:t>
            </w:r>
          </w:p>
        </w:tc>
        <w:tc>
          <w:tcPr>
            <w:tcW w:w="1475" w:type="dxa"/>
            <w:shd w:val="clear" w:color="auto" w:fill="E0EAF5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hAnsi="VIC"/>
              </w:rPr>
            </w:pPr>
            <w:r>
              <w:rPr>
                <w:rFonts w:ascii="VIC" w:hAnsi="VIC"/>
              </w:rPr>
              <w:t>16.9</w:t>
            </w:r>
          </w:p>
        </w:tc>
      </w:tr>
      <w:tr w:rsidR="00F834B6" w:rsidRPr="00164A9A" w:rsidTr="003729C1">
        <w:trPr>
          <w:trHeight w:val="686"/>
        </w:trPr>
        <w:tc>
          <w:tcPr>
            <w:tcW w:w="1498" w:type="dxa"/>
            <w:vMerge/>
            <w:shd w:val="clear" w:color="auto" w:fill="E0EAF5"/>
          </w:tcPr>
          <w:p w:rsidR="00F834B6" w:rsidRPr="00164A9A" w:rsidRDefault="00F834B6" w:rsidP="00F834B6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764" w:type="dxa"/>
          </w:tcPr>
          <w:p w:rsidR="00F834B6" w:rsidRPr="00164A9A" w:rsidRDefault="00F834B6" w:rsidP="00F834B6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Monash</w:t>
            </w:r>
            <w:r w:rsidRPr="00164A9A">
              <w:rPr>
                <w:rFonts w:ascii="VIC" w:hAnsi="VIC"/>
                <w:spacing w:val="-12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2126" w:type="dxa"/>
          </w:tcPr>
          <w:p w:rsidR="00F834B6" w:rsidRPr="00164A9A" w:rsidRDefault="00F834B6" w:rsidP="00F834B6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South Eastern</w:t>
            </w:r>
            <w:r w:rsidRPr="00164A9A">
              <w:rPr>
                <w:rFonts w:ascii="VIC" w:hAnsi="VIC"/>
                <w:spacing w:val="-15"/>
              </w:rPr>
              <w:t xml:space="preserve"> </w:t>
            </w:r>
            <w:r w:rsidRPr="00164A9A">
              <w:rPr>
                <w:rFonts w:ascii="VIC" w:hAnsi="VIC"/>
              </w:rPr>
              <w:t>(Monash</w:t>
            </w:r>
            <w:r w:rsidRPr="00164A9A">
              <w:rPr>
                <w:rFonts w:ascii="VIC" w:hAnsi="VIC"/>
                <w:spacing w:val="-1"/>
                <w:w w:val="99"/>
              </w:rPr>
              <w:t xml:space="preserve"> </w:t>
            </w:r>
            <w:r w:rsidRPr="00164A9A">
              <w:rPr>
                <w:rFonts w:ascii="VIC" w:hAnsi="VIC"/>
              </w:rPr>
              <w:t>CAMHS)</w:t>
            </w:r>
          </w:p>
        </w:tc>
        <w:tc>
          <w:tcPr>
            <w:tcW w:w="1418" w:type="dxa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</w:rPr>
              <w:t>1</w:t>
            </w:r>
            <w:r w:rsidR="00F834B6" w:rsidRPr="00164A9A">
              <w:rPr>
                <w:rFonts w:ascii="VIC" w:hAnsi="VIC"/>
              </w:rPr>
              <w:t>.</w:t>
            </w:r>
            <w:r>
              <w:rPr>
                <w:rFonts w:ascii="VIC" w:hAnsi="VIC"/>
              </w:rPr>
              <w:t>6</w:t>
            </w:r>
          </w:p>
        </w:tc>
        <w:tc>
          <w:tcPr>
            <w:tcW w:w="1134" w:type="dxa"/>
          </w:tcPr>
          <w:p w:rsidR="00F834B6" w:rsidRPr="00164A9A" w:rsidRDefault="00F834B6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7.3</w:t>
            </w:r>
          </w:p>
        </w:tc>
        <w:tc>
          <w:tcPr>
            <w:tcW w:w="1417" w:type="dxa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eastAsia="Verdana" w:hAnsi="VIC" w:cs="Verdana"/>
              </w:rPr>
              <w:t>7.2</w:t>
            </w:r>
          </w:p>
        </w:tc>
        <w:tc>
          <w:tcPr>
            <w:tcW w:w="1418" w:type="dxa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  <w:spacing w:val="-3"/>
              </w:rPr>
              <w:t>30</w:t>
            </w:r>
            <w:r w:rsidR="00F834B6" w:rsidRPr="00164A9A">
              <w:rPr>
                <w:rFonts w:ascii="VIC" w:hAnsi="VIC"/>
                <w:spacing w:val="-3"/>
              </w:rPr>
              <w:t xml:space="preserve"> </w:t>
            </w:r>
            <w:r w:rsidR="00F834B6" w:rsidRPr="00164A9A">
              <w:rPr>
                <w:rFonts w:ascii="VIC" w:hAnsi="VIC"/>
              </w:rPr>
              <w:t>%</w:t>
            </w:r>
          </w:p>
        </w:tc>
        <w:tc>
          <w:tcPr>
            <w:tcW w:w="1417" w:type="dxa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  <w:spacing w:val="-3"/>
              </w:rPr>
              <w:t>27</w:t>
            </w:r>
            <w:r w:rsidR="00F834B6" w:rsidRPr="00164A9A">
              <w:rPr>
                <w:rFonts w:ascii="VIC" w:hAnsi="VIC"/>
                <w:spacing w:val="-3"/>
              </w:rPr>
              <w:t xml:space="preserve"> </w:t>
            </w:r>
            <w:r w:rsidR="00F834B6" w:rsidRPr="00164A9A">
              <w:rPr>
                <w:rFonts w:ascii="VIC" w:hAnsi="VIC"/>
              </w:rPr>
              <w:t>%</w:t>
            </w:r>
          </w:p>
        </w:tc>
        <w:tc>
          <w:tcPr>
            <w:tcW w:w="1351" w:type="dxa"/>
          </w:tcPr>
          <w:p w:rsidR="00F834B6" w:rsidRPr="00164A9A" w:rsidRDefault="00F834B6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9</w:t>
            </w:r>
            <w:r w:rsidR="00CB26E1">
              <w:rPr>
                <w:rFonts w:ascii="VIC" w:hAnsi="VIC"/>
              </w:rPr>
              <w:t>5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475" w:type="dxa"/>
            <w:shd w:val="clear" w:color="auto" w:fill="auto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</w:rPr>
              <w:t>18</w:t>
            </w:r>
            <w:r w:rsidR="00F834B6" w:rsidRPr="00164A9A">
              <w:rPr>
                <w:rFonts w:ascii="VIC" w:hAnsi="VIC"/>
              </w:rPr>
              <w:t>.8</w:t>
            </w:r>
          </w:p>
        </w:tc>
      </w:tr>
      <w:tr w:rsidR="00F834B6" w:rsidRPr="00164A9A" w:rsidTr="003729C1">
        <w:trPr>
          <w:trHeight w:val="686"/>
        </w:trPr>
        <w:tc>
          <w:tcPr>
            <w:tcW w:w="1498" w:type="dxa"/>
            <w:vMerge/>
            <w:shd w:val="clear" w:color="auto" w:fill="E0EAF5"/>
          </w:tcPr>
          <w:p w:rsidR="00F834B6" w:rsidRPr="00164A9A" w:rsidRDefault="00F834B6" w:rsidP="00F834B6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1764" w:type="dxa"/>
            <w:shd w:val="clear" w:color="auto" w:fill="E0EAF5"/>
          </w:tcPr>
          <w:p w:rsidR="00F834B6" w:rsidRPr="00164A9A" w:rsidRDefault="00F834B6" w:rsidP="00F834B6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Royal</w:t>
            </w:r>
            <w:r w:rsidRPr="00164A9A">
              <w:rPr>
                <w:rFonts w:ascii="VIC" w:hAnsi="VIC"/>
                <w:spacing w:val="-15"/>
              </w:rPr>
              <w:t xml:space="preserve"> </w:t>
            </w:r>
            <w:r w:rsidRPr="00164A9A">
              <w:rPr>
                <w:rFonts w:ascii="VIC" w:hAnsi="VIC"/>
              </w:rPr>
              <w:t>Children's</w:t>
            </w:r>
          </w:p>
        </w:tc>
        <w:tc>
          <w:tcPr>
            <w:tcW w:w="2126" w:type="dxa"/>
            <w:shd w:val="clear" w:color="auto" w:fill="E0EAF5"/>
          </w:tcPr>
          <w:p w:rsidR="00F834B6" w:rsidRPr="00164A9A" w:rsidRDefault="00F834B6" w:rsidP="00F834B6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North Western</w:t>
            </w:r>
            <w:r w:rsidRPr="00164A9A">
              <w:rPr>
                <w:rFonts w:ascii="VIC" w:hAnsi="VIC"/>
                <w:spacing w:val="-8"/>
              </w:rPr>
              <w:t xml:space="preserve"> </w:t>
            </w:r>
            <w:r w:rsidRPr="00164A9A">
              <w:rPr>
                <w:rFonts w:ascii="VIC" w:hAnsi="VIC"/>
              </w:rPr>
              <w:t>(RCH)</w:t>
            </w:r>
          </w:p>
        </w:tc>
        <w:tc>
          <w:tcPr>
            <w:tcW w:w="1418" w:type="dxa"/>
            <w:shd w:val="clear" w:color="auto" w:fill="E0EAF5"/>
          </w:tcPr>
          <w:p w:rsidR="00F834B6" w:rsidRPr="00164A9A" w:rsidRDefault="00F834B6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2.</w:t>
            </w:r>
            <w:r w:rsidR="00CB26E1">
              <w:rPr>
                <w:rFonts w:ascii="VIC" w:hAnsi="VIC"/>
              </w:rPr>
              <w:t>0</w:t>
            </w:r>
          </w:p>
        </w:tc>
        <w:tc>
          <w:tcPr>
            <w:tcW w:w="1134" w:type="dxa"/>
            <w:shd w:val="clear" w:color="auto" w:fill="E0EAF5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</w:rPr>
              <w:t>5.9</w:t>
            </w:r>
          </w:p>
        </w:tc>
        <w:tc>
          <w:tcPr>
            <w:tcW w:w="1417" w:type="dxa"/>
            <w:shd w:val="clear" w:color="auto" w:fill="E0EAF5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</w:rPr>
              <w:t>15.0</w:t>
            </w:r>
          </w:p>
        </w:tc>
        <w:tc>
          <w:tcPr>
            <w:tcW w:w="1418" w:type="dxa"/>
            <w:shd w:val="clear" w:color="auto" w:fill="E0EAF5"/>
          </w:tcPr>
          <w:p w:rsidR="00F834B6" w:rsidRPr="00164A9A" w:rsidRDefault="00F834B6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</w:t>
            </w:r>
            <w:r w:rsidR="00CB26E1">
              <w:rPr>
                <w:rFonts w:ascii="VIC" w:hAnsi="VIC"/>
              </w:rPr>
              <w:t>4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417" w:type="dxa"/>
            <w:shd w:val="clear" w:color="auto" w:fill="E0EAF5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  <w:spacing w:val="-3"/>
              </w:rPr>
              <w:t>74</w:t>
            </w:r>
            <w:r w:rsidR="00F834B6" w:rsidRPr="00164A9A">
              <w:rPr>
                <w:rFonts w:ascii="VIC" w:hAnsi="VIC"/>
                <w:spacing w:val="-3"/>
              </w:rPr>
              <w:t xml:space="preserve"> </w:t>
            </w:r>
            <w:r w:rsidR="00F834B6" w:rsidRPr="00164A9A">
              <w:rPr>
                <w:rFonts w:ascii="VIC" w:hAnsi="VIC"/>
              </w:rPr>
              <w:t>%</w:t>
            </w:r>
          </w:p>
        </w:tc>
        <w:tc>
          <w:tcPr>
            <w:tcW w:w="1351" w:type="dxa"/>
            <w:shd w:val="clear" w:color="auto" w:fill="E0EAF5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  <w:spacing w:val="-3"/>
              </w:rPr>
              <w:t>79</w:t>
            </w:r>
            <w:r w:rsidR="00F834B6" w:rsidRPr="00164A9A">
              <w:rPr>
                <w:rFonts w:ascii="VIC" w:hAnsi="VIC"/>
                <w:spacing w:val="-3"/>
              </w:rPr>
              <w:t xml:space="preserve"> </w:t>
            </w:r>
            <w:r w:rsidR="00F834B6" w:rsidRPr="00164A9A">
              <w:rPr>
                <w:rFonts w:ascii="VIC" w:hAnsi="VIC"/>
              </w:rPr>
              <w:t>%</w:t>
            </w:r>
          </w:p>
        </w:tc>
        <w:tc>
          <w:tcPr>
            <w:tcW w:w="1475" w:type="dxa"/>
            <w:shd w:val="clear" w:color="auto" w:fill="E0EAF5"/>
          </w:tcPr>
          <w:p w:rsidR="00F834B6" w:rsidRPr="00164A9A" w:rsidRDefault="00F834B6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</w:t>
            </w:r>
            <w:r w:rsidR="00CB26E1">
              <w:rPr>
                <w:rFonts w:ascii="VIC" w:hAnsi="VIC"/>
              </w:rPr>
              <w:t>8</w:t>
            </w:r>
            <w:r w:rsidRPr="00164A9A">
              <w:rPr>
                <w:rFonts w:ascii="VIC" w:hAnsi="VIC"/>
              </w:rPr>
              <w:t>.</w:t>
            </w:r>
            <w:r w:rsidR="00CB26E1">
              <w:rPr>
                <w:rFonts w:ascii="VIC" w:hAnsi="VIC"/>
              </w:rPr>
              <w:t>3</w:t>
            </w:r>
          </w:p>
        </w:tc>
      </w:tr>
      <w:tr w:rsidR="00F834B6" w:rsidRPr="00164A9A" w:rsidTr="003729C1">
        <w:trPr>
          <w:trHeight w:val="180"/>
        </w:trPr>
        <w:tc>
          <w:tcPr>
            <w:tcW w:w="1498" w:type="dxa"/>
            <w:vMerge/>
            <w:shd w:val="clear" w:color="auto" w:fill="E0EAF5"/>
          </w:tcPr>
          <w:p w:rsidR="00F834B6" w:rsidRPr="00164A9A" w:rsidRDefault="00F834B6" w:rsidP="00F834B6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1764" w:type="dxa"/>
            <w:shd w:val="clear" w:color="auto" w:fill="99B8DC"/>
          </w:tcPr>
          <w:p w:rsidR="00F834B6" w:rsidRPr="00164A9A" w:rsidRDefault="00F834B6" w:rsidP="00F834B6">
            <w:pPr>
              <w:pStyle w:val="DHHStabletext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TOTAL</w:t>
            </w:r>
            <w:r w:rsidRPr="00164A9A">
              <w:rPr>
                <w:rFonts w:ascii="VIC" w:hAnsi="VIC"/>
                <w:b/>
                <w:spacing w:val="-10"/>
              </w:rPr>
              <w:t xml:space="preserve"> </w:t>
            </w:r>
            <w:r w:rsidRPr="00164A9A">
              <w:rPr>
                <w:rFonts w:ascii="VIC" w:hAnsi="VIC"/>
                <w:b/>
              </w:rPr>
              <w:t>METRO</w:t>
            </w:r>
          </w:p>
        </w:tc>
        <w:tc>
          <w:tcPr>
            <w:tcW w:w="2126" w:type="dxa"/>
            <w:shd w:val="clear" w:color="auto" w:fill="99B8DC"/>
          </w:tcPr>
          <w:p w:rsidR="00F834B6" w:rsidRPr="00164A9A" w:rsidRDefault="00F834B6" w:rsidP="00F834B6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1418" w:type="dxa"/>
            <w:shd w:val="clear" w:color="auto" w:fill="99B8DC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>
              <w:rPr>
                <w:rFonts w:ascii="VIC" w:hAnsi="VIC"/>
                <w:b/>
              </w:rPr>
              <w:t>2</w:t>
            </w:r>
            <w:r w:rsidR="00F834B6" w:rsidRPr="00164A9A">
              <w:rPr>
                <w:rFonts w:ascii="VIC" w:hAnsi="VIC"/>
                <w:b/>
              </w:rPr>
              <w:t>.</w:t>
            </w:r>
            <w:r>
              <w:rPr>
                <w:rFonts w:ascii="VIC" w:hAnsi="VIC"/>
                <w:b/>
              </w:rPr>
              <w:t>0</w:t>
            </w:r>
          </w:p>
        </w:tc>
        <w:tc>
          <w:tcPr>
            <w:tcW w:w="1134" w:type="dxa"/>
            <w:shd w:val="clear" w:color="auto" w:fill="99B8DC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>
              <w:rPr>
                <w:rFonts w:ascii="VIC" w:hAnsi="VIC"/>
                <w:b/>
              </w:rPr>
              <w:t>5</w:t>
            </w:r>
            <w:r w:rsidR="00F834B6" w:rsidRPr="00164A9A">
              <w:rPr>
                <w:rFonts w:ascii="VIC" w:hAnsi="VIC"/>
                <w:b/>
              </w:rPr>
              <w:t>.</w:t>
            </w:r>
            <w:r>
              <w:rPr>
                <w:rFonts w:ascii="VIC" w:hAnsi="VIC"/>
                <w:b/>
              </w:rPr>
              <w:t>8</w:t>
            </w:r>
          </w:p>
        </w:tc>
        <w:tc>
          <w:tcPr>
            <w:tcW w:w="1417" w:type="dxa"/>
            <w:shd w:val="clear" w:color="auto" w:fill="99B8DC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>
              <w:rPr>
                <w:rFonts w:ascii="VIC" w:hAnsi="VIC"/>
                <w:b/>
              </w:rPr>
              <w:t>12</w:t>
            </w:r>
            <w:r w:rsidR="00F834B6" w:rsidRPr="00164A9A">
              <w:rPr>
                <w:rFonts w:ascii="VIC" w:hAnsi="VIC"/>
                <w:b/>
              </w:rPr>
              <w:t>.</w:t>
            </w:r>
            <w:r>
              <w:rPr>
                <w:rFonts w:ascii="VIC" w:hAnsi="VIC"/>
                <w:b/>
              </w:rPr>
              <w:t>4</w:t>
            </w:r>
          </w:p>
        </w:tc>
        <w:tc>
          <w:tcPr>
            <w:tcW w:w="1418" w:type="dxa"/>
            <w:shd w:val="clear" w:color="auto" w:fill="99B8DC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>
              <w:rPr>
                <w:rFonts w:ascii="VIC" w:hAnsi="VIC"/>
                <w:b/>
                <w:spacing w:val="-3"/>
              </w:rPr>
              <w:t>65</w:t>
            </w:r>
            <w:r w:rsidR="00F834B6" w:rsidRPr="00164A9A">
              <w:rPr>
                <w:rFonts w:ascii="VIC" w:hAnsi="VIC"/>
                <w:b/>
                <w:spacing w:val="-3"/>
              </w:rPr>
              <w:t xml:space="preserve"> </w:t>
            </w:r>
            <w:r w:rsidR="00F834B6"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1417" w:type="dxa"/>
            <w:shd w:val="clear" w:color="auto" w:fill="99B8DC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>
              <w:rPr>
                <w:rFonts w:ascii="VIC" w:hAnsi="VIC"/>
                <w:b/>
                <w:spacing w:val="-3"/>
              </w:rPr>
              <w:t>56</w:t>
            </w:r>
            <w:r w:rsidR="00F834B6" w:rsidRPr="00164A9A">
              <w:rPr>
                <w:rFonts w:ascii="VIC" w:hAnsi="VIC"/>
                <w:b/>
                <w:spacing w:val="-3"/>
              </w:rPr>
              <w:t xml:space="preserve"> </w:t>
            </w:r>
            <w:r w:rsidR="00F834B6"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1351" w:type="dxa"/>
            <w:shd w:val="clear" w:color="auto" w:fill="99B8DC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>
              <w:rPr>
                <w:rFonts w:ascii="VIC" w:hAnsi="VIC"/>
                <w:b/>
                <w:spacing w:val="-3"/>
              </w:rPr>
              <w:t>87</w:t>
            </w:r>
            <w:r w:rsidR="00F834B6" w:rsidRPr="00164A9A">
              <w:rPr>
                <w:rFonts w:ascii="VIC" w:hAnsi="VIC"/>
                <w:b/>
                <w:spacing w:val="-3"/>
              </w:rPr>
              <w:t xml:space="preserve"> </w:t>
            </w:r>
            <w:r w:rsidR="00F834B6"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1475" w:type="dxa"/>
            <w:shd w:val="clear" w:color="auto" w:fill="99B8DC"/>
          </w:tcPr>
          <w:p w:rsidR="00F834B6" w:rsidRPr="00164A9A" w:rsidRDefault="00F834B6" w:rsidP="006475A0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18.</w:t>
            </w:r>
            <w:r w:rsidR="00CB26E1">
              <w:rPr>
                <w:rFonts w:ascii="VIC" w:hAnsi="VIC"/>
                <w:b/>
              </w:rPr>
              <w:t>3</w:t>
            </w:r>
          </w:p>
        </w:tc>
      </w:tr>
      <w:tr w:rsidR="00F834B6" w:rsidRPr="00164A9A" w:rsidTr="003729C1">
        <w:trPr>
          <w:trHeight w:val="172"/>
        </w:trPr>
        <w:tc>
          <w:tcPr>
            <w:tcW w:w="1498" w:type="dxa"/>
            <w:shd w:val="clear" w:color="auto" w:fill="auto"/>
          </w:tcPr>
          <w:p w:rsidR="00F834B6" w:rsidRPr="00164A9A" w:rsidRDefault="00F834B6" w:rsidP="00F834B6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Child</w:t>
            </w:r>
            <w:r w:rsidRPr="00164A9A">
              <w:rPr>
                <w:rFonts w:ascii="VIC" w:hAnsi="VIC"/>
                <w:spacing w:val="-9"/>
              </w:rPr>
              <w:t xml:space="preserve"> </w:t>
            </w:r>
            <w:r w:rsidRPr="00164A9A">
              <w:rPr>
                <w:rFonts w:ascii="VIC" w:hAnsi="VIC"/>
              </w:rPr>
              <w:t>Unit</w:t>
            </w:r>
          </w:p>
        </w:tc>
        <w:tc>
          <w:tcPr>
            <w:tcW w:w="1764" w:type="dxa"/>
          </w:tcPr>
          <w:p w:rsidR="00F834B6" w:rsidRPr="00164A9A" w:rsidRDefault="00F834B6" w:rsidP="00F834B6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Monash</w:t>
            </w:r>
            <w:r w:rsidRPr="00164A9A">
              <w:rPr>
                <w:rFonts w:ascii="VIC" w:hAnsi="VIC"/>
                <w:spacing w:val="-12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2126" w:type="dxa"/>
          </w:tcPr>
          <w:p w:rsidR="00F834B6" w:rsidRPr="00164A9A" w:rsidRDefault="00F834B6" w:rsidP="00F834B6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Oasis</w:t>
            </w:r>
          </w:p>
        </w:tc>
        <w:tc>
          <w:tcPr>
            <w:tcW w:w="1418" w:type="dxa"/>
          </w:tcPr>
          <w:p w:rsidR="00F834B6" w:rsidRPr="00164A9A" w:rsidRDefault="00F834B6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</w:p>
        </w:tc>
        <w:tc>
          <w:tcPr>
            <w:tcW w:w="1134" w:type="dxa"/>
          </w:tcPr>
          <w:p w:rsidR="00F834B6" w:rsidRPr="00164A9A" w:rsidRDefault="00F834B6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9</w:t>
            </w:r>
            <w:r w:rsidR="00CB26E1">
              <w:rPr>
                <w:rFonts w:ascii="VIC" w:hAnsi="VIC"/>
              </w:rPr>
              <w:t>.6</w:t>
            </w:r>
          </w:p>
        </w:tc>
        <w:tc>
          <w:tcPr>
            <w:tcW w:w="1417" w:type="dxa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</w:rPr>
              <w:t>27</w:t>
            </w:r>
            <w:r w:rsidR="00F834B6" w:rsidRPr="00164A9A">
              <w:rPr>
                <w:rFonts w:ascii="VIC" w:hAnsi="VIC"/>
              </w:rPr>
              <w:t>.</w:t>
            </w:r>
            <w:r>
              <w:rPr>
                <w:rFonts w:ascii="VIC" w:hAnsi="VIC"/>
              </w:rPr>
              <w:t>6</w:t>
            </w:r>
          </w:p>
        </w:tc>
        <w:tc>
          <w:tcPr>
            <w:tcW w:w="1418" w:type="dxa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  <w:spacing w:val="-3"/>
              </w:rPr>
              <w:t>50</w:t>
            </w:r>
            <w:r w:rsidR="00F834B6" w:rsidRPr="00164A9A">
              <w:rPr>
                <w:rFonts w:ascii="VIC" w:hAnsi="VIC"/>
                <w:spacing w:val="-3"/>
              </w:rPr>
              <w:t xml:space="preserve"> </w:t>
            </w:r>
            <w:r w:rsidR="00F834B6" w:rsidRPr="00164A9A">
              <w:rPr>
                <w:rFonts w:ascii="VIC" w:hAnsi="VIC"/>
              </w:rPr>
              <w:t>%</w:t>
            </w:r>
          </w:p>
        </w:tc>
        <w:tc>
          <w:tcPr>
            <w:tcW w:w="1417" w:type="dxa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  <w:spacing w:val="-3"/>
              </w:rPr>
              <w:t>50</w:t>
            </w:r>
            <w:r w:rsidR="00F834B6" w:rsidRPr="00164A9A">
              <w:rPr>
                <w:rFonts w:ascii="VIC" w:hAnsi="VIC"/>
                <w:spacing w:val="-3"/>
              </w:rPr>
              <w:t xml:space="preserve"> </w:t>
            </w:r>
            <w:r w:rsidR="00F834B6" w:rsidRPr="00164A9A">
              <w:rPr>
                <w:rFonts w:ascii="VIC" w:hAnsi="VIC"/>
              </w:rPr>
              <w:t>%</w:t>
            </w:r>
          </w:p>
        </w:tc>
        <w:tc>
          <w:tcPr>
            <w:tcW w:w="1351" w:type="dxa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  <w:spacing w:val="-3"/>
              </w:rPr>
              <w:t>91</w:t>
            </w:r>
            <w:r w:rsidR="00F834B6" w:rsidRPr="00164A9A">
              <w:rPr>
                <w:rFonts w:ascii="VIC" w:hAnsi="VIC"/>
                <w:spacing w:val="-3"/>
              </w:rPr>
              <w:t xml:space="preserve"> </w:t>
            </w:r>
            <w:r w:rsidR="00F834B6" w:rsidRPr="00164A9A">
              <w:rPr>
                <w:rFonts w:ascii="VIC" w:hAnsi="VIC"/>
              </w:rPr>
              <w:t>%</w:t>
            </w:r>
          </w:p>
        </w:tc>
        <w:tc>
          <w:tcPr>
            <w:tcW w:w="1475" w:type="dxa"/>
            <w:shd w:val="clear" w:color="auto" w:fill="auto"/>
          </w:tcPr>
          <w:p w:rsidR="00F834B6" w:rsidRPr="00164A9A" w:rsidRDefault="00CB26E1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>
              <w:rPr>
                <w:rFonts w:ascii="VIC" w:hAnsi="VIC"/>
              </w:rPr>
              <w:t>22</w:t>
            </w:r>
            <w:r w:rsidR="00F834B6" w:rsidRPr="00164A9A">
              <w:rPr>
                <w:rFonts w:ascii="VIC" w:hAnsi="VIC"/>
              </w:rPr>
              <w:t>.</w:t>
            </w:r>
            <w:r>
              <w:rPr>
                <w:rFonts w:ascii="VIC" w:hAnsi="VIC"/>
              </w:rPr>
              <w:t>0</w:t>
            </w:r>
          </w:p>
        </w:tc>
      </w:tr>
      <w:tr w:rsidR="00F834B6" w:rsidRPr="00164A9A" w:rsidTr="003729C1">
        <w:trPr>
          <w:trHeight w:val="686"/>
        </w:trPr>
        <w:tc>
          <w:tcPr>
            <w:tcW w:w="1498" w:type="dxa"/>
            <w:shd w:val="clear" w:color="auto" w:fill="auto"/>
          </w:tcPr>
          <w:p w:rsidR="00F834B6" w:rsidRPr="00164A9A" w:rsidRDefault="00F834B6" w:rsidP="00F834B6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Statewide</w:t>
            </w:r>
            <w:r w:rsidRPr="00164A9A">
              <w:rPr>
                <w:rFonts w:ascii="VIC" w:hAnsi="VIC"/>
                <w:spacing w:val="-1"/>
                <w:w w:val="99"/>
              </w:rPr>
              <w:t xml:space="preserve"> </w:t>
            </w:r>
            <w:r w:rsidRPr="00164A9A">
              <w:rPr>
                <w:rFonts w:ascii="VIC" w:hAnsi="VIC"/>
              </w:rPr>
              <w:t>Child</w:t>
            </w:r>
            <w:r w:rsidRPr="00164A9A">
              <w:rPr>
                <w:rFonts w:ascii="VIC" w:hAnsi="VIC"/>
                <w:spacing w:val="-9"/>
              </w:rPr>
              <w:t xml:space="preserve"> </w:t>
            </w:r>
            <w:r w:rsidRPr="00164A9A">
              <w:rPr>
                <w:rFonts w:ascii="VIC" w:hAnsi="VIC"/>
              </w:rPr>
              <w:t>Unit</w:t>
            </w:r>
          </w:p>
        </w:tc>
        <w:tc>
          <w:tcPr>
            <w:tcW w:w="1764" w:type="dxa"/>
          </w:tcPr>
          <w:p w:rsidR="00F834B6" w:rsidRPr="00164A9A" w:rsidRDefault="00F834B6" w:rsidP="00F834B6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Austin</w:t>
            </w:r>
            <w:r w:rsidRPr="00164A9A">
              <w:rPr>
                <w:rFonts w:ascii="VIC" w:hAnsi="VIC"/>
                <w:spacing w:val="-11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2126" w:type="dxa"/>
          </w:tcPr>
          <w:p w:rsidR="00F834B6" w:rsidRPr="00164A9A" w:rsidRDefault="00F834B6" w:rsidP="00F834B6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Statewide Child</w:t>
            </w:r>
            <w:r w:rsidRPr="00164A9A">
              <w:rPr>
                <w:rFonts w:ascii="VIC" w:hAnsi="VIC"/>
                <w:spacing w:val="-14"/>
              </w:rPr>
              <w:t xml:space="preserve"> </w:t>
            </w:r>
            <w:r w:rsidRPr="00164A9A">
              <w:rPr>
                <w:rFonts w:ascii="VIC" w:hAnsi="VIC"/>
              </w:rPr>
              <w:t>Unit</w:t>
            </w:r>
            <w:r w:rsidRPr="00164A9A">
              <w:rPr>
                <w:rFonts w:ascii="VIC" w:hAnsi="VIC"/>
                <w:spacing w:val="-1"/>
              </w:rPr>
              <w:t xml:space="preserve"> </w:t>
            </w:r>
            <w:r w:rsidRPr="00164A9A">
              <w:rPr>
                <w:rFonts w:ascii="VIC" w:hAnsi="VIC"/>
              </w:rPr>
              <w:t>(Eagle)</w:t>
            </w:r>
          </w:p>
        </w:tc>
        <w:tc>
          <w:tcPr>
            <w:tcW w:w="1418" w:type="dxa"/>
          </w:tcPr>
          <w:p w:rsidR="00F834B6" w:rsidRPr="00164A9A" w:rsidRDefault="00F834B6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</w:p>
        </w:tc>
        <w:tc>
          <w:tcPr>
            <w:tcW w:w="1134" w:type="dxa"/>
          </w:tcPr>
          <w:p w:rsidR="00F834B6" w:rsidRPr="00164A9A" w:rsidRDefault="00F834B6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14.5</w:t>
            </w:r>
          </w:p>
        </w:tc>
        <w:tc>
          <w:tcPr>
            <w:tcW w:w="1417" w:type="dxa"/>
          </w:tcPr>
          <w:p w:rsidR="00F834B6" w:rsidRPr="00164A9A" w:rsidRDefault="00F834B6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0.0</w:t>
            </w:r>
          </w:p>
        </w:tc>
        <w:tc>
          <w:tcPr>
            <w:tcW w:w="1418" w:type="dxa"/>
          </w:tcPr>
          <w:p w:rsidR="00F834B6" w:rsidRPr="00164A9A" w:rsidRDefault="00F834B6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34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417" w:type="dxa"/>
          </w:tcPr>
          <w:p w:rsidR="00F834B6" w:rsidRPr="00164A9A" w:rsidRDefault="00F834B6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29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351" w:type="dxa"/>
          </w:tcPr>
          <w:p w:rsidR="00F834B6" w:rsidRPr="00164A9A" w:rsidRDefault="00F834B6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34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475" w:type="dxa"/>
            <w:shd w:val="clear" w:color="auto" w:fill="auto"/>
          </w:tcPr>
          <w:p w:rsidR="00F834B6" w:rsidRPr="00164A9A" w:rsidRDefault="00F834B6" w:rsidP="006475A0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28.2</w:t>
            </w:r>
          </w:p>
        </w:tc>
      </w:tr>
    </w:tbl>
    <w:p w:rsidR="002F12AD" w:rsidRDefault="002F12AD" w:rsidP="00817493">
      <w:pPr>
        <w:pStyle w:val="Heading1"/>
        <w:rPr>
          <w:rFonts w:ascii="VIC" w:hAnsi="VIC"/>
        </w:rPr>
      </w:pPr>
    </w:p>
    <w:p w:rsidR="002F12AD" w:rsidRDefault="002F12AD">
      <w:pPr>
        <w:widowControl/>
        <w:rPr>
          <w:rFonts w:ascii="VIC" w:eastAsia="MS Gothic" w:hAnsi="VIC" w:cs="Arial"/>
          <w:bCs/>
          <w:color w:val="004EA8"/>
          <w:kern w:val="32"/>
          <w:sz w:val="36"/>
          <w:szCs w:val="40"/>
          <w:lang w:val="en-AU"/>
        </w:rPr>
      </w:pPr>
      <w:r>
        <w:rPr>
          <w:rFonts w:ascii="VIC" w:hAnsi="VIC"/>
        </w:rPr>
        <w:br w:type="page"/>
      </w:r>
    </w:p>
    <w:p w:rsidR="00817493" w:rsidRPr="006475A0" w:rsidRDefault="00817493" w:rsidP="00817493">
      <w:pPr>
        <w:pStyle w:val="Heading1"/>
        <w:rPr>
          <w:rFonts w:ascii="VIC" w:hAnsi="VIC"/>
        </w:rPr>
      </w:pPr>
      <w:bookmarkStart w:id="4" w:name="_Toc15472491"/>
      <w:r w:rsidRPr="006475A0">
        <w:rPr>
          <w:rFonts w:ascii="VIC" w:hAnsi="VIC"/>
        </w:rPr>
        <w:lastRenderedPageBreak/>
        <w:t xml:space="preserve">Community - </w:t>
      </w:r>
      <w:r w:rsidR="00D62C84" w:rsidRPr="006475A0">
        <w:rPr>
          <w:rFonts w:ascii="VIC" w:hAnsi="VIC"/>
        </w:rPr>
        <w:t xml:space="preserve">Year to Date </w:t>
      </w:r>
      <w:r w:rsidR="00D62C84">
        <w:rPr>
          <w:rFonts w:ascii="VIC" w:hAnsi="VIC"/>
        </w:rPr>
        <w:t>(</w:t>
      </w:r>
      <w:r w:rsidR="00671410" w:rsidRPr="006475A0">
        <w:rPr>
          <w:rFonts w:ascii="VIC" w:hAnsi="VIC"/>
        </w:rPr>
        <w:t>2018-19</w:t>
      </w:r>
      <w:r w:rsidRPr="006475A0">
        <w:rPr>
          <w:rFonts w:ascii="VIC" w:hAnsi="VIC"/>
        </w:rPr>
        <w:t xml:space="preserve"> Q1-4</w:t>
      </w:r>
      <w:r w:rsidR="00D62C84">
        <w:rPr>
          <w:rFonts w:ascii="VIC" w:hAnsi="VIC"/>
        </w:rPr>
        <w:t>)</w:t>
      </w:r>
      <w:bookmarkEnd w:id="4"/>
    </w:p>
    <w:p w:rsidR="00817493" w:rsidRPr="00164A9A" w:rsidRDefault="00817493" w:rsidP="00817493">
      <w:pPr>
        <w:pStyle w:val="DHHStabletext"/>
        <w:rPr>
          <w:rFonts w:ascii="VIC" w:hAnsi="VIC"/>
        </w:rPr>
      </w:pPr>
    </w:p>
    <w:tbl>
      <w:tblPr>
        <w:tblW w:w="1519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1984"/>
        <w:gridCol w:w="1134"/>
        <w:gridCol w:w="1134"/>
        <w:gridCol w:w="1134"/>
        <w:gridCol w:w="851"/>
        <w:gridCol w:w="709"/>
        <w:gridCol w:w="992"/>
        <w:gridCol w:w="992"/>
        <w:gridCol w:w="1134"/>
        <w:gridCol w:w="851"/>
        <w:gridCol w:w="992"/>
        <w:gridCol w:w="850"/>
      </w:tblGrid>
      <w:tr w:rsidR="006802F0" w:rsidRPr="00164A9A" w:rsidTr="006802F0">
        <w:trPr>
          <w:tblHeader/>
        </w:trPr>
        <w:tc>
          <w:tcPr>
            <w:tcW w:w="4418" w:type="dxa"/>
            <w:gridSpan w:val="2"/>
          </w:tcPr>
          <w:p w:rsidR="00817493" w:rsidRPr="00164A9A" w:rsidRDefault="00817493" w:rsidP="00164A9A">
            <w:pPr>
              <w:pStyle w:val="DHHStablecolhead"/>
              <w:rPr>
                <w:rFonts w:ascii="VIC" w:eastAsia="Verdana" w:hAnsi="VIC"/>
              </w:rPr>
            </w:pPr>
            <w:r w:rsidRPr="00164A9A">
              <w:rPr>
                <w:rFonts w:ascii="VIC" w:hAnsi="VIC"/>
              </w:rPr>
              <w:t xml:space="preserve">Community - </w:t>
            </w:r>
            <w:r w:rsidR="00671410">
              <w:rPr>
                <w:rFonts w:ascii="VIC" w:hAnsi="VIC"/>
              </w:rPr>
              <w:t>2018-19</w:t>
            </w:r>
            <w:r w:rsidRPr="00164A9A">
              <w:rPr>
                <w:rFonts w:ascii="VIC" w:hAnsi="VIC"/>
              </w:rPr>
              <w:t xml:space="preserve"> Q1-4</w:t>
            </w:r>
          </w:p>
        </w:tc>
        <w:tc>
          <w:tcPr>
            <w:tcW w:w="1134" w:type="dxa"/>
          </w:tcPr>
          <w:p w:rsidR="00817493" w:rsidRPr="00164A9A" w:rsidRDefault="004E12F1" w:rsidP="003C0C94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 xml:space="preserve">% </w:t>
            </w:r>
            <w:proofErr w:type="spellStart"/>
            <w:r>
              <w:rPr>
                <w:rFonts w:ascii="VIC" w:hAnsi="VIC"/>
              </w:rPr>
              <w:t>adm</w:t>
            </w:r>
            <w:proofErr w:type="spellEnd"/>
            <w:r>
              <w:rPr>
                <w:rFonts w:ascii="VIC" w:hAnsi="VIC"/>
              </w:rPr>
              <w:t xml:space="preserve"> w/pre-</w:t>
            </w:r>
            <w:proofErr w:type="spellStart"/>
            <w:r>
              <w:rPr>
                <w:rFonts w:ascii="VIC" w:hAnsi="VIC"/>
              </w:rPr>
              <w:t>adm</w:t>
            </w:r>
            <w:proofErr w:type="spellEnd"/>
            <w:r>
              <w:rPr>
                <w:rFonts w:ascii="VIC" w:hAnsi="VIC"/>
              </w:rPr>
              <w:t xml:space="preserve"> contact (CAMHS)</w:t>
            </w:r>
          </w:p>
        </w:tc>
        <w:tc>
          <w:tcPr>
            <w:tcW w:w="1134" w:type="dxa"/>
          </w:tcPr>
          <w:p w:rsidR="00817493" w:rsidRPr="00164A9A" w:rsidRDefault="004E12F1" w:rsidP="003C0C94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 xml:space="preserve">% </w:t>
            </w:r>
            <w:proofErr w:type="spellStart"/>
            <w:r>
              <w:rPr>
                <w:rFonts w:ascii="VIC" w:hAnsi="VIC"/>
              </w:rPr>
              <w:t>inpt</w:t>
            </w:r>
            <w:proofErr w:type="spellEnd"/>
            <w:r>
              <w:rPr>
                <w:rFonts w:ascii="VIC" w:hAnsi="VIC"/>
              </w:rPr>
              <w:t xml:space="preserve"> </w:t>
            </w:r>
            <w:proofErr w:type="spellStart"/>
            <w:r>
              <w:rPr>
                <w:rFonts w:ascii="VIC" w:hAnsi="VIC"/>
              </w:rPr>
              <w:t>seps</w:t>
            </w:r>
            <w:proofErr w:type="spellEnd"/>
            <w:r>
              <w:rPr>
                <w:rFonts w:ascii="VIC" w:hAnsi="VIC"/>
              </w:rPr>
              <w:t xml:space="preserve"> w/7 day follow up (CAMHS)</w:t>
            </w:r>
          </w:p>
        </w:tc>
        <w:tc>
          <w:tcPr>
            <w:tcW w:w="1134" w:type="dxa"/>
          </w:tcPr>
          <w:p w:rsidR="00817493" w:rsidRPr="00164A9A" w:rsidRDefault="004E12F1" w:rsidP="003C0C94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>% closed comm cases re-referred</w:t>
            </w:r>
          </w:p>
        </w:tc>
        <w:tc>
          <w:tcPr>
            <w:tcW w:w="851" w:type="dxa"/>
          </w:tcPr>
          <w:p w:rsidR="00817493" w:rsidRPr="00164A9A" w:rsidRDefault="004E12F1" w:rsidP="003C0C94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 xml:space="preserve">Avg </w:t>
            </w:r>
            <w:r w:rsidR="008057FA">
              <w:rPr>
                <w:rFonts w:ascii="VIC" w:hAnsi="VIC"/>
              </w:rPr>
              <w:t>length</w:t>
            </w:r>
            <w:r>
              <w:rPr>
                <w:rFonts w:ascii="VIC" w:hAnsi="VIC"/>
              </w:rPr>
              <w:t xml:space="preserve"> of case (days)</w:t>
            </w:r>
          </w:p>
        </w:tc>
        <w:tc>
          <w:tcPr>
            <w:tcW w:w="709" w:type="dxa"/>
          </w:tcPr>
          <w:p w:rsidR="00817493" w:rsidRPr="00164A9A" w:rsidRDefault="004E12F1" w:rsidP="003C0C94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>Avg no. Tx days</w:t>
            </w:r>
          </w:p>
        </w:tc>
        <w:tc>
          <w:tcPr>
            <w:tcW w:w="992" w:type="dxa"/>
            <w:shd w:val="clear" w:color="auto" w:fill="auto"/>
          </w:tcPr>
          <w:p w:rsidR="00817493" w:rsidRPr="00164A9A" w:rsidRDefault="0073710D" w:rsidP="003C0C94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 xml:space="preserve">% events w/valid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</w:tc>
        <w:tc>
          <w:tcPr>
            <w:tcW w:w="992" w:type="dxa"/>
          </w:tcPr>
          <w:p w:rsidR="00817493" w:rsidRPr="00164A9A" w:rsidRDefault="004E12F1" w:rsidP="003C0C94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 xml:space="preserve">Avg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  <w:r>
              <w:rPr>
                <w:rFonts w:ascii="VIC" w:hAnsi="VIC"/>
              </w:rPr>
              <w:t xml:space="preserve"> at comm case start</w:t>
            </w:r>
          </w:p>
        </w:tc>
        <w:tc>
          <w:tcPr>
            <w:tcW w:w="1134" w:type="dxa"/>
          </w:tcPr>
          <w:p w:rsidR="00817493" w:rsidRPr="00164A9A" w:rsidRDefault="004E12F1" w:rsidP="003C0C94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>% closed cases w/sig. improv. case end</w:t>
            </w:r>
          </w:p>
        </w:tc>
        <w:tc>
          <w:tcPr>
            <w:tcW w:w="851" w:type="dxa"/>
          </w:tcPr>
          <w:p w:rsidR="00817493" w:rsidRPr="00164A9A" w:rsidRDefault="00BE5C6B" w:rsidP="003C0C94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>% self rated measures completed</w:t>
            </w:r>
          </w:p>
        </w:tc>
        <w:tc>
          <w:tcPr>
            <w:tcW w:w="992" w:type="dxa"/>
          </w:tcPr>
          <w:p w:rsidR="00817493" w:rsidRPr="00164A9A" w:rsidRDefault="004E12F1" w:rsidP="003C0C94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 xml:space="preserve">Diff in avg no. of clin sig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17493" w:rsidRPr="00164A9A" w:rsidRDefault="004E12F1" w:rsidP="003C0C94">
            <w:pPr>
              <w:pStyle w:val="DHHStablecolhead"/>
              <w:jc w:val="center"/>
              <w:rPr>
                <w:rFonts w:ascii="VIC" w:eastAsia="Verdana" w:hAnsi="VIC"/>
              </w:rPr>
            </w:pPr>
            <w:r>
              <w:rPr>
                <w:rFonts w:ascii="VIC" w:hAnsi="VIC"/>
              </w:rPr>
              <w:t>% aged under 12</w:t>
            </w:r>
          </w:p>
        </w:tc>
      </w:tr>
      <w:tr w:rsidR="006802F0" w:rsidRPr="00164A9A" w:rsidTr="006802F0">
        <w:tc>
          <w:tcPr>
            <w:tcW w:w="2434" w:type="dxa"/>
            <w:shd w:val="clear" w:color="auto" w:fill="E0EAF5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Alfred</w:t>
            </w:r>
            <w:r w:rsidRPr="00164A9A">
              <w:rPr>
                <w:rFonts w:ascii="VIC" w:hAnsi="VIC"/>
                <w:spacing w:val="-12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1984" w:type="dxa"/>
            <w:shd w:val="clear" w:color="auto" w:fill="E0EAF5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Inner South</w:t>
            </w:r>
            <w:r w:rsidRPr="00164A9A">
              <w:rPr>
                <w:rFonts w:ascii="VIC" w:hAnsi="VIC"/>
                <w:spacing w:val="-10"/>
              </w:rPr>
              <w:t xml:space="preserve"> </w:t>
            </w:r>
            <w:r w:rsidRPr="00164A9A">
              <w:rPr>
                <w:rFonts w:ascii="VIC" w:hAnsi="VIC"/>
              </w:rPr>
              <w:t>East</w:t>
            </w:r>
            <w:r w:rsidRPr="00164A9A">
              <w:rPr>
                <w:rFonts w:ascii="VIC" w:hAnsi="VIC"/>
                <w:spacing w:val="-1"/>
              </w:rPr>
              <w:t xml:space="preserve"> </w:t>
            </w:r>
            <w:r w:rsidRPr="00164A9A">
              <w:rPr>
                <w:rFonts w:ascii="VIC" w:hAnsi="VIC"/>
              </w:rPr>
              <w:t>(The</w:t>
            </w:r>
            <w:r w:rsidRPr="00164A9A">
              <w:rPr>
                <w:rFonts w:ascii="VIC" w:hAnsi="VIC"/>
                <w:spacing w:val="-12"/>
              </w:rPr>
              <w:t xml:space="preserve"> </w:t>
            </w:r>
            <w:r w:rsidRPr="00164A9A">
              <w:rPr>
                <w:rFonts w:ascii="VIC" w:hAnsi="VIC"/>
              </w:rPr>
              <w:t>Alfred)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47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86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8</w:t>
            </w:r>
            <w:r w:rsidRPr="00164A9A">
              <w:rPr>
                <w:rFonts w:ascii="VIC" w:hAnsi="VIC"/>
                <w:spacing w:val="-1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241.5</w:t>
            </w:r>
          </w:p>
        </w:tc>
        <w:tc>
          <w:tcPr>
            <w:tcW w:w="709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5.4</w:t>
            </w:r>
          </w:p>
        </w:tc>
        <w:tc>
          <w:tcPr>
            <w:tcW w:w="992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66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16.7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57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8</w:t>
            </w:r>
            <w:r w:rsidRPr="00164A9A">
              <w:rPr>
                <w:rFonts w:ascii="VIC" w:hAnsi="VIC"/>
                <w:spacing w:val="-1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1.4</w:t>
            </w:r>
          </w:p>
        </w:tc>
        <w:tc>
          <w:tcPr>
            <w:tcW w:w="850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37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6802F0" w:rsidRPr="00164A9A" w:rsidTr="006802F0">
        <w:tc>
          <w:tcPr>
            <w:tcW w:w="2434" w:type="dxa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Austin</w:t>
            </w:r>
            <w:r w:rsidRPr="00164A9A">
              <w:rPr>
                <w:rFonts w:ascii="VIC" w:hAnsi="VIC"/>
                <w:spacing w:val="-11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1984" w:type="dxa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North East</w:t>
            </w:r>
            <w:r w:rsidRPr="00164A9A">
              <w:rPr>
                <w:rFonts w:ascii="VIC" w:hAnsi="VIC"/>
                <w:spacing w:val="-6"/>
              </w:rPr>
              <w:t xml:space="preserve"> </w:t>
            </w:r>
            <w:r w:rsidRPr="00164A9A">
              <w:rPr>
                <w:rFonts w:ascii="VIC" w:hAnsi="VIC"/>
              </w:rPr>
              <w:t>(Austin)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58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85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19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172.5</w:t>
            </w:r>
          </w:p>
        </w:tc>
        <w:tc>
          <w:tcPr>
            <w:tcW w:w="709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5.6</w:t>
            </w:r>
          </w:p>
        </w:tc>
        <w:tc>
          <w:tcPr>
            <w:tcW w:w="992" w:type="dxa"/>
            <w:shd w:val="clear" w:color="auto" w:fill="auto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63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16.5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46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32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1.4</w:t>
            </w:r>
          </w:p>
        </w:tc>
        <w:tc>
          <w:tcPr>
            <w:tcW w:w="850" w:type="dxa"/>
            <w:shd w:val="clear" w:color="auto" w:fill="auto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19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6802F0" w:rsidRPr="00164A9A" w:rsidTr="006802F0">
        <w:tc>
          <w:tcPr>
            <w:tcW w:w="2434" w:type="dxa"/>
            <w:shd w:val="clear" w:color="auto" w:fill="E0EAF5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Eastern</w:t>
            </w:r>
            <w:r w:rsidRPr="00164A9A">
              <w:rPr>
                <w:rFonts w:ascii="VIC" w:hAnsi="VIC"/>
                <w:spacing w:val="-14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1984" w:type="dxa"/>
            <w:shd w:val="clear" w:color="auto" w:fill="E0EAF5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Eastern</w:t>
            </w:r>
            <w:r w:rsidRPr="00164A9A">
              <w:rPr>
                <w:rFonts w:ascii="VIC" w:hAnsi="VIC"/>
                <w:spacing w:val="-13"/>
              </w:rPr>
              <w:t xml:space="preserve"> </w:t>
            </w:r>
            <w:r w:rsidRPr="00164A9A">
              <w:rPr>
                <w:rFonts w:ascii="VIC" w:hAnsi="VIC"/>
              </w:rPr>
              <w:t>CYMHS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56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93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12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289.2</w:t>
            </w:r>
          </w:p>
        </w:tc>
        <w:tc>
          <w:tcPr>
            <w:tcW w:w="709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7.4</w:t>
            </w:r>
          </w:p>
        </w:tc>
        <w:tc>
          <w:tcPr>
            <w:tcW w:w="992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77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17.8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49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48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1.3</w:t>
            </w:r>
          </w:p>
        </w:tc>
        <w:tc>
          <w:tcPr>
            <w:tcW w:w="850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22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6802F0" w:rsidRPr="00164A9A" w:rsidTr="006802F0">
        <w:tc>
          <w:tcPr>
            <w:tcW w:w="2434" w:type="dxa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Monash</w:t>
            </w:r>
            <w:r w:rsidRPr="00164A9A">
              <w:rPr>
                <w:rFonts w:ascii="VIC" w:hAnsi="VIC"/>
                <w:spacing w:val="-12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1984" w:type="dxa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South</w:t>
            </w:r>
            <w:r w:rsidRPr="00164A9A">
              <w:rPr>
                <w:rFonts w:ascii="VIC" w:hAnsi="VIC"/>
                <w:spacing w:val="-2"/>
              </w:rPr>
              <w:t xml:space="preserve"> </w:t>
            </w:r>
            <w:r w:rsidRPr="00164A9A">
              <w:rPr>
                <w:rFonts w:ascii="VIC" w:hAnsi="VIC"/>
              </w:rPr>
              <w:t>Eastern</w:t>
            </w:r>
            <w:r w:rsidRPr="00164A9A">
              <w:rPr>
                <w:rFonts w:ascii="VIC" w:hAnsi="VIC"/>
                <w:spacing w:val="-1"/>
                <w:w w:val="99"/>
              </w:rPr>
              <w:t xml:space="preserve"> </w:t>
            </w:r>
            <w:r w:rsidRPr="00164A9A">
              <w:rPr>
                <w:rFonts w:ascii="VIC" w:hAnsi="VIC"/>
              </w:rPr>
              <w:t>(Monash</w:t>
            </w:r>
            <w:r w:rsidRPr="00164A9A">
              <w:rPr>
                <w:rFonts w:ascii="VIC" w:hAnsi="VIC"/>
                <w:spacing w:val="-14"/>
              </w:rPr>
              <w:t xml:space="preserve"> </w:t>
            </w:r>
            <w:r w:rsidRPr="00164A9A">
              <w:rPr>
                <w:rFonts w:ascii="VIC" w:hAnsi="VIC"/>
              </w:rPr>
              <w:t>CAMHS)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48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97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12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143.0</w:t>
            </w:r>
          </w:p>
        </w:tc>
        <w:tc>
          <w:tcPr>
            <w:tcW w:w="709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5.7</w:t>
            </w:r>
          </w:p>
        </w:tc>
        <w:tc>
          <w:tcPr>
            <w:tcW w:w="992" w:type="dxa"/>
            <w:shd w:val="clear" w:color="auto" w:fill="auto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80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15.8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33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43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0.6</w:t>
            </w:r>
          </w:p>
        </w:tc>
        <w:tc>
          <w:tcPr>
            <w:tcW w:w="850" w:type="dxa"/>
            <w:shd w:val="clear" w:color="auto" w:fill="auto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29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6802F0" w:rsidRPr="00164A9A" w:rsidTr="006802F0">
        <w:tc>
          <w:tcPr>
            <w:tcW w:w="2434" w:type="dxa"/>
            <w:shd w:val="clear" w:color="auto" w:fill="E0EAF5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Royal</w:t>
            </w:r>
            <w:r w:rsidRPr="00164A9A">
              <w:rPr>
                <w:rFonts w:ascii="VIC" w:hAnsi="VIC"/>
                <w:spacing w:val="-15"/>
              </w:rPr>
              <w:t xml:space="preserve"> </w:t>
            </w:r>
            <w:r w:rsidRPr="00164A9A">
              <w:rPr>
                <w:rFonts w:ascii="VIC" w:hAnsi="VIC"/>
              </w:rPr>
              <w:t>Children's</w:t>
            </w:r>
          </w:p>
        </w:tc>
        <w:tc>
          <w:tcPr>
            <w:tcW w:w="1984" w:type="dxa"/>
            <w:shd w:val="clear" w:color="auto" w:fill="E0EAF5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North</w:t>
            </w:r>
            <w:r w:rsidRPr="00164A9A">
              <w:rPr>
                <w:rFonts w:ascii="VIC" w:hAnsi="VIC"/>
                <w:spacing w:val="-6"/>
              </w:rPr>
              <w:t xml:space="preserve"> </w:t>
            </w:r>
            <w:r w:rsidRPr="00164A9A">
              <w:rPr>
                <w:rFonts w:ascii="VIC" w:hAnsi="VIC"/>
              </w:rPr>
              <w:t>Western</w:t>
            </w:r>
            <w:r w:rsidRPr="00164A9A">
              <w:rPr>
                <w:rFonts w:ascii="VIC" w:hAnsi="VIC"/>
                <w:spacing w:val="-1"/>
                <w:w w:val="99"/>
              </w:rPr>
              <w:t xml:space="preserve"> </w:t>
            </w:r>
            <w:r w:rsidRPr="00164A9A">
              <w:rPr>
                <w:rFonts w:ascii="VIC" w:hAnsi="VIC"/>
              </w:rPr>
              <w:t>(RCH)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66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81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20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142.8</w:t>
            </w:r>
          </w:p>
        </w:tc>
        <w:tc>
          <w:tcPr>
            <w:tcW w:w="709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3.5</w:t>
            </w:r>
          </w:p>
        </w:tc>
        <w:tc>
          <w:tcPr>
            <w:tcW w:w="992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65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16.8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39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71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1.1</w:t>
            </w:r>
          </w:p>
        </w:tc>
        <w:tc>
          <w:tcPr>
            <w:tcW w:w="850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33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6802F0" w:rsidRPr="00164A9A" w:rsidTr="006802F0">
        <w:tc>
          <w:tcPr>
            <w:tcW w:w="2434" w:type="dxa"/>
            <w:shd w:val="clear" w:color="auto" w:fill="99B8DC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TOTAL</w:t>
            </w:r>
            <w:r w:rsidRPr="00164A9A">
              <w:rPr>
                <w:rFonts w:ascii="VIC" w:hAnsi="VIC"/>
                <w:b/>
                <w:spacing w:val="-10"/>
              </w:rPr>
              <w:t xml:space="preserve"> </w:t>
            </w:r>
            <w:r w:rsidRPr="00164A9A">
              <w:rPr>
                <w:rFonts w:ascii="VIC" w:hAnsi="VIC"/>
                <w:b/>
              </w:rPr>
              <w:t>METRO</w:t>
            </w:r>
          </w:p>
        </w:tc>
        <w:tc>
          <w:tcPr>
            <w:tcW w:w="1984" w:type="dxa"/>
            <w:shd w:val="clear" w:color="auto" w:fill="99B8DC"/>
          </w:tcPr>
          <w:p w:rsidR="00817493" w:rsidRPr="00164A9A" w:rsidRDefault="00817493" w:rsidP="00817493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1134" w:type="dxa"/>
            <w:shd w:val="clear" w:color="auto" w:fill="99B8DC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57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89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15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851" w:type="dxa"/>
            <w:shd w:val="clear" w:color="auto" w:fill="99B8DC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184.5</w:t>
            </w:r>
          </w:p>
        </w:tc>
        <w:tc>
          <w:tcPr>
            <w:tcW w:w="709" w:type="dxa"/>
            <w:shd w:val="clear" w:color="auto" w:fill="99B8DC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5.6</w:t>
            </w:r>
          </w:p>
        </w:tc>
        <w:tc>
          <w:tcPr>
            <w:tcW w:w="992" w:type="dxa"/>
            <w:shd w:val="clear" w:color="auto" w:fill="99B8DC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72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992" w:type="dxa"/>
            <w:shd w:val="clear" w:color="auto" w:fill="99B8DC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16.6</w:t>
            </w:r>
          </w:p>
        </w:tc>
        <w:tc>
          <w:tcPr>
            <w:tcW w:w="1134" w:type="dxa"/>
            <w:shd w:val="clear" w:color="auto" w:fill="99B8DC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41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851" w:type="dxa"/>
            <w:shd w:val="clear" w:color="auto" w:fill="99B8DC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45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992" w:type="dxa"/>
            <w:shd w:val="clear" w:color="auto" w:fill="99B8DC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1.0</w:t>
            </w:r>
          </w:p>
        </w:tc>
        <w:tc>
          <w:tcPr>
            <w:tcW w:w="850" w:type="dxa"/>
            <w:shd w:val="clear" w:color="auto" w:fill="99B8DC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28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</w:tr>
      <w:tr w:rsidR="006802F0" w:rsidRPr="00164A9A" w:rsidTr="006802F0">
        <w:tc>
          <w:tcPr>
            <w:tcW w:w="2434" w:type="dxa"/>
            <w:shd w:val="clear" w:color="auto" w:fill="E0EAF5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Ballarat</w:t>
            </w:r>
            <w:r w:rsidRPr="00164A9A">
              <w:rPr>
                <w:rFonts w:ascii="VIC" w:hAnsi="VIC"/>
                <w:spacing w:val="-14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1984" w:type="dxa"/>
            <w:shd w:val="clear" w:color="auto" w:fill="E0EAF5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Grampians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79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91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10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238.6</w:t>
            </w:r>
          </w:p>
        </w:tc>
        <w:tc>
          <w:tcPr>
            <w:tcW w:w="709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6.2</w:t>
            </w:r>
          </w:p>
        </w:tc>
        <w:tc>
          <w:tcPr>
            <w:tcW w:w="992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38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15.0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79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42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2.2</w:t>
            </w:r>
          </w:p>
        </w:tc>
        <w:tc>
          <w:tcPr>
            <w:tcW w:w="850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32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6802F0" w:rsidRPr="00164A9A" w:rsidTr="006802F0">
        <w:tc>
          <w:tcPr>
            <w:tcW w:w="2434" w:type="dxa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Barwon</w:t>
            </w:r>
            <w:r w:rsidRPr="00164A9A">
              <w:rPr>
                <w:rFonts w:ascii="VIC" w:hAnsi="VIC"/>
                <w:spacing w:val="-12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1984" w:type="dxa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Barwon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49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71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</w:t>
            </w:r>
            <w:r w:rsidRPr="00164A9A">
              <w:rPr>
                <w:rFonts w:ascii="VIC" w:hAnsi="VIC"/>
                <w:spacing w:val="-1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347.1</w:t>
            </w:r>
          </w:p>
        </w:tc>
        <w:tc>
          <w:tcPr>
            <w:tcW w:w="709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4.2</w:t>
            </w:r>
          </w:p>
        </w:tc>
        <w:tc>
          <w:tcPr>
            <w:tcW w:w="992" w:type="dxa"/>
            <w:shd w:val="clear" w:color="auto" w:fill="auto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33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18.7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67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15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2.5</w:t>
            </w:r>
          </w:p>
        </w:tc>
        <w:tc>
          <w:tcPr>
            <w:tcW w:w="850" w:type="dxa"/>
            <w:shd w:val="clear" w:color="auto" w:fill="auto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28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6802F0" w:rsidRPr="00164A9A" w:rsidTr="006802F0">
        <w:tc>
          <w:tcPr>
            <w:tcW w:w="2434" w:type="dxa"/>
            <w:shd w:val="clear" w:color="auto" w:fill="E0EAF5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Bendigo</w:t>
            </w:r>
            <w:r w:rsidRPr="00164A9A">
              <w:rPr>
                <w:rFonts w:ascii="VIC" w:hAnsi="VIC"/>
                <w:spacing w:val="-13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1984" w:type="dxa"/>
            <w:shd w:val="clear" w:color="auto" w:fill="E0EAF5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Loddon/Southern</w:t>
            </w:r>
            <w:r w:rsidRPr="00164A9A">
              <w:rPr>
                <w:rFonts w:ascii="VIC" w:hAnsi="VIC"/>
                <w:spacing w:val="-1"/>
                <w:w w:val="99"/>
              </w:rPr>
              <w:t xml:space="preserve"> </w:t>
            </w:r>
            <w:r w:rsidRPr="00164A9A">
              <w:rPr>
                <w:rFonts w:ascii="VIC" w:hAnsi="VIC"/>
              </w:rPr>
              <w:t>Mallee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59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87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8</w:t>
            </w:r>
            <w:r w:rsidRPr="00164A9A">
              <w:rPr>
                <w:rFonts w:ascii="VIC" w:hAnsi="VIC"/>
                <w:spacing w:val="-1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206.0</w:t>
            </w:r>
          </w:p>
        </w:tc>
        <w:tc>
          <w:tcPr>
            <w:tcW w:w="709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3.4</w:t>
            </w:r>
          </w:p>
        </w:tc>
        <w:tc>
          <w:tcPr>
            <w:tcW w:w="992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47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17.4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53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29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1.4</w:t>
            </w:r>
          </w:p>
        </w:tc>
        <w:tc>
          <w:tcPr>
            <w:tcW w:w="850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29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6802F0" w:rsidRPr="00164A9A" w:rsidTr="006802F0">
        <w:tc>
          <w:tcPr>
            <w:tcW w:w="2434" w:type="dxa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Goulburn</w:t>
            </w:r>
            <w:r w:rsidRPr="00164A9A">
              <w:rPr>
                <w:rFonts w:ascii="VIC" w:hAnsi="VIC"/>
                <w:spacing w:val="-10"/>
              </w:rPr>
              <w:t xml:space="preserve"> </w:t>
            </w:r>
            <w:r w:rsidRPr="00164A9A">
              <w:rPr>
                <w:rFonts w:ascii="VIC" w:hAnsi="VIC"/>
              </w:rPr>
              <w:t>Valley</w:t>
            </w:r>
            <w:r w:rsidRPr="00164A9A">
              <w:rPr>
                <w:rFonts w:ascii="VIC" w:hAnsi="VIC"/>
                <w:spacing w:val="-1"/>
                <w:w w:val="99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1984" w:type="dxa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Goulburn</w:t>
            </w:r>
            <w:r w:rsidRPr="00164A9A">
              <w:rPr>
                <w:rFonts w:ascii="VIC" w:hAnsi="VIC"/>
                <w:spacing w:val="-6"/>
              </w:rPr>
              <w:t xml:space="preserve"> </w:t>
            </w:r>
            <w:r w:rsidRPr="00164A9A">
              <w:rPr>
                <w:rFonts w:ascii="VIC" w:hAnsi="VIC"/>
              </w:rPr>
              <w:t>&amp;</w:t>
            </w:r>
            <w:r w:rsidRPr="00164A9A">
              <w:rPr>
                <w:rFonts w:ascii="VIC" w:hAnsi="VIC"/>
                <w:w w:val="99"/>
              </w:rPr>
              <w:t xml:space="preserve"> </w:t>
            </w:r>
            <w:r w:rsidRPr="00164A9A">
              <w:rPr>
                <w:rFonts w:ascii="VIC" w:hAnsi="VIC"/>
              </w:rPr>
              <w:t>Southern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57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81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12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193.6</w:t>
            </w:r>
          </w:p>
        </w:tc>
        <w:tc>
          <w:tcPr>
            <w:tcW w:w="709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4.0</w:t>
            </w:r>
          </w:p>
        </w:tc>
        <w:tc>
          <w:tcPr>
            <w:tcW w:w="992" w:type="dxa"/>
            <w:shd w:val="clear" w:color="auto" w:fill="auto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66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15.0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51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30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1.9</w:t>
            </w:r>
          </w:p>
        </w:tc>
        <w:tc>
          <w:tcPr>
            <w:tcW w:w="850" w:type="dxa"/>
            <w:shd w:val="clear" w:color="auto" w:fill="auto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43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6802F0" w:rsidRPr="00164A9A" w:rsidTr="006802F0">
        <w:tc>
          <w:tcPr>
            <w:tcW w:w="2434" w:type="dxa"/>
            <w:shd w:val="clear" w:color="auto" w:fill="E0EAF5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Latrobe</w:t>
            </w:r>
            <w:r w:rsidRPr="00164A9A">
              <w:rPr>
                <w:rFonts w:ascii="VIC" w:hAnsi="VIC"/>
                <w:spacing w:val="-15"/>
              </w:rPr>
              <w:t xml:space="preserve"> </w:t>
            </w:r>
            <w:r w:rsidRPr="00164A9A">
              <w:rPr>
                <w:rFonts w:ascii="VIC" w:hAnsi="VIC"/>
              </w:rPr>
              <w:t>Regional</w:t>
            </w:r>
          </w:p>
        </w:tc>
        <w:tc>
          <w:tcPr>
            <w:tcW w:w="1984" w:type="dxa"/>
            <w:shd w:val="clear" w:color="auto" w:fill="E0EAF5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Gippsland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63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86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</w:t>
            </w:r>
            <w:r w:rsidRPr="00164A9A">
              <w:rPr>
                <w:rFonts w:ascii="VIC" w:hAnsi="VIC"/>
                <w:spacing w:val="-1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323.1</w:t>
            </w:r>
          </w:p>
        </w:tc>
        <w:tc>
          <w:tcPr>
            <w:tcW w:w="709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5.0</w:t>
            </w:r>
          </w:p>
        </w:tc>
        <w:tc>
          <w:tcPr>
            <w:tcW w:w="992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88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17.1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50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16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1.2</w:t>
            </w:r>
          </w:p>
        </w:tc>
        <w:tc>
          <w:tcPr>
            <w:tcW w:w="850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33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6802F0" w:rsidRPr="00164A9A" w:rsidTr="006802F0">
        <w:tc>
          <w:tcPr>
            <w:tcW w:w="2434" w:type="dxa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Mildura Base</w:t>
            </w:r>
            <w:r w:rsidRPr="00164A9A">
              <w:rPr>
                <w:rFonts w:ascii="VIC" w:hAnsi="VIC"/>
                <w:spacing w:val="-19"/>
              </w:rPr>
              <w:t xml:space="preserve"> </w:t>
            </w:r>
            <w:r w:rsidRPr="00164A9A">
              <w:rPr>
                <w:rFonts w:ascii="VIC" w:hAnsi="VIC"/>
              </w:rPr>
              <w:t>Hospital</w:t>
            </w:r>
          </w:p>
        </w:tc>
        <w:tc>
          <w:tcPr>
            <w:tcW w:w="1984" w:type="dxa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Northern</w:t>
            </w:r>
            <w:r w:rsidRPr="00164A9A">
              <w:rPr>
                <w:rFonts w:ascii="VIC" w:hAnsi="VIC"/>
                <w:spacing w:val="-8"/>
              </w:rPr>
              <w:t xml:space="preserve"> </w:t>
            </w:r>
            <w:r w:rsidRPr="00164A9A">
              <w:rPr>
                <w:rFonts w:ascii="VIC" w:hAnsi="VIC"/>
              </w:rPr>
              <w:t>Mallee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100</w:t>
            </w:r>
            <w:r w:rsidRPr="00164A9A">
              <w:rPr>
                <w:rFonts w:ascii="VIC" w:hAnsi="VIC"/>
                <w:spacing w:val="-4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100</w:t>
            </w:r>
            <w:r w:rsidRPr="00164A9A">
              <w:rPr>
                <w:rFonts w:ascii="VIC" w:hAnsi="VIC"/>
                <w:spacing w:val="-4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8</w:t>
            </w:r>
            <w:r w:rsidRPr="00164A9A">
              <w:rPr>
                <w:rFonts w:ascii="VIC" w:hAnsi="VIC"/>
                <w:spacing w:val="-1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251.9</w:t>
            </w:r>
          </w:p>
        </w:tc>
        <w:tc>
          <w:tcPr>
            <w:tcW w:w="709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7.0</w:t>
            </w:r>
          </w:p>
        </w:tc>
        <w:tc>
          <w:tcPr>
            <w:tcW w:w="992" w:type="dxa"/>
            <w:shd w:val="clear" w:color="auto" w:fill="auto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76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16.5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51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</w:t>
            </w:r>
            <w:r w:rsidRPr="00164A9A">
              <w:rPr>
                <w:rFonts w:ascii="VIC" w:hAnsi="VIC"/>
                <w:spacing w:val="-1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1.5</w:t>
            </w:r>
          </w:p>
        </w:tc>
        <w:tc>
          <w:tcPr>
            <w:tcW w:w="850" w:type="dxa"/>
            <w:shd w:val="clear" w:color="auto" w:fill="auto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27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6802F0" w:rsidRPr="00164A9A" w:rsidTr="006802F0">
        <w:tc>
          <w:tcPr>
            <w:tcW w:w="2434" w:type="dxa"/>
            <w:shd w:val="clear" w:color="auto" w:fill="E0EAF5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lastRenderedPageBreak/>
              <w:t>Albury</w:t>
            </w:r>
            <w:r w:rsidRPr="00164A9A">
              <w:rPr>
                <w:rFonts w:ascii="VIC" w:hAnsi="VIC"/>
                <w:spacing w:val="-9"/>
              </w:rPr>
              <w:t xml:space="preserve"> </w:t>
            </w:r>
            <w:r w:rsidRPr="00164A9A">
              <w:rPr>
                <w:rFonts w:ascii="VIC" w:hAnsi="VIC"/>
              </w:rPr>
              <w:t>Wodonga</w:t>
            </w:r>
            <w:r w:rsidRPr="00164A9A">
              <w:rPr>
                <w:rFonts w:ascii="VIC" w:hAnsi="VIC"/>
                <w:spacing w:val="-1"/>
                <w:w w:val="99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1984" w:type="dxa"/>
            <w:shd w:val="clear" w:color="auto" w:fill="E0EAF5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North East</w:t>
            </w:r>
            <w:r w:rsidRPr="00164A9A">
              <w:rPr>
                <w:rFonts w:ascii="VIC" w:hAnsi="VIC"/>
                <w:spacing w:val="-5"/>
              </w:rPr>
              <w:t xml:space="preserve"> </w:t>
            </w:r>
            <w:r w:rsidRPr="00164A9A">
              <w:rPr>
                <w:rFonts w:ascii="VIC" w:hAnsi="VIC"/>
              </w:rPr>
              <w:t>&amp;</w:t>
            </w:r>
            <w:r w:rsidRPr="00164A9A">
              <w:rPr>
                <w:rFonts w:ascii="VIC" w:hAnsi="VIC"/>
                <w:w w:val="99"/>
              </w:rPr>
              <w:t xml:space="preserve"> </w:t>
            </w:r>
            <w:r w:rsidRPr="00164A9A">
              <w:rPr>
                <w:rFonts w:ascii="VIC" w:hAnsi="VIC"/>
              </w:rPr>
              <w:t>Border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72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75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10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223.7</w:t>
            </w:r>
          </w:p>
        </w:tc>
        <w:tc>
          <w:tcPr>
            <w:tcW w:w="709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3.4</w:t>
            </w:r>
          </w:p>
        </w:tc>
        <w:tc>
          <w:tcPr>
            <w:tcW w:w="992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46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17.8</w:t>
            </w:r>
          </w:p>
        </w:tc>
        <w:tc>
          <w:tcPr>
            <w:tcW w:w="1134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64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72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2.3</w:t>
            </w:r>
          </w:p>
        </w:tc>
        <w:tc>
          <w:tcPr>
            <w:tcW w:w="850" w:type="dxa"/>
            <w:shd w:val="clear" w:color="auto" w:fill="E0EAF5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30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6802F0" w:rsidRPr="00164A9A" w:rsidTr="006802F0">
        <w:tc>
          <w:tcPr>
            <w:tcW w:w="2434" w:type="dxa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South West</w:t>
            </w:r>
            <w:r w:rsidRPr="00164A9A">
              <w:rPr>
                <w:rFonts w:ascii="VIC" w:hAnsi="VIC"/>
                <w:spacing w:val="-14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</w:p>
        </w:tc>
        <w:tc>
          <w:tcPr>
            <w:tcW w:w="1984" w:type="dxa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South West</w:t>
            </w:r>
            <w:r w:rsidRPr="00164A9A">
              <w:rPr>
                <w:rFonts w:ascii="VIC" w:hAnsi="VIC"/>
                <w:spacing w:val="-11"/>
              </w:rPr>
              <w:t xml:space="preserve"> </w:t>
            </w:r>
            <w:r w:rsidRPr="00164A9A">
              <w:rPr>
                <w:rFonts w:ascii="VIC" w:hAnsi="VIC"/>
              </w:rPr>
              <w:t>Health</w:t>
            </w:r>
            <w:r w:rsidRPr="00164A9A">
              <w:rPr>
                <w:rFonts w:ascii="VIC" w:hAnsi="VIC"/>
                <w:spacing w:val="-1"/>
              </w:rPr>
              <w:t xml:space="preserve"> </w:t>
            </w:r>
            <w:r w:rsidRPr="00164A9A">
              <w:rPr>
                <w:rFonts w:ascii="VIC" w:hAnsi="VIC"/>
              </w:rPr>
              <w:t>Care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93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89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8</w:t>
            </w:r>
            <w:r w:rsidRPr="00164A9A">
              <w:rPr>
                <w:rFonts w:ascii="VIC" w:hAnsi="VIC"/>
                <w:spacing w:val="-1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302.9</w:t>
            </w:r>
          </w:p>
        </w:tc>
        <w:tc>
          <w:tcPr>
            <w:tcW w:w="709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3.1</w:t>
            </w:r>
          </w:p>
        </w:tc>
        <w:tc>
          <w:tcPr>
            <w:tcW w:w="992" w:type="dxa"/>
            <w:shd w:val="clear" w:color="auto" w:fill="auto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52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16.2</w:t>
            </w:r>
          </w:p>
        </w:tc>
        <w:tc>
          <w:tcPr>
            <w:tcW w:w="1134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56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851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36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  <w:tc>
          <w:tcPr>
            <w:tcW w:w="992" w:type="dxa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1.7</w:t>
            </w:r>
          </w:p>
        </w:tc>
        <w:tc>
          <w:tcPr>
            <w:tcW w:w="850" w:type="dxa"/>
            <w:shd w:val="clear" w:color="auto" w:fill="auto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</w:rPr>
            </w:pPr>
            <w:r w:rsidRPr="00164A9A">
              <w:rPr>
                <w:rFonts w:ascii="VIC" w:hAnsi="VIC"/>
              </w:rPr>
              <w:t>35</w:t>
            </w:r>
            <w:r w:rsidRPr="00164A9A">
              <w:rPr>
                <w:rFonts w:ascii="VIC" w:hAnsi="VIC"/>
                <w:spacing w:val="-3"/>
              </w:rPr>
              <w:t xml:space="preserve"> </w:t>
            </w:r>
            <w:r w:rsidRPr="00164A9A">
              <w:rPr>
                <w:rFonts w:ascii="VIC" w:hAnsi="VIC"/>
              </w:rPr>
              <w:t>%</w:t>
            </w:r>
          </w:p>
        </w:tc>
      </w:tr>
      <w:tr w:rsidR="006802F0" w:rsidRPr="00164A9A" w:rsidTr="006802F0">
        <w:tc>
          <w:tcPr>
            <w:tcW w:w="2434" w:type="dxa"/>
            <w:shd w:val="clear" w:color="auto" w:fill="CCDCE6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TOTAL</w:t>
            </w:r>
            <w:r w:rsidRPr="00164A9A">
              <w:rPr>
                <w:rFonts w:ascii="VIC" w:hAnsi="VIC"/>
                <w:b/>
                <w:spacing w:val="-11"/>
              </w:rPr>
              <w:t xml:space="preserve"> </w:t>
            </w:r>
            <w:r w:rsidRPr="00164A9A">
              <w:rPr>
                <w:rFonts w:ascii="VIC" w:hAnsi="VIC"/>
                <w:b/>
              </w:rPr>
              <w:t>RURAL</w:t>
            </w:r>
          </w:p>
        </w:tc>
        <w:tc>
          <w:tcPr>
            <w:tcW w:w="1984" w:type="dxa"/>
            <w:shd w:val="clear" w:color="auto" w:fill="CCDCE6"/>
          </w:tcPr>
          <w:p w:rsidR="00817493" w:rsidRPr="00164A9A" w:rsidRDefault="00817493" w:rsidP="00817493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1134" w:type="dxa"/>
            <w:shd w:val="clear" w:color="auto" w:fill="CCDCE6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66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CCDCE6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83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CCDCE6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9</w:t>
            </w:r>
            <w:r w:rsidRPr="00164A9A">
              <w:rPr>
                <w:rFonts w:ascii="VIC" w:hAnsi="VIC"/>
                <w:b/>
                <w:spacing w:val="-1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851" w:type="dxa"/>
            <w:shd w:val="clear" w:color="auto" w:fill="CCDCE6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252.6</w:t>
            </w:r>
          </w:p>
        </w:tc>
        <w:tc>
          <w:tcPr>
            <w:tcW w:w="709" w:type="dxa"/>
            <w:shd w:val="clear" w:color="auto" w:fill="CCDCE6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4.6</w:t>
            </w:r>
          </w:p>
        </w:tc>
        <w:tc>
          <w:tcPr>
            <w:tcW w:w="992" w:type="dxa"/>
            <w:shd w:val="clear" w:color="auto" w:fill="CCDCE6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56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992" w:type="dxa"/>
            <w:shd w:val="clear" w:color="auto" w:fill="CCDCE6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16.3</w:t>
            </w:r>
          </w:p>
        </w:tc>
        <w:tc>
          <w:tcPr>
            <w:tcW w:w="1134" w:type="dxa"/>
            <w:shd w:val="clear" w:color="auto" w:fill="CCDCE6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55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851" w:type="dxa"/>
            <w:shd w:val="clear" w:color="auto" w:fill="CCDCE6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32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992" w:type="dxa"/>
            <w:shd w:val="clear" w:color="auto" w:fill="CCDCE6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1.6</w:t>
            </w:r>
          </w:p>
        </w:tc>
        <w:tc>
          <w:tcPr>
            <w:tcW w:w="850" w:type="dxa"/>
            <w:shd w:val="clear" w:color="auto" w:fill="CCDCE6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33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</w:tr>
      <w:tr w:rsidR="006802F0" w:rsidRPr="00164A9A" w:rsidTr="006802F0">
        <w:tc>
          <w:tcPr>
            <w:tcW w:w="2434" w:type="dxa"/>
            <w:shd w:val="clear" w:color="auto" w:fill="99B8DC"/>
          </w:tcPr>
          <w:p w:rsidR="00817493" w:rsidRPr="00164A9A" w:rsidRDefault="00817493" w:rsidP="00817493">
            <w:pPr>
              <w:pStyle w:val="DHHStabletext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TOTAL</w:t>
            </w:r>
            <w:r w:rsidRPr="00164A9A">
              <w:rPr>
                <w:rFonts w:ascii="VIC" w:hAnsi="VIC"/>
                <w:b/>
                <w:spacing w:val="-15"/>
              </w:rPr>
              <w:t xml:space="preserve"> </w:t>
            </w:r>
            <w:r w:rsidRPr="00164A9A">
              <w:rPr>
                <w:rFonts w:ascii="VIC" w:hAnsi="VIC"/>
                <w:b/>
              </w:rPr>
              <w:t>STATEWIDE</w:t>
            </w:r>
          </w:p>
        </w:tc>
        <w:tc>
          <w:tcPr>
            <w:tcW w:w="1984" w:type="dxa"/>
            <w:shd w:val="clear" w:color="auto" w:fill="99B8DC"/>
          </w:tcPr>
          <w:p w:rsidR="00817493" w:rsidRPr="00164A9A" w:rsidRDefault="00817493" w:rsidP="00817493">
            <w:pPr>
              <w:pStyle w:val="DHHStabletext"/>
              <w:rPr>
                <w:rFonts w:ascii="VIC" w:hAnsi="VIC"/>
                <w:b/>
              </w:rPr>
            </w:pPr>
          </w:p>
        </w:tc>
        <w:tc>
          <w:tcPr>
            <w:tcW w:w="1134" w:type="dxa"/>
            <w:shd w:val="clear" w:color="auto" w:fill="99B8DC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58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88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1134" w:type="dxa"/>
            <w:shd w:val="clear" w:color="auto" w:fill="99B8DC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13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851" w:type="dxa"/>
            <w:shd w:val="clear" w:color="auto" w:fill="99B8DC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202.4</w:t>
            </w:r>
          </w:p>
        </w:tc>
        <w:tc>
          <w:tcPr>
            <w:tcW w:w="709" w:type="dxa"/>
            <w:shd w:val="clear" w:color="auto" w:fill="99B8DC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5.3</w:t>
            </w:r>
          </w:p>
        </w:tc>
        <w:tc>
          <w:tcPr>
            <w:tcW w:w="992" w:type="dxa"/>
            <w:shd w:val="clear" w:color="auto" w:fill="99B8DC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68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992" w:type="dxa"/>
            <w:shd w:val="clear" w:color="auto" w:fill="99B8DC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16.6</w:t>
            </w:r>
          </w:p>
        </w:tc>
        <w:tc>
          <w:tcPr>
            <w:tcW w:w="1134" w:type="dxa"/>
            <w:shd w:val="clear" w:color="auto" w:fill="99B8DC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44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851" w:type="dxa"/>
            <w:shd w:val="clear" w:color="auto" w:fill="99B8DC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41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  <w:tc>
          <w:tcPr>
            <w:tcW w:w="992" w:type="dxa"/>
            <w:shd w:val="clear" w:color="auto" w:fill="99B8DC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1.2</w:t>
            </w:r>
          </w:p>
        </w:tc>
        <w:tc>
          <w:tcPr>
            <w:tcW w:w="850" w:type="dxa"/>
            <w:shd w:val="clear" w:color="auto" w:fill="99B8DC"/>
          </w:tcPr>
          <w:p w:rsidR="00817493" w:rsidRPr="00164A9A" w:rsidRDefault="00817493" w:rsidP="003C0C94">
            <w:pPr>
              <w:pStyle w:val="DHHStabletext"/>
              <w:jc w:val="center"/>
              <w:rPr>
                <w:rFonts w:ascii="VIC" w:eastAsia="Verdana" w:hAnsi="VIC" w:cs="Verdana"/>
                <w:b/>
              </w:rPr>
            </w:pPr>
            <w:r w:rsidRPr="00164A9A">
              <w:rPr>
                <w:rFonts w:ascii="VIC" w:hAnsi="VIC"/>
                <w:b/>
              </w:rPr>
              <w:t>30</w:t>
            </w:r>
            <w:r w:rsidRPr="00164A9A">
              <w:rPr>
                <w:rFonts w:ascii="VIC" w:hAnsi="VIC"/>
                <w:b/>
                <w:spacing w:val="-3"/>
              </w:rPr>
              <w:t xml:space="preserve"> </w:t>
            </w:r>
            <w:r w:rsidRPr="00164A9A">
              <w:rPr>
                <w:rFonts w:ascii="VIC" w:hAnsi="VIC"/>
                <w:b/>
              </w:rPr>
              <w:t>%</w:t>
            </w:r>
          </w:p>
        </w:tc>
      </w:tr>
    </w:tbl>
    <w:p w:rsidR="00F834B6" w:rsidRPr="00602735" w:rsidRDefault="00F834B6" w:rsidP="00F834B6">
      <w:pPr>
        <w:pStyle w:val="DHHStablecaption"/>
        <w:rPr>
          <w:rFonts w:ascii="VIC" w:hAnsi="VIC"/>
        </w:rPr>
      </w:pPr>
    </w:p>
    <w:p w:rsidR="00F834B6" w:rsidRPr="00602735" w:rsidRDefault="00817493" w:rsidP="00817493">
      <w:pPr>
        <w:pStyle w:val="Heading1"/>
        <w:rPr>
          <w:rFonts w:ascii="VIC" w:hAnsi="VIC"/>
        </w:rPr>
      </w:pPr>
      <w:bookmarkStart w:id="5" w:name="_Toc15472492"/>
      <w:bookmarkStart w:id="6" w:name="_Hlk15458840"/>
      <w:r w:rsidRPr="00602735">
        <w:rPr>
          <w:rFonts w:ascii="VIC" w:hAnsi="VIC"/>
        </w:rPr>
        <w:t>Definitions</w:t>
      </w:r>
      <w:bookmarkEnd w:id="5"/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374"/>
        <w:gridCol w:w="4290"/>
        <w:gridCol w:w="1560"/>
        <w:gridCol w:w="4394"/>
      </w:tblGrid>
      <w:tr w:rsidR="00817493" w:rsidRPr="00602735" w:rsidTr="00817493">
        <w:trPr>
          <w:tblHeader/>
        </w:trPr>
        <w:tc>
          <w:tcPr>
            <w:tcW w:w="2295" w:type="dxa"/>
            <w:shd w:val="clear" w:color="auto" w:fill="auto"/>
          </w:tcPr>
          <w:bookmarkEnd w:id="6"/>
          <w:p w:rsidR="00817493" w:rsidRPr="00602735" w:rsidRDefault="00817493" w:rsidP="00817493">
            <w:pPr>
              <w:pStyle w:val="DHHStablecolhead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Setting</w:t>
            </w:r>
          </w:p>
        </w:tc>
        <w:tc>
          <w:tcPr>
            <w:tcW w:w="2374" w:type="dxa"/>
          </w:tcPr>
          <w:p w:rsidR="00817493" w:rsidRPr="00602735" w:rsidRDefault="00817493" w:rsidP="00817493">
            <w:pPr>
              <w:pStyle w:val="DHHStablecolhead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KPI</w:t>
            </w:r>
          </w:p>
        </w:tc>
        <w:tc>
          <w:tcPr>
            <w:tcW w:w="4290" w:type="dxa"/>
          </w:tcPr>
          <w:p w:rsidR="00817493" w:rsidRPr="00602735" w:rsidRDefault="00817493" w:rsidP="00817493">
            <w:pPr>
              <w:pStyle w:val="DHHStablecolhead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Description</w:t>
            </w:r>
          </w:p>
        </w:tc>
        <w:tc>
          <w:tcPr>
            <w:tcW w:w="1560" w:type="dxa"/>
          </w:tcPr>
          <w:p w:rsidR="00817493" w:rsidRPr="00602735" w:rsidRDefault="00817493" w:rsidP="00817493">
            <w:pPr>
              <w:pStyle w:val="DHHStablecolhead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Target</w:t>
            </w:r>
          </w:p>
        </w:tc>
        <w:tc>
          <w:tcPr>
            <w:tcW w:w="4394" w:type="dxa"/>
            <w:shd w:val="clear" w:color="auto" w:fill="auto"/>
          </w:tcPr>
          <w:p w:rsidR="00817493" w:rsidRPr="00602735" w:rsidRDefault="00817493" w:rsidP="00817493">
            <w:pPr>
              <w:pStyle w:val="DHHStablecolhead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Comments</w:t>
            </w:r>
          </w:p>
        </w:tc>
      </w:tr>
      <w:tr w:rsidR="00817493" w:rsidRPr="00602735" w:rsidTr="00817493">
        <w:tc>
          <w:tcPr>
            <w:tcW w:w="2295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Inpatient</w:t>
            </w:r>
          </w:p>
        </w:tc>
        <w:tc>
          <w:tcPr>
            <w:tcW w:w="2374" w:type="dxa"/>
          </w:tcPr>
          <w:p w:rsidR="00817493" w:rsidRPr="00602735" w:rsidRDefault="00BE5C6B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No. beds / 10,000 pop (metro)</w:t>
            </w:r>
          </w:p>
        </w:tc>
        <w:tc>
          <w:tcPr>
            <w:tcW w:w="4290" w:type="dxa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The number of funded Ado</w:t>
            </w:r>
            <w:r w:rsidR="00BE5C6B">
              <w:rPr>
                <w:rFonts w:ascii="VIC" w:hAnsi="VIC"/>
              </w:rPr>
              <w:t>le</w:t>
            </w:r>
            <w:r w:rsidRPr="00602735">
              <w:rPr>
                <w:rFonts w:ascii="VIC" w:hAnsi="VIC"/>
              </w:rPr>
              <w:t>scent Inpatient Unit beds per</w:t>
            </w:r>
            <w:r w:rsidRPr="00602735">
              <w:rPr>
                <w:rFonts w:ascii="VIC" w:hAnsi="VIC"/>
                <w:spacing w:val="-38"/>
              </w:rPr>
              <w:t xml:space="preserve"> </w:t>
            </w:r>
            <w:r w:rsidRPr="00602735">
              <w:rPr>
                <w:rFonts w:ascii="VIC" w:hAnsi="VIC"/>
              </w:rPr>
              <w:t>10,000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adolescent population (aged 13-17 inclusive) in the</w:t>
            </w:r>
            <w:r w:rsidRPr="00602735">
              <w:rPr>
                <w:rFonts w:ascii="VIC" w:hAnsi="VIC"/>
                <w:spacing w:val="-24"/>
              </w:rPr>
              <w:t xml:space="preserve"> </w:t>
            </w:r>
            <w:r w:rsidRPr="00602735">
              <w:rPr>
                <w:rFonts w:ascii="VIC" w:hAnsi="VIC"/>
              </w:rPr>
              <w:t>relevant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catchment</w:t>
            </w:r>
            <w:r w:rsidRPr="00602735">
              <w:rPr>
                <w:rFonts w:ascii="VIC" w:hAnsi="VIC"/>
                <w:spacing w:val="-13"/>
              </w:rPr>
              <w:t xml:space="preserve"> </w:t>
            </w:r>
            <w:r w:rsidRPr="00602735">
              <w:rPr>
                <w:rFonts w:ascii="VIC" w:hAnsi="VIC"/>
              </w:rPr>
              <w:t>area.</w:t>
            </w:r>
          </w:p>
        </w:tc>
        <w:tc>
          <w:tcPr>
            <w:tcW w:w="1560" w:type="dxa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4394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No specified benchmark. Inpatient Beds per 10,000 population</w:t>
            </w:r>
            <w:r w:rsidRPr="00602735">
              <w:rPr>
                <w:rFonts w:ascii="VIC" w:hAnsi="VIC"/>
                <w:spacing w:val="-25"/>
              </w:rPr>
              <w:t xml:space="preserve"> </w:t>
            </w:r>
            <w:r w:rsidRPr="00602735">
              <w:rPr>
                <w:rFonts w:ascii="VIC" w:hAnsi="VIC"/>
              </w:rPr>
              <w:t>figures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include persons aged 13-17 in Metropolitan catchments only.</w:t>
            </w:r>
            <w:r w:rsidRPr="00602735">
              <w:rPr>
                <w:rFonts w:ascii="VIC" w:hAnsi="VIC"/>
                <w:spacing w:val="-36"/>
              </w:rPr>
              <w:t xml:space="preserve"> </w:t>
            </w:r>
            <w:r w:rsidRPr="00602735">
              <w:rPr>
                <w:rFonts w:ascii="VIC" w:hAnsi="VIC"/>
              </w:rPr>
              <w:t>Population figures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are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Estimated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Resident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Population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(ERP)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figures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as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at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2011,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for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years up to &amp; incl 2011. From 2012, ERP Projection figures are</w:t>
            </w:r>
            <w:r w:rsidRPr="00602735">
              <w:rPr>
                <w:rFonts w:ascii="VIC" w:hAnsi="VIC"/>
                <w:spacing w:val="14"/>
              </w:rPr>
              <w:t xml:space="preserve"> </w:t>
            </w:r>
            <w:r w:rsidRPr="00602735">
              <w:rPr>
                <w:rFonts w:ascii="VIC" w:hAnsi="VIC"/>
              </w:rPr>
              <w:t>used.</w:t>
            </w:r>
          </w:p>
        </w:tc>
      </w:tr>
      <w:tr w:rsidR="00817493" w:rsidRPr="00602735" w:rsidTr="00817493">
        <w:tc>
          <w:tcPr>
            <w:tcW w:w="2295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374" w:type="dxa"/>
          </w:tcPr>
          <w:p w:rsidR="00817493" w:rsidRPr="00602735" w:rsidRDefault="00BE5C6B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 xml:space="preserve">Avg trim </w:t>
            </w:r>
            <w:proofErr w:type="spellStart"/>
            <w:r>
              <w:rPr>
                <w:rFonts w:ascii="VIC" w:hAnsi="VIC"/>
              </w:rPr>
              <w:t>LoS</w:t>
            </w:r>
            <w:proofErr w:type="spellEnd"/>
            <w:r>
              <w:rPr>
                <w:rFonts w:ascii="VIC" w:hAnsi="VIC"/>
              </w:rPr>
              <w:t xml:space="preserve"> =&lt;35 days</w:t>
            </w:r>
          </w:p>
        </w:tc>
        <w:tc>
          <w:tcPr>
            <w:tcW w:w="4290" w:type="dxa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The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average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length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of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stay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(days)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of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discharges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from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inpatient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units,</w:t>
            </w:r>
            <w:r w:rsidRPr="00602735">
              <w:rPr>
                <w:rFonts w:ascii="VIC" w:hAnsi="VIC"/>
                <w:spacing w:val="-1"/>
              </w:rPr>
              <w:t xml:space="preserve"> </w:t>
            </w:r>
            <w:r w:rsidRPr="00602735">
              <w:rPr>
                <w:rFonts w:ascii="VIC" w:hAnsi="VIC"/>
              </w:rPr>
              <w:t xml:space="preserve">excluding same day stays &amp; excluding </w:t>
            </w:r>
            <w:r w:rsidRPr="00602735">
              <w:rPr>
                <w:rFonts w:ascii="VIC" w:hAnsi="VIC"/>
              </w:rPr>
              <w:lastRenderedPageBreak/>
              <w:t>discharges with length of</w:t>
            </w:r>
            <w:r w:rsidRPr="00602735">
              <w:rPr>
                <w:rFonts w:ascii="VIC" w:hAnsi="VIC"/>
                <w:spacing w:val="-38"/>
              </w:rPr>
              <w:t xml:space="preserve"> </w:t>
            </w:r>
            <w:r w:rsidRPr="00602735">
              <w:rPr>
                <w:rFonts w:ascii="VIC" w:hAnsi="VIC"/>
              </w:rPr>
              <w:t>stay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greater than 35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days.</w:t>
            </w:r>
          </w:p>
        </w:tc>
        <w:tc>
          <w:tcPr>
            <w:tcW w:w="1560" w:type="dxa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4394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Shorter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lengths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of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stay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can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be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associated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with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higher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readmission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rates.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 xml:space="preserve">Note this KPI is based on the episode start &amp; end </w:t>
            </w:r>
            <w:r w:rsidRPr="00602735">
              <w:rPr>
                <w:rFonts w:ascii="VIC" w:hAnsi="VIC"/>
              </w:rPr>
              <w:lastRenderedPageBreak/>
              <w:t>dates (as opposed</w:t>
            </w:r>
            <w:r w:rsidRPr="00602735">
              <w:rPr>
                <w:rFonts w:ascii="VIC" w:hAnsi="VIC"/>
                <w:spacing w:val="-29"/>
              </w:rPr>
              <w:t xml:space="preserve"> </w:t>
            </w:r>
            <w:r w:rsidRPr="00602735">
              <w:rPr>
                <w:rFonts w:ascii="VIC" w:hAnsi="VIC"/>
              </w:rPr>
              <w:t>to individual admission events within an</w:t>
            </w:r>
            <w:r w:rsidRPr="00602735">
              <w:rPr>
                <w:rFonts w:ascii="VIC" w:hAnsi="VIC"/>
                <w:spacing w:val="-39"/>
              </w:rPr>
              <w:t xml:space="preserve"> </w:t>
            </w:r>
            <w:r w:rsidRPr="00602735">
              <w:rPr>
                <w:rFonts w:ascii="VIC" w:hAnsi="VIC"/>
              </w:rPr>
              <w:t>episode).</w:t>
            </w:r>
          </w:p>
        </w:tc>
      </w:tr>
      <w:tr w:rsidR="00817493" w:rsidRPr="00602735" w:rsidTr="00817493">
        <w:tc>
          <w:tcPr>
            <w:tcW w:w="2295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374" w:type="dxa"/>
          </w:tcPr>
          <w:p w:rsidR="00817493" w:rsidRPr="00602735" w:rsidRDefault="00BE5C6B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Rate seclusion / 1,000 occ bed days</w:t>
            </w:r>
          </w:p>
        </w:tc>
        <w:tc>
          <w:tcPr>
            <w:tcW w:w="4290" w:type="dxa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The number of ended seclusion episodes divided by</w:t>
            </w:r>
            <w:r w:rsidRPr="00602735">
              <w:rPr>
                <w:rFonts w:ascii="VIC" w:hAnsi="VIC"/>
                <w:spacing w:val="-19"/>
              </w:rPr>
              <w:t xml:space="preserve"> </w:t>
            </w:r>
            <w:r w:rsidRPr="00602735">
              <w:rPr>
                <w:rFonts w:ascii="VIC" w:hAnsi="VIC"/>
              </w:rPr>
              <w:t>occupied</w:t>
            </w:r>
            <w:r w:rsidRPr="00602735">
              <w:rPr>
                <w:rFonts w:ascii="VIC" w:hAnsi="VIC"/>
                <w:spacing w:val="-1"/>
              </w:rPr>
              <w:t xml:space="preserve"> </w:t>
            </w:r>
            <w:r w:rsidR="00B5461D">
              <w:rPr>
                <w:rFonts w:ascii="VIC" w:hAnsi="VIC"/>
              </w:rPr>
              <w:t>bed days</w:t>
            </w:r>
            <w:r w:rsidRPr="00602735">
              <w:rPr>
                <w:rFonts w:ascii="VIC" w:hAnsi="VIC"/>
              </w:rPr>
              <w:t xml:space="preserve"> multiplied by 1000. Occupied </w:t>
            </w:r>
            <w:r w:rsidR="00B5461D">
              <w:rPr>
                <w:rFonts w:ascii="VIC" w:hAnsi="VIC"/>
              </w:rPr>
              <w:t>bed days</w:t>
            </w:r>
            <w:r w:rsidRPr="00602735">
              <w:rPr>
                <w:rFonts w:ascii="VIC" w:hAnsi="VIC"/>
              </w:rPr>
              <w:t xml:space="preserve"> excludes leave</w:t>
            </w:r>
            <w:r w:rsidRPr="00602735">
              <w:rPr>
                <w:rFonts w:ascii="VIC" w:hAnsi="VIC"/>
                <w:spacing w:val="-36"/>
              </w:rPr>
              <w:t xml:space="preserve"> </w:t>
            </w:r>
            <w:r w:rsidRPr="00602735">
              <w:rPr>
                <w:rFonts w:ascii="VIC" w:hAnsi="VIC"/>
              </w:rPr>
              <w:t>and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same day stays. Excludes units that do not have a seclusion</w:t>
            </w:r>
            <w:r w:rsidRPr="00602735">
              <w:rPr>
                <w:rFonts w:ascii="VIC" w:hAnsi="VIC"/>
                <w:spacing w:val="-36"/>
              </w:rPr>
              <w:t xml:space="preserve"> </w:t>
            </w:r>
            <w:r w:rsidRPr="00602735">
              <w:rPr>
                <w:rFonts w:ascii="VIC" w:hAnsi="VIC"/>
              </w:rPr>
              <w:t>room.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 xml:space="preserve">(NB. </w:t>
            </w:r>
            <w:r w:rsidR="00B5461D">
              <w:rPr>
                <w:rFonts w:ascii="VIC" w:hAnsi="VIC"/>
              </w:rPr>
              <w:t>Bed days</w:t>
            </w:r>
            <w:r w:rsidRPr="00602735">
              <w:rPr>
                <w:rFonts w:ascii="VIC" w:hAnsi="VIC"/>
              </w:rPr>
              <w:t xml:space="preserve"> calculated in minutes &amp; converted to</w:t>
            </w:r>
            <w:r w:rsidRPr="00602735">
              <w:rPr>
                <w:rFonts w:ascii="VIC" w:hAnsi="VIC"/>
                <w:spacing w:val="-36"/>
              </w:rPr>
              <w:t xml:space="preserve"> </w:t>
            </w:r>
            <w:r w:rsidRPr="00602735">
              <w:rPr>
                <w:rFonts w:ascii="VIC" w:hAnsi="VIC"/>
              </w:rPr>
              <w:t>days)</w:t>
            </w:r>
          </w:p>
        </w:tc>
        <w:tc>
          <w:tcPr>
            <w:tcW w:w="1560" w:type="dxa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15.0</w:t>
            </w:r>
          </w:p>
        </w:tc>
        <w:tc>
          <w:tcPr>
            <w:tcW w:w="4394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Policy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emphasis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is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on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reducing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use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of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seclusion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where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possible.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Defined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according to proposed national</w:t>
            </w:r>
            <w:r w:rsidRPr="00602735">
              <w:rPr>
                <w:rFonts w:ascii="VIC" w:hAnsi="VIC"/>
                <w:spacing w:val="-18"/>
              </w:rPr>
              <w:t xml:space="preserve"> </w:t>
            </w:r>
            <w:r w:rsidRPr="00602735">
              <w:rPr>
                <w:rFonts w:ascii="VIC" w:hAnsi="VIC"/>
              </w:rPr>
              <w:t>definition.</w:t>
            </w:r>
          </w:p>
        </w:tc>
      </w:tr>
      <w:tr w:rsidR="00817493" w:rsidRPr="00602735" w:rsidTr="00817493">
        <w:tc>
          <w:tcPr>
            <w:tcW w:w="2295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374" w:type="dxa"/>
          </w:tcPr>
          <w:p w:rsidR="00817493" w:rsidRPr="00602735" w:rsidRDefault="00BE5C6B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% self rated measures offered</w:t>
            </w:r>
          </w:p>
        </w:tc>
        <w:tc>
          <w:tcPr>
            <w:tcW w:w="4290" w:type="dxa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Clinician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Offer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Rate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of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the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relevant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self-rating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measures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(Basis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32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or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SDQ's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where</w:t>
            </w:r>
            <w:r w:rsidRPr="00602735">
              <w:rPr>
                <w:rFonts w:ascii="VIC" w:hAnsi="VIC"/>
                <w:spacing w:val="-8"/>
              </w:rPr>
              <w:t xml:space="preserve"> </w:t>
            </w:r>
            <w:r w:rsidRPr="00602735">
              <w:rPr>
                <w:rFonts w:ascii="VIC" w:hAnsi="VIC"/>
              </w:rPr>
              <w:t>appropriate),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in</w:t>
            </w:r>
            <w:r w:rsidRPr="00602735">
              <w:rPr>
                <w:rFonts w:ascii="VIC" w:hAnsi="VIC"/>
                <w:spacing w:val="-8"/>
              </w:rPr>
              <w:t xml:space="preserve"> </w:t>
            </w:r>
            <w:r w:rsidRPr="00602735">
              <w:rPr>
                <w:rFonts w:ascii="VIC" w:hAnsi="VIC"/>
              </w:rPr>
              <w:t>an</w:t>
            </w:r>
            <w:r w:rsidRPr="00602735">
              <w:rPr>
                <w:rFonts w:ascii="VIC" w:hAnsi="VIC"/>
                <w:spacing w:val="-8"/>
              </w:rPr>
              <w:t xml:space="preserve"> </w:t>
            </w:r>
            <w:r w:rsidRPr="00602735">
              <w:rPr>
                <w:rFonts w:ascii="VIC" w:hAnsi="VIC"/>
              </w:rPr>
              <w:t>inpatient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setting.</w:t>
            </w:r>
          </w:p>
        </w:tc>
        <w:tc>
          <w:tcPr>
            <w:tcW w:w="1560" w:type="dxa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4394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This measure can demonstrate services that actively seek client</w:t>
            </w:r>
            <w:r w:rsidRPr="00602735">
              <w:rPr>
                <w:rFonts w:ascii="VIC" w:hAnsi="VIC"/>
                <w:spacing w:val="-35"/>
              </w:rPr>
              <w:t xml:space="preserve"> </w:t>
            </w:r>
            <w:r w:rsidRPr="00602735">
              <w:rPr>
                <w:rFonts w:ascii="VIC" w:hAnsi="VIC"/>
              </w:rPr>
              <w:t>feedback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and have systems in place to ensure that at a minimum the</w:t>
            </w:r>
            <w:r w:rsidRPr="00602735">
              <w:rPr>
                <w:rFonts w:ascii="VIC" w:hAnsi="VIC"/>
                <w:spacing w:val="-28"/>
              </w:rPr>
              <w:t xml:space="preserve"> </w:t>
            </w:r>
            <w:r w:rsidRPr="00602735">
              <w:rPr>
                <w:rFonts w:ascii="VIC" w:hAnsi="VIC"/>
              </w:rPr>
              <w:t>consumer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measures are considered for collection. Barwon data calculated</w:t>
            </w:r>
            <w:r w:rsidRPr="00602735">
              <w:rPr>
                <w:rFonts w:ascii="VIC" w:hAnsi="VIC"/>
                <w:spacing w:val="15"/>
              </w:rPr>
              <w:t xml:space="preserve"> </w:t>
            </w:r>
            <w:r w:rsidRPr="00602735">
              <w:rPr>
                <w:rFonts w:ascii="VIC" w:hAnsi="VIC"/>
              </w:rPr>
              <w:t>differently</w:t>
            </w:r>
            <w:r w:rsidRPr="00602735">
              <w:rPr>
                <w:rFonts w:ascii="VIC" w:hAnsi="VIC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as they do not use tasks in the CMI. NOTE: Data collection from Oct'11</w:t>
            </w:r>
            <w:r w:rsidRPr="00602735">
              <w:rPr>
                <w:rFonts w:ascii="VIC" w:hAnsi="VIC"/>
                <w:spacing w:val="-38"/>
              </w:rPr>
              <w:t xml:space="preserve"> </w:t>
            </w:r>
            <w:r w:rsidRPr="00602735">
              <w:rPr>
                <w:rFonts w:ascii="VIC" w:hAnsi="VIC"/>
              </w:rPr>
              <w:t>to Jun'12 was affected by protected industrial</w:t>
            </w:r>
            <w:r w:rsidRPr="00602735">
              <w:rPr>
                <w:rFonts w:ascii="VIC" w:hAnsi="VIC"/>
                <w:spacing w:val="-34"/>
              </w:rPr>
              <w:t xml:space="preserve"> </w:t>
            </w:r>
            <w:r w:rsidRPr="00602735">
              <w:rPr>
                <w:rFonts w:ascii="VIC" w:hAnsi="VIC"/>
              </w:rPr>
              <w:t>action.</w:t>
            </w:r>
          </w:p>
        </w:tc>
      </w:tr>
      <w:tr w:rsidR="00817493" w:rsidRPr="00602735" w:rsidTr="00817493">
        <w:tc>
          <w:tcPr>
            <w:tcW w:w="2295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374" w:type="dxa"/>
          </w:tcPr>
          <w:p w:rsidR="00817493" w:rsidRPr="00602735" w:rsidRDefault="00BE5C6B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% self rated measures completed</w:t>
            </w:r>
          </w:p>
        </w:tc>
        <w:tc>
          <w:tcPr>
            <w:tcW w:w="4290" w:type="dxa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Consumer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Completion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Rate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of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the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relevant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self-rating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measures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(Basis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32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or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SDQ's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where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appropriate),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in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an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inpatient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setting.</w:t>
            </w:r>
          </w:p>
        </w:tc>
        <w:tc>
          <w:tcPr>
            <w:tcW w:w="1560" w:type="dxa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4394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A measure of engagement with family/carer. Barwon data</w:t>
            </w:r>
            <w:r w:rsidRPr="00602735">
              <w:rPr>
                <w:rFonts w:ascii="VIC" w:hAnsi="VIC"/>
                <w:spacing w:val="-27"/>
              </w:rPr>
              <w:t xml:space="preserve"> </w:t>
            </w:r>
            <w:r w:rsidRPr="00602735">
              <w:rPr>
                <w:rFonts w:ascii="VIC" w:hAnsi="VIC"/>
              </w:rPr>
              <w:t>calculated</w:t>
            </w:r>
            <w:r w:rsidRPr="00602735">
              <w:rPr>
                <w:rFonts w:ascii="VIC" w:hAnsi="VIC"/>
                <w:spacing w:val="-1"/>
              </w:rPr>
              <w:t xml:space="preserve"> </w:t>
            </w:r>
            <w:r w:rsidRPr="00602735">
              <w:rPr>
                <w:rFonts w:ascii="VIC" w:hAnsi="VIC"/>
              </w:rPr>
              <w:t>differently as they do not use tasks in the CMI. NOTE: Data collection</w:t>
            </w:r>
            <w:r w:rsidRPr="00602735">
              <w:rPr>
                <w:rFonts w:ascii="VIC" w:hAnsi="VIC"/>
                <w:spacing w:val="-34"/>
              </w:rPr>
              <w:t xml:space="preserve"> </w:t>
            </w:r>
            <w:r w:rsidRPr="00602735">
              <w:rPr>
                <w:rFonts w:ascii="VIC" w:hAnsi="VIC"/>
              </w:rPr>
              <w:t>from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Oct'11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to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Jun'12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was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affected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by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protected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industrial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action.</w:t>
            </w:r>
          </w:p>
        </w:tc>
      </w:tr>
      <w:tr w:rsidR="00817493" w:rsidRPr="00602735" w:rsidTr="00817493">
        <w:tc>
          <w:tcPr>
            <w:tcW w:w="2295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374" w:type="dxa"/>
          </w:tcPr>
          <w:p w:rsidR="00817493" w:rsidRPr="00602735" w:rsidRDefault="0073710D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 xml:space="preserve">% events w/valid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</w:tc>
        <w:tc>
          <w:tcPr>
            <w:tcW w:w="4290" w:type="dxa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Participation rate in HoNOS (HoNOSCA/HNSADL/HoNOS65)</w:t>
            </w:r>
            <w:r w:rsidRPr="00602735">
              <w:rPr>
                <w:rFonts w:ascii="VIC" w:hAnsi="VIC"/>
                <w:spacing w:val="-32"/>
              </w:rPr>
              <w:t xml:space="preserve"> </w:t>
            </w:r>
            <w:r w:rsidRPr="00602735">
              <w:rPr>
                <w:rFonts w:ascii="VIC" w:hAnsi="VIC"/>
              </w:rPr>
              <w:t>outcome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measurement scales (number of valid HoNOS collection events</w:t>
            </w:r>
            <w:r w:rsidRPr="00602735">
              <w:rPr>
                <w:rFonts w:ascii="VIC" w:hAnsi="VIC"/>
                <w:spacing w:val="37"/>
              </w:rPr>
              <w:t xml:space="preserve"> </w:t>
            </w:r>
            <w:r w:rsidRPr="00602735">
              <w:rPr>
                <w:rFonts w:ascii="VIC" w:hAnsi="VIC"/>
              </w:rPr>
              <w:t>/ total number of outcome collection occasions that should</w:t>
            </w:r>
            <w:r w:rsidRPr="00602735">
              <w:rPr>
                <w:rFonts w:ascii="VIC" w:hAnsi="VIC"/>
                <w:spacing w:val="48"/>
              </w:rPr>
              <w:t xml:space="preserve"> </w:t>
            </w:r>
            <w:r w:rsidRPr="00602735">
              <w:rPr>
                <w:rFonts w:ascii="VIC" w:hAnsi="VIC"/>
              </w:rPr>
              <w:t>be</w:t>
            </w:r>
            <w:r w:rsidRPr="00602735">
              <w:rPr>
                <w:rFonts w:ascii="VIC" w:hAnsi="VIC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recorded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for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in-scope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service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settings).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Excludes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instances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where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the</w:t>
            </w:r>
            <w:r w:rsidRPr="00602735">
              <w:rPr>
                <w:rFonts w:ascii="VIC" w:hAnsi="VIC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lastRenderedPageBreak/>
              <w:t>HoNOS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score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entered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was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invalid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(more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than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2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times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rated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as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9).</w:t>
            </w:r>
          </w:p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Calculated from Jan'09 onwards</w:t>
            </w:r>
            <w:r w:rsidRPr="00602735">
              <w:rPr>
                <w:rFonts w:ascii="VIC" w:hAnsi="VIC"/>
                <w:spacing w:val="-31"/>
              </w:rPr>
              <w:t xml:space="preserve"> </w:t>
            </w:r>
            <w:r w:rsidRPr="00602735">
              <w:rPr>
                <w:rFonts w:ascii="VIC" w:hAnsi="VIC"/>
              </w:rPr>
              <w:t>only.</w:t>
            </w:r>
          </w:p>
        </w:tc>
        <w:tc>
          <w:tcPr>
            <w:tcW w:w="1560" w:type="dxa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lastRenderedPageBreak/>
              <w:t>85.0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%</w:t>
            </w:r>
          </w:p>
        </w:tc>
        <w:tc>
          <w:tcPr>
            <w:tcW w:w="4394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Commitment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to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adoption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of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outcome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measurement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part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of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National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Mental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Health Strategy, and National Action Plan. Barwon data</w:t>
            </w:r>
            <w:r w:rsidRPr="00602735">
              <w:rPr>
                <w:rFonts w:ascii="VIC" w:hAnsi="VIC"/>
                <w:spacing w:val="-18"/>
              </w:rPr>
              <w:t xml:space="preserve"> </w:t>
            </w:r>
            <w:r w:rsidRPr="00602735">
              <w:rPr>
                <w:rFonts w:ascii="VIC" w:hAnsi="VIC"/>
              </w:rPr>
              <w:t>calculated</w:t>
            </w:r>
            <w:r w:rsidRPr="00602735">
              <w:rPr>
                <w:rFonts w:ascii="VIC" w:hAnsi="VIC"/>
                <w:spacing w:val="-1"/>
              </w:rPr>
              <w:t xml:space="preserve"> </w:t>
            </w:r>
            <w:r w:rsidRPr="00602735">
              <w:rPr>
                <w:rFonts w:ascii="VIC" w:hAnsi="VIC"/>
              </w:rPr>
              <w:t>differently as they do not use tasks in the CMI. NOTE: Data collection</w:t>
            </w:r>
            <w:r w:rsidRPr="00602735">
              <w:rPr>
                <w:rFonts w:ascii="VIC" w:hAnsi="VIC"/>
                <w:spacing w:val="-34"/>
              </w:rPr>
              <w:t xml:space="preserve"> </w:t>
            </w:r>
            <w:r w:rsidRPr="00602735">
              <w:rPr>
                <w:rFonts w:ascii="VIC" w:hAnsi="VIC"/>
              </w:rPr>
              <w:t>from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Oct'11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to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Jun'12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was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affected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by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protected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industrial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action.</w:t>
            </w:r>
          </w:p>
        </w:tc>
      </w:tr>
      <w:tr w:rsidR="00817493" w:rsidRPr="00602735" w:rsidTr="00817493">
        <w:tc>
          <w:tcPr>
            <w:tcW w:w="2295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374" w:type="dxa"/>
          </w:tcPr>
          <w:p w:rsidR="00817493" w:rsidRPr="00602735" w:rsidRDefault="0073710D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 xml:space="preserve">Avg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  <w:r>
              <w:rPr>
                <w:rFonts w:ascii="VIC" w:hAnsi="VIC"/>
              </w:rPr>
              <w:t xml:space="preserve"> at episode start</w:t>
            </w:r>
          </w:p>
        </w:tc>
        <w:tc>
          <w:tcPr>
            <w:tcW w:w="4290" w:type="dxa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The average HoNOS total score</w:t>
            </w:r>
            <w:r w:rsidRPr="00602735">
              <w:rPr>
                <w:rFonts w:ascii="VIC" w:hAnsi="VIC"/>
                <w:spacing w:val="-30"/>
              </w:rPr>
              <w:t xml:space="preserve"> </w:t>
            </w:r>
            <w:r w:rsidRPr="00602735">
              <w:rPr>
                <w:rFonts w:ascii="VIC" w:hAnsi="VIC"/>
              </w:rPr>
              <w:t>(HoNOSCA/HNSADL/HoNOS65)</w:t>
            </w:r>
            <w:r w:rsidRPr="00602735">
              <w:rPr>
                <w:rFonts w:ascii="VIC" w:hAnsi="VIC"/>
                <w:spacing w:val="-1"/>
              </w:rPr>
              <w:t xml:space="preserve"> </w:t>
            </w:r>
            <w:r w:rsidRPr="00602735">
              <w:rPr>
                <w:rFonts w:ascii="VIC" w:hAnsi="VIC"/>
              </w:rPr>
              <w:t>collected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on</w:t>
            </w:r>
            <w:r w:rsidRPr="00602735">
              <w:rPr>
                <w:rFonts w:ascii="VIC" w:hAnsi="VIC"/>
                <w:spacing w:val="-8"/>
              </w:rPr>
              <w:t xml:space="preserve"> </w:t>
            </w:r>
            <w:r w:rsidRPr="00602735">
              <w:rPr>
                <w:rFonts w:ascii="VIC" w:hAnsi="VIC"/>
              </w:rPr>
              <w:t>inpatient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episode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commencement,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excluding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invalid</w:t>
            </w:r>
            <w:r w:rsidRPr="00602735">
              <w:rPr>
                <w:rFonts w:ascii="VIC" w:hAnsi="VIC"/>
                <w:spacing w:val="-1"/>
              </w:rPr>
              <w:t xml:space="preserve"> </w:t>
            </w:r>
            <w:r w:rsidRPr="00602735">
              <w:rPr>
                <w:rFonts w:ascii="VIC" w:hAnsi="VIC"/>
              </w:rPr>
              <w:t>scores.</w:t>
            </w:r>
          </w:p>
        </w:tc>
        <w:tc>
          <w:tcPr>
            <w:tcW w:w="1560" w:type="dxa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4394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Contextual</w:t>
            </w:r>
            <w:r w:rsidRPr="00602735">
              <w:rPr>
                <w:rFonts w:ascii="VIC" w:hAnsi="VIC"/>
                <w:spacing w:val="-9"/>
              </w:rPr>
              <w:t xml:space="preserve"> </w:t>
            </w:r>
            <w:r w:rsidRPr="00602735">
              <w:rPr>
                <w:rFonts w:ascii="VIC" w:hAnsi="VIC"/>
              </w:rPr>
              <w:t>measure</w:t>
            </w:r>
            <w:r w:rsidRPr="00602735">
              <w:rPr>
                <w:rFonts w:ascii="VIC" w:hAnsi="VIC"/>
                <w:spacing w:val="-8"/>
              </w:rPr>
              <w:t xml:space="preserve"> </w:t>
            </w:r>
            <w:r w:rsidRPr="00602735">
              <w:rPr>
                <w:rFonts w:ascii="VIC" w:hAnsi="VIC"/>
              </w:rPr>
              <w:t>of</w:t>
            </w:r>
            <w:r w:rsidRPr="00602735">
              <w:rPr>
                <w:rFonts w:ascii="VIC" w:hAnsi="VIC"/>
                <w:spacing w:val="-9"/>
              </w:rPr>
              <w:t xml:space="preserve"> </w:t>
            </w:r>
            <w:r w:rsidRPr="00602735">
              <w:rPr>
                <w:rFonts w:ascii="VIC" w:hAnsi="VIC"/>
              </w:rPr>
              <w:t>symptom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severity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at</w:t>
            </w:r>
            <w:r w:rsidRPr="00602735">
              <w:rPr>
                <w:rFonts w:ascii="VIC" w:hAnsi="VIC"/>
                <w:spacing w:val="-9"/>
              </w:rPr>
              <w:t xml:space="preserve"> </w:t>
            </w:r>
            <w:r w:rsidRPr="00602735">
              <w:rPr>
                <w:rFonts w:ascii="VIC" w:hAnsi="VIC"/>
              </w:rPr>
              <w:t>episode</w:t>
            </w:r>
            <w:r w:rsidRPr="00602735">
              <w:rPr>
                <w:rFonts w:ascii="VIC" w:hAnsi="VIC"/>
                <w:spacing w:val="-8"/>
              </w:rPr>
              <w:t xml:space="preserve"> </w:t>
            </w:r>
            <w:r w:rsidRPr="00602735">
              <w:rPr>
                <w:rFonts w:ascii="VIC" w:hAnsi="VIC"/>
              </w:rPr>
              <w:t>commencement.</w:t>
            </w:r>
          </w:p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Dates determined from HoNOS completion date. NOTE: Data collection</w:t>
            </w:r>
            <w:r w:rsidRPr="00602735">
              <w:rPr>
                <w:rFonts w:ascii="VIC" w:hAnsi="VIC"/>
                <w:spacing w:val="-36"/>
              </w:rPr>
              <w:t xml:space="preserve"> </w:t>
            </w:r>
            <w:r w:rsidRPr="00602735">
              <w:rPr>
                <w:rFonts w:ascii="VIC" w:hAnsi="VIC"/>
              </w:rPr>
              <w:t>from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Oct'11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to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Jun'12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was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affected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by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protected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industrial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action.</w:t>
            </w:r>
          </w:p>
        </w:tc>
      </w:tr>
      <w:tr w:rsidR="00817493" w:rsidRPr="00602735" w:rsidTr="00817493">
        <w:tc>
          <w:tcPr>
            <w:tcW w:w="2295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Community</w:t>
            </w:r>
          </w:p>
        </w:tc>
        <w:tc>
          <w:tcPr>
            <w:tcW w:w="2374" w:type="dxa"/>
          </w:tcPr>
          <w:p w:rsidR="00817493" w:rsidRPr="00602735" w:rsidRDefault="000D75ED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0D75ED">
              <w:rPr>
                <w:rFonts w:ascii="VIC" w:hAnsi="VIC"/>
              </w:rPr>
              <w:t xml:space="preserve">% </w:t>
            </w:r>
            <w:proofErr w:type="spellStart"/>
            <w:r w:rsidRPr="000D75ED">
              <w:rPr>
                <w:rFonts w:ascii="VIC" w:hAnsi="VIC"/>
              </w:rPr>
              <w:t>adm</w:t>
            </w:r>
            <w:proofErr w:type="spellEnd"/>
            <w:r w:rsidRPr="000D75ED">
              <w:rPr>
                <w:rFonts w:ascii="VIC" w:hAnsi="VIC"/>
              </w:rPr>
              <w:t xml:space="preserve"> w/pre-</w:t>
            </w:r>
            <w:proofErr w:type="spellStart"/>
            <w:r w:rsidRPr="000D75ED">
              <w:rPr>
                <w:rFonts w:ascii="VIC" w:hAnsi="VIC"/>
              </w:rPr>
              <w:t>adm</w:t>
            </w:r>
            <w:proofErr w:type="spellEnd"/>
            <w:r w:rsidRPr="000D75ED">
              <w:rPr>
                <w:rFonts w:ascii="VIC" w:hAnsi="VIC"/>
              </w:rPr>
              <w:t xml:space="preserve"> contact (CAMHS)</w:t>
            </w:r>
          </w:p>
        </w:tc>
        <w:tc>
          <w:tcPr>
            <w:tcW w:w="4290" w:type="dxa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Percentage of admissions to inpatient unit(s) for which a</w:t>
            </w:r>
            <w:r w:rsidRPr="00602735">
              <w:rPr>
                <w:rFonts w:ascii="VIC" w:hAnsi="VIC"/>
                <w:spacing w:val="-36"/>
              </w:rPr>
              <w:t xml:space="preserve"> </w:t>
            </w:r>
            <w:r w:rsidRPr="00602735">
              <w:rPr>
                <w:rFonts w:ascii="VIC" w:hAnsi="VIC"/>
              </w:rPr>
              <w:t>community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ambulatory service contact was recorded in the seven</w:t>
            </w:r>
            <w:r w:rsidRPr="00602735">
              <w:rPr>
                <w:rFonts w:ascii="VIC" w:hAnsi="VIC"/>
                <w:spacing w:val="-14"/>
              </w:rPr>
              <w:t xml:space="preserve"> </w:t>
            </w:r>
            <w:r w:rsidRPr="00602735">
              <w:rPr>
                <w:rFonts w:ascii="VIC" w:hAnsi="VIC"/>
              </w:rPr>
              <w:t>days</w:t>
            </w:r>
            <w:r w:rsidRPr="00602735">
              <w:rPr>
                <w:rFonts w:ascii="VIC" w:hAnsi="VIC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 xml:space="preserve">immediately </w:t>
            </w:r>
            <w:r w:rsidR="00B5461D" w:rsidRPr="00602735">
              <w:rPr>
                <w:rFonts w:ascii="VIC" w:hAnsi="VIC"/>
              </w:rPr>
              <w:t>preceding</w:t>
            </w:r>
            <w:r w:rsidRPr="00602735">
              <w:rPr>
                <w:rFonts w:ascii="VIC" w:hAnsi="VIC"/>
              </w:rPr>
              <w:t xml:space="preserve"> the day of admission. Excludes same</w:t>
            </w:r>
            <w:r w:rsidRPr="00602735">
              <w:rPr>
                <w:rFonts w:ascii="VIC" w:hAnsi="VIC"/>
                <w:spacing w:val="-22"/>
              </w:rPr>
              <w:t xml:space="preserve"> </w:t>
            </w:r>
            <w:r w:rsidRPr="00602735">
              <w:rPr>
                <w:rFonts w:ascii="VIC" w:hAnsi="VIC"/>
              </w:rPr>
              <w:t>day</w:t>
            </w:r>
            <w:r w:rsidRPr="00602735">
              <w:rPr>
                <w:rFonts w:ascii="VIC" w:hAnsi="VIC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stays. Admissions are counted against the Mental Health</w:t>
            </w:r>
            <w:r w:rsidRPr="00602735">
              <w:rPr>
                <w:rFonts w:ascii="VIC" w:hAnsi="VIC"/>
                <w:spacing w:val="-18"/>
              </w:rPr>
              <w:t xml:space="preserve"> </w:t>
            </w:r>
            <w:r w:rsidRPr="00602735">
              <w:rPr>
                <w:rFonts w:ascii="VIC" w:hAnsi="VIC"/>
              </w:rPr>
              <w:t>Area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(catchment campus) of the client; where unknown this defaults to</w:t>
            </w:r>
            <w:r w:rsidRPr="00602735">
              <w:rPr>
                <w:rFonts w:ascii="VIC" w:hAnsi="VIC"/>
                <w:spacing w:val="-36"/>
              </w:rPr>
              <w:t xml:space="preserve"> </w:t>
            </w:r>
            <w:r w:rsidRPr="00602735">
              <w:rPr>
                <w:rFonts w:ascii="VIC" w:hAnsi="VIC"/>
              </w:rPr>
              <w:t>the</w:t>
            </w:r>
            <w:r w:rsidRPr="00602735">
              <w:rPr>
                <w:rFonts w:ascii="VIC" w:hAnsi="VIC"/>
                <w:spacing w:val="-1"/>
              </w:rPr>
              <w:t xml:space="preserve"> </w:t>
            </w:r>
            <w:r w:rsidRPr="00602735">
              <w:rPr>
                <w:rFonts w:ascii="VIC" w:hAnsi="VIC"/>
              </w:rPr>
              <w:t>admitting campus. Transfers from another hospital are</w:t>
            </w:r>
            <w:r w:rsidRPr="00602735">
              <w:rPr>
                <w:rFonts w:ascii="VIC" w:hAnsi="VIC"/>
                <w:spacing w:val="4"/>
              </w:rPr>
              <w:t xml:space="preserve"> </w:t>
            </w:r>
            <w:r w:rsidRPr="00602735">
              <w:rPr>
                <w:rFonts w:ascii="VIC" w:hAnsi="VIC"/>
              </w:rPr>
              <w:t>excluded.</w:t>
            </w:r>
          </w:p>
        </w:tc>
        <w:tc>
          <w:tcPr>
            <w:tcW w:w="1560" w:type="dxa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61.0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%</w:t>
            </w:r>
          </w:p>
        </w:tc>
        <w:tc>
          <w:tcPr>
            <w:tcW w:w="4394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Reflects service responsiveness and a planned approach to</w:t>
            </w:r>
            <w:r w:rsidRPr="00602735">
              <w:rPr>
                <w:rFonts w:ascii="VIC" w:hAnsi="VIC"/>
                <w:spacing w:val="-25"/>
              </w:rPr>
              <w:t xml:space="preserve"> </w:t>
            </w:r>
            <w:r w:rsidRPr="00602735">
              <w:rPr>
                <w:rFonts w:ascii="VIC" w:hAnsi="VIC"/>
              </w:rPr>
              <w:t>admission,</w:t>
            </w:r>
            <w:r w:rsidRPr="00602735">
              <w:rPr>
                <w:rFonts w:ascii="VIC" w:hAnsi="VIC"/>
                <w:spacing w:val="-1"/>
              </w:rPr>
              <w:t xml:space="preserve"> </w:t>
            </w:r>
            <w:r w:rsidRPr="00602735">
              <w:rPr>
                <w:rFonts w:ascii="VIC" w:hAnsi="VIC"/>
              </w:rPr>
              <w:t xml:space="preserve">rather than a crisis response. </w:t>
            </w:r>
            <w:proofErr w:type="gramStart"/>
            <w:r w:rsidRPr="00602735">
              <w:rPr>
                <w:rFonts w:ascii="VIC" w:hAnsi="VIC"/>
              </w:rPr>
              <w:t>Non Victorian</w:t>
            </w:r>
            <w:proofErr w:type="gramEnd"/>
            <w:r w:rsidRPr="00602735">
              <w:rPr>
                <w:rFonts w:ascii="VIC" w:hAnsi="VIC"/>
              </w:rPr>
              <w:t xml:space="preserve"> clients are excluded from</w:t>
            </w:r>
            <w:r w:rsidRPr="00602735">
              <w:rPr>
                <w:rFonts w:ascii="VIC" w:hAnsi="VIC"/>
                <w:spacing w:val="-38"/>
              </w:rPr>
              <w:t xml:space="preserve"> </w:t>
            </w:r>
            <w:r w:rsidRPr="00602735">
              <w:rPr>
                <w:rFonts w:ascii="VIC" w:hAnsi="VIC"/>
              </w:rPr>
              <w:t>this KPI.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NOTE: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Data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collection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from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Oct'11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to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Jun'12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was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affected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by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protected</w:t>
            </w:r>
            <w:r w:rsidRPr="00602735">
              <w:rPr>
                <w:rFonts w:ascii="VIC" w:hAnsi="VIC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industrial</w:t>
            </w:r>
            <w:r w:rsidRPr="00602735">
              <w:rPr>
                <w:rFonts w:ascii="VIC" w:hAnsi="VIC"/>
                <w:spacing w:val="-16"/>
              </w:rPr>
              <w:t xml:space="preserve"> </w:t>
            </w:r>
            <w:r w:rsidRPr="00602735">
              <w:rPr>
                <w:rFonts w:ascii="VIC" w:hAnsi="VIC"/>
              </w:rPr>
              <w:t>action.</w:t>
            </w:r>
          </w:p>
        </w:tc>
      </w:tr>
      <w:tr w:rsidR="00817493" w:rsidRPr="00602735" w:rsidTr="00817493">
        <w:tc>
          <w:tcPr>
            <w:tcW w:w="2295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374" w:type="dxa"/>
          </w:tcPr>
          <w:p w:rsidR="00817493" w:rsidRPr="00602735" w:rsidRDefault="000D75ED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0D75ED">
              <w:rPr>
                <w:rFonts w:ascii="VIC" w:hAnsi="VIC"/>
              </w:rPr>
              <w:t xml:space="preserve">% </w:t>
            </w:r>
            <w:proofErr w:type="spellStart"/>
            <w:r w:rsidRPr="000D75ED">
              <w:rPr>
                <w:rFonts w:ascii="VIC" w:hAnsi="VIC"/>
              </w:rPr>
              <w:t>inpt</w:t>
            </w:r>
            <w:proofErr w:type="spellEnd"/>
            <w:r w:rsidRPr="000D75ED">
              <w:rPr>
                <w:rFonts w:ascii="VIC" w:hAnsi="VIC"/>
              </w:rPr>
              <w:t xml:space="preserve"> </w:t>
            </w:r>
            <w:proofErr w:type="spellStart"/>
            <w:r w:rsidRPr="000D75ED">
              <w:rPr>
                <w:rFonts w:ascii="VIC" w:hAnsi="VIC"/>
              </w:rPr>
              <w:t>seps</w:t>
            </w:r>
            <w:proofErr w:type="spellEnd"/>
            <w:r w:rsidRPr="000D75ED">
              <w:rPr>
                <w:rFonts w:ascii="VIC" w:hAnsi="VIC"/>
              </w:rPr>
              <w:t xml:space="preserve"> w/7 day follow up (CAMHS)</w:t>
            </w:r>
          </w:p>
        </w:tc>
        <w:tc>
          <w:tcPr>
            <w:tcW w:w="4290" w:type="dxa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Percentage of non-</w:t>
            </w:r>
            <w:proofErr w:type="spellStart"/>
            <w:r w:rsidRPr="00602735">
              <w:rPr>
                <w:rFonts w:ascii="VIC" w:hAnsi="VIC"/>
              </w:rPr>
              <w:t>sameday</w:t>
            </w:r>
            <w:proofErr w:type="spellEnd"/>
            <w:r w:rsidRPr="00602735">
              <w:rPr>
                <w:rFonts w:ascii="VIC" w:hAnsi="VIC"/>
              </w:rPr>
              <w:t xml:space="preserve"> inpatient separations where client</w:t>
            </w:r>
            <w:r w:rsidRPr="00602735">
              <w:rPr>
                <w:rFonts w:ascii="VIC" w:hAnsi="VIC"/>
                <w:spacing w:val="-33"/>
              </w:rPr>
              <w:t xml:space="preserve"> </w:t>
            </w:r>
            <w:r w:rsidRPr="00602735">
              <w:rPr>
                <w:rFonts w:ascii="VIC" w:hAnsi="VIC"/>
              </w:rPr>
              <w:t>was</w:t>
            </w:r>
            <w:r w:rsidRPr="00602735">
              <w:rPr>
                <w:rFonts w:ascii="VIC" w:hAnsi="VIC"/>
                <w:spacing w:val="-1"/>
              </w:rPr>
              <w:t xml:space="preserve"> </w:t>
            </w:r>
            <w:r w:rsidRPr="00602735">
              <w:rPr>
                <w:rFonts w:ascii="VIC" w:hAnsi="VIC"/>
              </w:rPr>
              <w:t>discharged to private residence/</w:t>
            </w:r>
            <w:r w:rsidR="00B5461D" w:rsidRPr="00602735">
              <w:rPr>
                <w:rFonts w:ascii="VIC" w:hAnsi="VIC"/>
              </w:rPr>
              <w:t>accommodation</w:t>
            </w:r>
            <w:r w:rsidRPr="00602735">
              <w:rPr>
                <w:rFonts w:ascii="VIC" w:hAnsi="VIC"/>
              </w:rPr>
              <w:t>, for which a</w:t>
            </w:r>
            <w:r w:rsidRPr="00602735">
              <w:rPr>
                <w:rFonts w:ascii="VIC" w:hAnsi="VIC"/>
                <w:spacing w:val="-29"/>
              </w:rPr>
              <w:t xml:space="preserve"> </w:t>
            </w:r>
            <w:r w:rsidRPr="00602735">
              <w:rPr>
                <w:rFonts w:ascii="VIC" w:hAnsi="VIC"/>
              </w:rPr>
              <w:t>contact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was recorded in the 7 days immediately after discharge (does</w:t>
            </w:r>
            <w:r w:rsidRPr="00602735">
              <w:rPr>
                <w:rFonts w:ascii="VIC" w:hAnsi="VIC"/>
                <w:spacing w:val="-30"/>
              </w:rPr>
              <w:t xml:space="preserve"> </w:t>
            </w:r>
            <w:r w:rsidRPr="00602735">
              <w:rPr>
                <w:rFonts w:ascii="VIC" w:hAnsi="VIC"/>
              </w:rPr>
              <w:t>not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include contact made on the day of discharge). Separations</w:t>
            </w:r>
            <w:r w:rsidRPr="00602735">
              <w:rPr>
                <w:rFonts w:ascii="VIC" w:hAnsi="VIC"/>
                <w:spacing w:val="-26"/>
              </w:rPr>
              <w:t xml:space="preserve"> </w:t>
            </w:r>
            <w:r w:rsidRPr="00602735">
              <w:rPr>
                <w:rFonts w:ascii="VIC" w:hAnsi="VIC"/>
              </w:rPr>
              <w:t>are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counted against the Mental Health Area (catchment campus) of</w:t>
            </w:r>
            <w:r w:rsidRPr="00602735">
              <w:rPr>
                <w:rFonts w:ascii="VIC" w:hAnsi="VIC"/>
                <w:spacing w:val="-36"/>
              </w:rPr>
              <w:t xml:space="preserve"> </w:t>
            </w:r>
            <w:r w:rsidRPr="00602735">
              <w:rPr>
                <w:rFonts w:ascii="VIC" w:hAnsi="VIC"/>
              </w:rPr>
              <w:t>the</w:t>
            </w:r>
            <w:r w:rsidRPr="00602735">
              <w:rPr>
                <w:rFonts w:ascii="VIC" w:hAnsi="VIC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client; where unknown this defaults to the admitting campus.</w:t>
            </w:r>
            <w:r w:rsidRPr="00602735">
              <w:rPr>
                <w:rFonts w:ascii="VIC" w:hAnsi="VIC"/>
                <w:spacing w:val="-36"/>
              </w:rPr>
              <w:t xml:space="preserve"> </w:t>
            </w:r>
            <w:r w:rsidRPr="00602735">
              <w:rPr>
                <w:rFonts w:ascii="VIC" w:hAnsi="VIC"/>
              </w:rPr>
              <w:t>When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 xml:space="preserve">a client is sent on leave &amp; </w:t>
            </w:r>
            <w:r w:rsidRPr="00602735">
              <w:rPr>
                <w:rFonts w:ascii="VIC" w:hAnsi="VIC"/>
              </w:rPr>
              <w:lastRenderedPageBreak/>
              <w:t>then discharged whilst on leave,</w:t>
            </w:r>
            <w:r w:rsidRPr="00602735">
              <w:rPr>
                <w:rFonts w:ascii="VIC" w:hAnsi="VIC"/>
                <w:spacing w:val="-37"/>
              </w:rPr>
              <w:t xml:space="preserve"> </w:t>
            </w:r>
            <w:r w:rsidRPr="00602735">
              <w:rPr>
                <w:rFonts w:ascii="VIC" w:hAnsi="VIC"/>
              </w:rPr>
              <w:t>contact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must occur within the 7 days since the client was on leave.</w:t>
            </w:r>
            <w:r w:rsidRPr="00602735">
              <w:rPr>
                <w:rFonts w:ascii="VIC" w:hAnsi="VIC"/>
                <w:spacing w:val="-38"/>
              </w:rPr>
              <w:t xml:space="preserve"> </w:t>
            </w:r>
            <w:r w:rsidRPr="00602735">
              <w:rPr>
                <w:rFonts w:ascii="VIC" w:hAnsi="VIC"/>
              </w:rPr>
              <w:t>Lagged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by 7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days.</w:t>
            </w:r>
          </w:p>
        </w:tc>
        <w:tc>
          <w:tcPr>
            <w:tcW w:w="1560" w:type="dxa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lastRenderedPageBreak/>
              <w:t>80.0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%</w:t>
            </w:r>
          </w:p>
        </w:tc>
        <w:tc>
          <w:tcPr>
            <w:tcW w:w="4394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 xml:space="preserve">Indicator of effective discharge management. </w:t>
            </w:r>
            <w:proofErr w:type="gramStart"/>
            <w:r w:rsidRPr="00602735">
              <w:rPr>
                <w:rFonts w:ascii="VIC" w:hAnsi="VIC"/>
              </w:rPr>
              <w:t>Non Victorian</w:t>
            </w:r>
            <w:proofErr w:type="gramEnd"/>
            <w:r w:rsidRPr="00602735">
              <w:rPr>
                <w:rFonts w:ascii="VIC" w:hAnsi="VIC"/>
              </w:rPr>
              <w:t xml:space="preserve"> clients</w:t>
            </w:r>
            <w:r w:rsidRPr="00602735">
              <w:rPr>
                <w:rFonts w:ascii="VIC" w:hAnsi="VIC"/>
                <w:spacing w:val="-31"/>
              </w:rPr>
              <w:t xml:space="preserve"> </w:t>
            </w:r>
            <w:r w:rsidRPr="00602735">
              <w:rPr>
                <w:rFonts w:ascii="VIC" w:hAnsi="VIC"/>
              </w:rPr>
              <w:t>are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excluded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from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this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KPI.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NOTE: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Data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collection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from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Oct'11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to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Jun'12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was</w:t>
            </w:r>
            <w:r w:rsidRPr="00602735">
              <w:rPr>
                <w:rFonts w:ascii="VIC" w:hAnsi="VIC"/>
                <w:spacing w:val="-1"/>
              </w:rPr>
              <w:t xml:space="preserve"> </w:t>
            </w:r>
            <w:r w:rsidRPr="00602735">
              <w:rPr>
                <w:rFonts w:ascii="VIC" w:hAnsi="VIC"/>
              </w:rPr>
              <w:t>affected by protected industrial</w:t>
            </w:r>
            <w:r w:rsidRPr="00602735">
              <w:rPr>
                <w:rFonts w:ascii="VIC" w:hAnsi="VIC"/>
                <w:spacing w:val="-26"/>
              </w:rPr>
              <w:t xml:space="preserve"> </w:t>
            </w:r>
            <w:r w:rsidRPr="00602735">
              <w:rPr>
                <w:rFonts w:ascii="VIC" w:hAnsi="VIC"/>
              </w:rPr>
              <w:t>action.</w:t>
            </w:r>
          </w:p>
        </w:tc>
      </w:tr>
      <w:tr w:rsidR="00817493" w:rsidRPr="00602735" w:rsidTr="00817493">
        <w:tc>
          <w:tcPr>
            <w:tcW w:w="2295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Community</w:t>
            </w:r>
          </w:p>
        </w:tc>
        <w:tc>
          <w:tcPr>
            <w:tcW w:w="2374" w:type="dxa"/>
          </w:tcPr>
          <w:p w:rsidR="00817493" w:rsidRPr="00602735" w:rsidRDefault="000D75ED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0D75ED">
              <w:rPr>
                <w:rFonts w:ascii="VIC" w:hAnsi="VIC"/>
              </w:rPr>
              <w:t>% closed comm cases re-referred</w:t>
            </w:r>
          </w:p>
        </w:tc>
        <w:tc>
          <w:tcPr>
            <w:tcW w:w="4290" w:type="dxa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Percentage of cases closed during the reporting period where</w:t>
            </w:r>
            <w:r w:rsidRPr="00602735">
              <w:rPr>
                <w:rFonts w:ascii="VIC" w:hAnsi="VIC"/>
                <w:spacing w:val="-26"/>
              </w:rPr>
              <w:t xml:space="preserve"> </w:t>
            </w:r>
            <w:r w:rsidRPr="00602735">
              <w:rPr>
                <w:rFonts w:ascii="VIC" w:hAnsi="VIC"/>
              </w:rPr>
              <w:t>the</w:t>
            </w:r>
            <w:r w:rsidRPr="00602735">
              <w:rPr>
                <w:rFonts w:ascii="VIC" w:hAnsi="VIC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client involved has a new case opened within six months of</w:t>
            </w:r>
            <w:r w:rsidRPr="00602735">
              <w:rPr>
                <w:rFonts w:ascii="VIC" w:hAnsi="VIC"/>
                <w:spacing w:val="-38"/>
              </w:rPr>
              <w:t xml:space="preserve"> </w:t>
            </w:r>
            <w:r w:rsidRPr="00602735">
              <w:rPr>
                <w:rFonts w:ascii="VIC" w:hAnsi="VIC"/>
              </w:rPr>
              <w:t>case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closure. Lagged by six</w:t>
            </w:r>
            <w:r w:rsidRPr="00602735">
              <w:rPr>
                <w:rFonts w:ascii="VIC" w:hAnsi="VIC"/>
                <w:spacing w:val="-22"/>
              </w:rPr>
              <w:t xml:space="preserve"> </w:t>
            </w:r>
            <w:r w:rsidRPr="00602735">
              <w:rPr>
                <w:rFonts w:ascii="VIC" w:hAnsi="VIC"/>
              </w:rPr>
              <w:t>months.</w:t>
            </w:r>
          </w:p>
        </w:tc>
        <w:tc>
          <w:tcPr>
            <w:tcW w:w="1560" w:type="dxa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4394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No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specified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benchmark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set.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Excludes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cases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that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were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opened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on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the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same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day or the day after the previous case closure, assuming they are</w:t>
            </w:r>
            <w:r w:rsidRPr="00602735">
              <w:rPr>
                <w:rFonts w:ascii="VIC" w:hAnsi="VIC"/>
                <w:spacing w:val="-24"/>
              </w:rPr>
              <w:t xml:space="preserve"> </w:t>
            </w:r>
            <w:r w:rsidRPr="00602735">
              <w:rPr>
                <w:rFonts w:ascii="VIC" w:hAnsi="VIC"/>
              </w:rPr>
              <w:t>data</w:t>
            </w:r>
            <w:r w:rsidRPr="00602735">
              <w:rPr>
                <w:rFonts w:ascii="VIC" w:hAnsi="VIC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errors. Adult statewide total includes activity for all community</w:t>
            </w:r>
            <w:r w:rsidRPr="00602735">
              <w:rPr>
                <w:rFonts w:ascii="VIC" w:hAnsi="VIC"/>
                <w:spacing w:val="-28"/>
              </w:rPr>
              <w:t xml:space="preserve"> </w:t>
            </w:r>
            <w:r w:rsidRPr="00602735">
              <w:rPr>
                <w:rFonts w:ascii="VIC" w:hAnsi="VIC"/>
              </w:rPr>
              <w:t>mental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health services, including the Mental Health Forensic Interface Team</w:t>
            </w:r>
            <w:r w:rsidRPr="00602735">
              <w:rPr>
                <w:rFonts w:ascii="VIC" w:hAnsi="VIC"/>
                <w:spacing w:val="-30"/>
              </w:rPr>
              <w:t xml:space="preserve"> </w:t>
            </w:r>
            <w:r w:rsidRPr="00602735">
              <w:rPr>
                <w:rFonts w:ascii="VIC" w:hAnsi="VIC"/>
              </w:rPr>
              <w:t>at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Melbourne Health and the Forensic Service Enhancement team at</w:t>
            </w:r>
            <w:r w:rsidRPr="00602735">
              <w:rPr>
                <w:rFonts w:ascii="VIC" w:hAnsi="VIC"/>
                <w:spacing w:val="-39"/>
              </w:rPr>
              <w:t xml:space="preserve"> </w:t>
            </w:r>
            <w:r w:rsidRPr="00602735">
              <w:rPr>
                <w:rFonts w:ascii="VIC" w:hAnsi="VIC"/>
              </w:rPr>
              <w:t>Monash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Health.</w:t>
            </w:r>
          </w:p>
        </w:tc>
      </w:tr>
      <w:tr w:rsidR="00817493" w:rsidRPr="00602735" w:rsidTr="00817493">
        <w:tc>
          <w:tcPr>
            <w:tcW w:w="2295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374" w:type="dxa"/>
          </w:tcPr>
          <w:p w:rsidR="00817493" w:rsidRPr="00602735" w:rsidRDefault="004E12F1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 xml:space="preserve">Avg </w:t>
            </w:r>
            <w:r w:rsidR="008057FA">
              <w:rPr>
                <w:rFonts w:ascii="VIC" w:hAnsi="VIC"/>
              </w:rPr>
              <w:t>length</w:t>
            </w:r>
            <w:r>
              <w:rPr>
                <w:rFonts w:ascii="VIC" w:hAnsi="VIC"/>
              </w:rPr>
              <w:t xml:space="preserve"> of case (days)</w:t>
            </w:r>
          </w:p>
        </w:tc>
        <w:tc>
          <w:tcPr>
            <w:tcW w:w="4290" w:type="dxa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The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average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length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of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case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(days)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for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all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community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cases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that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were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closed during the reporting</w:t>
            </w:r>
            <w:r w:rsidRPr="00602735">
              <w:rPr>
                <w:rFonts w:ascii="VIC" w:hAnsi="VIC"/>
                <w:spacing w:val="-15"/>
              </w:rPr>
              <w:t xml:space="preserve"> </w:t>
            </w:r>
            <w:r w:rsidRPr="00602735">
              <w:rPr>
                <w:rFonts w:ascii="VIC" w:hAnsi="VIC"/>
              </w:rPr>
              <w:t>period.</w:t>
            </w:r>
          </w:p>
        </w:tc>
        <w:tc>
          <w:tcPr>
            <w:tcW w:w="1560" w:type="dxa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4394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No specified benchmark set. Adult statewide total includes activity for</w:t>
            </w:r>
            <w:r w:rsidRPr="00602735">
              <w:rPr>
                <w:rFonts w:ascii="VIC" w:hAnsi="VIC"/>
                <w:spacing w:val="-35"/>
              </w:rPr>
              <w:t xml:space="preserve"> </w:t>
            </w:r>
            <w:r w:rsidRPr="00602735">
              <w:rPr>
                <w:rFonts w:ascii="VIC" w:hAnsi="VIC"/>
              </w:rPr>
              <w:t>all</w:t>
            </w:r>
            <w:r w:rsidRPr="00602735">
              <w:rPr>
                <w:rFonts w:ascii="VIC" w:hAnsi="VIC"/>
                <w:spacing w:val="-1"/>
              </w:rPr>
              <w:t xml:space="preserve"> </w:t>
            </w:r>
            <w:r w:rsidRPr="00602735">
              <w:rPr>
                <w:rFonts w:ascii="VIC" w:hAnsi="VIC"/>
              </w:rPr>
              <w:t>community mental health services, including the Mental Health</w:t>
            </w:r>
            <w:r w:rsidRPr="00602735">
              <w:rPr>
                <w:rFonts w:ascii="VIC" w:hAnsi="VIC"/>
                <w:spacing w:val="-29"/>
              </w:rPr>
              <w:t xml:space="preserve"> </w:t>
            </w:r>
            <w:r w:rsidRPr="00602735">
              <w:rPr>
                <w:rFonts w:ascii="VIC" w:hAnsi="VIC"/>
              </w:rPr>
              <w:t>Forensic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Interface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Team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at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Melbourne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Health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and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the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Forensic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Service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Enhancement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team at Monash</w:t>
            </w:r>
            <w:r w:rsidRPr="00602735">
              <w:rPr>
                <w:rFonts w:ascii="VIC" w:hAnsi="VIC"/>
                <w:spacing w:val="-16"/>
              </w:rPr>
              <w:t xml:space="preserve"> </w:t>
            </w:r>
            <w:r w:rsidRPr="00602735">
              <w:rPr>
                <w:rFonts w:ascii="VIC" w:hAnsi="VIC"/>
              </w:rPr>
              <w:t>Health.</w:t>
            </w:r>
          </w:p>
        </w:tc>
      </w:tr>
      <w:tr w:rsidR="00817493" w:rsidRPr="00602735" w:rsidTr="00817493">
        <w:tc>
          <w:tcPr>
            <w:tcW w:w="2295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374" w:type="dxa"/>
          </w:tcPr>
          <w:p w:rsidR="00817493" w:rsidRPr="00602735" w:rsidRDefault="004E12F1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Avg no. Tx days</w:t>
            </w:r>
          </w:p>
        </w:tc>
        <w:tc>
          <w:tcPr>
            <w:tcW w:w="4290" w:type="dxa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The number of distinct days with a contact, for each client with</w:t>
            </w:r>
            <w:r w:rsidRPr="00602735">
              <w:rPr>
                <w:rFonts w:ascii="VIC" w:hAnsi="VIC"/>
                <w:spacing w:val="-32"/>
              </w:rPr>
              <w:t xml:space="preserve"> </w:t>
            </w:r>
            <w:r w:rsidRPr="00602735">
              <w:rPr>
                <w:rFonts w:ascii="VIC" w:hAnsi="VIC"/>
              </w:rPr>
              <w:t>an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open community case during the reporting period divided by</w:t>
            </w:r>
            <w:r w:rsidRPr="00602735">
              <w:rPr>
                <w:rFonts w:ascii="VIC" w:hAnsi="VIC"/>
                <w:spacing w:val="-16"/>
              </w:rPr>
              <w:t xml:space="preserve"> </w:t>
            </w:r>
            <w:r w:rsidRPr="00602735">
              <w:rPr>
                <w:rFonts w:ascii="VIC" w:hAnsi="VIC"/>
              </w:rPr>
              <w:t>the</w:t>
            </w:r>
            <w:r w:rsidRPr="00602735">
              <w:rPr>
                <w:rFonts w:ascii="VIC" w:hAnsi="VIC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number of clients with an open community case during the</w:t>
            </w:r>
            <w:r w:rsidRPr="00602735">
              <w:rPr>
                <w:rFonts w:ascii="VIC" w:hAnsi="VIC"/>
                <w:spacing w:val="-39"/>
              </w:rPr>
              <w:t xml:space="preserve"> </w:t>
            </w:r>
            <w:r w:rsidRPr="00602735">
              <w:rPr>
                <w:rFonts w:ascii="VIC" w:hAnsi="VIC"/>
              </w:rPr>
              <w:t>reporting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period. Cases must have been open for more than 91 days.</w:t>
            </w:r>
            <w:r w:rsidRPr="00602735">
              <w:rPr>
                <w:rFonts w:ascii="VIC" w:hAnsi="VIC"/>
                <w:spacing w:val="-20"/>
              </w:rPr>
              <w:t xml:space="preserve"> </w:t>
            </w:r>
            <w:r w:rsidRPr="00602735">
              <w:rPr>
                <w:rFonts w:ascii="VIC" w:hAnsi="VIC"/>
              </w:rPr>
              <w:t>All</w:t>
            </w:r>
            <w:r w:rsidRPr="00602735">
              <w:rPr>
                <w:rFonts w:ascii="VIC" w:hAnsi="VIC"/>
                <w:spacing w:val="-1"/>
              </w:rPr>
              <w:t xml:space="preserve"> </w:t>
            </w:r>
            <w:r w:rsidRPr="00602735">
              <w:rPr>
                <w:rFonts w:ascii="VIC" w:hAnsi="VIC"/>
              </w:rPr>
              <w:t>reportable contacts are</w:t>
            </w:r>
            <w:r w:rsidRPr="00602735">
              <w:rPr>
                <w:rFonts w:ascii="VIC" w:hAnsi="VIC"/>
                <w:spacing w:val="-27"/>
              </w:rPr>
              <w:t xml:space="preserve"> </w:t>
            </w:r>
            <w:r w:rsidRPr="00602735">
              <w:rPr>
                <w:rFonts w:ascii="VIC" w:hAnsi="VIC"/>
              </w:rPr>
              <w:t>included.</w:t>
            </w:r>
          </w:p>
        </w:tc>
        <w:tc>
          <w:tcPr>
            <w:tcW w:w="1560" w:type="dxa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4394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NOTE: Data collection from Oct'11 to Jun'12 was affected by</w:t>
            </w:r>
            <w:r w:rsidRPr="00602735">
              <w:rPr>
                <w:rFonts w:ascii="VIC" w:hAnsi="VIC"/>
                <w:spacing w:val="-24"/>
              </w:rPr>
              <w:t xml:space="preserve"> </w:t>
            </w:r>
            <w:r w:rsidRPr="00602735">
              <w:rPr>
                <w:rFonts w:ascii="VIC" w:hAnsi="VIC"/>
              </w:rPr>
              <w:t>protected</w:t>
            </w:r>
            <w:r w:rsidRPr="00602735">
              <w:rPr>
                <w:rFonts w:ascii="VIC" w:hAnsi="VIC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industrial action. Adult statewide total includes activity for all</w:t>
            </w:r>
            <w:r w:rsidRPr="00602735">
              <w:rPr>
                <w:rFonts w:ascii="VIC" w:hAnsi="VIC"/>
                <w:spacing w:val="-39"/>
              </w:rPr>
              <w:t xml:space="preserve"> </w:t>
            </w:r>
            <w:r w:rsidRPr="00602735">
              <w:rPr>
                <w:rFonts w:ascii="VIC" w:hAnsi="VIC"/>
              </w:rPr>
              <w:t>community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mental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health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services,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including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the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Mental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Health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Forensic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Interface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Team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at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Melbourne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Health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and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the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Forensic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Service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Enhancement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team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at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Monash Health.</w:t>
            </w:r>
          </w:p>
        </w:tc>
      </w:tr>
      <w:tr w:rsidR="00817493" w:rsidRPr="00602735" w:rsidTr="00817493">
        <w:tc>
          <w:tcPr>
            <w:tcW w:w="2295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374" w:type="dxa"/>
          </w:tcPr>
          <w:p w:rsidR="00817493" w:rsidRPr="00602735" w:rsidRDefault="0073710D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 xml:space="preserve">% events w/valid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</w:tc>
        <w:tc>
          <w:tcPr>
            <w:tcW w:w="4290" w:type="dxa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Participation rate in HoNOS (HoNOSCA/HNSADL/HoNOS65)</w:t>
            </w:r>
            <w:r w:rsidRPr="00602735">
              <w:rPr>
                <w:rFonts w:ascii="VIC" w:hAnsi="VIC"/>
                <w:spacing w:val="-32"/>
              </w:rPr>
              <w:t xml:space="preserve"> </w:t>
            </w:r>
            <w:r w:rsidRPr="00602735">
              <w:rPr>
                <w:rFonts w:ascii="VIC" w:hAnsi="VIC"/>
              </w:rPr>
              <w:t>outcome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 xml:space="preserve">measurement scales (number of valid </w:t>
            </w:r>
            <w:r w:rsidRPr="00602735">
              <w:rPr>
                <w:rFonts w:ascii="VIC" w:hAnsi="VIC"/>
              </w:rPr>
              <w:lastRenderedPageBreak/>
              <w:t>HoNOS collection events</w:t>
            </w:r>
            <w:r w:rsidRPr="00602735">
              <w:rPr>
                <w:rFonts w:ascii="VIC" w:hAnsi="VIC"/>
                <w:spacing w:val="37"/>
              </w:rPr>
              <w:t xml:space="preserve"> </w:t>
            </w:r>
            <w:r w:rsidRPr="00602735">
              <w:rPr>
                <w:rFonts w:ascii="VIC" w:hAnsi="VIC"/>
              </w:rPr>
              <w:t>/ total number of outcome collection occasions that should</w:t>
            </w:r>
            <w:r w:rsidRPr="00602735">
              <w:rPr>
                <w:rFonts w:ascii="VIC" w:hAnsi="VIC"/>
                <w:spacing w:val="48"/>
              </w:rPr>
              <w:t xml:space="preserve"> </w:t>
            </w:r>
            <w:proofErr w:type="gramStart"/>
            <w:r w:rsidRPr="00602735">
              <w:rPr>
                <w:rFonts w:ascii="VIC" w:hAnsi="VIC"/>
              </w:rPr>
              <w:t>be</w:t>
            </w:r>
            <w:r w:rsidRPr="00602735">
              <w:rPr>
                <w:rFonts w:ascii="VIC" w:hAnsi="VIC"/>
                <w:w w:val="99"/>
              </w:rPr>
              <w:t xml:space="preserve">  </w:t>
            </w:r>
            <w:r w:rsidRPr="00602735">
              <w:rPr>
                <w:rFonts w:ascii="VIC" w:hAnsi="VIC"/>
              </w:rPr>
              <w:t>recorded</w:t>
            </w:r>
            <w:proofErr w:type="gramEnd"/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for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in-scope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service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settings).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Excludes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instances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where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the</w:t>
            </w:r>
            <w:r w:rsidRPr="00602735">
              <w:rPr>
                <w:rFonts w:ascii="VIC" w:hAnsi="VIC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HoNOS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score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entered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was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invalid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(more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than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2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="00B5461D" w:rsidRPr="00602735">
              <w:rPr>
                <w:rFonts w:ascii="VIC" w:hAnsi="VIC"/>
              </w:rPr>
              <w:t>items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rated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as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9).</w:t>
            </w:r>
          </w:p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Calculated from Jan'09 onwards</w:t>
            </w:r>
            <w:r w:rsidRPr="00602735">
              <w:rPr>
                <w:rFonts w:ascii="VIC" w:hAnsi="VIC"/>
                <w:spacing w:val="-31"/>
              </w:rPr>
              <w:t xml:space="preserve"> </w:t>
            </w:r>
            <w:r w:rsidRPr="00602735">
              <w:rPr>
                <w:rFonts w:ascii="VIC" w:hAnsi="VIC"/>
              </w:rPr>
              <w:t>only.</w:t>
            </w:r>
          </w:p>
        </w:tc>
        <w:tc>
          <w:tcPr>
            <w:tcW w:w="1560" w:type="dxa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lastRenderedPageBreak/>
              <w:t>85.0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%</w:t>
            </w:r>
          </w:p>
        </w:tc>
        <w:tc>
          <w:tcPr>
            <w:tcW w:w="4394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Commitment to adoption of outcome measurement part of National</w:t>
            </w:r>
            <w:r w:rsidRPr="00602735">
              <w:rPr>
                <w:rFonts w:ascii="VIC" w:hAnsi="VIC"/>
                <w:spacing w:val="-35"/>
              </w:rPr>
              <w:t xml:space="preserve"> </w:t>
            </w:r>
            <w:r w:rsidRPr="00602735">
              <w:rPr>
                <w:rFonts w:ascii="VIC" w:hAnsi="VIC"/>
              </w:rPr>
              <w:t>Mental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 xml:space="preserve">Health Strategy, and National Action Plan.  </w:t>
            </w:r>
            <w:r w:rsidRPr="00602735">
              <w:rPr>
                <w:rFonts w:ascii="VIC" w:hAnsi="VIC"/>
              </w:rPr>
              <w:lastRenderedPageBreak/>
              <w:t>Barwon data</w:t>
            </w:r>
            <w:r w:rsidRPr="00602735">
              <w:rPr>
                <w:rFonts w:ascii="VIC" w:hAnsi="VIC"/>
                <w:spacing w:val="-10"/>
              </w:rPr>
              <w:t xml:space="preserve"> </w:t>
            </w:r>
            <w:r w:rsidRPr="00602735">
              <w:rPr>
                <w:rFonts w:ascii="VIC" w:hAnsi="VIC"/>
              </w:rPr>
              <w:t>calculated</w:t>
            </w:r>
            <w:r w:rsidRPr="00602735">
              <w:rPr>
                <w:rFonts w:ascii="VIC" w:hAnsi="VIC"/>
                <w:spacing w:val="-1"/>
              </w:rPr>
              <w:t xml:space="preserve"> </w:t>
            </w:r>
            <w:r w:rsidRPr="00602735">
              <w:rPr>
                <w:rFonts w:ascii="VIC" w:hAnsi="VIC"/>
              </w:rPr>
              <w:t>differently as they do not use tasks in the CMI. Adult statewide total</w:t>
            </w:r>
            <w:r w:rsidRPr="00602735">
              <w:rPr>
                <w:rFonts w:ascii="VIC" w:hAnsi="VIC"/>
                <w:spacing w:val="-36"/>
              </w:rPr>
              <w:t xml:space="preserve"> </w:t>
            </w:r>
            <w:r w:rsidRPr="00602735">
              <w:rPr>
                <w:rFonts w:ascii="VIC" w:hAnsi="VIC"/>
              </w:rPr>
              <w:t>includes</w:t>
            </w:r>
            <w:r w:rsidRPr="00602735">
              <w:rPr>
                <w:rFonts w:ascii="VIC" w:hAnsi="VIC"/>
                <w:spacing w:val="-1"/>
              </w:rPr>
              <w:t xml:space="preserve"> </w:t>
            </w:r>
            <w:r w:rsidRPr="00602735">
              <w:rPr>
                <w:rFonts w:ascii="VIC" w:hAnsi="VIC"/>
              </w:rPr>
              <w:t>activity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for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all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community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mental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health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services,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including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the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Mental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Health Forensic Interface Team at Melbourne Health and the Forensic</w:t>
            </w:r>
            <w:r w:rsidRPr="00602735">
              <w:rPr>
                <w:rFonts w:ascii="VIC" w:hAnsi="VIC"/>
                <w:spacing w:val="-26"/>
              </w:rPr>
              <w:t xml:space="preserve"> </w:t>
            </w:r>
            <w:r w:rsidRPr="00602735">
              <w:rPr>
                <w:rFonts w:ascii="VIC" w:hAnsi="VIC"/>
              </w:rPr>
              <w:t>Service Enhancement team at Monash</w:t>
            </w:r>
            <w:r w:rsidRPr="00602735">
              <w:rPr>
                <w:rFonts w:ascii="VIC" w:hAnsi="VIC"/>
                <w:spacing w:val="-27"/>
              </w:rPr>
              <w:t xml:space="preserve"> </w:t>
            </w:r>
            <w:r w:rsidRPr="00602735">
              <w:rPr>
                <w:rFonts w:ascii="VIC" w:hAnsi="VIC"/>
              </w:rPr>
              <w:t>Health.</w:t>
            </w:r>
          </w:p>
        </w:tc>
      </w:tr>
      <w:tr w:rsidR="00817493" w:rsidRPr="00602735" w:rsidTr="00817493">
        <w:tc>
          <w:tcPr>
            <w:tcW w:w="2295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374" w:type="dxa"/>
          </w:tcPr>
          <w:p w:rsidR="00817493" w:rsidRPr="00602735" w:rsidRDefault="004E12F1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 xml:space="preserve">Avg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  <w:r>
              <w:rPr>
                <w:rFonts w:ascii="VIC" w:hAnsi="VIC"/>
              </w:rPr>
              <w:t xml:space="preserve"> at comm case start</w:t>
            </w:r>
          </w:p>
        </w:tc>
        <w:tc>
          <w:tcPr>
            <w:tcW w:w="4290" w:type="dxa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The average HoNOS total score</w:t>
            </w:r>
            <w:r w:rsidRPr="00602735">
              <w:rPr>
                <w:rFonts w:ascii="VIC" w:hAnsi="VIC"/>
                <w:spacing w:val="-36"/>
              </w:rPr>
              <w:t xml:space="preserve"> </w:t>
            </w:r>
            <w:r w:rsidRPr="00602735">
              <w:rPr>
                <w:rFonts w:ascii="VIC" w:hAnsi="VIC"/>
              </w:rPr>
              <w:t>(HoNOSCA/HNSADL/HoNOS65)</w:t>
            </w:r>
            <w:r w:rsidRPr="00602735">
              <w:rPr>
                <w:rFonts w:ascii="VIC" w:hAnsi="VIC"/>
                <w:spacing w:val="-1"/>
              </w:rPr>
              <w:t xml:space="preserve"> </w:t>
            </w:r>
            <w:r w:rsidRPr="00602735">
              <w:rPr>
                <w:rFonts w:ascii="VIC" w:hAnsi="VIC"/>
              </w:rPr>
              <w:t>collected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on</w:t>
            </w:r>
            <w:r w:rsidRPr="00602735">
              <w:rPr>
                <w:rFonts w:ascii="VIC" w:hAnsi="VIC"/>
                <w:spacing w:val="-9"/>
              </w:rPr>
              <w:t xml:space="preserve"> </w:t>
            </w:r>
            <w:r w:rsidRPr="00602735">
              <w:rPr>
                <w:rFonts w:ascii="VIC" w:hAnsi="VIC"/>
              </w:rPr>
              <w:t>case</w:t>
            </w:r>
            <w:r w:rsidRPr="00602735">
              <w:rPr>
                <w:rFonts w:ascii="VIC" w:hAnsi="VIC"/>
                <w:spacing w:val="-8"/>
              </w:rPr>
              <w:t xml:space="preserve"> </w:t>
            </w:r>
            <w:r w:rsidRPr="00602735">
              <w:rPr>
                <w:rFonts w:ascii="VIC" w:hAnsi="VIC"/>
              </w:rPr>
              <w:t>commencement,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excluding</w:t>
            </w:r>
            <w:r w:rsidRPr="00602735">
              <w:rPr>
                <w:rFonts w:ascii="VIC" w:hAnsi="VIC"/>
                <w:spacing w:val="-8"/>
              </w:rPr>
              <w:t xml:space="preserve"> </w:t>
            </w:r>
            <w:r w:rsidRPr="00602735">
              <w:rPr>
                <w:rFonts w:ascii="VIC" w:hAnsi="VIC"/>
              </w:rPr>
              <w:t>invalid</w:t>
            </w:r>
            <w:r w:rsidRPr="00602735">
              <w:rPr>
                <w:rFonts w:ascii="VIC" w:hAnsi="VIC"/>
                <w:spacing w:val="-8"/>
              </w:rPr>
              <w:t xml:space="preserve"> </w:t>
            </w:r>
            <w:r w:rsidRPr="00602735">
              <w:rPr>
                <w:rFonts w:ascii="VIC" w:hAnsi="VIC"/>
              </w:rPr>
              <w:t>scores.</w:t>
            </w:r>
          </w:p>
        </w:tc>
        <w:tc>
          <w:tcPr>
            <w:tcW w:w="1560" w:type="dxa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4394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Contextual measure of symptom severity at case commencement.</w:t>
            </w:r>
            <w:r w:rsidRPr="00602735">
              <w:rPr>
                <w:rFonts w:ascii="VIC" w:hAnsi="VIC"/>
                <w:spacing w:val="11"/>
              </w:rPr>
              <w:t xml:space="preserve"> </w:t>
            </w:r>
            <w:r w:rsidRPr="00602735">
              <w:rPr>
                <w:rFonts w:ascii="VIC" w:hAnsi="VIC"/>
              </w:rPr>
              <w:t>Dates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determined from HoNOS completion date. Adult statewide total</w:t>
            </w:r>
            <w:r w:rsidRPr="00602735">
              <w:rPr>
                <w:rFonts w:ascii="VIC" w:hAnsi="VIC"/>
                <w:spacing w:val="-29"/>
              </w:rPr>
              <w:t xml:space="preserve"> </w:t>
            </w:r>
            <w:r w:rsidRPr="00602735">
              <w:rPr>
                <w:rFonts w:ascii="VIC" w:hAnsi="VIC"/>
              </w:rPr>
              <w:t>includes</w:t>
            </w:r>
            <w:r w:rsidRPr="00602735">
              <w:rPr>
                <w:rFonts w:ascii="VIC" w:hAnsi="VIC"/>
                <w:spacing w:val="-1"/>
              </w:rPr>
              <w:t xml:space="preserve"> </w:t>
            </w:r>
            <w:r w:rsidRPr="00602735">
              <w:rPr>
                <w:rFonts w:ascii="VIC" w:hAnsi="VIC"/>
              </w:rPr>
              <w:t>activity for all community mental health services, including the</w:t>
            </w:r>
            <w:r w:rsidRPr="00602735">
              <w:rPr>
                <w:rFonts w:ascii="VIC" w:hAnsi="VIC"/>
                <w:spacing w:val="-32"/>
              </w:rPr>
              <w:t xml:space="preserve"> </w:t>
            </w:r>
            <w:r w:rsidRPr="00602735">
              <w:rPr>
                <w:rFonts w:ascii="VIC" w:hAnsi="VIC"/>
              </w:rPr>
              <w:t>Mental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Health Forensic Interface Team at Melbourne Health and the</w:t>
            </w:r>
            <w:r w:rsidRPr="00602735">
              <w:rPr>
                <w:rFonts w:ascii="VIC" w:hAnsi="VIC"/>
                <w:spacing w:val="-30"/>
              </w:rPr>
              <w:t xml:space="preserve"> </w:t>
            </w:r>
            <w:r w:rsidRPr="00602735">
              <w:rPr>
                <w:rFonts w:ascii="VIC" w:hAnsi="VIC"/>
              </w:rPr>
              <w:t>Forensic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Service Enhancement team at Monash</w:t>
            </w:r>
            <w:r w:rsidRPr="00602735">
              <w:rPr>
                <w:rFonts w:ascii="VIC" w:hAnsi="VIC"/>
                <w:spacing w:val="-33"/>
              </w:rPr>
              <w:t xml:space="preserve"> </w:t>
            </w:r>
            <w:r w:rsidRPr="00602735">
              <w:rPr>
                <w:rFonts w:ascii="VIC" w:hAnsi="VIC"/>
              </w:rPr>
              <w:t>Health.</w:t>
            </w:r>
          </w:p>
        </w:tc>
      </w:tr>
      <w:tr w:rsidR="00817493" w:rsidRPr="00602735" w:rsidTr="00817493">
        <w:tc>
          <w:tcPr>
            <w:tcW w:w="2295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374" w:type="dxa"/>
          </w:tcPr>
          <w:p w:rsidR="00817493" w:rsidRPr="00602735" w:rsidRDefault="004E12F1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% closed cases w/sig. improv. case end</w:t>
            </w:r>
          </w:p>
        </w:tc>
        <w:tc>
          <w:tcPr>
            <w:tcW w:w="4290" w:type="dxa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Percentage of completed cases with a significant positive</w:t>
            </w:r>
            <w:r w:rsidRPr="00602735">
              <w:rPr>
                <w:rFonts w:ascii="VIC" w:hAnsi="VIC"/>
                <w:spacing w:val="-28"/>
              </w:rPr>
              <w:t xml:space="preserve"> </w:t>
            </w:r>
            <w:r w:rsidRPr="00602735">
              <w:rPr>
                <w:rFonts w:ascii="VIC" w:hAnsi="VIC"/>
              </w:rPr>
              <w:t>change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calculation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on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HoNOS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collected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on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case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start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and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case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end.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(Total</w:t>
            </w:r>
            <w:r w:rsidRPr="00602735">
              <w:rPr>
                <w:rFonts w:ascii="VIC" w:hAnsi="VIC"/>
                <w:spacing w:val="-1"/>
              </w:rPr>
              <w:t xml:space="preserve"> </w:t>
            </w:r>
            <w:r w:rsidRPr="00602735">
              <w:rPr>
                <w:rFonts w:ascii="VIC" w:hAnsi="VIC"/>
              </w:rPr>
              <w:t>number of cases with a Significant change score &gt;.5 / The</w:t>
            </w:r>
            <w:r w:rsidRPr="00602735">
              <w:rPr>
                <w:rFonts w:ascii="VIC" w:hAnsi="VIC"/>
                <w:spacing w:val="-33"/>
              </w:rPr>
              <w:t xml:space="preserve"> </w:t>
            </w:r>
            <w:r w:rsidRPr="00602735">
              <w:rPr>
                <w:rFonts w:ascii="VIC" w:hAnsi="VIC"/>
              </w:rPr>
              <w:t>total number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of</w:t>
            </w:r>
            <w:r w:rsidRPr="00602735">
              <w:rPr>
                <w:rFonts w:ascii="VIC" w:hAnsi="VIC"/>
                <w:spacing w:val="-8"/>
              </w:rPr>
              <w:t xml:space="preserve"> </w:t>
            </w:r>
            <w:r w:rsidRPr="00602735">
              <w:rPr>
                <w:rFonts w:ascii="VIC" w:hAnsi="VIC"/>
              </w:rPr>
              <w:t>completed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case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in-scope</w:t>
            </w:r>
            <w:r w:rsidRPr="00602735">
              <w:rPr>
                <w:rFonts w:ascii="VIC" w:hAnsi="VIC"/>
                <w:spacing w:val="-8"/>
              </w:rPr>
              <w:t xml:space="preserve"> </w:t>
            </w:r>
            <w:r w:rsidRPr="00602735">
              <w:rPr>
                <w:rFonts w:ascii="VIC" w:hAnsi="VIC"/>
              </w:rPr>
              <w:t>service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setting).</w:t>
            </w:r>
          </w:p>
        </w:tc>
        <w:tc>
          <w:tcPr>
            <w:tcW w:w="1560" w:type="dxa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4394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Method aims to focus more on clinically significant change as opposed</w:t>
            </w:r>
            <w:r w:rsidRPr="00602735">
              <w:rPr>
                <w:rFonts w:ascii="VIC" w:hAnsi="VIC"/>
                <w:spacing w:val="-34"/>
              </w:rPr>
              <w:t xml:space="preserve"> </w:t>
            </w:r>
            <w:r w:rsidRPr="00602735">
              <w:rPr>
                <w:rFonts w:ascii="VIC" w:hAnsi="VIC"/>
              </w:rPr>
              <w:t>to overall change. NOTE: Data collection from Oct'11 to Jun'12 was</w:t>
            </w:r>
            <w:r w:rsidRPr="00602735">
              <w:rPr>
                <w:rFonts w:ascii="VIC" w:hAnsi="VIC"/>
                <w:spacing w:val="15"/>
              </w:rPr>
              <w:t xml:space="preserve"> </w:t>
            </w:r>
            <w:r w:rsidRPr="00602735">
              <w:rPr>
                <w:rFonts w:ascii="VIC" w:hAnsi="VIC"/>
              </w:rPr>
              <w:t>affected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by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protected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industrial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action.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Adult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statewide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total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includes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activity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for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all</w:t>
            </w:r>
            <w:r w:rsidRPr="00602735">
              <w:rPr>
                <w:rFonts w:ascii="VIC" w:hAnsi="VIC"/>
                <w:spacing w:val="-1"/>
              </w:rPr>
              <w:t xml:space="preserve"> </w:t>
            </w:r>
            <w:r w:rsidRPr="00602735">
              <w:rPr>
                <w:rFonts w:ascii="VIC" w:hAnsi="VIC"/>
              </w:rPr>
              <w:t>community mental health services, including the Mental Health</w:t>
            </w:r>
            <w:r w:rsidRPr="00602735">
              <w:rPr>
                <w:rFonts w:ascii="VIC" w:hAnsi="VIC"/>
                <w:spacing w:val="-29"/>
              </w:rPr>
              <w:t xml:space="preserve"> </w:t>
            </w:r>
            <w:r w:rsidRPr="00602735">
              <w:rPr>
                <w:rFonts w:ascii="VIC" w:hAnsi="VIC"/>
              </w:rPr>
              <w:t>Forensic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Interface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Team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at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Melbourne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Health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and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the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Forensic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Service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Enhancement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team at Monash</w:t>
            </w:r>
            <w:r w:rsidRPr="00602735">
              <w:rPr>
                <w:rFonts w:ascii="VIC" w:hAnsi="VIC"/>
                <w:spacing w:val="-16"/>
              </w:rPr>
              <w:t xml:space="preserve"> </w:t>
            </w:r>
            <w:r w:rsidRPr="00602735">
              <w:rPr>
                <w:rFonts w:ascii="VIC" w:hAnsi="VIC"/>
              </w:rPr>
              <w:t>Health.</w:t>
            </w:r>
          </w:p>
        </w:tc>
      </w:tr>
      <w:tr w:rsidR="00817493" w:rsidRPr="00602735" w:rsidTr="00817493">
        <w:tc>
          <w:tcPr>
            <w:tcW w:w="2295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374" w:type="dxa"/>
          </w:tcPr>
          <w:p w:rsidR="00817493" w:rsidRPr="00602735" w:rsidRDefault="00BE5C6B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% self rated measures completed</w:t>
            </w:r>
          </w:p>
        </w:tc>
        <w:tc>
          <w:tcPr>
            <w:tcW w:w="4290" w:type="dxa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Consumer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Completion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Rate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of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the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relevant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self-rating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measures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(Basis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32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or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SDQ's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where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appropriate),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in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a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community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setting.</w:t>
            </w:r>
          </w:p>
        </w:tc>
        <w:tc>
          <w:tcPr>
            <w:tcW w:w="1560" w:type="dxa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4394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A measure of engagement with family/carer. Barwon data</w:t>
            </w:r>
            <w:r w:rsidRPr="00602735">
              <w:rPr>
                <w:rFonts w:ascii="VIC" w:hAnsi="VIC"/>
                <w:spacing w:val="-35"/>
              </w:rPr>
              <w:t xml:space="preserve"> </w:t>
            </w:r>
            <w:r w:rsidRPr="00602735">
              <w:rPr>
                <w:rFonts w:ascii="VIC" w:hAnsi="VIC"/>
              </w:rPr>
              <w:t>calculated</w:t>
            </w:r>
            <w:r w:rsidRPr="00602735">
              <w:rPr>
                <w:rFonts w:ascii="VIC" w:hAnsi="VIC"/>
                <w:spacing w:val="-1"/>
              </w:rPr>
              <w:t xml:space="preserve"> </w:t>
            </w:r>
            <w:r w:rsidRPr="00602735">
              <w:rPr>
                <w:rFonts w:ascii="VIC" w:hAnsi="VIC"/>
              </w:rPr>
              <w:t>differently as they do not use tasks in the CMI. Adult statewide</w:t>
            </w:r>
            <w:r w:rsidRPr="00602735">
              <w:rPr>
                <w:rFonts w:ascii="VIC" w:hAnsi="VIC"/>
                <w:spacing w:val="-24"/>
              </w:rPr>
              <w:t xml:space="preserve"> </w:t>
            </w:r>
            <w:r w:rsidRPr="00602735">
              <w:rPr>
                <w:rFonts w:ascii="VIC" w:hAnsi="VIC"/>
              </w:rPr>
              <w:t>total includes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activity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for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all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community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mental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health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services,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lastRenderedPageBreak/>
              <w:t>including</w:t>
            </w:r>
            <w:r w:rsidRPr="00602735">
              <w:rPr>
                <w:rFonts w:ascii="VIC" w:hAnsi="VIC"/>
                <w:spacing w:val="-6"/>
              </w:rPr>
              <w:t xml:space="preserve"> </w:t>
            </w:r>
            <w:r w:rsidRPr="00602735">
              <w:rPr>
                <w:rFonts w:ascii="VIC" w:hAnsi="VIC"/>
              </w:rPr>
              <w:t>the</w:t>
            </w:r>
            <w:r w:rsidRPr="00602735">
              <w:rPr>
                <w:rFonts w:ascii="VIC" w:hAnsi="VIC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Mental Health Forensic Interface Team at Melbourne Health and</w:t>
            </w:r>
            <w:r w:rsidRPr="00602735">
              <w:rPr>
                <w:rFonts w:ascii="VIC" w:hAnsi="VIC"/>
                <w:spacing w:val="-27"/>
              </w:rPr>
              <w:t xml:space="preserve"> </w:t>
            </w:r>
            <w:r w:rsidRPr="00602735">
              <w:rPr>
                <w:rFonts w:ascii="VIC" w:hAnsi="VIC"/>
              </w:rPr>
              <w:t>the</w:t>
            </w:r>
            <w:r w:rsidRPr="00602735">
              <w:rPr>
                <w:rFonts w:ascii="VIC" w:hAnsi="VIC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Forensic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Service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Enhancement</w:t>
            </w:r>
            <w:r w:rsidRPr="00602735">
              <w:rPr>
                <w:rFonts w:ascii="VIC" w:hAnsi="VIC"/>
                <w:spacing w:val="-8"/>
              </w:rPr>
              <w:t xml:space="preserve"> </w:t>
            </w:r>
            <w:r w:rsidRPr="00602735">
              <w:rPr>
                <w:rFonts w:ascii="VIC" w:hAnsi="VIC"/>
              </w:rPr>
              <w:t>team</w:t>
            </w:r>
            <w:r w:rsidRPr="00602735">
              <w:rPr>
                <w:rFonts w:ascii="VIC" w:hAnsi="VIC"/>
                <w:spacing w:val="-8"/>
              </w:rPr>
              <w:t xml:space="preserve"> </w:t>
            </w:r>
            <w:r w:rsidRPr="00602735">
              <w:rPr>
                <w:rFonts w:ascii="VIC" w:hAnsi="VIC"/>
              </w:rPr>
              <w:t>at</w:t>
            </w:r>
            <w:r w:rsidRPr="00602735">
              <w:rPr>
                <w:rFonts w:ascii="VIC" w:hAnsi="VIC"/>
                <w:spacing w:val="-8"/>
              </w:rPr>
              <w:t xml:space="preserve"> </w:t>
            </w:r>
            <w:r w:rsidRPr="00602735">
              <w:rPr>
                <w:rFonts w:ascii="VIC" w:hAnsi="VIC"/>
              </w:rPr>
              <w:t>Monash</w:t>
            </w:r>
            <w:r w:rsidRPr="00602735">
              <w:rPr>
                <w:rFonts w:ascii="VIC" w:hAnsi="VIC"/>
                <w:spacing w:val="-7"/>
              </w:rPr>
              <w:t xml:space="preserve"> </w:t>
            </w:r>
            <w:r w:rsidRPr="00602735">
              <w:rPr>
                <w:rFonts w:ascii="VIC" w:hAnsi="VIC"/>
              </w:rPr>
              <w:t>Health.</w:t>
            </w:r>
          </w:p>
        </w:tc>
      </w:tr>
      <w:tr w:rsidR="00817493" w:rsidRPr="00602735" w:rsidTr="00817493">
        <w:tc>
          <w:tcPr>
            <w:tcW w:w="2295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374" w:type="dxa"/>
          </w:tcPr>
          <w:p w:rsidR="00817493" w:rsidRPr="00602735" w:rsidRDefault="004E12F1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 xml:space="preserve">Diff in avg no. of clin sig </w:t>
            </w:r>
            <w:proofErr w:type="spellStart"/>
            <w:r>
              <w:rPr>
                <w:rFonts w:ascii="VIC" w:hAnsi="VIC"/>
              </w:rPr>
              <w:t>HoNOS</w:t>
            </w:r>
            <w:proofErr w:type="spellEnd"/>
          </w:p>
        </w:tc>
        <w:tc>
          <w:tcPr>
            <w:tcW w:w="4290" w:type="dxa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The difference between the mean number of clinically</w:t>
            </w:r>
            <w:r w:rsidRPr="00602735">
              <w:rPr>
                <w:rFonts w:ascii="VIC" w:hAnsi="VIC"/>
                <w:spacing w:val="-24"/>
              </w:rPr>
              <w:t xml:space="preserve"> </w:t>
            </w:r>
            <w:r w:rsidRPr="00602735">
              <w:rPr>
                <w:rFonts w:ascii="VIC" w:hAnsi="VIC"/>
              </w:rPr>
              <w:t>significant</w:t>
            </w:r>
            <w:r w:rsidRPr="00602735">
              <w:rPr>
                <w:rFonts w:ascii="VIC" w:hAnsi="VIC"/>
                <w:spacing w:val="-1"/>
              </w:rPr>
              <w:t xml:space="preserve"> </w:t>
            </w:r>
            <w:r w:rsidRPr="00602735">
              <w:rPr>
                <w:rFonts w:ascii="VIC" w:hAnsi="VIC"/>
              </w:rPr>
              <w:t>HoNOS (HoNOSCA/HNSADL/HoNOS65) scales at community</w:t>
            </w:r>
            <w:r w:rsidRPr="00602735">
              <w:rPr>
                <w:rFonts w:ascii="VIC" w:hAnsi="VIC"/>
                <w:spacing w:val="-27"/>
              </w:rPr>
              <w:t xml:space="preserve"> </w:t>
            </w:r>
            <w:r w:rsidRPr="00602735">
              <w:rPr>
                <w:rFonts w:ascii="VIC" w:hAnsi="VIC"/>
              </w:rPr>
              <w:t>case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end and the mean number of clinically significant HoNOS scales</w:t>
            </w:r>
            <w:r w:rsidRPr="00602735">
              <w:rPr>
                <w:rFonts w:ascii="VIC" w:hAnsi="VIC"/>
                <w:spacing w:val="-34"/>
              </w:rPr>
              <w:t xml:space="preserve"> </w:t>
            </w:r>
            <w:r w:rsidRPr="00602735">
              <w:rPr>
                <w:rFonts w:ascii="VIC" w:hAnsi="VIC"/>
              </w:rPr>
              <w:t>at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community case start. Includes all ended community cases with</w:t>
            </w:r>
            <w:r w:rsidRPr="00602735">
              <w:rPr>
                <w:rFonts w:ascii="VIC" w:hAnsi="VIC"/>
                <w:spacing w:val="-36"/>
              </w:rPr>
              <w:t xml:space="preserve"> </w:t>
            </w:r>
            <w:r w:rsidRPr="00602735">
              <w:rPr>
                <w:rFonts w:ascii="VIC" w:hAnsi="VIC"/>
              </w:rPr>
              <w:t>a</w:t>
            </w:r>
            <w:r w:rsidRPr="00602735">
              <w:rPr>
                <w:rFonts w:ascii="VIC" w:hAnsi="VIC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valid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HoNOS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score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at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start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&amp;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end.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Excludes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HoNOSCA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Qns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14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&amp;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15,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and HoNOSADL &amp; HoNOS65 Qns 11 &amp;</w:t>
            </w:r>
            <w:r w:rsidRPr="00602735">
              <w:rPr>
                <w:rFonts w:ascii="VIC" w:hAnsi="VIC"/>
                <w:spacing w:val="-26"/>
              </w:rPr>
              <w:t xml:space="preserve"> </w:t>
            </w:r>
            <w:r w:rsidRPr="00602735">
              <w:rPr>
                <w:rFonts w:ascii="VIC" w:hAnsi="VIC"/>
              </w:rPr>
              <w:t>12.</w:t>
            </w:r>
          </w:p>
        </w:tc>
        <w:tc>
          <w:tcPr>
            <w:tcW w:w="1560" w:type="dxa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4394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Based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on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a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split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of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each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HoNOS</w:t>
            </w:r>
            <w:r w:rsidRPr="00602735">
              <w:rPr>
                <w:rFonts w:ascii="VIC" w:hAnsi="VIC"/>
                <w:spacing w:val="-4"/>
              </w:rPr>
              <w:t xml:space="preserve"> </w:t>
            </w:r>
            <w:r w:rsidRPr="00602735">
              <w:rPr>
                <w:rFonts w:ascii="VIC" w:hAnsi="VIC"/>
              </w:rPr>
              <w:t>item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into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clinically</w:t>
            </w:r>
            <w:r w:rsidRPr="00602735">
              <w:rPr>
                <w:rFonts w:ascii="VIC" w:hAnsi="VIC"/>
                <w:spacing w:val="-3"/>
              </w:rPr>
              <w:t xml:space="preserve"> </w:t>
            </w:r>
            <w:r w:rsidRPr="00602735">
              <w:rPr>
                <w:rFonts w:ascii="VIC" w:hAnsi="VIC"/>
              </w:rPr>
              <w:t>significant</w:t>
            </w:r>
            <w:r w:rsidRPr="00602735">
              <w:rPr>
                <w:rFonts w:ascii="VIC" w:hAnsi="VIC"/>
                <w:spacing w:val="-2"/>
              </w:rPr>
              <w:t xml:space="preserve"> </w:t>
            </w:r>
            <w:r w:rsidRPr="00602735">
              <w:rPr>
                <w:rFonts w:ascii="VIC" w:hAnsi="VIC"/>
              </w:rPr>
              <w:t>(2,3,4)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or</w:t>
            </w:r>
            <w:r w:rsidRPr="00602735">
              <w:rPr>
                <w:rFonts w:ascii="VIC" w:hAnsi="VIC"/>
                <w:spacing w:val="-5"/>
              </w:rPr>
              <w:t xml:space="preserve"> </w:t>
            </w:r>
            <w:r w:rsidRPr="00602735">
              <w:rPr>
                <w:rFonts w:ascii="VIC" w:hAnsi="VIC"/>
              </w:rPr>
              <w:t>not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clinically significant (0,1), rather than the sum. Barwon data</w:t>
            </w:r>
            <w:r w:rsidRPr="00602735">
              <w:rPr>
                <w:rFonts w:ascii="VIC" w:hAnsi="VIC"/>
                <w:spacing w:val="-31"/>
              </w:rPr>
              <w:t xml:space="preserve"> </w:t>
            </w:r>
            <w:r w:rsidRPr="00602735">
              <w:rPr>
                <w:rFonts w:ascii="VIC" w:hAnsi="VIC"/>
              </w:rPr>
              <w:t>calculated</w:t>
            </w:r>
            <w:r w:rsidRPr="00602735">
              <w:rPr>
                <w:rFonts w:ascii="VIC" w:hAnsi="VIC"/>
                <w:spacing w:val="-1"/>
              </w:rPr>
              <w:t xml:space="preserve"> </w:t>
            </w:r>
            <w:r w:rsidRPr="00602735">
              <w:rPr>
                <w:rFonts w:ascii="VIC" w:hAnsi="VIC"/>
              </w:rPr>
              <w:t>differently. Adult statewide total includes activity for all community</w:t>
            </w:r>
            <w:r w:rsidRPr="00602735">
              <w:rPr>
                <w:rFonts w:ascii="VIC" w:hAnsi="VIC"/>
                <w:spacing w:val="-39"/>
              </w:rPr>
              <w:t xml:space="preserve"> </w:t>
            </w:r>
            <w:r w:rsidRPr="00602735">
              <w:rPr>
                <w:rFonts w:ascii="VIC" w:hAnsi="VIC"/>
              </w:rPr>
              <w:t>mental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health services, including the Mental Health Forensic Interface Team</w:t>
            </w:r>
            <w:r w:rsidRPr="00602735">
              <w:rPr>
                <w:rFonts w:ascii="VIC" w:hAnsi="VIC"/>
                <w:spacing w:val="-29"/>
              </w:rPr>
              <w:t xml:space="preserve"> </w:t>
            </w:r>
            <w:r w:rsidRPr="00602735">
              <w:rPr>
                <w:rFonts w:ascii="VIC" w:hAnsi="VIC"/>
              </w:rPr>
              <w:t>at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Melbourne Health and the Forensic Service Enhancement team at</w:t>
            </w:r>
            <w:r w:rsidRPr="00602735">
              <w:rPr>
                <w:rFonts w:ascii="VIC" w:hAnsi="VIC"/>
                <w:spacing w:val="-37"/>
              </w:rPr>
              <w:t xml:space="preserve"> </w:t>
            </w:r>
            <w:r w:rsidRPr="00602735">
              <w:rPr>
                <w:rFonts w:ascii="VIC" w:hAnsi="VIC"/>
              </w:rPr>
              <w:t>Monash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Health.</w:t>
            </w:r>
          </w:p>
        </w:tc>
      </w:tr>
      <w:tr w:rsidR="00817493" w:rsidRPr="00602735" w:rsidTr="00817493">
        <w:tc>
          <w:tcPr>
            <w:tcW w:w="2295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2374" w:type="dxa"/>
          </w:tcPr>
          <w:p w:rsidR="00817493" w:rsidRPr="00602735" w:rsidRDefault="004E12F1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>
              <w:rPr>
                <w:rFonts w:ascii="VIC" w:hAnsi="VIC"/>
              </w:rPr>
              <w:t>% aged under 12</w:t>
            </w:r>
          </w:p>
        </w:tc>
        <w:tc>
          <w:tcPr>
            <w:tcW w:w="4290" w:type="dxa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Percentage of all CAMHS (aged 0-18) clients receiving a</w:t>
            </w:r>
            <w:r w:rsidRPr="00602735">
              <w:rPr>
                <w:rFonts w:ascii="VIC" w:hAnsi="VIC"/>
                <w:spacing w:val="-33"/>
              </w:rPr>
              <w:t xml:space="preserve"> </w:t>
            </w:r>
            <w:r w:rsidRPr="00602735">
              <w:rPr>
                <w:rFonts w:ascii="VIC" w:hAnsi="VIC"/>
              </w:rPr>
              <w:t>community</w:t>
            </w:r>
            <w:r w:rsidRPr="00602735">
              <w:rPr>
                <w:rFonts w:ascii="VIC" w:hAnsi="VIC"/>
                <w:spacing w:val="-1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 xml:space="preserve">or inpatient service during the </w:t>
            </w:r>
            <w:proofErr w:type="gramStart"/>
            <w:r w:rsidRPr="00602735">
              <w:rPr>
                <w:rFonts w:ascii="VIC" w:hAnsi="VIC"/>
              </w:rPr>
              <w:t>time period</w:t>
            </w:r>
            <w:proofErr w:type="gramEnd"/>
            <w:r w:rsidRPr="00602735">
              <w:rPr>
                <w:rFonts w:ascii="VIC" w:hAnsi="VIC"/>
              </w:rPr>
              <w:t>, who were aged under</w:t>
            </w:r>
            <w:r w:rsidRPr="00602735">
              <w:rPr>
                <w:rFonts w:ascii="VIC" w:hAnsi="VIC"/>
                <w:spacing w:val="-38"/>
              </w:rPr>
              <w:t xml:space="preserve"> </w:t>
            </w:r>
            <w:r w:rsidRPr="00602735">
              <w:rPr>
                <w:rFonts w:ascii="VIC" w:hAnsi="VIC"/>
              </w:rPr>
              <w:t>12.</w:t>
            </w:r>
          </w:p>
        </w:tc>
        <w:tc>
          <w:tcPr>
            <w:tcW w:w="1560" w:type="dxa"/>
          </w:tcPr>
          <w:p w:rsidR="00817493" w:rsidRPr="00602735" w:rsidRDefault="00817493" w:rsidP="00817493">
            <w:pPr>
              <w:pStyle w:val="DHHStabletext"/>
              <w:rPr>
                <w:rFonts w:ascii="VIC" w:hAnsi="VIC"/>
              </w:rPr>
            </w:pPr>
          </w:p>
        </w:tc>
        <w:tc>
          <w:tcPr>
            <w:tcW w:w="4394" w:type="dxa"/>
            <w:shd w:val="clear" w:color="auto" w:fill="auto"/>
          </w:tcPr>
          <w:p w:rsidR="00817493" w:rsidRPr="00602735" w:rsidRDefault="00817493" w:rsidP="00817493">
            <w:pPr>
              <w:pStyle w:val="DHHStabletext"/>
              <w:rPr>
                <w:rFonts w:ascii="VIC" w:eastAsia="Verdana" w:hAnsi="VIC" w:cs="Verdana"/>
                <w:szCs w:val="16"/>
              </w:rPr>
            </w:pPr>
            <w:r w:rsidRPr="00602735">
              <w:rPr>
                <w:rFonts w:ascii="VIC" w:hAnsi="VIC"/>
              </w:rPr>
              <w:t>NOTE: Data collection from Oct'11 to Jun'12 was affected by</w:t>
            </w:r>
            <w:r w:rsidRPr="00602735">
              <w:rPr>
                <w:rFonts w:ascii="VIC" w:hAnsi="VIC"/>
                <w:spacing w:val="-37"/>
              </w:rPr>
              <w:t xml:space="preserve"> </w:t>
            </w:r>
            <w:r w:rsidRPr="00602735">
              <w:rPr>
                <w:rFonts w:ascii="VIC" w:hAnsi="VIC"/>
              </w:rPr>
              <w:t>protected</w:t>
            </w:r>
            <w:r w:rsidRPr="00602735">
              <w:rPr>
                <w:rFonts w:ascii="VIC" w:hAnsi="VIC"/>
                <w:w w:val="99"/>
              </w:rPr>
              <w:t xml:space="preserve"> </w:t>
            </w:r>
            <w:r w:rsidRPr="00602735">
              <w:rPr>
                <w:rFonts w:ascii="VIC" w:hAnsi="VIC"/>
              </w:rPr>
              <w:t>industrial</w:t>
            </w:r>
            <w:r w:rsidRPr="00602735">
              <w:rPr>
                <w:rFonts w:ascii="VIC" w:hAnsi="VIC"/>
                <w:spacing w:val="-16"/>
              </w:rPr>
              <w:t xml:space="preserve"> </w:t>
            </w:r>
            <w:r w:rsidRPr="00602735">
              <w:rPr>
                <w:rFonts w:ascii="VIC" w:hAnsi="VIC"/>
              </w:rPr>
              <w:t>action.</w:t>
            </w:r>
          </w:p>
        </w:tc>
      </w:tr>
    </w:tbl>
    <w:p w:rsidR="00B2752E" w:rsidRPr="00602735" w:rsidRDefault="00B2752E" w:rsidP="008F1621">
      <w:pPr>
        <w:pStyle w:val="DHHStabletext"/>
        <w:rPr>
          <w:rFonts w:ascii="VIC" w:hAnsi="VIC"/>
        </w:rPr>
      </w:pPr>
    </w:p>
    <w:tbl>
      <w:tblPr>
        <w:tblW w:w="15139" w:type="dxa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5139"/>
      </w:tblGrid>
      <w:tr w:rsidR="00DA45C7" w:rsidRPr="00602735" w:rsidTr="00164A9A">
        <w:trPr>
          <w:cantSplit/>
        </w:trPr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5C7" w:rsidRPr="00602735" w:rsidRDefault="00DA45C7" w:rsidP="00164A9A">
            <w:pPr>
              <w:pStyle w:val="DHHSaccessibilitypara"/>
              <w:rPr>
                <w:rFonts w:ascii="VIC" w:hAnsi="VIC"/>
              </w:rPr>
            </w:pPr>
            <w:bookmarkStart w:id="7" w:name="_Hlk15389955"/>
            <w:r w:rsidRPr="00602735">
              <w:rPr>
                <w:rFonts w:ascii="VIC" w:hAnsi="VIC"/>
              </w:rPr>
              <w:t xml:space="preserve">To receive this publication in an accessible format phone </w:t>
            </w:r>
            <w:r w:rsidR="00936CD6">
              <w:rPr>
                <w:rFonts w:ascii="VIC" w:hAnsi="VIC"/>
              </w:rPr>
              <w:t>(03)</w:t>
            </w:r>
            <w:bookmarkStart w:id="8" w:name="_GoBack"/>
            <w:bookmarkEnd w:id="8"/>
            <w:r w:rsidR="00936CD6">
              <w:rPr>
                <w:rFonts w:ascii="VIC" w:hAnsi="VIC"/>
              </w:rPr>
              <w:t xml:space="preserve"> </w:t>
            </w:r>
            <w:r w:rsidRPr="00602735">
              <w:rPr>
                <w:rFonts w:ascii="VIC" w:hAnsi="VIC"/>
              </w:rPr>
              <w:t>9096 1878, using the National Relay Service 13 36 77 if required, or email Victorian Agency for Health Information &lt;</w:t>
            </w:r>
            <w:hyperlink r:id="rId10" w:history="1">
              <w:r w:rsidRPr="00602735">
                <w:rPr>
                  <w:rStyle w:val="Hyperlink"/>
                  <w:rFonts w:ascii="VIC" w:hAnsi="VIC"/>
                </w:rPr>
                <w:t>vahi@vahi.vic.gov.au</w:t>
              </w:r>
            </w:hyperlink>
            <w:r w:rsidRPr="00602735">
              <w:rPr>
                <w:rFonts w:ascii="VIC" w:hAnsi="VIC"/>
              </w:rPr>
              <w:t>&gt;</w:t>
            </w:r>
          </w:p>
          <w:p w:rsidR="00DA45C7" w:rsidRPr="00602735" w:rsidRDefault="00DA45C7" w:rsidP="00164A9A">
            <w:pPr>
              <w:pStyle w:val="DHHSbody"/>
              <w:rPr>
                <w:rFonts w:ascii="VIC" w:hAnsi="VIC"/>
              </w:rPr>
            </w:pPr>
            <w:r w:rsidRPr="00602735">
              <w:rPr>
                <w:rFonts w:ascii="VIC" w:hAnsi="VIC"/>
              </w:rPr>
              <w:t>Authorised and published by the Victorian Government, 1 Treasury Place, Melbourne.</w:t>
            </w:r>
          </w:p>
          <w:p w:rsidR="00DA45C7" w:rsidRPr="00602735" w:rsidRDefault="00DA45C7" w:rsidP="00164A9A">
            <w:pPr>
              <w:pStyle w:val="DHHSbody"/>
              <w:rPr>
                <w:rFonts w:ascii="VIC" w:hAnsi="VIC"/>
              </w:rPr>
            </w:pPr>
            <w:r w:rsidRPr="00602735">
              <w:rPr>
                <w:rFonts w:ascii="VIC" w:hAnsi="VIC"/>
              </w:rPr>
              <w:t>© State of Victoria, Department of Health and Human Services July 201</w:t>
            </w:r>
            <w:r w:rsidR="00936CD6">
              <w:rPr>
                <w:rFonts w:ascii="VIC" w:hAnsi="VIC"/>
              </w:rPr>
              <w:t>9</w:t>
            </w:r>
          </w:p>
          <w:p w:rsidR="00DA45C7" w:rsidRPr="00602735" w:rsidRDefault="00DA45C7" w:rsidP="00164A9A">
            <w:pPr>
              <w:pStyle w:val="DHHSbody"/>
              <w:rPr>
                <w:rFonts w:ascii="VIC" w:hAnsi="VIC"/>
              </w:rPr>
            </w:pPr>
            <w:r w:rsidRPr="00602735">
              <w:rPr>
                <w:rFonts w:ascii="VIC" w:hAnsi="VIC"/>
              </w:rPr>
              <w:t xml:space="preserve">Available from </w:t>
            </w:r>
            <w:hyperlink r:id="rId11" w:history="1">
              <w:r w:rsidRPr="00602735">
                <w:rPr>
                  <w:rStyle w:val="Hyperlink"/>
                  <w:rFonts w:ascii="VIC" w:hAnsi="VIC"/>
                </w:rPr>
                <w:t>Child and adolescent mental health (CAMHS) performance indicator reports page</w:t>
              </w:r>
            </w:hyperlink>
            <w:r w:rsidRPr="00602735">
              <w:rPr>
                <w:rFonts w:ascii="VIC" w:hAnsi="VIC"/>
              </w:rPr>
              <w:t xml:space="preserve"> &lt; https://www2.health.vic.gov.au/mental-health/research-and-reporting/mental-health-performance-reports/child-and-adolescent-performance-indicator-reports&gt; on the </w:t>
            </w:r>
            <w:proofErr w:type="spellStart"/>
            <w:r w:rsidRPr="00602735">
              <w:rPr>
                <w:rFonts w:ascii="VIC" w:hAnsi="VIC"/>
              </w:rPr>
              <w:t>Health.vic</w:t>
            </w:r>
            <w:proofErr w:type="spellEnd"/>
            <w:r w:rsidRPr="00602735">
              <w:rPr>
                <w:rFonts w:ascii="VIC" w:hAnsi="VIC"/>
              </w:rPr>
              <w:t xml:space="preserve"> website.</w:t>
            </w:r>
          </w:p>
        </w:tc>
      </w:tr>
      <w:bookmarkEnd w:id="7"/>
    </w:tbl>
    <w:p w:rsidR="00DA45C7" w:rsidRPr="00602735" w:rsidRDefault="00DA45C7" w:rsidP="008F1621">
      <w:pPr>
        <w:pStyle w:val="DHHStabletext"/>
        <w:rPr>
          <w:rFonts w:ascii="VIC" w:hAnsi="VIC"/>
        </w:rPr>
      </w:pPr>
    </w:p>
    <w:sectPr w:rsidR="00DA45C7" w:rsidRPr="00602735" w:rsidSect="00E45931">
      <w:headerReference w:type="default" r:id="rId12"/>
      <w:footerReference w:type="default" r:id="rId13"/>
      <w:type w:val="continuous"/>
      <w:pgSz w:w="16838" w:h="11906" w:orient="landscape" w:code="9"/>
      <w:pgMar w:top="1134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20E" w:rsidRDefault="0030620E">
      <w:r>
        <w:separator/>
      </w:r>
    </w:p>
  </w:endnote>
  <w:endnote w:type="continuationSeparator" w:id="0">
    <w:p w:rsidR="0030620E" w:rsidRDefault="0030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20E" w:rsidRPr="00F65AA9" w:rsidRDefault="0030620E" w:rsidP="007034E7">
    <w:pPr>
      <w:pStyle w:val="DHHSfooter"/>
    </w:pPr>
    <w:r>
      <w:rPr>
        <w:noProof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6769100</wp:posOffset>
          </wp:positionV>
          <wp:extent cx="10691495" cy="791210"/>
          <wp:effectExtent l="0" t="0" r="0" b="0"/>
          <wp:wrapNone/>
          <wp:docPr id="13" name="Picture 13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20E" w:rsidRDefault="0030620E" w:rsidP="00817493">
    <w:pPr>
      <w:pStyle w:val="Footer"/>
      <w:rPr>
        <w:rFonts w:eastAsia="Verdana" w:hAnsi="Verdana" w:cs="Verdana"/>
        <w:szCs w:val="16"/>
      </w:rPr>
    </w:pPr>
    <w:r>
      <w:rPr>
        <w:w w:val="99"/>
      </w:rPr>
      <w:t>Data</w:t>
    </w:r>
    <w:r>
      <w:t xml:space="preserve"> </w:t>
    </w:r>
    <w:r>
      <w:rPr>
        <w:w w:val="99"/>
      </w:rPr>
      <w:t>Source:</w:t>
    </w:r>
    <w:r>
      <w:t xml:space="preserve"> </w:t>
    </w:r>
    <w:r>
      <w:rPr>
        <w:w w:val="99"/>
      </w:rPr>
      <w:t>CMI/ODS</w:t>
    </w:r>
    <w:r>
      <w:t xml:space="preserve"> </w:t>
    </w:r>
    <w:r>
      <w:rPr>
        <w:w w:val="99"/>
      </w:rPr>
      <w:t>as</w:t>
    </w:r>
    <w:r>
      <w:t xml:space="preserve"> </w:t>
    </w:r>
    <w:r>
      <w:rPr>
        <w:w w:val="99"/>
      </w:rPr>
      <w:t>at</w:t>
    </w:r>
    <w:r>
      <w:t xml:space="preserve"> </w:t>
    </w:r>
    <w:r>
      <w:rPr>
        <w:w w:val="99"/>
      </w:rPr>
      <w:t>11/07/2019</w:t>
    </w:r>
    <w:r>
      <w:rPr>
        <w:spacing w:val="1"/>
      </w:rPr>
      <w:t xml:space="preserve"> </w:t>
    </w:r>
    <w:r>
      <w:rPr>
        <w:w w:val="99"/>
      </w:rPr>
      <w:t>and</w:t>
    </w:r>
    <w:r>
      <w:t xml:space="preserve"> Estimated Residential Population </w:t>
    </w:r>
    <w:r>
      <w:rPr>
        <w:w w:val="99"/>
      </w:rPr>
      <w:t>as</w:t>
    </w:r>
    <w:r>
      <w:t xml:space="preserve"> </w:t>
    </w:r>
    <w:r>
      <w:rPr>
        <w:w w:val="99"/>
      </w:rPr>
      <w:t>at 01/06/2016.</w:t>
    </w:r>
    <w:r>
      <w:rPr>
        <w:spacing w:val="1"/>
      </w:rPr>
      <w:t xml:space="preserve"> </w:t>
    </w:r>
    <w:r>
      <w:rPr>
        <w:w w:val="99"/>
      </w:rPr>
      <w:t>Blank</w:t>
    </w:r>
    <w:r>
      <w:t xml:space="preserve"> results indicate </w:t>
    </w:r>
    <w:r>
      <w:rPr>
        <w:w w:val="99"/>
      </w:rPr>
      <w:t>KPI</w:t>
    </w:r>
    <w:r>
      <w:t xml:space="preserve"> result is </w:t>
    </w:r>
    <w:r>
      <w:rPr>
        <w:w w:val="99"/>
      </w:rPr>
      <w:t>not</w:t>
    </w:r>
    <w:r>
      <w:t xml:space="preserve"> applicable in this </w:t>
    </w:r>
    <w:r>
      <w:rPr>
        <w:w w:val="99"/>
      </w:rPr>
      <w:t>instance.</w:t>
    </w:r>
  </w:p>
  <w:p w:rsidR="0030620E" w:rsidRPr="00817493" w:rsidRDefault="0030620E" w:rsidP="00817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20E" w:rsidRDefault="0030620E" w:rsidP="002862F1">
      <w:pPr>
        <w:spacing w:before="120"/>
      </w:pPr>
      <w:r>
        <w:separator/>
      </w:r>
    </w:p>
  </w:footnote>
  <w:footnote w:type="continuationSeparator" w:id="0">
    <w:p w:rsidR="0030620E" w:rsidRDefault="00306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20E" w:rsidRPr="008D2F4B" w:rsidRDefault="0030620E" w:rsidP="008D2F4B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B370F66"/>
    <w:multiLevelType w:val="multilevel"/>
    <w:tmpl w:val="4B4E7622"/>
    <w:numStyleLink w:val="ZZNumbers"/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4D"/>
    <w:rsid w:val="000072B6"/>
    <w:rsid w:val="0001021B"/>
    <w:rsid w:val="00011D89"/>
    <w:rsid w:val="00024D89"/>
    <w:rsid w:val="00033D81"/>
    <w:rsid w:val="00041BF0"/>
    <w:rsid w:val="0004326C"/>
    <w:rsid w:val="0004536B"/>
    <w:rsid w:val="00046B68"/>
    <w:rsid w:val="000527DD"/>
    <w:rsid w:val="000578B2"/>
    <w:rsid w:val="00060959"/>
    <w:rsid w:val="00064864"/>
    <w:rsid w:val="000663CD"/>
    <w:rsid w:val="000669AD"/>
    <w:rsid w:val="00074219"/>
    <w:rsid w:val="00074ED5"/>
    <w:rsid w:val="0008494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D75ED"/>
    <w:rsid w:val="000E3CC7"/>
    <w:rsid w:val="000E6BD4"/>
    <w:rsid w:val="000F1F1E"/>
    <w:rsid w:val="000F2259"/>
    <w:rsid w:val="001005E4"/>
    <w:rsid w:val="0010392D"/>
    <w:rsid w:val="00104FE3"/>
    <w:rsid w:val="00120BD3"/>
    <w:rsid w:val="00122FEA"/>
    <w:rsid w:val="001232BD"/>
    <w:rsid w:val="00124ED5"/>
    <w:rsid w:val="00141368"/>
    <w:rsid w:val="001447B3"/>
    <w:rsid w:val="00152073"/>
    <w:rsid w:val="00161939"/>
    <w:rsid w:val="00161AA0"/>
    <w:rsid w:val="00162093"/>
    <w:rsid w:val="001645B1"/>
    <w:rsid w:val="00164A9A"/>
    <w:rsid w:val="001666C9"/>
    <w:rsid w:val="001771DD"/>
    <w:rsid w:val="00177995"/>
    <w:rsid w:val="00177A8C"/>
    <w:rsid w:val="00186B33"/>
    <w:rsid w:val="00187F13"/>
    <w:rsid w:val="00192F9D"/>
    <w:rsid w:val="00196EB8"/>
    <w:rsid w:val="001979FF"/>
    <w:rsid w:val="00197B17"/>
    <w:rsid w:val="001A3ACE"/>
    <w:rsid w:val="001C2A72"/>
    <w:rsid w:val="001D0B75"/>
    <w:rsid w:val="001D3C09"/>
    <w:rsid w:val="001D44E8"/>
    <w:rsid w:val="001D60EC"/>
    <w:rsid w:val="001E44DF"/>
    <w:rsid w:val="001E68A5"/>
    <w:rsid w:val="001E73EF"/>
    <w:rsid w:val="001F3826"/>
    <w:rsid w:val="001F560F"/>
    <w:rsid w:val="001F6E46"/>
    <w:rsid w:val="001F7C91"/>
    <w:rsid w:val="00206463"/>
    <w:rsid w:val="00206F2F"/>
    <w:rsid w:val="0021053D"/>
    <w:rsid w:val="00210A92"/>
    <w:rsid w:val="002131E2"/>
    <w:rsid w:val="00216C03"/>
    <w:rsid w:val="002206B2"/>
    <w:rsid w:val="00220C04"/>
    <w:rsid w:val="0022701F"/>
    <w:rsid w:val="002333F5"/>
    <w:rsid w:val="002432E1"/>
    <w:rsid w:val="00244DBA"/>
    <w:rsid w:val="00246C5E"/>
    <w:rsid w:val="00251343"/>
    <w:rsid w:val="00254F58"/>
    <w:rsid w:val="00257984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A483C"/>
    <w:rsid w:val="002B1729"/>
    <w:rsid w:val="002B4DD4"/>
    <w:rsid w:val="002B5277"/>
    <w:rsid w:val="002B77C1"/>
    <w:rsid w:val="002C0DCC"/>
    <w:rsid w:val="002C2728"/>
    <w:rsid w:val="002D5006"/>
    <w:rsid w:val="002E01D0"/>
    <w:rsid w:val="002E161D"/>
    <w:rsid w:val="002E4D21"/>
    <w:rsid w:val="002E6C95"/>
    <w:rsid w:val="002E7C36"/>
    <w:rsid w:val="002F12AD"/>
    <w:rsid w:val="002F5F31"/>
    <w:rsid w:val="002F7F61"/>
    <w:rsid w:val="00302216"/>
    <w:rsid w:val="00303E53"/>
    <w:rsid w:val="003041C3"/>
    <w:rsid w:val="00305D25"/>
    <w:rsid w:val="0030620E"/>
    <w:rsid w:val="00306E5F"/>
    <w:rsid w:val="00307E14"/>
    <w:rsid w:val="00310351"/>
    <w:rsid w:val="00314054"/>
    <w:rsid w:val="00316F27"/>
    <w:rsid w:val="00327870"/>
    <w:rsid w:val="0033259D"/>
    <w:rsid w:val="00335656"/>
    <w:rsid w:val="00335B2C"/>
    <w:rsid w:val="003406C6"/>
    <w:rsid w:val="003418CC"/>
    <w:rsid w:val="00344EBE"/>
    <w:rsid w:val="003459BD"/>
    <w:rsid w:val="00350D38"/>
    <w:rsid w:val="0036022F"/>
    <w:rsid w:val="003613F9"/>
    <w:rsid w:val="0037290E"/>
    <w:rsid w:val="003729C1"/>
    <w:rsid w:val="003744CF"/>
    <w:rsid w:val="00374717"/>
    <w:rsid w:val="0037676C"/>
    <w:rsid w:val="003829E5"/>
    <w:rsid w:val="003956CC"/>
    <w:rsid w:val="00395C9A"/>
    <w:rsid w:val="003A3438"/>
    <w:rsid w:val="003A6B67"/>
    <w:rsid w:val="003B15E6"/>
    <w:rsid w:val="003C0C94"/>
    <w:rsid w:val="003C2045"/>
    <w:rsid w:val="003C2440"/>
    <w:rsid w:val="003C43A1"/>
    <w:rsid w:val="003C4FC0"/>
    <w:rsid w:val="003C55F4"/>
    <w:rsid w:val="003C7A3F"/>
    <w:rsid w:val="003D3E8F"/>
    <w:rsid w:val="003D6475"/>
    <w:rsid w:val="003E2E5F"/>
    <w:rsid w:val="003F0445"/>
    <w:rsid w:val="003F0CF0"/>
    <w:rsid w:val="003F3289"/>
    <w:rsid w:val="00401FCF"/>
    <w:rsid w:val="00406285"/>
    <w:rsid w:val="004148F9"/>
    <w:rsid w:val="0042084E"/>
    <w:rsid w:val="0042175D"/>
    <w:rsid w:val="00421EEF"/>
    <w:rsid w:val="0042318A"/>
    <w:rsid w:val="00424D65"/>
    <w:rsid w:val="004367B3"/>
    <w:rsid w:val="00442C6C"/>
    <w:rsid w:val="00443CBE"/>
    <w:rsid w:val="00443E8A"/>
    <w:rsid w:val="004441BC"/>
    <w:rsid w:val="0045230A"/>
    <w:rsid w:val="00457337"/>
    <w:rsid w:val="0047372D"/>
    <w:rsid w:val="004743DD"/>
    <w:rsid w:val="00474CEA"/>
    <w:rsid w:val="00483968"/>
    <w:rsid w:val="0048442F"/>
    <w:rsid w:val="00484F86"/>
    <w:rsid w:val="004900E6"/>
    <w:rsid w:val="00490746"/>
    <w:rsid w:val="00490852"/>
    <w:rsid w:val="00492D85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2F1"/>
    <w:rsid w:val="004E138F"/>
    <w:rsid w:val="004E4649"/>
    <w:rsid w:val="004E5C2B"/>
    <w:rsid w:val="004E7DBA"/>
    <w:rsid w:val="004F00DD"/>
    <w:rsid w:val="004F2133"/>
    <w:rsid w:val="004F55F1"/>
    <w:rsid w:val="004F6936"/>
    <w:rsid w:val="005027C0"/>
    <w:rsid w:val="00503DC6"/>
    <w:rsid w:val="00506F5D"/>
    <w:rsid w:val="005126D0"/>
    <w:rsid w:val="0051568D"/>
    <w:rsid w:val="00520B30"/>
    <w:rsid w:val="00526C15"/>
    <w:rsid w:val="005273B4"/>
    <w:rsid w:val="00536499"/>
    <w:rsid w:val="00541ADB"/>
    <w:rsid w:val="00543903"/>
    <w:rsid w:val="00547A95"/>
    <w:rsid w:val="00557E03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C77D1"/>
    <w:rsid w:val="005D07B8"/>
    <w:rsid w:val="005D364D"/>
    <w:rsid w:val="005D6597"/>
    <w:rsid w:val="005E14E7"/>
    <w:rsid w:val="005E26A3"/>
    <w:rsid w:val="005E447E"/>
    <w:rsid w:val="005F0775"/>
    <w:rsid w:val="005F0CF5"/>
    <w:rsid w:val="005F21EB"/>
    <w:rsid w:val="00602735"/>
    <w:rsid w:val="00605908"/>
    <w:rsid w:val="00605F1B"/>
    <w:rsid w:val="00610D7C"/>
    <w:rsid w:val="00613414"/>
    <w:rsid w:val="0062408D"/>
    <w:rsid w:val="006240CC"/>
    <w:rsid w:val="00627DA7"/>
    <w:rsid w:val="006358B4"/>
    <w:rsid w:val="006419AA"/>
    <w:rsid w:val="006447F0"/>
    <w:rsid w:val="00644B7E"/>
    <w:rsid w:val="006454E6"/>
    <w:rsid w:val="00646A68"/>
    <w:rsid w:val="006475A0"/>
    <w:rsid w:val="0065092E"/>
    <w:rsid w:val="006557A7"/>
    <w:rsid w:val="00656290"/>
    <w:rsid w:val="006621D7"/>
    <w:rsid w:val="0066302A"/>
    <w:rsid w:val="00670597"/>
    <w:rsid w:val="006706D0"/>
    <w:rsid w:val="00671410"/>
    <w:rsid w:val="00677574"/>
    <w:rsid w:val="006802F0"/>
    <w:rsid w:val="0068454C"/>
    <w:rsid w:val="00691B62"/>
    <w:rsid w:val="00693D14"/>
    <w:rsid w:val="006A18C2"/>
    <w:rsid w:val="006B077C"/>
    <w:rsid w:val="006D2A3F"/>
    <w:rsid w:val="006E138B"/>
    <w:rsid w:val="006F1FDC"/>
    <w:rsid w:val="007013EF"/>
    <w:rsid w:val="007034E7"/>
    <w:rsid w:val="007216AA"/>
    <w:rsid w:val="00721AB5"/>
    <w:rsid w:val="00721DEF"/>
    <w:rsid w:val="00724A43"/>
    <w:rsid w:val="007346E4"/>
    <w:rsid w:val="0073710D"/>
    <w:rsid w:val="00740F22"/>
    <w:rsid w:val="00741F1A"/>
    <w:rsid w:val="007450F8"/>
    <w:rsid w:val="007463DD"/>
    <w:rsid w:val="0074696E"/>
    <w:rsid w:val="00750135"/>
    <w:rsid w:val="00752B28"/>
    <w:rsid w:val="00754E36"/>
    <w:rsid w:val="00763139"/>
    <w:rsid w:val="00770F37"/>
    <w:rsid w:val="00772D5E"/>
    <w:rsid w:val="00776928"/>
    <w:rsid w:val="00786F16"/>
    <w:rsid w:val="00796E20"/>
    <w:rsid w:val="00797C32"/>
    <w:rsid w:val="007B0914"/>
    <w:rsid w:val="007B1374"/>
    <w:rsid w:val="007B589F"/>
    <w:rsid w:val="007B6186"/>
    <w:rsid w:val="007C14D9"/>
    <w:rsid w:val="007C7301"/>
    <w:rsid w:val="007C7859"/>
    <w:rsid w:val="007D0DB1"/>
    <w:rsid w:val="007D2BDE"/>
    <w:rsid w:val="007D2FB6"/>
    <w:rsid w:val="007E0DE2"/>
    <w:rsid w:val="007F31B6"/>
    <w:rsid w:val="007F546C"/>
    <w:rsid w:val="007F665E"/>
    <w:rsid w:val="00800412"/>
    <w:rsid w:val="008057FA"/>
    <w:rsid w:val="0080587B"/>
    <w:rsid w:val="00806468"/>
    <w:rsid w:val="008155F0"/>
    <w:rsid w:val="00816735"/>
    <w:rsid w:val="00817493"/>
    <w:rsid w:val="00820141"/>
    <w:rsid w:val="008204A8"/>
    <w:rsid w:val="00820E0C"/>
    <w:rsid w:val="008338A2"/>
    <w:rsid w:val="00840DF3"/>
    <w:rsid w:val="0084417C"/>
    <w:rsid w:val="00853EE4"/>
    <w:rsid w:val="00855535"/>
    <w:rsid w:val="00856385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B2EE4"/>
    <w:rsid w:val="008B2F9E"/>
    <w:rsid w:val="008B4D3D"/>
    <w:rsid w:val="008B57C7"/>
    <w:rsid w:val="008C2F92"/>
    <w:rsid w:val="008C65EB"/>
    <w:rsid w:val="008D2F4B"/>
    <w:rsid w:val="008D4236"/>
    <w:rsid w:val="008D462F"/>
    <w:rsid w:val="008E4376"/>
    <w:rsid w:val="008E7A0A"/>
    <w:rsid w:val="008F1621"/>
    <w:rsid w:val="00900615"/>
    <w:rsid w:val="00900719"/>
    <w:rsid w:val="009017AC"/>
    <w:rsid w:val="00905030"/>
    <w:rsid w:val="00906490"/>
    <w:rsid w:val="009111B2"/>
    <w:rsid w:val="00924AE1"/>
    <w:rsid w:val="009269B1"/>
    <w:rsid w:val="0092724D"/>
    <w:rsid w:val="00936CD6"/>
    <w:rsid w:val="00937BD9"/>
    <w:rsid w:val="00950E2C"/>
    <w:rsid w:val="00951D50"/>
    <w:rsid w:val="009525EB"/>
    <w:rsid w:val="0095645E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21F6"/>
    <w:rsid w:val="009B59E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4451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787"/>
    <w:rsid w:val="00A62A86"/>
    <w:rsid w:val="00A62D44"/>
    <w:rsid w:val="00A67263"/>
    <w:rsid w:val="00A7161C"/>
    <w:rsid w:val="00A77AA3"/>
    <w:rsid w:val="00A872E5"/>
    <w:rsid w:val="00A96E65"/>
    <w:rsid w:val="00A97C72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E126A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31E8"/>
    <w:rsid w:val="00B45141"/>
    <w:rsid w:val="00B5273A"/>
    <w:rsid w:val="00B5461D"/>
    <w:rsid w:val="00B62B50"/>
    <w:rsid w:val="00B635B7"/>
    <w:rsid w:val="00B63AE8"/>
    <w:rsid w:val="00B65950"/>
    <w:rsid w:val="00B672C0"/>
    <w:rsid w:val="00B75646"/>
    <w:rsid w:val="00B90729"/>
    <w:rsid w:val="00B907DA"/>
    <w:rsid w:val="00B950BC"/>
    <w:rsid w:val="00B9714C"/>
    <w:rsid w:val="00BA3F8D"/>
    <w:rsid w:val="00BA4845"/>
    <w:rsid w:val="00BB7A10"/>
    <w:rsid w:val="00BC7D4F"/>
    <w:rsid w:val="00BC7ED7"/>
    <w:rsid w:val="00BD194B"/>
    <w:rsid w:val="00BD2850"/>
    <w:rsid w:val="00BE28D2"/>
    <w:rsid w:val="00BE5C6B"/>
    <w:rsid w:val="00BF5F6F"/>
    <w:rsid w:val="00BF7F58"/>
    <w:rsid w:val="00C01381"/>
    <w:rsid w:val="00C079B8"/>
    <w:rsid w:val="00C123EA"/>
    <w:rsid w:val="00C125E4"/>
    <w:rsid w:val="00C12A49"/>
    <w:rsid w:val="00C133EE"/>
    <w:rsid w:val="00C27DE9"/>
    <w:rsid w:val="00C33388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B58"/>
    <w:rsid w:val="00CB26E1"/>
    <w:rsid w:val="00CC0C72"/>
    <w:rsid w:val="00CC2BFD"/>
    <w:rsid w:val="00CD3476"/>
    <w:rsid w:val="00CD64DF"/>
    <w:rsid w:val="00CF2F50"/>
    <w:rsid w:val="00CF41DA"/>
    <w:rsid w:val="00D02919"/>
    <w:rsid w:val="00D04C61"/>
    <w:rsid w:val="00D0539B"/>
    <w:rsid w:val="00D05B8D"/>
    <w:rsid w:val="00D065A2"/>
    <w:rsid w:val="00D07F00"/>
    <w:rsid w:val="00D1790F"/>
    <w:rsid w:val="00D33E72"/>
    <w:rsid w:val="00D35BD6"/>
    <w:rsid w:val="00D361B5"/>
    <w:rsid w:val="00D411A2"/>
    <w:rsid w:val="00D50B9C"/>
    <w:rsid w:val="00D52D73"/>
    <w:rsid w:val="00D52E58"/>
    <w:rsid w:val="00D62C84"/>
    <w:rsid w:val="00D714CC"/>
    <w:rsid w:val="00D75EA7"/>
    <w:rsid w:val="00D81F21"/>
    <w:rsid w:val="00D95470"/>
    <w:rsid w:val="00DA2619"/>
    <w:rsid w:val="00DA4239"/>
    <w:rsid w:val="00DA45C7"/>
    <w:rsid w:val="00DB0B61"/>
    <w:rsid w:val="00DC090B"/>
    <w:rsid w:val="00DC2CF1"/>
    <w:rsid w:val="00DC4FCF"/>
    <w:rsid w:val="00DC50E0"/>
    <w:rsid w:val="00DC6386"/>
    <w:rsid w:val="00DD1130"/>
    <w:rsid w:val="00DD1951"/>
    <w:rsid w:val="00DD6628"/>
    <w:rsid w:val="00DE09D5"/>
    <w:rsid w:val="00DE3250"/>
    <w:rsid w:val="00DE6028"/>
    <w:rsid w:val="00DE78A3"/>
    <w:rsid w:val="00DF1A71"/>
    <w:rsid w:val="00DF68C7"/>
    <w:rsid w:val="00DF731A"/>
    <w:rsid w:val="00E14388"/>
    <w:rsid w:val="00E170DC"/>
    <w:rsid w:val="00E21842"/>
    <w:rsid w:val="00E26818"/>
    <w:rsid w:val="00E27FFC"/>
    <w:rsid w:val="00E30B15"/>
    <w:rsid w:val="00E40181"/>
    <w:rsid w:val="00E43426"/>
    <w:rsid w:val="00E45931"/>
    <w:rsid w:val="00E53A79"/>
    <w:rsid w:val="00E629A1"/>
    <w:rsid w:val="00E82C55"/>
    <w:rsid w:val="00E87893"/>
    <w:rsid w:val="00E92AC3"/>
    <w:rsid w:val="00EB00E0"/>
    <w:rsid w:val="00EB397D"/>
    <w:rsid w:val="00EC059F"/>
    <w:rsid w:val="00EC1F24"/>
    <w:rsid w:val="00EC22F6"/>
    <w:rsid w:val="00EC4749"/>
    <w:rsid w:val="00ED5B9B"/>
    <w:rsid w:val="00ED6BAD"/>
    <w:rsid w:val="00ED7447"/>
    <w:rsid w:val="00ED79F1"/>
    <w:rsid w:val="00EE1488"/>
    <w:rsid w:val="00EE4D5D"/>
    <w:rsid w:val="00EE5131"/>
    <w:rsid w:val="00EF109B"/>
    <w:rsid w:val="00EF36AF"/>
    <w:rsid w:val="00F00F9C"/>
    <w:rsid w:val="00F02ABA"/>
    <w:rsid w:val="00F0437A"/>
    <w:rsid w:val="00F11037"/>
    <w:rsid w:val="00F16F1B"/>
    <w:rsid w:val="00F213F4"/>
    <w:rsid w:val="00F250A9"/>
    <w:rsid w:val="00F26794"/>
    <w:rsid w:val="00F30FF4"/>
    <w:rsid w:val="00F3122E"/>
    <w:rsid w:val="00F331AD"/>
    <w:rsid w:val="00F33958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6CAB"/>
    <w:rsid w:val="00F772C6"/>
    <w:rsid w:val="00F834B6"/>
    <w:rsid w:val="00F85195"/>
    <w:rsid w:val="00F92503"/>
    <w:rsid w:val="00F938BA"/>
    <w:rsid w:val="00FA2C46"/>
    <w:rsid w:val="00FA6B67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F0B0F5F"/>
  <w15:chartTrackingRefBased/>
  <w15:docId w15:val="{1CBF3404-05CF-4FBE-B59F-E0365BFE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5C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next w:val="DHHSbody"/>
    <w:link w:val="Heading1Char"/>
    <w:uiPriority w:val="1"/>
    <w:qFormat/>
    <w:rsid w:val="006447F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6447F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6447F0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6447F0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AA5797"/>
    <w:pPr>
      <w:keepLines/>
      <w:tabs>
        <w:tab w:val="right" w:leader="dot" w:pos="9072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A62A8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A62A8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F1621"/>
    <w:rPr>
      <w:rFonts w:asciiTheme="minorHAnsi" w:eastAsiaTheme="minorHAnsi" w:hAnsiTheme="minorHAnsi" w:cstheme="minorBidi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9F4451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widowControl/>
      <w:spacing w:before="60" w:after="60" w:line="200" w:lineRule="atLeast"/>
    </w:pPr>
    <w:rPr>
      <w:rFonts w:ascii="Arial" w:eastAsia="MS Gothic" w:hAnsi="Arial" w:cs="Arial"/>
      <w:sz w:val="16"/>
      <w:szCs w:val="16"/>
      <w:lang w:val="en-AU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3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  <w:style w:type="paragraph" w:styleId="BalloonText">
    <w:name w:val="Balloon Text"/>
    <w:basedOn w:val="Normal"/>
    <w:link w:val="BalloonTextChar"/>
    <w:uiPriority w:val="99"/>
    <w:semiHidden/>
    <w:unhideWhenUsed/>
    <w:rsid w:val="00F33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58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health.vic.gov.au/mental-health/research-and-reporting/mental-health-performance-reports/child-and-adolescent-performance-indicator-repor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hi@vahi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Visual%20style\DHHS%20Factsheet%20Landscape%2003%20Blue%2029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3BAB1-DD9C-43CF-BD96-62592E33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Landscape 03 Blue 2945.dot</Template>
  <TotalTime>170</TotalTime>
  <Pages>12</Pages>
  <Words>2721</Words>
  <Characters>13331</Characters>
  <Application>Microsoft Office Word</Application>
  <DocSecurity>0</DocSecurity>
  <Lines>111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CYMHS/CAMHS mental health Quarterly report</vt:lpstr>
    </vt:vector>
  </TitlesOfParts>
  <Company>Department of Health and Human Services</Company>
  <LinksUpToDate>false</LinksUpToDate>
  <CharactersWithSpaces>16020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CYMHS/CAMHS mental health Quarterly report</dc:title>
  <dc:subject/>
  <dc:creator>Quality, Safety and Community Systems Reporting</dc:creator>
  <cp:keywords/>
  <cp:lastModifiedBy>Daniel Mendoza (DHHS)</cp:lastModifiedBy>
  <cp:revision>19</cp:revision>
  <cp:lastPrinted>2019-07-31T01:32:00Z</cp:lastPrinted>
  <dcterms:created xsi:type="dcterms:W3CDTF">2019-07-30T03:34:00Z</dcterms:created>
  <dcterms:modified xsi:type="dcterms:W3CDTF">2019-07-31T03:46:00Z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