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B3B5" w14:textId="77777777" w:rsidR="000435EE" w:rsidRPr="004C6EEE" w:rsidRDefault="000435EE" w:rsidP="000435EE">
      <w:pPr>
        <w:pStyle w:val="Spacerparatopoffirstpage"/>
      </w:pPr>
      <w:r>
        <w:rPr>
          <w:lang w:eastAsia="en-AU"/>
        </w:rPr>
        <w:drawing>
          <wp:anchor distT="0" distB="0" distL="114300" distR="114300" simplePos="0" relativeHeight="251657216" behindDoc="1" locked="1" layoutInCell="0" allowOverlap="1" wp14:anchorId="4F9884C8" wp14:editId="292ABC28">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FEB9D" w14:textId="77777777" w:rsidR="000435EE" w:rsidRPr="004C6EEE" w:rsidRDefault="000435EE" w:rsidP="000435EE">
      <w:pPr>
        <w:pStyle w:val="Sectionbreakfirstpage"/>
        <w:sectPr w:rsidR="000435EE"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0435EE" w14:paraId="08196AD6" w14:textId="77777777" w:rsidTr="009C035A">
        <w:trPr>
          <w:trHeight w:val="1247"/>
        </w:trPr>
        <w:tc>
          <w:tcPr>
            <w:tcW w:w="8046" w:type="dxa"/>
            <w:shd w:val="clear" w:color="auto" w:fill="auto"/>
            <w:vAlign w:val="bottom"/>
          </w:tcPr>
          <w:p w14:paraId="5C2EBD1A" w14:textId="0C79E32E" w:rsidR="000435EE" w:rsidRPr="00161AA0" w:rsidRDefault="000435EE" w:rsidP="009C035A">
            <w:pPr>
              <w:pStyle w:val="DHHSmainheading"/>
            </w:pPr>
            <w:bookmarkStart w:id="0" w:name="_Hlk31974528"/>
            <w:r w:rsidRPr="006B2E3D">
              <w:t>Bulletin</w:t>
            </w:r>
            <w:r>
              <w:t xml:space="preserve"> #</w:t>
            </w:r>
            <w:bookmarkEnd w:id="0"/>
            <w:r w:rsidR="00E418BB">
              <w:t>52</w:t>
            </w:r>
          </w:p>
        </w:tc>
      </w:tr>
      <w:tr w:rsidR="000435EE" w14:paraId="2872F3EC" w14:textId="77777777" w:rsidTr="009C035A">
        <w:trPr>
          <w:trHeight w:hRule="exact" w:val="1162"/>
        </w:trPr>
        <w:tc>
          <w:tcPr>
            <w:tcW w:w="8046" w:type="dxa"/>
            <w:shd w:val="clear" w:color="auto" w:fill="auto"/>
            <w:tcMar>
              <w:top w:w="170" w:type="dxa"/>
              <w:bottom w:w="510" w:type="dxa"/>
            </w:tcMar>
          </w:tcPr>
          <w:p w14:paraId="522445CB" w14:textId="413DFCDD" w:rsidR="000435EE" w:rsidRDefault="00D333EF" w:rsidP="009C035A">
            <w:pPr>
              <w:pStyle w:val="DHHSmainsubheading"/>
              <w:rPr>
                <w:szCs w:val="28"/>
              </w:rPr>
            </w:pPr>
            <w:r>
              <w:t xml:space="preserve">Hospital </w:t>
            </w:r>
            <w:r w:rsidR="007B778A">
              <w:t>I</w:t>
            </w:r>
            <w:r>
              <w:t xml:space="preserve">n </w:t>
            </w:r>
            <w:r w:rsidR="00D900A1">
              <w:t>T</w:t>
            </w:r>
            <w:r>
              <w:t>he Home</w:t>
            </w:r>
            <w:r w:rsidR="00DF2CE2">
              <w:t xml:space="preserve"> acute service</w:t>
            </w:r>
          </w:p>
          <w:p w14:paraId="54966379" w14:textId="6C44DCE2" w:rsidR="000435EE" w:rsidRPr="00AD784C" w:rsidRDefault="00E53759" w:rsidP="00E53759">
            <w:pPr>
              <w:pStyle w:val="DHHSmainsubheading"/>
              <w:jc w:val="center"/>
              <w:rPr>
                <w:szCs w:val="28"/>
              </w:rPr>
            </w:pPr>
            <w:r>
              <w:rPr>
                <w:szCs w:val="28"/>
              </w:rPr>
              <w:t xml:space="preserve">                                                                      </w:t>
            </w:r>
            <w:r w:rsidR="00AC6062">
              <w:rPr>
                <w:szCs w:val="28"/>
              </w:rPr>
              <w:t>October</w:t>
            </w:r>
            <w:r w:rsidR="000435EE">
              <w:rPr>
                <w:szCs w:val="28"/>
              </w:rPr>
              <w:t xml:space="preserve"> 2020</w:t>
            </w:r>
          </w:p>
        </w:tc>
      </w:tr>
    </w:tbl>
    <w:p w14:paraId="5D046BD7" w14:textId="77777777" w:rsidR="000435EE" w:rsidRDefault="000435EE" w:rsidP="000435EE">
      <w:pPr>
        <w:pStyle w:val="DHHSbody"/>
        <w:sectPr w:rsidR="000435EE"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1" w:name="_Toc440566508"/>
    </w:p>
    <w:bookmarkEnd w:id="1"/>
    <w:p w14:paraId="6D2E899D" w14:textId="7266D40F" w:rsidR="0080254F" w:rsidRDefault="00403757" w:rsidP="000435EE">
      <w:pPr>
        <w:pStyle w:val="Heading1"/>
        <w:spacing w:before="0"/>
      </w:pPr>
      <w:r>
        <w:t>Mental Health Hospital in the Home</w:t>
      </w:r>
    </w:p>
    <w:p w14:paraId="4DB80CA0" w14:textId="2C201751" w:rsidR="000435EE" w:rsidRPr="00E91666" w:rsidRDefault="0080254F" w:rsidP="000435EE">
      <w:pPr>
        <w:pStyle w:val="Heading1"/>
        <w:spacing w:before="0"/>
      </w:pPr>
      <w:r>
        <w:t xml:space="preserve"> </w:t>
      </w:r>
      <w:r w:rsidR="000435EE" w:rsidRPr="00B95A98">
        <w:rPr>
          <w:rStyle w:val="Heading2Char"/>
          <w:rFonts w:eastAsia="MS Gothic"/>
        </w:rPr>
        <w:t>Purpose</w:t>
      </w:r>
    </w:p>
    <w:p w14:paraId="658F0DC3" w14:textId="021A72AC" w:rsidR="000435EE" w:rsidRDefault="00D900A1" w:rsidP="00416849">
      <w:pPr>
        <w:pStyle w:val="DHHSbody"/>
        <w:numPr>
          <w:ilvl w:val="0"/>
          <w:numId w:val="1"/>
        </w:numPr>
        <w:jc w:val="both"/>
        <w:rPr>
          <w:color w:val="000000" w:themeColor="text1"/>
          <w:sz w:val="22"/>
          <w:szCs w:val="22"/>
        </w:rPr>
      </w:pPr>
      <w:r>
        <w:rPr>
          <w:color w:val="000000" w:themeColor="text1"/>
          <w:sz w:val="22"/>
          <w:szCs w:val="22"/>
        </w:rPr>
        <w:t xml:space="preserve">To outline </w:t>
      </w:r>
      <w:r w:rsidR="00F26131">
        <w:rPr>
          <w:color w:val="000000" w:themeColor="text1"/>
          <w:sz w:val="22"/>
          <w:szCs w:val="22"/>
        </w:rPr>
        <w:t xml:space="preserve">the </w:t>
      </w:r>
      <w:r>
        <w:rPr>
          <w:color w:val="000000" w:themeColor="text1"/>
          <w:sz w:val="22"/>
          <w:szCs w:val="22"/>
        </w:rPr>
        <w:t xml:space="preserve">subcentre setup and CMI/ODS activity reporting requirements for </w:t>
      </w:r>
      <w:r w:rsidR="00F26131">
        <w:rPr>
          <w:color w:val="000000" w:themeColor="text1"/>
          <w:sz w:val="22"/>
          <w:szCs w:val="22"/>
        </w:rPr>
        <w:t>M</w:t>
      </w:r>
      <w:r>
        <w:rPr>
          <w:color w:val="000000" w:themeColor="text1"/>
          <w:sz w:val="22"/>
          <w:szCs w:val="22"/>
        </w:rPr>
        <w:t xml:space="preserve">ental </w:t>
      </w:r>
      <w:r w:rsidR="00F26131">
        <w:rPr>
          <w:color w:val="000000" w:themeColor="text1"/>
          <w:sz w:val="22"/>
          <w:szCs w:val="22"/>
        </w:rPr>
        <w:t>H</w:t>
      </w:r>
      <w:r>
        <w:rPr>
          <w:color w:val="000000" w:themeColor="text1"/>
          <w:sz w:val="22"/>
          <w:szCs w:val="22"/>
        </w:rPr>
        <w:t xml:space="preserve">ealth </w:t>
      </w:r>
      <w:r w:rsidR="00E418BB">
        <w:rPr>
          <w:color w:val="000000" w:themeColor="text1"/>
          <w:sz w:val="22"/>
          <w:szCs w:val="22"/>
        </w:rPr>
        <w:t xml:space="preserve">adult </w:t>
      </w:r>
      <w:r w:rsidR="00F26131">
        <w:rPr>
          <w:color w:val="000000" w:themeColor="text1"/>
          <w:sz w:val="22"/>
          <w:szCs w:val="22"/>
        </w:rPr>
        <w:t>H</w:t>
      </w:r>
      <w:r>
        <w:rPr>
          <w:color w:val="000000" w:themeColor="text1"/>
          <w:sz w:val="22"/>
          <w:szCs w:val="22"/>
        </w:rPr>
        <w:t xml:space="preserve">ospital in the </w:t>
      </w:r>
      <w:r w:rsidR="00F26131">
        <w:rPr>
          <w:color w:val="000000" w:themeColor="text1"/>
          <w:sz w:val="22"/>
          <w:szCs w:val="22"/>
        </w:rPr>
        <w:t>H</w:t>
      </w:r>
      <w:r>
        <w:rPr>
          <w:color w:val="000000" w:themeColor="text1"/>
          <w:sz w:val="22"/>
          <w:szCs w:val="22"/>
        </w:rPr>
        <w:t>ome service</w:t>
      </w:r>
      <w:r w:rsidR="00DA4293">
        <w:rPr>
          <w:color w:val="000000" w:themeColor="text1"/>
          <w:sz w:val="22"/>
          <w:szCs w:val="22"/>
        </w:rPr>
        <w:t xml:space="preserve">. </w:t>
      </w:r>
    </w:p>
    <w:p w14:paraId="47A9257E" w14:textId="0649EB6C" w:rsidR="000435EE" w:rsidRDefault="000435EE" w:rsidP="000435EE">
      <w:pPr>
        <w:pStyle w:val="Heading2"/>
      </w:pPr>
      <w:r w:rsidRPr="00E91666">
        <w:t>Background</w:t>
      </w:r>
      <w:r>
        <w:t xml:space="preserve"> </w:t>
      </w:r>
      <w:r w:rsidR="00964E45">
        <w:t xml:space="preserve"> </w:t>
      </w:r>
    </w:p>
    <w:p w14:paraId="6C20E59D" w14:textId="450EB676" w:rsidR="00DA4293" w:rsidRPr="00C421EB" w:rsidRDefault="00C421EB" w:rsidP="0080254F">
      <w:pPr>
        <w:pStyle w:val="DHHSbody"/>
        <w:numPr>
          <w:ilvl w:val="0"/>
          <w:numId w:val="2"/>
        </w:numPr>
        <w:jc w:val="both"/>
        <w:rPr>
          <w:sz w:val="22"/>
          <w:szCs w:val="22"/>
        </w:rPr>
      </w:pPr>
      <w:r w:rsidRPr="00C421EB">
        <w:rPr>
          <w:sz w:val="22"/>
          <w:szCs w:val="22"/>
        </w:rPr>
        <w:t>The Royal Commission</w:t>
      </w:r>
      <w:r w:rsidR="00525ADB">
        <w:rPr>
          <w:sz w:val="22"/>
          <w:szCs w:val="22"/>
        </w:rPr>
        <w:t xml:space="preserve"> into Victoria’s Mental Health System (Royal Commission)</w:t>
      </w:r>
      <w:r w:rsidRPr="00C421EB">
        <w:rPr>
          <w:sz w:val="22"/>
          <w:szCs w:val="22"/>
        </w:rPr>
        <w:t xml:space="preserve"> recommend</w:t>
      </w:r>
      <w:r w:rsidR="00525ADB">
        <w:rPr>
          <w:sz w:val="22"/>
          <w:szCs w:val="22"/>
        </w:rPr>
        <w:t>ed</w:t>
      </w:r>
      <w:r w:rsidRPr="00C421EB">
        <w:rPr>
          <w:sz w:val="22"/>
          <w:szCs w:val="22"/>
        </w:rPr>
        <w:t xml:space="preserve"> that the Victorian Government, through the Victorian Health and Human Services Building Authority and Mental Health Reform Victoria (MHRV), provide funding for 170 additional child, youth and adult acute mental health beds to help address critical demand pressures</w:t>
      </w:r>
      <w:r w:rsidR="00DA4293" w:rsidRPr="00C421EB">
        <w:rPr>
          <w:sz w:val="22"/>
          <w:szCs w:val="22"/>
        </w:rPr>
        <w:t>.</w:t>
      </w:r>
    </w:p>
    <w:p w14:paraId="4A0CC8C8" w14:textId="7F1DB554" w:rsidR="00C421EB" w:rsidRPr="00C421EB" w:rsidRDefault="00C421EB" w:rsidP="0080254F">
      <w:pPr>
        <w:pStyle w:val="DHHSbody"/>
        <w:numPr>
          <w:ilvl w:val="0"/>
          <w:numId w:val="2"/>
        </w:numPr>
        <w:jc w:val="both"/>
        <w:rPr>
          <w:sz w:val="22"/>
          <w:szCs w:val="22"/>
        </w:rPr>
      </w:pPr>
      <w:r w:rsidRPr="00C421EB">
        <w:rPr>
          <w:sz w:val="22"/>
          <w:szCs w:val="22"/>
        </w:rPr>
        <w:t>The Royal Commission identified</w:t>
      </w:r>
      <w:r w:rsidR="00525ADB">
        <w:rPr>
          <w:sz w:val="22"/>
          <w:szCs w:val="22"/>
        </w:rPr>
        <w:t xml:space="preserve"> that</w:t>
      </w:r>
      <w:r w:rsidRPr="00C421EB">
        <w:rPr>
          <w:sz w:val="22"/>
          <w:szCs w:val="22"/>
        </w:rPr>
        <w:t xml:space="preserve"> a portion of the funding for additional beds should be directed to establish multidisciplinary teams </w:t>
      </w:r>
      <w:r w:rsidR="00DA4BBD">
        <w:rPr>
          <w:sz w:val="22"/>
          <w:szCs w:val="22"/>
        </w:rPr>
        <w:t>to</w:t>
      </w:r>
      <w:r w:rsidR="00DA4BBD" w:rsidRPr="00C421EB">
        <w:rPr>
          <w:sz w:val="22"/>
          <w:szCs w:val="22"/>
        </w:rPr>
        <w:t xml:space="preserve"> </w:t>
      </w:r>
      <w:r w:rsidRPr="00C421EB">
        <w:rPr>
          <w:sz w:val="22"/>
          <w:szCs w:val="22"/>
        </w:rPr>
        <w:t>provide comprehensive admitted acute clinical and therapeutic treatment and care to people living with mental illness</w:t>
      </w:r>
      <w:r w:rsidR="00525ADB">
        <w:rPr>
          <w:sz w:val="22"/>
          <w:szCs w:val="22"/>
        </w:rPr>
        <w:t xml:space="preserve"> to be delivered</w:t>
      </w:r>
      <w:r w:rsidRPr="00C421EB">
        <w:rPr>
          <w:sz w:val="22"/>
          <w:szCs w:val="22"/>
        </w:rPr>
        <w:t xml:space="preserve"> in </w:t>
      </w:r>
      <w:r w:rsidR="000E3F6D">
        <w:rPr>
          <w:sz w:val="22"/>
          <w:szCs w:val="22"/>
        </w:rPr>
        <w:t>the patient’s</w:t>
      </w:r>
      <w:r w:rsidR="000E3F6D" w:rsidRPr="00C421EB">
        <w:rPr>
          <w:sz w:val="22"/>
          <w:szCs w:val="22"/>
        </w:rPr>
        <w:t xml:space="preserve"> </w:t>
      </w:r>
      <w:r w:rsidRPr="00C421EB">
        <w:rPr>
          <w:sz w:val="22"/>
          <w:szCs w:val="22"/>
        </w:rPr>
        <w:t xml:space="preserve">home or place of residence. This </w:t>
      </w:r>
      <w:r>
        <w:rPr>
          <w:sz w:val="22"/>
          <w:szCs w:val="22"/>
        </w:rPr>
        <w:t xml:space="preserve">Hospital in the </w:t>
      </w:r>
      <w:r w:rsidR="00DA4BBD">
        <w:rPr>
          <w:sz w:val="22"/>
          <w:szCs w:val="22"/>
        </w:rPr>
        <w:t>H</w:t>
      </w:r>
      <w:r>
        <w:rPr>
          <w:sz w:val="22"/>
          <w:szCs w:val="22"/>
        </w:rPr>
        <w:t>ome (</w:t>
      </w:r>
      <w:r w:rsidR="00E418BB">
        <w:rPr>
          <w:sz w:val="22"/>
          <w:szCs w:val="22"/>
        </w:rPr>
        <w:t>HITH</w:t>
      </w:r>
      <w:r>
        <w:rPr>
          <w:sz w:val="22"/>
          <w:szCs w:val="22"/>
        </w:rPr>
        <w:t xml:space="preserve">) service </w:t>
      </w:r>
      <w:r w:rsidRPr="00C421EB">
        <w:rPr>
          <w:sz w:val="22"/>
          <w:szCs w:val="22"/>
        </w:rPr>
        <w:t>should be offered as an alternative to the hospital ward setting</w:t>
      </w:r>
      <w:r w:rsidR="000E3F6D">
        <w:rPr>
          <w:sz w:val="22"/>
          <w:szCs w:val="22"/>
        </w:rPr>
        <w:t xml:space="preserve"> with the consent of the patient and carer</w:t>
      </w:r>
      <w:r w:rsidRPr="00C421EB">
        <w:rPr>
          <w:sz w:val="22"/>
          <w:szCs w:val="22"/>
        </w:rPr>
        <w:t>.</w:t>
      </w:r>
    </w:p>
    <w:p w14:paraId="79FAE656" w14:textId="0B9DF266" w:rsidR="00DA4293" w:rsidRPr="00C421EB" w:rsidRDefault="00C421EB" w:rsidP="00DA4293">
      <w:pPr>
        <w:pStyle w:val="DHHSbody"/>
        <w:numPr>
          <w:ilvl w:val="0"/>
          <w:numId w:val="2"/>
        </w:numPr>
        <w:jc w:val="both"/>
        <w:rPr>
          <w:sz w:val="22"/>
          <w:szCs w:val="22"/>
        </w:rPr>
      </w:pPr>
      <w:r w:rsidRPr="00C421EB">
        <w:rPr>
          <w:sz w:val="22"/>
          <w:szCs w:val="22"/>
        </w:rPr>
        <w:t xml:space="preserve">Governance, admission and discharge policies </w:t>
      </w:r>
      <w:r w:rsidR="00DA4BBD">
        <w:rPr>
          <w:sz w:val="22"/>
          <w:szCs w:val="22"/>
        </w:rPr>
        <w:t xml:space="preserve">will </w:t>
      </w:r>
      <w:r w:rsidR="000E3F6D">
        <w:rPr>
          <w:sz w:val="22"/>
          <w:szCs w:val="22"/>
        </w:rPr>
        <w:t xml:space="preserve">need to </w:t>
      </w:r>
      <w:r w:rsidR="00DA4BBD">
        <w:rPr>
          <w:sz w:val="22"/>
          <w:szCs w:val="22"/>
        </w:rPr>
        <w:t>be</w:t>
      </w:r>
      <w:r w:rsidR="00DA4BBD" w:rsidRPr="00C421EB">
        <w:rPr>
          <w:sz w:val="22"/>
          <w:szCs w:val="22"/>
        </w:rPr>
        <w:t xml:space="preserve"> </w:t>
      </w:r>
      <w:r w:rsidR="000E3F6D">
        <w:rPr>
          <w:sz w:val="22"/>
          <w:szCs w:val="22"/>
        </w:rPr>
        <w:t xml:space="preserve">in keeping </w:t>
      </w:r>
      <w:r w:rsidRPr="00C421EB">
        <w:rPr>
          <w:sz w:val="22"/>
          <w:szCs w:val="22"/>
        </w:rPr>
        <w:t>with hospital admissions policies, and key performance indicators</w:t>
      </w:r>
      <w:r w:rsidR="00D31C3A" w:rsidRPr="00C421EB">
        <w:rPr>
          <w:sz w:val="22"/>
          <w:szCs w:val="22"/>
        </w:rPr>
        <w:t>.</w:t>
      </w:r>
    </w:p>
    <w:p w14:paraId="5AD1B672" w14:textId="0140ADC3" w:rsidR="008C1C71" w:rsidRPr="008C1C71" w:rsidRDefault="0088232A" w:rsidP="008C1C71">
      <w:pPr>
        <w:pStyle w:val="Heading3"/>
      </w:pPr>
      <w:r>
        <w:rPr>
          <w:shd w:val="clear" w:color="auto" w:fill="FFFFFF"/>
        </w:rPr>
        <w:t>Subcentre setup</w:t>
      </w:r>
    </w:p>
    <w:p w14:paraId="05489794" w14:textId="09A5E8D5" w:rsidR="00DA4293" w:rsidRDefault="0088232A" w:rsidP="00295E3A">
      <w:pPr>
        <w:pStyle w:val="DHHSbody"/>
        <w:numPr>
          <w:ilvl w:val="0"/>
          <w:numId w:val="13"/>
        </w:numPr>
        <w:jc w:val="both"/>
        <w:rPr>
          <w:sz w:val="22"/>
          <w:szCs w:val="22"/>
          <w:shd w:val="clear" w:color="auto" w:fill="FFFFFF"/>
        </w:rPr>
      </w:pPr>
      <w:bookmarkStart w:id="2" w:name="_Toc410717546"/>
      <w:bookmarkStart w:id="3" w:name="_Toc440566510"/>
      <w:r>
        <w:rPr>
          <w:sz w:val="22"/>
          <w:szCs w:val="22"/>
          <w:shd w:val="clear" w:color="auto" w:fill="FFFFFF"/>
        </w:rPr>
        <w:t xml:space="preserve">A new subcentre is to be created for </w:t>
      </w:r>
      <w:r w:rsidR="00E418BB">
        <w:rPr>
          <w:sz w:val="22"/>
          <w:szCs w:val="22"/>
          <w:shd w:val="clear" w:color="auto" w:fill="FFFFFF"/>
        </w:rPr>
        <w:t>HITH</w:t>
      </w:r>
      <w:r w:rsidR="00DA4BBD">
        <w:rPr>
          <w:sz w:val="22"/>
          <w:szCs w:val="22"/>
          <w:shd w:val="clear" w:color="auto" w:fill="FFFFFF"/>
        </w:rPr>
        <w:t xml:space="preserve"> as an</w:t>
      </w:r>
      <w:r w:rsidR="00DA4293">
        <w:rPr>
          <w:sz w:val="22"/>
          <w:szCs w:val="22"/>
          <w:shd w:val="clear" w:color="auto" w:fill="FFFFFF"/>
        </w:rPr>
        <w:t xml:space="preserve"> acute service provided in the patien</w:t>
      </w:r>
      <w:r w:rsidR="009D0736">
        <w:rPr>
          <w:sz w:val="22"/>
          <w:szCs w:val="22"/>
          <w:shd w:val="clear" w:color="auto" w:fill="FFFFFF"/>
        </w:rPr>
        <w:t>t’s</w:t>
      </w:r>
      <w:r w:rsidR="000E3F6D">
        <w:rPr>
          <w:sz w:val="22"/>
          <w:szCs w:val="22"/>
          <w:shd w:val="clear" w:color="auto" w:fill="FFFFFF"/>
        </w:rPr>
        <w:t xml:space="preserve"> home or</w:t>
      </w:r>
      <w:r w:rsidR="009D0736">
        <w:rPr>
          <w:sz w:val="22"/>
          <w:szCs w:val="22"/>
          <w:shd w:val="clear" w:color="auto" w:fill="FFFFFF"/>
        </w:rPr>
        <w:t xml:space="preserve"> place of residence</w:t>
      </w:r>
      <w:r w:rsidR="00DA4293">
        <w:rPr>
          <w:sz w:val="22"/>
          <w:szCs w:val="22"/>
          <w:shd w:val="clear" w:color="auto" w:fill="FFFFFF"/>
        </w:rPr>
        <w:t xml:space="preserve">. </w:t>
      </w:r>
    </w:p>
    <w:p w14:paraId="276A8415" w14:textId="05BE8906" w:rsidR="00EC33C5" w:rsidRPr="00423D3C" w:rsidRDefault="00D31C3A" w:rsidP="00295E3A">
      <w:pPr>
        <w:pStyle w:val="DHHSbody"/>
        <w:numPr>
          <w:ilvl w:val="0"/>
          <w:numId w:val="13"/>
        </w:numPr>
        <w:jc w:val="both"/>
        <w:rPr>
          <w:sz w:val="22"/>
          <w:szCs w:val="22"/>
        </w:rPr>
      </w:pPr>
      <w:r w:rsidRPr="00423D3C">
        <w:rPr>
          <w:sz w:val="22"/>
          <w:szCs w:val="22"/>
        </w:rPr>
        <w:t xml:space="preserve">Subcentre </w:t>
      </w:r>
      <w:r w:rsidR="0088232A" w:rsidRPr="00423D3C">
        <w:rPr>
          <w:sz w:val="22"/>
          <w:szCs w:val="22"/>
        </w:rPr>
        <w:t xml:space="preserve">Ward </w:t>
      </w:r>
      <w:r w:rsidR="009D0736">
        <w:rPr>
          <w:sz w:val="22"/>
          <w:szCs w:val="22"/>
        </w:rPr>
        <w:t>T</w:t>
      </w:r>
      <w:r w:rsidR="0088232A" w:rsidRPr="00423D3C">
        <w:rPr>
          <w:sz w:val="22"/>
          <w:szCs w:val="22"/>
        </w:rPr>
        <w:t xml:space="preserve">ype must be selected as </w:t>
      </w:r>
      <w:r w:rsidR="009D0736">
        <w:rPr>
          <w:sz w:val="22"/>
          <w:szCs w:val="22"/>
        </w:rPr>
        <w:t>‘V</w:t>
      </w:r>
      <w:r w:rsidR="00EC33C5" w:rsidRPr="00D253E9">
        <w:rPr>
          <w:sz w:val="22"/>
          <w:szCs w:val="22"/>
        </w:rPr>
        <w:t xml:space="preserve">irtual </w:t>
      </w:r>
      <w:r w:rsidR="009D0736">
        <w:rPr>
          <w:sz w:val="22"/>
          <w:szCs w:val="22"/>
        </w:rPr>
        <w:t>W</w:t>
      </w:r>
      <w:r w:rsidR="00EC33C5" w:rsidRPr="00D253E9">
        <w:rPr>
          <w:sz w:val="22"/>
          <w:szCs w:val="22"/>
        </w:rPr>
        <w:t>ard</w:t>
      </w:r>
      <w:r w:rsidR="009D0736">
        <w:rPr>
          <w:sz w:val="22"/>
          <w:szCs w:val="22"/>
        </w:rPr>
        <w:t>’</w:t>
      </w:r>
      <w:r w:rsidR="00523A07" w:rsidRPr="00423D3C">
        <w:rPr>
          <w:sz w:val="22"/>
          <w:szCs w:val="22"/>
        </w:rPr>
        <w:t>.</w:t>
      </w:r>
      <w:r w:rsidRPr="00423D3C">
        <w:rPr>
          <w:sz w:val="22"/>
          <w:szCs w:val="22"/>
        </w:rPr>
        <w:t xml:space="preserve"> This option will be selectable from CMI/ODS release 10. </w:t>
      </w:r>
      <w:r w:rsidR="000E3F6D">
        <w:rPr>
          <w:sz w:val="22"/>
          <w:szCs w:val="22"/>
        </w:rPr>
        <w:t>T</w:t>
      </w:r>
      <w:r w:rsidRPr="00423D3C">
        <w:rPr>
          <w:sz w:val="22"/>
          <w:szCs w:val="22"/>
        </w:rPr>
        <w:t>he subcentre may be selected as Ward</w:t>
      </w:r>
      <w:r w:rsidR="00FE7B37">
        <w:rPr>
          <w:sz w:val="22"/>
          <w:szCs w:val="22"/>
        </w:rPr>
        <w:t xml:space="preserve"> Type</w:t>
      </w:r>
      <w:r w:rsidRPr="00423D3C">
        <w:rPr>
          <w:sz w:val="22"/>
          <w:szCs w:val="22"/>
        </w:rPr>
        <w:t xml:space="preserve"> of “Hospital Ward”</w:t>
      </w:r>
      <w:r w:rsidR="00423D3C" w:rsidRPr="00423D3C">
        <w:rPr>
          <w:sz w:val="22"/>
          <w:szCs w:val="22"/>
        </w:rPr>
        <w:t xml:space="preserve"> and updated retrospectively if this code is not </w:t>
      </w:r>
      <w:r w:rsidR="00DF2CE2">
        <w:rPr>
          <w:sz w:val="22"/>
          <w:szCs w:val="22"/>
        </w:rPr>
        <w:t xml:space="preserve">initially </w:t>
      </w:r>
      <w:r w:rsidR="00423D3C" w:rsidRPr="00423D3C">
        <w:rPr>
          <w:sz w:val="22"/>
          <w:szCs w:val="22"/>
        </w:rPr>
        <w:t>available</w:t>
      </w:r>
      <w:r w:rsidRPr="00423D3C">
        <w:rPr>
          <w:sz w:val="22"/>
          <w:szCs w:val="22"/>
        </w:rPr>
        <w:t>.</w:t>
      </w:r>
    </w:p>
    <w:p w14:paraId="5E939C7E" w14:textId="2FA13F25" w:rsidR="00EC33C5" w:rsidRDefault="00EC33C5" w:rsidP="00EC33C5">
      <w:pPr>
        <w:pStyle w:val="Heading3"/>
        <w:ind w:left="360"/>
        <w:rPr>
          <w:shd w:val="clear" w:color="auto" w:fill="FFFFFF"/>
        </w:rPr>
      </w:pPr>
      <w:r>
        <w:rPr>
          <w:shd w:val="clear" w:color="auto" w:fill="FFFFFF"/>
        </w:rPr>
        <w:t>Bed Maintenance setup</w:t>
      </w:r>
    </w:p>
    <w:p w14:paraId="2B2F6A85" w14:textId="503D0040" w:rsidR="00D900A1" w:rsidRDefault="00E418BB" w:rsidP="00D900A1">
      <w:pPr>
        <w:pStyle w:val="DHHSbody"/>
        <w:numPr>
          <w:ilvl w:val="0"/>
          <w:numId w:val="17"/>
        </w:numPr>
        <w:jc w:val="both"/>
        <w:rPr>
          <w:sz w:val="22"/>
          <w:szCs w:val="22"/>
          <w:shd w:val="clear" w:color="auto" w:fill="FFFFFF"/>
        </w:rPr>
      </w:pPr>
      <w:r>
        <w:rPr>
          <w:sz w:val="22"/>
          <w:szCs w:val="22"/>
          <w:shd w:val="clear" w:color="auto" w:fill="FFFFFF"/>
        </w:rPr>
        <w:t>HITH</w:t>
      </w:r>
      <w:r w:rsidR="00D900A1">
        <w:rPr>
          <w:sz w:val="22"/>
          <w:szCs w:val="22"/>
          <w:shd w:val="clear" w:color="auto" w:fill="FFFFFF"/>
        </w:rPr>
        <w:t xml:space="preserve"> beds are considered</w:t>
      </w:r>
      <w:r w:rsidR="009D0736">
        <w:rPr>
          <w:sz w:val="22"/>
          <w:szCs w:val="22"/>
          <w:shd w:val="clear" w:color="auto" w:fill="FFFFFF"/>
        </w:rPr>
        <w:t xml:space="preserve"> </w:t>
      </w:r>
      <w:r w:rsidR="00C421EB" w:rsidRPr="00C421EB">
        <w:rPr>
          <w:sz w:val="22"/>
          <w:szCs w:val="22"/>
          <w:shd w:val="clear" w:color="auto" w:fill="FFFFFF"/>
        </w:rPr>
        <w:t>acute beds</w:t>
      </w:r>
      <w:r w:rsidR="009D0736" w:rsidRPr="009D0736">
        <w:rPr>
          <w:sz w:val="22"/>
          <w:szCs w:val="22"/>
          <w:shd w:val="clear" w:color="auto" w:fill="FFFFFF"/>
        </w:rPr>
        <w:t xml:space="preserve"> </w:t>
      </w:r>
      <w:r w:rsidR="009D0736">
        <w:rPr>
          <w:sz w:val="22"/>
          <w:szCs w:val="22"/>
          <w:shd w:val="clear" w:color="auto" w:fill="FFFFFF"/>
        </w:rPr>
        <w:t>in</w:t>
      </w:r>
      <w:r w:rsidR="000E3F6D">
        <w:rPr>
          <w:sz w:val="22"/>
          <w:szCs w:val="22"/>
          <w:shd w:val="clear" w:color="auto" w:fill="FFFFFF"/>
        </w:rPr>
        <w:t xml:space="preserve"> the home or place of residence</w:t>
      </w:r>
      <w:r w:rsidR="009D0736">
        <w:rPr>
          <w:sz w:val="22"/>
          <w:szCs w:val="22"/>
          <w:shd w:val="clear" w:color="auto" w:fill="FFFFFF"/>
        </w:rPr>
        <w:t xml:space="preserve"> </w:t>
      </w:r>
      <w:r w:rsidR="00D900A1">
        <w:rPr>
          <w:sz w:val="22"/>
          <w:szCs w:val="22"/>
          <w:shd w:val="clear" w:color="auto" w:fill="FFFFFF"/>
        </w:rPr>
        <w:t>and</w:t>
      </w:r>
      <w:r w:rsidR="00C421EB" w:rsidRPr="00C421EB">
        <w:rPr>
          <w:sz w:val="22"/>
          <w:szCs w:val="22"/>
          <w:shd w:val="clear" w:color="auto" w:fill="FFFFFF"/>
        </w:rPr>
        <w:t xml:space="preserve"> will be counted as part of </w:t>
      </w:r>
      <w:r w:rsidR="009D0736">
        <w:rPr>
          <w:sz w:val="22"/>
          <w:szCs w:val="22"/>
          <w:shd w:val="clear" w:color="auto" w:fill="FFFFFF"/>
        </w:rPr>
        <w:t>an</w:t>
      </w:r>
      <w:r w:rsidR="009D0736" w:rsidRPr="00C421EB">
        <w:rPr>
          <w:sz w:val="22"/>
          <w:szCs w:val="22"/>
          <w:shd w:val="clear" w:color="auto" w:fill="FFFFFF"/>
        </w:rPr>
        <w:t xml:space="preserve"> </w:t>
      </w:r>
      <w:r w:rsidR="00C421EB" w:rsidRPr="00C421EB">
        <w:rPr>
          <w:sz w:val="22"/>
          <w:szCs w:val="22"/>
          <w:shd w:val="clear" w:color="auto" w:fill="FFFFFF"/>
        </w:rPr>
        <w:t>area mental health service</w:t>
      </w:r>
      <w:r w:rsidR="00F70C24">
        <w:rPr>
          <w:sz w:val="22"/>
          <w:szCs w:val="22"/>
          <w:shd w:val="clear" w:color="auto" w:fill="FFFFFF"/>
        </w:rPr>
        <w:t>’</w:t>
      </w:r>
      <w:r w:rsidR="00C421EB" w:rsidRPr="00C421EB">
        <w:rPr>
          <w:sz w:val="22"/>
          <w:szCs w:val="22"/>
          <w:shd w:val="clear" w:color="auto" w:fill="FFFFFF"/>
        </w:rPr>
        <w:t>s overall bed ratio per 100,000 population.</w:t>
      </w:r>
    </w:p>
    <w:p w14:paraId="64A9E395" w14:textId="4AB12140" w:rsidR="00403757" w:rsidRDefault="00D900A1" w:rsidP="00D900A1">
      <w:pPr>
        <w:pStyle w:val="DHHSbody"/>
        <w:numPr>
          <w:ilvl w:val="0"/>
          <w:numId w:val="17"/>
        </w:numPr>
        <w:jc w:val="both"/>
        <w:rPr>
          <w:sz w:val="22"/>
          <w:szCs w:val="22"/>
          <w:shd w:val="clear" w:color="auto" w:fill="FFFFFF"/>
        </w:rPr>
      </w:pPr>
      <w:r>
        <w:rPr>
          <w:sz w:val="22"/>
          <w:szCs w:val="22"/>
          <w:shd w:val="clear" w:color="auto" w:fill="FFFFFF"/>
        </w:rPr>
        <w:t xml:space="preserve">All </w:t>
      </w:r>
      <w:r w:rsidR="00E418BB">
        <w:rPr>
          <w:sz w:val="22"/>
          <w:szCs w:val="22"/>
          <w:shd w:val="clear" w:color="auto" w:fill="FFFFFF"/>
        </w:rPr>
        <w:t>HITH</w:t>
      </w:r>
      <w:r>
        <w:rPr>
          <w:sz w:val="22"/>
          <w:szCs w:val="22"/>
          <w:shd w:val="clear" w:color="auto" w:fill="FFFFFF"/>
        </w:rPr>
        <w:t xml:space="preserve"> beds must be recorded against a subcentre where the </w:t>
      </w:r>
      <w:r w:rsidR="00C47434">
        <w:rPr>
          <w:sz w:val="22"/>
          <w:szCs w:val="22"/>
          <w:shd w:val="clear" w:color="auto" w:fill="FFFFFF"/>
        </w:rPr>
        <w:t>W</w:t>
      </w:r>
      <w:r>
        <w:rPr>
          <w:sz w:val="22"/>
          <w:szCs w:val="22"/>
          <w:shd w:val="clear" w:color="auto" w:fill="FFFFFF"/>
        </w:rPr>
        <w:t xml:space="preserve">ard </w:t>
      </w:r>
      <w:r w:rsidR="00C47434">
        <w:rPr>
          <w:sz w:val="22"/>
          <w:szCs w:val="22"/>
          <w:shd w:val="clear" w:color="auto" w:fill="FFFFFF"/>
        </w:rPr>
        <w:t>T</w:t>
      </w:r>
      <w:r>
        <w:rPr>
          <w:sz w:val="22"/>
          <w:szCs w:val="22"/>
          <w:shd w:val="clear" w:color="auto" w:fill="FFFFFF"/>
        </w:rPr>
        <w:t xml:space="preserve">ype is “Virtual Ward”. </w:t>
      </w:r>
    </w:p>
    <w:p w14:paraId="58002ECE" w14:textId="77777777" w:rsidR="00EC33C5" w:rsidRPr="00EC33C5" w:rsidRDefault="00EC33C5" w:rsidP="00EC33C5">
      <w:pPr>
        <w:pStyle w:val="DHHSbody"/>
      </w:pPr>
    </w:p>
    <w:p w14:paraId="727E4F0F" w14:textId="5180E116" w:rsidR="00CB48E0" w:rsidRPr="008C1C71" w:rsidRDefault="00CB48E0" w:rsidP="00D253E9">
      <w:pPr>
        <w:pStyle w:val="Heading2"/>
      </w:pPr>
      <w:r w:rsidRPr="00D253E9">
        <w:lastRenderedPageBreak/>
        <w:t>Subcentre / Program</w:t>
      </w:r>
      <w:r w:rsidR="00D253E9">
        <w:t xml:space="preserve"> setup</w:t>
      </w:r>
    </w:p>
    <w:p w14:paraId="38906A15" w14:textId="51CECA1F" w:rsidR="00B7374F" w:rsidRPr="00B7374F" w:rsidRDefault="00B7374F" w:rsidP="00B7374F">
      <w:pPr>
        <w:pStyle w:val="Heading3"/>
        <w:numPr>
          <w:ilvl w:val="0"/>
          <w:numId w:val="16"/>
        </w:numPr>
        <w:rPr>
          <w:rFonts w:eastAsia="Times"/>
          <w:b w:val="0"/>
          <w:bCs w:val="0"/>
          <w:sz w:val="22"/>
          <w:szCs w:val="22"/>
          <w:shd w:val="clear" w:color="auto" w:fill="FFFFFF"/>
        </w:rPr>
      </w:pPr>
      <w:bookmarkStart w:id="4" w:name="_Hlk47628869"/>
      <w:bookmarkEnd w:id="2"/>
      <w:bookmarkEnd w:id="3"/>
      <w:r w:rsidRPr="00B7374F">
        <w:rPr>
          <w:rFonts w:eastAsia="Times"/>
          <w:b w:val="0"/>
          <w:bCs w:val="0"/>
          <w:sz w:val="22"/>
          <w:szCs w:val="22"/>
          <w:shd w:val="clear" w:color="auto" w:fill="FFFFFF"/>
        </w:rPr>
        <w:t>The subcentre name and program description must have the Suffix of “</w:t>
      </w:r>
      <w:r w:rsidR="00E418BB">
        <w:rPr>
          <w:rFonts w:eastAsia="Times"/>
          <w:b w:val="0"/>
          <w:bCs w:val="0"/>
          <w:sz w:val="22"/>
          <w:szCs w:val="22"/>
          <w:shd w:val="clear" w:color="auto" w:fill="FFFFFF"/>
        </w:rPr>
        <w:t>HITH</w:t>
      </w:r>
      <w:r w:rsidRPr="00B7374F">
        <w:rPr>
          <w:rFonts w:eastAsia="Times"/>
          <w:b w:val="0"/>
          <w:bCs w:val="0"/>
          <w:sz w:val="22"/>
          <w:szCs w:val="22"/>
          <w:shd w:val="clear" w:color="auto" w:fill="FFFFFF"/>
        </w:rPr>
        <w:t>”</w:t>
      </w:r>
    </w:p>
    <w:p w14:paraId="4F0460AA" w14:textId="0B82EB7A" w:rsidR="001E6E2B" w:rsidRPr="00DF2CE2" w:rsidRDefault="001E6E2B" w:rsidP="001E6E2B">
      <w:pPr>
        <w:pStyle w:val="Heading3"/>
        <w:rPr>
          <w:sz w:val="20"/>
          <w:szCs w:val="20"/>
        </w:rPr>
      </w:pPr>
      <w:r w:rsidRPr="00DF2CE2">
        <w:rPr>
          <w:sz w:val="20"/>
          <w:szCs w:val="20"/>
        </w:rPr>
        <w:t>Subcentre</w:t>
      </w:r>
    </w:p>
    <w:tbl>
      <w:tblPr>
        <w:tblStyle w:val="TableGrid"/>
        <w:tblW w:w="10516" w:type="dxa"/>
        <w:tblLayout w:type="fixed"/>
        <w:tblLook w:val="04A0" w:firstRow="1" w:lastRow="0" w:firstColumn="1" w:lastColumn="0" w:noHBand="0" w:noVBand="1"/>
      </w:tblPr>
      <w:tblGrid>
        <w:gridCol w:w="1645"/>
        <w:gridCol w:w="1645"/>
        <w:gridCol w:w="1362"/>
        <w:gridCol w:w="1559"/>
        <w:gridCol w:w="1614"/>
        <w:gridCol w:w="993"/>
        <w:gridCol w:w="1698"/>
      </w:tblGrid>
      <w:tr w:rsidR="001E6E2B" w:rsidRPr="00DF2CE2" w14:paraId="48074F58" w14:textId="77777777" w:rsidTr="001E6E2B">
        <w:tc>
          <w:tcPr>
            <w:tcW w:w="1645" w:type="dxa"/>
            <w:shd w:val="clear" w:color="auto" w:fill="D9E2F3"/>
          </w:tcPr>
          <w:p w14:paraId="75FD3A0A" w14:textId="77777777" w:rsidR="001E6E2B" w:rsidRPr="00DF2CE2" w:rsidRDefault="001E6E2B" w:rsidP="001E2A27">
            <w:pPr>
              <w:pStyle w:val="DHHSbody"/>
              <w:rPr>
                <w:rFonts w:cs="Arial"/>
                <w:b/>
              </w:rPr>
            </w:pPr>
            <w:r w:rsidRPr="00DF2CE2">
              <w:rPr>
                <w:rFonts w:cs="Arial"/>
                <w:b/>
              </w:rPr>
              <w:t>Subcentre Name</w:t>
            </w:r>
          </w:p>
        </w:tc>
        <w:tc>
          <w:tcPr>
            <w:tcW w:w="1645" w:type="dxa"/>
            <w:shd w:val="clear" w:color="auto" w:fill="D9E2F3"/>
          </w:tcPr>
          <w:p w14:paraId="0EA87B23" w14:textId="77777777" w:rsidR="001E6E2B" w:rsidRPr="00DF2CE2" w:rsidRDefault="001E6E2B" w:rsidP="001E2A27">
            <w:pPr>
              <w:pStyle w:val="DHHSbody"/>
              <w:rPr>
                <w:rFonts w:cs="Arial"/>
                <w:b/>
              </w:rPr>
            </w:pPr>
            <w:r w:rsidRPr="00DF2CE2">
              <w:rPr>
                <w:rFonts w:cs="Arial"/>
                <w:b/>
              </w:rPr>
              <w:t>Subcentre Type</w:t>
            </w:r>
          </w:p>
        </w:tc>
        <w:tc>
          <w:tcPr>
            <w:tcW w:w="1362" w:type="dxa"/>
            <w:shd w:val="clear" w:color="auto" w:fill="D9E2F3"/>
          </w:tcPr>
          <w:p w14:paraId="70889799" w14:textId="77777777" w:rsidR="001E6E2B" w:rsidRPr="00DF2CE2" w:rsidRDefault="001E6E2B" w:rsidP="001E2A27">
            <w:pPr>
              <w:pStyle w:val="DHHSbody"/>
              <w:rPr>
                <w:rFonts w:cs="Arial"/>
                <w:b/>
              </w:rPr>
            </w:pPr>
            <w:r w:rsidRPr="00DF2CE2">
              <w:rPr>
                <w:rFonts w:cs="Arial"/>
                <w:b/>
              </w:rPr>
              <w:t>Program Class</w:t>
            </w:r>
          </w:p>
        </w:tc>
        <w:tc>
          <w:tcPr>
            <w:tcW w:w="1559" w:type="dxa"/>
            <w:shd w:val="clear" w:color="auto" w:fill="D9E2F3"/>
          </w:tcPr>
          <w:p w14:paraId="432CB707" w14:textId="77777777" w:rsidR="001E6E2B" w:rsidRPr="00DF2CE2" w:rsidRDefault="001E6E2B" w:rsidP="001E2A27">
            <w:pPr>
              <w:pStyle w:val="DHHSbody"/>
              <w:rPr>
                <w:rFonts w:cs="Arial"/>
                <w:b/>
              </w:rPr>
            </w:pPr>
            <w:r w:rsidRPr="00DF2CE2">
              <w:rPr>
                <w:rFonts w:cs="Arial"/>
                <w:b/>
              </w:rPr>
              <w:t>Caseload</w:t>
            </w:r>
          </w:p>
        </w:tc>
        <w:tc>
          <w:tcPr>
            <w:tcW w:w="1614" w:type="dxa"/>
            <w:shd w:val="clear" w:color="auto" w:fill="D9E2F3"/>
          </w:tcPr>
          <w:p w14:paraId="045A0C05" w14:textId="32A0AEB0" w:rsidR="001E6E2B" w:rsidRPr="00DF2CE2" w:rsidRDefault="001E6E2B" w:rsidP="001E2A27">
            <w:pPr>
              <w:pStyle w:val="DHHSbody"/>
              <w:rPr>
                <w:rFonts w:cs="Arial"/>
                <w:b/>
              </w:rPr>
            </w:pPr>
            <w:r w:rsidRPr="00DF2CE2">
              <w:rPr>
                <w:rFonts w:cs="Arial"/>
                <w:b/>
              </w:rPr>
              <w:t>Ward type</w:t>
            </w:r>
          </w:p>
        </w:tc>
        <w:tc>
          <w:tcPr>
            <w:tcW w:w="993" w:type="dxa"/>
            <w:shd w:val="clear" w:color="auto" w:fill="D9E2F3"/>
          </w:tcPr>
          <w:p w14:paraId="56357565" w14:textId="02FF5C74" w:rsidR="001E6E2B" w:rsidRPr="00DF2CE2" w:rsidRDefault="001E6E2B" w:rsidP="001E2A27">
            <w:pPr>
              <w:pStyle w:val="DHHSbody"/>
              <w:rPr>
                <w:rFonts w:cs="Arial"/>
                <w:b/>
              </w:rPr>
            </w:pPr>
            <w:r w:rsidRPr="00DF2CE2">
              <w:rPr>
                <w:rFonts w:cs="Arial"/>
                <w:b/>
              </w:rPr>
              <w:t>OM Setting</w:t>
            </w:r>
          </w:p>
        </w:tc>
        <w:tc>
          <w:tcPr>
            <w:tcW w:w="1698" w:type="dxa"/>
            <w:shd w:val="clear" w:color="auto" w:fill="D9E2F3"/>
          </w:tcPr>
          <w:p w14:paraId="2576577E" w14:textId="575AECA6" w:rsidR="001E6E2B" w:rsidRPr="00DF2CE2" w:rsidRDefault="001E6E2B" w:rsidP="001E2A27">
            <w:pPr>
              <w:pStyle w:val="DHHSbody"/>
              <w:rPr>
                <w:rFonts w:cs="Arial"/>
                <w:b/>
              </w:rPr>
            </w:pPr>
            <w:r w:rsidRPr="00DF2CE2">
              <w:rPr>
                <w:rFonts w:cs="Arial"/>
                <w:b/>
              </w:rPr>
              <w:t>Open Reason</w:t>
            </w:r>
          </w:p>
        </w:tc>
      </w:tr>
      <w:tr w:rsidR="001E6E2B" w:rsidRPr="00DF2CE2" w14:paraId="23A3FE57" w14:textId="77777777" w:rsidTr="001E6E2B">
        <w:trPr>
          <w:trHeight w:val="436"/>
        </w:trPr>
        <w:tc>
          <w:tcPr>
            <w:tcW w:w="1645" w:type="dxa"/>
          </w:tcPr>
          <w:p w14:paraId="5B7BC340" w14:textId="2479E2FE" w:rsidR="001E6E2B" w:rsidRPr="00DF2CE2" w:rsidRDefault="00B7374F" w:rsidP="001E2A27">
            <w:pPr>
              <w:rPr>
                <w:rFonts w:ascii="Arial" w:eastAsia="Times" w:hAnsi="Arial" w:cs="Arial"/>
                <w:color w:val="000000"/>
                <w:sz w:val="20"/>
                <w:szCs w:val="20"/>
                <w:shd w:val="clear" w:color="auto" w:fill="FFFFFF"/>
                <w:lang w:eastAsia="en-US"/>
              </w:rPr>
            </w:pPr>
            <w:r>
              <w:rPr>
                <w:rFonts w:ascii="Arial" w:eastAsia="Times" w:hAnsi="Arial" w:cs="Arial"/>
                <w:color w:val="000000"/>
                <w:sz w:val="20"/>
                <w:szCs w:val="20"/>
                <w:shd w:val="clear" w:color="auto" w:fill="FFFFFF"/>
                <w:lang w:eastAsia="en-US"/>
              </w:rPr>
              <w:t>[</w:t>
            </w:r>
            <w:r w:rsidRPr="00B7374F">
              <w:rPr>
                <w:rFonts w:ascii="Arial" w:eastAsia="Times" w:hAnsi="Arial" w:cs="Arial"/>
                <w:i/>
                <w:iCs/>
                <w:color w:val="000000"/>
                <w:sz w:val="20"/>
                <w:szCs w:val="20"/>
                <w:shd w:val="clear" w:color="auto" w:fill="FFFFFF"/>
                <w:lang w:eastAsia="en-US"/>
              </w:rPr>
              <w:t>service decision</w:t>
            </w:r>
            <w:r>
              <w:rPr>
                <w:rFonts w:ascii="Arial" w:eastAsia="Times" w:hAnsi="Arial" w:cs="Arial"/>
                <w:color w:val="000000"/>
                <w:sz w:val="20"/>
                <w:szCs w:val="20"/>
                <w:shd w:val="clear" w:color="auto" w:fill="FFFFFF"/>
                <w:lang w:eastAsia="en-US"/>
              </w:rPr>
              <w:t>]</w:t>
            </w:r>
            <w:r w:rsidR="00295E3A">
              <w:rPr>
                <w:rFonts w:ascii="Arial" w:eastAsia="Times" w:hAnsi="Arial" w:cs="Arial"/>
                <w:color w:val="000000"/>
                <w:sz w:val="20"/>
                <w:szCs w:val="20"/>
                <w:shd w:val="clear" w:color="auto" w:fill="FFFFFF"/>
                <w:lang w:eastAsia="en-US"/>
              </w:rPr>
              <w:t>-</w:t>
            </w:r>
            <w:r>
              <w:rPr>
                <w:rFonts w:ascii="Arial" w:eastAsia="Times" w:hAnsi="Arial" w:cs="Arial"/>
                <w:color w:val="000000"/>
                <w:sz w:val="20"/>
                <w:szCs w:val="20"/>
                <w:shd w:val="clear" w:color="auto" w:fill="FFFFFF"/>
                <w:lang w:eastAsia="en-US"/>
              </w:rPr>
              <w:t>[</w:t>
            </w:r>
            <w:r w:rsidR="00D900A1">
              <w:rPr>
                <w:rFonts w:ascii="Arial" w:eastAsia="Times" w:hAnsi="Arial" w:cs="Arial"/>
                <w:color w:val="000000"/>
                <w:sz w:val="20"/>
                <w:szCs w:val="20"/>
                <w:shd w:val="clear" w:color="auto" w:fill="FFFFFF"/>
                <w:lang w:eastAsia="en-US"/>
              </w:rPr>
              <w:t xml:space="preserve"> </w:t>
            </w:r>
            <w:r w:rsidR="00E418BB">
              <w:rPr>
                <w:rFonts w:ascii="Arial" w:eastAsia="Times" w:hAnsi="Arial" w:cs="Arial"/>
                <w:color w:val="000000"/>
                <w:sz w:val="20"/>
                <w:szCs w:val="20"/>
                <w:shd w:val="clear" w:color="auto" w:fill="FFFFFF"/>
                <w:lang w:eastAsia="en-US"/>
              </w:rPr>
              <w:t>HITH</w:t>
            </w:r>
            <w:r w:rsidR="00D900A1">
              <w:rPr>
                <w:rFonts w:ascii="Arial" w:eastAsia="Times" w:hAnsi="Arial" w:cs="Arial"/>
                <w:color w:val="000000"/>
                <w:sz w:val="20"/>
                <w:szCs w:val="20"/>
                <w:shd w:val="clear" w:color="auto" w:fill="FFFFFF"/>
                <w:lang w:eastAsia="en-US"/>
              </w:rPr>
              <w:t xml:space="preserve"> </w:t>
            </w:r>
            <w:r>
              <w:rPr>
                <w:rFonts w:ascii="Arial" w:eastAsia="Times" w:hAnsi="Arial" w:cs="Arial"/>
                <w:color w:val="000000"/>
                <w:sz w:val="20"/>
                <w:szCs w:val="20"/>
                <w:shd w:val="clear" w:color="auto" w:fill="FFFFFF"/>
                <w:lang w:eastAsia="en-US"/>
              </w:rPr>
              <w:t>]</w:t>
            </w:r>
          </w:p>
        </w:tc>
        <w:tc>
          <w:tcPr>
            <w:tcW w:w="1645" w:type="dxa"/>
          </w:tcPr>
          <w:p w14:paraId="35FE57C0" w14:textId="0D6E9FD8" w:rsidR="001E6E2B" w:rsidRPr="00DF2CE2" w:rsidRDefault="001E6E2B" w:rsidP="001E2A27">
            <w:pPr>
              <w:rPr>
                <w:rFonts w:ascii="Arial" w:eastAsia="Times" w:hAnsi="Arial" w:cs="Arial"/>
                <w:color w:val="000000"/>
                <w:sz w:val="20"/>
                <w:szCs w:val="20"/>
                <w:shd w:val="clear" w:color="auto" w:fill="FFFFFF"/>
                <w:lang w:eastAsia="en-US"/>
              </w:rPr>
            </w:pPr>
            <w:r w:rsidRPr="00DF2CE2">
              <w:rPr>
                <w:rFonts w:ascii="Arial" w:eastAsia="Times" w:hAnsi="Arial" w:cs="Arial"/>
                <w:color w:val="000000"/>
                <w:sz w:val="20"/>
                <w:szCs w:val="20"/>
                <w:shd w:val="clear" w:color="auto" w:fill="FFFFFF"/>
                <w:lang w:eastAsia="en-US"/>
              </w:rPr>
              <w:t>Inpatient</w:t>
            </w:r>
          </w:p>
        </w:tc>
        <w:tc>
          <w:tcPr>
            <w:tcW w:w="1362" w:type="dxa"/>
          </w:tcPr>
          <w:p w14:paraId="797930FF" w14:textId="5D5FC37E" w:rsidR="001E6E2B" w:rsidRPr="00DF2CE2" w:rsidRDefault="004F3D7D" w:rsidP="001E2A27">
            <w:pPr>
              <w:rPr>
                <w:rFonts w:ascii="Arial" w:eastAsia="Times" w:hAnsi="Arial" w:cs="Arial"/>
                <w:color w:val="000000"/>
                <w:sz w:val="20"/>
                <w:szCs w:val="20"/>
                <w:shd w:val="clear" w:color="auto" w:fill="FFFFFF"/>
                <w:lang w:eastAsia="en-US"/>
              </w:rPr>
            </w:pPr>
            <w:r w:rsidRPr="004F3D7D">
              <w:rPr>
                <w:rFonts w:ascii="Arial" w:eastAsia="Times" w:hAnsi="Arial" w:cs="Arial"/>
                <w:color w:val="000000"/>
                <w:sz w:val="20"/>
                <w:szCs w:val="20"/>
                <w:shd w:val="clear" w:color="auto" w:fill="FFFFFF"/>
                <w:lang w:eastAsia="en-US"/>
              </w:rPr>
              <w:t>Acute, General Adult</w:t>
            </w:r>
          </w:p>
        </w:tc>
        <w:tc>
          <w:tcPr>
            <w:tcW w:w="1559" w:type="dxa"/>
          </w:tcPr>
          <w:p w14:paraId="39599515" w14:textId="4BD4BCE7" w:rsidR="001E6E2B" w:rsidRPr="00DF2CE2" w:rsidRDefault="001E6E2B" w:rsidP="001E2A27">
            <w:pPr>
              <w:rPr>
                <w:rFonts w:ascii="Arial" w:eastAsia="Times" w:hAnsi="Arial" w:cs="Arial"/>
                <w:color w:val="000000"/>
                <w:sz w:val="20"/>
                <w:szCs w:val="20"/>
                <w:shd w:val="clear" w:color="auto" w:fill="FFFFFF"/>
                <w:lang w:eastAsia="en-US"/>
              </w:rPr>
            </w:pPr>
            <w:r w:rsidRPr="00DF2CE2">
              <w:rPr>
                <w:rFonts w:ascii="Arial" w:eastAsia="Times" w:hAnsi="Arial" w:cs="Arial"/>
                <w:color w:val="000000"/>
                <w:sz w:val="20"/>
                <w:szCs w:val="20"/>
                <w:shd w:val="clear" w:color="auto" w:fill="FFFFFF"/>
                <w:lang w:eastAsia="en-US"/>
              </w:rPr>
              <w:t>Not required</w:t>
            </w:r>
          </w:p>
        </w:tc>
        <w:tc>
          <w:tcPr>
            <w:tcW w:w="1614" w:type="dxa"/>
          </w:tcPr>
          <w:p w14:paraId="487997F6" w14:textId="4ADF00A5" w:rsidR="001E6E2B" w:rsidRPr="00DF2CE2" w:rsidRDefault="001E6E2B" w:rsidP="001E2A27">
            <w:pPr>
              <w:rPr>
                <w:rFonts w:ascii="Arial" w:eastAsia="Times" w:hAnsi="Arial" w:cs="Arial"/>
                <w:color w:val="000000"/>
                <w:sz w:val="20"/>
                <w:szCs w:val="20"/>
                <w:shd w:val="clear" w:color="auto" w:fill="FFFFFF"/>
                <w:lang w:eastAsia="en-US"/>
              </w:rPr>
            </w:pPr>
            <w:r w:rsidRPr="00DF2CE2">
              <w:rPr>
                <w:rFonts w:ascii="Arial" w:eastAsia="Times" w:hAnsi="Arial" w:cs="Arial"/>
                <w:color w:val="000000"/>
                <w:sz w:val="20"/>
                <w:szCs w:val="20"/>
                <w:shd w:val="clear" w:color="auto" w:fill="FFFFFF"/>
                <w:lang w:eastAsia="en-US"/>
              </w:rPr>
              <w:t>Virtual ward</w:t>
            </w:r>
          </w:p>
        </w:tc>
        <w:tc>
          <w:tcPr>
            <w:tcW w:w="993" w:type="dxa"/>
          </w:tcPr>
          <w:p w14:paraId="0DE27E05" w14:textId="6BDB9F93" w:rsidR="001E6E2B" w:rsidRPr="00DF2CE2" w:rsidRDefault="001E6E2B" w:rsidP="001E2A27">
            <w:pPr>
              <w:rPr>
                <w:rFonts w:ascii="Arial" w:eastAsia="Times" w:hAnsi="Arial" w:cs="Arial"/>
                <w:color w:val="000000"/>
                <w:sz w:val="20"/>
                <w:szCs w:val="20"/>
                <w:shd w:val="clear" w:color="auto" w:fill="FFFFFF"/>
                <w:lang w:eastAsia="en-US"/>
              </w:rPr>
            </w:pPr>
            <w:r w:rsidRPr="00DF2CE2">
              <w:rPr>
                <w:rFonts w:ascii="Arial" w:eastAsia="Times" w:hAnsi="Arial" w:cs="Arial"/>
                <w:color w:val="000000"/>
                <w:sz w:val="20"/>
                <w:szCs w:val="20"/>
                <w:shd w:val="clear" w:color="auto" w:fill="FFFFFF"/>
                <w:lang w:eastAsia="en-US"/>
              </w:rPr>
              <w:t>Adult Inpatient</w:t>
            </w:r>
          </w:p>
        </w:tc>
        <w:tc>
          <w:tcPr>
            <w:tcW w:w="1698" w:type="dxa"/>
          </w:tcPr>
          <w:p w14:paraId="3CB91694" w14:textId="5BE57C68" w:rsidR="001E6E2B" w:rsidRPr="00DF2CE2" w:rsidRDefault="001E6E2B" w:rsidP="001E2A27">
            <w:pPr>
              <w:rPr>
                <w:rFonts w:ascii="Arial" w:eastAsia="Times" w:hAnsi="Arial" w:cs="Arial"/>
                <w:color w:val="000000"/>
                <w:sz w:val="20"/>
                <w:szCs w:val="20"/>
                <w:shd w:val="clear" w:color="auto" w:fill="FFFFFF"/>
                <w:lang w:eastAsia="en-US"/>
              </w:rPr>
            </w:pPr>
            <w:r w:rsidRPr="00DF2CE2">
              <w:rPr>
                <w:rFonts w:ascii="Arial" w:eastAsia="Times" w:hAnsi="Arial" w:cs="Arial"/>
                <w:color w:val="000000"/>
                <w:sz w:val="20"/>
                <w:szCs w:val="20"/>
                <w:shd w:val="clear" w:color="auto" w:fill="FFFFFF"/>
                <w:lang w:eastAsia="en-US"/>
              </w:rPr>
              <w:t>Change to program structure</w:t>
            </w:r>
          </w:p>
        </w:tc>
      </w:tr>
    </w:tbl>
    <w:p w14:paraId="4F990BF5" w14:textId="77777777" w:rsidR="001E6E2B" w:rsidRPr="00DF2CE2" w:rsidRDefault="001E6E2B" w:rsidP="001E6E2B">
      <w:pPr>
        <w:pStyle w:val="Heading3"/>
        <w:rPr>
          <w:sz w:val="20"/>
          <w:szCs w:val="20"/>
        </w:rPr>
      </w:pPr>
      <w:r w:rsidRPr="00DF2CE2">
        <w:rPr>
          <w:sz w:val="20"/>
          <w:szCs w:val="20"/>
        </w:rPr>
        <w:t>Program</w:t>
      </w:r>
    </w:p>
    <w:tbl>
      <w:tblPr>
        <w:tblStyle w:val="TableGrid"/>
        <w:tblW w:w="7964" w:type="dxa"/>
        <w:tblLayout w:type="fixed"/>
        <w:tblLook w:val="04A0" w:firstRow="1" w:lastRow="0" w:firstColumn="1" w:lastColumn="0" w:noHBand="0" w:noVBand="1"/>
      </w:tblPr>
      <w:tblGrid>
        <w:gridCol w:w="1438"/>
        <w:gridCol w:w="1517"/>
        <w:gridCol w:w="1681"/>
        <w:gridCol w:w="1818"/>
        <w:gridCol w:w="1510"/>
      </w:tblGrid>
      <w:tr w:rsidR="004F3D7D" w:rsidRPr="00DF2CE2" w14:paraId="0A1263FB" w14:textId="77777777" w:rsidTr="004F3D7D">
        <w:tc>
          <w:tcPr>
            <w:tcW w:w="1438" w:type="dxa"/>
            <w:tcBorders>
              <w:left w:val="single" w:sz="4" w:space="0" w:color="auto"/>
              <w:bottom w:val="single" w:sz="4" w:space="0" w:color="auto"/>
              <w:right w:val="single" w:sz="4" w:space="0" w:color="auto"/>
            </w:tcBorders>
            <w:shd w:val="clear" w:color="auto" w:fill="D9E2F3"/>
          </w:tcPr>
          <w:p w14:paraId="3D6CA473" w14:textId="77777777" w:rsidR="004F3D7D" w:rsidRPr="00DF2CE2" w:rsidRDefault="004F3D7D" w:rsidP="001E2A27">
            <w:pPr>
              <w:pStyle w:val="DHHSbody"/>
              <w:rPr>
                <w:b/>
              </w:rPr>
            </w:pPr>
            <w:r w:rsidRPr="00DF2CE2">
              <w:rPr>
                <w:b/>
              </w:rPr>
              <w:t>Description</w:t>
            </w:r>
          </w:p>
        </w:tc>
        <w:tc>
          <w:tcPr>
            <w:tcW w:w="1517" w:type="dxa"/>
            <w:tcBorders>
              <w:left w:val="single" w:sz="4" w:space="0" w:color="auto"/>
              <w:bottom w:val="single" w:sz="4" w:space="0" w:color="auto"/>
              <w:right w:val="single" w:sz="4" w:space="0" w:color="auto"/>
            </w:tcBorders>
            <w:shd w:val="clear" w:color="auto" w:fill="D9E2F3"/>
          </w:tcPr>
          <w:p w14:paraId="0BED9F94" w14:textId="77777777" w:rsidR="004F3D7D" w:rsidRPr="00DF2CE2" w:rsidRDefault="004F3D7D" w:rsidP="001E2A27">
            <w:pPr>
              <w:pStyle w:val="DHHSbody"/>
              <w:rPr>
                <w:b/>
              </w:rPr>
            </w:pPr>
            <w:r w:rsidRPr="00DF2CE2">
              <w:rPr>
                <w:b/>
              </w:rPr>
              <w:t>Classification</w:t>
            </w:r>
          </w:p>
        </w:tc>
        <w:tc>
          <w:tcPr>
            <w:tcW w:w="1681" w:type="dxa"/>
            <w:tcBorders>
              <w:left w:val="single" w:sz="4" w:space="0" w:color="auto"/>
              <w:bottom w:val="single" w:sz="4" w:space="0" w:color="auto"/>
              <w:right w:val="single" w:sz="4" w:space="0" w:color="auto"/>
            </w:tcBorders>
            <w:shd w:val="clear" w:color="auto" w:fill="D9E2F3"/>
          </w:tcPr>
          <w:p w14:paraId="360FB567" w14:textId="77777777" w:rsidR="004F3D7D" w:rsidRPr="00DF2CE2" w:rsidRDefault="004F3D7D" w:rsidP="001E2A27">
            <w:pPr>
              <w:pStyle w:val="DHHSbody"/>
              <w:rPr>
                <w:b/>
              </w:rPr>
            </w:pPr>
            <w:r w:rsidRPr="00DF2CE2">
              <w:rPr>
                <w:b/>
              </w:rPr>
              <w:t>Program Type</w:t>
            </w:r>
          </w:p>
        </w:tc>
        <w:tc>
          <w:tcPr>
            <w:tcW w:w="1818" w:type="dxa"/>
            <w:tcBorders>
              <w:left w:val="single" w:sz="4" w:space="0" w:color="auto"/>
              <w:bottom w:val="single" w:sz="4" w:space="0" w:color="auto"/>
              <w:right w:val="single" w:sz="4" w:space="0" w:color="auto"/>
            </w:tcBorders>
            <w:shd w:val="clear" w:color="auto" w:fill="D9E2F3"/>
          </w:tcPr>
          <w:p w14:paraId="13AEF295" w14:textId="77777777" w:rsidR="004F3D7D" w:rsidRPr="00DF2CE2" w:rsidRDefault="004F3D7D" w:rsidP="001E2A27">
            <w:pPr>
              <w:pStyle w:val="DHHSbody"/>
              <w:rPr>
                <w:b/>
              </w:rPr>
            </w:pPr>
            <w:r w:rsidRPr="00DF2CE2">
              <w:rPr>
                <w:b/>
              </w:rPr>
              <w:t>Target Population</w:t>
            </w:r>
          </w:p>
        </w:tc>
        <w:tc>
          <w:tcPr>
            <w:tcW w:w="1510" w:type="dxa"/>
            <w:tcBorders>
              <w:left w:val="single" w:sz="4" w:space="0" w:color="auto"/>
              <w:bottom w:val="single" w:sz="4" w:space="0" w:color="auto"/>
              <w:right w:val="single" w:sz="4" w:space="0" w:color="auto"/>
            </w:tcBorders>
            <w:shd w:val="clear" w:color="auto" w:fill="D9E2F3"/>
          </w:tcPr>
          <w:p w14:paraId="399D0084" w14:textId="77777777" w:rsidR="004F3D7D" w:rsidRPr="00DF2CE2" w:rsidRDefault="004F3D7D" w:rsidP="001E2A27">
            <w:pPr>
              <w:pStyle w:val="DHHSbody"/>
              <w:rPr>
                <w:b/>
              </w:rPr>
            </w:pPr>
            <w:r w:rsidRPr="00DF2CE2">
              <w:rPr>
                <w:b/>
              </w:rPr>
              <w:t>Fund Source</w:t>
            </w:r>
          </w:p>
        </w:tc>
      </w:tr>
      <w:tr w:rsidR="004F3D7D" w:rsidRPr="00DF2CE2" w14:paraId="6ABBC2EB" w14:textId="77777777" w:rsidTr="004F3D7D">
        <w:tc>
          <w:tcPr>
            <w:tcW w:w="1438" w:type="dxa"/>
            <w:tcBorders>
              <w:bottom w:val="single" w:sz="4" w:space="0" w:color="auto"/>
            </w:tcBorders>
          </w:tcPr>
          <w:p w14:paraId="7E9255BE" w14:textId="450FE9CA" w:rsidR="004F3D7D" w:rsidRPr="00B7374F" w:rsidRDefault="004F3D7D" w:rsidP="001E2A27">
            <w:pPr>
              <w:pStyle w:val="DHHSbody"/>
              <w:rPr>
                <w:rFonts w:cs="Arial"/>
                <w:color w:val="000000"/>
                <w:shd w:val="clear" w:color="auto" w:fill="FFFFFF"/>
                <w:lang w:eastAsia="en-US"/>
              </w:rPr>
            </w:pPr>
            <w:r>
              <w:rPr>
                <w:rFonts w:cs="Arial"/>
                <w:color w:val="000000"/>
                <w:shd w:val="clear" w:color="auto" w:fill="FFFFFF"/>
                <w:lang w:eastAsia="en-US"/>
              </w:rPr>
              <w:t>[</w:t>
            </w:r>
            <w:r w:rsidRPr="00B7374F">
              <w:rPr>
                <w:rFonts w:cs="Arial"/>
                <w:i/>
                <w:iCs/>
                <w:color w:val="000000"/>
                <w:shd w:val="clear" w:color="auto" w:fill="FFFFFF"/>
                <w:lang w:eastAsia="en-US"/>
              </w:rPr>
              <w:t>service decision</w:t>
            </w:r>
            <w:r>
              <w:rPr>
                <w:rFonts w:cs="Arial"/>
                <w:color w:val="000000"/>
                <w:shd w:val="clear" w:color="auto" w:fill="FFFFFF"/>
                <w:lang w:eastAsia="en-US"/>
              </w:rPr>
              <w:t>]-[</w:t>
            </w:r>
            <w:r w:rsidR="00D900A1">
              <w:rPr>
                <w:rFonts w:cs="Arial"/>
                <w:color w:val="000000"/>
                <w:shd w:val="clear" w:color="auto" w:fill="FFFFFF"/>
                <w:lang w:eastAsia="en-US"/>
              </w:rPr>
              <w:t xml:space="preserve"> </w:t>
            </w:r>
            <w:r w:rsidR="00E418BB">
              <w:rPr>
                <w:rFonts w:cs="Arial"/>
                <w:color w:val="000000"/>
                <w:shd w:val="clear" w:color="auto" w:fill="FFFFFF"/>
                <w:lang w:eastAsia="en-US"/>
              </w:rPr>
              <w:t>HITH</w:t>
            </w:r>
            <w:r w:rsidR="00D900A1">
              <w:rPr>
                <w:rFonts w:cs="Arial"/>
                <w:color w:val="000000"/>
                <w:shd w:val="clear" w:color="auto" w:fill="FFFFFF"/>
                <w:lang w:eastAsia="en-US"/>
              </w:rPr>
              <w:t xml:space="preserve"> </w:t>
            </w:r>
            <w:r>
              <w:rPr>
                <w:rFonts w:cs="Arial"/>
                <w:color w:val="000000"/>
                <w:shd w:val="clear" w:color="auto" w:fill="FFFFFF"/>
                <w:lang w:eastAsia="en-US"/>
              </w:rPr>
              <w:t>]</w:t>
            </w:r>
          </w:p>
        </w:tc>
        <w:tc>
          <w:tcPr>
            <w:tcW w:w="1517" w:type="dxa"/>
            <w:tcBorders>
              <w:bottom w:val="single" w:sz="4" w:space="0" w:color="auto"/>
            </w:tcBorders>
          </w:tcPr>
          <w:p w14:paraId="4EF057C1" w14:textId="47FE2B7C" w:rsidR="004F3D7D" w:rsidRPr="00DF2CE2" w:rsidRDefault="004F3D7D" w:rsidP="001E2A27">
            <w:pPr>
              <w:pStyle w:val="DHHSbody"/>
              <w:rPr>
                <w:rFonts w:cs="Arial"/>
                <w:color w:val="000000"/>
                <w:shd w:val="clear" w:color="auto" w:fill="FFFFFF"/>
                <w:lang w:eastAsia="en-US"/>
              </w:rPr>
            </w:pPr>
            <w:r w:rsidRPr="00DF2CE2">
              <w:rPr>
                <w:rFonts w:cs="Arial"/>
                <w:color w:val="000000"/>
                <w:shd w:val="clear" w:color="auto" w:fill="FFFFFF"/>
                <w:lang w:eastAsia="en-US"/>
              </w:rPr>
              <w:t xml:space="preserve">Acute, </w:t>
            </w:r>
            <w:r w:rsidR="00465CB2" w:rsidRPr="004F3D7D">
              <w:rPr>
                <w:rFonts w:cs="Arial"/>
                <w:color w:val="000000"/>
                <w:shd w:val="clear" w:color="auto" w:fill="FFFFFF"/>
                <w:lang w:eastAsia="en-US"/>
              </w:rPr>
              <w:t>General Adult</w:t>
            </w:r>
          </w:p>
        </w:tc>
        <w:tc>
          <w:tcPr>
            <w:tcW w:w="1681" w:type="dxa"/>
            <w:tcBorders>
              <w:bottom w:val="single" w:sz="4" w:space="0" w:color="auto"/>
            </w:tcBorders>
          </w:tcPr>
          <w:p w14:paraId="75635928" w14:textId="30F643B5" w:rsidR="004F3D7D" w:rsidRPr="00DF2CE2" w:rsidRDefault="004F3D7D" w:rsidP="00D253E9">
            <w:pPr>
              <w:rPr>
                <w:rFonts w:ascii="Arial" w:eastAsia="Times" w:hAnsi="Arial" w:cs="Arial"/>
                <w:color w:val="000000"/>
                <w:sz w:val="20"/>
                <w:szCs w:val="20"/>
                <w:shd w:val="clear" w:color="auto" w:fill="FFFFFF"/>
                <w:lang w:eastAsia="en-US"/>
              </w:rPr>
            </w:pPr>
            <w:r w:rsidRPr="004F3D7D">
              <w:rPr>
                <w:rFonts w:ascii="Arial" w:eastAsia="Times" w:hAnsi="Arial" w:cs="Arial"/>
                <w:color w:val="000000"/>
                <w:sz w:val="20"/>
                <w:szCs w:val="20"/>
                <w:shd w:val="clear" w:color="auto" w:fill="FFFFFF"/>
                <w:lang w:eastAsia="en-US"/>
              </w:rPr>
              <w:t>Acute,</w:t>
            </w:r>
            <w:r w:rsidR="00D900A1">
              <w:rPr>
                <w:rFonts w:ascii="Arial" w:eastAsia="Times" w:hAnsi="Arial" w:cs="Arial"/>
                <w:color w:val="000000"/>
                <w:sz w:val="20"/>
                <w:szCs w:val="20"/>
                <w:shd w:val="clear" w:color="auto" w:fill="FFFFFF"/>
                <w:lang w:eastAsia="en-US"/>
              </w:rPr>
              <w:t xml:space="preserve"> </w:t>
            </w:r>
            <w:r w:rsidR="00E418BB">
              <w:rPr>
                <w:rFonts w:ascii="Arial" w:eastAsia="Times" w:hAnsi="Arial" w:cs="Arial"/>
                <w:color w:val="000000"/>
                <w:sz w:val="20"/>
                <w:szCs w:val="20"/>
                <w:shd w:val="clear" w:color="auto" w:fill="FFFFFF"/>
                <w:lang w:eastAsia="en-US"/>
              </w:rPr>
              <w:t>HITH</w:t>
            </w:r>
            <w:r w:rsidR="00D900A1">
              <w:rPr>
                <w:rFonts w:ascii="Arial" w:eastAsia="Times" w:hAnsi="Arial" w:cs="Arial"/>
                <w:color w:val="000000"/>
                <w:sz w:val="20"/>
                <w:szCs w:val="20"/>
                <w:shd w:val="clear" w:color="auto" w:fill="FFFFFF"/>
                <w:lang w:eastAsia="en-US"/>
              </w:rPr>
              <w:t xml:space="preserve"> </w:t>
            </w:r>
            <w:r w:rsidRPr="004F3D7D">
              <w:rPr>
                <w:rFonts w:ascii="Arial" w:eastAsia="Times" w:hAnsi="Arial" w:cs="Arial"/>
                <w:color w:val="000000"/>
                <w:sz w:val="20"/>
                <w:szCs w:val="20"/>
                <w:shd w:val="clear" w:color="auto" w:fill="FFFFFF"/>
                <w:lang w:eastAsia="en-US"/>
              </w:rPr>
              <w:t xml:space="preserve"> General Adult</w:t>
            </w:r>
          </w:p>
        </w:tc>
        <w:tc>
          <w:tcPr>
            <w:tcW w:w="1818" w:type="dxa"/>
            <w:tcBorders>
              <w:bottom w:val="single" w:sz="4" w:space="0" w:color="auto"/>
            </w:tcBorders>
          </w:tcPr>
          <w:p w14:paraId="7F604FC2" w14:textId="05D67285" w:rsidR="004F3D7D" w:rsidRPr="00DF2CE2" w:rsidRDefault="004F3D7D" w:rsidP="001E2A27">
            <w:pPr>
              <w:pStyle w:val="DHHSbody"/>
              <w:rPr>
                <w:rFonts w:cs="Arial"/>
                <w:color w:val="000000"/>
                <w:shd w:val="clear" w:color="auto" w:fill="FFFFFF"/>
                <w:lang w:eastAsia="en-US"/>
              </w:rPr>
            </w:pPr>
            <w:r w:rsidRPr="004F3D7D">
              <w:rPr>
                <w:rFonts w:cs="Arial"/>
                <w:color w:val="000000"/>
                <w:shd w:val="clear" w:color="auto" w:fill="FFFFFF"/>
                <w:lang w:eastAsia="en-US"/>
              </w:rPr>
              <w:t>Non Specific</w:t>
            </w:r>
          </w:p>
        </w:tc>
        <w:tc>
          <w:tcPr>
            <w:tcW w:w="1510" w:type="dxa"/>
            <w:tcBorders>
              <w:bottom w:val="single" w:sz="4" w:space="0" w:color="auto"/>
            </w:tcBorders>
          </w:tcPr>
          <w:p w14:paraId="2CE0CBF9" w14:textId="6D82356B" w:rsidR="004F3D7D" w:rsidRPr="00DF2CE2" w:rsidRDefault="004F3D7D" w:rsidP="001E2A27">
            <w:pPr>
              <w:pStyle w:val="DHHSbody"/>
              <w:rPr>
                <w:rFonts w:cs="Arial"/>
                <w:color w:val="000000"/>
                <w:shd w:val="clear" w:color="auto" w:fill="FFFFFF"/>
                <w:lang w:eastAsia="en-US"/>
              </w:rPr>
            </w:pPr>
            <w:r w:rsidRPr="004F3D7D">
              <w:rPr>
                <w:rFonts w:cs="Arial"/>
                <w:color w:val="000000"/>
                <w:shd w:val="clear" w:color="auto" w:fill="FFFFFF"/>
                <w:lang w:eastAsia="en-US"/>
              </w:rPr>
              <w:t>Acute Inpatient - Adult</w:t>
            </w:r>
          </w:p>
        </w:tc>
      </w:tr>
      <w:bookmarkEnd w:id="4"/>
    </w:tbl>
    <w:p w14:paraId="7983C408" w14:textId="657333C4" w:rsidR="001E6E2B" w:rsidRDefault="001E6E2B"/>
    <w:p w14:paraId="35A01D5B" w14:textId="3816136C" w:rsidR="00EC25B9" w:rsidRPr="008C1C71" w:rsidRDefault="00EC25B9" w:rsidP="00EC25B9">
      <w:pPr>
        <w:pStyle w:val="Heading2"/>
      </w:pPr>
      <w:r>
        <w:t>CMI/ODS admission detail activity data</w:t>
      </w:r>
    </w:p>
    <w:p w14:paraId="471E811B" w14:textId="2CF02A05" w:rsidR="00EC25B9" w:rsidRPr="00D253E9" w:rsidRDefault="000E3F6D" w:rsidP="00EC25B9">
      <w:pPr>
        <w:pStyle w:val="DHHSbody"/>
        <w:numPr>
          <w:ilvl w:val="0"/>
          <w:numId w:val="13"/>
        </w:numPr>
        <w:jc w:val="both"/>
        <w:rPr>
          <w:sz w:val="22"/>
          <w:szCs w:val="22"/>
        </w:rPr>
      </w:pPr>
      <w:r>
        <w:rPr>
          <w:sz w:val="22"/>
          <w:szCs w:val="22"/>
        </w:rPr>
        <w:t>Data entry w</w:t>
      </w:r>
      <w:r w:rsidR="00EC25B9">
        <w:rPr>
          <w:sz w:val="22"/>
          <w:szCs w:val="22"/>
        </w:rPr>
        <w:t>ithin admission details</w:t>
      </w:r>
      <w:r>
        <w:rPr>
          <w:sz w:val="22"/>
          <w:szCs w:val="22"/>
        </w:rPr>
        <w:t xml:space="preserve"> for</w:t>
      </w:r>
      <w:r w:rsidR="00EC25B9">
        <w:rPr>
          <w:sz w:val="22"/>
          <w:szCs w:val="22"/>
        </w:rPr>
        <w:t xml:space="preserve"> accommodation type must be recorded as “</w:t>
      </w:r>
      <w:r w:rsidR="00EC25B9" w:rsidRPr="00D253E9">
        <w:rPr>
          <w:sz w:val="22"/>
          <w:szCs w:val="22"/>
        </w:rPr>
        <w:t xml:space="preserve">Hospital in the </w:t>
      </w:r>
      <w:r w:rsidR="009D0736">
        <w:rPr>
          <w:sz w:val="22"/>
          <w:szCs w:val="22"/>
        </w:rPr>
        <w:t>H</w:t>
      </w:r>
      <w:r w:rsidR="00EC25B9" w:rsidRPr="00D253E9">
        <w:rPr>
          <w:sz w:val="22"/>
          <w:szCs w:val="22"/>
        </w:rPr>
        <w:t>ome</w:t>
      </w:r>
      <w:r w:rsidR="00EC25B9">
        <w:rPr>
          <w:sz w:val="22"/>
          <w:szCs w:val="22"/>
        </w:rPr>
        <w:t>”.</w:t>
      </w:r>
    </w:p>
    <w:p w14:paraId="784BD65A" w14:textId="7740EB32" w:rsidR="00EC25B9" w:rsidRDefault="00EC25B9" w:rsidP="00EC25B9">
      <w:pPr>
        <w:pStyle w:val="DHHSbody"/>
        <w:numPr>
          <w:ilvl w:val="0"/>
          <w:numId w:val="13"/>
        </w:numPr>
        <w:jc w:val="both"/>
        <w:rPr>
          <w:sz w:val="22"/>
          <w:szCs w:val="22"/>
          <w:shd w:val="clear" w:color="auto" w:fill="FFFFFF"/>
        </w:rPr>
      </w:pPr>
      <w:r>
        <w:rPr>
          <w:sz w:val="22"/>
          <w:szCs w:val="22"/>
          <w:shd w:val="clear" w:color="auto" w:fill="FFFFFF"/>
        </w:rPr>
        <w:t xml:space="preserve">Whilst consumers </w:t>
      </w:r>
      <w:r w:rsidR="007669EA">
        <w:rPr>
          <w:sz w:val="22"/>
          <w:szCs w:val="22"/>
          <w:shd w:val="clear" w:color="auto" w:fill="FFFFFF"/>
        </w:rPr>
        <w:t xml:space="preserve">receiving </w:t>
      </w:r>
      <w:r w:rsidR="00E418BB">
        <w:rPr>
          <w:sz w:val="22"/>
          <w:szCs w:val="22"/>
          <w:shd w:val="clear" w:color="auto" w:fill="FFFFFF"/>
        </w:rPr>
        <w:t>HITH</w:t>
      </w:r>
      <w:r>
        <w:rPr>
          <w:sz w:val="22"/>
          <w:szCs w:val="22"/>
          <w:shd w:val="clear" w:color="auto" w:fill="FFFFFF"/>
        </w:rPr>
        <w:t xml:space="preserve"> must meet usual admission criteria, consumers cannot be on an </w:t>
      </w:r>
      <w:r w:rsidR="009D0736">
        <w:rPr>
          <w:sz w:val="22"/>
          <w:szCs w:val="22"/>
          <w:shd w:val="clear" w:color="auto" w:fill="FFFFFF"/>
        </w:rPr>
        <w:t>I</w:t>
      </w:r>
      <w:r>
        <w:rPr>
          <w:sz w:val="22"/>
          <w:szCs w:val="22"/>
          <w:shd w:val="clear" w:color="auto" w:fill="FFFFFF"/>
        </w:rPr>
        <w:t xml:space="preserve">npatient Treatment Order when receiving </w:t>
      </w:r>
      <w:r w:rsidR="00E418BB">
        <w:rPr>
          <w:sz w:val="22"/>
          <w:szCs w:val="22"/>
          <w:shd w:val="clear" w:color="auto" w:fill="FFFFFF"/>
        </w:rPr>
        <w:t>HITH</w:t>
      </w:r>
      <w:r>
        <w:rPr>
          <w:sz w:val="22"/>
          <w:szCs w:val="22"/>
          <w:shd w:val="clear" w:color="auto" w:fill="FFFFFF"/>
        </w:rPr>
        <w:t xml:space="preserve"> services. </w:t>
      </w:r>
      <w:r w:rsidR="007669EA">
        <w:rPr>
          <w:sz w:val="22"/>
          <w:szCs w:val="22"/>
          <w:shd w:val="clear" w:color="auto" w:fill="FFFFFF"/>
        </w:rPr>
        <w:t>C</w:t>
      </w:r>
      <w:r>
        <w:rPr>
          <w:sz w:val="22"/>
          <w:szCs w:val="22"/>
          <w:shd w:val="clear" w:color="auto" w:fill="FFFFFF"/>
        </w:rPr>
        <w:t xml:space="preserve">onsumers on an Inpatient Treatment Order must be </w:t>
      </w:r>
      <w:r w:rsidR="000E3F6D">
        <w:rPr>
          <w:sz w:val="22"/>
          <w:szCs w:val="22"/>
          <w:shd w:val="clear" w:color="auto" w:fill="FFFFFF"/>
        </w:rPr>
        <w:t xml:space="preserve">admitted </w:t>
      </w:r>
      <w:r w:rsidR="007669EA">
        <w:rPr>
          <w:sz w:val="22"/>
          <w:szCs w:val="22"/>
          <w:shd w:val="clear" w:color="auto" w:fill="FFFFFF"/>
        </w:rPr>
        <w:t>and treated</w:t>
      </w:r>
      <w:r>
        <w:rPr>
          <w:sz w:val="22"/>
          <w:szCs w:val="22"/>
          <w:shd w:val="clear" w:color="auto" w:fill="FFFFFF"/>
        </w:rPr>
        <w:t xml:space="preserve"> within a designated mental health </w:t>
      </w:r>
      <w:r w:rsidR="009D0736">
        <w:rPr>
          <w:sz w:val="22"/>
          <w:szCs w:val="22"/>
          <w:shd w:val="clear" w:color="auto" w:fill="FFFFFF"/>
        </w:rPr>
        <w:t>inpatient unit within a hospital setting</w:t>
      </w:r>
      <w:r>
        <w:rPr>
          <w:sz w:val="22"/>
          <w:szCs w:val="22"/>
          <w:shd w:val="clear" w:color="auto" w:fill="FFFFFF"/>
        </w:rPr>
        <w:t>.</w:t>
      </w:r>
    </w:p>
    <w:p w14:paraId="106B29F8" w14:textId="227F4ADD" w:rsidR="00EC25B9" w:rsidRPr="008C1C71" w:rsidRDefault="00EC25B9" w:rsidP="00EC25B9">
      <w:pPr>
        <w:pStyle w:val="DHHSbody"/>
        <w:numPr>
          <w:ilvl w:val="0"/>
          <w:numId w:val="13"/>
        </w:numPr>
        <w:jc w:val="both"/>
        <w:rPr>
          <w:sz w:val="22"/>
          <w:szCs w:val="22"/>
          <w:shd w:val="clear" w:color="auto" w:fill="FFFFFF"/>
        </w:rPr>
      </w:pPr>
      <w:r>
        <w:rPr>
          <w:sz w:val="22"/>
          <w:szCs w:val="22"/>
          <w:shd w:val="clear" w:color="auto" w:fill="FFFFFF"/>
        </w:rPr>
        <w:t xml:space="preserve">Leave: If the </w:t>
      </w:r>
      <w:r w:rsidR="00E418BB">
        <w:rPr>
          <w:sz w:val="22"/>
          <w:szCs w:val="22"/>
          <w:shd w:val="clear" w:color="auto" w:fill="FFFFFF"/>
        </w:rPr>
        <w:t>HITH</w:t>
      </w:r>
      <w:r>
        <w:rPr>
          <w:sz w:val="22"/>
          <w:szCs w:val="22"/>
          <w:shd w:val="clear" w:color="auto" w:fill="FFFFFF"/>
        </w:rPr>
        <w:t xml:space="preserve"> team does not provide </w:t>
      </w:r>
      <w:r w:rsidRPr="00403757">
        <w:rPr>
          <w:sz w:val="22"/>
          <w:szCs w:val="22"/>
          <w:u w:val="single"/>
          <w:shd w:val="clear" w:color="auto" w:fill="FFFFFF"/>
        </w:rPr>
        <w:t>in</w:t>
      </w:r>
      <w:r w:rsidR="009D0736">
        <w:rPr>
          <w:sz w:val="22"/>
          <w:szCs w:val="22"/>
          <w:u w:val="single"/>
          <w:shd w:val="clear" w:color="auto" w:fill="FFFFFF"/>
        </w:rPr>
        <w:t>-</w:t>
      </w:r>
      <w:r w:rsidRPr="00403757">
        <w:rPr>
          <w:sz w:val="22"/>
          <w:szCs w:val="22"/>
          <w:u w:val="single"/>
          <w:shd w:val="clear" w:color="auto" w:fill="FFFFFF"/>
        </w:rPr>
        <w:t>person</w:t>
      </w:r>
      <w:r>
        <w:rPr>
          <w:sz w:val="22"/>
          <w:szCs w:val="22"/>
          <w:shd w:val="clear" w:color="auto" w:fill="FFFFFF"/>
        </w:rPr>
        <w:t xml:space="preserve"> acute mental health treatment to a consumer on any day during the</w:t>
      </w:r>
      <w:r w:rsidR="007669EA">
        <w:rPr>
          <w:sz w:val="22"/>
          <w:szCs w:val="22"/>
          <w:shd w:val="clear" w:color="auto" w:fill="FFFFFF"/>
        </w:rPr>
        <w:t xml:space="preserve"> </w:t>
      </w:r>
      <w:r w:rsidR="00E418BB">
        <w:rPr>
          <w:sz w:val="22"/>
          <w:szCs w:val="22"/>
          <w:shd w:val="clear" w:color="auto" w:fill="FFFFFF"/>
        </w:rPr>
        <w:t>HITH</w:t>
      </w:r>
      <w:r>
        <w:rPr>
          <w:sz w:val="22"/>
          <w:szCs w:val="22"/>
          <w:shd w:val="clear" w:color="auto" w:fill="FFFFFF"/>
        </w:rPr>
        <w:t xml:space="preserve"> admission, these day/s must be recorded as “Leave with permission” in CMI/ODS. </w:t>
      </w:r>
    </w:p>
    <w:p w14:paraId="3414E60E" w14:textId="5ADF620D" w:rsidR="004F3D7D" w:rsidRPr="008C1C71" w:rsidRDefault="004F3D7D" w:rsidP="004F3D7D">
      <w:pPr>
        <w:pStyle w:val="Heading2"/>
      </w:pPr>
      <w:r>
        <w:t xml:space="preserve">CMI/ODS </w:t>
      </w:r>
      <w:r w:rsidR="00EC25B9">
        <w:t xml:space="preserve">contact </w:t>
      </w:r>
      <w:r>
        <w:t>activity data</w:t>
      </w:r>
    </w:p>
    <w:p w14:paraId="53CA3C37" w14:textId="5F397427" w:rsidR="00C47434" w:rsidRPr="00C47434" w:rsidRDefault="00465CB2" w:rsidP="00FE7B37">
      <w:pPr>
        <w:pStyle w:val="DHHSbody"/>
        <w:numPr>
          <w:ilvl w:val="0"/>
          <w:numId w:val="16"/>
        </w:numPr>
        <w:jc w:val="both"/>
      </w:pPr>
      <w:r>
        <w:rPr>
          <w:sz w:val="22"/>
          <w:szCs w:val="22"/>
          <w:shd w:val="clear" w:color="auto" w:fill="FFFFFF"/>
        </w:rPr>
        <w:t>Contact data</w:t>
      </w:r>
      <w:r w:rsidR="00FE7B37">
        <w:rPr>
          <w:sz w:val="22"/>
          <w:szCs w:val="22"/>
          <w:shd w:val="clear" w:color="auto" w:fill="FFFFFF"/>
        </w:rPr>
        <w:t xml:space="preserve"> reporting: Client service contacts provided by </w:t>
      </w:r>
      <w:r w:rsidR="00E418BB">
        <w:rPr>
          <w:sz w:val="22"/>
          <w:szCs w:val="22"/>
          <w:shd w:val="clear" w:color="auto" w:fill="FFFFFF"/>
        </w:rPr>
        <w:t>HITH</w:t>
      </w:r>
      <w:r w:rsidR="00FE7B37">
        <w:rPr>
          <w:sz w:val="22"/>
          <w:szCs w:val="22"/>
          <w:shd w:val="clear" w:color="auto" w:fill="FFFFFF"/>
        </w:rPr>
        <w:t xml:space="preserve"> clinicians</w:t>
      </w:r>
      <w:r w:rsidR="00344D60">
        <w:rPr>
          <w:sz w:val="22"/>
          <w:szCs w:val="22"/>
          <w:shd w:val="clear" w:color="auto" w:fill="FFFFFF"/>
        </w:rPr>
        <w:t xml:space="preserve">, including </w:t>
      </w:r>
      <w:r w:rsidR="00527ABF">
        <w:rPr>
          <w:sz w:val="22"/>
          <w:szCs w:val="22"/>
          <w:shd w:val="clear" w:color="auto" w:fill="FFFFFF"/>
        </w:rPr>
        <w:t>contacts</w:t>
      </w:r>
      <w:r w:rsidR="00344D60">
        <w:rPr>
          <w:sz w:val="22"/>
          <w:szCs w:val="22"/>
          <w:shd w:val="clear" w:color="auto" w:fill="FFFFFF"/>
        </w:rPr>
        <w:t xml:space="preserve"> with carers,</w:t>
      </w:r>
      <w:r>
        <w:rPr>
          <w:sz w:val="22"/>
          <w:szCs w:val="22"/>
          <w:shd w:val="clear" w:color="auto" w:fill="FFFFFF"/>
        </w:rPr>
        <w:t xml:space="preserve"> </w:t>
      </w:r>
      <w:r w:rsidR="00FE7B37">
        <w:rPr>
          <w:sz w:val="22"/>
          <w:szCs w:val="22"/>
          <w:shd w:val="clear" w:color="auto" w:fill="FFFFFF"/>
        </w:rPr>
        <w:t xml:space="preserve">are </w:t>
      </w:r>
      <w:r w:rsidR="00FE7B37" w:rsidRPr="00527ABF">
        <w:rPr>
          <w:b/>
          <w:bCs/>
          <w:sz w:val="22"/>
          <w:szCs w:val="22"/>
          <w:shd w:val="clear" w:color="auto" w:fill="FFFFFF"/>
        </w:rPr>
        <w:t>required</w:t>
      </w:r>
      <w:r w:rsidR="00FE7B37">
        <w:rPr>
          <w:sz w:val="22"/>
          <w:szCs w:val="22"/>
          <w:shd w:val="clear" w:color="auto" w:fill="FFFFFF"/>
        </w:rPr>
        <w:t xml:space="preserve"> to be entered into CMI/ODS where reportable</w:t>
      </w:r>
      <w:r w:rsidR="0017512B">
        <w:rPr>
          <w:sz w:val="22"/>
          <w:szCs w:val="22"/>
          <w:shd w:val="clear" w:color="auto" w:fill="FFFFFF"/>
        </w:rPr>
        <w:t xml:space="preserve"> contact</w:t>
      </w:r>
      <w:r w:rsidR="00FE7B37">
        <w:rPr>
          <w:sz w:val="22"/>
          <w:szCs w:val="22"/>
          <w:shd w:val="clear" w:color="auto" w:fill="FFFFFF"/>
        </w:rPr>
        <w:t xml:space="preserve"> criteria</w:t>
      </w:r>
      <w:r w:rsidR="00F70C24">
        <w:rPr>
          <w:sz w:val="22"/>
          <w:szCs w:val="22"/>
          <w:shd w:val="clear" w:color="auto" w:fill="FFFFFF"/>
        </w:rPr>
        <w:t xml:space="preserve"> </w:t>
      </w:r>
      <w:r w:rsidR="00344D60">
        <w:rPr>
          <w:sz w:val="22"/>
          <w:szCs w:val="22"/>
          <w:shd w:val="clear" w:color="auto" w:fill="FFFFFF"/>
        </w:rPr>
        <w:t>as defined</w:t>
      </w:r>
      <w:r w:rsidR="0017512B">
        <w:rPr>
          <w:sz w:val="22"/>
          <w:szCs w:val="22"/>
          <w:shd w:val="clear" w:color="auto" w:fill="FFFFFF"/>
        </w:rPr>
        <w:t xml:space="preserve"> in the </w:t>
      </w:r>
      <w:hyperlink r:id="rId17" w:history="1">
        <w:r w:rsidR="0017512B" w:rsidRPr="0017512B">
          <w:rPr>
            <w:rStyle w:val="Hyperlink"/>
            <w:sz w:val="22"/>
            <w:szCs w:val="22"/>
            <w:shd w:val="clear" w:color="auto" w:fill="FFFFFF"/>
          </w:rPr>
          <w:t>Contact PMC</w:t>
        </w:r>
      </w:hyperlink>
      <w:r w:rsidR="00FE7B37">
        <w:rPr>
          <w:sz w:val="22"/>
          <w:szCs w:val="22"/>
          <w:shd w:val="clear" w:color="auto" w:fill="FFFFFF"/>
        </w:rPr>
        <w:t xml:space="preserve"> </w:t>
      </w:r>
      <w:r w:rsidR="00344D60">
        <w:rPr>
          <w:sz w:val="22"/>
          <w:szCs w:val="22"/>
          <w:shd w:val="clear" w:color="auto" w:fill="FFFFFF"/>
        </w:rPr>
        <w:t xml:space="preserve">is met, </w:t>
      </w:r>
      <w:r w:rsidR="00FE7B37">
        <w:rPr>
          <w:sz w:val="22"/>
          <w:szCs w:val="22"/>
          <w:shd w:val="clear" w:color="auto" w:fill="FFFFFF"/>
        </w:rPr>
        <w:t>and</w:t>
      </w:r>
      <w:r w:rsidR="00C47434">
        <w:rPr>
          <w:sz w:val="22"/>
          <w:szCs w:val="22"/>
          <w:shd w:val="clear" w:color="auto" w:fill="FFFFFF"/>
        </w:rPr>
        <w:t xml:space="preserve"> the service medium is telephone/videoconference</w:t>
      </w:r>
      <w:r w:rsidR="00344D60">
        <w:rPr>
          <w:sz w:val="22"/>
          <w:szCs w:val="22"/>
          <w:shd w:val="clear" w:color="auto" w:fill="FFFFFF"/>
        </w:rPr>
        <w:t xml:space="preserve">, </w:t>
      </w:r>
      <w:r w:rsidR="00C47434">
        <w:rPr>
          <w:sz w:val="22"/>
          <w:szCs w:val="22"/>
          <w:shd w:val="clear" w:color="auto" w:fill="FFFFFF"/>
        </w:rPr>
        <w:t xml:space="preserve">other synchronous or </w:t>
      </w:r>
      <w:r w:rsidR="00344D60">
        <w:rPr>
          <w:sz w:val="22"/>
          <w:szCs w:val="22"/>
          <w:shd w:val="clear" w:color="auto" w:fill="FFFFFF"/>
        </w:rPr>
        <w:t xml:space="preserve">other </w:t>
      </w:r>
      <w:r w:rsidR="00C47434">
        <w:rPr>
          <w:sz w:val="22"/>
          <w:szCs w:val="22"/>
          <w:shd w:val="clear" w:color="auto" w:fill="FFFFFF"/>
        </w:rPr>
        <w:t xml:space="preserve">asynchronous. This data must be entered against the </w:t>
      </w:r>
      <w:r w:rsidR="00E418BB">
        <w:rPr>
          <w:sz w:val="22"/>
          <w:szCs w:val="22"/>
          <w:shd w:val="clear" w:color="auto" w:fill="FFFFFF"/>
        </w:rPr>
        <w:t>HITH</w:t>
      </w:r>
      <w:r w:rsidR="00C47434">
        <w:rPr>
          <w:sz w:val="22"/>
          <w:szCs w:val="22"/>
          <w:shd w:val="clear" w:color="auto" w:fill="FFFFFF"/>
        </w:rPr>
        <w:t xml:space="preserve"> </w:t>
      </w:r>
      <w:r w:rsidR="00344D60">
        <w:rPr>
          <w:sz w:val="22"/>
          <w:szCs w:val="22"/>
          <w:shd w:val="clear" w:color="auto" w:fill="FFFFFF"/>
        </w:rPr>
        <w:t xml:space="preserve">inpatient </w:t>
      </w:r>
      <w:r w:rsidR="00C47434">
        <w:rPr>
          <w:sz w:val="22"/>
          <w:szCs w:val="22"/>
          <w:shd w:val="clear" w:color="auto" w:fill="FFFFFF"/>
        </w:rPr>
        <w:t>subcentre.</w:t>
      </w:r>
      <w:r w:rsidR="00E418BB">
        <w:rPr>
          <w:sz w:val="22"/>
          <w:szCs w:val="22"/>
          <w:shd w:val="clear" w:color="auto" w:fill="FFFFFF"/>
        </w:rPr>
        <w:t xml:space="preserve"> </w:t>
      </w:r>
    </w:p>
    <w:p w14:paraId="1A710BFA" w14:textId="35E507E3" w:rsidR="00C47434" w:rsidRPr="00E418BB" w:rsidRDefault="00C47434" w:rsidP="00FE7B37">
      <w:pPr>
        <w:pStyle w:val="DHHSbody"/>
        <w:numPr>
          <w:ilvl w:val="0"/>
          <w:numId w:val="16"/>
        </w:numPr>
        <w:jc w:val="both"/>
      </w:pPr>
      <w:r>
        <w:rPr>
          <w:sz w:val="22"/>
          <w:szCs w:val="22"/>
          <w:shd w:val="clear" w:color="auto" w:fill="FFFFFF"/>
        </w:rPr>
        <w:t xml:space="preserve">Reporting of </w:t>
      </w:r>
      <w:r w:rsidR="00E418BB">
        <w:rPr>
          <w:sz w:val="22"/>
          <w:szCs w:val="22"/>
          <w:shd w:val="clear" w:color="auto" w:fill="FFFFFF"/>
        </w:rPr>
        <w:t xml:space="preserve">in-person </w:t>
      </w:r>
      <w:r>
        <w:rPr>
          <w:sz w:val="22"/>
          <w:szCs w:val="22"/>
          <w:shd w:val="clear" w:color="auto" w:fill="FFFFFF"/>
        </w:rPr>
        <w:t>contacts</w:t>
      </w:r>
      <w:r w:rsidR="00D32CE5">
        <w:rPr>
          <w:sz w:val="22"/>
          <w:szCs w:val="22"/>
          <w:shd w:val="clear" w:color="auto" w:fill="FFFFFF"/>
        </w:rPr>
        <w:t>,</w:t>
      </w:r>
      <w:r>
        <w:rPr>
          <w:sz w:val="22"/>
          <w:szCs w:val="22"/>
          <w:shd w:val="clear" w:color="auto" w:fill="FFFFFF"/>
        </w:rPr>
        <w:t xml:space="preserve"> </w:t>
      </w:r>
      <w:r w:rsidR="00D32CE5">
        <w:rPr>
          <w:sz w:val="22"/>
          <w:szCs w:val="22"/>
          <w:shd w:val="clear" w:color="auto" w:fill="FFFFFF"/>
        </w:rPr>
        <w:t>ie</w:t>
      </w:r>
      <w:r>
        <w:rPr>
          <w:sz w:val="22"/>
          <w:szCs w:val="22"/>
          <w:shd w:val="clear" w:color="auto" w:fill="FFFFFF"/>
        </w:rPr>
        <w:t xml:space="preserve"> service medium of Direct</w:t>
      </w:r>
      <w:r w:rsidR="00D32CE5">
        <w:rPr>
          <w:sz w:val="22"/>
          <w:szCs w:val="22"/>
          <w:shd w:val="clear" w:color="auto" w:fill="FFFFFF"/>
        </w:rPr>
        <w:t>:</w:t>
      </w:r>
      <w:r>
        <w:rPr>
          <w:sz w:val="22"/>
          <w:szCs w:val="22"/>
          <w:shd w:val="clear" w:color="auto" w:fill="FFFFFF"/>
        </w:rPr>
        <w:t xml:space="preserve"> “</w:t>
      </w:r>
      <w:r w:rsidRPr="00D900A1">
        <w:rPr>
          <w:sz w:val="22"/>
          <w:szCs w:val="22"/>
          <w:shd w:val="clear" w:color="auto" w:fill="FFFFFF"/>
        </w:rPr>
        <w:t>A service provided face to face in the same room or other environment as the client or other service recipient</w:t>
      </w:r>
      <w:r>
        <w:rPr>
          <w:sz w:val="22"/>
          <w:szCs w:val="22"/>
          <w:shd w:val="clear" w:color="auto" w:fill="FFFFFF"/>
        </w:rPr>
        <w:t xml:space="preserve">”, is </w:t>
      </w:r>
      <w:r w:rsidRPr="00527ABF">
        <w:rPr>
          <w:b/>
          <w:bCs/>
          <w:sz w:val="22"/>
          <w:szCs w:val="22"/>
          <w:shd w:val="clear" w:color="auto" w:fill="FFFFFF"/>
        </w:rPr>
        <w:t>not required</w:t>
      </w:r>
      <w:r>
        <w:rPr>
          <w:sz w:val="22"/>
          <w:szCs w:val="22"/>
          <w:shd w:val="clear" w:color="auto" w:fill="FFFFFF"/>
        </w:rPr>
        <w:t xml:space="preserve">, </w:t>
      </w:r>
      <w:r w:rsidR="00E418BB">
        <w:rPr>
          <w:sz w:val="22"/>
          <w:szCs w:val="22"/>
          <w:shd w:val="clear" w:color="auto" w:fill="FFFFFF"/>
        </w:rPr>
        <w:t>but</w:t>
      </w:r>
      <w:r>
        <w:rPr>
          <w:sz w:val="22"/>
          <w:szCs w:val="22"/>
          <w:shd w:val="clear" w:color="auto" w:fill="FFFFFF"/>
        </w:rPr>
        <w:t xml:space="preserve"> is optional. </w:t>
      </w:r>
      <w:r w:rsidR="00D32CE5">
        <w:rPr>
          <w:sz w:val="22"/>
          <w:szCs w:val="22"/>
          <w:shd w:val="clear" w:color="auto" w:fill="FFFFFF"/>
        </w:rPr>
        <w:t>Admitted d</w:t>
      </w:r>
      <w:r>
        <w:rPr>
          <w:sz w:val="22"/>
          <w:szCs w:val="22"/>
          <w:shd w:val="clear" w:color="auto" w:fill="FFFFFF"/>
        </w:rPr>
        <w:t xml:space="preserve">ays with </w:t>
      </w:r>
      <w:r w:rsidR="00E418BB">
        <w:rPr>
          <w:sz w:val="22"/>
          <w:szCs w:val="22"/>
          <w:shd w:val="clear" w:color="auto" w:fill="FFFFFF"/>
        </w:rPr>
        <w:t xml:space="preserve">in-person </w:t>
      </w:r>
      <w:r>
        <w:rPr>
          <w:sz w:val="22"/>
          <w:szCs w:val="22"/>
          <w:shd w:val="clear" w:color="auto" w:fill="FFFFFF"/>
        </w:rPr>
        <w:t xml:space="preserve">direct </w:t>
      </w:r>
      <w:r w:rsidR="00D32CE5">
        <w:rPr>
          <w:sz w:val="22"/>
          <w:szCs w:val="22"/>
          <w:shd w:val="clear" w:color="auto" w:fill="FFFFFF"/>
        </w:rPr>
        <w:t>treatment</w:t>
      </w:r>
      <w:r w:rsidR="00E418BB">
        <w:rPr>
          <w:sz w:val="22"/>
          <w:szCs w:val="22"/>
          <w:shd w:val="clear" w:color="auto" w:fill="FFFFFF"/>
        </w:rPr>
        <w:t xml:space="preserve"> </w:t>
      </w:r>
      <w:r>
        <w:rPr>
          <w:sz w:val="22"/>
          <w:szCs w:val="22"/>
          <w:shd w:val="clear" w:color="auto" w:fill="FFFFFF"/>
        </w:rPr>
        <w:t xml:space="preserve">will be derived using the leave function. </w:t>
      </w:r>
      <w:bookmarkStart w:id="5" w:name="_GoBack"/>
      <w:bookmarkEnd w:id="5"/>
    </w:p>
    <w:p w14:paraId="711EA2FD" w14:textId="5EDD2B42" w:rsidR="00AC6062" w:rsidRDefault="00E418BB" w:rsidP="00FE7B37">
      <w:pPr>
        <w:pStyle w:val="DHHSbody"/>
        <w:numPr>
          <w:ilvl w:val="0"/>
          <w:numId w:val="16"/>
        </w:numPr>
        <w:jc w:val="both"/>
        <w:rPr>
          <w:sz w:val="22"/>
          <w:szCs w:val="22"/>
          <w:shd w:val="clear" w:color="auto" w:fill="FFFFFF"/>
        </w:rPr>
      </w:pPr>
      <w:r>
        <w:rPr>
          <w:sz w:val="22"/>
          <w:szCs w:val="22"/>
          <w:shd w:val="clear" w:color="auto" w:fill="FFFFFF"/>
        </w:rPr>
        <w:t>Please note these HITH contacts do not contribute to ambulatory mental health service hour targets</w:t>
      </w:r>
      <w:r w:rsidR="00344D60">
        <w:rPr>
          <w:sz w:val="22"/>
          <w:szCs w:val="22"/>
          <w:shd w:val="clear" w:color="auto" w:fill="FFFFFF"/>
        </w:rPr>
        <w:t>. Contacts outlined above are required to be reported to support HITH service evaluation.</w:t>
      </w:r>
    </w:p>
    <w:p w14:paraId="3F5FA864" w14:textId="07405AE1" w:rsidR="00AC6062" w:rsidRDefault="00AC6062" w:rsidP="00AC6062">
      <w:pPr>
        <w:pStyle w:val="Heading2"/>
      </w:pPr>
      <w:r>
        <w:t>Mental Health Establishments (MHE) reporting</w:t>
      </w:r>
    </w:p>
    <w:p w14:paraId="4AEB2C0D" w14:textId="6A6CCE5A" w:rsidR="00AC6062" w:rsidRPr="003F7953" w:rsidRDefault="00AC6062" w:rsidP="00E304B7">
      <w:pPr>
        <w:pStyle w:val="DHHSbody"/>
        <w:numPr>
          <w:ilvl w:val="0"/>
          <w:numId w:val="18"/>
        </w:numPr>
        <w:jc w:val="both"/>
        <w:rPr>
          <w:sz w:val="22"/>
          <w:szCs w:val="22"/>
          <w:shd w:val="clear" w:color="auto" w:fill="FFFFFF"/>
        </w:rPr>
      </w:pPr>
      <w:r w:rsidRPr="003F7953">
        <w:rPr>
          <w:sz w:val="22"/>
          <w:szCs w:val="22"/>
          <w:shd w:val="clear" w:color="auto" w:fill="FFFFFF"/>
        </w:rPr>
        <w:t>Please note that updates will be made to the MHE 2020/21</w:t>
      </w:r>
      <w:r w:rsidR="006320AE" w:rsidRPr="003F7953">
        <w:rPr>
          <w:sz w:val="22"/>
          <w:szCs w:val="22"/>
          <w:shd w:val="clear" w:color="auto" w:fill="FFFFFF"/>
        </w:rPr>
        <w:t xml:space="preserve"> collection</w:t>
      </w:r>
      <w:r w:rsidR="00FE603B">
        <w:rPr>
          <w:sz w:val="22"/>
          <w:szCs w:val="22"/>
          <w:shd w:val="clear" w:color="auto" w:fill="FFFFFF"/>
        </w:rPr>
        <w:t xml:space="preserve"> for HITH</w:t>
      </w:r>
      <w:r w:rsidR="00E304B7">
        <w:rPr>
          <w:sz w:val="22"/>
          <w:szCs w:val="22"/>
          <w:shd w:val="clear" w:color="auto" w:fill="FFFFFF"/>
        </w:rPr>
        <w:t>. As the MHE reporting period is lagged by one year, the changes will be</w:t>
      </w:r>
      <w:r w:rsidR="006320AE" w:rsidRPr="003F7953">
        <w:rPr>
          <w:sz w:val="22"/>
          <w:szCs w:val="22"/>
          <w:shd w:val="clear" w:color="auto" w:fill="FFFFFF"/>
        </w:rPr>
        <w:t xml:space="preserve"> made available in late 2021 within HealthCollect</w:t>
      </w:r>
      <w:r w:rsidRPr="003F7953">
        <w:rPr>
          <w:sz w:val="22"/>
          <w:szCs w:val="22"/>
          <w:shd w:val="clear" w:color="auto" w:fill="FFFFFF"/>
        </w:rPr>
        <w:t xml:space="preserve"> to support reporting of </w:t>
      </w:r>
      <w:r w:rsidR="00E304B7" w:rsidRPr="003F7953">
        <w:rPr>
          <w:sz w:val="22"/>
          <w:szCs w:val="22"/>
          <w:shd w:val="clear" w:color="auto" w:fill="FFFFFF"/>
        </w:rPr>
        <w:t>HITH beds</w:t>
      </w:r>
      <w:r w:rsidRPr="003F7953">
        <w:rPr>
          <w:sz w:val="22"/>
          <w:szCs w:val="22"/>
          <w:shd w:val="clear" w:color="auto" w:fill="FFFFFF"/>
        </w:rPr>
        <w:t xml:space="preserve">, as part of psychiatric inpatient reporting. </w:t>
      </w:r>
    </w:p>
    <w:p w14:paraId="58F3228C" w14:textId="503089AD" w:rsidR="00AC6062" w:rsidRDefault="00AC6062" w:rsidP="00FE7B37">
      <w:pPr>
        <w:pStyle w:val="DHHSbody"/>
        <w:numPr>
          <w:ilvl w:val="0"/>
          <w:numId w:val="16"/>
        </w:numPr>
        <w:jc w:val="both"/>
        <w:rPr>
          <w:sz w:val="22"/>
          <w:szCs w:val="22"/>
          <w:shd w:val="clear" w:color="auto" w:fill="FFFFFF"/>
        </w:rPr>
      </w:pPr>
      <w:r>
        <w:rPr>
          <w:sz w:val="22"/>
          <w:szCs w:val="22"/>
          <w:shd w:val="clear" w:color="auto" w:fill="FFFFFF"/>
        </w:rPr>
        <w:br w:type="page"/>
      </w:r>
    </w:p>
    <w:p w14:paraId="0D045EB3" w14:textId="77777777" w:rsidR="00E418BB" w:rsidRPr="00C47434" w:rsidRDefault="00E418BB" w:rsidP="003F7953">
      <w:pPr>
        <w:pStyle w:val="DHHSbody"/>
        <w:jc w:val="both"/>
      </w:pPr>
    </w:p>
    <w:p w14:paraId="41F12F77" w14:textId="77777777" w:rsidR="00B20169" w:rsidRPr="00E91666" w:rsidRDefault="00B20169" w:rsidP="00B20169">
      <w:pPr>
        <w:pStyle w:val="Heading2"/>
      </w:pPr>
      <w:r>
        <w:t>Further information</w:t>
      </w:r>
    </w:p>
    <w:p w14:paraId="5CB6C777" w14:textId="44E19A73" w:rsidR="00B20169" w:rsidRPr="00295E3A" w:rsidRDefault="003D3D2F" w:rsidP="00295E3A">
      <w:pPr>
        <w:pStyle w:val="Healthbody"/>
        <w:spacing w:after="0" w:line="360" w:lineRule="auto"/>
        <w:jc w:val="both"/>
        <w:rPr>
          <w:rStyle w:val="Hyperlink"/>
          <w:color w:val="auto"/>
          <w:sz w:val="22"/>
          <w:szCs w:val="22"/>
        </w:rPr>
      </w:pPr>
      <w:r w:rsidRPr="00295E3A">
        <w:rPr>
          <w:rFonts w:eastAsia="Times"/>
          <w:sz w:val="22"/>
          <w:szCs w:val="22"/>
          <w:shd w:val="clear" w:color="auto" w:fill="FFFFFF"/>
        </w:rPr>
        <w:t xml:space="preserve">This bulletin has been developed by the </w:t>
      </w:r>
      <w:r w:rsidR="007D6CAD">
        <w:rPr>
          <w:rFonts w:eastAsia="Times"/>
          <w:sz w:val="22"/>
          <w:szCs w:val="22"/>
          <w:shd w:val="clear" w:color="auto" w:fill="FFFFFF"/>
        </w:rPr>
        <w:t>M</w:t>
      </w:r>
      <w:r w:rsidRPr="00295E3A">
        <w:rPr>
          <w:rFonts w:eastAsia="Times"/>
          <w:sz w:val="22"/>
          <w:szCs w:val="22"/>
          <w:shd w:val="clear" w:color="auto" w:fill="FFFFFF"/>
        </w:rPr>
        <w:t xml:space="preserve">ental </w:t>
      </w:r>
      <w:r w:rsidR="007D6CAD">
        <w:rPr>
          <w:rFonts w:eastAsia="Times"/>
          <w:sz w:val="22"/>
          <w:szCs w:val="22"/>
          <w:shd w:val="clear" w:color="auto" w:fill="FFFFFF"/>
        </w:rPr>
        <w:t>H</w:t>
      </w:r>
      <w:r w:rsidRPr="00295E3A">
        <w:rPr>
          <w:rFonts w:eastAsia="Times"/>
          <w:sz w:val="22"/>
          <w:szCs w:val="22"/>
          <w:shd w:val="clear" w:color="auto" w:fill="FFFFFF"/>
        </w:rPr>
        <w:t xml:space="preserve">ealth and </w:t>
      </w:r>
      <w:r w:rsidR="007D6CAD">
        <w:rPr>
          <w:rFonts w:eastAsia="Times"/>
          <w:sz w:val="22"/>
          <w:szCs w:val="22"/>
          <w:shd w:val="clear" w:color="auto" w:fill="FFFFFF"/>
        </w:rPr>
        <w:t>D</w:t>
      </w:r>
      <w:r w:rsidRPr="00295E3A">
        <w:rPr>
          <w:rFonts w:eastAsia="Times"/>
          <w:sz w:val="22"/>
          <w:szCs w:val="22"/>
          <w:shd w:val="clear" w:color="auto" w:fill="FFFFFF"/>
        </w:rPr>
        <w:t xml:space="preserve">rugs </w:t>
      </w:r>
      <w:r w:rsidR="007D6CAD">
        <w:rPr>
          <w:rFonts w:eastAsia="Times"/>
          <w:sz w:val="22"/>
          <w:szCs w:val="22"/>
          <w:shd w:val="clear" w:color="auto" w:fill="FFFFFF"/>
        </w:rPr>
        <w:t>D</w:t>
      </w:r>
      <w:r w:rsidRPr="00295E3A">
        <w:rPr>
          <w:rFonts w:eastAsia="Times"/>
          <w:sz w:val="22"/>
          <w:szCs w:val="22"/>
          <w:shd w:val="clear" w:color="auto" w:fill="FFFFFF"/>
        </w:rPr>
        <w:t>ata team. For further information, p</w:t>
      </w:r>
      <w:r w:rsidR="00B20169" w:rsidRPr="00295E3A">
        <w:rPr>
          <w:rFonts w:eastAsia="Times"/>
          <w:sz w:val="22"/>
          <w:szCs w:val="22"/>
          <w:shd w:val="clear" w:color="auto" w:fill="FFFFFF"/>
        </w:rPr>
        <w:t>lease email</w:t>
      </w:r>
      <w:r w:rsidR="00B20169" w:rsidRPr="00295E3A">
        <w:rPr>
          <w:rFonts w:cs="Arial"/>
          <w:sz w:val="22"/>
          <w:szCs w:val="22"/>
        </w:rPr>
        <w:t xml:space="preserve">: </w:t>
      </w:r>
      <w:hyperlink r:id="rId18" w:history="1">
        <w:r w:rsidR="00B20169" w:rsidRPr="00295E3A">
          <w:rPr>
            <w:rStyle w:val="Hyperlink"/>
            <w:color w:val="auto"/>
            <w:sz w:val="22"/>
            <w:szCs w:val="22"/>
          </w:rPr>
          <w:t>MHDReporting@dhhs.vic.gov.au</w:t>
        </w:r>
      </w:hyperlink>
      <w:r w:rsidR="00D900A1">
        <w:rPr>
          <w:rStyle w:val="Hyperlink"/>
          <w:color w:val="auto"/>
          <w:sz w:val="22"/>
          <w:szCs w:val="22"/>
        </w:rPr>
        <w:t xml:space="preserve"> </w:t>
      </w:r>
    </w:p>
    <w:p w14:paraId="54B86B17" w14:textId="12EADE50" w:rsidR="00B20169" w:rsidRDefault="00B20169"/>
    <w:tbl>
      <w:tblPr>
        <w:tblW w:w="4800" w:type="pct"/>
        <w:tblInd w:w="113" w:type="dxa"/>
        <w:tblCellMar>
          <w:top w:w="113" w:type="dxa"/>
          <w:bottom w:w="57" w:type="dxa"/>
        </w:tblCellMar>
        <w:tblLook w:val="00A0" w:firstRow="1" w:lastRow="0" w:firstColumn="1" w:lastColumn="0" w:noHBand="0" w:noVBand="0"/>
      </w:tblPr>
      <w:tblGrid>
        <w:gridCol w:w="9786"/>
      </w:tblGrid>
      <w:tr w:rsidR="00D253E9" w:rsidRPr="002802E3" w14:paraId="7B35BE19" w14:textId="77777777" w:rsidTr="008F2B71">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87639EC" w14:textId="77777777" w:rsidR="00D253E9" w:rsidRPr="00BA5EAE" w:rsidRDefault="00D253E9" w:rsidP="008F2B71">
            <w:pPr>
              <w:pStyle w:val="DHHSaccessibilitypara"/>
            </w:pPr>
            <w:r w:rsidRPr="00BA5EAE">
              <w:t xml:space="preserve">To receive this publication in an accessible format email </w:t>
            </w:r>
            <w:hyperlink r:id="rId19" w:history="1">
              <w:r w:rsidRPr="00BA5EAE">
                <w:rPr>
                  <w:rStyle w:val="Hyperlink"/>
                </w:rPr>
                <w:t>MHDReporting@dhhs.vic.gov.au</w:t>
              </w:r>
            </w:hyperlink>
          </w:p>
          <w:p w14:paraId="2A98DC62" w14:textId="77777777" w:rsidR="00D253E9" w:rsidRPr="00BA5EAE" w:rsidRDefault="00D253E9" w:rsidP="008F2B71">
            <w:pPr>
              <w:pStyle w:val="DHHSbody"/>
            </w:pPr>
            <w:r w:rsidRPr="00BA5EAE">
              <w:t>Authorised and published by the Victorian Government, 1 Treasury Place, Melbourne.</w:t>
            </w:r>
          </w:p>
          <w:p w14:paraId="454B778A" w14:textId="02E63742" w:rsidR="00D253E9" w:rsidRPr="00BA5EAE" w:rsidRDefault="00D253E9" w:rsidP="008F2B71">
            <w:pPr>
              <w:pStyle w:val="DHHSbody"/>
            </w:pPr>
            <w:r w:rsidRPr="00BA5EAE">
              <w:t>© State of Victoria, Department of Health and Human Services</w:t>
            </w:r>
            <w:r w:rsidR="00295E3A">
              <w:t xml:space="preserve">. </w:t>
            </w:r>
            <w:r w:rsidR="00AC6062">
              <w:t>October</w:t>
            </w:r>
            <w:r w:rsidRPr="00BA5EAE">
              <w:t>, 20</w:t>
            </w:r>
            <w:r>
              <w:t>20</w:t>
            </w:r>
            <w:r w:rsidRPr="00BA5EAE">
              <w:t>.</w:t>
            </w:r>
          </w:p>
        </w:tc>
      </w:tr>
    </w:tbl>
    <w:p w14:paraId="016C72A1" w14:textId="77777777" w:rsidR="00D253E9" w:rsidRDefault="00D253E9" w:rsidP="007669EA"/>
    <w:sectPr w:rsidR="00D253E9"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544A" w14:textId="77777777" w:rsidR="00C62B11" w:rsidRDefault="00C62B11" w:rsidP="00964E45">
      <w:r>
        <w:separator/>
      </w:r>
    </w:p>
  </w:endnote>
  <w:endnote w:type="continuationSeparator" w:id="0">
    <w:p w14:paraId="63FC6B84" w14:textId="77777777" w:rsidR="00C62B11" w:rsidRDefault="00C62B11" w:rsidP="009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4557" w14:textId="77777777" w:rsidR="00527ABF" w:rsidRDefault="00527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19A7" w14:textId="66F2FEE6" w:rsidR="009D70A4" w:rsidRPr="00F65AA9" w:rsidRDefault="003D3D2F"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1329A8C8" wp14:editId="1A845730">
              <wp:simplePos x="0" y="0"/>
              <wp:positionH relativeFrom="page">
                <wp:posOffset>0</wp:posOffset>
              </wp:positionH>
              <wp:positionV relativeFrom="page">
                <wp:posOffset>10234930</wp:posOffset>
              </wp:positionV>
              <wp:extent cx="7560310" cy="266700"/>
              <wp:effectExtent l="0" t="0" r="0" b="0"/>
              <wp:wrapNone/>
              <wp:docPr id="1" name="MSIPCM065f43b7b0dc42ab1fb9ae6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15B8C4" w14:textId="50E7EBB0"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29A8C8" id="_x0000_t202" coordsize="21600,21600" o:spt="202" path="m,l,21600r21600,l21600,xe">
              <v:stroke joinstyle="miter"/>
              <v:path gradientshapeok="t" o:connecttype="rect"/>
            </v:shapetype>
            <v:shape id="MSIPCM065f43b7b0dc42ab1fb9ae61"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S8ChbqwCAABFBQAADgAAAAAA&#10;AAAAAAAAAAAuAgAAZHJzL2Uyb0RvYy54bWxQSwECLQAUAAYACAAAACEAg7KPK98AAAALAQAADwAA&#10;AAAAAAAAAAAAAAAGBQAAZHJzL2Rvd25yZXYueG1sUEsFBgAAAAAEAAQA8wAAABIGAAAAAA==&#10;" o:allowincell="f" filled="f" stroked="f" strokeweight=".5pt">
              <v:textbox inset=",0,,0">
                <w:txbxContent>
                  <w:p w14:paraId="1A15B8C4" w14:textId="50E7EBB0"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v:textbox>
              <w10:wrap anchorx="page" anchory="page"/>
            </v:shape>
          </w:pict>
        </mc:Fallback>
      </mc:AlternateContent>
    </w:r>
    <w:r w:rsidR="00F63F28">
      <w:rPr>
        <w:noProof/>
        <w:lang w:eastAsia="en-AU"/>
      </w:rPr>
      <w:drawing>
        <wp:anchor distT="0" distB="0" distL="114300" distR="114300" simplePos="0" relativeHeight="251657216" behindDoc="0" locked="1" layoutInCell="0" allowOverlap="1" wp14:anchorId="0DC06F70" wp14:editId="2A7FE25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B91D" w14:textId="58AC3468" w:rsidR="003D3D2F" w:rsidRDefault="003D3D2F">
    <w:pPr>
      <w:pStyle w:val="Footer"/>
    </w:pPr>
    <w:r>
      <w:rPr>
        <w:noProof/>
      </w:rPr>
      <mc:AlternateContent>
        <mc:Choice Requires="wps">
          <w:drawing>
            <wp:anchor distT="0" distB="0" distL="114300" distR="114300" simplePos="1" relativeHeight="251660288" behindDoc="0" locked="0" layoutInCell="0" allowOverlap="1" wp14:anchorId="616355F1" wp14:editId="609FEF65">
              <wp:simplePos x="0" y="10234930"/>
              <wp:positionH relativeFrom="page">
                <wp:posOffset>0</wp:posOffset>
              </wp:positionH>
              <wp:positionV relativeFrom="page">
                <wp:posOffset>10234930</wp:posOffset>
              </wp:positionV>
              <wp:extent cx="7560310" cy="266700"/>
              <wp:effectExtent l="0" t="0" r="0" b="0"/>
              <wp:wrapNone/>
              <wp:docPr id="2" name="MSIPCM45aa47989186a25380d3bad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CCBFE" w14:textId="79A400D8"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6355F1" id="_x0000_t202" coordsize="21600,21600" o:spt="202" path="m,l,21600r21600,l21600,xe">
              <v:stroke joinstyle="miter"/>
              <v:path gradientshapeok="t" o:connecttype="rect"/>
            </v:shapetype>
            <v:shape id="MSIPCM45aa47989186a25380d3bad0"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B3G/LKwAgAATgUAAA4A&#10;AAAAAAAAAAAAAAAALgIAAGRycy9lMm9Eb2MueG1sUEsBAi0AFAAGAAgAAAAhAIOyjyvfAAAACwEA&#10;AA8AAAAAAAAAAAAAAAAACgUAAGRycy9kb3ducmV2LnhtbFBLBQYAAAAABAAEAPMAAAAWBgAAAAA=&#10;" o:allowincell="f" filled="f" stroked="f" strokeweight=".5pt">
              <v:textbox inset=",0,,0">
                <w:txbxContent>
                  <w:p w14:paraId="1CBCCBFE" w14:textId="79A400D8"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EB7E" w14:textId="04C45D79" w:rsidR="009D70A4" w:rsidRPr="00A11421" w:rsidRDefault="00E418BB" w:rsidP="0051568D">
    <w:pPr>
      <w:pStyle w:val="DHHSfooter"/>
    </w:pPr>
    <w:r>
      <w:rPr>
        <w:noProof/>
      </w:rPr>
      <mc:AlternateContent>
        <mc:Choice Requires="wps">
          <w:drawing>
            <wp:anchor distT="0" distB="0" distL="114300" distR="114300" simplePos="0" relativeHeight="251661312" behindDoc="0" locked="0" layoutInCell="0" allowOverlap="1" wp14:anchorId="7C428E18" wp14:editId="5808F016">
              <wp:simplePos x="0" y="0"/>
              <wp:positionH relativeFrom="page">
                <wp:posOffset>0</wp:posOffset>
              </wp:positionH>
              <wp:positionV relativeFrom="page">
                <wp:posOffset>10234930</wp:posOffset>
              </wp:positionV>
              <wp:extent cx="7560310" cy="266700"/>
              <wp:effectExtent l="0" t="0" r="0" b="0"/>
              <wp:wrapNone/>
              <wp:docPr id="4" name="MSIPCMf629455b9cbed7d8df2fd16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5B8DD" w14:textId="79F46F3B" w:rsidR="00E418BB" w:rsidRPr="00E418BB" w:rsidRDefault="00E418BB" w:rsidP="00E418BB">
                          <w:pPr>
                            <w:jc w:val="center"/>
                            <w:rPr>
                              <w:rFonts w:ascii="Arial Black" w:hAnsi="Arial Black"/>
                              <w:color w:val="000000"/>
                              <w:sz w:val="20"/>
                            </w:rPr>
                          </w:pPr>
                          <w:r w:rsidRPr="00E418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428E18" id="_x0000_t202" coordsize="21600,21600" o:spt="202" path="m,l,21600r21600,l21600,xe">
              <v:stroke joinstyle="miter"/>
              <v:path gradientshapeok="t" o:connecttype="rect"/>
            </v:shapetype>
            <v:shape id="MSIPCMf629455b9cbed7d8df2fd168"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MmleMiwAgAATAUAAA4A&#10;AAAAAAAAAAAAAAAALgIAAGRycy9lMm9Eb2MueG1sUEsBAi0AFAAGAAgAAAAhAIOyjyvfAAAACwEA&#10;AA8AAAAAAAAAAAAAAAAACgUAAGRycy9kb3ducmV2LnhtbFBLBQYAAAAABAAEAPMAAAAWBgAAAAA=&#10;" o:allowincell="f" filled="f" stroked="f" strokeweight=".5pt">
              <v:textbox inset=",0,,0">
                <w:txbxContent>
                  <w:p w14:paraId="0CF5B8DD" w14:textId="79F46F3B" w:rsidR="00E418BB" w:rsidRPr="00E418BB" w:rsidRDefault="00E418BB" w:rsidP="00E418BB">
                    <w:pPr>
                      <w:jc w:val="center"/>
                      <w:rPr>
                        <w:rFonts w:ascii="Arial Black" w:hAnsi="Arial Black"/>
                        <w:color w:val="000000"/>
                        <w:sz w:val="20"/>
                      </w:rPr>
                    </w:pPr>
                    <w:r w:rsidRPr="00E418BB">
                      <w:rPr>
                        <w:rFonts w:ascii="Arial Black" w:hAnsi="Arial Black"/>
                        <w:color w:val="000000"/>
                        <w:sz w:val="20"/>
                      </w:rPr>
                      <w:t>OFFICIAL</w:t>
                    </w:r>
                  </w:p>
                </w:txbxContent>
              </v:textbox>
              <w10:wrap anchorx="page" anchory="page"/>
            </v:shape>
          </w:pict>
        </mc:Fallback>
      </mc:AlternateContent>
    </w:r>
    <w:r w:rsidR="00F63F28">
      <w:t xml:space="preserve">Mental Health Bulletin </w:t>
    </w:r>
    <w:r w:rsidR="00D72A8C">
      <w:t>5</w:t>
    </w:r>
    <w:r>
      <w:t>2</w:t>
    </w:r>
    <w:r w:rsidR="00D72A8C">
      <w:t xml:space="preserve"> - </w:t>
    </w:r>
    <w:r w:rsidR="00D900A1">
      <w:t>H</w:t>
    </w:r>
    <w:r>
      <w:t>I</w:t>
    </w:r>
    <w:r w:rsidR="00D900A1">
      <w:t xml:space="preserve">TH </w:t>
    </w:r>
    <w:r w:rsidR="00F63F28" w:rsidRPr="00A11421">
      <w:tab/>
    </w:r>
    <w:r w:rsidR="00F63F28" w:rsidRPr="00A11421">
      <w:fldChar w:fldCharType="begin"/>
    </w:r>
    <w:r w:rsidR="00F63F28" w:rsidRPr="00A11421">
      <w:instrText xml:space="preserve"> PAGE </w:instrText>
    </w:r>
    <w:r w:rsidR="00F63F28" w:rsidRPr="00A11421">
      <w:fldChar w:fldCharType="separate"/>
    </w:r>
    <w:r w:rsidR="007B6B0D">
      <w:rPr>
        <w:noProof/>
      </w:rPr>
      <w:t>3</w:t>
    </w:r>
    <w:r w:rsidR="00F63F2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2966" w14:textId="77777777" w:rsidR="00C62B11" w:rsidRDefault="00C62B11" w:rsidP="00964E45">
      <w:r>
        <w:separator/>
      </w:r>
    </w:p>
  </w:footnote>
  <w:footnote w:type="continuationSeparator" w:id="0">
    <w:p w14:paraId="16CEFDB3" w14:textId="77777777" w:rsidR="00C62B11" w:rsidRDefault="00C62B11" w:rsidP="0096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5F78" w14:textId="77777777" w:rsidR="00527ABF" w:rsidRDefault="00527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1E58" w14:textId="77777777" w:rsidR="00527ABF" w:rsidRDefault="00527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99BE" w14:textId="77777777" w:rsidR="00527ABF" w:rsidRDefault="00527A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1819" w14:textId="77777777" w:rsidR="009D70A4" w:rsidRPr="0051568D" w:rsidRDefault="00527ABF"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11A"/>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626CE"/>
    <w:multiLevelType w:val="hybridMultilevel"/>
    <w:tmpl w:val="AADAE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0138EB"/>
    <w:multiLevelType w:val="hybridMultilevel"/>
    <w:tmpl w:val="6936CB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D3181C"/>
    <w:multiLevelType w:val="multilevel"/>
    <w:tmpl w:val="2FD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F1C30"/>
    <w:multiLevelType w:val="hybridMultilevel"/>
    <w:tmpl w:val="0286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54604"/>
    <w:multiLevelType w:val="hybridMultilevel"/>
    <w:tmpl w:val="7FB48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707FBA"/>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EE4B4A"/>
    <w:multiLevelType w:val="hybridMultilevel"/>
    <w:tmpl w:val="59C6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74AC3"/>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5C0B29"/>
    <w:multiLevelType w:val="hybridMultilevel"/>
    <w:tmpl w:val="D09C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C2B4F"/>
    <w:multiLevelType w:val="hybridMultilevel"/>
    <w:tmpl w:val="D19E4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0569F0"/>
    <w:multiLevelType w:val="hybridMultilevel"/>
    <w:tmpl w:val="C332D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036E65"/>
    <w:multiLevelType w:val="hybridMultilevel"/>
    <w:tmpl w:val="26501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FF27F0"/>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30491A"/>
    <w:multiLevelType w:val="hybridMultilevel"/>
    <w:tmpl w:val="09C89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E77865"/>
    <w:multiLevelType w:val="hybridMultilevel"/>
    <w:tmpl w:val="3058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584D87"/>
    <w:multiLevelType w:val="hybridMultilevel"/>
    <w:tmpl w:val="0D7497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7BD7ED0"/>
    <w:multiLevelType w:val="hybridMultilevel"/>
    <w:tmpl w:val="A3D8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4"/>
  </w:num>
  <w:num w:numId="5">
    <w:abstractNumId w:val="2"/>
  </w:num>
  <w:num w:numId="6">
    <w:abstractNumId w:val="15"/>
  </w:num>
  <w:num w:numId="7">
    <w:abstractNumId w:val="0"/>
  </w:num>
  <w:num w:numId="8">
    <w:abstractNumId w:val="8"/>
  </w:num>
  <w:num w:numId="9">
    <w:abstractNumId w:val="13"/>
  </w:num>
  <w:num w:numId="10">
    <w:abstractNumId w:val="6"/>
  </w:num>
  <w:num w:numId="11">
    <w:abstractNumId w:val="3"/>
  </w:num>
  <w:num w:numId="12">
    <w:abstractNumId w:val="17"/>
  </w:num>
  <w:num w:numId="13">
    <w:abstractNumId w:val="9"/>
  </w:num>
  <w:num w:numId="14">
    <w:abstractNumId w:val="16"/>
  </w:num>
  <w:num w:numId="15">
    <w:abstractNumId w:val="1"/>
  </w:num>
  <w:num w:numId="16">
    <w:abstractNumId w:val="1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E"/>
    <w:rsid w:val="000331E3"/>
    <w:rsid w:val="000435EE"/>
    <w:rsid w:val="000E051D"/>
    <w:rsid w:val="000E3F6D"/>
    <w:rsid w:val="001315AF"/>
    <w:rsid w:val="001369DD"/>
    <w:rsid w:val="00137FCD"/>
    <w:rsid w:val="00167A4E"/>
    <w:rsid w:val="0017512B"/>
    <w:rsid w:val="001954C2"/>
    <w:rsid w:val="001A2388"/>
    <w:rsid w:val="001E6E2B"/>
    <w:rsid w:val="001F6933"/>
    <w:rsid w:val="00295E3A"/>
    <w:rsid w:val="003431B1"/>
    <w:rsid w:val="00344D60"/>
    <w:rsid w:val="00373CD1"/>
    <w:rsid w:val="00383F60"/>
    <w:rsid w:val="00397F29"/>
    <w:rsid w:val="003C1745"/>
    <w:rsid w:val="003D1D4A"/>
    <w:rsid w:val="003D3D2F"/>
    <w:rsid w:val="003E5DA6"/>
    <w:rsid w:val="003F4C29"/>
    <w:rsid w:val="003F7953"/>
    <w:rsid w:val="00403757"/>
    <w:rsid w:val="00416849"/>
    <w:rsid w:val="00423D3C"/>
    <w:rsid w:val="00425B1F"/>
    <w:rsid w:val="00465CB2"/>
    <w:rsid w:val="00492E79"/>
    <w:rsid w:val="004A1332"/>
    <w:rsid w:val="004E0567"/>
    <w:rsid w:val="004F3D7D"/>
    <w:rsid w:val="00507272"/>
    <w:rsid w:val="00523A07"/>
    <w:rsid w:val="00525ADB"/>
    <w:rsid w:val="00527ABF"/>
    <w:rsid w:val="00593152"/>
    <w:rsid w:val="00594590"/>
    <w:rsid w:val="005C4C3B"/>
    <w:rsid w:val="005E11FC"/>
    <w:rsid w:val="005F720F"/>
    <w:rsid w:val="006320AE"/>
    <w:rsid w:val="0066563F"/>
    <w:rsid w:val="00697905"/>
    <w:rsid w:val="00734331"/>
    <w:rsid w:val="007669EA"/>
    <w:rsid w:val="00782715"/>
    <w:rsid w:val="007A17EE"/>
    <w:rsid w:val="007B6B0D"/>
    <w:rsid w:val="007B778A"/>
    <w:rsid w:val="007D2390"/>
    <w:rsid w:val="007D6CAD"/>
    <w:rsid w:val="007E100B"/>
    <w:rsid w:val="007E16FB"/>
    <w:rsid w:val="0080254F"/>
    <w:rsid w:val="0083306C"/>
    <w:rsid w:val="0088015C"/>
    <w:rsid w:val="00880FD1"/>
    <w:rsid w:val="0088232A"/>
    <w:rsid w:val="008C1C71"/>
    <w:rsid w:val="008F1699"/>
    <w:rsid w:val="008F7442"/>
    <w:rsid w:val="00901800"/>
    <w:rsid w:val="009023A2"/>
    <w:rsid w:val="00923251"/>
    <w:rsid w:val="00944617"/>
    <w:rsid w:val="00964E45"/>
    <w:rsid w:val="0098298F"/>
    <w:rsid w:val="00991C99"/>
    <w:rsid w:val="009D0736"/>
    <w:rsid w:val="009F0BB1"/>
    <w:rsid w:val="009F5B1E"/>
    <w:rsid w:val="00A13B8F"/>
    <w:rsid w:val="00A16139"/>
    <w:rsid w:val="00A57C03"/>
    <w:rsid w:val="00A82C07"/>
    <w:rsid w:val="00AA2F4E"/>
    <w:rsid w:val="00AC6062"/>
    <w:rsid w:val="00B20169"/>
    <w:rsid w:val="00B5644C"/>
    <w:rsid w:val="00B61C89"/>
    <w:rsid w:val="00B7374F"/>
    <w:rsid w:val="00B75766"/>
    <w:rsid w:val="00B95A98"/>
    <w:rsid w:val="00BB3E8F"/>
    <w:rsid w:val="00C1018F"/>
    <w:rsid w:val="00C421EB"/>
    <w:rsid w:val="00C47434"/>
    <w:rsid w:val="00C50EA5"/>
    <w:rsid w:val="00C545A3"/>
    <w:rsid w:val="00C62B11"/>
    <w:rsid w:val="00CA2EF6"/>
    <w:rsid w:val="00CB48E0"/>
    <w:rsid w:val="00CC4741"/>
    <w:rsid w:val="00CE35D7"/>
    <w:rsid w:val="00CF7530"/>
    <w:rsid w:val="00D253E9"/>
    <w:rsid w:val="00D31C3A"/>
    <w:rsid w:val="00D32CE5"/>
    <w:rsid w:val="00D333EF"/>
    <w:rsid w:val="00D71E63"/>
    <w:rsid w:val="00D72A8C"/>
    <w:rsid w:val="00D876DE"/>
    <w:rsid w:val="00D900A1"/>
    <w:rsid w:val="00DA4293"/>
    <w:rsid w:val="00DA4BBD"/>
    <w:rsid w:val="00DB32E2"/>
    <w:rsid w:val="00DD502B"/>
    <w:rsid w:val="00DF2CE2"/>
    <w:rsid w:val="00E304B7"/>
    <w:rsid w:val="00E418BB"/>
    <w:rsid w:val="00E42BA7"/>
    <w:rsid w:val="00E53759"/>
    <w:rsid w:val="00EC20B2"/>
    <w:rsid w:val="00EC25B9"/>
    <w:rsid w:val="00EC33C5"/>
    <w:rsid w:val="00F26131"/>
    <w:rsid w:val="00F276CB"/>
    <w:rsid w:val="00F3623B"/>
    <w:rsid w:val="00F63F28"/>
    <w:rsid w:val="00F70C24"/>
    <w:rsid w:val="00FE4E5D"/>
    <w:rsid w:val="00FE603B"/>
    <w:rsid w:val="00FE7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01B0C"/>
  <w15:chartTrackingRefBased/>
  <w15:docId w15:val="{C1C515FC-6C80-42E9-96F1-8610A7A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EE"/>
    <w:pPr>
      <w:spacing w:after="0" w:line="240" w:lineRule="auto"/>
    </w:pPr>
    <w:rPr>
      <w:rFonts w:ascii="Times New Roman" w:eastAsia="Times New Roman" w:hAnsi="Times New Roman" w:cs="Times New Roman"/>
      <w:sz w:val="24"/>
      <w:szCs w:val="24"/>
      <w:lang w:eastAsia="en-AU"/>
    </w:rPr>
  </w:style>
  <w:style w:type="paragraph" w:styleId="Heading1">
    <w:name w:val="heading 1"/>
    <w:next w:val="DHHSbody"/>
    <w:link w:val="Heading1Char"/>
    <w:uiPriority w:val="1"/>
    <w:qFormat/>
    <w:rsid w:val="000435EE"/>
    <w:pPr>
      <w:keepNext/>
      <w:keepLines/>
      <w:spacing w:before="320" w:line="440" w:lineRule="atLeast"/>
      <w:outlineLvl w:val="0"/>
    </w:pPr>
    <w:rPr>
      <w:rFonts w:ascii="Arial" w:eastAsia="MS Gothic" w:hAnsi="Arial" w:cs="Arial"/>
      <w:bCs/>
      <w:color w:val="004EA8"/>
      <w:kern w:val="32"/>
      <w:sz w:val="36"/>
      <w:szCs w:val="40"/>
    </w:rPr>
  </w:style>
  <w:style w:type="paragraph" w:styleId="Heading2">
    <w:name w:val="heading 2"/>
    <w:next w:val="DHHSbody"/>
    <w:link w:val="Heading2Char"/>
    <w:uiPriority w:val="1"/>
    <w:qFormat/>
    <w:rsid w:val="000435EE"/>
    <w:pPr>
      <w:keepNext/>
      <w:keepLines/>
      <w:spacing w:before="240" w:after="90" w:line="320" w:lineRule="atLeast"/>
      <w:outlineLvl w:val="1"/>
    </w:pPr>
    <w:rPr>
      <w:rFonts w:ascii="Arial" w:eastAsia="Times New Roman" w:hAnsi="Arial" w:cs="Times New Roman"/>
      <w:b/>
      <w:color w:val="004EA8"/>
      <w:sz w:val="28"/>
      <w:szCs w:val="28"/>
    </w:rPr>
  </w:style>
  <w:style w:type="paragraph" w:styleId="Heading3">
    <w:name w:val="heading 3"/>
    <w:next w:val="DHHSbody"/>
    <w:link w:val="Heading3Char"/>
    <w:uiPriority w:val="1"/>
    <w:qFormat/>
    <w:rsid w:val="000435EE"/>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basedOn w:val="Normal"/>
    <w:next w:val="Normal"/>
    <w:link w:val="Heading4Char"/>
    <w:uiPriority w:val="9"/>
    <w:unhideWhenUsed/>
    <w:qFormat/>
    <w:rsid w:val="00A161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5EE"/>
    <w:rPr>
      <w:rFonts w:ascii="Arial" w:eastAsia="MS Gothic" w:hAnsi="Arial" w:cs="Arial"/>
      <w:bCs/>
      <w:color w:val="004EA8"/>
      <w:kern w:val="32"/>
      <w:sz w:val="36"/>
      <w:szCs w:val="40"/>
    </w:rPr>
  </w:style>
  <w:style w:type="character" w:customStyle="1" w:styleId="Heading2Char">
    <w:name w:val="Heading 2 Char"/>
    <w:basedOn w:val="DefaultParagraphFont"/>
    <w:link w:val="Heading2"/>
    <w:uiPriority w:val="1"/>
    <w:rsid w:val="000435EE"/>
    <w:rPr>
      <w:rFonts w:ascii="Arial" w:eastAsia="Times New Roman" w:hAnsi="Arial" w:cs="Times New Roman"/>
      <w:b/>
      <w:color w:val="004EA8"/>
      <w:sz w:val="28"/>
      <w:szCs w:val="28"/>
    </w:rPr>
  </w:style>
  <w:style w:type="character" w:customStyle="1" w:styleId="Heading3Char">
    <w:name w:val="Heading 3 Char"/>
    <w:basedOn w:val="DefaultParagraphFont"/>
    <w:link w:val="Heading3"/>
    <w:uiPriority w:val="1"/>
    <w:rsid w:val="000435EE"/>
    <w:rPr>
      <w:rFonts w:ascii="Arial" w:eastAsia="MS Gothic" w:hAnsi="Arial" w:cs="Times New Roman"/>
      <w:b/>
      <w:bCs/>
      <w:sz w:val="24"/>
      <w:szCs w:val="26"/>
    </w:rPr>
  </w:style>
  <w:style w:type="paragraph" w:customStyle="1" w:styleId="DHHSbody">
    <w:name w:val="DHHS body"/>
    <w:link w:val="DHHSbodyChar"/>
    <w:qFormat/>
    <w:rsid w:val="000435EE"/>
    <w:pPr>
      <w:spacing w:after="120" w:line="270" w:lineRule="atLeast"/>
    </w:pPr>
    <w:rPr>
      <w:rFonts w:ascii="Arial" w:eastAsia="Times" w:hAnsi="Arial" w:cs="Times New Roman"/>
      <w:sz w:val="20"/>
      <w:szCs w:val="20"/>
    </w:rPr>
  </w:style>
  <w:style w:type="paragraph" w:customStyle="1" w:styleId="Sectionbreakfirstpage">
    <w:name w:val="Section break first page"/>
    <w:uiPriority w:val="5"/>
    <w:rsid w:val="000435EE"/>
    <w:pPr>
      <w:spacing w:after="400" w:line="240" w:lineRule="auto"/>
    </w:pPr>
    <w:rPr>
      <w:rFonts w:ascii="Arial" w:eastAsia="Times New Roman" w:hAnsi="Arial" w:cs="Times New Roman"/>
      <w:sz w:val="20"/>
      <w:szCs w:val="20"/>
    </w:rPr>
  </w:style>
  <w:style w:type="paragraph" w:customStyle="1" w:styleId="DHHSmainheading">
    <w:name w:val="DHHS main heading"/>
    <w:uiPriority w:val="8"/>
    <w:rsid w:val="000435EE"/>
    <w:pPr>
      <w:spacing w:after="0" w:line="560" w:lineRule="atLeast"/>
    </w:pPr>
    <w:rPr>
      <w:rFonts w:ascii="Arial" w:eastAsia="Times New Roman" w:hAnsi="Arial" w:cs="Times New Roman"/>
      <w:color w:val="FFFFFF"/>
      <w:sz w:val="50"/>
      <w:szCs w:val="50"/>
    </w:rPr>
  </w:style>
  <w:style w:type="paragraph" w:customStyle="1" w:styleId="Healthbody">
    <w:name w:val="Health body"/>
    <w:uiPriority w:val="99"/>
    <w:rsid w:val="000435EE"/>
    <w:pPr>
      <w:spacing w:after="120" w:line="270" w:lineRule="atLeast"/>
    </w:pPr>
    <w:rPr>
      <w:rFonts w:ascii="Arial" w:eastAsia="MS Mincho" w:hAnsi="Arial" w:cs="Times New Roman"/>
      <w:sz w:val="20"/>
      <w:szCs w:val="24"/>
    </w:rPr>
  </w:style>
  <w:style w:type="character" w:styleId="Hyperlink">
    <w:name w:val="Hyperlink"/>
    <w:uiPriority w:val="99"/>
    <w:rsid w:val="000435EE"/>
    <w:rPr>
      <w:color w:val="3366FF"/>
      <w:u w:val="dotted"/>
    </w:rPr>
  </w:style>
  <w:style w:type="paragraph" w:customStyle="1" w:styleId="DHHSmainsubheading">
    <w:name w:val="DHHS main subheading"/>
    <w:uiPriority w:val="8"/>
    <w:rsid w:val="000435EE"/>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0435EE"/>
    <w:rPr>
      <w:rFonts w:ascii="Arial" w:eastAsia="Times" w:hAnsi="Arial"/>
      <w:noProof/>
      <w:sz w:val="12"/>
      <w:szCs w:val="20"/>
      <w:lang w:eastAsia="en-US"/>
    </w:rPr>
  </w:style>
  <w:style w:type="paragraph" w:customStyle="1" w:styleId="DHHSfooter">
    <w:name w:val="DHHS footer"/>
    <w:uiPriority w:val="11"/>
    <w:rsid w:val="000435EE"/>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0435EE"/>
  </w:style>
  <w:style w:type="paragraph" w:customStyle="1" w:styleId="AWAText">
    <w:name w:val="AWA Text"/>
    <w:basedOn w:val="Normal"/>
    <w:autoRedefine/>
    <w:rsid w:val="003C1745"/>
    <w:pPr>
      <w:spacing w:beforeLines="20" w:before="48" w:afterLines="20" w:after="48"/>
      <w:contextualSpacing/>
    </w:pPr>
    <w:rPr>
      <w:rFonts w:ascii="Verdana" w:hAnsi="Verdana" w:cs="Arial"/>
      <w:sz w:val="18"/>
      <w:szCs w:val="18"/>
    </w:rPr>
  </w:style>
  <w:style w:type="paragraph" w:styleId="ListParagraph">
    <w:name w:val="List Paragraph"/>
    <w:basedOn w:val="Normal"/>
    <w:uiPriority w:val="34"/>
    <w:qFormat/>
    <w:rsid w:val="00697905"/>
    <w:pPr>
      <w:ind w:left="720"/>
      <w:contextualSpacing/>
    </w:pPr>
  </w:style>
  <w:style w:type="paragraph" w:customStyle="1" w:styleId="xmsonormal">
    <w:name w:val="x_msonormal"/>
    <w:basedOn w:val="Normal"/>
    <w:rsid w:val="00A16139"/>
    <w:rPr>
      <w:rFonts w:ascii="Calibri" w:eastAsiaTheme="minorHAnsi" w:hAnsi="Calibri" w:cs="Calibri"/>
      <w:sz w:val="22"/>
      <w:szCs w:val="22"/>
    </w:rPr>
  </w:style>
  <w:style w:type="character" w:customStyle="1" w:styleId="Heading4Char">
    <w:name w:val="Heading 4 Char"/>
    <w:basedOn w:val="DefaultParagraphFont"/>
    <w:link w:val="Heading4"/>
    <w:uiPriority w:val="9"/>
    <w:rsid w:val="00A16139"/>
    <w:rPr>
      <w:rFonts w:asciiTheme="majorHAnsi" w:eastAsiaTheme="majorEastAsia" w:hAnsiTheme="majorHAnsi" w:cstheme="majorBidi"/>
      <w:i/>
      <w:iCs/>
      <w:color w:val="365F91" w:themeColor="accent1" w:themeShade="BF"/>
      <w:sz w:val="24"/>
      <w:szCs w:val="24"/>
      <w:lang w:eastAsia="en-AU"/>
    </w:rPr>
  </w:style>
  <w:style w:type="table" w:styleId="TableGrid">
    <w:name w:val="Table Grid"/>
    <w:basedOn w:val="TableNormal"/>
    <w:rsid w:val="001315AF"/>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rsid w:val="001315AF"/>
    <w:rPr>
      <w:rFonts w:ascii="Arial" w:eastAsia="Times" w:hAnsi="Arial" w:cs="Times New Roman"/>
      <w:sz w:val="20"/>
      <w:szCs w:val="20"/>
    </w:rPr>
  </w:style>
  <w:style w:type="paragraph" w:customStyle="1" w:styleId="Healthtablecolumnhead">
    <w:name w:val="Health table column head"/>
    <w:rsid w:val="00944617"/>
    <w:pPr>
      <w:spacing w:after="40" w:line="220" w:lineRule="atLeast"/>
    </w:pPr>
    <w:rPr>
      <w:rFonts w:ascii="Arial" w:eastAsia="MS Mincho" w:hAnsi="Arial" w:cs="Times New Roman"/>
      <w:b/>
      <w:color w:val="FFFFFF"/>
      <w:sz w:val="18"/>
      <w:szCs w:val="24"/>
    </w:rPr>
  </w:style>
  <w:style w:type="paragraph" w:customStyle="1" w:styleId="Healthtablebody">
    <w:name w:val="Health table body"/>
    <w:rsid w:val="00944617"/>
    <w:pPr>
      <w:spacing w:after="40" w:line="220" w:lineRule="atLeast"/>
    </w:pPr>
    <w:rPr>
      <w:rFonts w:ascii="Arial" w:eastAsia="MS Mincho" w:hAnsi="Arial" w:cs="Times New Roman"/>
      <w:sz w:val="18"/>
      <w:szCs w:val="24"/>
    </w:rPr>
  </w:style>
  <w:style w:type="paragraph" w:styleId="Header">
    <w:name w:val="header"/>
    <w:basedOn w:val="Normal"/>
    <w:link w:val="HeaderChar"/>
    <w:uiPriority w:val="99"/>
    <w:unhideWhenUsed/>
    <w:rsid w:val="00964E45"/>
    <w:pPr>
      <w:tabs>
        <w:tab w:val="center" w:pos="4513"/>
        <w:tab w:val="right" w:pos="9026"/>
      </w:tabs>
    </w:pPr>
  </w:style>
  <w:style w:type="character" w:customStyle="1" w:styleId="HeaderChar">
    <w:name w:val="Header Char"/>
    <w:basedOn w:val="DefaultParagraphFont"/>
    <w:link w:val="Header"/>
    <w:uiPriority w:val="99"/>
    <w:rsid w:val="00964E4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64E45"/>
    <w:pPr>
      <w:tabs>
        <w:tab w:val="center" w:pos="4513"/>
        <w:tab w:val="right" w:pos="9026"/>
      </w:tabs>
    </w:pPr>
  </w:style>
  <w:style w:type="character" w:customStyle="1" w:styleId="FooterChar">
    <w:name w:val="Footer Char"/>
    <w:basedOn w:val="DefaultParagraphFont"/>
    <w:link w:val="Footer"/>
    <w:uiPriority w:val="99"/>
    <w:rsid w:val="00964E4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E1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F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E16FB"/>
    <w:rPr>
      <w:sz w:val="16"/>
      <w:szCs w:val="16"/>
    </w:rPr>
  </w:style>
  <w:style w:type="paragraph" w:styleId="CommentText">
    <w:name w:val="annotation text"/>
    <w:basedOn w:val="Normal"/>
    <w:link w:val="CommentTextChar"/>
    <w:uiPriority w:val="99"/>
    <w:semiHidden/>
    <w:unhideWhenUsed/>
    <w:rsid w:val="007E16FB"/>
    <w:rPr>
      <w:sz w:val="20"/>
      <w:szCs w:val="20"/>
    </w:rPr>
  </w:style>
  <w:style w:type="character" w:customStyle="1" w:styleId="CommentTextChar">
    <w:name w:val="Comment Text Char"/>
    <w:basedOn w:val="DefaultParagraphFont"/>
    <w:link w:val="CommentText"/>
    <w:uiPriority w:val="99"/>
    <w:semiHidden/>
    <w:rsid w:val="007E16F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16FB"/>
    <w:rPr>
      <w:b/>
      <w:bCs/>
    </w:rPr>
  </w:style>
  <w:style w:type="character" w:customStyle="1" w:styleId="CommentSubjectChar">
    <w:name w:val="Comment Subject Char"/>
    <w:basedOn w:val="CommentTextChar"/>
    <w:link w:val="CommentSubject"/>
    <w:uiPriority w:val="99"/>
    <w:semiHidden/>
    <w:rsid w:val="007E16FB"/>
    <w:rPr>
      <w:rFonts w:ascii="Times New Roman" w:eastAsia="Times New Roman" w:hAnsi="Times New Roman" w:cs="Times New Roman"/>
      <w:b/>
      <w:bCs/>
      <w:sz w:val="20"/>
      <w:szCs w:val="20"/>
      <w:lang w:eastAsia="en-AU"/>
    </w:rPr>
  </w:style>
  <w:style w:type="paragraph" w:customStyle="1" w:styleId="Default">
    <w:name w:val="Default"/>
    <w:rsid w:val="008025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D2390"/>
    <w:rPr>
      <w:color w:val="605E5C"/>
      <w:shd w:val="clear" w:color="auto" w:fill="E1DFDD"/>
    </w:rPr>
  </w:style>
  <w:style w:type="character" w:styleId="FollowedHyperlink">
    <w:name w:val="FollowedHyperlink"/>
    <w:basedOn w:val="DefaultParagraphFont"/>
    <w:uiPriority w:val="99"/>
    <w:semiHidden/>
    <w:unhideWhenUsed/>
    <w:rsid w:val="00991C99"/>
    <w:rPr>
      <w:color w:val="800080" w:themeColor="followedHyperlink"/>
      <w:u w:val="single"/>
    </w:rPr>
  </w:style>
  <w:style w:type="paragraph" w:customStyle="1" w:styleId="DHHSaccessibilitypara">
    <w:name w:val="DHHS accessibility para"/>
    <w:uiPriority w:val="8"/>
    <w:rsid w:val="00D253E9"/>
    <w:pPr>
      <w:spacing w:line="300" w:lineRule="atLeast"/>
    </w:pPr>
    <w:rPr>
      <w:rFonts w:ascii="Arial" w:eastAsia="Times" w:hAnsi="Arial" w:cs="Times New Roman"/>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6080">
      <w:bodyDiv w:val="1"/>
      <w:marLeft w:val="0"/>
      <w:marRight w:val="0"/>
      <w:marTop w:val="0"/>
      <w:marBottom w:val="0"/>
      <w:divBdr>
        <w:top w:val="none" w:sz="0" w:space="0" w:color="auto"/>
        <w:left w:val="none" w:sz="0" w:space="0" w:color="auto"/>
        <w:bottom w:val="none" w:sz="0" w:space="0" w:color="auto"/>
        <w:right w:val="none" w:sz="0" w:space="0" w:color="auto"/>
      </w:divBdr>
    </w:div>
    <w:div w:id="438724164">
      <w:bodyDiv w:val="1"/>
      <w:marLeft w:val="0"/>
      <w:marRight w:val="0"/>
      <w:marTop w:val="0"/>
      <w:marBottom w:val="0"/>
      <w:divBdr>
        <w:top w:val="none" w:sz="0" w:space="0" w:color="auto"/>
        <w:left w:val="none" w:sz="0" w:space="0" w:color="auto"/>
        <w:bottom w:val="none" w:sz="0" w:space="0" w:color="auto"/>
        <w:right w:val="none" w:sz="0" w:space="0" w:color="auto"/>
      </w:divBdr>
      <w:divsChild>
        <w:div w:id="238297051">
          <w:marLeft w:val="0"/>
          <w:marRight w:val="0"/>
          <w:marTop w:val="0"/>
          <w:marBottom w:val="0"/>
          <w:divBdr>
            <w:top w:val="none" w:sz="0" w:space="0" w:color="auto"/>
            <w:left w:val="none" w:sz="0" w:space="0" w:color="auto"/>
            <w:bottom w:val="none" w:sz="0" w:space="0" w:color="auto"/>
            <w:right w:val="none" w:sz="0" w:space="0" w:color="auto"/>
          </w:divBdr>
        </w:div>
      </w:divsChild>
    </w:div>
    <w:div w:id="756754748">
      <w:bodyDiv w:val="1"/>
      <w:marLeft w:val="0"/>
      <w:marRight w:val="0"/>
      <w:marTop w:val="0"/>
      <w:marBottom w:val="0"/>
      <w:divBdr>
        <w:top w:val="none" w:sz="0" w:space="0" w:color="auto"/>
        <w:left w:val="none" w:sz="0" w:space="0" w:color="auto"/>
        <w:bottom w:val="none" w:sz="0" w:space="0" w:color="auto"/>
        <w:right w:val="none" w:sz="0" w:space="0" w:color="auto"/>
      </w:divBdr>
    </w:div>
    <w:div w:id="809637898">
      <w:bodyDiv w:val="1"/>
      <w:marLeft w:val="0"/>
      <w:marRight w:val="0"/>
      <w:marTop w:val="0"/>
      <w:marBottom w:val="0"/>
      <w:divBdr>
        <w:top w:val="none" w:sz="0" w:space="0" w:color="auto"/>
        <w:left w:val="none" w:sz="0" w:space="0" w:color="auto"/>
        <w:bottom w:val="none" w:sz="0" w:space="0" w:color="auto"/>
        <w:right w:val="none" w:sz="0" w:space="0" w:color="auto"/>
      </w:divBdr>
    </w:div>
    <w:div w:id="839275910">
      <w:bodyDiv w:val="1"/>
      <w:marLeft w:val="0"/>
      <w:marRight w:val="0"/>
      <w:marTop w:val="0"/>
      <w:marBottom w:val="0"/>
      <w:divBdr>
        <w:top w:val="none" w:sz="0" w:space="0" w:color="auto"/>
        <w:left w:val="none" w:sz="0" w:space="0" w:color="auto"/>
        <w:bottom w:val="none" w:sz="0" w:space="0" w:color="auto"/>
        <w:right w:val="none" w:sz="0" w:space="0" w:color="auto"/>
      </w:divBdr>
    </w:div>
    <w:div w:id="1504121436">
      <w:bodyDiv w:val="1"/>
      <w:marLeft w:val="0"/>
      <w:marRight w:val="0"/>
      <w:marTop w:val="0"/>
      <w:marBottom w:val="0"/>
      <w:divBdr>
        <w:top w:val="none" w:sz="0" w:space="0" w:color="auto"/>
        <w:left w:val="none" w:sz="0" w:space="0" w:color="auto"/>
        <w:bottom w:val="none" w:sz="0" w:space="0" w:color="auto"/>
        <w:right w:val="none" w:sz="0" w:space="0" w:color="auto"/>
      </w:divBdr>
      <w:divsChild>
        <w:div w:id="979386465">
          <w:marLeft w:val="0"/>
          <w:marRight w:val="0"/>
          <w:marTop w:val="0"/>
          <w:marBottom w:val="0"/>
          <w:divBdr>
            <w:top w:val="none" w:sz="0" w:space="0" w:color="auto"/>
            <w:left w:val="none" w:sz="0" w:space="0" w:color="auto"/>
            <w:bottom w:val="none" w:sz="0" w:space="0" w:color="auto"/>
            <w:right w:val="none" w:sz="0" w:space="0" w:color="auto"/>
          </w:divBdr>
        </w:div>
      </w:divsChild>
    </w:div>
    <w:div w:id="1631940663">
      <w:bodyDiv w:val="1"/>
      <w:marLeft w:val="0"/>
      <w:marRight w:val="0"/>
      <w:marTop w:val="0"/>
      <w:marBottom w:val="0"/>
      <w:divBdr>
        <w:top w:val="none" w:sz="0" w:space="0" w:color="auto"/>
        <w:left w:val="none" w:sz="0" w:space="0" w:color="auto"/>
        <w:bottom w:val="none" w:sz="0" w:space="0" w:color="auto"/>
        <w:right w:val="none" w:sz="0" w:space="0" w:color="auto"/>
      </w:divBdr>
    </w:div>
    <w:div w:id="1938901060">
      <w:bodyDiv w:val="1"/>
      <w:marLeft w:val="0"/>
      <w:marRight w:val="0"/>
      <w:marTop w:val="0"/>
      <w:marBottom w:val="0"/>
      <w:divBdr>
        <w:top w:val="none" w:sz="0" w:space="0" w:color="auto"/>
        <w:left w:val="none" w:sz="0" w:space="0" w:color="auto"/>
        <w:bottom w:val="none" w:sz="0" w:space="0" w:color="auto"/>
        <w:right w:val="none" w:sz="0" w:space="0" w:color="auto"/>
      </w:divBdr>
    </w:div>
    <w:div w:id="1987587227">
      <w:bodyDiv w:val="1"/>
      <w:marLeft w:val="0"/>
      <w:marRight w:val="0"/>
      <w:marTop w:val="0"/>
      <w:marBottom w:val="0"/>
      <w:divBdr>
        <w:top w:val="none" w:sz="0" w:space="0" w:color="auto"/>
        <w:left w:val="none" w:sz="0" w:space="0" w:color="auto"/>
        <w:bottom w:val="none" w:sz="0" w:space="0" w:color="auto"/>
        <w:right w:val="none" w:sz="0" w:space="0" w:color="auto"/>
      </w:divBdr>
    </w:div>
    <w:div w:id="1991211741">
      <w:bodyDiv w:val="1"/>
      <w:marLeft w:val="0"/>
      <w:marRight w:val="0"/>
      <w:marTop w:val="0"/>
      <w:marBottom w:val="0"/>
      <w:divBdr>
        <w:top w:val="none" w:sz="0" w:space="0" w:color="auto"/>
        <w:left w:val="none" w:sz="0" w:space="0" w:color="auto"/>
        <w:bottom w:val="none" w:sz="0" w:space="0" w:color="auto"/>
        <w:right w:val="none" w:sz="0" w:space="0" w:color="auto"/>
      </w:divBdr>
      <w:divsChild>
        <w:div w:id="212194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DReporting@dhhs.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reporting-requirements-for-clinical-mental-health-services/service-contact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file:///C:\Users\vkri0102\AppData\Local\Temp\notes288A47\MHDReporting@dhh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863D-26A6-4E3A-B0EA-E1326010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Krishnan (DHHS)</dc:creator>
  <cp:keywords/>
  <dc:description/>
  <cp:lastModifiedBy>Varun Krishnan (DHHS)</cp:lastModifiedBy>
  <cp:revision>7</cp:revision>
  <dcterms:created xsi:type="dcterms:W3CDTF">2020-10-27T06:40:00Z</dcterms:created>
  <dcterms:modified xsi:type="dcterms:W3CDTF">2020-10-28T05:41:00Z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Varun.Krishnan@dhhs.vic.gov.au</vt:lpwstr>
  </property>
  <property fmtid="{D5CDD505-2E9C-101B-9397-08002B2CF9AE}" pid="5" name="MSIP_Label_43e64453-338c-4f93-8a4d-0039a0a41f2a_SetDate">
    <vt:lpwstr>2020-08-18T05:07:51.4909944Z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6b67141d-ceb9-4886-a67b-74cb13f96fc1</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