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5F" w:rsidRPr="00F01620" w:rsidRDefault="00B34FF0" w:rsidP="00DE6028">
      <w:pPr>
        <w:pStyle w:val="Spacerparatopoffirstpage"/>
        <w:rPr>
          <w:rFonts w:ascii="VIC" w:hAnsi="VIC"/>
        </w:rPr>
      </w:pPr>
      <w:r w:rsidRPr="00F01620">
        <w:rPr>
          <w:rFonts w:ascii="VIC" w:hAnsi="VIC"/>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10695305" cy="1713865"/>
            <wp:effectExtent l="0" t="0" r="0" b="0"/>
            <wp:wrapNone/>
            <wp:docPr id="35" name="Picture 3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3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F01620" w:rsidRDefault="00A62D44" w:rsidP="004C6EEE">
      <w:pPr>
        <w:pStyle w:val="Sectionbreakfirstpage"/>
        <w:rPr>
          <w:rFonts w:ascii="VIC" w:hAnsi="VIC"/>
        </w:rPr>
        <w:sectPr w:rsidR="00A62D44" w:rsidRPr="00F01620"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RPr="00F01620" w:rsidTr="00BA4845">
        <w:trPr>
          <w:trHeight w:val="1106"/>
        </w:trPr>
        <w:tc>
          <w:tcPr>
            <w:tcW w:w="13291" w:type="dxa"/>
            <w:shd w:val="clear" w:color="auto" w:fill="auto"/>
            <w:vAlign w:val="bottom"/>
          </w:tcPr>
          <w:p w:rsidR="003A3438" w:rsidRPr="00F01620" w:rsidRDefault="00B34FF0" w:rsidP="00840DF3">
            <w:pPr>
              <w:pStyle w:val="DHHSmainheading"/>
              <w:rPr>
                <w:rFonts w:ascii="VIC" w:hAnsi="VIC"/>
              </w:rPr>
            </w:pPr>
            <w:bookmarkStart w:id="0" w:name="_Toc410762195"/>
            <w:r w:rsidRPr="00F01620">
              <w:rPr>
                <w:rFonts w:ascii="VIC" w:hAnsi="VIC"/>
              </w:rPr>
              <w:t xml:space="preserve">Forensicare mental health </w:t>
            </w:r>
            <w:r w:rsidR="00A67EE1" w:rsidRPr="00F01620">
              <w:rPr>
                <w:rFonts w:ascii="VIC" w:hAnsi="VIC"/>
              </w:rPr>
              <w:t>q</w:t>
            </w:r>
            <w:r w:rsidRPr="00F01620">
              <w:rPr>
                <w:rFonts w:ascii="VIC" w:hAnsi="VIC"/>
              </w:rPr>
              <w:t xml:space="preserve">uarterly </w:t>
            </w:r>
            <w:r w:rsidR="00A67EE1" w:rsidRPr="00F01620">
              <w:rPr>
                <w:rFonts w:ascii="VIC" w:hAnsi="VIC"/>
              </w:rPr>
              <w:t xml:space="preserve">KPI </w:t>
            </w:r>
            <w:r w:rsidRPr="00F01620">
              <w:rPr>
                <w:rFonts w:ascii="VIC" w:hAnsi="VIC"/>
              </w:rPr>
              <w:t>report</w:t>
            </w:r>
          </w:p>
        </w:tc>
      </w:tr>
      <w:tr w:rsidR="003A3438" w:rsidRPr="00F01620" w:rsidTr="00CA6B58">
        <w:trPr>
          <w:trHeight w:hRule="exact" w:val="709"/>
        </w:trPr>
        <w:tc>
          <w:tcPr>
            <w:tcW w:w="13291" w:type="dxa"/>
            <w:shd w:val="clear" w:color="auto" w:fill="auto"/>
            <w:tcMar>
              <w:top w:w="340" w:type="dxa"/>
              <w:bottom w:w="680" w:type="dxa"/>
            </w:tcMar>
          </w:tcPr>
          <w:p w:rsidR="003A3438" w:rsidRPr="00F01620" w:rsidRDefault="00B34FF0" w:rsidP="00840DF3">
            <w:pPr>
              <w:pStyle w:val="DHHSmainsubheading"/>
              <w:rPr>
                <w:rFonts w:ascii="VIC" w:hAnsi="VIC"/>
              </w:rPr>
            </w:pPr>
            <w:r w:rsidRPr="00F01620">
              <w:rPr>
                <w:rFonts w:ascii="VIC" w:hAnsi="VIC"/>
              </w:rPr>
              <w:t>2018-19 Q4</w:t>
            </w:r>
          </w:p>
        </w:tc>
      </w:tr>
    </w:tbl>
    <w:p w:rsidR="003A3438" w:rsidRPr="00F01620" w:rsidRDefault="003A3438" w:rsidP="006447F0">
      <w:pPr>
        <w:pStyle w:val="DHHSTOCheadingfactsheet"/>
        <w:rPr>
          <w:rFonts w:ascii="VIC" w:hAnsi="VIC"/>
        </w:rPr>
      </w:pPr>
      <w:r w:rsidRPr="00F01620">
        <w:rPr>
          <w:rFonts w:ascii="VIC" w:hAnsi="VIC"/>
        </w:rPr>
        <w:t>Contents</w:t>
      </w:r>
    </w:p>
    <w:p w:rsidR="003C740F" w:rsidRDefault="003A3438">
      <w:pPr>
        <w:pStyle w:val="TOC1"/>
        <w:rPr>
          <w:rFonts w:asciiTheme="minorHAnsi" w:eastAsiaTheme="minorEastAsia" w:hAnsiTheme="minorHAnsi" w:cstheme="minorBidi"/>
          <w:b w:val="0"/>
          <w:sz w:val="22"/>
          <w:szCs w:val="22"/>
          <w:lang w:eastAsia="en-AU"/>
        </w:rPr>
      </w:pPr>
      <w:r w:rsidRPr="00F01620">
        <w:rPr>
          <w:rFonts w:ascii="VIC" w:hAnsi="VIC"/>
        </w:rPr>
        <w:fldChar w:fldCharType="begin"/>
      </w:r>
      <w:r w:rsidRPr="00F01620">
        <w:rPr>
          <w:rFonts w:ascii="VIC" w:hAnsi="VIC"/>
        </w:rPr>
        <w:instrText xml:space="preserve"> TOC \h \z \t "Heading 1,1,Heading 2,2" </w:instrText>
      </w:r>
      <w:r w:rsidRPr="00F01620">
        <w:rPr>
          <w:rFonts w:ascii="VIC" w:hAnsi="VIC"/>
        </w:rPr>
        <w:fldChar w:fldCharType="separate"/>
      </w:r>
      <w:hyperlink w:anchor="_Toc15473015" w:history="1">
        <w:r w:rsidR="003C740F" w:rsidRPr="008C250A">
          <w:rPr>
            <w:rStyle w:val="Hyperlink"/>
            <w:rFonts w:ascii="VIC" w:hAnsi="VIC"/>
          </w:rPr>
          <w:t>Admitted Units</w:t>
        </w:r>
        <w:r w:rsidR="003C740F" w:rsidRPr="008C250A">
          <w:rPr>
            <w:rStyle w:val="Hyperlink"/>
            <w:rFonts w:ascii="VIC" w:hAnsi="VIC"/>
            <w:spacing w:val="-9"/>
          </w:rPr>
          <w:t xml:space="preserve"> </w:t>
        </w:r>
        <w:r w:rsidR="003C740F" w:rsidRPr="008C250A">
          <w:rPr>
            <w:rStyle w:val="Hyperlink"/>
            <w:rFonts w:ascii="VIC" w:hAnsi="VIC"/>
          </w:rPr>
          <w:t>- 2018-19</w:t>
        </w:r>
        <w:r w:rsidR="003C740F" w:rsidRPr="008C250A">
          <w:rPr>
            <w:rStyle w:val="Hyperlink"/>
            <w:rFonts w:ascii="VIC" w:hAnsi="VIC"/>
            <w:spacing w:val="-9"/>
          </w:rPr>
          <w:t xml:space="preserve"> </w:t>
        </w:r>
        <w:r w:rsidR="003C740F" w:rsidRPr="008C250A">
          <w:rPr>
            <w:rStyle w:val="Hyperlink"/>
            <w:rFonts w:ascii="VIC" w:hAnsi="VIC"/>
          </w:rPr>
          <w:t>Q4</w:t>
        </w:r>
        <w:r w:rsidR="003C740F">
          <w:rPr>
            <w:webHidden/>
          </w:rPr>
          <w:tab/>
        </w:r>
        <w:r w:rsidR="003C740F">
          <w:rPr>
            <w:webHidden/>
          </w:rPr>
          <w:fldChar w:fldCharType="begin"/>
        </w:r>
        <w:r w:rsidR="003C740F">
          <w:rPr>
            <w:webHidden/>
          </w:rPr>
          <w:instrText xml:space="preserve"> PAGEREF _Toc15473015 \h </w:instrText>
        </w:r>
        <w:r w:rsidR="003C740F">
          <w:rPr>
            <w:webHidden/>
          </w:rPr>
        </w:r>
        <w:r w:rsidR="003C740F">
          <w:rPr>
            <w:webHidden/>
          </w:rPr>
          <w:fldChar w:fldCharType="separate"/>
        </w:r>
        <w:r w:rsidR="003C740F">
          <w:rPr>
            <w:webHidden/>
          </w:rPr>
          <w:t>2</w:t>
        </w:r>
        <w:r w:rsidR="003C740F">
          <w:rPr>
            <w:webHidden/>
          </w:rPr>
          <w:fldChar w:fldCharType="end"/>
        </w:r>
      </w:hyperlink>
    </w:p>
    <w:p w:rsidR="003C740F" w:rsidRDefault="00C9698F">
      <w:pPr>
        <w:pStyle w:val="TOC1"/>
        <w:rPr>
          <w:rFonts w:asciiTheme="minorHAnsi" w:eastAsiaTheme="minorEastAsia" w:hAnsiTheme="minorHAnsi" w:cstheme="minorBidi"/>
          <w:b w:val="0"/>
          <w:sz w:val="22"/>
          <w:szCs w:val="22"/>
          <w:lang w:eastAsia="en-AU"/>
        </w:rPr>
      </w:pPr>
      <w:hyperlink w:anchor="_Toc15473016" w:history="1">
        <w:r w:rsidR="003C740F" w:rsidRPr="008C250A">
          <w:rPr>
            <w:rStyle w:val="Hyperlink"/>
            <w:rFonts w:ascii="VIC" w:hAnsi="VIC"/>
          </w:rPr>
          <w:t>Community</w:t>
        </w:r>
        <w:r w:rsidR="003C740F" w:rsidRPr="008C250A">
          <w:rPr>
            <w:rStyle w:val="Hyperlink"/>
            <w:rFonts w:ascii="VIC" w:hAnsi="VIC"/>
            <w:spacing w:val="-7"/>
          </w:rPr>
          <w:t xml:space="preserve"> </w:t>
        </w:r>
        <w:r w:rsidR="003C740F" w:rsidRPr="008C250A">
          <w:rPr>
            <w:rStyle w:val="Hyperlink"/>
            <w:rFonts w:ascii="VIC" w:hAnsi="VIC"/>
          </w:rPr>
          <w:t>- 2018-19</w:t>
        </w:r>
        <w:r w:rsidR="003C740F" w:rsidRPr="008C250A">
          <w:rPr>
            <w:rStyle w:val="Hyperlink"/>
            <w:rFonts w:ascii="VIC" w:hAnsi="VIC"/>
            <w:spacing w:val="-9"/>
          </w:rPr>
          <w:t xml:space="preserve"> </w:t>
        </w:r>
        <w:r w:rsidR="003C740F" w:rsidRPr="008C250A">
          <w:rPr>
            <w:rStyle w:val="Hyperlink"/>
            <w:rFonts w:ascii="VIC" w:hAnsi="VIC"/>
          </w:rPr>
          <w:t>Q4</w:t>
        </w:r>
        <w:r w:rsidR="003C740F">
          <w:rPr>
            <w:webHidden/>
          </w:rPr>
          <w:tab/>
        </w:r>
        <w:r w:rsidR="003C740F">
          <w:rPr>
            <w:webHidden/>
          </w:rPr>
          <w:fldChar w:fldCharType="begin"/>
        </w:r>
        <w:r w:rsidR="003C740F">
          <w:rPr>
            <w:webHidden/>
          </w:rPr>
          <w:instrText xml:space="preserve"> PAGEREF _Toc15473016 \h </w:instrText>
        </w:r>
        <w:r w:rsidR="003C740F">
          <w:rPr>
            <w:webHidden/>
          </w:rPr>
        </w:r>
        <w:r w:rsidR="003C740F">
          <w:rPr>
            <w:webHidden/>
          </w:rPr>
          <w:fldChar w:fldCharType="separate"/>
        </w:r>
        <w:r w:rsidR="003C740F">
          <w:rPr>
            <w:webHidden/>
          </w:rPr>
          <w:t>2</w:t>
        </w:r>
        <w:r w:rsidR="003C740F">
          <w:rPr>
            <w:webHidden/>
          </w:rPr>
          <w:fldChar w:fldCharType="end"/>
        </w:r>
      </w:hyperlink>
    </w:p>
    <w:p w:rsidR="003C740F" w:rsidRDefault="00C9698F">
      <w:pPr>
        <w:pStyle w:val="TOC1"/>
        <w:rPr>
          <w:rFonts w:asciiTheme="minorHAnsi" w:eastAsiaTheme="minorEastAsia" w:hAnsiTheme="minorHAnsi" w:cstheme="minorBidi"/>
          <w:b w:val="0"/>
          <w:sz w:val="22"/>
          <w:szCs w:val="22"/>
          <w:lang w:eastAsia="en-AU"/>
        </w:rPr>
      </w:pPr>
      <w:hyperlink w:anchor="_Toc15473017" w:history="1">
        <w:r w:rsidR="003C740F" w:rsidRPr="008C250A">
          <w:rPr>
            <w:rStyle w:val="Hyperlink"/>
            <w:rFonts w:ascii="VIC" w:hAnsi="VIC"/>
          </w:rPr>
          <w:t>Admitted Units</w:t>
        </w:r>
        <w:r w:rsidR="003C740F" w:rsidRPr="008C250A">
          <w:rPr>
            <w:rStyle w:val="Hyperlink"/>
            <w:rFonts w:ascii="VIC" w:hAnsi="VIC"/>
            <w:spacing w:val="-9"/>
          </w:rPr>
          <w:t xml:space="preserve"> </w:t>
        </w:r>
        <w:r w:rsidR="003C740F" w:rsidRPr="008C250A">
          <w:rPr>
            <w:rStyle w:val="Hyperlink"/>
            <w:rFonts w:ascii="VIC" w:hAnsi="VIC"/>
          </w:rPr>
          <w:t>- Year to</w:t>
        </w:r>
        <w:r w:rsidR="003C740F" w:rsidRPr="008C250A">
          <w:rPr>
            <w:rStyle w:val="Hyperlink"/>
            <w:rFonts w:ascii="VIC" w:hAnsi="VIC"/>
            <w:spacing w:val="-5"/>
          </w:rPr>
          <w:t xml:space="preserve"> </w:t>
        </w:r>
        <w:r w:rsidR="003C740F" w:rsidRPr="008C250A">
          <w:rPr>
            <w:rStyle w:val="Hyperlink"/>
            <w:rFonts w:ascii="VIC" w:hAnsi="VIC"/>
          </w:rPr>
          <w:t>Date</w:t>
        </w:r>
        <w:r w:rsidR="003C740F" w:rsidRPr="008C250A">
          <w:rPr>
            <w:rStyle w:val="Hyperlink"/>
            <w:rFonts w:ascii="VIC" w:hAnsi="VIC"/>
            <w:spacing w:val="-1"/>
            <w:w w:val="99"/>
          </w:rPr>
          <w:t xml:space="preserve"> </w:t>
        </w:r>
        <w:r w:rsidR="003C740F" w:rsidRPr="008C250A">
          <w:rPr>
            <w:rStyle w:val="Hyperlink"/>
            <w:rFonts w:ascii="VIC" w:hAnsi="VIC"/>
          </w:rPr>
          <w:t>(2018-19</w:t>
        </w:r>
        <w:r w:rsidR="003C740F" w:rsidRPr="008C250A">
          <w:rPr>
            <w:rStyle w:val="Hyperlink"/>
            <w:rFonts w:ascii="VIC" w:hAnsi="VIC"/>
            <w:spacing w:val="-8"/>
          </w:rPr>
          <w:t xml:space="preserve"> </w:t>
        </w:r>
        <w:r w:rsidR="003C740F" w:rsidRPr="008C250A">
          <w:rPr>
            <w:rStyle w:val="Hyperlink"/>
            <w:rFonts w:ascii="VIC" w:hAnsi="VIC"/>
          </w:rPr>
          <w:t>Q1-4)</w:t>
        </w:r>
        <w:r w:rsidR="003C740F">
          <w:rPr>
            <w:webHidden/>
          </w:rPr>
          <w:tab/>
        </w:r>
        <w:r w:rsidR="003C740F">
          <w:rPr>
            <w:webHidden/>
          </w:rPr>
          <w:fldChar w:fldCharType="begin"/>
        </w:r>
        <w:r w:rsidR="003C740F">
          <w:rPr>
            <w:webHidden/>
          </w:rPr>
          <w:instrText xml:space="preserve"> PAGEREF _Toc15473017 \h </w:instrText>
        </w:r>
        <w:r w:rsidR="003C740F">
          <w:rPr>
            <w:webHidden/>
          </w:rPr>
        </w:r>
        <w:r w:rsidR="003C740F">
          <w:rPr>
            <w:webHidden/>
          </w:rPr>
          <w:fldChar w:fldCharType="separate"/>
        </w:r>
        <w:r w:rsidR="003C740F">
          <w:rPr>
            <w:webHidden/>
          </w:rPr>
          <w:t>3</w:t>
        </w:r>
        <w:r w:rsidR="003C740F">
          <w:rPr>
            <w:webHidden/>
          </w:rPr>
          <w:fldChar w:fldCharType="end"/>
        </w:r>
      </w:hyperlink>
    </w:p>
    <w:p w:rsidR="003C740F" w:rsidRDefault="00C9698F">
      <w:pPr>
        <w:pStyle w:val="TOC1"/>
        <w:rPr>
          <w:rFonts w:asciiTheme="minorHAnsi" w:eastAsiaTheme="minorEastAsia" w:hAnsiTheme="minorHAnsi" w:cstheme="minorBidi"/>
          <w:b w:val="0"/>
          <w:sz w:val="22"/>
          <w:szCs w:val="22"/>
          <w:lang w:eastAsia="en-AU"/>
        </w:rPr>
      </w:pPr>
      <w:hyperlink w:anchor="_Toc15473018" w:history="1">
        <w:r w:rsidR="003C740F" w:rsidRPr="008C250A">
          <w:rPr>
            <w:rStyle w:val="Hyperlink"/>
            <w:rFonts w:ascii="VIC" w:hAnsi="VIC"/>
          </w:rPr>
          <w:t>Community - Year to Date (2018-19 Q1-4)</w:t>
        </w:r>
        <w:r w:rsidR="003C740F">
          <w:rPr>
            <w:webHidden/>
          </w:rPr>
          <w:tab/>
        </w:r>
        <w:r w:rsidR="003C740F">
          <w:rPr>
            <w:webHidden/>
          </w:rPr>
          <w:fldChar w:fldCharType="begin"/>
        </w:r>
        <w:r w:rsidR="003C740F">
          <w:rPr>
            <w:webHidden/>
          </w:rPr>
          <w:instrText xml:space="preserve"> PAGEREF _Toc15473018 \h </w:instrText>
        </w:r>
        <w:r w:rsidR="003C740F">
          <w:rPr>
            <w:webHidden/>
          </w:rPr>
        </w:r>
        <w:r w:rsidR="003C740F">
          <w:rPr>
            <w:webHidden/>
          </w:rPr>
          <w:fldChar w:fldCharType="separate"/>
        </w:r>
        <w:r w:rsidR="003C740F">
          <w:rPr>
            <w:webHidden/>
          </w:rPr>
          <w:t>3</w:t>
        </w:r>
        <w:r w:rsidR="003C740F">
          <w:rPr>
            <w:webHidden/>
          </w:rPr>
          <w:fldChar w:fldCharType="end"/>
        </w:r>
      </w:hyperlink>
    </w:p>
    <w:p w:rsidR="003C740F" w:rsidRDefault="00C9698F">
      <w:pPr>
        <w:pStyle w:val="TOC1"/>
        <w:rPr>
          <w:rFonts w:asciiTheme="minorHAnsi" w:eastAsiaTheme="minorEastAsia" w:hAnsiTheme="minorHAnsi" w:cstheme="minorBidi"/>
          <w:b w:val="0"/>
          <w:sz w:val="22"/>
          <w:szCs w:val="22"/>
          <w:lang w:eastAsia="en-AU"/>
        </w:rPr>
      </w:pPr>
      <w:hyperlink w:anchor="_Toc15473019" w:history="1">
        <w:r w:rsidR="003C740F" w:rsidRPr="008C250A">
          <w:rPr>
            <w:rStyle w:val="Hyperlink"/>
            <w:rFonts w:ascii="VIC" w:hAnsi="VIC"/>
          </w:rPr>
          <w:t>Definitions</w:t>
        </w:r>
        <w:r w:rsidR="003C740F">
          <w:rPr>
            <w:webHidden/>
          </w:rPr>
          <w:tab/>
        </w:r>
        <w:r w:rsidR="003C740F">
          <w:rPr>
            <w:webHidden/>
          </w:rPr>
          <w:fldChar w:fldCharType="begin"/>
        </w:r>
        <w:r w:rsidR="003C740F">
          <w:rPr>
            <w:webHidden/>
          </w:rPr>
          <w:instrText xml:space="preserve"> PAGEREF _Toc15473019 \h </w:instrText>
        </w:r>
        <w:r w:rsidR="003C740F">
          <w:rPr>
            <w:webHidden/>
          </w:rPr>
        </w:r>
        <w:r w:rsidR="003C740F">
          <w:rPr>
            <w:webHidden/>
          </w:rPr>
          <w:fldChar w:fldCharType="separate"/>
        </w:r>
        <w:r w:rsidR="003C740F">
          <w:rPr>
            <w:webHidden/>
          </w:rPr>
          <w:t>4</w:t>
        </w:r>
        <w:r w:rsidR="003C740F">
          <w:rPr>
            <w:webHidden/>
          </w:rPr>
          <w:fldChar w:fldCharType="end"/>
        </w:r>
      </w:hyperlink>
    </w:p>
    <w:p w:rsidR="00E43426" w:rsidRPr="00F01620" w:rsidRDefault="003A3438" w:rsidP="00EC66C2">
      <w:pPr>
        <w:pStyle w:val="DHHSbody"/>
        <w:spacing w:before="240"/>
        <w:rPr>
          <w:rFonts w:ascii="VIC" w:hAnsi="VIC"/>
        </w:rPr>
      </w:pPr>
      <w:r w:rsidRPr="00F01620">
        <w:rPr>
          <w:rFonts w:ascii="VIC" w:eastAsia="Times New Roman" w:hAnsi="VIC"/>
        </w:rPr>
        <w:fldChar w:fldCharType="end"/>
      </w:r>
    </w:p>
    <w:p w:rsidR="00E43426" w:rsidRPr="00F01620" w:rsidRDefault="00E43426" w:rsidP="00310351">
      <w:pPr>
        <w:pStyle w:val="DHHSbody"/>
        <w:rPr>
          <w:rFonts w:ascii="VIC" w:hAnsi="VIC"/>
        </w:rPr>
        <w:sectPr w:rsidR="00E43426" w:rsidRPr="00F01620" w:rsidSect="004367B3">
          <w:type w:val="continuous"/>
          <w:pgSz w:w="16838" w:h="11906" w:orient="landscape"/>
          <w:pgMar w:top="851" w:right="851" w:bottom="851" w:left="851" w:header="567" w:footer="510" w:gutter="0"/>
          <w:cols w:space="720"/>
          <w:docGrid w:linePitch="272"/>
        </w:sectPr>
      </w:pPr>
    </w:p>
    <w:p w:rsidR="003C740F" w:rsidRDefault="003C740F">
      <w:pPr>
        <w:widowControl/>
        <w:rPr>
          <w:rFonts w:ascii="VIC" w:eastAsia="MS Gothic" w:hAnsi="VIC" w:cs="Arial"/>
          <w:bCs/>
          <w:color w:val="004EA8"/>
          <w:kern w:val="32"/>
          <w:sz w:val="36"/>
          <w:szCs w:val="40"/>
          <w:lang w:val="en-AU"/>
        </w:rPr>
      </w:pPr>
      <w:bookmarkStart w:id="1" w:name="_Toc410762196"/>
      <w:bookmarkEnd w:id="0"/>
      <w:r>
        <w:rPr>
          <w:rFonts w:ascii="VIC" w:hAnsi="VIC"/>
        </w:rPr>
        <w:br w:type="page"/>
      </w:r>
    </w:p>
    <w:p w:rsidR="00B34FF0" w:rsidRPr="00F01620" w:rsidRDefault="00EC66C2" w:rsidP="00EC66C2">
      <w:pPr>
        <w:pStyle w:val="Heading1"/>
        <w:rPr>
          <w:rFonts w:ascii="VIC" w:hAnsi="VIC"/>
        </w:rPr>
      </w:pPr>
      <w:bookmarkStart w:id="2" w:name="_Toc15473015"/>
      <w:r w:rsidRPr="00F01620">
        <w:rPr>
          <w:rFonts w:ascii="VIC" w:hAnsi="VIC"/>
        </w:rPr>
        <w:lastRenderedPageBreak/>
        <w:t>Admitted Units</w:t>
      </w:r>
      <w:r w:rsidRPr="00F01620">
        <w:rPr>
          <w:rFonts w:ascii="VIC" w:hAnsi="VIC"/>
          <w:spacing w:val="-9"/>
        </w:rPr>
        <w:t xml:space="preserve"> </w:t>
      </w:r>
      <w:r w:rsidRPr="00F01620">
        <w:rPr>
          <w:rFonts w:ascii="VIC" w:hAnsi="VIC"/>
        </w:rPr>
        <w:t xml:space="preserve">- </w:t>
      </w:r>
      <w:r w:rsidR="00A81654">
        <w:rPr>
          <w:rFonts w:ascii="VIC" w:hAnsi="VIC"/>
        </w:rPr>
        <w:t>2018-19</w:t>
      </w:r>
      <w:r w:rsidRPr="00F01620">
        <w:rPr>
          <w:rFonts w:ascii="VIC" w:hAnsi="VIC"/>
          <w:spacing w:val="-9"/>
        </w:rPr>
        <w:t xml:space="preserve"> </w:t>
      </w:r>
      <w:r w:rsidRPr="00F01620">
        <w:rPr>
          <w:rFonts w:ascii="VIC" w:hAnsi="VIC"/>
        </w:rPr>
        <w:t>Q4</w:t>
      </w:r>
      <w:bookmarkEnd w:id="2"/>
    </w:p>
    <w:tbl>
      <w:tblPr>
        <w:tblW w:w="15451" w:type="dxa"/>
        <w:tblInd w:w="-10" w:type="dxa"/>
        <w:tblLayout w:type="fixed"/>
        <w:tblCellMar>
          <w:left w:w="0" w:type="dxa"/>
          <w:right w:w="0" w:type="dxa"/>
        </w:tblCellMar>
        <w:tblLook w:val="01E0" w:firstRow="1" w:lastRow="1" w:firstColumn="1" w:lastColumn="1" w:noHBand="0" w:noVBand="0"/>
      </w:tblPr>
      <w:tblGrid>
        <w:gridCol w:w="2161"/>
        <w:gridCol w:w="1502"/>
        <w:gridCol w:w="1502"/>
        <w:gridCol w:w="1502"/>
        <w:gridCol w:w="1502"/>
        <w:gridCol w:w="1502"/>
        <w:gridCol w:w="1502"/>
        <w:gridCol w:w="1502"/>
        <w:gridCol w:w="1359"/>
        <w:gridCol w:w="1417"/>
      </w:tblGrid>
      <w:tr w:rsidR="00D6039A" w:rsidRPr="00F01620" w:rsidTr="00DB706F">
        <w:trPr>
          <w:trHeight w:hRule="exact" w:val="942"/>
        </w:trPr>
        <w:tc>
          <w:tcPr>
            <w:tcW w:w="2161" w:type="dxa"/>
            <w:tcBorders>
              <w:top w:val="single" w:sz="4" w:space="0" w:color="000000"/>
              <w:left w:val="single" w:sz="8" w:space="0" w:color="000000"/>
              <w:bottom w:val="single" w:sz="8" w:space="0" w:color="000000"/>
              <w:right w:val="single" w:sz="8" w:space="0" w:color="000000"/>
            </w:tcBorders>
            <w:shd w:val="clear" w:color="auto" w:fill="auto"/>
          </w:tcPr>
          <w:p w:rsidR="00D6039A" w:rsidRPr="00F01620" w:rsidRDefault="00D6039A" w:rsidP="00D6039A">
            <w:pPr>
              <w:pStyle w:val="DHHStablecolhead"/>
              <w:rPr>
                <w:rFonts w:ascii="VIC" w:eastAsia="Verdana" w:hAnsi="VIC"/>
              </w:rPr>
            </w:pPr>
            <w:r w:rsidRPr="00F01620">
              <w:rPr>
                <w:rFonts w:ascii="VIC" w:hAnsi="VIC"/>
              </w:rPr>
              <w:t xml:space="preserve">Admitted Units - </w:t>
            </w:r>
            <w:r>
              <w:rPr>
                <w:rFonts w:ascii="VIC" w:hAnsi="VIC"/>
              </w:rPr>
              <w:t>2018-19</w:t>
            </w:r>
            <w:r w:rsidRPr="00F01620">
              <w:rPr>
                <w:rFonts w:ascii="VIC" w:hAnsi="VIC"/>
              </w:rPr>
              <w:t xml:space="preserve"> Q4</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Inpatient separations</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Bed occupancy (incl leave)</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Leave days per occupied bed days</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Average length of stay (days)</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Number of forensic patients</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Bodily restraint per 1,000 bed days</w:t>
            </w:r>
          </w:p>
        </w:tc>
        <w:tc>
          <w:tcPr>
            <w:tcW w:w="1502"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Seclusions per 1,000 bed days</w:t>
            </w:r>
          </w:p>
        </w:tc>
        <w:tc>
          <w:tcPr>
            <w:tcW w:w="1359" w:type="dxa"/>
            <w:tcBorders>
              <w:top w:val="single" w:sz="4" w:space="0" w:color="000000"/>
              <w:left w:val="single" w:sz="8" w:space="0" w:color="000000"/>
              <w:bottom w:val="single" w:sz="8" w:space="0" w:color="000000"/>
              <w:right w:val="single" w:sz="8" w:space="0" w:color="000000"/>
            </w:tcBorders>
            <w:shd w:val="clear" w:color="auto" w:fill="auto"/>
            <w:vAlign w:val="bottom"/>
          </w:tcPr>
          <w:p w:rsidR="00D6039A" w:rsidRPr="00D6039A" w:rsidRDefault="00D6039A" w:rsidP="00D6039A">
            <w:pPr>
              <w:pStyle w:val="VAHItablecolhead"/>
              <w:rPr>
                <w:rFonts w:eastAsia="Verdana"/>
                <w:b/>
                <w:color w:val="004EA8"/>
                <w:sz w:val="20"/>
              </w:rPr>
            </w:pPr>
            <w:r w:rsidRPr="00D6039A">
              <w:rPr>
                <w:b/>
                <w:color w:val="004EA8"/>
                <w:sz w:val="20"/>
              </w:rPr>
              <w:t>Separations with multiple seclusions</w:t>
            </w:r>
          </w:p>
        </w:tc>
        <w:tc>
          <w:tcPr>
            <w:tcW w:w="1417" w:type="dxa"/>
            <w:tcBorders>
              <w:top w:val="single" w:sz="4" w:space="0" w:color="000000"/>
              <w:left w:val="single" w:sz="8" w:space="0" w:color="000000"/>
              <w:bottom w:val="single" w:sz="8" w:space="0" w:color="000000"/>
              <w:right w:val="single" w:sz="4" w:space="0" w:color="000000"/>
            </w:tcBorders>
            <w:shd w:val="clear" w:color="auto" w:fill="auto"/>
            <w:vAlign w:val="bottom"/>
          </w:tcPr>
          <w:p w:rsidR="00D6039A" w:rsidRPr="00D6039A" w:rsidRDefault="00D6039A" w:rsidP="00D6039A">
            <w:pPr>
              <w:pStyle w:val="VAHItablecolhead"/>
              <w:rPr>
                <w:rFonts w:eastAsia="Verdana"/>
                <w:b/>
                <w:color w:val="004EA8"/>
                <w:sz w:val="20"/>
              </w:rPr>
            </w:pPr>
            <w:proofErr w:type="spellStart"/>
            <w:r w:rsidRPr="00D6039A">
              <w:rPr>
                <w:b/>
                <w:color w:val="004EA8"/>
                <w:sz w:val="20"/>
              </w:rPr>
              <w:t>HoNOS</w:t>
            </w:r>
            <w:proofErr w:type="spellEnd"/>
            <w:r w:rsidRPr="00D6039A">
              <w:rPr>
                <w:b/>
                <w:color w:val="004EA8"/>
                <w:sz w:val="20"/>
              </w:rPr>
              <w:t xml:space="preserve"> compliance</w:t>
            </w:r>
          </w:p>
        </w:tc>
      </w:tr>
      <w:tr w:rsidR="00EC66C2" w:rsidRPr="00F01620" w:rsidTr="003B6906">
        <w:trPr>
          <w:trHeight w:hRule="exact" w:val="450"/>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eastAsia="Verdana" w:hAnsi="VIC" w:cs="Verdana"/>
              </w:rPr>
            </w:pPr>
            <w:r w:rsidRPr="00F01620">
              <w:rPr>
                <w:rFonts w:ascii="VIC" w:hAnsi="VIC"/>
              </w:rPr>
              <w:t>Acute</w:t>
            </w:r>
            <w:r w:rsidRPr="00F01620">
              <w:rPr>
                <w:rFonts w:ascii="VIC" w:hAnsi="VIC"/>
                <w:spacing w:val="-9"/>
              </w:rPr>
              <w:t xml:space="preserve"> </w:t>
            </w:r>
            <w:r w:rsidRPr="00F01620">
              <w:rPr>
                <w:rFonts w:ascii="VIC" w:hAnsi="VIC"/>
              </w:rPr>
              <w:t>Care</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32</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95</w:t>
            </w:r>
            <w:r w:rsidRPr="00F01620">
              <w:rPr>
                <w:rFonts w:ascii="VIC" w:hAnsi="VIC"/>
                <w:spacing w:val="-3"/>
              </w:rPr>
              <w:t xml:space="preserve"> </w:t>
            </w:r>
            <w:r w:rsidRPr="00F01620">
              <w:rPr>
                <w:rFonts w:ascii="VIC" w:hAnsi="VIC"/>
              </w:rPr>
              <w:t>%</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0</w:t>
            </w:r>
            <w:r w:rsidRPr="00F01620">
              <w:rPr>
                <w:rFonts w:ascii="VIC" w:hAnsi="VIC"/>
                <w:spacing w:val="-1"/>
              </w:rPr>
              <w:t xml:space="preserve"> </w:t>
            </w:r>
            <w:r w:rsidRPr="00F01620">
              <w:rPr>
                <w:rFonts w:ascii="VIC" w:hAnsi="VIC"/>
              </w:rPr>
              <w:t>%</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65.7</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23</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180.7</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21.9</w:t>
            </w:r>
          </w:p>
        </w:tc>
        <w:tc>
          <w:tcPr>
            <w:tcW w:w="1359"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19</w:t>
            </w:r>
            <w:r w:rsidRPr="00F01620">
              <w:rPr>
                <w:rFonts w:ascii="VIC" w:hAnsi="VIC"/>
                <w:spacing w:val="-3"/>
              </w:rPr>
              <w:t xml:space="preserve"> </w:t>
            </w:r>
            <w:r w:rsidRPr="00F01620">
              <w:rPr>
                <w:rFonts w:ascii="VIC" w:hAnsi="VIC"/>
              </w:rPr>
              <w:t>%</w:t>
            </w:r>
          </w:p>
        </w:tc>
        <w:tc>
          <w:tcPr>
            <w:tcW w:w="1417" w:type="dxa"/>
            <w:tcBorders>
              <w:top w:val="single" w:sz="8" w:space="0" w:color="000000"/>
              <w:left w:val="single" w:sz="8" w:space="0" w:color="000000"/>
              <w:bottom w:val="single" w:sz="8" w:space="0" w:color="000000"/>
              <w:right w:val="single" w:sz="4"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68</w:t>
            </w:r>
            <w:r w:rsidRPr="00F01620">
              <w:rPr>
                <w:rFonts w:ascii="VIC" w:hAnsi="VIC"/>
                <w:spacing w:val="-3"/>
              </w:rPr>
              <w:t xml:space="preserve"> </w:t>
            </w:r>
            <w:r w:rsidRPr="00F01620">
              <w:rPr>
                <w:rFonts w:ascii="VIC" w:hAnsi="VIC"/>
              </w:rPr>
              <w:t>%</w:t>
            </w:r>
          </w:p>
        </w:tc>
      </w:tr>
      <w:tr w:rsidR="00EC66C2" w:rsidRPr="00F01620" w:rsidTr="003B6906">
        <w:trPr>
          <w:trHeight w:hRule="exact" w:val="450"/>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eastAsia="Verdana" w:hAnsi="VIC" w:cs="Verdana"/>
              </w:rPr>
            </w:pPr>
            <w:proofErr w:type="spellStart"/>
            <w:r w:rsidRPr="00F01620">
              <w:rPr>
                <w:rFonts w:ascii="VIC" w:hAnsi="VIC"/>
              </w:rPr>
              <w:t>Sub Acute</w:t>
            </w:r>
            <w:proofErr w:type="spellEnd"/>
            <w:r w:rsidRPr="00F01620">
              <w:rPr>
                <w:rFonts w:ascii="VIC" w:hAnsi="VIC"/>
                <w:spacing w:val="-11"/>
              </w:rPr>
              <w:t xml:space="preserve"> </w:t>
            </w:r>
            <w:r w:rsidRPr="00F01620">
              <w:rPr>
                <w:rFonts w:ascii="VIC" w:hAnsi="VIC"/>
              </w:rPr>
              <w:t>Care</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w w:val="99"/>
              </w:rPr>
              <w:t>5</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98</w:t>
            </w:r>
            <w:r w:rsidRPr="00F01620">
              <w:rPr>
                <w:rFonts w:ascii="VIC" w:hAnsi="VIC"/>
                <w:spacing w:val="-3"/>
              </w:rPr>
              <w:t xml:space="preserve"> </w:t>
            </w:r>
            <w:r w:rsidRPr="00F01620">
              <w:rPr>
                <w:rFonts w:ascii="VIC" w:hAnsi="VIC"/>
              </w:rPr>
              <w:t>%</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5</w:t>
            </w:r>
            <w:r w:rsidRPr="00F01620">
              <w:rPr>
                <w:rFonts w:ascii="VIC" w:hAnsi="VIC"/>
                <w:spacing w:val="-1"/>
              </w:rPr>
              <w:t xml:space="preserve"> </w:t>
            </w:r>
            <w:r w:rsidRPr="00F01620">
              <w:rPr>
                <w:rFonts w:ascii="VIC" w:hAnsi="VIC"/>
              </w:rPr>
              <w:t>%</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1,209.7</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23</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7.4</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p>
        </w:tc>
        <w:tc>
          <w:tcPr>
            <w:tcW w:w="1359"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p>
        </w:tc>
        <w:tc>
          <w:tcPr>
            <w:tcW w:w="1417" w:type="dxa"/>
            <w:tcBorders>
              <w:top w:val="single" w:sz="8" w:space="0" w:color="000000"/>
              <w:left w:val="single" w:sz="8" w:space="0" w:color="000000"/>
              <w:bottom w:val="single" w:sz="8" w:space="0" w:color="000000"/>
              <w:right w:val="single" w:sz="4"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73</w:t>
            </w:r>
            <w:r w:rsidRPr="00F01620">
              <w:rPr>
                <w:rFonts w:ascii="VIC" w:hAnsi="VIC"/>
                <w:spacing w:val="-3"/>
              </w:rPr>
              <w:t xml:space="preserve"> </w:t>
            </w:r>
            <w:r w:rsidRPr="00F01620">
              <w:rPr>
                <w:rFonts w:ascii="VIC" w:hAnsi="VIC"/>
              </w:rPr>
              <w:t>%</w:t>
            </w:r>
          </w:p>
        </w:tc>
      </w:tr>
      <w:tr w:rsidR="00EC66C2" w:rsidRPr="00F01620" w:rsidTr="003B6906">
        <w:trPr>
          <w:trHeight w:hRule="exact" w:val="450"/>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eastAsia="Verdana" w:hAnsi="VIC" w:cs="Verdana"/>
              </w:rPr>
            </w:pPr>
            <w:r w:rsidRPr="00F01620">
              <w:rPr>
                <w:rFonts w:ascii="VIC" w:hAnsi="VIC"/>
              </w:rPr>
              <w:t>Continuing</w:t>
            </w:r>
            <w:r w:rsidRPr="00F01620">
              <w:rPr>
                <w:rFonts w:ascii="VIC" w:hAnsi="VIC"/>
                <w:spacing w:val="-14"/>
              </w:rPr>
              <w:t xml:space="preserve"> </w:t>
            </w:r>
            <w:r w:rsidRPr="00F01620">
              <w:rPr>
                <w:rFonts w:ascii="VIC" w:hAnsi="VIC"/>
              </w:rPr>
              <w:t>Care</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w w:val="99"/>
              </w:rPr>
              <w:t>2</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93</w:t>
            </w:r>
            <w:r w:rsidRPr="00F01620">
              <w:rPr>
                <w:rFonts w:ascii="VIC" w:hAnsi="VIC"/>
                <w:spacing w:val="-3"/>
              </w:rPr>
              <w:t xml:space="preserve"> </w:t>
            </w:r>
            <w:r w:rsidRPr="00F01620">
              <w:rPr>
                <w:rFonts w:ascii="VIC" w:hAnsi="VIC"/>
              </w:rPr>
              <w:t>%</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4</w:t>
            </w:r>
            <w:r w:rsidRPr="00F01620">
              <w:rPr>
                <w:rFonts w:ascii="VIC" w:hAnsi="VIC"/>
                <w:spacing w:val="-1"/>
              </w:rPr>
              <w:t xml:space="preserve"> </w:t>
            </w:r>
            <w:r w:rsidRPr="00F01620">
              <w:rPr>
                <w:rFonts w:ascii="VIC" w:hAnsi="VIC"/>
              </w:rPr>
              <w:t>%</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996.3</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52</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72.9</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13.2</w:t>
            </w:r>
          </w:p>
        </w:tc>
        <w:tc>
          <w:tcPr>
            <w:tcW w:w="1359"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p>
        </w:tc>
        <w:tc>
          <w:tcPr>
            <w:tcW w:w="1417" w:type="dxa"/>
            <w:tcBorders>
              <w:top w:val="single" w:sz="8" w:space="0" w:color="000000"/>
              <w:left w:val="single" w:sz="8" w:space="0" w:color="000000"/>
              <w:bottom w:val="single" w:sz="8" w:space="0" w:color="000000"/>
              <w:right w:val="single" w:sz="4" w:space="0" w:color="000000"/>
            </w:tcBorders>
          </w:tcPr>
          <w:p w:rsidR="00EC66C2" w:rsidRPr="00F01620" w:rsidRDefault="00EC66C2" w:rsidP="00A81654">
            <w:pPr>
              <w:pStyle w:val="DHHStabletext"/>
              <w:jc w:val="center"/>
              <w:rPr>
                <w:rFonts w:ascii="VIC" w:eastAsia="Verdana" w:hAnsi="VIC" w:cs="Verdana"/>
              </w:rPr>
            </w:pPr>
            <w:r w:rsidRPr="00F01620">
              <w:rPr>
                <w:rFonts w:ascii="VIC" w:hAnsi="VIC"/>
              </w:rPr>
              <w:t>77</w:t>
            </w:r>
            <w:r w:rsidRPr="00F01620">
              <w:rPr>
                <w:rFonts w:ascii="VIC" w:hAnsi="VIC"/>
                <w:spacing w:val="-3"/>
              </w:rPr>
              <w:t xml:space="preserve"> </w:t>
            </w:r>
            <w:r w:rsidRPr="00F01620">
              <w:rPr>
                <w:rFonts w:ascii="VIC" w:hAnsi="VIC"/>
              </w:rPr>
              <w:t>%</w:t>
            </w:r>
          </w:p>
        </w:tc>
      </w:tr>
      <w:tr w:rsidR="00EC66C2" w:rsidRPr="00F01620" w:rsidTr="003B6906">
        <w:trPr>
          <w:trHeight w:hRule="exact" w:val="450"/>
        </w:trPr>
        <w:tc>
          <w:tcPr>
            <w:tcW w:w="2161"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EC66C2">
            <w:pPr>
              <w:pStyle w:val="DHHStabletext"/>
              <w:rPr>
                <w:rFonts w:ascii="VIC" w:eastAsia="Verdana" w:hAnsi="VIC" w:cs="Verdana"/>
                <w:b/>
              </w:rPr>
            </w:pPr>
            <w:r w:rsidRPr="00F01620">
              <w:rPr>
                <w:rFonts w:ascii="VIC" w:hAnsi="VIC"/>
                <w:b/>
              </w:rPr>
              <w:t>TOTAL</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39</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95</w:t>
            </w:r>
            <w:r w:rsidRPr="00F01620">
              <w:rPr>
                <w:rFonts w:ascii="VIC" w:hAnsi="VIC"/>
                <w:b/>
                <w:spacing w:val="-3"/>
              </w:rPr>
              <w:t xml:space="preserve"> </w:t>
            </w:r>
            <w:r w:rsidRPr="00F01620">
              <w:rPr>
                <w:rFonts w:ascii="VIC" w:hAnsi="VIC"/>
                <w:b/>
              </w:rPr>
              <w:t>%</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3</w:t>
            </w:r>
            <w:r w:rsidRPr="00F01620">
              <w:rPr>
                <w:rFonts w:ascii="VIC" w:hAnsi="VIC"/>
                <w:b/>
                <w:spacing w:val="-1"/>
              </w:rPr>
              <w:t xml:space="preserve"> </w:t>
            </w:r>
            <w:r w:rsidRPr="00F01620">
              <w:rPr>
                <w:rFonts w:ascii="VIC" w:hAnsi="VIC"/>
                <w:b/>
              </w:rPr>
              <w:t>%</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260.1</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98</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101.8</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19.5</w:t>
            </w:r>
          </w:p>
        </w:tc>
        <w:tc>
          <w:tcPr>
            <w:tcW w:w="1359"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19</w:t>
            </w:r>
            <w:r w:rsidRPr="00F01620">
              <w:rPr>
                <w:rFonts w:ascii="VIC" w:hAnsi="VIC"/>
                <w:b/>
                <w:spacing w:val="-3"/>
              </w:rPr>
              <w:t xml:space="preserve"> </w:t>
            </w:r>
            <w:r w:rsidRPr="00F01620">
              <w:rPr>
                <w:rFonts w:ascii="VIC" w:hAnsi="VIC"/>
                <w:b/>
              </w:rPr>
              <w:t>%</w:t>
            </w:r>
          </w:p>
        </w:tc>
        <w:tc>
          <w:tcPr>
            <w:tcW w:w="1417" w:type="dxa"/>
            <w:tcBorders>
              <w:top w:val="single" w:sz="8" w:space="0" w:color="000000"/>
              <w:left w:val="single" w:sz="8" w:space="0" w:color="000000"/>
              <w:bottom w:val="single" w:sz="8" w:space="0" w:color="000000"/>
              <w:right w:val="single" w:sz="4" w:space="0" w:color="000000"/>
            </w:tcBorders>
            <w:shd w:val="clear" w:color="auto" w:fill="99B8DC"/>
          </w:tcPr>
          <w:p w:rsidR="00EC66C2" w:rsidRPr="00F01620" w:rsidRDefault="00EC66C2" w:rsidP="00A81654">
            <w:pPr>
              <w:pStyle w:val="DHHStabletext"/>
              <w:jc w:val="center"/>
              <w:rPr>
                <w:rFonts w:ascii="VIC" w:eastAsia="Verdana" w:hAnsi="VIC" w:cs="Verdana"/>
                <w:b/>
              </w:rPr>
            </w:pPr>
            <w:r w:rsidRPr="00F01620">
              <w:rPr>
                <w:rFonts w:ascii="VIC" w:hAnsi="VIC"/>
                <w:b/>
              </w:rPr>
              <w:t>72</w:t>
            </w:r>
            <w:r w:rsidRPr="00F01620">
              <w:rPr>
                <w:rFonts w:ascii="VIC" w:hAnsi="VIC"/>
                <w:b/>
                <w:spacing w:val="-3"/>
              </w:rPr>
              <w:t xml:space="preserve"> </w:t>
            </w:r>
            <w:r w:rsidRPr="00F01620">
              <w:rPr>
                <w:rFonts w:ascii="VIC" w:hAnsi="VIC"/>
                <w:b/>
              </w:rPr>
              <w:t>%</w:t>
            </w:r>
          </w:p>
        </w:tc>
      </w:tr>
    </w:tbl>
    <w:p w:rsidR="00B34FF0" w:rsidRPr="00F01620" w:rsidRDefault="00EC66C2" w:rsidP="00EC66C2">
      <w:pPr>
        <w:pStyle w:val="Heading1"/>
        <w:rPr>
          <w:rFonts w:ascii="VIC" w:hAnsi="VIC"/>
        </w:rPr>
      </w:pPr>
      <w:bookmarkStart w:id="3" w:name="_Toc15473016"/>
      <w:r w:rsidRPr="00F01620">
        <w:rPr>
          <w:rFonts w:ascii="VIC" w:hAnsi="VIC"/>
        </w:rPr>
        <w:t>Community</w:t>
      </w:r>
      <w:r w:rsidRPr="00F01620">
        <w:rPr>
          <w:rFonts w:ascii="VIC" w:hAnsi="VIC"/>
          <w:spacing w:val="-7"/>
        </w:rPr>
        <w:t xml:space="preserve"> </w:t>
      </w:r>
      <w:r w:rsidRPr="00F01620">
        <w:rPr>
          <w:rFonts w:ascii="VIC" w:hAnsi="VIC"/>
        </w:rPr>
        <w:t xml:space="preserve">- </w:t>
      </w:r>
      <w:r w:rsidR="00A81654">
        <w:rPr>
          <w:rFonts w:ascii="VIC" w:hAnsi="VIC"/>
        </w:rPr>
        <w:t>2018-19</w:t>
      </w:r>
      <w:r w:rsidRPr="00F01620">
        <w:rPr>
          <w:rFonts w:ascii="VIC" w:hAnsi="VIC"/>
          <w:spacing w:val="-9"/>
        </w:rPr>
        <w:t xml:space="preserve"> </w:t>
      </w:r>
      <w:r w:rsidRPr="00F01620">
        <w:rPr>
          <w:rFonts w:ascii="VIC" w:hAnsi="VIC"/>
        </w:rPr>
        <w:t>Q4</w:t>
      </w:r>
      <w:bookmarkEnd w:id="3"/>
    </w:p>
    <w:tbl>
      <w:tblPr>
        <w:tblW w:w="0" w:type="auto"/>
        <w:tblInd w:w="113" w:type="dxa"/>
        <w:tblLayout w:type="fixed"/>
        <w:tblCellMar>
          <w:left w:w="0" w:type="dxa"/>
          <w:right w:w="0" w:type="dxa"/>
        </w:tblCellMar>
        <w:tblLook w:val="01E0" w:firstRow="1" w:lastRow="1" w:firstColumn="1" w:lastColumn="1" w:noHBand="0" w:noVBand="0"/>
      </w:tblPr>
      <w:tblGrid>
        <w:gridCol w:w="2161"/>
        <w:gridCol w:w="1502"/>
        <w:gridCol w:w="1502"/>
        <w:gridCol w:w="1502"/>
        <w:gridCol w:w="1502"/>
      </w:tblGrid>
      <w:tr w:rsidR="00D6039A" w:rsidRPr="00F01620" w:rsidTr="001B65F7">
        <w:trPr>
          <w:trHeight w:hRule="exact" w:val="1092"/>
        </w:trPr>
        <w:tc>
          <w:tcPr>
            <w:tcW w:w="216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039A" w:rsidRPr="00F01620" w:rsidRDefault="00D6039A" w:rsidP="00D6039A">
            <w:pPr>
              <w:pStyle w:val="DHHStablecolhead"/>
              <w:rPr>
                <w:rFonts w:ascii="VIC" w:hAnsi="VIC"/>
              </w:rPr>
            </w:pPr>
            <w:r w:rsidRPr="00F01620">
              <w:rPr>
                <w:rFonts w:ascii="VIC" w:hAnsi="VIC"/>
              </w:rPr>
              <w:t xml:space="preserve">Community - </w:t>
            </w:r>
            <w:r>
              <w:rPr>
                <w:rFonts w:ascii="VIC" w:hAnsi="VIC"/>
              </w:rPr>
              <w:t>2018-19</w:t>
            </w:r>
            <w:r w:rsidRPr="00F01620">
              <w:rPr>
                <w:rFonts w:ascii="VIC" w:hAnsi="VIC"/>
              </w:rPr>
              <w:t xml:space="preserve"> Q4</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r w:rsidRPr="00D6039A">
              <w:rPr>
                <w:b/>
                <w:color w:val="004EA8"/>
                <w:sz w:val="20"/>
              </w:rPr>
              <w:t xml:space="preserve">New case </w:t>
            </w:r>
            <w:r w:rsidRPr="00D6039A">
              <w:rPr>
                <w:b/>
                <w:color w:val="004EA8"/>
                <w:sz w:val="20"/>
              </w:rPr>
              <w:br w:type="textWrapping" w:clear="all"/>
              <w:t>rate</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proofErr w:type="spellStart"/>
            <w:r w:rsidRPr="00D6039A">
              <w:rPr>
                <w:b/>
                <w:color w:val="004EA8"/>
                <w:sz w:val="20"/>
              </w:rPr>
              <w:t>HoNOS</w:t>
            </w:r>
            <w:proofErr w:type="spellEnd"/>
            <w:r w:rsidRPr="00D6039A">
              <w:rPr>
                <w:b/>
                <w:color w:val="004EA8"/>
                <w:sz w:val="20"/>
              </w:rPr>
              <w:t xml:space="preserve"> compliance</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r w:rsidRPr="00D6039A">
              <w:rPr>
                <w:b/>
                <w:color w:val="004EA8"/>
                <w:sz w:val="20"/>
              </w:rPr>
              <w:t>Self rated measures completed</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r w:rsidRPr="00D6039A">
              <w:rPr>
                <w:b/>
                <w:color w:val="004EA8"/>
                <w:sz w:val="20"/>
              </w:rPr>
              <w:t xml:space="preserve">Service </w:t>
            </w:r>
            <w:r w:rsidRPr="00D6039A">
              <w:rPr>
                <w:b/>
                <w:color w:val="004EA8"/>
                <w:sz w:val="20"/>
              </w:rPr>
              <w:br w:type="textWrapping" w:clear="all"/>
              <w:t>hours</w:t>
            </w:r>
          </w:p>
        </w:tc>
      </w:tr>
      <w:tr w:rsidR="00EC66C2" w:rsidRPr="00F01620" w:rsidTr="00216B73">
        <w:trPr>
          <w:trHeight w:hRule="exact" w:val="495"/>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hAnsi="VIC"/>
              </w:rPr>
            </w:pPr>
            <w:r w:rsidRPr="00F01620">
              <w:rPr>
                <w:rFonts w:ascii="VIC" w:hAnsi="VIC"/>
              </w:rPr>
              <w:t>VIFMH</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20 %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66 %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5 %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4,350</w:t>
            </w:r>
          </w:p>
        </w:tc>
      </w:tr>
    </w:tbl>
    <w:p w:rsidR="003C740F" w:rsidRDefault="003C740F" w:rsidP="00EC66C2">
      <w:pPr>
        <w:pStyle w:val="Heading1"/>
        <w:rPr>
          <w:rFonts w:ascii="VIC" w:hAnsi="VIC"/>
        </w:rPr>
      </w:pPr>
    </w:p>
    <w:p w:rsidR="003C740F" w:rsidRDefault="003C740F">
      <w:pPr>
        <w:widowControl/>
        <w:rPr>
          <w:rFonts w:ascii="VIC" w:eastAsia="MS Gothic" w:hAnsi="VIC" w:cs="Arial"/>
          <w:bCs/>
          <w:color w:val="004EA8"/>
          <w:kern w:val="32"/>
          <w:sz w:val="36"/>
          <w:szCs w:val="40"/>
          <w:lang w:val="en-AU"/>
        </w:rPr>
      </w:pPr>
      <w:r>
        <w:rPr>
          <w:rFonts w:ascii="VIC" w:hAnsi="VIC"/>
        </w:rPr>
        <w:br w:type="page"/>
      </w:r>
    </w:p>
    <w:p w:rsidR="00EC66C2" w:rsidRPr="00F01620" w:rsidRDefault="00EC66C2" w:rsidP="00EC66C2">
      <w:pPr>
        <w:pStyle w:val="Heading1"/>
        <w:rPr>
          <w:rFonts w:ascii="VIC" w:hAnsi="VIC"/>
        </w:rPr>
      </w:pPr>
      <w:bookmarkStart w:id="4" w:name="_Toc15473017"/>
      <w:r w:rsidRPr="00F01620">
        <w:rPr>
          <w:rFonts w:ascii="VIC" w:hAnsi="VIC"/>
        </w:rPr>
        <w:lastRenderedPageBreak/>
        <w:t>Admitted Units</w:t>
      </w:r>
      <w:r w:rsidRPr="00F01620">
        <w:rPr>
          <w:rFonts w:ascii="VIC" w:hAnsi="VIC"/>
          <w:spacing w:val="-9"/>
        </w:rPr>
        <w:t xml:space="preserve"> </w:t>
      </w:r>
      <w:r w:rsidRPr="00F01620">
        <w:rPr>
          <w:rFonts w:ascii="VIC" w:hAnsi="VIC"/>
        </w:rPr>
        <w:t>- Year to</w:t>
      </w:r>
      <w:r w:rsidRPr="00F01620">
        <w:rPr>
          <w:rFonts w:ascii="VIC" w:hAnsi="VIC"/>
          <w:spacing w:val="-5"/>
        </w:rPr>
        <w:t xml:space="preserve"> </w:t>
      </w:r>
      <w:r w:rsidRPr="00F01620">
        <w:rPr>
          <w:rFonts w:ascii="VIC" w:hAnsi="VIC"/>
        </w:rPr>
        <w:t>Date</w:t>
      </w:r>
      <w:r w:rsidRPr="00F01620">
        <w:rPr>
          <w:rFonts w:ascii="VIC" w:hAnsi="VIC"/>
          <w:spacing w:val="-1"/>
          <w:w w:val="99"/>
        </w:rPr>
        <w:t xml:space="preserve"> </w:t>
      </w:r>
      <w:r w:rsidRPr="00F01620">
        <w:rPr>
          <w:rFonts w:ascii="VIC" w:hAnsi="VIC"/>
        </w:rPr>
        <w:t>(</w:t>
      </w:r>
      <w:r w:rsidR="00A81654">
        <w:rPr>
          <w:rFonts w:ascii="VIC" w:hAnsi="VIC"/>
        </w:rPr>
        <w:t>2018-19</w:t>
      </w:r>
      <w:r w:rsidRPr="00F01620">
        <w:rPr>
          <w:rFonts w:ascii="VIC" w:hAnsi="VIC"/>
          <w:spacing w:val="-8"/>
        </w:rPr>
        <w:t xml:space="preserve"> </w:t>
      </w:r>
      <w:r w:rsidRPr="00F01620">
        <w:rPr>
          <w:rFonts w:ascii="VIC" w:hAnsi="VIC"/>
        </w:rPr>
        <w:t>Q1-4)</w:t>
      </w:r>
      <w:bookmarkEnd w:id="4"/>
    </w:p>
    <w:tbl>
      <w:tblPr>
        <w:tblW w:w="0" w:type="auto"/>
        <w:tblInd w:w="113" w:type="dxa"/>
        <w:tblLayout w:type="fixed"/>
        <w:tblCellMar>
          <w:left w:w="0" w:type="dxa"/>
          <w:right w:w="0" w:type="dxa"/>
        </w:tblCellMar>
        <w:tblLook w:val="01E0" w:firstRow="1" w:lastRow="1" w:firstColumn="1" w:lastColumn="1" w:noHBand="0" w:noVBand="0"/>
      </w:tblPr>
      <w:tblGrid>
        <w:gridCol w:w="2161"/>
        <w:gridCol w:w="1502"/>
        <w:gridCol w:w="1502"/>
        <w:gridCol w:w="1502"/>
        <w:gridCol w:w="1502"/>
        <w:gridCol w:w="1502"/>
        <w:gridCol w:w="1502"/>
        <w:gridCol w:w="1502"/>
        <w:gridCol w:w="1497"/>
      </w:tblGrid>
      <w:tr w:rsidR="00C56638" w:rsidRPr="00F01620" w:rsidTr="00D6181A">
        <w:trPr>
          <w:trHeight w:hRule="exact" w:val="1104"/>
        </w:trPr>
        <w:tc>
          <w:tcPr>
            <w:tcW w:w="2161" w:type="dxa"/>
            <w:tcBorders>
              <w:top w:val="single" w:sz="4" w:space="0" w:color="000000"/>
              <w:left w:val="single" w:sz="8" w:space="0" w:color="000000"/>
              <w:bottom w:val="single" w:sz="8" w:space="0" w:color="000000"/>
              <w:right w:val="single" w:sz="8" w:space="0" w:color="000000"/>
            </w:tcBorders>
            <w:shd w:val="clear" w:color="auto" w:fill="FFFFFF" w:themeFill="background1"/>
          </w:tcPr>
          <w:p w:rsidR="00C56638" w:rsidRPr="00F01620" w:rsidRDefault="00C56638" w:rsidP="00C56638">
            <w:pPr>
              <w:pStyle w:val="DHHStablecolhead"/>
              <w:rPr>
                <w:rFonts w:ascii="VIC" w:hAnsi="VIC"/>
              </w:rPr>
            </w:pPr>
            <w:r w:rsidRPr="00F01620">
              <w:rPr>
                <w:rFonts w:ascii="VIC" w:hAnsi="VIC"/>
              </w:rPr>
              <w:t>Admitted Units - Year to Date (</w:t>
            </w:r>
            <w:r>
              <w:rPr>
                <w:rFonts w:ascii="VIC" w:hAnsi="VIC"/>
              </w:rPr>
              <w:t>2018-19</w:t>
            </w:r>
            <w:r w:rsidRPr="00F01620">
              <w:rPr>
                <w:rFonts w:ascii="VIC" w:hAnsi="VIC"/>
              </w:rPr>
              <w:t xml:space="preserve"> Q1-4)</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Inpatient separations</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Bed occupancy (incl leave)</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Leave days per occupied bed days</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Average length of stay (days)</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Bodily restraint per 1,000 bed days</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Seclusions per 1,000 bed days</w:t>
            </w:r>
          </w:p>
        </w:tc>
        <w:tc>
          <w:tcPr>
            <w:tcW w:w="1502" w:type="dxa"/>
            <w:tcBorders>
              <w:top w:val="single" w:sz="4" w:space="0" w:color="000000"/>
              <w:left w:val="single" w:sz="8" w:space="0" w:color="000000"/>
              <w:bottom w:val="single" w:sz="8" w:space="0" w:color="000000"/>
              <w:right w:val="single" w:sz="8"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r w:rsidRPr="00D6039A">
              <w:rPr>
                <w:b/>
                <w:color w:val="004EA8"/>
                <w:sz w:val="20"/>
              </w:rPr>
              <w:t>Separations with multiple seclusions</w:t>
            </w:r>
          </w:p>
        </w:tc>
        <w:tc>
          <w:tcPr>
            <w:tcW w:w="1497" w:type="dxa"/>
            <w:tcBorders>
              <w:top w:val="single" w:sz="4" w:space="0" w:color="000000"/>
              <w:left w:val="single" w:sz="8" w:space="0" w:color="000000"/>
              <w:bottom w:val="single" w:sz="8" w:space="0" w:color="000000"/>
              <w:right w:val="single" w:sz="4" w:space="0" w:color="000000"/>
            </w:tcBorders>
            <w:shd w:val="clear" w:color="auto" w:fill="FFFFFF" w:themeFill="background1"/>
            <w:vAlign w:val="bottom"/>
          </w:tcPr>
          <w:p w:rsidR="00C56638" w:rsidRPr="00D6039A" w:rsidRDefault="00C56638" w:rsidP="00C56638">
            <w:pPr>
              <w:pStyle w:val="VAHItablecolhead"/>
              <w:rPr>
                <w:rFonts w:eastAsia="Verdana"/>
                <w:b/>
                <w:color w:val="004EA8"/>
                <w:sz w:val="20"/>
              </w:rPr>
            </w:pPr>
            <w:proofErr w:type="spellStart"/>
            <w:r w:rsidRPr="00D6039A">
              <w:rPr>
                <w:b/>
                <w:color w:val="004EA8"/>
                <w:sz w:val="20"/>
              </w:rPr>
              <w:t>HoNOS</w:t>
            </w:r>
            <w:proofErr w:type="spellEnd"/>
            <w:r w:rsidRPr="00D6039A">
              <w:rPr>
                <w:b/>
                <w:color w:val="004EA8"/>
                <w:sz w:val="20"/>
              </w:rPr>
              <w:t xml:space="preserve"> compliance</w:t>
            </w:r>
          </w:p>
        </w:tc>
      </w:tr>
      <w:tr w:rsidR="00EC66C2" w:rsidRPr="00F01620" w:rsidTr="00216B73">
        <w:trPr>
          <w:trHeight w:hRule="exact" w:val="450"/>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hAnsi="VIC"/>
              </w:rPr>
            </w:pPr>
            <w:r w:rsidRPr="00F01620">
              <w:rPr>
                <w:rFonts w:ascii="VIC" w:hAnsi="VIC"/>
              </w:rPr>
              <w:t>Acute Care</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104</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96 %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0 %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118.9</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406.8</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36.7</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31 %</w:t>
            </w:r>
          </w:p>
        </w:tc>
        <w:tc>
          <w:tcPr>
            <w:tcW w:w="1497" w:type="dxa"/>
            <w:tcBorders>
              <w:top w:val="single" w:sz="8" w:space="0" w:color="000000"/>
              <w:left w:val="single" w:sz="8" w:space="0" w:color="000000"/>
              <w:bottom w:val="single" w:sz="8" w:space="0" w:color="000000"/>
              <w:right w:val="single" w:sz="4" w:space="0" w:color="000000"/>
            </w:tcBorders>
          </w:tcPr>
          <w:p w:rsidR="00EC66C2" w:rsidRPr="00F01620" w:rsidRDefault="00EC66C2" w:rsidP="00A81654">
            <w:pPr>
              <w:pStyle w:val="DHHStabletext"/>
              <w:jc w:val="center"/>
              <w:rPr>
                <w:rFonts w:ascii="VIC" w:hAnsi="VIC"/>
              </w:rPr>
            </w:pPr>
            <w:r w:rsidRPr="00F01620">
              <w:rPr>
                <w:rFonts w:ascii="VIC" w:hAnsi="VIC"/>
              </w:rPr>
              <w:t>81 %</w:t>
            </w:r>
          </w:p>
        </w:tc>
      </w:tr>
      <w:tr w:rsidR="00EC66C2" w:rsidRPr="00F01620" w:rsidTr="00216B73">
        <w:trPr>
          <w:trHeight w:hRule="exact" w:val="450"/>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hAnsi="VIC"/>
              </w:rPr>
            </w:pPr>
            <w:proofErr w:type="spellStart"/>
            <w:r w:rsidRPr="00F01620">
              <w:rPr>
                <w:rFonts w:ascii="VIC" w:hAnsi="VIC"/>
              </w:rPr>
              <w:t>Sub Acute</w:t>
            </w:r>
            <w:proofErr w:type="spellEnd"/>
            <w:r w:rsidRPr="00F01620">
              <w:rPr>
                <w:rFonts w:ascii="VIC" w:hAnsi="VIC"/>
              </w:rPr>
              <w:t xml:space="preserve"> Care</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12</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98 %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8 %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1,223.3</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7.4</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p>
        </w:tc>
        <w:tc>
          <w:tcPr>
            <w:tcW w:w="1497" w:type="dxa"/>
            <w:tcBorders>
              <w:top w:val="single" w:sz="8" w:space="0" w:color="000000"/>
              <w:left w:val="single" w:sz="8" w:space="0" w:color="000000"/>
              <w:bottom w:val="single" w:sz="8" w:space="0" w:color="000000"/>
              <w:right w:val="single" w:sz="4" w:space="0" w:color="000000"/>
            </w:tcBorders>
          </w:tcPr>
          <w:p w:rsidR="00EC66C2" w:rsidRPr="00F01620" w:rsidRDefault="00EC66C2" w:rsidP="00A81654">
            <w:pPr>
              <w:pStyle w:val="DHHStabletext"/>
              <w:jc w:val="center"/>
              <w:rPr>
                <w:rFonts w:ascii="VIC" w:hAnsi="VIC"/>
              </w:rPr>
            </w:pPr>
            <w:r w:rsidRPr="00F01620">
              <w:rPr>
                <w:rFonts w:ascii="VIC" w:hAnsi="VIC"/>
              </w:rPr>
              <w:t>81 %</w:t>
            </w:r>
          </w:p>
        </w:tc>
      </w:tr>
      <w:tr w:rsidR="00EC66C2" w:rsidRPr="00F01620" w:rsidTr="00216B73">
        <w:trPr>
          <w:trHeight w:hRule="exact" w:val="450"/>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hAnsi="VIC"/>
              </w:rPr>
            </w:pPr>
            <w:r w:rsidRPr="00F01620">
              <w:rPr>
                <w:rFonts w:ascii="VIC" w:hAnsi="VIC"/>
              </w:rPr>
              <w:t>Continuing Care</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12</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93 %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3 %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1,321.3</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24.3</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4.7</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40 %</w:t>
            </w:r>
          </w:p>
        </w:tc>
        <w:tc>
          <w:tcPr>
            <w:tcW w:w="1497" w:type="dxa"/>
            <w:tcBorders>
              <w:top w:val="single" w:sz="8" w:space="0" w:color="000000"/>
              <w:left w:val="single" w:sz="8" w:space="0" w:color="000000"/>
              <w:bottom w:val="single" w:sz="8" w:space="0" w:color="000000"/>
              <w:right w:val="single" w:sz="4" w:space="0" w:color="000000"/>
            </w:tcBorders>
          </w:tcPr>
          <w:p w:rsidR="00EC66C2" w:rsidRPr="00F01620" w:rsidRDefault="00EC66C2" w:rsidP="00A81654">
            <w:pPr>
              <w:pStyle w:val="DHHStabletext"/>
              <w:jc w:val="center"/>
              <w:rPr>
                <w:rFonts w:ascii="VIC" w:hAnsi="VIC"/>
              </w:rPr>
            </w:pPr>
            <w:r w:rsidRPr="00F01620">
              <w:rPr>
                <w:rFonts w:ascii="VIC" w:hAnsi="VIC"/>
              </w:rPr>
              <w:t>76 %</w:t>
            </w:r>
          </w:p>
        </w:tc>
      </w:tr>
      <w:tr w:rsidR="00EC66C2" w:rsidRPr="00F01620" w:rsidTr="00EC66C2">
        <w:trPr>
          <w:trHeight w:hRule="exact" w:val="450"/>
        </w:trPr>
        <w:tc>
          <w:tcPr>
            <w:tcW w:w="2161"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EC66C2">
            <w:pPr>
              <w:pStyle w:val="DHHStabletext"/>
              <w:rPr>
                <w:rFonts w:ascii="VIC" w:hAnsi="VIC"/>
                <w:b/>
              </w:rPr>
            </w:pPr>
            <w:r w:rsidRPr="00F01620">
              <w:rPr>
                <w:rFonts w:ascii="VIC" w:hAnsi="VIC"/>
                <w:b/>
              </w:rPr>
              <w:t>TOTAL</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128</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95 %</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3 %</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335.2</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162.1</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26.8</w:t>
            </w:r>
          </w:p>
        </w:tc>
        <w:tc>
          <w:tcPr>
            <w:tcW w:w="1502" w:type="dxa"/>
            <w:tcBorders>
              <w:top w:val="single" w:sz="8" w:space="0" w:color="000000"/>
              <w:left w:val="single" w:sz="8" w:space="0" w:color="000000"/>
              <w:bottom w:val="single" w:sz="8" w:space="0" w:color="000000"/>
              <w:right w:val="single" w:sz="8"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34 %</w:t>
            </w:r>
          </w:p>
        </w:tc>
        <w:tc>
          <w:tcPr>
            <w:tcW w:w="1497" w:type="dxa"/>
            <w:tcBorders>
              <w:top w:val="single" w:sz="8" w:space="0" w:color="000000"/>
              <w:left w:val="single" w:sz="8" w:space="0" w:color="000000"/>
              <w:bottom w:val="single" w:sz="8" w:space="0" w:color="000000"/>
              <w:right w:val="single" w:sz="4" w:space="0" w:color="000000"/>
            </w:tcBorders>
            <w:shd w:val="clear" w:color="auto" w:fill="99B8DC"/>
          </w:tcPr>
          <w:p w:rsidR="00EC66C2" w:rsidRPr="00F01620" w:rsidRDefault="00EC66C2" w:rsidP="00A81654">
            <w:pPr>
              <w:pStyle w:val="DHHStabletext"/>
              <w:jc w:val="center"/>
              <w:rPr>
                <w:rFonts w:ascii="VIC" w:hAnsi="VIC"/>
                <w:b/>
              </w:rPr>
            </w:pPr>
            <w:r w:rsidRPr="00F01620">
              <w:rPr>
                <w:rFonts w:ascii="VIC" w:hAnsi="VIC"/>
                <w:b/>
              </w:rPr>
              <w:t>79 %</w:t>
            </w:r>
          </w:p>
        </w:tc>
      </w:tr>
    </w:tbl>
    <w:p w:rsidR="00EC66C2" w:rsidRPr="00F01620" w:rsidRDefault="00EC66C2" w:rsidP="00EC66C2">
      <w:pPr>
        <w:rPr>
          <w:rFonts w:ascii="VIC" w:eastAsia="Times New Roman" w:hAnsi="VIC" w:cs="Times New Roman"/>
          <w:sz w:val="20"/>
          <w:szCs w:val="20"/>
        </w:rPr>
      </w:pPr>
    </w:p>
    <w:p w:rsidR="00EC66C2" w:rsidRPr="00F01620" w:rsidRDefault="00EC66C2" w:rsidP="00EC66C2">
      <w:pPr>
        <w:pStyle w:val="Heading1"/>
        <w:rPr>
          <w:rFonts w:ascii="VIC" w:eastAsia="Times New Roman" w:hAnsi="VIC" w:cs="Times New Roman"/>
          <w:sz w:val="26"/>
          <w:szCs w:val="26"/>
        </w:rPr>
      </w:pPr>
      <w:bookmarkStart w:id="5" w:name="_Toc15473018"/>
      <w:r w:rsidRPr="00F01620">
        <w:rPr>
          <w:rFonts w:ascii="VIC" w:hAnsi="VIC"/>
        </w:rPr>
        <w:t>Community - Year to Date (</w:t>
      </w:r>
      <w:r w:rsidR="00A81654">
        <w:rPr>
          <w:rFonts w:ascii="VIC" w:hAnsi="VIC"/>
        </w:rPr>
        <w:t>2018-19</w:t>
      </w:r>
      <w:r w:rsidRPr="00F01620">
        <w:rPr>
          <w:rFonts w:ascii="VIC" w:hAnsi="VIC"/>
        </w:rPr>
        <w:t xml:space="preserve"> Q1-4)</w:t>
      </w:r>
      <w:bookmarkStart w:id="6" w:name="_GoBack"/>
      <w:bookmarkEnd w:id="5"/>
      <w:bookmarkEnd w:id="6"/>
    </w:p>
    <w:tbl>
      <w:tblPr>
        <w:tblW w:w="0" w:type="auto"/>
        <w:tblInd w:w="113" w:type="dxa"/>
        <w:tblLayout w:type="fixed"/>
        <w:tblCellMar>
          <w:left w:w="0" w:type="dxa"/>
          <w:right w:w="0" w:type="dxa"/>
        </w:tblCellMar>
        <w:tblLook w:val="01E0" w:firstRow="1" w:lastRow="1" w:firstColumn="1" w:lastColumn="1" w:noHBand="0" w:noVBand="0"/>
      </w:tblPr>
      <w:tblGrid>
        <w:gridCol w:w="2161"/>
        <w:gridCol w:w="1502"/>
        <w:gridCol w:w="1502"/>
        <w:gridCol w:w="1502"/>
        <w:gridCol w:w="1502"/>
      </w:tblGrid>
      <w:tr w:rsidR="00D6039A" w:rsidRPr="00F01620" w:rsidTr="00910BC8">
        <w:trPr>
          <w:trHeight w:hRule="exact" w:val="957"/>
        </w:trPr>
        <w:tc>
          <w:tcPr>
            <w:tcW w:w="216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039A" w:rsidRPr="00F01620" w:rsidRDefault="00D6039A" w:rsidP="00D6039A">
            <w:pPr>
              <w:pStyle w:val="DHHStablecolhead"/>
              <w:rPr>
                <w:rFonts w:ascii="VIC" w:hAnsi="VIC"/>
              </w:rPr>
            </w:pPr>
            <w:r w:rsidRPr="00F01620">
              <w:rPr>
                <w:rFonts w:ascii="VIC" w:hAnsi="VIC"/>
              </w:rPr>
              <w:t>Community - Year to Date (</w:t>
            </w:r>
            <w:r>
              <w:rPr>
                <w:rFonts w:ascii="VIC" w:hAnsi="VIC"/>
              </w:rPr>
              <w:t>2018-19</w:t>
            </w:r>
            <w:r w:rsidRPr="00F01620">
              <w:rPr>
                <w:rFonts w:ascii="VIC" w:hAnsi="VIC"/>
              </w:rPr>
              <w:t xml:space="preserve"> Q1-4)</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r w:rsidRPr="00D6039A">
              <w:rPr>
                <w:b/>
                <w:color w:val="004EA8"/>
                <w:sz w:val="20"/>
              </w:rPr>
              <w:t xml:space="preserve">New case </w:t>
            </w:r>
            <w:r w:rsidRPr="00D6039A">
              <w:rPr>
                <w:b/>
                <w:color w:val="004EA8"/>
                <w:sz w:val="20"/>
              </w:rPr>
              <w:br w:type="textWrapping" w:clear="all"/>
              <w:t>rate</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proofErr w:type="spellStart"/>
            <w:r w:rsidRPr="00D6039A">
              <w:rPr>
                <w:b/>
                <w:color w:val="004EA8"/>
                <w:sz w:val="20"/>
              </w:rPr>
              <w:t>HoNOS</w:t>
            </w:r>
            <w:proofErr w:type="spellEnd"/>
            <w:r w:rsidRPr="00D6039A">
              <w:rPr>
                <w:b/>
                <w:color w:val="004EA8"/>
                <w:sz w:val="20"/>
              </w:rPr>
              <w:t xml:space="preserve"> compliance</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r w:rsidRPr="00D6039A">
              <w:rPr>
                <w:b/>
                <w:color w:val="004EA8"/>
                <w:sz w:val="20"/>
              </w:rPr>
              <w:t>Self rated measures completed</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D6039A" w:rsidRPr="00D6039A" w:rsidRDefault="00D6039A" w:rsidP="00D6039A">
            <w:pPr>
              <w:pStyle w:val="VAHItablecolhead"/>
              <w:rPr>
                <w:rFonts w:eastAsia="Verdana"/>
                <w:b/>
                <w:color w:val="004EA8"/>
                <w:sz w:val="20"/>
              </w:rPr>
            </w:pPr>
            <w:r w:rsidRPr="00D6039A">
              <w:rPr>
                <w:b/>
                <w:color w:val="004EA8"/>
                <w:sz w:val="20"/>
              </w:rPr>
              <w:t xml:space="preserve">Service </w:t>
            </w:r>
            <w:r w:rsidRPr="00D6039A">
              <w:rPr>
                <w:b/>
                <w:color w:val="004EA8"/>
                <w:sz w:val="20"/>
              </w:rPr>
              <w:br w:type="textWrapping" w:clear="all"/>
              <w:t>hours</w:t>
            </w:r>
          </w:p>
        </w:tc>
      </w:tr>
      <w:tr w:rsidR="00EC66C2" w:rsidRPr="00F01620" w:rsidTr="00216B73">
        <w:trPr>
          <w:trHeight w:hRule="exact" w:val="495"/>
        </w:trPr>
        <w:tc>
          <w:tcPr>
            <w:tcW w:w="216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text"/>
              <w:rPr>
                <w:rFonts w:ascii="VIC" w:hAnsi="VIC"/>
              </w:rPr>
            </w:pPr>
            <w:r w:rsidRPr="00F01620">
              <w:rPr>
                <w:rFonts w:ascii="VIC" w:hAnsi="VIC"/>
              </w:rPr>
              <w:t>VIFMH</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24 %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79 %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11 %</w:t>
            </w:r>
          </w:p>
        </w:tc>
        <w:tc>
          <w:tcPr>
            <w:tcW w:w="1502" w:type="dxa"/>
            <w:tcBorders>
              <w:top w:val="single" w:sz="8" w:space="0" w:color="000000"/>
              <w:left w:val="single" w:sz="8" w:space="0" w:color="000000"/>
              <w:bottom w:val="single" w:sz="8" w:space="0" w:color="000000"/>
              <w:right w:val="single" w:sz="8" w:space="0" w:color="000000"/>
            </w:tcBorders>
          </w:tcPr>
          <w:p w:rsidR="00EC66C2" w:rsidRPr="00F01620" w:rsidRDefault="00EC66C2" w:rsidP="00A81654">
            <w:pPr>
              <w:pStyle w:val="DHHStabletext"/>
              <w:jc w:val="center"/>
              <w:rPr>
                <w:rFonts w:ascii="VIC" w:hAnsi="VIC"/>
              </w:rPr>
            </w:pPr>
            <w:r w:rsidRPr="00F01620">
              <w:rPr>
                <w:rFonts w:ascii="VIC" w:hAnsi="VIC"/>
              </w:rPr>
              <w:t>16,407</w:t>
            </w:r>
          </w:p>
        </w:tc>
      </w:tr>
    </w:tbl>
    <w:p w:rsidR="003C740F" w:rsidRDefault="003C740F" w:rsidP="00EC66C2">
      <w:pPr>
        <w:pStyle w:val="Heading1"/>
        <w:rPr>
          <w:rFonts w:ascii="VIC" w:hAnsi="VIC"/>
        </w:rPr>
      </w:pPr>
    </w:p>
    <w:p w:rsidR="003C740F" w:rsidRDefault="003C740F">
      <w:pPr>
        <w:widowControl/>
        <w:rPr>
          <w:rFonts w:ascii="VIC" w:eastAsia="MS Gothic" w:hAnsi="VIC" w:cs="Arial"/>
          <w:bCs/>
          <w:color w:val="004EA8"/>
          <w:kern w:val="32"/>
          <w:sz w:val="36"/>
          <w:szCs w:val="40"/>
          <w:lang w:val="en-AU"/>
        </w:rPr>
      </w:pPr>
      <w:r>
        <w:rPr>
          <w:rFonts w:ascii="VIC" w:hAnsi="VIC"/>
        </w:rPr>
        <w:br w:type="page"/>
      </w:r>
    </w:p>
    <w:p w:rsidR="00EC66C2" w:rsidRPr="00F01620" w:rsidRDefault="00EC66C2" w:rsidP="00EC66C2">
      <w:pPr>
        <w:pStyle w:val="Heading1"/>
        <w:rPr>
          <w:rFonts w:ascii="VIC" w:hAnsi="VIC"/>
        </w:rPr>
      </w:pPr>
      <w:bookmarkStart w:id="7" w:name="_Toc15473019"/>
      <w:r w:rsidRPr="00F01620">
        <w:rPr>
          <w:rFonts w:ascii="VIC" w:hAnsi="VIC"/>
        </w:rPr>
        <w:lastRenderedPageBreak/>
        <w:t>Definitions</w:t>
      </w:r>
      <w:bookmarkEnd w:id="7"/>
    </w:p>
    <w:p w:rsidR="00EC66C2" w:rsidRPr="00F01620" w:rsidRDefault="00EC66C2" w:rsidP="0048442F">
      <w:pPr>
        <w:pStyle w:val="DHHSbody"/>
        <w:rPr>
          <w:rFonts w:ascii="VIC" w:hAnsi="VIC"/>
        </w:rPr>
      </w:pPr>
    </w:p>
    <w:tbl>
      <w:tblPr>
        <w:tblW w:w="15687" w:type="dxa"/>
        <w:tblInd w:w="-294" w:type="dxa"/>
        <w:tblLayout w:type="fixed"/>
        <w:tblCellMar>
          <w:left w:w="0" w:type="dxa"/>
          <w:right w:w="0" w:type="dxa"/>
        </w:tblCellMar>
        <w:tblLook w:val="01E0" w:firstRow="1" w:lastRow="1" w:firstColumn="1" w:lastColumn="1" w:noHBand="0" w:noVBand="0"/>
      </w:tblPr>
      <w:tblGrid>
        <w:gridCol w:w="1559"/>
        <w:gridCol w:w="1701"/>
        <w:gridCol w:w="5246"/>
        <w:gridCol w:w="945"/>
        <w:gridCol w:w="6236"/>
      </w:tblGrid>
      <w:tr w:rsidR="00EC66C2" w:rsidRPr="00F01620" w:rsidTr="00EC66C2">
        <w:trPr>
          <w:trHeight w:hRule="exact" w:val="558"/>
          <w:tblHeader/>
        </w:trPr>
        <w:tc>
          <w:tcPr>
            <w:tcW w:w="1559"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colhead"/>
              <w:rPr>
                <w:rFonts w:ascii="VIC" w:eastAsia="Verdana" w:hAnsi="VIC" w:cs="Verdana"/>
                <w:szCs w:val="16"/>
              </w:rPr>
            </w:pPr>
            <w:r w:rsidRPr="00F01620">
              <w:rPr>
                <w:rFonts w:ascii="VIC" w:hAnsi="VIC"/>
              </w:rPr>
              <w:t>Setting</w:t>
            </w:r>
          </w:p>
        </w:tc>
        <w:tc>
          <w:tcPr>
            <w:tcW w:w="1701"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colhead"/>
              <w:rPr>
                <w:rFonts w:ascii="VIC" w:eastAsia="Verdana" w:hAnsi="VIC" w:cs="Verdana"/>
                <w:szCs w:val="16"/>
              </w:rPr>
            </w:pPr>
            <w:r w:rsidRPr="00F01620">
              <w:rPr>
                <w:rFonts w:ascii="VIC" w:hAnsi="VIC"/>
              </w:rPr>
              <w:t>KPI</w:t>
            </w:r>
          </w:p>
        </w:tc>
        <w:tc>
          <w:tcPr>
            <w:tcW w:w="5246"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colhead"/>
              <w:rPr>
                <w:rFonts w:ascii="VIC" w:eastAsia="Verdana" w:hAnsi="VIC" w:cs="Verdana"/>
                <w:szCs w:val="16"/>
              </w:rPr>
            </w:pPr>
            <w:r w:rsidRPr="00F01620">
              <w:rPr>
                <w:rFonts w:ascii="VIC" w:hAnsi="VIC"/>
              </w:rPr>
              <w:t>Description</w:t>
            </w:r>
          </w:p>
        </w:tc>
        <w:tc>
          <w:tcPr>
            <w:tcW w:w="945"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colhead"/>
              <w:rPr>
                <w:rFonts w:ascii="VIC" w:eastAsia="Verdana" w:hAnsi="VIC" w:cs="Verdana"/>
                <w:szCs w:val="16"/>
              </w:rPr>
            </w:pPr>
            <w:r w:rsidRPr="00F01620">
              <w:rPr>
                <w:rFonts w:ascii="VIC" w:hAnsi="VIC"/>
              </w:rPr>
              <w:t>Target</w:t>
            </w:r>
          </w:p>
        </w:tc>
        <w:tc>
          <w:tcPr>
            <w:tcW w:w="6236" w:type="dxa"/>
            <w:tcBorders>
              <w:top w:val="single" w:sz="8" w:space="0" w:color="000000"/>
              <w:left w:val="single" w:sz="8" w:space="0" w:color="000000"/>
              <w:bottom w:val="single" w:sz="8" w:space="0" w:color="000000"/>
              <w:right w:val="single" w:sz="8" w:space="0" w:color="000000"/>
            </w:tcBorders>
          </w:tcPr>
          <w:p w:rsidR="00EC66C2" w:rsidRPr="00F01620" w:rsidRDefault="00EC66C2" w:rsidP="00EC66C2">
            <w:pPr>
              <w:pStyle w:val="DHHStablecolhead"/>
              <w:rPr>
                <w:rFonts w:ascii="VIC" w:eastAsia="Verdana" w:hAnsi="VIC" w:cs="Verdana"/>
                <w:szCs w:val="16"/>
              </w:rPr>
            </w:pPr>
            <w:r w:rsidRPr="00F01620">
              <w:rPr>
                <w:rFonts w:ascii="VIC" w:hAnsi="VIC"/>
              </w:rPr>
              <w:t>Comments</w:t>
            </w:r>
          </w:p>
        </w:tc>
      </w:tr>
      <w:tr w:rsidR="00D6039A" w:rsidRPr="00F01620" w:rsidTr="00EC66C2">
        <w:trPr>
          <w:trHeight w:hRule="exact" w:val="831"/>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Inpatient</w:t>
            </w: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Inpatient separations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Number of separations from an inpatient unit, excluding same day stays.</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At an individual unit level, this measure is based on the originating inpatient unit. Consumers may be subsequently transferred to other units at the same campus during the same admitted episode.</w:t>
            </w:r>
          </w:p>
        </w:tc>
      </w:tr>
      <w:tr w:rsidR="00D6039A" w:rsidRPr="00F01620" w:rsidTr="00044C27">
        <w:trPr>
          <w:trHeight w:hRule="exact" w:val="946"/>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Bed occupancy (incl leave)</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Rate of occupied bed hours (including leave) per funded bed hours within an inpatient unit.</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96.0 %</w:t>
            </w: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r>
      <w:tr w:rsidR="00D6039A" w:rsidRPr="00F01620" w:rsidTr="00EC66C2">
        <w:trPr>
          <w:trHeight w:hRule="exact" w:val="683"/>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Leave days per occupied bed days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Rate of leave days per occupied bed days within an inpatient unit.</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Measure can provide context around whether high levels of leave could be managed in a less restrictive environment.</w:t>
            </w:r>
          </w:p>
        </w:tc>
      </w:tr>
      <w:tr w:rsidR="00D6039A" w:rsidRPr="00F01620" w:rsidTr="00EC66C2">
        <w:trPr>
          <w:trHeight w:hRule="exact" w:val="774"/>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Average length of stay (days)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Average length of stay (days) of overnight stay separations from an inpatient unit.</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r>
      <w:tr w:rsidR="00D6039A" w:rsidRPr="00F01620" w:rsidTr="00EC66C2">
        <w:trPr>
          <w:trHeight w:hRule="exact" w:val="647"/>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Number of forensic patients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Number of admitted forensic patients at the end of the reference period.</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r>
      <w:tr w:rsidR="00D6039A" w:rsidRPr="00F01620" w:rsidTr="00FA1A5F">
        <w:trPr>
          <w:trHeight w:hRule="exact" w:val="1426"/>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Bodily restraint per 1,000 bed days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Rate of ended bodily restraint (mechanical or physical) episodes per 1,000 occupied bed days within inpatient units, excluding leave and same day stays.</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Calculation of bed days involves converting minutes into days.</w:t>
            </w:r>
          </w:p>
        </w:tc>
      </w:tr>
      <w:tr w:rsidR="00D6039A" w:rsidRPr="00F01620" w:rsidTr="00EC66C2">
        <w:trPr>
          <w:trHeight w:hRule="exact" w:val="1381"/>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Seclusions per 1,000 bed days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Rate of ended seclusion episodes per 1,000 occupied bed days within inpatient units, excluding leave, same day stays and units that do not have a seclusion room.</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15.0</w:t>
            </w: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Calculation of bed days involves converting minutes into days.</w:t>
            </w:r>
          </w:p>
        </w:tc>
      </w:tr>
      <w:tr w:rsidR="00D6039A" w:rsidRPr="00F01620" w:rsidTr="00044C27">
        <w:trPr>
          <w:trHeight w:hRule="exact" w:val="2011"/>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Separations with multiple seclusions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Percentage of separations from an inpatient unit with multiple seclusion episodes during the admitted episode, excluding units that do not have a seclusion room.</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3.0 %</w:t>
            </w: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Seclusion episodes are recorded against the team where the client was originally admitted, even though the seclusions may have occurred in different units.</w:t>
            </w:r>
          </w:p>
        </w:tc>
      </w:tr>
      <w:tr w:rsidR="00D6039A" w:rsidRPr="00F01620" w:rsidTr="00044C27">
        <w:trPr>
          <w:trHeight w:hRule="exact" w:val="2729"/>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roofErr w:type="spellStart"/>
            <w:r w:rsidRPr="00D6039A">
              <w:rPr>
                <w:rFonts w:ascii="VIC" w:hAnsi="VIC"/>
                <w:sz w:val="20"/>
                <w:szCs w:val="20"/>
              </w:rPr>
              <w:t>HoNOS</w:t>
            </w:r>
            <w:proofErr w:type="spellEnd"/>
            <w:r w:rsidRPr="00D6039A">
              <w:rPr>
                <w:rFonts w:ascii="VIC" w:hAnsi="VIC"/>
                <w:sz w:val="20"/>
                <w:szCs w:val="20"/>
              </w:rPr>
              <w:t xml:space="preserve"> compliance</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 xml:space="preserve">Percentage of required collection events in an inpatient unit where a </w:t>
            </w:r>
            <w:proofErr w:type="spellStart"/>
            <w:r w:rsidRPr="00D6039A">
              <w:rPr>
                <w:rFonts w:ascii="VIC" w:hAnsi="VIC"/>
                <w:sz w:val="20"/>
                <w:szCs w:val="20"/>
              </w:rPr>
              <w:t>HoNOS</w:t>
            </w:r>
            <w:proofErr w:type="spellEnd"/>
            <w:r w:rsidRPr="00D6039A">
              <w:rPr>
                <w:rFonts w:ascii="VIC" w:hAnsi="VIC"/>
                <w:sz w:val="20"/>
                <w:szCs w:val="20"/>
              </w:rPr>
              <w:t xml:space="preserve"> outcome measurement scale (</w:t>
            </w:r>
            <w:proofErr w:type="spellStart"/>
            <w:r w:rsidRPr="00D6039A">
              <w:rPr>
                <w:rFonts w:ascii="VIC" w:hAnsi="VIC"/>
                <w:sz w:val="20"/>
                <w:szCs w:val="20"/>
              </w:rPr>
              <w:t>HoNOSCA</w:t>
            </w:r>
            <w:proofErr w:type="spellEnd"/>
            <w:r w:rsidRPr="00D6039A">
              <w:rPr>
                <w:rFonts w:ascii="VIC" w:hAnsi="VIC"/>
                <w:sz w:val="20"/>
                <w:szCs w:val="20"/>
              </w:rPr>
              <w:t xml:space="preserve">/HNSADL/HoNOS65) was completed, excluding invalid </w:t>
            </w:r>
            <w:proofErr w:type="spellStart"/>
            <w:r w:rsidRPr="00D6039A">
              <w:rPr>
                <w:rFonts w:ascii="VIC" w:hAnsi="VIC"/>
                <w:sz w:val="20"/>
                <w:szCs w:val="20"/>
              </w:rPr>
              <w:t>HoNOS</w:t>
            </w:r>
            <w:proofErr w:type="spellEnd"/>
            <w:r w:rsidRPr="00D6039A">
              <w:rPr>
                <w:rFonts w:ascii="VIC" w:hAnsi="VIC"/>
                <w:sz w:val="20"/>
                <w:szCs w:val="20"/>
              </w:rPr>
              <w:t xml:space="preserve"> scores (more than two times rated as '9').</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85.0 %</w:t>
            </w: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Results during 2011, 2012, 2016 and 2017 were affected by industrial activity and should be interpreted with caution.</w:t>
            </w:r>
          </w:p>
        </w:tc>
      </w:tr>
      <w:tr w:rsidR="00D6039A" w:rsidRPr="00F01620" w:rsidTr="00EC66C2">
        <w:trPr>
          <w:trHeight w:hRule="exact" w:val="901"/>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Community</w:t>
            </w: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New case rate</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Percentage of community cases open at any time during the reference period which started during the reference period.</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r>
      <w:tr w:rsidR="00D6039A" w:rsidRPr="00F01620" w:rsidTr="00044C27">
        <w:trPr>
          <w:trHeight w:hRule="exact" w:val="2615"/>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roofErr w:type="spellStart"/>
            <w:r w:rsidRPr="00D6039A">
              <w:rPr>
                <w:rFonts w:ascii="VIC" w:hAnsi="VIC"/>
                <w:sz w:val="20"/>
                <w:szCs w:val="20"/>
              </w:rPr>
              <w:t>HoNOS</w:t>
            </w:r>
            <w:proofErr w:type="spellEnd"/>
            <w:r w:rsidRPr="00D6039A">
              <w:rPr>
                <w:rFonts w:ascii="VIC" w:hAnsi="VIC"/>
                <w:sz w:val="20"/>
                <w:szCs w:val="20"/>
              </w:rPr>
              <w:t xml:space="preserve"> compliance</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 xml:space="preserve">Percentage of required collection events in a community setting where a </w:t>
            </w:r>
            <w:proofErr w:type="spellStart"/>
            <w:r w:rsidRPr="00D6039A">
              <w:rPr>
                <w:rFonts w:ascii="VIC" w:hAnsi="VIC"/>
                <w:sz w:val="20"/>
                <w:szCs w:val="20"/>
              </w:rPr>
              <w:t>HoNOS</w:t>
            </w:r>
            <w:proofErr w:type="spellEnd"/>
            <w:r w:rsidRPr="00D6039A">
              <w:rPr>
                <w:rFonts w:ascii="VIC" w:hAnsi="VIC"/>
                <w:sz w:val="20"/>
                <w:szCs w:val="20"/>
              </w:rPr>
              <w:t xml:space="preserve"> outcome measurement scale (</w:t>
            </w:r>
            <w:proofErr w:type="spellStart"/>
            <w:r w:rsidRPr="00D6039A">
              <w:rPr>
                <w:rFonts w:ascii="VIC" w:hAnsi="VIC"/>
                <w:sz w:val="20"/>
                <w:szCs w:val="20"/>
              </w:rPr>
              <w:t>HoNOSCA</w:t>
            </w:r>
            <w:proofErr w:type="spellEnd"/>
            <w:r w:rsidRPr="00D6039A">
              <w:rPr>
                <w:rFonts w:ascii="VIC" w:hAnsi="VIC"/>
                <w:sz w:val="20"/>
                <w:szCs w:val="20"/>
              </w:rPr>
              <w:t xml:space="preserve">/HNSADL/HoNOS65) was completed, excluding invalid </w:t>
            </w:r>
            <w:proofErr w:type="spellStart"/>
            <w:r w:rsidRPr="00D6039A">
              <w:rPr>
                <w:rFonts w:ascii="VIC" w:hAnsi="VIC"/>
                <w:sz w:val="20"/>
                <w:szCs w:val="20"/>
              </w:rPr>
              <w:t>HoNOS</w:t>
            </w:r>
            <w:proofErr w:type="spellEnd"/>
            <w:r w:rsidRPr="00D6039A">
              <w:rPr>
                <w:rFonts w:ascii="VIC" w:hAnsi="VIC"/>
                <w:sz w:val="20"/>
                <w:szCs w:val="20"/>
              </w:rPr>
              <w:t xml:space="preserve"> scores (more than two times rated as '9').</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85.0 %</w:t>
            </w: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Results during 2011, 2012, 2016 and 2017 were affected by industrial activity and should be interpreted with caution.</w:t>
            </w:r>
          </w:p>
        </w:tc>
      </w:tr>
      <w:tr w:rsidR="00D6039A" w:rsidRPr="00F01620" w:rsidTr="00044C27">
        <w:trPr>
          <w:trHeight w:hRule="exact" w:val="1302"/>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Self rated measures completed</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Percentage of collection occasions in a community setting where consumers completed a relevant consumer self-assessment measurement scale (BASIS-32/SDQ).</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 xml:space="preserve">Measure can be an indicator of service engagement with families and </w:t>
            </w:r>
            <w:proofErr w:type="spellStart"/>
            <w:r w:rsidRPr="00D6039A">
              <w:rPr>
                <w:rFonts w:ascii="VIC" w:hAnsi="VIC"/>
                <w:sz w:val="20"/>
                <w:szCs w:val="20"/>
              </w:rPr>
              <w:t>carers</w:t>
            </w:r>
            <w:proofErr w:type="spellEnd"/>
            <w:r w:rsidRPr="00D6039A">
              <w:rPr>
                <w:rFonts w:ascii="VIC" w:hAnsi="VIC"/>
                <w:sz w:val="20"/>
                <w:szCs w:val="20"/>
              </w:rPr>
              <w:t>. Results during 2011, 2012, 2016 and 2017 were affected by industrial activity and should be interpreted with caution.</w:t>
            </w:r>
          </w:p>
        </w:tc>
      </w:tr>
      <w:tr w:rsidR="00D6039A" w:rsidRPr="00F01620" w:rsidTr="00044C27">
        <w:trPr>
          <w:trHeight w:hRule="exact" w:val="2129"/>
        </w:trPr>
        <w:tc>
          <w:tcPr>
            <w:tcW w:w="1559"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Service hours</w:t>
            </w:r>
          </w:p>
        </w:tc>
        <w:tc>
          <w:tcPr>
            <w:tcW w:w="524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Number of service hours, by sector, excluding (a) Veterans, CEED and the Bouverie Centre contacts and (b) contacts recorded against inpatient or residential program types.</w:t>
            </w:r>
          </w:p>
        </w:tc>
        <w:tc>
          <w:tcPr>
            <w:tcW w:w="945"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p>
        </w:tc>
        <w:tc>
          <w:tcPr>
            <w:tcW w:w="6236" w:type="dxa"/>
            <w:tcBorders>
              <w:top w:val="single" w:sz="8" w:space="0" w:color="000000"/>
              <w:left w:val="single" w:sz="8" w:space="0" w:color="000000"/>
              <w:bottom w:val="single" w:sz="8" w:space="0" w:color="000000"/>
              <w:right w:val="single" w:sz="8" w:space="0" w:color="000000"/>
            </w:tcBorders>
          </w:tcPr>
          <w:p w:rsidR="00D6039A" w:rsidRPr="00D6039A" w:rsidRDefault="00D6039A" w:rsidP="00D6039A">
            <w:pPr>
              <w:rPr>
                <w:rFonts w:ascii="VIC" w:hAnsi="VIC"/>
                <w:sz w:val="20"/>
                <w:szCs w:val="20"/>
              </w:rPr>
            </w:pPr>
            <w:r w:rsidRPr="00D6039A">
              <w:rPr>
                <w:rFonts w:ascii="VIC" w:hAnsi="VIC"/>
                <w:sz w:val="20"/>
                <w:szCs w:val="20"/>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tc>
      </w:tr>
      <w:bookmarkEnd w:id="1"/>
    </w:tbl>
    <w:p w:rsidR="002802E3" w:rsidRPr="00F01620" w:rsidRDefault="002802E3" w:rsidP="00F3122E">
      <w:pPr>
        <w:pStyle w:val="DHHSbody"/>
        <w:rPr>
          <w:rFonts w:ascii="VIC" w:hAnsi="VIC"/>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2802E3" w:rsidRPr="00F01620" w:rsidTr="004E7DBA">
        <w:trPr>
          <w:cantSplit/>
        </w:trPr>
        <w:tc>
          <w:tcPr>
            <w:tcW w:w="4800" w:type="pct"/>
            <w:tcBorders>
              <w:top w:val="single" w:sz="4" w:space="0" w:color="auto"/>
              <w:left w:val="single" w:sz="4" w:space="0" w:color="auto"/>
              <w:bottom w:val="single" w:sz="4" w:space="0" w:color="auto"/>
              <w:right w:val="single" w:sz="4" w:space="0" w:color="auto"/>
            </w:tcBorders>
            <w:vAlign w:val="bottom"/>
          </w:tcPr>
          <w:p w:rsidR="009F1806" w:rsidRPr="00F01620" w:rsidRDefault="009F1806" w:rsidP="009F1806">
            <w:pPr>
              <w:pStyle w:val="DHHSaccessibilitypara"/>
              <w:rPr>
                <w:rFonts w:ascii="VIC" w:hAnsi="VIC"/>
              </w:rPr>
            </w:pPr>
            <w:r w:rsidRPr="00F01620">
              <w:rPr>
                <w:rFonts w:ascii="VIC" w:hAnsi="VIC"/>
              </w:rPr>
              <w:t xml:space="preserve">To receive this publication in an accessible format phone </w:t>
            </w:r>
            <w:r w:rsidR="00A304C7">
              <w:rPr>
                <w:rFonts w:ascii="VIC" w:hAnsi="VIC"/>
              </w:rPr>
              <w:t xml:space="preserve">(03) </w:t>
            </w:r>
            <w:r w:rsidRPr="00F01620">
              <w:rPr>
                <w:rFonts w:ascii="VIC" w:hAnsi="VIC"/>
              </w:rPr>
              <w:t>9096 1878, using the National Relay Service 13 36 77 if required, or email Victorian Agency for Health Information &lt;</w:t>
            </w:r>
            <w:hyperlink r:id="rId10" w:history="1">
              <w:r w:rsidRPr="00F01620">
                <w:rPr>
                  <w:rStyle w:val="Hyperlink"/>
                  <w:rFonts w:ascii="VIC" w:hAnsi="VIC"/>
                </w:rPr>
                <w:t>vahi@vahi.vic.gov.au</w:t>
              </w:r>
            </w:hyperlink>
            <w:r w:rsidRPr="00F01620">
              <w:rPr>
                <w:rFonts w:ascii="VIC" w:hAnsi="VIC"/>
              </w:rPr>
              <w:t>&gt;</w:t>
            </w:r>
          </w:p>
          <w:p w:rsidR="00EC66C2" w:rsidRPr="00F01620" w:rsidRDefault="00EC66C2" w:rsidP="00EC66C2">
            <w:pPr>
              <w:pStyle w:val="DHHSbody"/>
              <w:rPr>
                <w:rFonts w:ascii="VIC" w:hAnsi="VIC"/>
              </w:rPr>
            </w:pPr>
            <w:r w:rsidRPr="00F01620">
              <w:rPr>
                <w:rFonts w:ascii="VIC" w:hAnsi="VIC"/>
              </w:rPr>
              <w:t>Authorised and published by the Victorian Government, 1 Treasury Place, Melbourne.</w:t>
            </w:r>
          </w:p>
          <w:p w:rsidR="00EC66C2" w:rsidRPr="00F01620" w:rsidRDefault="00EC66C2" w:rsidP="00EC66C2">
            <w:pPr>
              <w:pStyle w:val="DHHSbody"/>
              <w:rPr>
                <w:rFonts w:ascii="VIC" w:hAnsi="VIC"/>
              </w:rPr>
            </w:pPr>
            <w:r w:rsidRPr="00F01620">
              <w:rPr>
                <w:rFonts w:ascii="VIC" w:hAnsi="VIC"/>
              </w:rPr>
              <w:t>© State of Victoria, Department of Health and Human Services July 201</w:t>
            </w:r>
            <w:r w:rsidR="001207C7">
              <w:rPr>
                <w:rFonts w:ascii="VIC" w:hAnsi="VIC"/>
              </w:rPr>
              <w:t>9</w:t>
            </w:r>
          </w:p>
          <w:p w:rsidR="002802E3" w:rsidRPr="00F01620" w:rsidRDefault="00EC66C2" w:rsidP="00EC66C2">
            <w:pPr>
              <w:pStyle w:val="DHHSbody"/>
              <w:rPr>
                <w:rFonts w:ascii="VIC" w:hAnsi="VIC"/>
              </w:rPr>
            </w:pPr>
            <w:r w:rsidRPr="00F01620">
              <w:rPr>
                <w:rFonts w:ascii="VIC" w:hAnsi="VIC"/>
              </w:rPr>
              <w:t xml:space="preserve">Available from </w:t>
            </w:r>
            <w:hyperlink r:id="rId11" w:history="1">
              <w:r w:rsidRPr="00F01620">
                <w:rPr>
                  <w:rStyle w:val="Hyperlink"/>
                  <w:rFonts w:ascii="VIC" w:hAnsi="VIC"/>
                </w:rPr>
                <w:t>Forensicare performance indicator reports page</w:t>
              </w:r>
            </w:hyperlink>
            <w:r w:rsidRPr="00F01620">
              <w:rPr>
                <w:rFonts w:ascii="VIC" w:hAnsi="VIC"/>
              </w:rPr>
              <w:t xml:space="preserve"> &lt; https://www2.health.vic.gov.au/mental-health/research-and-reporting/mental-health-performance-reports/forensicare-performance-indicator-reports&gt; on the </w:t>
            </w:r>
            <w:proofErr w:type="spellStart"/>
            <w:r w:rsidRPr="00F01620">
              <w:rPr>
                <w:rFonts w:ascii="VIC" w:hAnsi="VIC"/>
              </w:rPr>
              <w:t>Health.vic</w:t>
            </w:r>
            <w:proofErr w:type="spellEnd"/>
            <w:r w:rsidRPr="00F01620">
              <w:rPr>
                <w:rFonts w:ascii="VIC" w:hAnsi="VIC"/>
              </w:rPr>
              <w:t xml:space="preserve"> website.</w:t>
            </w:r>
          </w:p>
        </w:tc>
      </w:tr>
    </w:tbl>
    <w:p w:rsidR="00B2752E" w:rsidRPr="00F01620" w:rsidRDefault="00B2752E" w:rsidP="00FF6D9D">
      <w:pPr>
        <w:pStyle w:val="DHHSbody"/>
        <w:rPr>
          <w:rFonts w:ascii="VIC" w:hAnsi="VIC"/>
        </w:rPr>
      </w:pPr>
    </w:p>
    <w:sectPr w:rsidR="00B2752E" w:rsidRPr="00F01620" w:rsidSect="00E45931">
      <w:headerReference w:type="default" r:id="rId12"/>
      <w:footerReference w:type="default" r:id="rId13"/>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8F" w:rsidRDefault="00C9698F">
      <w:r>
        <w:separator/>
      </w:r>
    </w:p>
  </w:endnote>
  <w:endnote w:type="continuationSeparator" w:id="0">
    <w:p w:rsidR="00C9698F" w:rsidRDefault="00C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34FF0" w:rsidP="007034E7">
    <w:pPr>
      <w:pStyle w:val="DHHSfooter"/>
    </w:pPr>
    <w:r>
      <w:rPr>
        <w:noProof/>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C2" w:rsidRDefault="00EC66C2" w:rsidP="00EC66C2">
    <w:pPr>
      <w:pStyle w:val="Footer"/>
      <w:rPr>
        <w:rFonts w:eastAsia="Verdana" w:hAnsi="Verdana" w:cs="Verdana"/>
        <w:szCs w:val="16"/>
      </w:rPr>
    </w:pPr>
    <w:r>
      <w:rPr>
        <w:w w:val="99"/>
      </w:rPr>
      <w:t>Data</w:t>
    </w:r>
    <w:r>
      <w:t xml:space="preserve"> Source: CMI/ODS as </w:t>
    </w:r>
    <w:r>
      <w:rPr>
        <w:w w:val="99"/>
      </w:rPr>
      <w:t>at</w:t>
    </w:r>
    <w:r>
      <w:t xml:space="preserve"> 11/07/2019.</w:t>
    </w:r>
    <w:r>
      <w:rPr>
        <w:spacing w:val="1"/>
      </w:rPr>
      <w:t xml:space="preserve"> </w:t>
    </w:r>
    <w:r>
      <w:t xml:space="preserve">Blank results indicate KPI result is </w:t>
    </w:r>
    <w:r>
      <w:rPr>
        <w:w w:val="99"/>
      </w:rPr>
      <w:t>not</w:t>
    </w:r>
    <w:r>
      <w:t xml:space="preserve"> applicable</w:t>
    </w:r>
    <w:r>
      <w:rPr>
        <w:spacing w:val="1"/>
      </w:rPr>
      <w:t xml:space="preserve"> </w:t>
    </w:r>
    <w:r>
      <w:t>in this instance.</w:t>
    </w:r>
  </w:p>
  <w:p w:rsidR="009D70A4" w:rsidRPr="00A11421" w:rsidRDefault="009D70A4" w:rsidP="00EC66C2">
    <w:pPr>
      <w:pStyle w:val="DHHSfooter"/>
    </w:pPr>
    <w:r w:rsidRPr="00A11421">
      <w:tab/>
    </w:r>
    <w:r w:rsidRPr="00A11421">
      <w:fldChar w:fldCharType="begin"/>
    </w:r>
    <w:r w:rsidRPr="00A11421">
      <w:instrText xml:space="preserve"> PAGE </w:instrText>
    </w:r>
    <w:r w:rsidRPr="00A11421">
      <w:fldChar w:fldCharType="separate"/>
    </w:r>
    <w:r w:rsidR="00335B2C">
      <w:rPr>
        <w:noProof/>
      </w:rPr>
      <w:t>3</w:t>
    </w:r>
    <w:r w:rsidRPr="00A11421">
      <w:fldChar w:fldCharType="end"/>
    </w:r>
  </w:p>
  <w:p w:rsidR="009D70A4" w:rsidRDefault="009D7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8F" w:rsidRDefault="00C9698F" w:rsidP="002862F1">
      <w:pPr>
        <w:spacing w:before="120"/>
      </w:pPr>
      <w:r>
        <w:separator/>
      </w:r>
    </w:p>
  </w:footnote>
  <w:footnote w:type="continuationSeparator" w:id="0">
    <w:p w:rsidR="00C9698F" w:rsidRDefault="00C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8D2F4B" w:rsidRDefault="009D70A4" w:rsidP="008D2F4B">
    <w:pPr>
      <w:pStyle w:val="DHHSheader"/>
    </w:pPr>
  </w:p>
  <w:p w:rsidR="009D70A4" w:rsidRDefault="009D70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B370F66"/>
    <w:multiLevelType w:val="multilevel"/>
    <w:tmpl w:val="4B4E7622"/>
    <w:numStyleLink w:val="ZZNumbers"/>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F0"/>
    <w:rsid w:val="000072B6"/>
    <w:rsid w:val="0001021B"/>
    <w:rsid w:val="00011D89"/>
    <w:rsid w:val="00024D89"/>
    <w:rsid w:val="00033D81"/>
    <w:rsid w:val="00041BF0"/>
    <w:rsid w:val="0004326C"/>
    <w:rsid w:val="00044C27"/>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7C7"/>
    <w:rsid w:val="00120BD3"/>
    <w:rsid w:val="00122FEA"/>
    <w:rsid w:val="001232BD"/>
    <w:rsid w:val="00124ED5"/>
    <w:rsid w:val="001447B3"/>
    <w:rsid w:val="00152073"/>
    <w:rsid w:val="00161939"/>
    <w:rsid w:val="00161AA0"/>
    <w:rsid w:val="00162093"/>
    <w:rsid w:val="001645B1"/>
    <w:rsid w:val="001666C9"/>
    <w:rsid w:val="001771DD"/>
    <w:rsid w:val="00177995"/>
    <w:rsid w:val="00177A8C"/>
    <w:rsid w:val="00186B33"/>
    <w:rsid w:val="00187F13"/>
    <w:rsid w:val="00192F9D"/>
    <w:rsid w:val="00196EB8"/>
    <w:rsid w:val="001979FF"/>
    <w:rsid w:val="00197B17"/>
    <w:rsid w:val="001A3ACE"/>
    <w:rsid w:val="001C2A72"/>
    <w:rsid w:val="001D0B75"/>
    <w:rsid w:val="001D210F"/>
    <w:rsid w:val="001D3C09"/>
    <w:rsid w:val="001D44E8"/>
    <w:rsid w:val="001D60EC"/>
    <w:rsid w:val="001E44DF"/>
    <w:rsid w:val="001E68A5"/>
    <w:rsid w:val="001E73EF"/>
    <w:rsid w:val="001F3826"/>
    <w:rsid w:val="001F6E46"/>
    <w:rsid w:val="001F7C91"/>
    <w:rsid w:val="00200770"/>
    <w:rsid w:val="00206463"/>
    <w:rsid w:val="00206F2F"/>
    <w:rsid w:val="002073B6"/>
    <w:rsid w:val="0021053D"/>
    <w:rsid w:val="00210A92"/>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5F31"/>
    <w:rsid w:val="002F7F61"/>
    <w:rsid w:val="00302216"/>
    <w:rsid w:val="00303E53"/>
    <w:rsid w:val="003041C3"/>
    <w:rsid w:val="00305D25"/>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290E"/>
    <w:rsid w:val="003744CF"/>
    <w:rsid w:val="00374717"/>
    <w:rsid w:val="0037676C"/>
    <w:rsid w:val="003814B2"/>
    <w:rsid w:val="003829E5"/>
    <w:rsid w:val="003956CC"/>
    <w:rsid w:val="00395C9A"/>
    <w:rsid w:val="003A3438"/>
    <w:rsid w:val="003A6B67"/>
    <w:rsid w:val="003B15E6"/>
    <w:rsid w:val="003B6906"/>
    <w:rsid w:val="003C2045"/>
    <w:rsid w:val="003C2440"/>
    <w:rsid w:val="003C43A1"/>
    <w:rsid w:val="003C4FC0"/>
    <w:rsid w:val="003C55F4"/>
    <w:rsid w:val="003C740F"/>
    <w:rsid w:val="003C7A3F"/>
    <w:rsid w:val="003D3E8F"/>
    <w:rsid w:val="003D6475"/>
    <w:rsid w:val="003E2E5F"/>
    <w:rsid w:val="003F0445"/>
    <w:rsid w:val="003F0CF0"/>
    <w:rsid w:val="003F3289"/>
    <w:rsid w:val="00401FCF"/>
    <w:rsid w:val="00406285"/>
    <w:rsid w:val="004148F9"/>
    <w:rsid w:val="0042084E"/>
    <w:rsid w:val="0042175D"/>
    <w:rsid w:val="00421EEF"/>
    <w:rsid w:val="00424D65"/>
    <w:rsid w:val="004367B3"/>
    <w:rsid w:val="00442C6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E7DBA"/>
    <w:rsid w:val="004F00DD"/>
    <w:rsid w:val="004F2133"/>
    <w:rsid w:val="004F55F1"/>
    <w:rsid w:val="004F6936"/>
    <w:rsid w:val="005027C0"/>
    <w:rsid w:val="00503DC6"/>
    <w:rsid w:val="00506F5D"/>
    <w:rsid w:val="005126D0"/>
    <w:rsid w:val="0051568D"/>
    <w:rsid w:val="00526C15"/>
    <w:rsid w:val="005273B4"/>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19AA"/>
    <w:rsid w:val="006447F0"/>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93E27"/>
    <w:rsid w:val="006A18C2"/>
    <w:rsid w:val="006B077C"/>
    <w:rsid w:val="006D2A3F"/>
    <w:rsid w:val="006E138B"/>
    <w:rsid w:val="006F1FDC"/>
    <w:rsid w:val="007013EF"/>
    <w:rsid w:val="007034E7"/>
    <w:rsid w:val="007216AA"/>
    <w:rsid w:val="00721AB5"/>
    <w:rsid w:val="00721DEF"/>
    <w:rsid w:val="00724A43"/>
    <w:rsid w:val="007346E4"/>
    <w:rsid w:val="00740F22"/>
    <w:rsid w:val="00741F1A"/>
    <w:rsid w:val="007450F8"/>
    <w:rsid w:val="007463DD"/>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4A8"/>
    <w:rsid w:val="00820E0C"/>
    <w:rsid w:val="008338A2"/>
    <w:rsid w:val="00840DF3"/>
    <w:rsid w:val="0084417C"/>
    <w:rsid w:val="00853EE4"/>
    <w:rsid w:val="00855535"/>
    <w:rsid w:val="00856385"/>
    <w:rsid w:val="008633F0"/>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65EB"/>
    <w:rsid w:val="008D2F4B"/>
    <w:rsid w:val="008D4236"/>
    <w:rsid w:val="008D462F"/>
    <w:rsid w:val="008E4376"/>
    <w:rsid w:val="008E7A0A"/>
    <w:rsid w:val="00900615"/>
    <w:rsid w:val="00900719"/>
    <w:rsid w:val="00900D79"/>
    <w:rsid w:val="009017AC"/>
    <w:rsid w:val="00905030"/>
    <w:rsid w:val="00906490"/>
    <w:rsid w:val="009111B2"/>
    <w:rsid w:val="00924AE1"/>
    <w:rsid w:val="009269B1"/>
    <w:rsid w:val="0092724D"/>
    <w:rsid w:val="00937BD9"/>
    <w:rsid w:val="00950E2C"/>
    <w:rsid w:val="00951D50"/>
    <w:rsid w:val="009525EB"/>
    <w:rsid w:val="0095645E"/>
    <w:rsid w:val="00961400"/>
    <w:rsid w:val="00963646"/>
    <w:rsid w:val="009853E1"/>
    <w:rsid w:val="00986E6B"/>
    <w:rsid w:val="00991769"/>
    <w:rsid w:val="00994386"/>
    <w:rsid w:val="009A13D8"/>
    <w:rsid w:val="009A279E"/>
    <w:rsid w:val="009B0A6F"/>
    <w:rsid w:val="009B59E9"/>
    <w:rsid w:val="009C7A7E"/>
    <w:rsid w:val="009D02E8"/>
    <w:rsid w:val="009D51D0"/>
    <w:rsid w:val="009D70A4"/>
    <w:rsid w:val="009E08D1"/>
    <w:rsid w:val="009E1B95"/>
    <w:rsid w:val="009E496F"/>
    <w:rsid w:val="009E4B0D"/>
    <w:rsid w:val="009E7F92"/>
    <w:rsid w:val="009F02A3"/>
    <w:rsid w:val="009F1806"/>
    <w:rsid w:val="009F2F27"/>
    <w:rsid w:val="009F4451"/>
    <w:rsid w:val="009F6BCB"/>
    <w:rsid w:val="009F7B78"/>
    <w:rsid w:val="00A0057A"/>
    <w:rsid w:val="00A11421"/>
    <w:rsid w:val="00A157B1"/>
    <w:rsid w:val="00A22229"/>
    <w:rsid w:val="00A304C7"/>
    <w:rsid w:val="00A44882"/>
    <w:rsid w:val="00A54715"/>
    <w:rsid w:val="00A6061C"/>
    <w:rsid w:val="00A62787"/>
    <w:rsid w:val="00A62A86"/>
    <w:rsid w:val="00A62D44"/>
    <w:rsid w:val="00A67263"/>
    <w:rsid w:val="00A67EE1"/>
    <w:rsid w:val="00A7161C"/>
    <w:rsid w:val="00A77AA3"/>
    <w:rsid w:val="00A81654"/>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33C5"/>
    <w:rsid w:val="00B06571"/>
    <w:rsid w:val="00B068BA"/>
    <w:rsid w:val="00B077BC"/>
    <w:rsid w:val="00B13851"/>
    <w:rsid w:val="00B13B1C"/>
    <w:rsid w:val="00B22291"/>
    <w:rsid w:val="00B23F9A"/>
    <w:rsid w:val="00B2417B"/>
    <w:rsid w:val="00B24E6F"/>
    <w:rsid w:val="00B26CB5"/>
    <w:rsid w:val="00B2752E"/>
    <w:rsid w:val="00B307CC"/>
    <w:rsid w:val="00B34FF0"/>
    <w:rsid w:val="00B431E8"/>
    <w:rsid w:val="00B45141"/>
    <w:rsid w:val="00B5273A"/>
    <w:rsid w:val="00B62B50"/>
    <w:rsid w:val="00B635B7"/>
    <w:rsid w:val="00B63AE8"/>
    <w:rsid w:val="00B65950"/>
    <w:rsid w:val="00B672C0"/>
    <w:rsid w:val="00B75646"/>
    <w:rsid w:val="00B90729"/>
    <w:rsid w:val="00B907DA"/>
    <w:rsid w:val="00B950BC"/>
    <w:rsid w:val="00B9714C"/>
    <w:rsid w:val="00BA3F8D"/>
    <w:rsid w:val="00BA4845"/>
    <w:rsid w:val="00BB7A10"/>
    <w:rsid w:val="00BC7D4F"/>
    <w:rsid w:val="00BC7ED7"/>
    <w:rsid w:val="00BD2850"/>
    <w:rsid w:val="00BE28D2"/>
    <w:rsid w:val="00BF5F6F"/>
    <w:rsid w:val="00BF7F58"/>
    <w:rsid w:val="00C01381"/>
    <w:rsid w:val="00C079B8"/>
    <w:rsid w:val="00C123EA"/>
    <w:rsid w:val="00C125E4"/>
    <w:rsid w:val="00C12A49"/>
    <w:rsid w:val="00C133EE"/>
    <w:rsid w:val="00C27DE9"/>
    <w:rsid w:val="00C33388"/>
    <w:rsid w:val="00C4173A"/>
    <w:rsid w:val="00C56638"/>
    <w:rsid w:val="00C602FF"/>
    <w:rsid w:val="00C61174"/>
    <w:rsid w:val="00C6148F"/>
    <w:rsid w:val="00C62F7A"/>
    <w:rsid w:val="00C63B9C"/>
    <w:rsid w:val="00C6682F"/>
    <w:rsid w:val="00C7275E"/>
    <w:rsid w:val="00C74C5D"/>
    <w:rsid w:val="00C863C4"/>
    <w:rsid w:val="00C93C3E"/>
    <w:rsid w:val="00C9698F"/>
    <w:rsid w:val="00CA12E3"/>
    <w:rsid w:val="00CA6611"/>
    <w:rsid w:val="00CA6B58"/>
    <w:rsid w:val="00CC0C72"/>
    <w:rsid w:val="00CC2BFD"/>
    <w:rsid w:val="00CD3476"/>
    <w:rsid w:val="00CD64DF"/>
    <w:rsid w:val="00CF2F50"/>
    <w:rsid w:val="00CF41DA"/>
    <w:rsid w:val="00D02919"/>
    <w:rsid w:val="00D04C61"/>
    <w:rsid w:val="00D0539B"/>
    <w:rsid w:val="00D05B8D"/>
    <w:rsid w:val="00D065A2"/>
    <w:rsid w:val="00D07F00"/>
    <w:rsid w:val="00D1790F"/>
    <w:rsid w:val="00D33E72"/>
    <w:rsid w:val="00D35BD6"/>
    <w:rsid w:val="00D361B5"/>
    <w:rsid w:val="00D411A2"/>
    <w:rsid w:val="00D50B9C"/>
    <w:rsid w:val="00D52D73"/>
    <w:rsid w:val="00D52E58"/>
    <w:rsid w:val="00D6039A"/>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21842"/>
    <w:rsid w:val="00E26818"/>
    <w:rsid w:val="00E27FFC"/>
    <w:rsid w:val="00E30B15"/>
    <w:rsid w:val="00E40181"/>
    <w:rsid w:val="00E43426"/>
    <w:rsid w:val="00E45931"/>
    <w:rsid w:val="00E53A79"/>
    <w:rsid w:val="00E629A1"/>
    <w:rsid w:val="00E82C55"/>
    <w:rsid w:val="00E87893"/>
    <w:rsid w:val="00E92AC3"/>
    <w:rsid w:val="00EB00E0"/>
    <w:rsid w:val="00EC059F"/>
    <w:rsid w:val="00EC1F24"/>
    <w:rsid w:val="00EC22F6"/>
    <w:rsid w:val="00EC4749"/>
    <w:rsid w:val="00EC66C2"/>
    <w:rsid w:val="00ED5B9B"/>
    <w:rsid w:val="00ED6BAD"/>
    <w:rsid w:val="00ED7447"/>
    <w:rsid w:val="00ED79F1"/>
    <w:rsid w:val="00EE1488"/>
    <w:rsid w:val="00EE4D5D"/>
    <w:rsid w:val="00EE5131"/>
    <w:rsid w:val="00EF109B"/>
    <w:rsid w:val="00EF36AF"/>
    <w:rsid w:val="00F00F9C"/>
    <w:rsid w:val="00F01620"/>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67ACB"/>
    <w:rsid w:val="00F725AE"/>
    <w:rsid w:val="00F72AC0"/>
    <w:rsid w:val="00F72C2C"/>
    <w:rsid w:val="00F76CAB"/>
    <w:rsid w:val="00F772C6"/>
    <w:rsid w:val="00F85195"/>
    <w:rsid w:val="00F92503"/>
    <w:rsid w:val="00F938BA"/>
    <w:rsid w:val="00FA1A5F"/>
    <w:rsid w:val="00FA2C46"/>
    <w:rsid w:val="00FA6B6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3F040B7-CE60-4DCB-8D3F-88FD4E25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C2"/>
    <w:pPr>
      <w:widowControl w:val="0"/>
    </w:pPr>
    <w:rPr>
      <w:rFonts w:asciiTheme="minorHAnsi" w:eastAsiaTheme="minorHAnsi" w:hAnsiTheme="minorHAnsi" w:cstheme="minorBidi"/>
      <w:sz w:val="22"/>
      <w:szCs w:val="22"/>
      <w:lang w:val="en-US" w:eastAsia="en-US"/>
    </w:rPr>
  </w:style>
  <w:style w:type="paragraph" w:styleId="Heading1">
    <w:name w:val="heading 1"/>
    <w:next w:val="DHHSbody"/>
    <w:link w:val="Heading1Char"/>
    <w:uiPriority w:val="1"/>
    <w:qFormat/>
    <w:rsid w:val="006447F0"/>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6447F0"/>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447F0"/>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447F0"/>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A62A86"/>
    <w:pPr>
      <w:spacing w:before="0" w:after="200"/>
      <w:outlineLvl w:val="9"/>
    </w:pPr>
  </w:style>
  <w:style w:type="character" w:customStyle="1" w:styleId="DHHSTOCheadingfactsheetChar">
    <w:name w:val="DHHS TOC heading fact sheet Char"/>
    <w:link w:val="DHHS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paragraph" w:customStyle="1" w:styleId="TableParagraph">
    <w:name w:val="Table Paragraph"/>
    <w:basedOn w:val="Normal"/>
    <w:uiPriority w:val="1"/>
    <w:qFormat/>
    <w:rsid w:val="00EC66C2"/>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UnresolvedMention">
    <w:name w:val="Unresolved Mention"/>
    <w:basedOn w:val="DefaultParagraphFont"/>
    <w:uiPriority w:val="99"/>
    <w:semiHidden/>
    <w:unhideWhenUsed/>
    <w:rsid w:val="00EC66C2"/>
    <w:rPr>
      <w:color w:val="605E5C"/>
      <w:shd w:val="clear" w:color="auto" w:fill="E1DFDD"/>
    </w:rPr>
  </w:style>
  <w:style w:type="paragraph" w:customStyle="1" w:styleId="DHHStablecolhead">
    <w:name w:val="DHHS table col head"/>
    <w:uiPriority w:val="3"/>
    <w:qFormat/>
    <w:rsid w:val="009F4451"/>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VAHIbullet1">
    <w:name w:val="VAHI bullet 1"/>
    <w:basedOn w:val="Normal"/>
    <w:qFormat/>
    <w:rsid w:val="00D6039A"/>
    <w:pPr>
      <w:widowControl/>
      <w:spacing w:after="40" w:line="270" w:lineRule="atLeast"/>
      <w:ind w:left="284" w:hanging="284"/>
    </w:pPr>
    <w:rPr>
      <w:rFonts w:ascii="VIC" w:eastAsia="Times" w:hAnsi="VIC" w:cs="Times New Roman"/>
      <w:sz w:val="20"/>
      <w:szCs w:val="20"/>
      <w:lang w:val="en-AU"/>
    </w:rPr>
  </w:style>
  <w:style w:type="paragraph" w:customStyle="1" w:styleId="VAHIbullet2">
    <w:name w:val="VAHI bullet 2"/>
    <w:basedOn w:val="Normal"/>
    <w:uiPriority w:val="2"/>
    <w:qFormat/>
    <w:rsid w:val="00D6039A"/>
    <w:pPr>
      <w:widowControl/>
      <w:spacing w:after="40" w:line="270" w:lineRule="atLeast"/>
      <w:ind w:left="567" w:hanging="283"/>
    </w:pPr>
    <w:rPr>
      <w:rFonts w:ascii="VIC" w:eastAsia="Times" w:hAnsi="VIC" w:cs="Times New Roman"/>
      <w:sz w:val="20"/>
      <w:szCs w:val="20"/>
      <w:lang w:val="en-AU"/>
    </w:rPr>
  </w:style>
  <w:style w:type="paragraph" w:customStyle="1" w:styleId="VAHItablebullet">
    <w:name w:val="VAHI table bullet"/>
    <w:basedOn w:val="Normal"/>
    <w:uiPriority w:val="3"/>
    <w:qFormat/>
    <w:rsid w:val="00D6039A"/>
    <w:pPr>
      <w:widowControl/>
      <w:ind w:left="227" w:hanging="227"/>
    </w:pPr>
    <w:rPr>
      <w:rFonts w:ascii="VIC" w:eastAsia="Times New Roman" w:hAnsi="VIC" w:cs="Times New Roman"/>
      <w:color w:val="000000" w:themeColor="text1"/>
      <w:sz w:val="18"/>
      <w:szCs w:val="20"/>
      <w:lang w:val="en-AU"/>
    </w:rPr>
  </w:style>
  <w:style w:type="paragraph" w:customStyle="1" w:styleId="VAHItablecolhead">
    <w:name w:val="VAHI_table col head"/>
    <w:basedOn w:val="Normal"/>
    <w:uiPriority w:val="3"/>
    <w:qFormat/>
    <w:rsid w:val="00D6039A"/>
    <w:pPr>
      <w:widowControl/>
      <w:jc w:val="center"/>
    </w:pPr>
    <w:rPr>
      <w:rFonts w:ascii="VIC" w:eastAsia="Times New Roman" w:hAnsi="VIC" w:cs="Times New Roman"/>
      <w:color w:val="2E5E6D"/>
      <w:sz w:val="18"/>
      <w:szCs w:val="20"/>
      <w:lang w:val="en-AU"/>
    </w:rPr>
  </w:style>
  <w:style w:type="paragraph" w:customStyle="1" w:styleId="VAHIbulletindent">
    <w:name w:val="VAHI bullet indent"/>
    <w:basedOn w:val="Normal"/>
    <w:uiPriority w:val="4"/>
    <w:rsid w:val="00D6039A"/>
    <w:pPr>
      <w:widowControl/>
      <w:spacing w:after="40" w:line="270" w:lineRule="atLeast"/>
      <w:ind w:left="680" w:hanging="283"/>
    </w:pPr>
    <w:rPr>
      <w:rFonts w:ascii="VIC" w:eastAsia="Times" w:hAnsi="VIC" w:cs="Times New Roman"/>
      <w:sz w:val="20"/>
      <w:szCs w:val="20"/>
      <w:lang w:val="en-AU"/>
    </w:rPr>
  </w:style>
  <w:style w:type="paragraph" w:customStyle="1" w:styleId="VAHIbullet1lastline">
    <w:name w:val="VAHI bullet 1 last line"/>
    <w:basedOn w:val="VAHIbullet1"/>
    <w:qFormat/>
    <w:rsid w:val="00D6039A"/>
    <w:pPr>
      <w:spacing w:after="120"/>
    </w:pPr>
  </w:style>
  <w:style w:type="paragraph" w:customStyle="1" w:styleId="VAHIbullet2lastline">
    <w:name w:val="VAHI bullet 2 last line"/>
    <w:basedOn w:val="VAHIbullet2"/>
    <w:uiPriority w:val="2"/>
    <w:qFormat/>
    <w:rsid w:val="00D6039A"/>
    <w:pPr>
      <w:spacing w:after="120"/>
    </w:pPr>
  </w:style>
  <w:style w:type="paragraph" w:customStyle="1" w:styleId="VAHIbulletindentlastline">
    <w:name w:val="VAHI bullet indent last line"/>
    <w:basedOn w:val="Normal"/>
    <w:uiPriority w:val="4"/>
    <w:rsid w:val="00D6039A"/>
    <w:pPr>
      <w:widowControl/>
      <w:spacing w:after="120" w:line="270" w:lineRule="atLeast"/>
      <w:ind w:left="680" w:hanging="283"/>
    </w:pPr>
    <w:rPr>
      <w:rFonts w:ascii="VIC" w:eastAsia="Times" w:hAnsi="VIC"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goo2005\AppData\Local\Microsoft\Windows\INetCache\Content.Outlook\6LG5SB5C\Forensicare%20performance%20indicator%20reports%20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Landscape%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3BEB-CC7A-4C3F-806B-61C084B2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2945.dot</Template>
  <TotalTime>31</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Forensicare mental health Quarterly report</vt:lpstr>
    </vt:vector>
  </TitlesOfParts>
  <Company>Department of Health and Human Services</Company>
  <LinksUpToDate>false</LinksUpToDate>
  <CharactersWithSpaces>6395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Forensicare mental health Quarterly report</dc:title>
  <dc:subject/>
  <dc:creator>Quality, Safety and Community Systems Reporting</dc:creator>
  <cp:keywords/>
  <cp:lastModifiedBy>Daniel Mendoza (DHHS)</cp:lastModifiedBy>
  <cp:revision>19</cp:revision>
  <cp:lastPrinted>2015-01-28T03:08:00Z</cp:lastPrinted>
  <dcterms:created xsi:type="dcterms:W3CDTF">2019-07-30T03:33:00Z</dcterms:created>
  <dcterms:modified xsi:type="dcterms:W3CDTF">2019-10-23T04:39:00Z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