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C23B2" w14:textId="23914B12" w:rsidR="00002990" w:rsidRPr="003072C6" w:rsidRDefault="00187469" w:rsidP="00A55989">
      <w:pPr>
        <w:pStyle w:val="DHHSbodynospace"/>
      </w:pPr>
      <w:r>
        <w:rPr>
          <w:noProof/>
        </w:rPr>
        <w:drawing>
          <wp:anchor distT="0" distB="0" distL="114300" distR="114300" simplePos="0" relativeHeight="251658240" behindDoc="1" locked="1" layoutInCell="0" allowOverlap="1" wp14:anchorId="625AEC41" wp14:editId="4458F3E4">
            <wp:simplePos x="0" y="0"/>
            <wp:positionH relativeFrom="page">
              <wp:posOffset>0</wp:posOffset>
            </wp:positionH>
            <wp:positionV relativeFrom="page">
              <wp:posOffset>0</wp:posOffset>
            </wp:positionV>
            <wp:extent cx="7563485" cy="10701655"/>
            <wp:effectExtent l="0" t="0" r="0" b="0"/>
            <wp:wrapNone/>
            <wp:docPr id="102" name="Picture 10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pic:spPr>
                </pic:pic>
              </a:graphicData>
            </a:graphic>
            <wp14:sizeRelH relativeFrom="page">
              <wp14:pctWidth>0</wp14:pctWidth>
            </wp14:sizeRelH>
            <wp14:sizeRelV relativeFrom="page">
              <wp14:pctHeight>0</wp14:pctHeight>
            </wp14:sizeRelV>
          </wp:anchor>
        </w:drawing>
      </w:r>
    </w:p>
    <w:tbl>
      <w:tblPr>
        <w:tblW w:w="7371" w:type="dxa"/>
        <w:tblInd w:w="113" w:type="dxa"/>
        <w:tblCellMar>
          <w:left w:w="0" w:type="dxa"/>
          <w:right w:w="0" w:type="dxa"/>
        </w:tblCellMar>
        <w:tblLook w:val="04A0" w:firstRow="1" w:lastRow="0" w:firstColumn="1" w:lastColumn="0" w:noHBand="0" w:noVBand="1"/>
      </w:tblPr>
      <w:tblGrid>
        <w:gridCol w:w="7371"/>
      </w:tblGrid>
      <w:tr w:rsidR="001817CD" w:rsidRPr="003072C6" w14:paraId="1543D0CC" w14:textId="77777777" w:rsidTr="00090E18">
        <w:trPr>
          <w:trHeight w:val="3988"/>
        </w:trPr>
        <w:tc>
          <w:tcPr>
            <w:tcW w:w="7938" w:type="dxa"/>
            <w:shd w:val="clear" w:color="auto" w:fill="auto"/>
          </w:tcPr>
          <w:p w14:paraId="0C8216B2" w14:textId="286237C4" w:rsidR="00C416E1" w:rsidRPr="003072C6" w:rsidRDefault="003C1BE2" w:rsidP="00E91933">
            <w:pPr>
              <w:pStyle w:val="DHHSreportmaintitlewhite"/>
            </w:pPr>
            <w:bookmarkStart w:id="0" w:name="_GoBack"/>
            <w:r>
              <w:t>Food safety recalls</w:t>
            </w:r>
          </w:p>
          <w:bookmarkEnd w:id="0"/>
          <w:p w14:paraId="75AD5286" w14:textId="10E2D1B6" w:rsidR="00444D82" w:rsidRPr="003072C6" w:rsidRDefault="003C1BE2" w:rsidP="00E91933">
            <w:pPr>
              <w:pStyle w:val="DHHSreportsubtitlewhite"/>
            </w:pPr>
            <w:r>
              <w:t>2018</w:t>
            </w:r>
            <w:r w:rsidR="00F12201">
              <w:t>/</w:t>
            </w:r>
            <w:r>
              <w:t>2019</w:t>
            </w:r>
          </w:p>
        </w:tc>
      </w:tr>
      <w:tr w:rsidR="001817CD" w:rsidRPr="003072C6" w14:paraId="2002F931" w14:textId="77777777" w:rsidTr="00090E18">
        <w:trPr>
          <w:trHeight w:val="4664"/>
        </w:trPr>
        <w:tc>
          <w:tcPr>
            <w:tcW w:w="10252" w:type="dxa"/>
            <w:shd w:val="clear" w:color="auto" w:fill="auto"/>
          </w:tcPr>
          <w:p w14:paraId="6DD85A09" w14:textId="7E60E19C" w:rsidR="00BC01C1" w:rsidRPr="003072C6" w:rsidRDefault="00BC01C1" w:rsidP="004F3441">
            <w:pPr>
              <w:pStyle w:val="Coverinstructions"/>
            </w:pPr>
          </w:p>
        </w:tc>
      </w:tr>
    </w:tbl>
    <w:p w14:paraId="2D1E9243" w14:textId="77777777" w:rsidR="0069374A" w:rsidRPr="003072C6" w:rsidRDefault="0069374A" w:rsidP="00C2657D">
      <w:pPr>
        <w:pStyle w:val="DHHSbodynospace"/>
        <w:ind w:left="-454"/>
      </w:pPr>
    </w:p>
    <w:p w14:paraId="08DDD66E"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7789D170" w14:textId="4EFEBCCB"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300B4246" w14:textId="77777777" w:rsidTr="00564E8F">
        <w:trPr>
          <w:trHeight w:val="4313"/>
        </w:trPr>
        <w:tc>
          <w:tcPr>
            <w:tcW w:w="9401" w:type="dxa"/>
          </w:tcPr>
          <w:p w14:paraId="5B1E2F59" w14:textId="08EFB627" w:rsidR="00564E8F" w:rsidRPr="00605B5B" w:rsidRDefault="00564E8F" w:rsidP="00031263">
            <w:pPr>
              <w:pStyle w:val="DHHSbody"/>
              <w:rPr>
                <w:i/>
                <w:color w:val="008950"/>
                <w:sz w:val="26"/>
                <w:szCs w:val="26"/>
              </w:rPr>
            </w:pPr>
          </w:p>
        </w:tc>
      </w:tr>
      <w:tr w:rsidR="00564E8F" w:rsidRPr="003072C6" w14:paraId="3516AB75" w14:textId="77777777" w:rsidTr="001F09DC">
        <w:trPr>
          <w:trHeight w:val="6336"/>
        </w:trPr>
        <w:tc>
          <w:tcPr>
            <w:tcW w:w="9401" w:type="dxa"/>
            <w:vAlign w:val="bottom"/>
          </w:tcPr>
          <w:p w14:paraId="3AFA4235" w14:textId="6247504B"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AF2D86" w:rsidRPr="00AF2D86">
              <w:rPr>
                <w:rFonts w:ascii="Arial" w:eastAsia="Times" w:hAnsi="Arial"/>
                <w:sz w:val="24"/>
                <w:szCs w:val="19"/>
              </w:rPr>
              <w:t>1300 364 352</w:t>
            </w:r>
            <w:r w:rsidRPr="00605B5B">
              <w:rPr>
                <w:rFonts w:ascii="Arial" w:eastAsia="Times" w:hAnsi="Arial"/>
                <w:sz w:val="24"/>
                <w:szCs w:val="19"/>
              </w:rPr>
              <w:t xml:space="preserve">, using the National Relay Service 13 36 77 if required, or email </w:t>
            </w:r>
            <w:r w:rsidRPr="00AF2D86">
              <w:rPr>
                <w:rFonts w:ascii="Arial" w:eastAsia="Times" w:hAnsi="Arial"/>
                <w:sz w:val="24"/>
                <w:szCs w:val="19"/>
              </w:rPr>
              <w:t>&lt;</w:t>
            </w:r>
            <w:r w:rsidR="00AF2D86" w:rsidRPr="00AF2D86">
              <w:rPr>
                <w:rFonts w:ascii="Arial" w:eastAsia="Times" w:hAnsi="Arial"/>
                <w:sz w:val="24"/>
                <w:szCs w:val="19"/>
              </w:rPr>
              <w:t>foodsafety@dhhs.vic.gov.au</w:t>
            </w:r>
            <w:r w:rsidRPr="00AF2D86">
              <w:rPr>
                <w:rFonts w:ascii="Arial" w:eastAsia="Times" w:hAnsi="Arial"/>
                <w:sz w:val="24"/>
                <w:szCs w:val="19"/>
              </w:rPr>
              <w:t>&gt;</w:t>
            </w:r>
          </w:p>
          <w:p w14:paraId="2DCACFBC"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58902906" w14:textId="0FCD86D2"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2B1766">
              <w:rPr>
                <w:rFonts w:ascii="Arial" w:eastAsia="Times" w:hAnsi="Arial"/>
              </w:rPr>
              <w:t>,</w:t>
            </w:r>
            <w:r w:rsidRPr="002B1766">
              <w:rPr>
                <w:rFonts w:ascii="Arial" w:eastAsia="Times" w:hAnsi="Arial"/>
              </w:rPr>
              <w:t xml:space="preserve"> </w:t>
            </w:r>
            <w:r w:rsidR="00F12201" w:rsidRPr="002B1766">
              <w:rPr>
                <w:rFonts w:ascii="Arial" w:eastAsia="Times" w:hAnsi="Arial"/>
              </w:rPr>
              <w:t>October 2020</w:t>
            </w:r>
            <w:r w:rsidRPr="00605B5B">
              <w:rPr>
                <w:rFonts w:ascii="Arial" w:eastAsia="Times" w:hAnsi="Arial"/>
              </w:rPr>
              <w:t>.</w:t>
            </w:r>
          </w:p>
          <w:p w14:paraId="2FBE5D86" w14:textId="580ECC1A" w:rsidR="00564E8F" w:rsidRPr="003C1BE2" w:rsidRDefault="00970162" w:rsidP="003C1BE2">
            <w:pPr>
              <w:spacing w:after="120" w:line="270" w:lineRule="atLeast"/>
              <w:rPr>
                <w:rFonts w:ascii="Arial" w:eastAsia="Times" w:hAnsi="Arial"/>
                <w:szCs w:val="19"/>
              </w:rPr>
            </w:pPr>
            <w:hyperlink r:id="rId9" w:history="1">
              <w:r w:rsidR="00605B5B" w:rsidRPr="006C0793">
                <w:rPr>
                  <w:rStyle w:val="Hyperlink"/>
                  <w:rFonts w:ascii="Arial" w:eastAsia="Times" w:hAnsi="Arial"/>
                  <w:szCs w:val="19"/>
                </w:rPr>
                <w:t>Available at</w:t>
              </w:r>
            </w:hyperlink>
            <w:r w:rsidR="00605B5B" w:rsidRPr="00605B5B">
              <w:rPr>
                <w:rFonts w:ascii="Arial" w:eastAsia="Times" w:hAnsi="Arial"/>
                <w:szCs w:val="19"/>
              </w:rPr>
              <w:t xml:space="preserve"> </w:t>
            </w:r>
            <w:r w:rsidR="00605B5B" w:rsidRPr="006C0793">
              <w:rPr>
                <w:rFonts w:ascii="Arial" w:eastAsia="Times" w:hAnsi="Arial"/>
                <w:szCs w:val="19"/>
              </w:rPr>
              <w:t>&lt;</w:t>
            </w:r>
            <w:hyperlink r:id="rId10" w:history="1">
              <w:r w:rsidR="006C0793" w:rsidRPr="006C0793">
                <w:rPr>
                  <w:rFonts w:ascii="Arial" w:eastAsia="Times" w:hAnsi="Arial"/>
                  <w:szCs w:val="19"/>
                </w:rPr>
                <w:t>https://www2.health.vic.gov.au/public-health/food-safety/publications-guides-resources</w:t>
              </w:r>
            </w:hyperlink>
            <w:r w:rsidR="00605B5B" w:rsidRPr="006C0793">
              <w:rPr>
                <w:rFonts w:ascii="Arial" w:eastAsia="Times" w:hAnsi="Arial"/>
                <w:szCs w:val="19"/>
              </w:rPr>
              <w:t>&gt;</w:t>
            </w:r>
          </w:p>
        </w:tc>
      </w:tr>
      <w:tr w:rsidR="009906C7" w:rsidRPr="003072C6" w14:paraId="751A3CE6" w14:textId="77777777" w:rsidTr="009906C7">
        <w:tc>
          <w:tcPr>
            <w:tcW w:w="9401" w:type="dxa"/>
            <w:vAlign w:val="bottom"/>
          </w:tcPr>
          <w:p w14:paraId="41BC6FCF" w14:textId="77777777" w:rsidR="009906C7" w:rsidRPr="003072C6" w:rsidRDefault="009906C7" w:rsidP="009906C7">
            <w:pPr>
              <w:pStyle w:val="DHHSbody"/>
            </w:pPr>
          </w:p>
        </w:tc>
      </w:tr>
    </w:tbl>
    <w:p w14:paraId="0A9F488E" w14:textId="126C29CD" w:rsidR="00ED4D17" w:rsidRPr="003072C6" w:rsidRDefault="00ED4D17" w:rsidP="003072C6">
      <w:pPr>
        <w:pStyle w:val="DHHSbody"/>
      </w:pPr>
    </w:p>
    <w:p w14:paraId="1BAF32F3" w14:textId="77777777" w:rsidR="00AC0C3B" w:rsidRPr="001E7A42" w:rsidRDefault="00AC0C3B" w:rsidP="004E1EDE">
      <w:pPr>
        <w:pStyle w:val="DHHSTOCheadingreport"/>
      </w:pPr>
      <w:r w:rsidRPr="001E7A42">
        <w:t>Contents</w:t>
      </w:r>
    </w:p>
    <w:p w14:paraId="37A7A57C" w14:textId="12497778" w:rsidR="00171088"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75252993" w:history="1">
        <w:r w:rsidR="00171088" w:rsidRPr="0019253B">
          <w:rPr>
            <w:rStyle w:val="Hyperlink"/>
          </w:rPr>
          <w:t>Food safety recalls</w:t>
        </w:r>
        <w:r w:rsidR="00171088">
          <w:rPr>
            <w:webHidden/>
          </w:rPr>
          <w:tab/>
        </w:r>
        <w:r w:rsidR="00171088">
          <w:rPr>
            <w:webHidden/>
          </w:rPr>
          <w:fldChar w:fldCharType="begin"/>
        </w:r>
        <w:r w:rsidR="00171088">
          <w:rPr>
            <w:webHidden/>
          </w:rPr>
          <w:instrText xml:space="preserve"> PAGEREF _Toc75252993 \h </w:instrText>
        </w:r>
        <w:r w:rsidR="00171088">
          <w:rPr>
            <w:webHidden/>
          </w:rPr>
        </w:r>
        <w:r w:rsidR="00171088">
          <w:rPr>
            <w:webHidden/>
          </w:rPr>
          <w:fldChar w:fldCharType="separate"/>
        </w:r>
        <w:r w:rsidR="00171088">
          <w:rPr>
            <w:webHidden/>
          </w:rPr>
          <w:t>4</w:t>
        </w:r>
        <w:r w:rsidR="00171088">
          <w:rPr>
            <w:webHidden/>
          </w:rPr>
          <w:fldChar w:fldCharType="end"/>
        </w:r>
      </w:hyperlink>
    </w:p>
    <w:p w14:paraId="35845027" w14:textId="30A3555E" w:rsidR="00171088" w:rsidRDefault="00970162">
      <w:pPr>
        <w:pStyle w:val="TOC2"/>
        <w:rPr>
          <w:rFonts w:asciiTheme="minorHAnsi" w:eastAsiaTheme="minorEastAsia" w:hAnsiTheme="minorHAnsi" w:cstheme="minorBidi"/>
          <w:sz w:val="22"/>
          <w:szCs w:val="22"/>
          <w:lang w:eastAsia="en-AU"/>
        </w:rPr>
      </w:pPr>
      <w:hyperlink w:anchor="_Toc75252994" w:history="1">
        <w:r w:rsidR="00171088" w:rsidRPr="0019253B">
          <w:rPr>
            <w:rStyle w:val="Hyperlink"/>
          </w:rPr>
          <w:t>Australian food safety recalls</w:t>
        </w:r>
        <w:r w:rsidR="00171088">
          <w:rPr>
            <w:webHidden/>
          </w:rPr>
          <w:tab/>
        </w:r>
        <w:r w:rsidR="00171088">
          <w:rPr>
            <w:webHidden/>
          </w:rPr>
          <w:fldChar w:fldCharType="begin"/>
        </w:r>
        <w:r w:rsidR="00171088">
          <w:rPr>
            <w:webHidden/>
          </w:rPr>
          <w:instrText xml:space="preserve"> PAGEREF _Toc75252994 \h </w:instrText>
        </w:r>
        <w:r w:rsidR="00171088">
          <w:rPr>
            <w:webHidden/>
          </w:rPr>
        </w:r>
        <w:r w:rsidR="00171088">
          <w:rPr>
            <w:webHidden/>
          </w:rPr>
          <w:fldChar w:fldCharType="separate"/>
        </w:r>
        <w:r w:rsidR="00171088">
          <w:rPr>
            <w:webHidden/>
          </w:rPr>
          <w:t>4</w:t>
        </w:r>
        <w:r w:rsidR="00171088">
          <w:rPr>
            <w:webHidden/>
          </w:rPr>
          <w:fldChar w:fldCharType="end"/>
        </w:r>
      </w:hyperlink>
    </w:p>
    <w:p w14:paraId="3003B44C" w14:textId="4495822C" w:rsidR="00171088" w:rsidRDefault="00970162">
      <w:pPr>
        <w:pStyle w:val="TOC2"/>
        <w:rPr>
          <w:rFonts w:asciiTheme="minorHAnsi" w:eastAsiaTheme="minorEastAsia" w:hAnsiTheme="minorHAnsi" w:cstheme="minorBidi"/>
          <w:sz w:val="22"/>
          <w:szCs w:val="22"/>
          <w:lang w:eastAsia="en-AU"/>
        </w:rPr>
      </w:pPr>
      <w:hyperlink w:anchor="_Toc75252995" w:history="1">
        <w:r w:rsidR="00171088" w:rsidRPr="0019253B">
          <w:rPr>
            <w:rStyle w:val="Hyperlink"/>
          </w:rPr>
          <w:t>Food safety recalls affecting Victorians</w:t>
        </w:r>
        <w:r w:rsidR="00171088">
          <w:rPr>
            <w:webHidden/>
          </w:rPr>
          <w:tab/>
        </w:r>
        <w:r w:rsidR="00171088">
          <w:rPr>
            <w:webHidden/>
          </w:rPr>
          <w:fldChar w:fldCharType="begin"/>
        </w:r>
        <w:r w:rsidR="00171088">
          <w:rPr>
            <w:webHidden/>
          </w:rPr>
          <w:instrText xml:space="preserve"> PAGEREF _Toc75252995 \h </w:instrText>
        </w:r>
        <w:r w:rsidR="00171088">
          <w:rPr>
            <w:webHidden/>
          </w:rPr>
        </w:r>
        <w:r w:rsidR="00171088">
          <w:rPr>
            <w:webHidden/>
          </w:rPr>
          <w:fldChar w:fldCharType="separate"/>
        </w:r>
        <w:r w:rsidR="00171088">
          <w:rPr>
            <w:webHidden/>
          </w:rPr>
          <w:t>5</w:t>
        </w:r>
        <w:r w:rsidR="00171088">
          <w:rPr>
            <w:webHidden/>
          </w:rPr>
          <w:fldChar w:fldCharType="end"/>
        </w:r>
      </w:hyperlink>
    </w:p>
    <w:p w14:paraId="19289011" w14:textId="33F0D773" w:rsidR="00171088" w:rsidRDefault="00970162">
      <w:pPr>
        <w:pStyle w:val="TOC2"/>
        <w:rPr>
          <w:rFonts w:asciiTheme="minorHAnsi" w:eastAsiaTheme="minorEastAsia" w:hAnsiTheme="minorHAnsi" w:cstheme="minorBidi"/>
          <w:sz w:val="22"/>
          <w:szCs w:val="22"/>
          <w:lang w:eastAsia="en-AU"/>
        </w:rPr>
      </w:pPr>
      <w:hyperlink w:anchor="_Toc75252996" w:history="1">
        <w:r w:rsidR="00171088" w:rsidRPr="0019253B">
          <w:rPr>
            <w:rStyle w:val="Hyperlink"/>
          </w:rPr>
          <w:t>How are food safety recalls initiated?</w:t>
        </w:r>
        <w:r w:rsidR="00171088">
          <w:rPr>
            <w:webHidden/>
          </w:rPr>
          <w:tab/>
        </w:r>
        <w:r w:rsidR="00171088">
          <w:rPr>
            <w:webHidden/>
          </w:rPr>
          <w:fldChar w:fldCharType="begin"/>
        </w:r>
        <w:r w:rsidR="00171088">
          <w:rPr>
            <w:webHidden/>
          </w:rPr>
          <w:instrText xml:space="preserve"> PAGEREF _Toc75252996 \h </w:instrText>
        </w:r>
        <w:r w:rsidR="00171088">
          <w:rPr>
            <w:webHidden/>
          </w:rPr>
        </w:r>
        <w:r w:rsidR="00171088">
          <w:rPr>
            <w:webHidden/>
          </w:rPr>
          <w:fldChar w:fldCharType="separate"/>
        </w:r>
        <w:r w:rsidR="00171088">
          <w:rPr>
            <w:webHidden/>
          </w:rPr>
          <w:t>6</w:t>
        </w:r>
        <w:r w:rsidR="00171088">
          <w:rPr>
            <w:webHidden/>
          </w:rPr>
          <w:fldChar w:fldCharType="end"/>
        </w:r>
      </w:hyperlink>
    </w:p>
    <w:p w14:paraId="442BA874" w14:textId="34F1241E" w:rsidR="00171088" w:rsidRDefault="00970162">
      <w:pPr>
        <w:pStyle w:val="TOC2"/>
        <w:rPr>
          <w:rFonts w:asciiTheme="minorHAnsi" w:eastAsiaTheme="minorEastAsia" w:hAnsiTheme="minorHAnsi" w:cstheme="minorBidi"/>
          <w:sz w:val="22"/>
          <w:szCs w:val="22"/>
          <w:lang w:eastAsia="en-AU"/>
        </w:rPr>
      </w:pPr>
      <w:hyperlink w:anchor="_Toc75252997" w:history="1">
        <w:r w:rsidR="00171088" w:rsidRPr="0019253B">
          <w:rPr>
            <w:rStyle w:val="Hyperlink"/>
          </w:rPr>
          <w:t>Victorian recalls triggered by the Victorian anaphylaxis reporting scheme</w:t>
        </w:r>
        <w:r w:rsidR="00171088">
          <w:rPr>
            <w:webHidden/>
          </w:rPr>
          <w:tab/>
        </w:r>
        <w:r w:rsidR="00171088">
          <w:rPr>
            <w:webHidden/>
          </w:rPr>
          <w:fldChar w:fldCharType="begin"/>
        </w:r>
        <w:r w:rsidR="00171088">
          <w:rPr>
            <w:webHidden/>
          </w:rPr>
          <w:instrText xml:space="preserve"> PAGEREF _Toc75252997 \h </w:instrText>
        </w:r>
        <w:r w:rsidR="00171088">
          <w:rPr>
            <w:webHidden/>
          </w:rPr>
        </w:r>
        <w:r w:rsidR="00171088">
          <w:rPr>
            <w:webHidden/>
          </w:rPr>
          <w:fldChar w:fldCharType="separate"/>
        </w:r>
        <w:r w:rsidR="00171088">
          <w:rPr>
            <w:webHidden/>
          </w:rPr>
          <w:t>7</w:t>
        </w:r>
        <w:r w:rsidR="00171088">
          <w:rPr>
            <w:webHidden/>
          </w:rPr>
          <w:fldChar w:fldCharType="end"/>
        </w:r>
      </w:hyperlink>
    </w:p>
    <w:p w14:paraId="59EA4088" w14:textId="3B9CBE98" w:rsidR="00171088" w:rsidRDefault="00970162">
      <w:pPr>
        <w:pStyle w:val="TOC2"/>
        <w:rPr>
          <w:rFonts w:asciiTheme="minorHAnsi" w:eastAsiaTheme="minorEastAsia" w:hAnsiTheme="minorHAnsi" w:cstheme="minorBidi"/>
          <w:sz w:val="22"/>
          <w:szCs w:val="22"/>
          <w:lang w:eastAsia="en-AU"/>
        </w:rPr>
      </w:pPr>
      <w:hyperlink w:anchor="_Toc75252998" w:history="1">
        <w:r w:rsidR="00171088" w:rsidRPr="0019253B">
          <w:rPr>
            <w:rStyle w:val="Hyperlink"/>
          </w:rPr>
          <w:t>Allergen related recalls of food produced or imported into  Victoria</w:t>
        </w:r>
        <w:r w:rsidR="00171088">
          <w:rPr>
            <w:webHidden/>
          </w:rPr>
          <w:tab/>
        </w:r>
        <w:r w:rsidR="00171088">
          <w:rPr>
            <w:webHidden/>
          </w:rPr>
          <w:fldChar w:fldCharType="begin"/>
        </w:r>
        <w:r w:rsidR="00171088">
          <w:rPr>
            <w:webHidden/>
          </w:rPr>
          <w:instrText xml:space="preserve"> PAGEREF _Toc75252998 \h </w:instrText>
        </w:r>
        <w:r w:rsidR="00171088">
          <w:rPr>
            <w:webHidden/>
          </w:rPr>
        </w:r>
        <w:r w:rsidR="00171088">
          <w:rPr>
            <w:webHidden/>
          </w:rPr>
          <w:fldChar w:fldCharType="separate"/>
        </w:r>
        <w:r w:rsidR="00171088">
          <w:rPr>
            <w:webHidden/>
          </w:rPr>
          <w:t>7</w:t>
        </w:r>
        <w:r w:rsidR="00171088">
          <w:rPr>
            <w:webHidden/>
          </w:rPr>
          <w:fldChar w:fldCharType="end"/>
        </w:r>
      </w:hyperlink>
    </w:p>
    <w:p w14:paraId="0ABA8BCF" w14:textId="426FF3C7" w:rsidR="00171088" w:rsidRDefault="00970162">
      <w:pPr>
        <w:pStyle w:val="TOC2"/>
        <w:rPr>
          <w:rFonts w:asciiTheme="minorHAnsi" w:eastAsiaTheme="minorEastAsia" w:hAnsiTheme="minorHAnsi" w:cstheme="minorBidi"/>
          <w:sz w:val="22"/>
          <w:szCs w:val="22"/>
          <w:lang w:eastAsia="en-AU"/>
        </w:rPr>
      </w:pPr>
      <w:hyperlink w:anchor="_Toc75252999" w:history="1">
        <w:r w:rsidR="00171088" w:rsidRPr="0019253B">
          <w:rPr>
            <w:rStyle w:val="Hyperlink"/>
          </w:rPr>
          <w:t>What happens to recalled food?</w:t>
        </w:r>
        <w:r w:rsidR="00171088">
          <w:rPr>
            <w:webHidden/>
          </w:rPr>
          <w:tab/>
        </w:r>
        <w:r w:rsidR="00171088">
          <w:rPr>
            <w:webHidden/>
          </w:rPr>
          <w:fldChar w:fldCharType="begin"/>
        </w:r>
        <w:r w:rsidR="00171088">
          <w:rPr>
            <w:webHidden/>
          </w:rPr>
          <w:instrText xml:space="preserve"> PAGEREF _Toc75252999 \h </w:instrText>
        </w:r>
        <w:r w:rsidR="00171088">
          <w:rPr>
            <w:webHidden/>
          </w:rPr>
        </w:r>
        <w:r w:rsidR="00171088">
          <w:rPr>
            <w:webHidden/>
          </w:rPr>
          <w:fldChar w:fldCharType="separate"/>
        </w:r>
        <w:r w:rsidR="00171088">
          <w:rPr>
            <w:webHidden/>
          </w:rPr>
          <w:t>8</w:t>
        </w:r>
        <w:r w:rsidR="00171088">
          <w:rPr>
            <w:webHidden/>
          </w:rPr>
          <w:fldChar w:fldCharType="end"/>
        </w:r>
      </w:hyperlink>
    </w:p>
    <w:p w14:paraId="319234FB" w14:textId="404C5796" w:rsidR="00171088" w:rsidRDefault="00970162">
      <w:pPr>
        <w:pStyle w:val="TOC2"/>
        <w:rPr>
          <w:rFonts w:asciiTheme="minorHAnsi" w:eastAsiaTheme="minorEastAsia" w:hAnsiTheme="minorHAnsi" w:cstheme="minorBidi"/>
          <w:sz w:val="22"/>
          <w:szCs w:val="22"/>
          <w:lang w:eastAsia="en-AU"/>
        </w:rPr>
      </w:pPr>
      <w:hyperlink w:anchor="_Toc75253000" w:history="1">
        <w:r w:rsidR="00171088" w:rsidRPr="0019253B">
          <w:rPr>
            <w:rStyle w:val="Hyperlink"/>
          </w:rPr>
          <w:t>What are the costs of a recall on business and the community?</w:t>
        </w:r>
        <w:r w:rsidR="00171088">
          <w:rPr>
            <w:webHidden/>
          </w:rPr>
          <w:tab/>
        </w:r>
        <w:r w:rsidR="00171088">
          <w:rPr>
            <w:webHidden/>
          </w:rPr>
          <w:fldChar w:fldCharType="begin"/>
        </w:r>
        <w:r w:rsidR="00171088">
          <w:rPr>
            <w:webHidden/>
          </w:rPr>
          <w:instrText xml:space="preserve"> PAGEREF _Toc75253000 \h </w:instrText>
        </w:r>
        <w:r w:rsidR="00171088">
          <w:rPr>
            <w:webHidden/>
          </w:rPr>
        </w:r>
        <w:r w:rsidR="00171088">
          <w:rPr>
            <w:webHidden/>
          </w:rPr>
          <w:fldChar w:fldCharType="separate"/>
        </w:r>
        <w:r w:rsidR="00171088">
          <w:rPr>
            <w:webHidden/>
          </w:rPr>
          <w:t>8</w:t>
        </w:r>
        <w:r w:rsidR="00171088">
          <w:rPr>
            <w:webHidden/>
          </w:rPr>
          <w:fldChar w:fldCharType="end"/>
        </w:r>
      </w:hyperlink>
    </w:p>
    <w:p w14:paraId="51073E2D" w14:textId="1C315B4A" w:rsidR="00171088" w:rsidRDefault="00970162">
      <w:pPr>
        <w:pStyle w:val="TOC2"/>
        <w:rPr>
          <w:rFonts w:asciiTheme="minorHAnsi" w:eastAsiaTheme="minorEastAsia" w:hAnsiTheme="minorHAnsi" w:cstheme="minorBidi"/>
          <w:sz w:val="22"/>
          <w:szCs w:val="22"/>
          <w:lang w:eastAsia="en-AU"/>
        </w:rPr>
      </w:pPr>
      <w:hyperlink w:anchor="_Toc75253001" w:history="1">
        <w:r w:rsidR="00171088" w:rsidRPr="0019253B">
          <w:rPr>
            <w:rStyle w:val="Hyperlink"/>
          </w:rPr>
          <w:t>What if I think there is a problem with food that I have purchased?</w:t>
        </w:r>
        <w:r w:rsidR="00171088">
          <w:rPr>
            <w:webHidden/>
          </w:rPr>
          <w:tab/>
        </w:r>
        <w:r w:rsidR="00171088">
          <w:rPr>
            <w:webHidden/>
          </w:rPr>
          <w:fldChar w:fldCharType="begin"/>
        </w:r>
        <w:r w:rsidR="00171088">
          <w:rPr>
            <w:webHidden/>
          </w:rPr>
          <w:instrText xml:space="preserve"> PAGEREF _Toc75253001 \h </w:instrText>
        </w:r>
        <w:r w:rsidR="00171088">
          <w:rPr>
            <w:webHidden/>
          </w:rPr>
        </w:r>
        <w:r w:rsidR="00171088">
          <w:rPr>
            <w:webHidden/>
          </w:rPr>
          <w:fldChar w:fldCharType="separate"/>
        </w:r>
        <w:r w:rsidR="00171088">
          <w:rPr>
            <w:webHidden/>
          </w:rPr>
          <w:t>8</w:t>
        </w:r>
        <w:r w:rsidR="00171088">
          <w:rPr>
            <w:webHidden/>
          </w:rPr>
          <w:fldChar w:fldCharType="end"/>
        </w:r>
      </w:hyperlink>
    </w:p>
    <w:p w14:paraId="1DE918A5" w14:textId="7AE104A5" w:rsidR="00171088" w:rsidRDefault="00970162">
      <w:pPr>
        <w:pStyle w:val="TOC2"/>
        <w:rPr>
          <w:rFonts w:asciiTheme="minorHAnsi" w:eastAsiaTheme="minorEastAsia" w:hAnsiTheme="minorHAnsi" w:cstheme="minorBidi"/>
          <w:sz w:val="22"/>
          <w:szCs w:val="22"/>
          <w:lang w:eastAsia="en-AU"/>
        </w:rPr>
      </w:pPr>
      <w:hyperlink w:anchor="_Toc75253002" w:history="1">
        <w:r w:rsidR="00171088" w:rsidRPr="0019253B">
          <w:rPr>
            <w:rStyle w:val="Hyperlink"/>
          </w:rPr>
          <w:t>Where to report a problem with purchased food or from where food is purchased</w:t>
        </w:r>
        <w:r w:rsidR="00171088">
          <w:rPr>
            <w:webHidden/>
          </w:rPr>
          <w:tab/>
        </w:r>
        <w:r w:rsidR="00171088">
          <w:rPr>
            <w:webHidden/>
          </w:rPr>
          <w:fldChar w:fldCharType="begin"/>
        </w:r>
        <w:r w:rsidR="00171088">
          <w:rPr>
            <w:webHidden/>
          </w:rPr>
          <w:instrText xml:space="preserve"> PAGEREF _Toc75253002 \h </w:instrText>
        </w:r>
        <w:r w:rsidR="00171088">
          <w:rPr>
            <w:webHidden/>
          </w:rPr>
        </w:r>
        <w:r w:rsidR="00171088">
          <w:rPr>
            <w:webHidden/>
          </w:rPr>
          <w:fldChar w:fldCharType="separate"/>
        </w:r>
        <w:r w:rsidR="00171088">
          <w:rPr>
            <w:webHidden/>
          </w:rPr>
          <w:t>9</w:t>
        </w:r>
        <w:r w:rsidR="00171088">
          <w:rPr>
            <w:webHidden/>
          </w:rPr>
          <w:fldChar w:fldCharType="end"/>
        </w:r>
      </w:hyperlink>
    </w:p>
    <w:p w14:paraId="126332AF" w14:textId="2EB6AB7F" w:rsidR="00171088" w:rsidRDefault="00970162">
      <w:pPr>
        <w:pStyle w:val="TOC1"/>
        <w:rPr>
          <w:rFonts w:asciiTheme="minorHAnsi" w:eastAsiaTheme="minorEastAsia" w:hAnsiTheme="minorHAnsi" w:cstheme="minorBidi"/>
          <w:b w:val="0"/>
          <w:sz w:val="22"/>
          <w:szCs w:val="22"/>
          <w:lang w:eastAsia="en-AU"/>
        </w:rPr>
      </w:pPr>
      <w:hyperlink w:anchor="_Toc75253003" w:history="1">
        <w:r w:rsidR="00171088" w:rsidRPr="0019253B">
          <w:rPr>
            <w:rStyle w:val="Hyperlink"/>
          </w:rPr>
          <w:t>References</w:t>
        </w:r>
        <w:r w:rsidR="00171088">
          <w:rPr>
            <w:webHidden/>
          </w:rPr>
          <w:tab/>
        </w:r>
        <w:r w:rsidR="00171088">
          <w:rPr>
            <w:webHidden/>
          </w:rPr>
          <w:fldChar w:fldCharType="begin"/>
        </w:r>
        <w:r w:rsidR="00171088">
          <w:rPr>
            <w:webHidden/>
          </w:rPr>
          <w:instrText xml:space="preserve"> PAGEREF _Toc75253003 \h </w:instrText>
        </w:r>
        <w:r w:rsidR="00171088">
          <w:rPr>
            <w:webHidden/>
          </w:rPr>
        </w:r>
        <w:r w:rsidR="00171088">
          <w:rPr>
            <w:webHidden/>
          </w:rPr>
          <w:fldChar w:fldCharType="separate"/>
        </w:r>
        <w:r w:rsidR="00171088">
          <w:rPr>
            <w:webHidden/>
          </w:rPr>
          <w:t>9</w:t>
        </w:r>
        <w:r w:rsidR="00171088">
          <w:rPr>
            <w:webHidden/>
          </w:rPr>
          <w:fldChar w:fldCharType="end"/>
        </w:r>
      </w:hyperlink>
    </w:p>
    <w:p w14:paraId="6A467E7F" w14:textId="029C14A8" w:rsidR="003E2E12" w:rsidRPr="003072C6" w:rsidRDefault="00E15DA9" w:rsidP="00213772">
      <w:pPr>
        <w:pStyle w:val="TOC2"/>
        <w:rPr>
          <w:noProof w:val="0"/>
        </w:rPr>
      </w:pPr>
      <w:r w:rsidRPr="003072C6">
        <w:rPr>
          <w:noProof w:val="0"/>
        </w:rPr>
        <w:fldChar w:fldCharType="end"/>
      </w:r>
    </w:p>
    <w:p w14:paraId="6850B14A" w14:textId="5A5FBE40" w:rsidR="003A494C" w:rsidRPr="00AB50C1" w:rsidRDefault="003E2E12" w:rsidP="00AF2D86">
      <w:pPr>
        <w:pStyle w:val="Heading1"/>
      </w:pPr>
      <w:r w:rsidRPr="003072C6">
        <w:br w:type="page"/>
      </w:r>
      <w:bookmarkStart w:id="1" w:name="_Toc54087494"/>
      <w:bookmarkStart w:id="2" w:name="_Toc75252993"/>
      <w:r w:rsidR="003A494C">
        <w:lastRenderedPageBreak/>
        <w:t>Food safety recalls</w:t>
      </w:r>
      <w:bookmarkEnd w:id="1"/>
      <w:bookmarkEnd w:id="2"/>
      <w:r w:rsidR="003A494C">
        <w:t xml:space="preserve"> </w:t>
      </w:r>
    </w:p>
    <w:p w14:paraId="7AAE492F" w14:textId="77777777" w:rsidR="003A494C" w:rsidRPr="00332A79" w:rsidRDefault="003A494C" w:rsidP="003A494C">
      <w:pPr>
        <w:pStyle w:val="DHHSbody"/>
      </w:pPr>
      <w:r>
        <w:t xml:space="preserve">Food safety recalls generally relate to pre-packaged foods that have been offered for retail sale. A food safety recall occurs when it becomes necessary to remove a product from sale, either because it has been </w:t>
      </w:r>
      <w:r w:rsidRPr="00BB70B5">
        <w:t>found to be unsafe to consume</w:t>
      </w:r>
      <w:r>
        <w:t>,</w:t>
      </w:r>
      <w:r w:rsidRPr="00BB70B5">
        <w:t xml:space="preserve"> or </w:t>
      </w:r>
      <w:r>
        <w:t xml:space="preserve">because it </w:t>
      </w:r>
      <w:r w:rsidRPr="00BB70B5">
        <w:t>poses a specific health risk to the community</w:t>
      </w:r>
      <w:r>
        <w:t xml:space="preserve">. Whenever a recall is initiated, steps must be taken by the food business responsible for the product (the recall sponsor) to inform anyone who may have purchased the product about the nature of the food safety hazard, and to provide guidance on what they should do with product that may be in their possession.  </w:t>
      </w:r>
    </w:p>
    <w:p w14:paraId="0B3A8018" w14:textId="77777777" w:rsidR="003A494C" w:rsidRDefault="003A494C" w:rsidP="003A494C">
      <w:pPr>
        <w:pStyle w:val="Heading2"/>
      </w:pPr>
      <w:bookmarkStart w:id="3" w:name="_Toc54087495"/>
      <w:bookmarkStart w:id="4" w:name="_Toc75252994"/>
      <w:r>
        <w:t>Australian food safety recalls</w:t>
      </w:r>
      <w:bookmarkEnd w:id="3"/>
      <w:bookmarkEnd w:id="4"/>
    </w:p>
    <w:p w14:paraId="211B0330" w14:textId="224343D6" w:rsidR="00D61AC0" w:rsidRDefault="003A494C" w:rsidP="003A494C">
      <w:pPr>
        <w:pStyle w:val="DHHSbody"/>
      </w:pPr>
      <w:r>
        <w:t xml:space="preserve">Nationally, food safety recalls are co-ordinated by Food Standards Australia New Zealand (FSANZ). Any company considering a food safety recall of their product will first report the issue to </w:t>
      </w:r>
      <w:r w:rsidR="00D61AC0">
        <w:t xml:space="preserve">the relevant food regulatory authority in that company’s home state or territory. That authority will provide the company with </w:t>
      </w:r>
      <w:r>
        <w:t xml:space="preserve"> initial advice. </w:t>
      </w:r>
      <w:r w:rsidR="00D61AC0">
        <w:t xml:space="preserve">In Victoria, companies will contact the Department of Health and Human Services and, if the recall relates to dairy products, they will contact Victoria’s dairy regulator, Dairy Food Safety Victoria.  If the recall </w:t>
      </w:r>
      <w:r w:rsidR="0062297A">
        <w:t>relates to</w:t>
      </w:r>
      <w:r w:rsidR="00D61AC0">
        <w:t xml:space="preserve"> meat or seafood, they will contact PrimeSafe, Victoria’s meat and seafood regulator.</w:t>
      </w:r>
    </w:p>
    <w:p w14:paraId="5E50E179" w14:textId="37309F63" w:rsidR="003A494C" w:rsidRDefault="003A494C" w:rsidP="003A494C">
      <w:pPr>
        <w:pStyle w:val="DHHSbody"/>
      </w:pPr>
      <w:r>
        <w:t>If a recall is conducted, the company (the recall sponsor) then contacts FSANZ who</w:t>
      </w:r>
      <w:r w:rsidR="00D61AC0">
        <w:t xml:space="preserve"> will</w:t>
      </w:r>
      <w:r>
        <w:t xml:space="preserve"> guide them through the requirements, communicate the incident to other government agencies as required, and inform consumer</w:t>
      </w:r>
      <w:r w:rsidR="00D61AC0">
        <w:t xml:space="preserve">s via </w:t>
      </w:r>
      <w:r>
        <w:t xml:space="preserve"> their </w:t>
      </w:r>
      <w:hyperlink r:id="rId11" w:history="1">
        <w:r w:rsidRPr="002D36AD">
          <w:rPr>
            <w:rStyle w:val="Hyperlink"/>
          </w:rPr>
          <w:t>website</w:t>
        </w:r>
      </w:hyperlink>
      <w:r>
        <w:t xml:space="preserve"> (</w:t>
      </w:r>
      <w:r w:rsidR="002D36AD">
        <w:t>&lt;</w:t>
      </w:r>
      <w:r w:rsidR="002D36AD" w:rsidRPr="002D36AD">
        <w:t>https://www.foodstandards.gov.au/Pages/default.aspx</w:t>
      </w:r>
      <w:r w:rsidR="002D36AD">
        <w:t>&gt;</w:t>
      </w:r>
      <w:r>
        <w:t xml:space="preserve">).  </w:t>
      </w:r>
    </w:p>
    <w:p w14:paraId="5FE6C71B" w14:textId="77777777" w:rsidR="003A494C" w:rsidRDefault="003A494C" w:rsidP="003A494C">
      <w:pPr>
        <w:pStyle w:val="DHHSbody"/>
      </w:pPr>
      <w:r>
        <w:t>Recalls continue to be a regular occurrence in Australia. Over the past decade the number of food safety recalls co-ordinated by FSANZ have continued to trend upwards as shown in Figure 1 (Food Standards Australia New Zealand, 2020)</w:t>
      </w:r>
      <w:r w:rsidRPr="003072C6">
        <w:t>.</w:t>
      </w:r>
      <w:r>
        <w:t xml:space="preserve"> In 2018, 100 recalls were conducted in Australia, with 87 recalls occurring in 2019.</w:t>
      </w:r>
    </w:p>
    <w:p w14:paraId="33714315" w14:textId="77777777" w:rsidR="003A494C" w:rsidRPr="001D4A0C" w:rsidRDefault="003A494C" w:rsidP="003A494C">
      <w:pPr>
        <w:pStyle w:val="DHHSfigurecaption"/>
        <w:rPr>
          <w:rFonts w:eastAsia="Times"/>
          <w:bCs/>
        </w:rPr>
      </w:pPr>
      <w:r w:rsidRPr="001D4A0C">
        <w:rPr>
          <w:rFonts w:eastAsia="Times"/>
          <w:bCs/>
        </w:rPr>
        <w:t>Figure 1:</w:t>
      </w:r>
      <w:r>
        <w:rPr>
          <w:rFonts w:eastAsia="Times"/>
        </w:rPr>
        <w:t xml:space="preserve"> </w:t>
      </w:r>
      <w:r w:rsidRPr="001D4A0C">
        <w:rPr>
          <w:rFonts w:eastAsia="Times"/>
        </w:rPr>
        <w:t>The number of recalls coordinated by FSANZ each year between 1 January 2010 and 31 December 2019</w:t>
      </w:r>
      <w:r w:rsidRPr="00844552">
        <w:t xml:space="preserve"> </w:t>
      </w:r>
      <w:r w:rsidRPr="00844552">
        <w:rPr>
          <w:rFonts w:eastAsia="Times"/>
        </w:rPr>
        <w:t>(Food recall statistics, 2020)</w:t>
      </w:r>
    </w:p>
    <w:p w14:paraId="1B27422A" w14:textId="2C2D085B" w:rsidR="003A494C" w:rsidRDefault="00187469" w:rsidP="003A494C">
      <w:pPr>
        <w:pStyle w:val="NormalWeb"/>
        <w:shd w:val="clear" w:color="auto" w:fill="FFFFFF"/>
        <w:spacing w:before="0" w:beforeAutospacing="0" w:after="150" w:afterAutospacing="0"/>
        <w:rPr>
          <w:rFonts w:ascii="Helvetica" w:hAnsi="Helvetica" w:cs="Helvetica"/>
          <w:color w:val="717171"/>
          <w:sz w:val="20"/>
          <w:szCs w:val="20"/>
        </w:rPr>
      </w:pPr>
      <w:r>
        <w:rPr>
          <w:rFonts w:ascii="Helvetica" w:hAnsi="Helvetica" w:cs="Helvetica"/>
          <w:noProof/>
          <w:color w:val="717171"/>
          <w:sz w:val="20"/>
          <w:szCs w:val="20"/>
        </w:rPr>
        <w:drawing>
          <wp:inline distT="0" distB="0" distL="0" distR="0" wp14:anchorId="24EB0CA4" wp14:editId="358AE2D6">
            <wp:extent cx="5200650" cy="2971800"/>
            <wp:effectExtent l="0" t="0" r="0" b="0"/>
            <wp:docPr id="1" name="Picture 1" descr="Graph with number of recalls per year: 2010 = 53; 2011 = 67; 2012 = 60; 2013 = 42; 2014 = 76; 2015 = 81; 2016 = 72; 2017 = 69; 2018 = 100; 2019 =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with number of recalls per year: 2010 = 53; 2011 = 67; 2012 = 60; 2013 = 42; 2014 = 76; 2015 = 81; 2016 = 72; 2017 = 69; 2018 = 100; 2019 =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2971800"/>
                    </a:xfrm>
                    <a:prstGeom prst="rect">
                      <a:avLst/>
                    </a:prstGeom>
                    <a:noFill/>
                    <a:ln>
                      <a:noFill/>
                    </a:ln>
                  </pic:spPr>
                </pic:pic>
              </a:graphicData>
            </a:graphic>
          </wp:inline>
        </w:drawing>
      </w:r>
      <w:r w:rsidR="003A494C">
        <w:rPr>
          <w:rFonts w:ascii="Helvetica" w:hAnsi="Helvetica" w:cs="Helvetica"/>
          <w:color w:val="717171"/>
          <w:sz w:val="20"/>
          <w:szCs w:val="20"/>
        </w:rPr>
        <w:t> </w:t>
      </w:r>
    </w:p>
    <w:p w14:paraId="4C220E50" w14:textId="5F5F66BD" w:rsidR="003A494C" w:rsidRDefault="003A494C" w:rsidP="003A494C">
      <w:pPr>
        <w:pStyle w:val="DHHSbodyaftertablefigure"/>
      </w:pPr>
      <w:r>
        <w:t xml:space="preserve">The </w:t>
      </w:r>
      <w:r w:rsidR="00D61AC0">
        <w:t xml:space="preserve">types </w:t>
      </w:r>
      <w:r>
        <w:t>of incidents that can trigger food safety recalls include, but are not limited to:</w:t>
      </w:r>
    </w:p>
    <w:p w14:paraId="518BF0B9" w14:textId="77777777" w:rsidR="003A494C" w:rsidRDefault="003A494C" w:rsidP="003A494C">
      <w:pPr>
        <w:pStyle w:val="DHHSbullet1"/>
      </w:pPr>
      <w:r>
        <w:t xml:space="preserve">contamination of food products with </w:t>
      </w:r>
      <w:r w:rsidRPr="002D1D6B">
        <w:t>foreign</w:t>
      </w:r>
      <w:r>
        <w:t xml:space="preserve"> matter such as metal, glass or plastic</w:t>
      </w:r>
    </w:p>
    <w:p w14:paraId="009EC500" w14:textId="4A3DE38F" w:rsidR="003A494C" w:rsidRPr="00F12CA0" w:rsidRDefault="003A494C" w:rsidP="003A494C">
      <w:pPr>
        <w:pStyle w:val="DHHSbullet1"/>
      </w:pPr>
      <w:r w:rsidRPr="00F12CA0">
        <w:t xml:space="preserve">contamination </w:t>
      </w:r>
      <w:r w:rsidR="00D61AC0">
        <w:t xml:space="preserve">of food products </w:t>
      </w:r>
      <w:r w:rsidRPr="00F12CA0">
        <w:t>with chemicals such as cleaning agents, pesticide residues above permitted levels, or biotoxins</w:t>
      </w:r>
    </w:p>
    <w:p w14:paraId="65F831AB" w14:textId="77777777" w:rsidR="003A494C" w:rsidRPr="00127A7E" w:rsidRDefault="003A494C" w:rsidP="003A494C">
      <w:pPr>
        <w:pStyle w:val="DHHSbullet1"/>
        <w:rPr>
          <w:i/>
          <w:iCs/>
        </w:rPr>
      </w:pPr>
      <w:r w:rsidRPr="00F12CA0">
        <w:t xml:space="preserve">the presence of pathogenic bacteria that can cause food poisoning such as </w:t>
      </w:r>
      <w:r w:rsidRPr="00127A7E">
        <w:rPr>
          <w:i/>
          <w:iCs/>
        </w:rPr>
        <w:t>Salmonella, E.coli, Listeria monocytogenes</w:t>
      </w:r>
    </w:p>
    <w:p w14:paraId="7D964E73" w14:textId="77777777" w:rsidR="003A494C" w:rsidRPr="00F12CA0" w:rsidRDefault="003A494C" w:rsidP="003A494C">
      <w:pPr>
        <w:pStyle w:val="DHHSbullet1lastline"/>
      </w:pPr>
      <w:r w:rsidRPr="00F12CA0">
        <w:t xml:space="preserve">the presence of unlabelled ingredients that can trigger potentially harmful reactions in people who have specific food allergies, sensitivities, or intolerances. These include cereals, lupin, fish, crustacea, milk, soy, peanuts, tree nuts, sesame seeds, egg, and added sulphites at levels above 10mg/kg. </w:t>
      </w:r>
    </w:p>
    <w:p w14:paraId="0A4C9B93" w14:textId="77777777" w:rsidR="003A494C" w:rsidRDefault="003A494C" w:rsidP="003A494C">
      <w:pPr>
        <w:pStyle w:val="DHHSbody"/>
      </w:pPr>
      <w:r>
        <w:t>Figure 2 shows the recalls by type for both 2018 and 2019. Allergen related recalls were the most significant cause across this two-year period, followed by microbiological contaminants</w:t>
      </w:r>
      <w:r w:rsidRPr="003072C6">
        <w:t xml:space="preserve">. </w:t>
      </w:r>
    </w:p>
    <w:p w14:paraId="37F90B61" w14:textId="77777777" w:rsidR="003A494C" w:rsidRDefault="003A494C" w:rsidP="003A494C">
      <w:pPr>
        <w:pStyle w:val="DHHSfigurecaption"/>
      </w:pPr>
      <w:r>
        <w:t>Figure</w:t>
      </w:r>
      <w:r w:rsidRPr="001F15A3">
        <w:t xml:space="preserve"> </w:t>
      </w:r>
      <w:r>
        <w:t>2</w:t>
      </w:r>
      <w:r w:rsidRPr="001F15A3">
        <w:t>: Australian recalls by type (n)</w:t>
      </w:r>
    </w:p>
    <w:tbl>
      <w:tblPr>
        <w:tblW w:w="575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06"/>
        <w:gridCol w:w="1276"/>
        <w:gridCol w:w="1276"/>
      </w:tblGrid>
      <w:tr w:rsidR="003A494C" w:rsidRPr="003A494C" w14:paraId="4ECFB9C5" w14:textId="77777777" w:rsidTr="003A494C">
        <w:trPr>
          <w:trHeight w:val="290"/>
          <w:tblHeader/>
        </w:trPr>
        <w:tc>
          <w:tcPr>
            <w:tcW w:w="3206" w:type="dxa"/>
            <w:shd w:val="clear" w:color="auto" w:fill="201547"/>
            <w:noWrap/>
            <w:vAlign w:val="bottom"/>
            <w:hideMark/>
          </w:tcPr>
          <w:p w14:paraId="68364BD2" w14:textId="77777777" w:rsidR="003A494C" w:rsidRPr="003A494C" w:rsidRDefault="003A494C" w:rsidP="005D79E4">
            <w:pPr>
              <w:pStyle w:val="DHHStablecolhead"/>
              <w:rPr>
                <w:color w:val="FFFFFF"/>
              </w:rPr>
            </w:pPr>
            <w:r w:rsidRPr="003A494C">
              <w:rPr>
                <w:color w:val="FFFFFF"/>
              </w:rPr>
              <w:t>Australian recall by type</w:t>
            </w:r>
          </w:p>
        </w:tc>
        <w:tc>
          <w:tcPr>
            <w:tcW w:w="1276" w:type="dxa"/>
            <w:shd w:val="clear" w:color="auto" w:fill="201547"/>
            <w:noWrap/>
            <w:vAlign w:val="bottom"/>
            <w:hideMark/>
          </w:tcPr>
          <w:p w14:paraId="0607B15A" w14:textId="77777777" w:rsidR="003A494C" w:rsidRPr="003A494C" w:rsidRDefault="003A494C" w:rsidP="005D79E4">
            <w:pPr>
              <w:pStyle w:val="DHHStablecolhead"/>
              <w:jc w:val="right"/>
              <w:rPr>
                <w:color w:val="FFFFFF"/>
              </w:rPr>
            </w:pPr>
            <w:r w:rsidRPr="003A494C">
              <w:rPr>
                <w:color w:val="FFFFFF"/>
              </w:rPr>
              <w:t>2018</w:t>
            </w:r>
          </w:p>
        </w:tc>
        <w:tc>
          <w:tcPr>
            <w:tcW w:w="1276" w:type="dxa"/>
            <w:shd w:val="clear" w:color="auto" w:fill="201547"/>
            <w:noWrap/>
            <w:vAlign w:val="bottom"/>
            <w:hideMark/>
          </w:tcPr>
          <w:p w14:paraId="702B790C" w14:textId="77777777" w:rsidR="003A494C" w:rsidRPr="003A494C" w:rsidRDefault="003A494C" w:rsidP="005D79E4">
            <w:pPr>
              <w:pStyle w:val="DHHStablecolhead"/>
              <w:jc w:val="right"/>
              <w:rPr>
                <w:color w:val="FFFFFF"/>
              </w:rPr>
            </w:pPr>
            <w:r w:rsidRPr="003A494C">
              <w:rPr>
                <w:color w:val="FFFFFF"/>
              </w:rPr>
              <w:t>2019</w:t>
            </w:r>
          </w:p>
        </w:tc>
      </w:tr>
      <w:tr w:rsidR="003A494C" w:rsidRPr="008C490B" w14:paraId="5AC71716" w14:textId="77777777" w:rsidTr="003A494C">
        <w:trPr>
          <w:trHeight w:val="290"/>
        </w:trPr>
        <w:tc>
          <w:tcPr>
            <w:tcW w:w="3206" w:type="dxa"/>
            <w:shd w:val="clear" w:color="auto" w:fill="auto"/>
            <w:noWrap/>
            <w:vAlign w:val="bottom"/>
            <w:hideMark/>
          </w:tcPr>
          <w:p w14:paraId="12169083" w14:textId="77777777" w:rsidR="003A494C" w:rsidRPr="008C490B" w:rsidRDefault="003A494C" w:rsidP="005D79E4">
            <w:pPr>
              <w:pStyle w:val="DHHStabletext6pt"/>
              <w:rPr>
                <w:lang w:eastAsia="en-AU"/>
              </w:rPr>
            </w:pPr>
            <w:r w:rsidRPr="008C490B">
              <w:rPr>
                <w:lang w:eastAsia="en-AU"/>
              </w:rPr>
              <w:t>Allergen</w:t>
            </w:r>
          </w:p>
        </w:tc>
        <w:tc>
          <w:tcPr>
            <w:tcW w:w="1276" w:type="dxa"/>
            <w:shd w:val="clear" w:color="auto" w:fill="auto"/>
            <w:noWrap/>
            <w:vAlign w:val="bottom"/>
            <w:hideMark/>
          </w:tcPr>
          <w:p w14:paraId="06B2B22F" w14:textId="77777777" w:rsidR="003A494C" w:rsidRPr="008C490B" w:rsidRDefault="003A494C" w:rsidP="005D79E4">
            <w:pPr>
              <w:pStyle w:val="DHHStabletext6pt"/>
              <w:jc w:val="right"/>
              <w:rPr>
                <w:lang w:eastAsia="en-AU"/>
              </w:rPr>
            </w:pPr>
            <w:r w:rsidRPr="008C490B">
              <w:rPr>
                <w:lang w:eastAsia="en-AU"/>
              </w:rPr>
              <w:t>46 (46%)</w:t>
            </w:r>
          </w:p>
        </w:tc>
        <w:tc>
          <w:tcPr>
            <w:tcW w:w="1276" w:type="dxa"/>
            <w:shd w:val="clear" w:color="auto" w:fill="auto"/>
            <w:noWrap/>
            <w:vAlign w:val="bottom"/>
            <w:hideMark/>
          </w:tcPr>
          <w:p w14:paraId="106A5838" w14:textId="77777777" w:rsidR="003A494C" w:rsidRPr="008C490B" w:rsidRDefault="003A494C" w:rsidP="005D79E4">
            <w:pPr>
              <w:pStyle w:val="DHHStabletext6pt"/>
              <w:jc w:val="right"/>
              <w:rPr>
                <w:lang w:eastAsia="en-AU"/>
              </w:rPr>
            </w:pPr>
            <w:r w:rsidRPr="008C490B">
              <w:rPr>
                <w:lang w:eastAsia="en-AU"/>
              </w:rPr>
              <w:t>32 (37%)</w:t>
            </w:r>
          </w:p>
        </w:tc>
      </w:tr>
      <w:tr w:rsidR="003A494C" w:rsidRPr="008C490B" w14:paraId="6A6751EF" w14:textId="77777777" w:rsidTr="003A494C">
        <w:trPr>
          <w:trHeight w:val="290"/>
        </w:trPr>
        <w:tc>
          <w:tcPr>
            <w:tcW w:w="3206" w:type="dxa"/>
            <w:shd w:val="clear" w:color="auto" w:fill="auto"/>
            <w:noWrap/>
            <w:vAlign w:val="bottom"/>
            <w:hideMark/>
          </w:tcPr>
          <w:p w14:paraId="22CD906B" w14:textId="77777777" w:rsidR="003A494C" w:rsidRPr="008C490B" w:rsidRDefault="003A494C" w:rsidP="005D79E4">
            <w:pPr>
              <w:pStyle w:val="DHHStabletext6pt"/>
              <w:rPr>
                <w:lang w:eastAsia="en-AU"/>
              </w:rPr>
            </w:pPr>
            <w:r w:rsidRPr="008C490B">
              <w:rPr>
                <w:lang w:eastAsia="en-AU"/>
              </w:rPr>
              <w:t>Micro</w:t>
            </w:r>
          </w:p>
        </w:tc>
        <w:tc>
          <w:tcPr>
            <w:tcW w:w="1276" w:type="dxa"/>
            <w:shd w:val="clear" w:color="auto" w:fill="auto"/>
            <w:noWrap/>
            <w:vAlign w:val="bottom"/>
            <w:hideMark/>
          </w:tcPr>
          <w:p w14:paraId="432A2227" w14:textId="77777777" w:rsidR="003A494C" w:rsidRPr="008C490B" w:rsidRDefault="003A494C" w:rsidP="005D79E4">
            <w:pPr>
              <w:pStyle w:val="DHHStabletext6pt"/>
              <w:jc w:val="right"/>
              <w:rPr>
                <w:lang w:eastAsia="en-AU"/>
              </w:rPr>
            </w:pPr>
            <w:r w:rsidRPr="008C490B">
              <w:rPr>
                <w:lang w:eastAsia="en-AU"/>
              </w:rPr>
              <w:t>21 (21%)</w:t>
            </w:r>
          </w:p>
        </w:tc>
        <w:tc>
          <w:tcPr>
            <w:tcW w:w="1276" w:type="dxa"/>
            <w:shd w:val="clear" w:color="auto" w:fill="auto"/>
            <w:noWrap/>
            <w:vAlign w:val="bottom"/>
            <w:hideMark/>
          </w:tcPr>
          <w:p w14:paraId="426CFE5F" w14:textId="77777777" w:rsidR="003A494C" w:rsidRPr="008C490B" w:rsidRDefault="003A494C" w:rsidP="005D79E4">
            <w:pPr>
              <w:pStyle w:val="DHHStabletext6pt"/>
              <w:jc w:val="right"/>
              <w:rPr>
                <w:lang w:eastAsia="en-AU"/>
              </w:rPr>
            </w:pPr>
            <w:r w:rsidRPr="008C490B">
              <w:rPr>
                <w:lang w:eastAsia="en-AU"/>
              </w:rPr>
              <w:t>30 (34%)</w:t>
            </w:r>
          </w:p>
        </w:tc>
      </w:tr>
      <w:tr w:rsidR="003A494C" w:rsidRPr="008C490B" w14:paraId="23C9F9F6" w14:textId="77777777" w:rsidTr="003A494C">
        <w:trPr>
          <w:trHeight w:val="290"/>
        </w:trPr>
        <w:tc>
          <w:tcPr>
            <w:tcW w:w="3206" w:type="dxa"/>
            <w:shd w:val="clear" w:color="auto" w:fill="auto"/>
            <w:noWrap/>
            <w:vAlign w:val="bottom"/>
            <w:hideMark/>
          </w:tcPr>
          <w:p w14:paraId="18BF2C59" w14:textId="77777777" w:rsidR="003A494C" w:rsidRPr="008C490B" w:rsidRDefault="003A494C" w:rsidP="005D79E4">
            <w:pPr>
              <w:pStyle w:val="DHHStabletext6pt"/>
              <w:rPr>
                <w:lang w:eastAsia="en-AU"/>
              </w:rPr>
            </w:pPr>
            <w:r w:rsidRPr="008C490B">
              <w:rPr>
                <w:lang w:eastAsia="en-AU"/>
              </w:rPr>
              <w:t>Foreign Matter</w:t>
            </w:r>
          </w:p>
        </w:tc>
        <w:tc>
          <w:tcPr>
            <w:tcW w:w="1276" w:type="dxa"/>
            <w:shd w:val="clear" w:color="auto" w:fill="auto"/>
            <w:noWrap/>
            <w:vAlign w:val="bottom"/>
            <w:hideMark/>
          </w:tcPr>
          <w:p w14:paraId="791502BC" w14:textId="77777777" w:rsidR="003A494C" w:rsidRPr="008C490B" w:rsidRDefault="003A494C" w:rsidP="005D79E4">
            <w:pPr>
              <w:pStyle w:val="DHHStabletext6pt"/>
              <w:jc w:val="right"/>
              <w:rPr>
                <w:lang w:eastAsia="en-AU"/>
              </w:rPr>
            </w:pPr>
            <w:r w:rsidRPr="008C490B">
              <w:rPr>
                <w:lang w:eastAsia="en-AU"/>
              </w:rPr>
              <w:t>17 (17%)</w:t>
            </w:r>
          </w:p>
        </w:tc>
        <w:tc>
          <w:tcPr>
            <w:tcW w:w="1276" w:type="dxa"/>
            <w:shd w:val="clear" w:color="auto" w:fill="auto"/>
            <w:noWrap/>
            <w:vAlign w:val="bottom"/>
            <w:hideMark/>
          </w:tcPr>
          <w:p w14:paraId="3616CD2D" w14:textId="77777777" w:rsidR="003A494C" w:rsidRPr="008C490B" w:rsidRDefault="003A494C" w:rsidP="005D79E4">
            <w:pPr>
              <w:pStyle w:val="DHHStabletext6pt"/>
              <w:jc w:val="right"/>
              <w:rPr>
                <w:lang w:eastAsia="en-AU"/>
              </w:rPr>
            </w:pPr>
            <w:r w:rsidRPr="008C490B">
              <w:rPr>
                <w:lang w:eastAsia="en-AU"/>
              </w:rPr>
              <w:t>5 (6%)</w:t>
            </w:r>
          </w:p>
        </w:tc>
      </w:tr>
      <w:tr w:rsidR="003A494C" w:rsidRPr="008C490B" w14:paraId="5C71DA7F" w14:textId="77777777" w:rsidTr="003A494C">
        <w:trPr>
          <w:trHeight w:val="290"/>
        </w:trPr>
        <w:tc>
          <w:tcPr>
            <w:tcW w:w="3206" w:type="dxa"/>
            <w:shd w:val="clear" w:color="auto" w:fill="auto"/>
            <w:noWrap/>
            <w:vAlign w:val="bottom"/>
            <w:hideMark/>
          </w:tcPr>
          <w:p w14:paraId="16871834" w14:textId="77777777" w:rsidR="003A494C" w:rsidRPr="008C490B" w:rsidRDefault="003A494C" w:rsidP="005D79E4">
            <w:pPr>
              <w:pStyle w:val="DHHStabletext6pt"/>
              <w:rPr>
                <w:lang w:eastAsia="en-AU"/>
              </w:rPr>
            </w:pPr>
            <w:r w:rsidRPr="008C490B">
              <w:rPr>
                <w:lang w:eastAsia="en-AU"/>
              </w:rPr>
              <w:t>Biotoxin</w:t>
            </w:r>
          </w:p>
        </w:tc>
        <w:tc>
          <w:tcPr>
            <w:tcW w:w="1276" w:type="dxa"/>
            <w:shd w:val="clear" w:color="auto" w:fill="auto"/>
            <w:noWrap/>
            <w:vAlign w:val="bottom"/>
            <w:hideMark/>
          </w:tcPr>
          <w:p w14:paraId="57B84174" w14:textId="77777777" w:rsidR="003A494C" w:rsidRPr="008C490B" w:rsidRDefault="003A494C" w:rsidP="005D79E4">
            <w:pPr>
              <w:pStyle w:val="DHHStabletext6pt"/>
              <w:jc w:val="right"/>
              <w:rPr>
                <w:lang w:eastAsia="en-AU"/>
              </w:rPr>
            </w:pPr>
            <w:r w:rsidRPr="008C490B">
              <w:rPr>
                <w:lang w:eastAsia="en-AU"/>
              </w:rPr>
              <w:t>2 (2%)</w:t>
            </w:r>
          </w:p>
        </w:tc>
        <w:tc>
          <w:tcPr>
            <w:tcW w:w="1276" w:type="dxa"/>
            <w:shd w:val="clear" w:color="auto" w:fill="auto"/>
            <w:noWrap/>
            <w:vAlign w:val="bottom"/>
            <w:hideMark/>
          </w:tcPr>
          <w:p w14:paraId="52B3F2AE" w14:textId="77777777" w:rsidR="003A494C" w:rsidRPr="008C490B" w:rsidRDefault="003A494C" w:rsidP="005D79E4">
            <w:pPr>
              <w:pStyle w:val="DHHStabletext6pt"/>
              <w:jc w:val="right"/>
              <w:rPr>
                <w:lang w:eastAsia="en-AU"/>
              </w:rPr>
            </w:pPr>
            <w:r w:rsidRPr="008C490B">
              <w:rPr>
                <w:lang w:eastAsia="en-AU"/>
              </w:rPr>
              <w:t>3 (3%)</w:t>
            </w:r>
          </w:p>
        </w:tc>
      </w:tr>
      <w:tr w:rsidR="003A494C" w:rsidRPr="008C490B" w14:paraId="37D1CE70" w14:textId="77777777" w:rsidTr="003A494C">
        <w:trPr>
          <w:trHeight w:val="290"/>
        </w:trPr>
        <w:tc>
          <w:tcPr>
            <w:tcW w:w="3206" w:type="dxa"/>
            <w:shd w:val="clear" w:color="auto" w:fill="auto"/>
            <w:noWrap/>
            <w:vAlign w:val="bottom"/>
            <w:hideMark/>
          </w:tcPr>
          <w:p w14:paraId="16D81973" w14:textId="77777777" w:rsidR="003A494C" w:rsidRPr="008C490B" w:rsidRDefault="003A494C" w:rsidP="005D79E4">
            <w:pPr>
              <w:pStyle w:val="DHHStabletext6pt"/>
              <w:rPr>
                <w:lang w:eastAsia="en-AU"/>
              </w:rPr>
            </w:pPr>
            <w:r w:rsidRPr="008C490B">
              <w:rPr>
                <w:lang w:eastAsia="en-AU"/>
              </w:rPr>
              <w:t xml:space="preserve">Other </w:t>
            </w:r>
          </w:p>
        </w:tc>
        <w:tc>
          <w:tcPr>
            <w:tcW w:w="1276" w:type="dxa"/>
            <w:shd w:val="clear" w:color="auto" w:fill="auto"/>
            <w:noWrap/>
            <w:vAlign w:val="bottom"/>
            <w:hideMark/>
          </w:tcPr>
          <w:p w14:paraId="7B55060C" w14:textId="77777777" w:rsidR="003A494C" w:rsidRPr="008C490B" w:rsidRDefault="003A494C" w:rsidP="005D79E4">
            <w:pPr>
              <w:pStyle w:val="DHHStabletext6pt"/>
              <w:jc w:val="right"/>
              <w:rPr>
                <w:lang w:eastAsia="en-AU"/>
              </w:rPr>
            </w:pPr>
            <w:r w:rsidRPr="008C490B">
              <w:rPr>
                <w:lang w:eastAsia="en-AU"/>
              </w:rPr>
              <w:t>6 (6%)</w:t>
            </w:r>
          </w:p>
        </w:tc>
        <w:tc>
          <w:tcPr>
            <w:tcW w:w="1276" w:type="dxa"/>
            <w:shd w:val="clear" w:color="auto" w:fill="auto"/>
            <w:noWrap/>
            <w:vAlign w:val="bottom"/>
            <w:hideMark/>
          </w:tcPr>
          <w:p w14:paraId="07D6002F" w14:textId="77777777" w:rsidR="003A494C" w:rsidRPr="008C490B" w:rsidRDefault="003A494C" w:rsidP="005D79E4">
            <w:pPr>
              <w:pStyle w:val="DHHStabletext6pt"/>
              <w:jc w:val="right"/>
              <w:rPr>
                <w:lang w:eastAsia="en-AU"/>
              </w:rPr>
            </w:pPr>
            <w:r w:rsidRPr="008C490B">
              <w:rPr>
                <w:lang w:eastAsia="en-AU"/>
              </w:rPr>
              <w:t>12 (14%)</w:t>
            </w:r>
          </w:p>
        </w:tc>
      </w:tr>
      <w:tr w:rsidR="003A494C" w:rsidRPr="008C490B" w14:paraId="638DF509" w14:textId="77777777" w:rsidTr="003A494C">
        <w:trPr>
          <w:trHeight w:val="290"/>
        </w:trPr>
        <w:tc>
          <w:tcPr>
            <w:tcW w:w="3206" w:type="dxa"/>
            <w:shd w:val="clear" w:color="auto" w:fill="auto"/>
            <w:noWrap/>
            <w:vAlign w:val="bottom"/>
            <w:hideMark/>
          </w:tcPr>
          <w:p w14:paraId="06E95D7B" w14:textId="77777777" w:rsidR="003A494C" w:rsidRPr="008C490B" w:rsidRDefault="003A494C" w:rsidP="005D79E4">
            <w:pPr>
              <w:pStyle w:val="DHHStabletext6pt"/>
              <w:rPr>
                <w:lang w:eastAsia="en-AU"/>
              </w:rPr>
            </w:pPr>
            <w:r w:rsidRPr="008C490B">
              <w:rPr>
                <w:lang w:eastAsia="en-AU"/>
              </w:rPr>
              <w:t>Labelling</w:t>
            </w:r>
          </w:p>
        </w:tc>
        <w:tc>
          <w:tcPr>
            <w:tcW w:w="1276" w:type="dxa"/>
            <w:shd w:val="clear" w:color="auto" w:fill="auto"/>
            <w:noWrap/>
            <w:vAlign w:val="bottom"/>
            <w:hideMark/>
          </w:tcPr>
          <w:p w14:paraId="41B3F367" w14:textId="77777777" w:rsidR="003A494C" w:rsidRPr="008C490B" w:rsidRDefault="003A494C" w:rsidP="005D79E4">
            <w:pPr>
              <w:pStyle w:val="DHHStabletext6pt"/>
              <w:jc w:val="right"/>
              <w:rPr>
                <w:lang w:eastAsia="en-AU"/>
              </w:rPr>
            </w:pPr>
            <w:r w:rsidRPr="008C490B">
              <w:rPr>
                <w:lang w:eastAsia="en-AU"/>
              </w:rPr>
              <w:t>6 (6%)</w:t>
            </w:r>
          </w:p>
        </w:tc>
        <w:tc>
          <w:tcPr>
            <w:tcW w:w="1276" w:type="dxa"/>
            <w:shd w:val="clear" w:color="auto" w:fill="auto"/>
            <w:noWrap/>
            <w:vAlign w:val="bottom"/>
            <w:hideMark/>
          </w:tcPr>
          <w:p w14:paraId="2F8D8758" w14:textId="77777777" w:rsidR="003A494C" w:rsidRPr="008C490B" w:rsidRDefault="003A494C" w:rsidP="005D79E4">
            <w:pPr>
              <w:pStyle w:val="DHHStabletext6pt"/>
              <w:jc w:val="right"/>
              <w:rPr>
                <w:lang w:eastAsia="en-AU"/>
              </w:rPr>
            </w:pPr>
            <w:r w:rsidRPr="008C490B">
              <w:rPr>
                <w:lang w:eastAsia="en-AU"/>
              </w:rPr>
              <w:t>1 (1%)</w:t>
            </w:r>
          </w:p>
        </w:tc>
      </w:tr>
      <w:tr w:rsidR="003A494C" w:rsidRPr="008C490B" w14:paraId="00ADE03E" w14:textId="77777777" w:rsidTr="003A494C">
        <w:trPr>
          <w:trHeight w:val="290"/>
        </w:trPr>
        <w:tc>
          <w:tcPr>
            <w:tcW w:w="3206" w:type="dxa"/>
            <w:shd w:val="clear" w:color="auto" w:fill="auto"/>
            <w:noWrap/>
            <w:vAlign w:val="bottom"/>
            <w:hideMark/>
          </w:tcPr>
          <w:p w14:paraId="57FE51B4" w14:textId="77777777" w:rsidR="003A494C" w:rsidRPr="008C490B" w:rsidRDefault="003A494C" w:rsidP="005D79E4">
            <w:pPr>
              <w:pStyle w:val="DHHStabletext6pt"/>
              <w:rPr>
                <w:lang w:eastAsia="en-AU"/>
              </w:rPr>
            </w:pPr>
            <w:r w:rsidRPr="008C490B">
              <w:rPr>
                <w:lang w:eastAsia="en-AU"/>
              </w:rPr>
              <w:t>Chemical</w:t>
            </w:r>
          </w:p>
        </w:tc>
        <w:tc>
          <w:tcPr>
            <w:tcW w:w="1276" w:type="dxa"/>
            <w:shd w:val="clear" w:color="auto" w:fill="auto"/>
            <w:noWrap/>
            <w:vAlign w:val="bottom"/>
            <w:hideMark/>
          </w:tcPr>
          <w:p w14:paraId="529154C2" w14:textId="77777777" w:rsidR="003A494C" w:rsidRPr="008C490B" w:rsidRDefault="003A494C" w:rsidP="005D79E4">
            <w:pPr>
              <w:pStyle w:val="DHHStabletext6pt"/>
              <w:jc w:val="right"/>
              <w:rPr>
                <w:lang w:eastAsia="en-AU"/>
              </w:rPr>
            </w:pPr>
            <w:r w:rsidRPr="008C490B">
              <w:rPr>
                <w:lang w:eastAsia="en-AU"/>
              </w:rPr>
              <w:t>2 (2%)</w:t>
            </w:r>
          </w:p>
        </w:tc>
        <w:tc>
          <w:tcPr>
            <w:tcW w:w="1276" w:type="dxa"/>
            <w:shd w:val="clear" w:color="auto" w:fill="auto"/>
            <w:noWrap/>
            <w:vAlign w:val="bottom"/>
            <w:hideMark/>
          </w:tcPr>
          <w:p w14:paraId="2C6D85AC" w14:textId="77777777" w:rsidR="003A494C" w:rsidRPr="008C490B" w:rsidRDefault="003A494C" w:rsidP="005D79E4">
            <w:pPr>
              <w:pStyle w:val="DHHStabletext6pt"/>
              <w:jc w:val="right"/>
              <w:rPr>
                <w:lang w:eastAsia="en-AU"/>
              </w:rPr>
            </w:pPr>
            <w:r w:rsidRPr="008C490B">
              <w:rPr>
                <w:lang w:eastAsia="en-AU"/>
              </w:rPr>
              <w:t>4 (5%)</w:t>
            </w:r>
          </w:p>
        </w:tc>
      </w:tr>
      <w:tr w:rsidR="003A494C" w:rsidRPr="008C490B" w14:paraId="60C82470" w14:textId="77777777" w:rsidTr="003A494C">
        <w:trPr>
          <w:trHeight w:val="300"/>
        </w:trPr>
        <w:tc>
          <w:tcPr>
            <w:tcW w:w="3206" w:type="dxa"/>
            <w:shd w:val="clear" w:color="auto" w:fill="auto"/>
            <w:noWrap/>
            <w:vAlign w:val="bottom"/>
            <w:hideMark/>
          </w:tcPr>
          <w:p w14:paraId="29806C50" w14:textId="77777777" w:rsidR="003A494C" w:rsidRPr="008C490B" w:rsidRDefault="003A494C" w:rsidP="005D79E4">
            <w:pPr>
              <w:pStyle w:val="DHHStabletext6pt"/>
              <w:jc w:val="right"/>
              <w:rPr>
                <w:b/>
                <w:bCs/>
                <w:lang w:eastAsia="en-AU"/>
              </w:rPr>
            </w:pPr>
            <w:r w:rsidRPr="008C490B">
              <w:rPr>
                <w:b/>
                <w:bCs/>
                <w:lang w:eastAsia="en-AU"/>
              </w:rPr>
              <w:t>Total</w:t>
            </w:r>
          </w:p>
        </w:tc>
        <w:tc>
          <w:tcPr>
            <w:tcW w:w="1276" w:type="dxa"/>
            <w:shd w:val="clear" w:color="auto" w:fill="auto"/>
            <w:noWrap/>
            <w:vAlign w:val="bottom"/>
            <w:hideMark/>
          </w:tcPr>
          <w:p w14:paraId="3EC7FEF9" w14:textId="77777777" w:rsidR="003A494C" w:rsidRPr="008C490B" w:rsidRDefault="003A494C" w:rsidP="005D79E4">
            <w:pPr>
              <w:pStyle w:val="DHHStabletext6pt"/>
              <w:jc w:val="right"/>
              <w:rPr>
                <w:b/>
                <w:bCs/>
                <w:lang w:eastAsia="en-AU"/>
              </w:rPr>
            </w:pPr>
            <w:r w:rsidRPr="008C490B">
              <w:rPr>
                <w:b/>
                <w:bCs/>
                <w:lang w:eastAsia="en-AU"/>
              </w:rPr>
              <w:t>100</w:t>
            </w:r>
            <w:r>
              <w:rPr>
                <w:b/>
                <w:bCs/>
                <w:lang w:eastAsia="en-AU"/>
              </w:rPr>
              <w:t xml:space="preserve"> (100%)</w:t>
            </w:r>
          </w:p>
        </w:tc>
        <w:tc>
          <w:tcPr>
            <w:tcW w:w="1276" w:type="dxa"/>
            <w:shd w:val="clear" w:color="auto" w:fill="auto"/>
            <w:noWrap/>
            <w:vAlign w:val="bottom"/>
            <w:hideMark/>
          </w:tcPr>
          <w:p w14:paraId="198D677F" w14:textId="77777777" w:rsidR="003A494C" w:rsidRPr="008C490B" w:rsidRDefault="003A494C" w:rsidP="005D79E4">
            <w:pPr>
              <w:pStyle w:val="DHHStabletext6pt"/>
              <w:jc w:val="right"/>
              <w:rPr>
                <w:b/>
                <w:bCs/>
                <w:lang w:eastAsia="en-AU"/>
              </w:rPr>
            </w:pPr>
            <w:r w:rsidRPr="008C490B">
              <w:rPr>
                <w:b/>
                <w:bCs/>
                <w:lang w:eastAsia="en-AU"/>
              </w:rPr>
              <w:t>87</w:t>
            </w:r>
            <w:r>
              <w:rPr>
                <w:b/>
                <w:bCs/>
                <w:lang w:eastAsia="en-AU"/>
              </w:rPr>
              <w:t xml:space="preserve"> (100%)</w:t>
            </w:r>
          </w:p>
        </w:tc>
      </w:tr>
    </w:tbl>
    <w:p w14:paraId="792ACA74" w14:textId="77777777" w:rsidR="003A494C" w:rsidRPr="003A494C" w:rsidRDefault="003A494C" w:rsidP="003A494C">
      <w:pPr>
        <w:pStyle w:val="Heading2"/>
      </w:pPr>
      <w:bookmarkStart w:id="5" w:name="_Toc54087496"/>
      <w:bookmarkStart w:id="6" w:name="_Toc75252995"/>
      <w:r w:rsidRPr="003A494C">
        <w:t>Food safety recalls affecting Victorians</w:t>
      </w:r>
      <w:bookmarkEnd w:id="5"/>
      <w:bookmarkEnd w:id="6"/>
    </w:p>
    <w:p w14:paraId="79A5C850" w14:textId="288F5C79" w:rsidR="003A494C" w:rsidRDefault="003A494C" w:rsidP="003A494C">
      <w:pPr>
        <w:pStyle w:val="DHHSbody"/>
      </w:pPr>
      <w:r>
        <w:t xml:space="preserve">In 2018, 64 food safety recalls directly affected Victoria, representing 64 per cent of the total number coordinated nationally by FSANZ. In 2019 there were 48 recalls that affected Victoria, representing 55 per cent </w:t>
      </w:r>
      <w:r w:rsidRPr="0018234B">
        <w:t>of the total number coordinated by FSANZ</w:t>
      </w:r>
      <w:r>
        <w:t xml:space="preserve"> in that year.   </w:t>
      </w:r>
      <w:r w:rsidRPr="003072C6">
        <w:t xml:space="preserve"> </w:t>
      </w:r>
    </w:p>
    <w:p w14:paraId="68028EC9" w14:textId="77777777" w:rsidR="003A494C" w:rsidRDefault="003A494C" w:rsidP="003A494C">
      <w:pPr>
        <w:pStyle w:val="DHHSbodyaftertablefigure"/>
      </w:pPr>
      <w:r>
        <w:t>Figure 3 shows those recalls affecting Victoria categorised by type. Allergens were the most significant cause of food recall, representing 53 per cent of Victorian recalls in 2018, and 46 per cent in 2019</w:t>
      </w:r>
      <w:r w:rsidRPr="003072C6">
        <w:t>.</w:t>
      </w:r>
    </w:p>
    <w:p w14:paraId="452C9A3F" w14:textId="77777777" w:rsidR="003A494C" w:rsidRDefault="003A494C" w:rsidP="003A494C">
      <w:pPr>
        <w:pStyle w:val="DHHSfigurecaption"/>
      </w:pPr>
      <w:r>
        <w:t xml:space="preserve">Figure 3: </w:t>
      </w:r>
      <w:r w:rsidRPr="002E686D">
        <w:t>Recalls affecting Victoria by type (n)</w:t>
      </w:r>
    </w:p>
    <w:tbl>
      <w:tblPr>
        <w:tblW w:w="6663" w:type="dxa"/>
        <w:tblInd w:w="108" w:type="dxa"/>
        <w:tblLook w:val="04A0" w:firstRow="1" w:lastRow="0" w:firstColumn="1" w:lastColumn="0" w:noHBand="0" w:noVBand="1"/>
      </w:tblPr>
      <w:tblGrid>
        <w:gridCol w:w="4111"/>
        <w:gridCol w:w="1276"/>
        <w:gridCol w:w="1276"/>
      </w:tblGrid>
      <w:tr w:rsidR="003A494C" w:rsidRPr="003A494C" w14:paraId="602F5465" w14:textId="77777777" w:rsidTr="003A494C">
        <w:trPr>
          <w:trHeight w:val="290"/>
          <w:tblHeader/>
        </w:trPr>
        <w:tc>
          <w:tcPr>
            <w:tcW w:w="4111" w:type="dxa"/>
            <w:tcBorders>
              <w:top w:val="nil"/>
              <w:left w:val="nil"/>
              <w:bottom w:val="single" w:sz="4" w:space="0" w:color="A6A6A6"/>
              <w:right w:val="single" w:sz="4" w:space="0" w:color="A6A6A6"/>
            </w:tcBorders>
            <w:shd w:val="clear" w:color="auto" w:fill="201547"/>
            <w:noWrap/>
            <w:vAlign w:val="bottom"/>
            <w:hideMark/>
          </w:tcPr>
          <w:p w14:paraId="5B264BEF" w14:textId="77777777" w:rsidR="003A494C" w:rsidRPr="003A494C" w:rsidRDefault="003A494C" w:rsidP="005D79E4">
            <w:pPr>
              <w:pStyle w:val="DHHStablecolhead"/>
              <w:rPr>
                <w:color w:val="FFFFFF"/>
              </w:rPr>
            </w:pPr>
            <w:r w:rsidRPr="003A494C">
              <w:rPr>
                <w:color w:val="FFFFFF"/>
              </w:rPr>
              <w:t>Victorian recall by type</w:t>
            </w:r>
          </w:p>
        </w:tc>
        <w:tc>
          <w:tcPr>
            <w:tcW w:w="1276" w:type="dxa"/>
            <w:tcBorders>
              <w:top w:val="single" w:sz="4" w:space="0" w:color="A6A6A6"/>
              <w:left w:val="single" w:sz="4" w:space="0" w:color="A6A6A6"/>
              <w:bottom w:val="single" w:sz="4" w:space="0" w:color="A6A6A6"/>
              <w:right w:val="single" w:sz="4" w:space="0" w:color="A6A6A6"/>
            </w:tcBorders>
            <w:shd w:val="clear" w:color="auto" w:fill="201547"/>
            <w:noWrap/>
            <w:vAlign w:val="bottom"/>
            <w:hideMark/>
          </w:tcPr>
          <w:p w14:paraId="673C02FD" w14:textId="77777777" w:rsidR="003A494C" w:rsidRPr="003A494C" w:rsidRDefault="003A494C" w:rsidP="005D79E4">
            <w:pPr>
              <w:pStyle w:val="DHHStablecolhead"/>
              <w:jc w:val="right"/>
              <w:rPr>
                <w:color w:val="FFFFFF"/>
              </w:rPr>
            </w:pPr>
            <w:r w:rsidRPr="003A494C">
              <w:rPr>
                <w:color w:val="FFFFFF"/>
              </w:rPr>
              <w:t>2018</w:t>
            </w:r>
          </w:p>
        </w:tc>
        <w:tc>
          <w:tcPr>
            <w:tcW w:w="1276" w:type="dxa"/>
            <w:tcBorders>
              <w:top w:val="single" w:sz="4" w:space="0" w:color="A6A6A6"/>
              <w:left w:val="single" w:sz="4" w:space="0" w:color="A6A6A6"/>
              <w:bottom w:val="single" w:sz="4" w:space="0" w:color="A6A6A6"/>
              <w:right w:val="single" w:sz="4" w:space="0" w:color="A6A6A6"/>
            </w:tcBorders>
            <w:shd w:val="clear" w:color="auto" w:fill="201547"/>
            <w:noWrap/>
            <w:vAlign w:val="bottom"/>
            <w:hideMark/>
          </w:tcPr>
          <w:p w14:paraId="044B84B9" w14:textId="77777777" w:rsidR="003A494C" w:rsidRPr="003A494C" w:rsidRDefault="003A494C" w:rsidP="005D79E4">
            <w:pPr>
              <w:pStyle w:val="DHHStablecolhead"/>
              <w:jc w:val="right"/>
              <w:rPr>
                <w:color w:val="FFFFFF"/>
              </w:rPr>
            </w:pPr>
            <w:r w:rsidRPr="003A494C">
              <w:rPr>
                <w:color w:val="FFFFFF"/>
              </w:rPr>
              <w:t>2019</w:t>
            </w:r>
          </w:p>
        </w:tc>
      </w:tr>
      <w:tr w:rsidR="003A494C" w:rsidRPr="008C490B" w14:paraId="4D3EAE0E" w14:textId="77777777" w:rsidTr="003A494C">
        <w:trPr>
          <w:trHeight w:val="290"/>
        </w:trPr>
        <w:tc>
          <w:tcPr>
            <w:tcW w:w="4111"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2C58075" w14:textId="77777777" w:rsidR="003A494C" w:rsidRPr="008C490B" w:rsidRDefault="003A494C" w:rsidP="005D79E4">
            <w:pPr>
              <w:pStyle w:val="DHHStabletext6pt"/>
              <w:rPr>
                <w:lang w:eastAsia="en-AU"/>
              </w:rPr>
            </w:pPr>
            <w:r w:rsidRPr="008C490B">
              <w:rPr>
                <w:lang w:eastAsia="en-AU"/>
              </w:rPr>
              <w:t>Allergen</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DDD335" w14:textId="77777777" w:rsidR="003A494C" w:rsidRPr="008C490B" w:rsidRDefault="003A494C" w:rsidP="005D79E4">
            <w:pPr>
              <w:pStyle w:val="DHHStabletext6pt"/>
              <w:jc w:val="right"/>
              <w:rPr>
                <w:lang w:eastAsia="en-AU"/>
              </w:rPr>
            </w:pPr>
            <w:r w:rsidRPr="008C490B">
              <w:rPr>
                <w:lang w:eastAsia="en-AU"/>
              </w:rPr>
              <w:t>34 (53%)</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1FC75C5" w14:textId="77777777" w:rsidR="003A494C" w:rsidRPr="008C490B" w:rsidRDefault="003A494C" w:rsidP="005D79E4">
            <w:pPr>
              <w:pStyle w:val="DHHStabletext6pt"/>
              <w:jc w:val="right"/>
              <w:rPr>
                <w:lang w:eastAsia="en-AU"/>
              </w:rPr>
            </w:pPr>
            <w:r w:rsidRPr="008C490B">
              <w:rPr>
                <w:lang w:eastAsia="en-AU"/>
              </w:rPr>
              <w:t>22 (46%)</w:t>
            </w:r>
          </w:p>
        </w:tc>
      </w:tr>
      <w:tr w:rsidR="003A494C" w:rsidRPr="008C490B" w14:paraId="562F0012" w14:textId="77777777" w:rsidTr="003A494C">
        <w:trPr>
          <w:trHeight w:val="290"/>
        </w:trPr>
        <w:tc>
          <w:tcPr>
            <w:tcW w:w="4111"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8A81E5C" w14:textId="77777777" w:rsidR="003A494C" w:rsidRPr="008C490B" w:rsidRDefault="003A494C" w:rsidP="005D79E4">
            <w:pPr>
              <w:pStyle w:val="DHHStabletext6pt"/>
              <w:rPr>
                <w:lang w:eastAsia="en-AU"/>
              </w:rPr>
            </w:pPr>
            <w:r w:rsidRPr="008C490B">
              <w:rPr>
                <w:lang w:eastAsia="en-AU"/>
              </w:rPr>
              <w:t>Micro</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4A1A701" w14:textId="77777777" w:rsidR="003A494C" w:rsidRPr="008C490B" w:rsidRDefault="003A494C" w:rsidP="005D79E4">
            <w:pPr>
              <w:pStyle w:val="DHHStabletext6pt"/>
              <w:jc w:val="right"/>
              <w:rPr>
                <w:lang w:eastAsia="en-AU"/>
              </w:rPr>
            </w:pPr>
            <w:r w:rsidRPr="008C490B">
              <w:rPr>
                <w:lang w:eastAsia="en-AU"/>
              </w:rPr>
              <w:t>10 (16%)</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890CDAC" w14:textId="77777777" w:rsidR="003A494C" w:rsidRPr="008C490B" w:rsidRDefault="003A494C" w:rsidP="005D79E4">
            <w:pPr>
              <w:pStyle w:val="DHHStabletext6pt"/>
              <w:jc w:val="right"/>
              <w:rPr>
                <w:lang w:eastAsia="en-AU"/>
              </w:rPr>
            </w:pPr>
            <w:r w:rsidRPr="008C490B">
              <w:rPr>
                <w:lang w:eastAsia="en-AU"/>
              </w:rPr>
              <w:t>11 (23%)</w:t>
            </w:r>
          </w:p>
        </w:tc>
      </w:tr>
      <w:tr w:rsidR="003A494C" w:rsidRPr="008C490B" w14:paraId="521CDD1B" w14:textId="77777777" w:rsidTr="003A494C">
        <w:trPr>
          <w:trHeight w:val="290"/>
        </w:trPr>
        <w:tc>
          <w:tcPr>
            <w:tcW w:w="4111"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422A268" w14:textId="77777777" w:rsidR="003A494C" w:rsidRPr="008C490B" w:rsidRDefault="003A494C" w:rsidP="005D79E4">
            <w:pPr>
              <w:pStyle w:val="DHHStabletext6pt"/>
              <w:rPr>
                <w:lang w:eastAsia="en-AU"/>
              </w:rPr>
            </w:pPr>
            <w:r w:rsidRPr="008C490B">
              <w:rPr>
                <w:lang w:eastAsia="en-AU"/>
              </w:rPr>
              <w:t>Foreign Matter</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FBD50E4" w14:textId="77777777" w:rsidR="003A494C" w:rsidRPr="008C490B" w:rsidRDefault="003A494C" w:rsidP="005D79E4">
            <w:pPr>
              <w:pStyle w:val="DHHStabletext6pt"/>
              <w:jc w:val="right"/>
              <w:rPr>
                <w:lang w:eastAsia="en-AU"/>
              </w:rPr>
            </w:pPr>
            <w:r w:rsidRPr="008C490B">
              <w:rPr>
                <w:lang w:eastAsia="en-AU"/>
              </w:rPr>
              <w:t xml:space="preserve">12 (19%) </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D4FDE4" w14:textId="77777777" w:rsidR="003A494C" w:rsidRPr="008C490B" w:rsidRDefault="003A494C" w:rsidP="005D79E4">
            <w:pPr>
              <w:pStyle w:val="DHHStabletext6pt"/>
              <w:jc w:val="right"/>
              <w:rPr>
                <w:lang w:eastAsia="en-AU"/>
              </w:rPr>
            </w:pPr>
            <w:r w:rsidRPr="008C490B">
              <w:rPr>
                <w:lang w:eastAsia="en-AU"/>
              </w:rPr>
              <w:t xml:space="preserve">  4 (8%)</w:t>
            </w:r>
          </w:p>
        </w:tc>
      </w:tr>
      <w:tr w:rsidR="003A494C" w:rsidRPr="008C490B" w14:paraId="279837C2" w14:textId="77777777" w:rsidTr="003A494C">
        <w:trPr>
          <w:trHeight w:val="290"/>
        </w:trPr>
        <w:tc>
          <w:tcPr>
            <w:tcW w:w="4111"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85B4760" w14:textId="77777777" w:rsidR="003A494C" w:rsidRPr="008C490B" w:rsidRDefault="003A494C" w:rsidP="005D79E4">
            <w:pPr>
              <w:pStyle w:val="DHHStabletext6pt"/>
              <w:rPr>
                <w:lang w:eastAsia="en-AU"/>
              </w:rPr>
            </w:pPr>
            <w:r w:rsidRPr="008C490B">
              <w:rPr>
                <w:lang w:eastAsia="en-AU"/>
              </w:rPr>
              <w:t>Biotoxin</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CDFD4D" w14:textId="77777777" w:rsidR="003A494C" w:rsidRPr="008C490B" w:rsidRDefault="003A494C" w:rsidP="005D79E4">
            <w:pPr>
              <w:pStyle w:val="DHHStabletext6pt"/>
              <w:jc w:val="right"/>
              <w:rPr>
                <w:lang w:eastAsia="en-AU"/>
              </w:rPr>
            </w:pPr>
            <w:r w:rsidRPr="008C490B">
              <w:rPr>
                <w:lang w:eastAsia="en-AU"/>
              </w:rPr>
              <w:t xml:space="preserve">  2 (3%)</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97B3B22" w14:textId="77777777" w:rsidR="003A494C" w:rsidRPr="008C490B" w:rsidRDefault="003A494C" w:rsidP="005D79E4">
            <w:pPr>
              <w:pStyle w:val="DHHStabletext6pt"/>
              <w:jc w:val="right"/>
              <w:rPr>
                <w:lang w:eastAsia="en-AU"/>
              </w:rPr>
            </w:pPr>
            <w:r w:rsidRPr="008C490B">
              <w:rPr>
                <w:lang w:eastAsia="en-AU"/>
              </w:rPr>
              <w:t>0</w:t>
            </w:r>
          </w:p>
        </w:tc>
      </w:tr>
      <w:tr w:rsidR="003A494C" w:rsidRPr="008C490B" w14:paraId="480523A6" w14:textId="77777777" w:rsidTr="003A494C">
        <w:trPr>
          <w:trHeight w:val="290"/>
        </w:trPr>
        <w:tc>
          <w:tcPr>
            <w:tcW w:w="4111"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9FCDFE" w14:textId="77777777" w:rsidR="003A494C" w:rsidRPr="008C490B" w:rsidRDefault="003A494C" w:rsidP="005D79E4">
            <w:pPr>
              <w:pStyle w:val="DHHStabletext6pt"/>
              <w:rPr>
                <w:lang w:eastAsia="en-AU"/>
              </w:rPr>
            </w:pPr>
            <w:r w:rsidRPr="008C490B">
              <w:rPr>
                <w:lang w:eastAsia="en-AU"/>
              </w:rPr>
              <w:t xml:space="preserve">Other </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EAE4BD0" w14:textId="77777777" w:rsidR="003A494C" w:rsidRPr="008C490B" w:rsidRDefault="003A494C" w:rsidP="005D79E4">
            <w:pPr>
              <w:pStyle w:val="DHHStabletext6pt"/>
              <w:jc w:val="right"/>
              <w:rPr>
                <w:lang w:eastAsia="en-AU"/>
              </w:rPr>
            </w:pPr>
            <w:r w:rsidRPr="008C490B">
              <w:rPr>
                <w:lang w:eastAsia="en-AU"/>
              </w:rPr>
              <w:t xml:space="preserve">  3 (5%)</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F9F296D" w14:textId="77777777" w:rsidR="003A494C" w:rsidRPr="008C490B" w:rsidRDefault="003A494C" w:rsidP="005D79E4">
            <w:pPr>
              <w:pStyle w:val="DHHStabletext6pt"/>
              <w:jc w:val="right"/>
              <w:rPr>
                <w:lang w:eastAsia="en-AU"/>
              </w:rPr>
            </w:pPr>
            <w:r w:rsidRPr="008C490B">
              <w:rPr>
                <w:lang w:eastAsia="en-AU"/>
              </w:rPr>
              <w:t>10 (21%)</w:t>
            </w:r>
          </w:p>
        </w:tc>
      </w:tr>
      <w:tr w:rsidR="003A494C" w:rsidRPr="008C490B" w14:paraId="05D67674" w14:textId="77777777" w:rsidTr="003A494C">
        <w:trPr>
          <w:trHeight w:val="290"/>
        </w:trPr>
        <w:tc>
          <w:tcPr>
            <w:tcW w:w="4111"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8356443" w14:textId="77777777" w:rsidR="003A494C" w:rsidRPr="008C490B" w:rsidRDefault="003A494C" w:rsidP="005D79E4">
            <w:pPr>
              <w:pStyle w:val="DHHStabletext6pt"/>
              <w:rPr>
                <w:lang w:eastAsia="en-AU"/>
              </w:rPr>
            </w:pPr>
            <w:r w:rsidRPr="008C490B">
              <w:rPr>
                <w:lang w:eastAsia="en-AU"/>
              </w:rPr>
              <w:t>Labelling</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54005C" w14:textId="77777777" w:rsidR="003A494C" w:rsidRPr="008C490B" w:rsidRDefault="003A494C" w:rsidP="005D79E4">
            <w:pPr>
              <w:pStyle w:val="DHHStabletext6pt"/>
              <w:jc w:val="right"/>
              <w:rPr>
                <w:lang w:eastAsia="en-AU"/>
              </w:rPr>
            </w:pPr>
            <w:r w:rsidRPr="008C490B">
              <w:rPr>
                <w:lang w:eastAsia="en-AU"/>
              </w:rPr>
              <w:t xml:space="preserve">  2 (3%)</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89E8EBB" w14:textId="77777777" w:rsidR="003A494C" w:rsidRPr="008C490B" w:rsidRDefault="003A494C" w:rsidP="005D79E4">
            <w:pPr>
              <w:pStyle w:val="DHHStabletext6pt"/>
              <w:jc w:val="right"/>
              <w:rPr>
                <w:lang w:eastAsia="en-AU"/>
              </w:rPr>
            </w:pPr>
            <w:r w:rsidRPr="008C490B">
              <w:rPr>
                <w:lang w:eastAsia="en-AU"/>
              </w:rPr>
              <w:t>0</w:t>
            </w:r>
          </w:p>
        </w:tc>
      </w:tr>
      <w:tr w:rsidR="003A494C" w:rsidRPr="008C490B" w14:paraId="09B8DFEC" w14:textId="77777777" w:rsidTr="003A494C">
        <w:trPr>
          <w:trHeight w:val="290"/>
        </w:trPr>
        <w:tc>
          <w:tcPr>
            <w:tcW w:w="4111"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F8AF472" w14:textId="77777777" w:rsidR="003A494C" w:rsidRPr="008C490B" w:rsidRDefault="003A494C" w:rsidP="005D79E4">
            <w:pPr>
              <w:pStyle w:val="DHHStabletext6pt"/>
              <w:rPr>
                <w:lang w:eastAsia="en-AU"/>
              </w:rPr>
            </w:pPr>
            <w:r w:rsidRPr="008C490B">
              <w:rPr>
                <w:lang w:eastAsia="en-AU"/>
              </w:rPr>
              <w:t>Chemical</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0D064A5" w14:textId="77777777" w:rsidR="003A494C" w:rsidRPr="008C490B" w:rsidRDefault="003A494C" w:rsidP="005D79E4">
            <w:pPr>
              <w:pStyle w:val="DHHStabletext6pt"/>
              <w:jc w:val="right"/>
              <w:rPr>
                <w:lang w:eastAsia="en-AU"/>
              </w:rPr>
            </w:pPr>
            <w:r w:rsidRPr="008C490B">
              <w:rPr>
                <w:lang w:eastAsia="en-AU"/>
              </w:rPr>
              <w:t xml:space="preserve">  1 (</w:t>
            </w:r>
            <w:r>
              <w:rPr>
                <w:lang w:eastAsia="en-AU"/>
              </w:rPr>
              <w:t>1</w:t>
            </w:r>
            <w:r w:rsidRPr="008C490B">
              <w:rPr>
                <w:lang w:eastAsia="en-AU"/>
              </w:rPr>
              <w:t>%)</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5B206BA" w14:textId="77777777" w:rsidR="003A494C" w:rsidRPr="008C490B" w:rsidRDefault="003A494C" w:rsidP="005D79E4">
            <w:pPr>
              <w:pStyle w:val="DHHStabletext6pt"/>
              <w:jc w:val="right"/>
              <w:rPr>
                <w:lang w:eastAsia="en-AU"/>
              </w:rPr>
            </w:pPr>
            <w:r w:rsidRPr="008C490B">
              <w:rPr>
                <w:lang w:eastAsia="en-AU"/>
              </w:rPr>
              <w:t xml:space="preserve">  1 (2%)</w:t>
            </w:r>
          </w:p>
        </w:tc>
      </w:tr>
      <w:tr w:rsidR="003A494C" w:rsidRPr="008C490B" w14:paraId="58305985" w14:textId="77777777" w:rsidTr="003A494C">
        <w:trPr>
          <w:trHeight w:val="300"/>
        </w:trPr>
        <w:tc>
          <w:tcPr>
            <w:tcW w:w="4111"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47305C0" w14:textId="77777777" w:rsidR="003A494C" w:rsidRPr="008C490B" w:rsidRDefault="003A494C" w:rsidP="005D79E4">
            <w:pPr>
              <w:pStyle w:val="DHHStabletext6pt"/>
              <w:rPr>
                <w:b/>
                <w:bCs/>
                <w:lang w:eastAsia="en-AU"/>
              </w:rPr>
            </w:pPr>
            <w:r w:rsidRPr="008C490B">
              <w:rPr>
                <w:b/>
                <w:bCs/>
                <w:lang w:eastAsia="en-AU"/>
              </w:rPr>
              <w:t>Total:</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BB06640" w14:textId="77777777" w:rsidR="003A494C" w:rsidRPr="008C490B" w:rsidRDefault="003A494C" w:rsidP="005D79E4">
            <w:pPr>
              <w:pStyle w:val="DHHStabletext6pt"/>
              <w:jc w:val="right"/>
              <w:rPr>
                <w:b/>
                <w:bCs/>
                <w:lang w:eastAsia="en-AU"/>
              </w:rPr>
            </w:pPr>
            <w:r w:rsidRPr="008C490B">
              <w:rPr>
                <w:b/>
                <w:bCs/>
                <w:lang w:eastAsia="en-AU"/>
              </w:rPr>
              <w:t>64</w:t>
            </w:r>
            <w:r>
              <w:rPr>
                <w:b/>
                <w:bCs/>
                <w:lang w:eastAsia="en-AU"/>
              </w:rPr>
              <w:t xml:space="preserve"> (100%)</w:t>
            </w:r>
          </w:p>
        </w:tc>
        <w:tc>
          <w:tcPr>
            <w:tcW w:w="1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94F7460" w14:textId="77777777" w:rsidR="003A494C" w:rsidRPr="008C490B" w:rsidRDefault="003A494C" w:rsidP="005D79E4">
            <w:pPr>
              <w:pStyle w:val="DHHStabletext6pt"/>
              <w:jc w:val="right"/>
              <w:rPr>
                <w:b/>
                <w:bCs/>
                <w:lang w:eastAsia="en-AU"/>
              </w:rPr>
            </w:pPr>
            <w:r w:rsidRPr="008C490B">
              <w:rPr>
                <w:b/>
                <w:bCs/>
                <w:lang w:eastAsia="en-AU"/>
              </w:rPr>
              <w:t>48</w:t>
            </w:r>
            <w:r>
              <w:rPr>
                <w:b/>
                <w:bCs/>
                <w:lang w:eastAsia="en-AU"/>
              </w:rPr>
              <w:t xml:space="preserve"> (100%)</w:t>
            </w:r>
          </w:p>
        </w:tc>
      </w:tr>
    </w:tbl>
    <w:p w14:paraId="68E503B5" w14:textId="77777777" w:rsidR="003A494C" w:rsidRDefault="003A494C" w:rsidP="003A494C">
      <w:pPr>
        <w:pStyle w:val="Heading2"/>
      </w:pPr>
      <w:bookmarkStart w:id="7" w:name="_Toc54087497"/>
      <w:bookmarkStart w:id="8" w:name="_Toc75252996"/>
      <w:r>
        <w:t>How are food safety recalls initiated?</w:t>
      </w:r>
      <w:bookmarkEnd w:id="7"/>
      <w:bookmarkEnd w:id="8"/>
    </w:p>
    <w:p w14:paraId="34CC21AD" w14:textId="77777777" w:rsidR="003A494C" w:rsidRDefault="003A494C" w:rsidP="003A494C">
      <w:pPr>
        <w:pStyle w:val="DHHSbody"/>
      </w:pPr>
      <w:r>
        <w:t>There a number of situations that can lead to a food safety recall being initiated, some of these are detailed below:</w:t>
      </w:r>
    </w:p>
    <w:p w14:paraId="1634CB68" w14:textId="77777777" w:rsidR="003A494C" w:rsidRPr="00F12CA0" w:rsidRDefault="003A494C" w:rsidP="003A494C">
      <w:pPr>
        <w:pStyle w:val="DHHSbullet1"/>
        <w:rPr>
          <w:b/>
          <w:bCs/>
          <w:color w:val="201547"/>
        </w:rPr>
      </w:pPr>
      <w:r w:rsidRPr="00F12CA0">
        <w:rPr>
          <w:b/>
          <w:bCs/>
          <w:color w:val="201547"/>
        </w:rPr>
        <w:t>A consumer complaint</w:t>
      </w:r>
    </w:p>
    <w:p w14:paraId="026C1B4B" w14:textId="77777777" w:rsidR="003A494C" w:rsidRDefault="003A494C" w:rsidP="003A494C">
      <w:pPr>
        <w:pStyle w:val="DHHSbullet1"/>
        <w:numPr>
          <w:ilvl w:val="0"/>
          <w:numId w:val="0"/>
        </w:numPr>
        <w:ind w:left="284"/>
      </w:pPr>
      <w:r w:rsidRPr="00724502">
        <w:t xml:space="preserve">The Food Safety Unit (FSU) receives </w:t>
      </w:r>
      <w:r>
        <w:t xml:space="preserve">food related </w:t>
      </w:r>
      <w:r w:rsidRPr="00724502">
        <w:t xml:space="preserve">complaints from </w:t>
      </w:r>
      <w:r>
        <w:t xml:space="preserve">the public and from </w:t>
      </w:r>
      <w:r w:rsidRPr="00724502">
        <w:t xml:space="preserve">other </w:t>
      </w:r>
      <w:r>
        <w:t xml:space="preserve">state-based </w:t>
      </w:r>
      <w:r w:rsidRPr="00724502">
        <w:t>enforcement agencies under the home state rule</w:t>
      </w:r>
      <w:r>
        <w:rPr>
          <w:rStyle w:val="FootnoteReference"/>
        </w:rPr>
        <w:footnoteReference w:id="1"/>
      </w:r>
      <w:r w:rsidRPr="00724502">
        <w:t>.</w:t>
      </w:r>
      <w:r>
        <w:t xml:space="preserve"> </w:t>
      </w:r>
      <w:r w:rsidRPr="00724502">
        <w:t>The complaints are assessed</w:t>
      </w:r>
      <w:r>
        <w:t xml:space="preserve">, and </w:t>
      </w:r>
      <w:r w:rsidRPr="00724502">
        <w:t xml:space="preserve">on most occasions referred to the </w:t>
      </w:r>
      <w:r>
        <w:t xml:space="preserve">responsible </w:t>
      </w:r>
      <w:r w:rsidRPr="00724502">
        <w:t>registering authority</w:t>
      </w:r>
      <w:r>
        <w:rPr>
          <w:rStyle w:val="FootnoteReference"/>
        </w:rPr>
        <w:footnoteReference w:id="2"/>
      </w:r>
      <w:r w:rsidRPr="00724502">
        <w:t xml:space="preserve"> for follow up with the manufacturer or importer.</w:t>
      </w:r>
    </w:p>
    <w:p w14:paraId="085FBCCE" w14:textId="5F02131F" w:rsidR="003A494C" w:rsidRDefault="003A494C" w:rsidP="003A494C">
      <w:pPr>
        <w:pStyle w:val="DHHSbullet1"/>
        <w:numPr>
          <w:ilvl w:val="0"/>
          <w:numId w:val="0"/>
        </w:numPr>
        <w:spacing w:before="120"/>
        <w:ind w:left="284"/>
      </w:pPr>
      <w:r>
        <w:t xml:space="preserve">Example: </w:t>
      </w:r>
      <w:r w:rsidRPr="00472C29">
        <w:t>A consumer complained after finding foreign matter, in this case glass, in a</w:t>
      </w:r>
      <w:r>
        <w:t xml:space="preserve">n imported </w:t>
      </w:r>
      <w:r w:rsidRPr="00472C29">
        <w:t xml:space="preserve">nut product purchased at a local store. </w:t>
      </w:r>
      <w:r>
        <w:t>Following an investigation by the recall sponsor it was determined that there was a risk of glass being present in other packs of the same product too</w:t>
      </w:r>
      <w:r w:rsidR="0062297A">
        <w:t xml:space="preserve">.  As </w:t>
      </w:r>
      <w:r>
        <w:t>a result</w:t>
      </w:r>
      <w:r w:rsidR="00127A7E">
        <w:t>,</w:t>
      </w:r>
      <w:r>
        <w:t xml:space="preserve"> t</w:t>
      </w:r>
      <w:r w:rsidRPr="00472C29">
        <w:t>he product was recalled nationally.</w:t>
      </w:r>
    </w:p>
    <w:p w14:paraId="5BDAD2EC" w14:textId="77777777" w:rsidR="003A494C" w:rsidRPr="00C131DF" w:rsidRDefault="003A494C" w:rsidP="003A494C">
      <w:pPr>
        <w:pStyle w:val="DHHSbullet1"/>
        <w:rPr>
          <w:b/>
          <w:bCs/>
          <w:color w:val="201547"/>
        </w:rPr>
      </w:pPr>
      <w:r w:rsidRPr="00C131DF">
        <w:rPr>
          <w:b/>
          <w:bCs/>
          <w:color w:val="201547"/>
        </w:rPr>
        <w:t>A food manufacturer</w:t>
      </w:r>
    </w:p>
    <w:p w14:paraId="74DA9F62" w14:textId="6DA46CC4" w:rsidR="003A494C" w:rsidRPr="00F12CA0" w:rsidRDefault="003A494C" w:rsidP="003A494C">
      <w:pPr>
        <w:pStyle w:val="DHHSbullet1"/>
        <w:numPr>
          <w:ilvl w:val="0"/>
          <w:numId w:val="0"/>
        </w:numPr>
        <w:ind w:left="284"/>
      </w:pPr>
      <w:r w:rsidRPr="00F12CA0">
        <w:t xml:space="preserve">In some cases, a food manufacturer’s internal testing program can identify a problem with a product that has already been </w:t>
      </w:r>
      <w:r w:rsidR="00A0139C">
        <w:t>distributed</w:t>
      </w:r>
      <w:r w:rsidRPr="00F12CA0">
        <w:t xml:space="preserve"> for sale. A food manufacturer may become aware of a contamination event that took place during manufacture or be notified by one of their ingredient suppliers that an ingredient they have used may have been unsafe. In many cases the food manufacturer or importer will begin a food safety recall themselves after discovering a problem with a specific batch of product.</w:t>
      </w:r>
    </w:p>
    <w:p w14:paraId="02216698" w14:textId="77777777" w:rsidR="003A494C" w:rsidRPr="00F12CA0" w:rsidRDefault="003A494C" w:rsidP="003A494C">
      <w:pPr>
        <w:pStyle w:val="DHHSbullet1"/>
        <w:numPr>
          <w:ilvl w:val="0"/>
          <w:numId w:val="0"/>
        </w:numPr>
        <w:spacing w:before="120"/>
        <w:ind w:left="284"/>
      </w:pPr>
      <w:r w:rsidRPr="00F12CA0">
        <w:t xml:space="preserve">Example: A dairy manufacturer’s internal checks determined that for a specific batch of product, they could not prove that the pasteurisation process had been effective at removing pathogenic bacteria which could potentially have been present in the raw milk. As a precaution the manufacturer conducted a recall of the product batch concerned.  </w:t>
      </w:r>
    </w:p>
    <w:p w14:paraId="56698F96" w14:textId="77777777" w:rsidR="003A494C" w:rsidRPr="00C131DF" w:rsidRDefault="003A494C" w:rsidP="003A494C">
      <w:pPr>
        <w:pStyle w:val="DHHSbullet1"/>
        <w:rPr>
          <w:b/>
          <w:bCs/>
          <w:color w:val="201547"/>
        </w:rPr>
      </w:pPr>
      <w:r w:rsidRPr="00C131DF">
        <w:rPr>
          <w:b/>
          <w:bCs/>
          <w:color w:val="201547"/>
        </w:rPr>
        <w:t>A regulator’s testing program</w:t>
      </w:r>
    </w:p>
    <w:p w14:paraId="2AB65A71" w14:textId="77777777" w:rsidR="003A494C" w:rsidRDefault="003A494C" w:rsidP="003A494C">
      <w:pPr>
        <w:pStyle w:val="DHHSbullet1"/>
        <w:numPr>
          <w:ilvl w:val="0"/>
          <w:numId w:val="0"/>
        </w:numPr>
        <w:ind w:left="284"/>
      </w:pPr>
      <w:r>
        <w:t>Food regulators and registration authorities conduct routine surveillance testing of food products in the marketplace. Such testing programs can sometimes lead to food safety recalls being conducted.</w:t>
      </w:r>
    </w:p>
    <w:p w14:paraId="30B86F94" w14:textId="512AB9A2" w:rsidR="003A494C" w:rsidRDefault="003A494C" w:rsidP="003A494C">
      <w:pPr>
        <w:pStyle w:val="DHHSbullet1"/>
        <w:numPr>
          <w:ilvl w:val="0"/>
          <w:numId w:val="0"/>
        </w:numPr>
        <w:ind w:left="284"/>
      </w:pPr>
      <w:r w:rsidRPr="00724502">
        <w:t xml:space="preserve">Although most food safety recalls are initiated by the food business who produced or imported the product, </w:t>
      </w:r>
      <w:r w:rsidR="00A0139C">
        <w:t xml:space="preserve">the department </w:t>
      </w:r>
      <w:proofErr w:type="gramStart"/>
      <w:r w:rsidR="00A0139C">
        <w:t xml:space="preserve">has </w:t>
      </w:r>
      <w:r w:rsidRPr="00724502">
        <w:t xml:space="preserve"> powers</w:t>
      </w:r>
      <w:proofErr w:type="gramEnd"/>
      <w:r w:rsidRPr="00724502">
        <w:t xml:space="preserve"> under the </w:t>
      </w:r>
      <w:r>
        <w:t xml:space="preserve">Victorian </w:t>
      </w:r>
      <w:r w:rsidRPr="00503681">
        <w:rPr>
          <w:i/>
          <w:iCs/>
        </w:rPr>
        <w:t>Food Act 1984</w:t>
      </w:r>
      <w:r w:rsidRPr="00724502">
        <w:t xml:space="preserve"> to order a Victorian food business to conduct a food safety recall if </w:t>
      </w:r>
      <w:r>
        <w:t xml:space="preserve">required. </w:t>
      </w:r>
    </w:p>
    <w:p w14:paraId="2E9D4208" w14:textId="77777777" w:rsidR="003A494C" w:rsidRPr="00C131DF" w:rsidRDefault="003A494C" w:rsidP="003A494C">
      <w:pPr>
        <w:pStyle w:val="DHHSbullet1"/>
        <w:rPr>
          <w:b/>
          <w:bCs/>
          <w:color w:val="201547"/>
        </w:rPr>
      </w:pPr>
      <w:r w:rsidRPr="00C131DF">
        <w:rPr>
          <w:b/>
          <w:bCs/>
          <w:color w:val="201547"/>
        </w:rPr>
        <w:t>A reported food poisoning outbreak</w:t>
      </w:r>
    </w:p>
    <w:p w14:paraId="61FAE866" w14:textId="77777777" w:rsidR="003A494C" w:rsidRDefault="003A494C" w:rsidP="003A494C">
      <w:pPr>
        <w:pStyle w:val="DHHSbullet1"/>
        <w:numPr>
          <w:ilvl w:val="0"/>
          <w:numId w:val="0"/>
        </w:numPr>
        <w:ind w:left="284"/>
      </w:pPr>
      <w:r>
        <w:t>The Food Safety Unit is advised of any food poisoning outbreaks linked to Victorian businesses. If packaged food is identified as a likely source, an investigation is conducted by the relevant registration authority. In some cases, this can lead to a food safety recall.</w:t>
      </w:r>
    </w:p>
    <w:p w14:paraId="71B2736F" w14:textId="1A0E5E7F" w:rsidR="003A494C" w:rsidRDefault="003A494C" w:rsidP="003A494C">
      <w:pPr>
        <w:pStyle w:val="DHHSbullet1"/>
        <w:numPr>
          <w:ilvl w:val="0"/>
          <w:numId w:val="0"/>
        </w:numPr>
        <w:spacing w:before="120"/>
        <w:ind w:left="284"/>
      </w:pPr>
      <w:r>
        <w:t xml:space="preserve">Example: </w:t>
      </w:r>
      <w:r w:rsidRPr="004A39EE">
        <w:t xml:space="preserve">Following over 50 cases of food poisoning related to </w:t>
      </w:r>
      <w:r w:rsidRPr="00503681">
        <w:rPr>
          <w:i/>
          <w:iCs/>
        </w:rPr>
        <w:t>Salmonella</w:t>
      </w:r>
      <w:r>
        <w:t xml:space="preserve"> nationally</w:t>
      </w:r>
      <w:r w:rsidRPr="004A39EE">
        <w:t xml:space="preserve">, an investigation identified that the most likely cause was a manufacturer of frozen meals in Victoria who supplied several national retailers. The company voluntarily recalled an extensive range of </w:t>
      </w:r>
      <w:proofErr w:type="gramStart"/>
      <w:r w:rsidR="00A0139C">
        <w:t xml:space="preserve">its </w:t>
      </w:r>
      <w:r w:rsidRPr="004A39EE">
        <w:t xml:space="preserve"> products</w:t>
      </w:r>
      <w:proofErr w:type="gramEnd"/>
      <w:r w:rsidRPr="004A39EE">
        <w:t xml:space="preserve"> from the Australian market and worked with </w:t>
      </w:r>
      <w:r w:rsidR="00A0139C">
        <w:t xml:space="preserve">its </w:t>
      </w:r>
      <w:r>
        <w:t xml:space="preserve"> registration authority </w:t>
      </w:r>
      <w:r w:rsidRPr="004A39EE">
        <w:t xml:space="preserve">to </w:t>
      </w:r>
      <w:r>
        <w:t xml:space="preserve">ensure that </w:t>
      </w:r>
      <w:r w:rsidR="00A0139C">
        <w:t xml:space="preserve">its </w:t>
      </w:r>
      <w:r w:rsidRPr="004A39EE">
        <w:t xml:space="preserve"> internal food safety controls</w:t>
      </w:r>
      <w:r>
        <w:t xml:space="preserve"> were improved</w:t>
      </w:r>
      <w:r w:rsidRPr="004A39EE">
        <w:t>.</w:t>
      </w:r>
    </w:p>
    <w:p w14:paraId="6603561E" w14:textId="77777777" w:rsidR="003A494C" w:rsidRPr="00C131DF" w:rsidRDefault="003A494C" w:rsidP="003A494C">
      <w:pPr>
        <w:pStyle w:val="DHHSbullet1"/>
        <w:rPr>
          <w:b/>
          <w:bCs/>
          <w:color w:val="201547"/>
        </w:rPr>
      </w:pPr>
      <w:r w:rsidRPr="00C131DF">
        <w:rPr>
          <w:b/>
          <w:bCs/>
          <w:color w:val="201547"/>
        </w:rPr>
        <w:t>Reported case of anaphylaxis linked to packaged food</w:t>
      </w:r>
    </w:p>
    <w:p w14:paraId="290BB336" w14:textId="344BDF24" w:rsidR="003A494C" w:rsidRDefault="003A494C" w:rsidP="003A494C">
      <w:pPr>
        <w:pStyle w:val="DHHSbullet1lastline"/>
        <w:numPr>
          <w:ilvl w:val="0"/>
          <w:numId w:val="0"/>
        </w:numPr>
        <w:ind w:left="284"/>
      </w:pPr>
      <w:r>
        <w:t xml:space="preserve">Food safety recalls can sometimes be initiated following a reported case of anaphylaxis through the mandatory Victorian anaphylaxis </w:t>
      </w:r>
      <w:proofErr w:type="gramStart"/>
      <w:r w:rsidR="00A0139C">
        <w:t xml:space="preserve">notification </w:t>
      </w:r>
      <w:r>
        <w:t xml:space="preserve"> scheme</w:t>
      </w:r>
      <w:proofErr w:type="gramEnd"/>
      <w:r>
        <w:t>. This is discussed in more detail in the following section.</w:t>
      </w:r>
    </w:p>
    <w:p w14:paraId="40E6F130" w14:textId="5DBC39F9" w:rsidR="003A494C" w:rsidRDefault="003A494C" w:rsidP="003A494C">
      <w:pPr>
        <w:pStyle w:val="DHHSbody"/>
      </w:pPr>
      <w:r>
        <w:t xml:space="preserve">The decision to recall a food product normally follows a detailed investigation by the recall sponsor to determine the nature and extent of the food safety risk. This includes identifying and documenting the specific retail products implicated, how much product is affected, and where </w:t>
      </w:r>
      <w:r w:rsidR="00DF2735">
        <w:t xml:space="preserve">to where </w:t>
      </w:r>
      <w:r>
        <w:t xml:space="preserve">that product has been </w:t>
      </w:r>
      <w:r w:rsidR="00DF2735">
        <w:t>distributed</w:t>
      </w:r>
      <w:r>
        <w:t>. This information must be provided to FSANZ by the recall sponsor at the start of the recall process.</w:t>
      </w:r>
    </w:p>
    <w:p w14:paraId="76BF9EB8" w14:textId="024A5AA7" w:rsidR="003A494C" w:rsidRDefault="003A494C" w:rsidP="003A494C">
      <w:pPr>
        <w:pStyle w:val="DHHSbody"/>
      </w:pPr>
      <w:r>
        <w:t>After the recall has been completed the recall</w:t>
      </w:r>
      <w:r w:rsidRPr="004A39EE">
        <w:t xml:space="preserve"> sponsor</w:t>
      </w:r>
      <w:r>
        <w:t xml:space="preserve"> </w:t>
      </w:r>
      <w:r w:rsidRPr="004A39EE">
        <w:t>ha</w:t>
      </w:r>
      <w:r>
        <w:t xml:space="preserve">s an </w:t>
      </w:r>
      <w:r w:rsidRPr="004A39EE">
        <w:t xml:space="preserve">obligation to </w:t>
      </w:r>
      <w:r w:rsidR="00127A7E">
        <w:t>‘</w:t>
      </w:r>
      <w:r w:rsidR="00DF2735">
        <w:t>reset</w:t>
      </w:r>
      <w:r w:rsidR="00127A7E">
        <w:t>’</w:t>
      </w:r>
      <w:r w:rsidR="00DF2735">
        <w:t xml:space="preserve"> and </w:t>
      </w:r>
      <w:r w:rsidRPr="004A39EE">
        <w:t xml:space="preserve">ensure </w:t>
      </w:r>
      <w:r>
        <w:t>that any</w:t>
      </w:r>
      <w:r w:rsidRPr="004A39EE">
        <w:t xml:space="preserve"> food they sell is both safe and suitable for human consumption. </w:t>
      </w:r>
    </w:p>
    <w:p w14:paraId="6CF42142" w14:textId="4B2ADDE7" w:rsidR="00354E7A" w:rsidRPr="00ED2BEA" w:rsidRDefault="00187469" w:rsidP="003A494C">
      <w:pPr>
        <w:pStyle w:val="DHHSbody"/>
      </w:pPr>
      <w:r>
        <w:rPr>
          <w:noProof/>
        </w:rPr>
        <w:drawing>
          <wp:inline distT="0" distB="0" distL="0" distR="0" wp14:anchorId="3C257777" wp14:editId="06F048F0">
            <wp:extent cx="5022850" cy="3314700"/>
            <wp:effectExtent l="0" t="0" r="0" b="0"/>
            <wp:docPr id="2" name="Picture 2" descr="Recalls manufacturing &amp; state_2018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alls manufacturing &amp; state_2018 20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2850" cy="3314700"/>
                    </a:xfrm>
                    <a:prstGeom prst="rect">
                      <a:avLst/>
                    </a:prstGeom>
                    <a:noFill/>
                    <a:ln>
                      <a:noFill/>
                    </a:ln>
                  </pic:spPr>
                </pic:pic>
              </a:graphicData>
            </a:graphic>
          </wp:inline>
        </w:drawing>
      </w:r>
    </w:p>
    <w:p w14:paraId="3038E258" w14:textId="77777777" w:rsidR="003A494C" w:rsidRPr="004E1EDE" w:rsidRDefault="003A494C" w:rsidP="003A494C">
      <w:pPr>
        <w:pStyle w:val="Heading2"/>
      </w:pPr>
      <w:bookmarkStart w:id="9" w:name="_Toc54087498"/>
      <w:bookmarkStart w:id="10" w:name="_Toc75252997"/>
      <w:r>
        <w:t xml:space="preserve">Victorian recalls triggered by the </w:t>
      </w:r>
      <w:r w:rsidRPr="00A36FD8">
        <w:t xml:space="preserve">Victorian </w:t>
      </w:r>
      <w:r>
        <w:t>a</w:t>
      </w:r>
      <w:r w:rsidRPr="00A36FD8">
        <w:t>naphylaxis reporting scheme</w:t>
      </w:r>
      <w:bookmarkEnd w:id="9"/>
      <w:bookmarkEnd w:id="10"/>
      <w:r>
        <w:t xml:space="preserve"> </w:t>
      </w:r>
    </w:p>
    <w:p w14:paraId="11501A38" w14:textId="77777777" w:rsidR="003A494C" w:rsidRDefault="003A494C" w:rsidP="003A494C">
      <w:pPr>
        <w:pStyle w:val="DHHSbody"/>
      </w:pPr>
      <w:r w:rsidRPr="00A36FD8">
        <w:t xml:space="preserve">Under the </w:t>
      </w:r>
      <w:r w:rsidRPr="00ED2BEA">
        <w:rPr>
          <w:i/>
          <w:iCs/>
        </w:rPr>
        <w:t>Public Health and Wellbeing Act 2008</w:t>
      </w:r>
      <w:r w:rsidRPr="00A36FD8">
        <w:t xml:space="preserve">, </w:t>
      </w:r>
      <w:r>
        <w:t xml:space="preserve">Victorian </w:t>
      </w:r>
      <w:r w:rsidRPr="00A36FD8">
        <w:t>anaphylaxis reporting bodies (hospitals) are required to notify the department when a registered medical practitioner has reasonable grounds to believe that a person presenting for treatment to the hospital has anaphylaxis.</w:t>
      </w:r>
      <w:r>
        <w:t xml:space="preserve"> The purpose of the reporting requirement is to allow for a timely investigation, particularly if the case involves packaged food that may need to be recalled. In 2018, one reported case triggered a recall, in 2019 two recalls were triggered by anaphylaxis investigations.</w:t>
      </w:r>
    </w:p>
    <w:p w14:paraId="490A9E6D" w14:textId="79846206" w:rsidR="003A494C" w:rsidRPr="00ED2BEA" w:rsidRDefault="003A494C" w:rsidP="003A494C">
      <w:pPr>
        <w:pStyle w:val="Heading2"/>
      </w:pPr>
      <w:bookmarkStart w:id="11" w:name="_Toc54087499"/>
      <w:bookmarkStart w:id="12" w:name="_Toc75252998"/>
      <w:r w:rsidRPr="00ED2BEA">
        <w:t xml:space="preserve">Allergen related recalls </w:t>
      </w:r>
      <w:r w:rsidR="00DF2735">
        <w:t xml:space="preserve">of food produced or imported into </w:t>
      </w:r>
      <w:r w:rsidRPr="00ED2BEA">
        <w:t xml:space="preserve"> Victoria</w:t>
      </w:r>
      <w:bookmarkEnd w:id="11"/>
      <w:bookmarkEnd w:id="12"/>
    </w:p>
    <w:p w14:paraId="376C8B66" w14:textId="4EF36D3F" w:rsidR="003A494C" w:rsidRDefault="003A494C" w:rsidP="003A494C">
      <w:pPr>
        <w:pStyle w:val="DHHSbody"/>
      </w:pPr>
      <w:r>
        <w:t xml:space="preserve">There were 22 recalls relating to undeclared allergens in 2019 that </w:t>
      </w:r>
      <w:r w:rsidR="00DF2735">
        <w:t xml:space="preserve">involved food produced in Victoria or imported into </w:t>
      </w:r>
      <w:r>
        <w:t xml:space="preserve"> Victoria</w:t>
      </w:r>
      <w:r w:rsidR="00DF2735">
        <w:t xml:space="preserve"> from overseas</w:t>
      </w:r>
      <w:r w:rsidRPr="003072C6">
        <w:t xml:space="preserve">. </w:t>
      </w:r>
      <w:r>
        <w:t xml:space="preserve">Figure 4 shows how many of these recalls involved Victorian manufacturers or </w:t>
      </w:r>
      <w:r w:rsidR="00DF2735">
        <w:t xml:space="preserve">imported </w:t>
      </w:r>
      <w:r>
        <w:t xml:space="preserve">foods. </w:t>
      </w:r>
    </w:p>
    <w:p w14:paraId="5A2C8CB0" w14:textId="6BB2E586" w:rsidR="003A494C" w:rsidRPr="001F15A3" w:rsidRDefault="003A494C" w:rsidP="003A494C">
      <w:pPr>
        <w:pStyle w:val="DHHSfigurecaption"/>
      </w:pPr>
      <w:r>
        <w:t>Figure</w:t>
      </w:r>
      <w:r w:rsidRPr="001F15A3">
        <w:t xml:space="preserve"> </w:t>
      </w:r>
      <w:r>
        <w:t>4:</w:t>
      </w:r>
      <w:r w:rsidRPr="001F15A3">
        <w:t xml:space="preserve"> </w:t>
      </w:r>
      <w:r>
        <w:t xml:space="preserve">Origin of allergen recalls </w:t>
      </w:r>
    </w:p>
    <w:tbl>
      <w:tblPr>
        <w:tblW w:w="360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19"/>
        <w:gridCol w:w="663"/>
      </w:tblGrid>
      <w:tr w:rsidR="003A494C" w:rsidRPr="003A494C" w14:paraId="7DE9A3D6" w14:textId="77777777" w:rsidTr="003A494C">
        <w:trPr>
          <w:trHeight w:val="290"/>
        </w:trPr>
        <w:tc>
          <w:tcPr>
            <w:tcW w:w="3119" w:type="dxa"/>
            <w:shd w:val="clear" w:color="auto" w:fill="201547"/>
            <w:noWrap/>
            <w:vAlign w:val="bottom"/>
            <w:hideMark/>
          </w:tcPr>
          <w:p w14:paraId="7A1E2476" w14:textId="77777777" w:rsidR="003A494C" w:rsidRPr="003A494C" w:rsidRDefault="003A494C" w:rsidP="005D79E4">
            <w:pPr>
              <w:pStyle w:val="DHHStablecolhead"/>
              <w:rPr>
                <w:color w:val="FFFFFF"/>
                <w:lang w:eastAsia="en-AU"/>
              </w:rPr>
            </w:pPr>
            <w:r w:rsidRPr="003A494C">
              <w:rPr>
                <w:color w:val="FFFFFF"/>
                <w:lang w:eastAsia="en-AU"/>
              </w:rPr>
              <w:t>Origin of allergen recalls</w:t>
            </w:r>
          </w:p>
        </w:tc>
        <w:tc>
          <w:tcPr>
            <w:tcW w:w="481" w:type="dxa"/>
            <w:shd w:val="clear" w:color="auto" w:fill="201547"/>
            <w:noWrap/>
            <w:vAlign w:val="bottom"/>
            <w:hideMark/>
          </w:tcPr>
          <w:p w14:paraId="7169AB9D" w14:textId="77777777" w:rsidR="003A494C" w:rsidRPr="003A494C" w:rsidRDefault="003A494C" w:rsidP="005D79E4">
            <w:pPr>
              <w:pStyle w:val="DHHStablecolhead"/>
              <w:rPr>
                <w:rFonts w:ascii="Calibri" w:hAnsi="Calibri" w:cs="Calibri"/>
                <w:color w:val="FFFFFF"/>
                <w:sz w:val="22"/>
                <w:szCs w:val="22"/>
                <w:lang w:eastAsia="en-AU"/>
              </w:rPr>
            </w:pPr>
            <w:r w:rsidRPr="003A494C">
              <w:rPr>
                <w:rFonts w:ascii="Calibri" w:hAnsi="Calibri" w:cs="Calibri"/>
                <w:color w:val="FFFFFF"/>
                <w:sz w:val="22"/>
                <w:szCs w:val="22"/>
                <w:lang w:eastAsia="en-AU"/>
              </w:rPr>
              <w:t>2019</w:t>
            </w:r>
          </w:p>
        </w:tc>
      </w:tr>
      <w:tr w:rsidR="003A494C" w:rsidRPr="00657BA0" w14:paraId="3AA36611" w14:textId="77777777" w:rsidTr="003A494C">
        <w:trPr>
          <w:trHeight w:val="290"/>
        </w:trPr>
        <w:tc>
          <w:tcPr>
            <w:tcW w:w="3119" w:type="dxa"/>
            <w:shd w:val="clear" w:color="auto" w:fill="auto"/>
            <w:noWrap/>
            <w:vAlign w:val="bottom"/>
            <w:hideMark/>
          </w:tcPr>
          <w:p w14:paraId="073F480D" w14:textId="77777777" w:rsidR="003A494C" w:rsidRPr="00657BA0" w:rsidRDefault="003A494C" w:rsidP="005D79E4">
            <w:pPr>
              <w:pStyle w:val="DHHStabletext6pt"/>
              <w:rPr>
                <w:lang w:eastAsia="en-AU"/>
              </w:rPr>
            </w:pPr>
            <w:r w:rsidRPr="00657BA0">
              <w:rPr>
                <w:lang w:eastAsia="en-AU"/>
              </w:rPr>
              <w:t xml:space="preserve">Victorian </w:t>
            </w:r>
            <w:r>
              <w:rPr>
                <w:lang w:eastAsia="en-AU"/>
              </w:rPr>
              <w:t xml:space="preserve">food </w:t>
            </w:r>
            <w:r w:rsidRPr="00657BA0">
              <w:rPr>
                <w:lang w:eastAsia="en-AU"/>
              </w:rPr>
              <w:t>manufacturer (n)</w:t>
            </w:r>
          </w:p>
        </w:tc>
        <w:tc>
          <w:tcPr>
            <w:tcW w:w="481" w:type="dxa"/>
            <w:shd w:val="clear" w:color="auto" w:fill="auto"/>
            <w:noWrap/>
            <w:vAlign w:val="bottom"/>
            <w:hideMark/>
          </w:tcPr>
          <w:p w14:paraId="21BBBF37" w14:textId="77777777" w:rsidR="003A494C" w:rsidRPr="00657BA0" w:rsidRDefault="003A494C" w:rsidP="005D79E4">
            <w:pPr>
              <w:pStyle w:val="DHHStabletext6pt"/>
              <w:jc w:val="right"/>
              <w:rPr>
                <w:lang w:eastAsia="en-AU"/>
              </w:rPr>
            </w:pPr>
            <w:r>
              <w:rPr>
                <w:lang w:eastAsia="en-AU"/>
              </w:rPr>
              <w:t>9</w:t>
            </w:r>
          </w:p>
        </w:tc>
      </w:tr>
      <w:tr w:rsidR="003A494C" w:rsidRPr="00657BA0" w14:paraId="34D5E989" w14:textId="77777777" w:rsidTr="003A494C">
        <w:trPr>
          <w:trHeight w:val="290"/>
        </w:trPr>
        <w:tc>
          <w:tcPr>
            <w:tcW w:w="3119" w:type="dxa"/>
            <w:shd w:val="clear" w:color="auto" w:fill="auto"/>
            <w:noWrap/>
            <w:vAlign w:val="bottom"/>
            <w:hideMark/>
          </w:tcPr>
          <w:p w14:paraId="298F5FC9" w14:textId="77777777" w:rsidR="003A494C" w:rsidRPr="00657BA0" w:rsidRDefault="003A494C" w:rsidP="005D79E4">
            <w:pPr>
              <w:pStyle w:val="DHHStabletext6pt"/>
              <w:rPr>
                <w:lang w:eastAsia="en-AU"/>
              </w:rPr>
            </w:pPr>
            <w:r w:rsidRPr="00657BA0">
              <w:rPr>
                <w:lang w:eastAsia="en-AU"/>
              </w:rPr>
              <w:t xml:space="preserve">Imported </w:t>
            </w:r>
            <w:r>
              <w:rPr>
                <w:lang w:eastAsia="en-AU"/>
              </w:rPr>
              <w:t xml:space="preserve">food </w:t>
            </w:r>
            <w:r w:rsidRPr="00657BA0">
              <w:rPr>
                <w:lang w:eastAsia="en-AU"/>
              </w:rPr>
              <w:t>(n)</w:t>
            </w:r>
          </w:p>
        </w:tc>
        <w:tc>
          <w:tcPr>
            <w:tcW w:w="481" w:type="dxa"/>
            <w:shd w:val="clear" w:color="auto" w:fill="auto"/>
            <w:noWrap/>
            <w:vAlign w:val="bottom"/>
            <w:hideMark/>
          </w:tcPr>
          <w:p w14:paraId="7C5A720A" w14:textId="77777777" w:rsidR="003A494C" w:rsidRPr="00657BA0" w:rsidRDefault="003A494C" w:rsidP="005D79E4">
            <w:pPr>
              <w:pStyle w:val="DHHStabletext6pt"/>
              <w:jc w:val="right"/>
              <w:rPr>
                <w:lang w:eastAsia="en-AU"/>
              </w:rPr>
            </w:pPr>
            <w:r w:rsidRPr="00657BA0">
              <w:rPr>
                <w:lang w:eastAsia="en-AU"/>
              </w:rPr>
              <w:t>4</w:t>
            </w:r>
          </w:p>
        </w:tc>
      </w:tr>
    </w:tbl>
    <w:p w14:paraId="0D6D0902" w14:textId="77777777" w:rsidR="003A494C" w:rsidRDefault="003A494C" w:rsidP="003A494C">
      <w:pPr>
        <w:pStyle w:val="DHHSbodyaftertablefigure"/>
      </w:pPr>
      <w:r>
        <w:t>Figure 5 shows some of the trends identified in the Victorian recalls for 2019. The most significant trends involved the undeclared presence of dairy, gluten, peanuts or tree nuts.</w:t>
      </w:r>
    </w:p>
    <w:p w14:paraId="2AFF5C35" w14:textId="491C2523" w:rsidR="003A494C" w:rsidRPr="001F15A3" w:rsidRDefault="003A494C" w:rsidP="003A494C">
      <w:pPr>
        <w:pStyle w:val="DHHSfigurecaption"/>
      </w:pPr>
      <w:r>
        <w:t xml:space="preserve"> Figure</w:t>
      </w:r>
      <w:r w:rsidRPr="001F15A3">
        <w:t xml:space="preserve"> </w:t>
      </w:r>
      <w:r>
        <w:t>5</w:t>
      </w:r>
      <w:r w:rsidRPr="001F15A3">
        <w:t xml:space="preserve">: </w:t>
      </w:r>
      <w:bookmarkStart w:id="13" w:name="_Hlk49263102"/>
      <w:r>
        <w:t xml:space="preserve">Trends in food safety recalls </w:t>
      </w:r>
      <w:r w:rsidR="00DF2735">
        <w:t>(</w:t>
      </w:r>
      <w:r>
        <w:t>Victoria</w:t>
      </w:r>
      <w:r w:rsidR="00DF2735">
        <w:t>)</w:t>
      </w:r>
      <w:r>
        <w:t xml:space="preserve"> in 2019</w:t>
      </w:r>
      <w:bookmarkEnd w:id="13"/>
    </w:p>
    <w:tbl>
      <w:tblPr>
        <w:tblW w:w="508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40"/>
        <w:gridCol w:w="840"/>
      </w:tblGrid>
      <w:tr w:rsidR="003A494C" w:rsidRPr="003A494C" w14:paraId="099A63DE" w14:textId="77777777" w:rsidTr="003A494C">
        <w:trPr>
          <w:trHeight w:val="290"/>
        </w:trPr>
        <w:tc>
          <w:tcPr>
            <w:tcW w:w="4240" w:type="dxa"/>
            <w:shd w:val="clear" w:color="auto" w:fill="201547"/>
            <w:noWrap/>
            <w:vAlign w:val="bottom"/>
            <w:hideMark/>
          </w:tcPr>
          <w:p w14:paraId="218125DD" w14:textId="77777777" w:rsidR="003A494C" w:rsidRPr="003A494C" w:rsidRDefault="003A494C" w:rsidP="005D79E4">
            <w:pPr>
              <w:pStyle w:val="DHHStablecolhead"/>
              <w:rPr>
                <w:color w:val="FFFFFF"/>
                <w:lang w:eastAsia="en-AU"/>
              </w:rPr>
            </w:pPr>
            <w:r w:rsidRPr="003A494C">
              <w:rPr>
                <w:color w:val="FFFFFF"/>
                <w:lang w:eastAsia="en-AU"/>
              </w:rPr>
              <w:t>Reason for recall</w:t>
            </w:r>
          </w:p>
        </w:tc>
        <w:tc>
          <w:tcPr>
            <w:tcW w:w="840" w:type="dxa"/>
            <w:shd w:val="clear" w:color="auto" w:fill="201547"/>
            <w:noWrap/>
            <w:vAlign w:val="bottom"/>
            <w:hideMark/>
          </w:tcPr>
          <w:p w14:paraId="72964322" w14:textId="77777777" w:rsidR="003A494C" w:rsidRPr="003A494C" w:rsidRDefault="003A494C" w:rsidP="005D79E4">
            <w:pPr>
              <w:pStyle w:val="DHHStablecolhead"/>
              <w:jc w:val="right"/>
              <w:rPr>
                <w:rFonts w:ascii="Calibri" w:hAnsi="Calibri" w:cs="Calibri"/>
                <w:color w:val="FFFFFF"/>
                <w:sz w:val="22"/>
                <w:szCs w:val="22"/>
                <w:lang w:eastAsia="en-AU"/>
              </w:rPr>
            </w:pPr>
            <w:r w:rsidRPr="003A494C">
              <w:rPr>
                <w:rFonts w:ascii="Calibri" w:hAnsi="Calibri" w:cs="Calibri"/>
                <w:color w:val="FFFFFF"/>
                <w:sz w:val="22"/>
                <w:szCs w:val="22"/>
                <w:lang w:eastAsia="en-AU"/>
              </w:rPr>
              <w:t>2019</w:t>
            </w:r>
          </w:p>
        </w:tc>
      </w:tr>
      <w:tr w:rsidR="003A494C" w:rsidRPr="00657BA0" w14:paraId="3327E3A3" w14:textId="77777777" w:rsidTr="003A494C">
        <w:trPr>
          <w:trHeight w:val="290"/>
        </w:trPr>
        <w:tc>
          <w:tcPr>
            <w:tcW w:w="4240" w:type="dxa"/>
            <w:shd w:val="clear" w:color="auto" w:fill="auto"/>
            <w:noWrap/>
            <w:vAlign w:val="bottom"/>
            <w:hideMark/>
          </w:tcPr>
          <w:p w14:paraId="02F60083" w14:textId="77777777" w:rsidR="003A494C" w:rsidRPr="00657BA0" w:rsidRDefault="003A494C" w:rsidP="005D79E4">
            <w:pPr>
              <w:pStyle w:val="DHHStabletext6pt"/>
              <w:rPr>
                <w:lang w:eastAsia="en-AU"/>
              </w:rPr>
            </w:pPr>
            <w:r w:rsidRPr="00657BA0">
              <w:rPr>
                <w:lang w:eastAsia="en-AU"/>
              </w:rPr>
              <w:t xml:space="preserve">Undeclared dairy (n) </w:t>
            </w:r>
          </w:p>
        </w:tc>
        <w:tc>
          <w:tcPr>
            <w:tcW w:w="840" w:type="dxa"/>
            <w:shd w:val="clear" w:color="auto" w:fill="auto"/>
            <w:noWrap/>
            <w:vAlign w:val="bottom"/>
            <w:hideMark/>
          </w:tcPr>
          <w:p w14:paraId="327E524B" w14:textId="77777777" w:rsidR="003A494C" w:rsidRPr="00657BA0" w:rsidRDefault="003A494C" w:rsidP="005D79E4">
            <w:pPr>
              <w:pStyle w:val="DHHStabletext6pt"/>
              <w:jc w:val="right"/>
              <w:rPr>
                <w:lang w:eastAsia="en-AU"/>
              </w:rPr>
            </w:pPr>
            <w:r w:rsidRPr="00657BA0">
              <w:rPr>
                <w:lang w:eastAsia="en-AU"/>
              </w:rPr>
              <w:t>7</w:t>
            </w:r>
          </w:p>
        </w:tc>
      </w:tr>
      <w:tr w:rsidR="003A494C" w:rsidRPr="00657BA0" w14:paraId="3983745C" w14:textId="77777777" w:rsidTr="003A494C">
        <w:trPr>
          <w:trHeight w:val="290"/>
        </w:trPr>
        <w:tc>
          <w:tcPr>
            <w:tcW w:w="4240" w:type="dxa"/>
            <w:shd w:val="clear" w:color="auto" w:fill="auto"/>
            <w:noWrap/>
            <w:vAlign w:val="bottom"/>
            <w:hideMark/>
          </w:tcPr>
          <w:p w14:paraId="1C54AD46" w14:textId="77777777" w:rsidR="003A494C" w:rsidRPr="00657BA0" w:rsidRDefault="003A494C" w:rsidP="005D79E4">
            <w:pPr>
              <w:pStyle w:val="DHHStabletext6pt"/>
              <w:rPr>
                <w:lang w:eastAsia="en-AU"/>
              </w:rPr>
            </w:pPr>
            <w:r w:rsidRPr="00657BA0">
              <w:rPr>
                <w:lang w:eastAsia="en-AU"/>
              </w:rPr>
              <w:t>Undeclared peanuts or tree nuts (n)</w:t>
            </w:r>
          </w:p>
        </w:tc>
        <w:tc>
          <w:tcPr>
            <w:tcW w:w="840" w:type="dxa"/>
            <w:shd w:val="clear" w:color="auto" w:fill="auto"/>
            <w:noWrap/>
            <w:vAlign w:val="bottom"/>
            <w:hideMark/>
          </w:tcPr>
          <w:p w14:paraId="77880DB9" w14:textId="77777777" w:rsidR="003A494C" w:rsidRPr="00657BA0" w:rsidRDefault="003A494C" w:rsidP="005D79E4">
            <w:pPr>
              <w:pStyle w:val="DHHStabletext6pt"/>
              <w:jc w:val="right"/>
              <w:rPr>
                <w:lang w:eastAsia="en-AU"/>
              </w:rPr>
            </w:pPr>
            <w:r w:rsidRPr="00657BA0">
              <w:rPr>
                <w:lang w:eastAsia="en-AU"/>
              </w:rPr>
              <w:t>6</w:t>
            </w:r>
          </w:p>
        </w:tc>
      </w:tr>
      <w:tr w:rsidR="003A494C" w:rsidRPr="00657BA0" w14:paraId="23B20ED1" w14:textId="77777777" w:rsidTr="003A494C">
        <w:trPr>
          <w:trHeight w:val="290"/>
        </w:trPr>
        <w:tc>
          <w:tcPr>
            <w:tcW w:w="4240" w:type="dxa"/>
            <w:shd w:val="clear" w:color="auto" w:fill="auto"/>
            <w:noWrap/>
            <w:vAlign w:val="bottom"/>
            <w:hideMark/>
          </w:tcPr>
          <w:p w14:paraId="0313B488" w14:textId="77777777" w:rsidR="003A494C" w:rsidRPr="00657BA0" w:rsidRDefault="003A494C" w:rsidP="005D79E4">
            <w:pPr>
              <w:pStyle w:val="DHHStabletext6pt"/>
              <w:rPr>
                <w:lang w:eastAsia="en-AU"/>
              </w:rPr>
            </w:pPr>
            <w:r w:rsidRPr="00657BA0">
              <w:rPr>
                <w:lang w:eastAsia="en-AU"/>
              </w:rPr>
              <w:t>Undeclared Gluten (n)</w:t>
            </w:r>
          </w:p>
        </w:tc>
        <w:tc>
          <w:tcPr>
            <w:tcW w:w="840" w:type="dxa"/>
            <w:shd w:val="clear" w:color="auto" w:fill="auto"/>
            <w:noWrap/>
            <w:vAlign w:val="bottom"/>
            <w:hideMark/>
          </w:tcPr>
          <w:p w14:paraId="26018758" w14:textId="77777777" w:rsidR="003A494C" w:rsidRPr="00657BA0" w:rsidRDefault="003A494C" w:rsidP="005D79E4">
            <w:pPr>
              <w:pStyle w:val="DHHStabletext6pt"/>
              <w:jc w:val="right"/>
              <w:rPr>
                <w:lang w:eastAsia="en-AU"/>
              </w:rPr>
            </w:pPr>
            <w:r w:rsidRPr="00657BA0">
              <w:rPr>
                <w:lang w:eastAsia="en-AU"/>
              </w:rPr>
              <w:t>4</w:t>
            </w:r>
          </w:p>
        </w:tc>
      </w:tr>
    </w:tbl>
    <w:p w14:paraId="00EF3C39" w14:textId="77777777" w:rsidR="003A494C" w:rsidRDefault="003A494C" w:rsidP="003A494C">
      <w:pPr>
        <w:pStyle w:val="DHHSbodyaftertablefigure"/>
      </w:pPr>
      <w:r>
        <w:t xml:space="preserve">All these packaged food products were recalled due to the presence of undeclared allergens. This means that they were found to contain, but not to declare on the labelling, ingredients listed under the Australia New Zealand Food Standards as requiring mandatory labelling because they can cause adverse health reactions in people with specific food allergies, intolerances or sensitivities. </w:t>
      </w:r>
    </w:p>
    <w:p w14:paraId="74E61771" w14:textId="6C1042D7" w:rsidR="003A494C" w:rsidRDefault="003A494C" w:rsidP="003A494C">
      <w:pPr>
        <w:pStyle w:val="DHHSbody"/>
      </w:pPr>
      <w:r>
        <w:t xml:space="preserve">Amongst </w:t>
      </w:r>
      <w:r w:rsidR="002B10DC">
        <w:t>these</w:t>
      </w:r>
      <w:r>
        <w:t xml:space="preserve"> allergen related recalls, five products were recalled in 2019 for undeclared dairy or egg that also made the claims that they were suitable for vegans. </w:t>
      </w:r>
    </w:p>
    <w:p w14:paraId="3A1E47DB" w14:textId="77777777" w:rsidR="003A494C" w:rsidRDefault="003A494C" w:rsidP="003A494C">
      <w:pPr>
        <w:pStyle w:val="Heading2"/>
      </w:pPr>
      <w:bookmarkStart w:id="14" w:name="_Toc54087500"/>
      <w:bookmarkStart w:id="15" w:name="_Toc75252999"/>
      <w:r>
        <w:t>What happens to recalled food?</w:t>
      </w:r>
      <w:bookmarkEnd w:id="14"/>
      <w:bookmarkEnd w:id="15"/>
    </w:p>
    <w:p w14:paraId="36B7810A" w14:textId="7DA41288" w:rsidR="003A494C" w:rsidRPr="0021415A" w:rsidRDefault="003A494C" w:rsidP="003A494C">
      <w:pPr>
        <w:pStyle w:val="DHHSbody"/>
      </w:pPr>
      <w:r w:rsidRPr="0021415A">
        <w:t xml:space="preserve">Recalled </w:t>
      </w:r>
      <w:r>
        <w:t xml:space="preserve">food can be returned to the place of purchase or disposed of by the consumer. Recalled food within the supply chain (that is, food not yet in stores) may also be returned to the manufacturer or importer. In many cases recalled food is unfit for </w:t>
      </w:r>
      <w:r w:rsidR="002B10DC">
        <w:t xml:space="preserve">human </w:t>
      </w:r>
      <w:r>
        <w:t xml:space="preserve">consumption and is therefore destroyed. </w:t>
      </w:r>
    </w:p>
    <w:p w14:paraId="38DE265D" w14:textId="77777777" w:rsidR="003A494C" w:rsidRPr="00AC26AF" w:rsidRDefault="003A494C" w:rsidP="003A494C">
      <w:pPr>
        <w:pStyle w:val="Heading2"/>
      </w:pPr>
      <w:bookmarkStart w:id="16" w:name="_Toc54087501"/>
      <w:bookmarkStart w:id="17" w:name="_Toc75253000"/>
      <w:r w:rsidRPr="00AC26AF">
        <w:t>What are the costs of a recall</w:t>
      </w:r>
      <w:r>
        <w:t xml:space="preserve"> on business and the community</w:t>
      </w:r>
      <w:r w:rsidRPr="00AC26AF">
        <w:t>?</w:t>
      </w:r>
      <w:bookmarkEnd w:id="16"/>
      <w:bookmarkEnd w:id="17"/>
    </w:p>
    <w:p w14:paraId="3D728D6F" w14:textId="46E11430" w:rsidR="003A494C" w:rsidRDefault="003A494C" w:rsidP="003A494C">
      <w:pPr>
        <w:pStyle w:val="DHHSbody"/>
      </w:pPr>
      <w:r>
        <w:t xml:space="preserve">Food businesses are required under the </w:t>
      </w:r>
      <w:r w:rsidRPr="00D03D1B">
        <w:rPr>
          <w:i/>
          <w:iCs/>
        </w:rPr>
        <w:t>Food Act 1984</w:t>
      </w:r>
      <w:r>
        <w:t xml:space="preserve"> to produce food that that is safe, suitable, and compliant with the law. When packaged food is found to be unsafe the responsibility </w:t>
      </w:r>
      <w:proofErr w:type="gramStart"/>
      <w:r w:rsidR="002B10DC">
        <w:t xml:space="preserve">generally  </w:t>
      </w:r>
      <w:r>
        <w:t>lies</w:t>
      </w:r>
      <w:proofErr w:type="gramEnd"/>
      <w:r>
        <w:t xml:space="preserve"> with the food manufacturer or importer of that food.</w:t>
      </w:r>
    </w:p>
    <w:p w14:paraId="6EA8B862" w14:textId="136E6786" w:rsidR="003A494C" w:rsidRDefault="003A494C" w:rsidP="003A494C">
      <w:pPr>
        <w:pStyle w:val="DHHSbody"/>
      </w:pPr>
      <w:r>
        <w:t xml:space="preserve">The financial cost of a food safety recall on a food manufacturer or importer can be considerable, including the cost to recover the unsafe product, to pay any administrative costs that may be </w:t>
      </w:r>
      <w:r w:rsidR="002B10DC">
        <w:t xml:space="preserve">charged </w:t>
      </w:r>
      <w:r>
        <w:t xml:space="preserve">by the retailers, to quickly produce or import extra product to re-fill the supply chain and replace the stock that has been recalled from retail, and to pay any legal costs or penalties that may arise from any legal action.  </w:t>
      </w:r>
    </w:p>
    <w:p w14:paraId="59B6785E" w14:textId="0D864810" w:rsidR="003A494C" w:rsidRDefault="003A494C" w:rsidP="003A494C">
      <w:pPr>
        <w:pStyle w:val="DHHSbody"/>
      </w:pPr>
      <w:r>
        <w:t xml:space="preserve">A food safety recall can also damage consumer trust in the company and </w:t>
      </w:r>
      <w:r w:rsidR="002B10DC">
        <w:t xml:space="preserve">its </w:t>
      </w:r>
      <w:r>
        <w:t xml:space="preserve"> brands.   </w:t>
      </w:r>
    </w:p>
    <w:p w14:paraId="48349639" w14:textId="77777777" w:rsidR="003A494C" w:rsidRDefault="003A494C" w:rsidP="003A494C">
      <w:pPr>
        <w:pStyle w:val="DHHSbody"/>
      </w:pPr>
      <w:r>
        <w:t>For the community, the costs of unsafe food can include physical harm, illness, even death.</w:t>
      </w:r>
    </w:p>
    <w:p w14:paraId="2473EE03" w14:textId="77777777" w:rsidR="003A494C" w:rsidRDefault="003A494C" w:rsidP="003A494C">
      <w:pPr>
        <w:pStyle w:val="Heading2"/>
      </w:pPr>
      <w:bookmarkStart w:id="18" w:name="_Toc54087502"/>
      <w:bookmarkStart w:id="19" w:name="_Toc75253001"/>
      <w:r>
        <w:t>What if I think there is a problem with food that I have purchased?</w:t>
      </w:r>
      <w:bookmarkEnd w:id="18"/>
      <w:bookmarkEnd w:id="19"/>
    </w:p>
    <w:p w14:paraId="0E7EB2BF" w14:textId="298CA6C7" w:rsidR="003A494C" w:rsidRPr="00DD2C47" w:rsidRDefault="003A494C" w:rsidP="003A494C">
      <w:pPr>
        <w:pStyle w:val="DHHSbody"/>
      </w:pPr>
      <w:r w:rsidRPr="00DD2C47">
        <w:t>If you believe that there may be a problem with food that you have purchased, do</w:t>
      </w:r>
      <w:r w:rsidR="002B10DC">
        <w:t xml:space="preserve"> not</w:t>
      </w:r>
      <w:r w:rsidRPr="00DD2C47">
        <w:t xml:space="preserve"> eat the food product you are concerned about. Report the problem to the relevant food </w:t>
      </w:r>
      <w:r w:rsidR="002B10DC">
        <w:t xml:space="preserve">regulator </w:t>
      </w:r>
      <w:r w:rsidRPr="00DD2C47">
        <w:t xml:space="preserve"> </w:t>
      </w:r>
      <w:r>
        <w:t xml:space="preserve">(see below) </w:t>
      </w:r>
      <w:r w:rsidRPr="00DD2C47">
        <w:t>and provide:</w:t>
      </w:r>
    </w:p>
    <w:p w14:paraId="2D9C1212" w14:textId="77777777" w:rsidR="003A494C" w:rsidRPr="00DD2C47" w:rsidRDefault="003A494C" w:rsidP="003A494C">
      <w:pPr>
        <w:pStyle w:val="DHHSbullet1"/>
      </w:pPr>
      <w:r w:rsidRPr="00DD2C47">
        <w:t>your name, address and phone number</w:t>
      </w:r>
    </w:p>
    <w:p w14:paraId="576DF75B" w14:textId="77777777" w:rsidR="003A494C" w:rsidRPr="00DD2C47" w:rsidRDefault="003A494C" w:rsidP="003A494C">
      <w:pPr>
        <w:pStyle w:val="DHHSbullet1"/>
      </w:pPr>
      <w:r w:rsidRPr="00DD2C47">
        <w:t>the brand name, food product name and manufacturer</w:t>
      </w:r>
    </w:p>
    <w:p w14:paraId="30B74E74" w14:textId="77777777" w:rsidR="003A494C" w:rsidRPr="00DD2C47" w:rsidRDefault="003A494C" w:rsidP="003A494C">
      <w:pPr>
        <w:pStyle w:val="DHHSbullet1"/>
      </w:pPr>
      <w:r w:rsidRPr="00DD2C47">
        <w:t>the size and package type</w:t>
      </w:r>
    </w:p>
    <w:p w14:paraId="03497D4E" w14:textId="77777777" w:rsidR="003A494C" w:rsidRPr="00DD2C47" w:rsidRDefault="003A494C" w:rsidP="003A494C">
      <w:pPr>
        <w:pStyle w:val="DHHSbullet1"/>
      </w:pPr>
      <w:r w:rsidRPr="00DD2C47">
        <w:t>package codes and dates</w:t>
      </w:r>
    </w:p>
    <w:p w14:paraId="3558BF8D" w14:textId="77777777" w:rsidR="003A494C" w:rsidRPr="00DD2C47" w:rsidRDefault="003A494C" w:rsidP="003A494C">
      <w:pPr>
        <w:pStyle w:val="DHHSbullet1lastline"/>
      </w:pPr>
      <w:r w:rsidRPr="00DD2C47">
        <w:t>name and location of the store and the date you purchased it.</w:t>
      </w:r>
    </w:p>
    <w:p w14:paraId="6843CC8A" w14:textId="1BC3E24E" w:rsidR="003A494C" w:rsidRDefault="003A494C" w:rsidP="003A494C">
      <w:pPr>
        <w:pStyle w:val="DHHSbody"/>
      </w:pPr>
      <w:r w:rsidRPr="00DD2C47">
        <w:t>Remember to keep the original container or packaging and if relevant, the foreign object (</w:t>
      </w:r>
      <w:r>
        <w:t>for example, a</w:t>
      </w:r>
      <w:r w:rsidRPr="00DD2C47">
        <w:t xml:space="preserve"> metal washer that you found in the food).</w:t>
      </w:r>
      <w:r>
        <w:t xml:space="preserve"> </w:t>
      </w:r>
      <w:r w:rsidRPr="00DD2C47">
        <w:t>Refrigerate any uneaten portion of the food.</w:t>
      </w:r>
    </w:p>
    <w:p w14:paraId="0C0AC013" w14:textId="0FC53F16" w:rsidR="003A494C" w:rsidRPr="00DD2C47" w:rsidRDefault="003A494C" w:rsidP="003A494C">
      <w:pPr>
        <w:pStyle w:val="Heading2"/>
      </w:pPr>
      <w:bookmarkStart w:id="20" w:name="_Toc54087503"/>
      <w:bookmarkStart w:id="21" w:name="_Toc75253002"/>
      <w:r>
        <w:t>Where to report a problem with purchased food</w:t>
      </w:r>
      <w:bookmarkEnd w:id="20"/>
      <w:r w:rsidR="002B10DC">
        <w:t xml:space="preserve"> or from where food is purchased</w:t>
      </w:r>
      <w:bookmarkEnd w:id="21"/>
    </w:p>
    <w:p w14:paraId="137748A2" w14:textId="77777777" w:rsidR="003A494C" w:rsidRPr="00DD2C47" w:rsidRDefault="003A494C" w:rsidP="003A494C">
      <w:pPr>
        <w:pStyle w:val="Heading3"/>
        <w:rPr>
          <w:lang w:eastAsia="en-AU"/>
        </w:rPr>
      </w:pPr>
      <w:r w:rsidRPr="00DD2C47">
        <w:rPr>
          <w:lang w:eastAsia="en-AU"/>
        </w:rPr>
        <w:t>Dairy Food Safety Victoria</w:t>
      </w:r>
    </w:p>
    <w:p w14:paraId="622A3D60" w14:textId="13E6E3F5" w:rsidR="003A494C" w:rsidRPr="00DD2C47" w:rsidRDefault="003A494C" w:rsidP="003A494C">
      <w:pPr>
        <w:pStyle w:val="DHHSbody"/>
      </w:pPr>
      <w:r w:rsidRPr="00DD2C47">
        <w:t>Contact Dairy Food Safety Victoria if your enquiry relates to the selling, transport, or preparation of  dairy products (like a cheesemaker</w:t>
      </w:r>
      <w:r>
        <w:t>, ice creamery</w:t>
      </w:r>
      <w:r w:rsidRPr="00DD2C47">
        <w:t xml:space="preserve"> or dairy).</w:t>
      </w:r>
    </w:p>
    <w:p w14:paraId="09817381" w14:textId="77777777" w:rsidR="003A494C" w:rsidRPr="00DD2C47" w:rsidRDefault="003A494C" w:rsidP="003A494C">
      <w:pPr>
        <w:pStyle w:val="DHHSbody"/>
      </w:pPr>
      <w:r>
        <w:t xml:space="preserve">Phone: </w:t>
      </w:r>
      <w:r w:rsidRPr="00DD2C47">
        <w:t>+613 9810 5900</w:t>
      </w:r>
    </w:p>
    <w:p w14:paraId="4638D75B" w14:textId="77777777" w:rsidR="003A494C" w:rsidRDefault="003A494C" w:rsidP="003A494C">
      <w:pPr>
        <w:pStyle w:val="DHHSbody"/>
      </w:pPr>
      <w:r w:rsidRPr="00DD2C47">
        <w:t>Website: </w:t>
      </w:r>
      <w:hyperlink r:id="rId14" w:tgtFrame="_blank" w:history="1">
        <w:r w:rsidRPr="00DD2C47">
          <w:t>www.dairysafe.vic.gov.au</w:t>
        </w:r>
      </w:hyperlink>
      <w:r w:rsidRPr="00DD2C47">
        <w:br/>
        <w:t>Email: </w:t>
      </w:r>
      <w:hyperlink r:id="rId15" w:history="1">
        <w:r w:rsidRPr="00DD2C47">
          <w:t>info@dairysafe.vic.gov.au</w:t>
        </w:r>
      </w:hyperlink>
    </w:p>
    <w:p w14:paraId="0DAAA071" w14:textId="77777777" w:rsidR="003A494C" w:rsidRPr="00DD2C47" w:rsidRDefault="003A494C" w:rsidP="003A494C">
      <w:pPr>
        <w:pStyle w:val="Heading3"/>
        <w:rPr>
          <w:lang w:eastAsia="en-AU"/>
        </w:rPr>
      </w:pPr>
      <w:r w:rsidRPr="00DD2C47">
        <w:rPr>
          <w:lang w:eastAsia="en-AU"/>
        </w:rPr>
        <w:t>PrimeSafe Victoria</w:t>
      </w:r>
    </w:p>
    <w:p w14:paraId="65D9D57B" w14:textId="6C3BE871" w:rsidR="003A494C" w:rsidRDefault="003A494C" w:rsidP="003A494C">
      <w:pPr>
        <w:pStyle w:val="DHHSbody"/>
        <w:rPr>
          <w:lang w:eastAsia="en-AU"/>
        </w:rPr>
      </w:pPr>
      <w:r w:rsidRPr="002E757F">
        <w:rPr>
          <w:lang w:eastAsia="en-AU"/>
        </w:rPr>
        <w:t>Contact PrimeSafe  if your enquiry relates to the selling, transport, or preparation of  meat (</w:t>
      </w:r>
      <w:r w:rsidR="00127A7E">
        <w:rPr>
          <w:lang w:eastAsia="en-AU"/>
        </w:rPr>
        <w:t>for example,</w:t>
      </w:r>
      <w:r w:rsidRPr="002E757F">
        <w:rPr>
          <w:lang w:eastAsia="en-AU"/>
        </w:rPr>
        <w:t xml:space="preserve"> a butcher) or seafood (</w:t>
      </w:r>
      <w:r w:rsidR="00127A7E">
        <w:rPr>
          <w:lang w:eastAsia="en-AU"/>
        </w:rPr>
        <w:t>for example,</w:t>
      </w:r>
      <w:r w:rsidRPr="002E757F">
        <w:rPr>
          <w:lang w:eastAsia="en-AU"/>
        </w:rPr>
        <w:t xml:space="preserve"> a fishmonger).</w:t>
      </w:r>
    </w:p>
    <w:p w14:paraId="70DFC5FE" w14:textId="77777777" w:rsidR="003A494C" w:rsidRPr="00DD2C47" w:rsidRDefault="003A494C" w:rsidP="003A494C">
      <w:pPr>
        <w:pStyle w:val="DHHSbody"/>
        <w:rPr>
          <w:lang w:eastAsia="en-AU"/>
        </w:rPr>
      </w:pPr>
      <w:r>
        <w:rPr>
          <w:lang w:eastAsia="en-AU"/>
        </w:rPr>
        <w:t xml:space="preserve">Phone: </w:t>
      </w:r>
      <w:r w:rsidRPr="00DD2C47">
        <w:rPr>
          <w:lang w:eastAsia="en-AU"/>
        </w:rPr>
        <w:t>+61 3 9685 7333</w:t>
      </w:r>
    </w:p>
    <w:p w14:paraId="53BB9A35" w14:textId="77777777" w:rsidR="003A494C" w:rsidRPr="002E757F" w:rsidRDefault="003A494C" w:rsidP="003A494C">
      <w:pPr>
        <w:pStyle w:val="DHHSbody"/>
      </w:pPr>
      <w:r w:rsidRPr="002E757F">
        <w:t>Website: </w:t>
      </w:r>
      <w:hyperlink r:id="rId16" w:tgtFrame="_blank" w:history="1">
        <w:r w:rsidRPr="002E757F">
          <w:t>www.primesafe.vic.gov.au</w:t>
        </w:r>
        <w:r w:rsidRPr="002E757F">
          <w:br/>
        </w:r>
      </w:hyperlink>
      <w:r w:rsidRPr="002E757F">
        <w:t>Email: </w:t>
      </w:r>
      <w:hyperlink r:id="rId17" w:history="1">
        <w:r w:rsidRPr="002E757F">
          <w:t>enquiries@primesafe.vic.gov.au</w:t>
        </w:r>
      </w:hyperlink>
    </w:p>
    <w:p w14:paraId="5F17C3AF" w14:textId="31A2A232" w:rsidR="003A494C" w:rsidRPr="00DD2C47" w:rsidRDefault="003A494C" w:rsidP="003A494C">
      <w:pPr>
        <w:pStyle w:val="Heading3"/>
        <w:rPr>
          <w:lang w:eastAsia="en-AU"/>
        </w:rPr>
      </w:pPr>
      <w:r w:rsidRPr="00DD2C47">
        <w:rPr>
          <w:lang w:eastAsia="en-AU"/>
        </w:rPr>
        <w:t xml:space="preserve">Local </w:t>
      </w:r>
      <w:r w:rsidR="00174055">
        <w:rPr>
          <w:lang w:eastAsia="en-AU"/>
        </w:rPr>
        <w:t>g</w:t>
      </w:r>
      <w:r w:rsidRPr="00DD2C47">
        <w:rPr>
          <w:lang w:eastAsia="en-AU"/>
        </w:rPr>
        <w:t>overnment</w:t>
      </w:r>
    </w:p>
    <w:p w14:paraId="2DBB0803" w14:textId="77777777" w:rsidR="003A494C" w:rsidRPr="002E757F" w:rsidRDefault="003A494C" w:rsidP="003A494C">
      <w:pPr>
        <w:pStyle w:val="DHHSbody"/>
      </w:pPr>
      <w:r w:rsidRPr="002E757F">
        <w:t xml:space="preserve">Contact your </w:t>
      </w:r>
      <w:r>
        <w:t>l</w:t>
      </w:r>
      <w:r w:rsidRPr="002E757F">
        <w:t xml:space="preserve">ocal </w:t>
      </w:r>
      <w:r>
        <w:t>c</w:t>
      </w:r>
      <w:r w:rsidRPr="002E757F">
        <w:t xml:space="preserve">ouncil (ask for an </w:t>
      </w:r>
      <w:r>
        <w:t>e</w:t>
      </w:r>
      <w:r w:rsidRPr="002E757F">
        <w:t xml:space="preserve">nvironmental </w:t>
      </w:r>
      <w:r>
        <w:t>h</w:t>
      </w:r>
      <w:r w:rsidRPr="002E757F">
        <w:t xml:space="preserve">ealth </w:t>
      </w:r>
      <w:r>
        <w:t>o</w:t>
      </w:r>
      <w:r w:rsidRPr="002E757F">
        <w:t>fficer) if your enquiry relates to:</w:t>
      </w:r>
    </w:p>
    <w:p w14:paraId="7B2F2318" w14:textId="77777777" w:rsidR="003A494C" w:rsidRPr="00DD2C47" w:rsidRDefault="003A494C" w:rsidP="003A494C">
      <w:pPr>
        <w:pStyle w:val="DHHSbullet1"/>
        <w:rPr>
          <w:lang w:eastAsia="en-AU"/>
        </w:rPr>
      </w:pPr>
      <w:r w:rsidRPr="00DD2C47">
        <w:rPr>
          <w:lang w:eastAsia="en-AU"/>
        </w:rPr>
        <w:t>the selling, transport, or preparation of all other foods</w:t>
      </w:r>
    </w:p>
    <w:p w14:paraId="5A623EE9" w14:textId="77777777" w:rsidR="003A494C" w:rsidRPr="00DD2C47" w:rsidRDefault="003A494C" w:rsidP="003A494C">
      <w:pPr>
        <w:pStyle w:val="DHHSbullet1"/>
        <w:rPr>
          <w:lang w:eastAsia="en-AU"/>
        </w:rPr>
      </w:pPr>
      <w:r w:rsidRPr="00DD2C47">
        <w:rPr>
          <w:lang w:eastAsia="en-AU"/>
        </w:rPr>
        <w:t>registrations of food businesses (both making and selling of food)</w:t>
      </w:r>
    </w:p>
    <w:p w14:paraId="06145FC4" w14:textId="77777777" w:rsidR="003A494C" w:rsidRPr="00DD2C47" w:rsidRDefault="003A494C" w:rsidP="003A494C">
      <w:pPr>
        <w:pStyle w:val="DHHSbullet1"/>
        <w:rPr>
          <w:lang w:eastAsia="en-AU"/>
        </w:rPr>
      </w:pPr>
      <w:r w:rsidRPr="00DD2C47">
        <w:rPr>
          <w:lang w:eastAsia="en-AU"/>
        </w:rPr>
        <w:t>food safety programs</w:t>
      </w:r>
    </w:p>
    <w:p w14:paraId="56AAA3FD" w14:textId="77777777" w:rsidR="003A494C" w:rsidRPr="00DD2C47" w:rsidRDefault="003A494C" w:rsidP="003A494C">
      <w:pPr>
        <w:pStyle w:val="DHHSbullet1"/>
        <w:rPr>
          <w:lang w:eastAsia="en-AU"/>
        </w:rPr>
      </w:pPr>
      <w:r w:rsidRPr="00DD2C47">
        <w:rPr>
          <w:lang w:eastAsia="en-AU"/>
        </w:rPr>
        <w:t xml:space="preserve">mobile </w:t>
      </w:r>
      <w:r>
        <w:rPr>
          <w:lang w:eastAsia="en-AU"/>
        </w:rPr>
        <w:t xml:space="preserve">or temporary </w:t>
      </w:r>
      <w:r w:rsidRPr="00DD2C47">
        <w:rPr>
          <w:lang w:eastAsia="en-AU"/>
        </w:rPr>
        <w:t>food premises</w:t>
      </w:r>
    </w:p>
    <w:p w14:paraId="6B620D2E" w14:textId="77777777" w:rsidR="003A494C" w:rsidRDefault="003A494C" w:rsidP="003A494C">
      <w:pPr>
        <w:pStyle w:val="DHHSbullet1lastline"/>
        <w:rPr>
          <w:lang w:eastAsia="en-AU"/>
        </w:rPr>
      </w:pPr>
      <w:r w:rsidRPr="00DD2C47">
        <w:rPr>
          <w:lang w:eastAsia="en-AU"/>
        </w:rPr>
        <w:t>complaints about a food or food premises (</w:t>
      </w:r>
      <w:r>
        <w:rPr>
          <w:lang w:eastAsia="en-AU"/>
        </w:rPr>
        <w:t xml:space="preserve">such as, </w:t>
      </w:r>
      <w:r w:rsidRPr="00DD2C47">
        <w:rPr>
          <w:lang w:eastAsia="en-AU"/>
        </w:rPr>
        <w:t>suspected food-borne illness, contamination of food, labelling, undeclared food allergens, advertising and composition of food).</w:t>
      </w:r>
    </w:p>
    <w:p w14:paraId="2BA0899C" w14:textId="77777777" w:rsidR="003A494C" w:rsidRPr="00DD2C47" w:rsidRDefault="003A494C" w:rsidP="003A494C">
      <w:pPr>
        <w:pStyle w:val="DHHSbullet1"/>
        <w:numPr>
          <w:ilvl w:val="0"/>
          <w:numId w:val="0"/>
        </w:numPr>
        <w:rPr>
          <w:lang w:eastAsia="en-AU"/>
        </w:rPr>
      </w:pPr>
      <w:r w:rsidRPr="002E757F">
        <w:rPr>
          <w:lang w:eastAsia="en-AU"/>
        </w:rPr>
        <w:t>Website: https://knowyourcouncil.vic.gov.au/home</w:t>
      </w:r>
    </w:p>
    <w:p w14:paraId="48CBEEBA" w14:textId="77777777" w:rsidR="003A494C" w:rsidRPr="00DD2C47" w:rsidRDefault="003A494C" w:rsidP="003A494C">
      <w:pPr>
        <w:pStyle w:val="Heading3"/>
        <w:rPr>
          <w:lang w:eastAsia="en-AU"/>
        </w:rPr>
      </w:pPr>
      <w:r w:rsidRPr="00DD2C47">
        <w:rPr>
          <w:lang w:eastAsia="en-AU"/>
        </w:rPr>
        <w:t>Department of Health and Human Services</w:t>
      </w:r>
      <w:r>
        <w:rPr>
          <w:lang w:eastAsia="en-AU"/>
        </w:rPr>
        <w:t xml:space="preserve"> - </w:t>
      </w:r>
      <w:r w:rsidRPr="00DD2C47">
        <w:rPr>
          <w:lang w:eastAsia="en-AU"/>
        </w:rPr>
        <w:t>Food Safety</w:t>
      </w:r>
      <w:r>
        <w:rPr>
          <w:lang w:eastAsia="en-AU"/>
        </w:rPr>
        <w:t xml:space="preserve"> Unit</w:t>
      </w:r>
    </w:p>
    <w:p w14:paraId="5292333B" w14:textId="473513E2" w:rsidR="003A494C" w:rsidRPr="00DD2C47" w:rsidRDefault="003A494C" w:rsidP="003A494C">
      <w:pPr>
        <w:pStyle w:val="DHHSbody"/>
        <w:rPr>
          <w:lang w:eastAsia="en-AU"/>
        </w:rPr>
      </w:pPr>
      <w:r w:rsidRPr="00DD2C47">
        <w:rPr>
          <w:lang w:eastAsia="en-AU"/>
        </w:rPr>
        <w:t xml:space="preserve">Contact the Department of Health and Human Services if your enquiry relates to general food </w:t>
      </w:r>
      <w:r>
        <w:rPr>
          <w:lang w:eastAsia="en-AU"/>
        </w:rPr>
        <w:t>c</w:t>
      </w:r>
      <w:r w:rsidRPr="00DD2C47">
        <w:rPr>
          <w:lang w:eastAsia="en-AU"/>
        </w:rPr>
        <w:t xml:space="preserve">ompliance issues (and you </w:t>
      </w:r>
      <w:r w:rsidR="002B10DC">
        <w:rPr>
          <w:lang w:eastAsia="en-AU"/>
        </w:rPr>
        <w:t xml:space="preserve">are unsure of </w:t>
      </w:r>
      <w:r w:rsidRPr="00DD2C47">
        <w:rPr>
          <w:lang w:eastAsia="en-AU"/>
        </w:rPr>
        <w:t xml:space="preserve"> where to start) or you are looking for publications on food safety or information on legislation.</w:t>
      </w:r>
    </w:p>
    <w:p w14:paraId="4DC43A38" w14:textId="77777777" w:rsidR="003A494C" w:rsidRPr="002E757F" w:rsidRDefault="003A494C" w:rsidP="003A494C">
      <w:pPr>
        <w:pStyle w:val="DHHSbody"/>
      </w:pPr>
      <w:r w:rsidRPr="002E757F">
        <w:t>Phone: 1300 364 352 (Free Call within Australia)</w:t>
      </w:r>
    </w:p>
    <w:p w14:paraId="7BFA63BC" w14:textId="77777777" w:rsidR="003A494C" w:rsidRPr="002E757F" w:rsidRDefault="003A494C" w:rsidP="003A494C">
      <w:pPr>
        <w:pStyle w:val="DHHSbody"/>
      </w:pPr>
      <w:r w:rsidRPr="002E757F">
        <w:t>Website: </w:t>
      </w:r>
      <w:hyperlink r:id="rId18" w:tgtFrame="_blank" w:history="1">
        <w:r w:rsidRPr="002E757F">
          <w:t>www.health.vic.gov.au/foodsafety  </w:t>
        </w:r>
      </w:hyperlink>
      <w:r w:rsidRPr="002E757F">
        <w:t>  </w:t>
      </w:r>
      <w:r w:rsidRPr="002E757F">
        <w:br/>
        <w:t>Email: </w:t>
      </w:r>
      <w:hyperlink r:id="rId19" w:history="1">
        <w:r w:rsidRPr="002E757F">
          <w:t>foodsafety@health.vic.gov.au</w:t>
        </w:r>
      </w:hyperlink>
    </w:p>
    <w:p w14:paraId="266B2A51" w14:textId="77777777" w:rsidR="003A494C" w:rsidRPr="00AF2D86" w:rsidRDefault="003A494C" w:rsidP="00AF2D86">
      <w:pPr>
        <w:pStyle w:val="Heading1"/>
      </w:pPr>
      <w:bookmarkStart w:id="22" w:name="_Toc54087504"/>
      <w:bookmarkStart w:id="23" w:name="_Toc75253003"/>
      <w:r w:rsidRPr="00AF2D86">
        <w:t>References</w:t>
      </w:r>
      <w:bookmarkEnd w:id="22"/>
      <w:bookmarkEnd w:id="23"/>
    </w:p>
    <w:p w14:paraId="7843294F" w14:textId="26127B49" w:rsidR="003A494C" w:rsidRDefault="003A494C" w:rsidP="003A494C">
      <w:pPr>
        <w:pStyle w:val="DHHSbody"/>
      </w:pPr>
      <w:r w:rsidRPr="00844552">
        <w:t xml:space="preserve">Food Recall Statistics. [online] </w:t>
      </w:r>
      <w:hyperlink r:id="rId20" w:history="1">
        <w:r w:rsidRPr="009958EF">
          <w:rPr>
            <w:rStyle w:val="Hyperlink"/>
          </w:rPr>
          <w:t>Available from</w:t>
        </w:r>
      </w:hyperlink>
      <w:r w:rsidRPr="00844552">
        <w:t xml:space="preserve">: &lt;https://www.foodstandards.gov.au/industry/foodrecalls/recallstats/Pages/default.aspx&gt; </w:t>
      </w:r>
    </w:p>
    <w:sectPr w:rsidR="003A494C" w:rsidSect="00BA5E47">
      <w:headerReference w:type="even" r:id="rId21"/>
      <w:headerReference w:type="default" r:id="rId22"/>
      <w:footerReference w:type="even" r:id="rId23"/>
      <w:footerReference w:type="default" r:id="rId24"/>
      <w:footerReference w:type="first" r:id="rId25"/>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959AF" w14:textId="77777777" w:rsidR="006C5996" w:rsidRDefault="006C5996">
      <w:r>
        <w:separator/>
      </w:r>
    </w:p>
  </w:endnote>
  <w:endnote w:type="continuationSeparator" w:id="0">
    <w:p w14:paraId="2434CF2D" w14:textId="77777777" w:rsidR="006C5996" w:rsidRDefault="006C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7CF1" w14:textId="7614204E" w:rsidR="00977C63" w:rsidRPr="008114D1" w:rsidRDefault="00977C63" w:rsidP="00E969B1">
    <w:pPr>
      <w:pStyle w:val="DHHSfooter"/>
    </w:pPr>
    <w:r>
      <w:t xml:space="preserve">Page </w:t>
    </w:r>
    <w:r w:rsidRPr="005A39EC">
      <w:fldChar w:fldCharType="begin"/>
    </w:r>
    <w:r w:rsidRPr="005A39EC">
      <w:instrText xml:space="preserve"> PAGE </w:instrText>
    </w:r>
    <w:r w:rsidRPr="005A39EC">
      <w:fldChar w:fldCharType="separate"/>
    </w:r>
    <w:r w:rsidR="00FB2EE3">
      <w:rPr>
        <w:noProof/>
      </w:rPr>
      <w:t>10</w:t>
    </w:r>
    <w:r w:rsidRPr="005A39EC">
      <w:fldChar w:fldCharType="end"/>
    </w:r>
    <w:r>
      <w:tab/>
    </w:r>
    <w:r w:rsidR="006C0793">
      <w:t>Food safety recalls: 2018/2019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ABFD" w14:textId="229BE617" w:rsidR="00977C63" w:rsidRPr="0031753A" w:rsidRDefault="006C0793" w:rsidP="00E969B1">
    <w:pPr>
      <w:pStyle w:val="DHHSfooter"/>
    </w:pPr>
    <w:r>
      <w:t>Food safety recalls: 2018/2019</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FB2EE3">
      <w:rPr>
        <w:noProof/>
      </w:rPr>
      <w:t>9</w:t>
    </w:r>
    <w:r w:rsidR="00977C63"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819C" w14:textId="77777777"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2CA42" w14:textId="77777777" w:rsidR="006C5996" w:rsidRDefault="006C5996">
      <w:r>
        <w:separator/>
      </w:r>
    </w:p>
  </w:footnote>
  <w:footnote w:type="continuationSeparator" w:id="0">
    <w:p w14:paraId="0D849529" w14:textId="77777777" w:rsidR="006C5996" w:rsidRDefault="006C5996">
      <w:r>
        <w:continuationSeparator/>
      </w:r>
    </w:p>
  </w:footnote>
  <w:footnote w:id="1">
    <w:p w14:paraId="4394AB44" w14:textId="77777777" w:rsidR="003A494C" w:rsidRDefault="003A494C" w:rsidP="003A494C">
      <w:pPr>
        <w:pStyle w:val="FootnoteText"/>
      </w:pPr>
      <w:r>
        <w:rPr>
          <w:rStyle w:val="FootnoteReference"/>
        </w:rPr>
        <w:footnoteRef/>
      </w:r>
      <w:r>
        <w:t xml:space="preserve"> </w:t>
      </w:r>
      <w:r w:rsidRPr="00ED2BEA">
        <w:t>The home state is the state or territory where the head office of the sponsor is located</w:t>
      </w:r>
      <w:r>
        <w:t>.</w:t>
      </w:r>
    </w:p>
  </w:footnote>
  <w:footnote w:id="2">
    <w:p w14:paraId="397B3B60" w14:textId="77777777" w:rsidR="003A494C" w:rsidRPr="0049275A" w:rsidRDefault="003A494C" w:rsidP="003A494C">
      <w:pPr>
        <w:pStyle w:val="FootnoteText"/>
      </w:pPr>
      <w:r>
        <w:rPr>
          <w:rStyle w:val="FootnoteReference"/>
        </w:rPr>
        <w:footnoteRef/>
      </w:r>
      <w:r>
        <w:t xml:space="preserve"> The responsible registration</w:t>
      </w:r>
      <w:r w:rsidRPr="00ED2BEA">
        <w:t xml:space="preserve"> </w:t>
      </w:r>
      <w:r>
        <w:t>authority is</w:t>
      </w:r>
      <w:r w:rsidRPr="00ED2BEA">
        <w:t xml:space="preserve"> determined </w:t>
      </w:r>
      <w:r>
        <w:t>by</w:t>
      </w:r>
      <w:r w:rsidRPr="00ED2BEA">
        <w:t xml:space="preserve"> section</w:t>
      </w:r>
      <w:r>
        <w:t>s</w:t>
      </w:r>
      <w:r w:rsidRPr="00ED2BEA">
        <w:t xml:space="preserve"> 35</w:t>
      </w:r>
      <w:r>
        <w:t xml:space="preserve"> and 38 of the </w:t>
      </w:r>
      <w:r w:rsidRPr="00ED2BEA">
        <w:rPr>
          <w:i/>
          <w:iCs/>
        </w:rPr>
        <w:t>Food Act 1984</w:t>
      </w:r>
      <w:r w:rsidRPr="0049275A">
        <w:t>. In Victoria, the responsible registration authority will be the business’ local council, PrimeSafe or Dairy Food Safety Victoria.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D124" w14:textId="77777777" w:rsidR="00977C63" w:rsidRPr="0069374A" w:rsidRDefault="00977C63"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F3AF" w14:textId="77777777" w:rsidR="00977C63" w:rsidRDefault="00977C63"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2990"/>
    <w:rsid w:val="000048AC"/>
    <w:rsid w:val="00014FC4"/>
    <w:rsid w:val="00020AAB"/>
    <w:rsid w:val="000223A4"/>
    <w:rsid w:val="00022E60"/>
    <w:rsid w:val="00026C19"/>
    <w:rsid w:val="00031263"/>
    <w:rsid w:val="00060E93"/>
    <w:rsid w:val="00064936"/>
    <w:rsid w:val="000734F8"/>
    <w:rsid w:val="000736B8"/>
    <w:rsid w:val="000817CB"/>
    <w:rsid w:val="000873EF"/>
    <w:rsid w:val="00090E18"/>
    <w:rsid w:val="000B3792"/>
    <w:rsid w:val="000C6242"/>
    <w:rsid w:val="000C68DB"/>
    <w:rsid w:val="000D2C32"/>
    <w:rsid w:val="000E6F72"/>
    <w:rsid w:val="000F0478"/>
    <w:rsid w:val="000F0A50"/>
    <w:rsid w:val="00103D5E"/>
    <w:rsid w:val="00104EA7"/>
    <w:rsid w:val="00105FAD"/>
    <w:rsid w:val="0011155B"/>
    <w:rsid w:val="00111A6A"/>
    <w:rsid w:val="00121BF1"/>
    <w:rsid w:val="00127A7E"/>
    <w:rsid w:val="00127A8B"/>
    <w:rsid w:val="00134BE5"/>
    <w:rsid w:val="001412D1"/>
    <w:rsid w:val="001423E3"/>
    <w:rsid w:val="001475EA"/>
    <w:rsid w:val="001504F5"/>
    <w:rsid w:val="001517BD"/>
    <w:rsid w:val="00171088"/>
    <w:rsid w:val="0017248D"/>
    <w:rsid w:val="00173626"/>
    <w:rsid w:val="00174055"/>
    <w:rsid w:val="0017614A"/>
    <w:rsid w:val="001817CD"/>
    <w:rsid w:val="0018235E"/>
    <w:rsid w:val="00187469"/>
    <w:rsid w:val="0018768C"/>
    <w:rsid w:val="00191891"/>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422C"/>
    <w:rsid w:val="0022724E"/>
    <w:rsid w:val="00230666"/>
    <w:rsid w:val="00231153"/>
    <w:rsid w:val="0023252E"/>
    <w:rsid w:val="00241C31"/>
    <w:rsid w:val="002679D5"/>
    <w:rsid w:val="002714FD"/>
    <w:rsid w:val="00275F94"/>
    <w:rsid w:val="00281B9C"/>
    <w:rsid w:val="00284C9B"/>
    <w:rsid w:val="0029341D"/>
    <w:rsid w:val="002A141B"/>
    <w:rsid w:val="002A26B6"/>
    <w:rsid w:val="002A6A4E"/>
    <w:rsid w:val="002B10DC"/>
    <w:rsid w:val="002B1766"/>
    <w:rsid w:val="002B5A85"/>
    <w:rsid w:val="002B63A7"/>
    <w:rsid w:val="002C5543"/>
    <w:rsid w:val="002D0F7F"/>
    <w:rsid w:val="002D36AD"/>
    <w:rsid w:val="002D7AF9"/>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4E7A"/>
    <w:rsid w:val="00355886"/>
    <w:rsid w:val="00356814"/>
    <w:rsid w:val="003624CF"/>
    <w:rsid w:val="0038019F"/>
    <w:rsid w:val="00382071"/>
    <w:rsid w:val="003A2F25"/>
    <w:rsid w:val="003A494C"/>
    <w:rsid w:val="003B2807"/>
    <w:rsid w:val="003C0DB8"/>
    <w:rsid w:val="003C1BE2"/>
    <w:rsid w:val="003C68F2"/>
    <w:rsid w:val="003D5CFB"/>
    <w:rsid w:val="003E2636"/>
    <w:rsid w:val="003E2E12"/>
    <w:rsid w:val="003F0ABF"/>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1A3F"/>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82768"/>
    <w:rsid w:val="00583461"/>
    <w:rsid w:val="005856A4"/>
    <w:rsid w:val="005856C7"/>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297A"/>
    <w:rsid w:val="00626110"/>
    <w:rsid w:val="00627C52"/>
    <w:rsid w:val="00630937"/>
    <w:rsid w:val="00653B84"/>
    <w:rsid w:val="00653E0D"/>
    <w:rsid w:val="006865C8"/>
    <w:rsid w:val="00686B48"/>
    <w:rsid w:val="00687038"/>
    <w:rsid w:val="0068714E"/>
    <w:rsid w:val="006929F7"/>
    <w:rsid w:val="0069374A"/>
    <w:rsid w:val="00694AB8"/>
    <w:rsid w:val="00695EF7"/>
    <w:rsid w:val="0069699D"/>
    <w:rsid w:val="006B2C51"/>
    <w:rsid w:val="006B6361"/>
    <w:rsid w:val="006C0793"/>
    <w:rsid w:val="006C5996"/>
    <w:rsid w:val="006D360C"/>
    <w:rsid w:val="006D5AC9"/>
    <w:rsid w:val="006D66ED"/>
    <w:rsid w:val="006E786B"/>
    <w:rsid w:val="006F69B6"/>
    <w:rsid w:val="007002B1"/>
    <w:rsid w:val="00704EB7"/>
    <w:rsid w:val="00705742"/>
    <w:rsid w:val="007104FE"/>
    <w:rsid w:val="007121A2"/>
    <w:rsid w:val="00713981"/>
    <w:rsid w:val="007176D6"/>
    <w:rsid w:val="00727D54"/>
    <w:rsid w:val="007344C5"/>
    <w:rsid w:val="00734959"/>
    <w:rsid w:val="00735137"/>
    <w:rsid w:val="0073520D"/>
    <w:rsid w:val="00743745"/>
    <w:rsid w:val="007519C3"/>
    <w:rsid w:val="00780226"/>
    <w:rsid w:val="00781AB4"/>
    <w:rsid w:val="007923B7"/>
    <w:rsid w:val="00792616"/>
    <w:rsid w:val="007926BB"/>
    <w:rsid w:val="0079344C"/>
    <w:rsid w:val="007A0283"/>
    <w:rsid w:val="007C02C7"/>
    <w:rsid w:val="007C15DF"/>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25F2"/>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39C5"/>
    <w:rsid w:val="008E1D89"/>
    <w:rsid w:val="008E3E3E"/>
    <w:rsid w:val="008F5F87"/>
    <w:rsid w:val="00900A34"/>
    <w:rsid w:val="00907073"/>
    <w:rsid w:val="009208F5"/>
    <w:rsid w:val="00927D51"/>
    <w:rsid w:val="00932272"/>
    <w:rsid w:val="00932862"/>
    <w:rsid w:val="00935D60"/>
    <w:rsid w:val="009441D0"/>
    <w:rsid w:val="009447BB"/>
    <w:rsid w:val="00944C48"/>
    <w:rsid w:val="00946335"/>
    <w:rsid w:val="009513C4"/>
    <w:rsid w:val="00955E55"/>
    <w:rsid w:val="00962200"/>
    <w:rsid w:val="00966F54"/>
    <w:rsid w:val="00970162"/>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139C"/>
    <w:rsid w:val="00A022A2"/>
    <w:rsid w:val="00A02D15"/>
    <w:rsid w:val="00A11403"/>
    <w:rsid w:val="00A26B0D"/>
    <w:rsid w:val="00A3735A"/>
    <w:rsid w:val="00A42F1B"/>
    <w:rsid w:val="00A45C81"/>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2D86"/>
    <w:rsid w:val="00AF4D3F"/>
    <w:rsid w:val="00B0300B"/>
    <w:rsid w:val="00B05457"/>
    <w:rsid w:val="00B128A0"/>
    <w:rsid w:val="00B20240"/>
    <w:rsid w:val="00B23281"/>
    <w:rsid w:val="00B27571"/>
    <w:rsid w:val="00B4164B"/>
    <w:rsid w:val="00B5409A"/>
    <w:rsid w:val="00B55574"/>
    <w:rsid w:val="00B6525D"/>
    <w:rsid w:val="00B65ABA"/>
    <w:rsid w:val="00B6790F"/>
    <w:rsid w:val="00B71B3B"/>
    <w:rsid w:val="00B87D61"/>
    <w:rsid w:val="00B93948"/>
    <w:rsid w:val="00B960C8"/>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17898"/>
    <w:rsid w:val="00C2181C"/>
    <w:rsid w:val="00C2657D"/>
    <w:rsid w:val="00C416E1"/>
    <w:rsid w:val="00C47BF8"/>
    <w:rsid w:val="00C51B1C"/>
    <w:rsid w:val="00C53DCE"/>
    <w:rsid w:val="00C655F2"/>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311AB"/>
    <w:rsid w:val="00D325A8"/>
    <w:rsid w:val="00D442AD"/>
    <w:rsid w:val="00D5618A"/>
    <w:rsid w:val="00D5784B"/>
    <w:rsid w:val="00D61AC0"/>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2735"/>
    <w:rsid w:val="00DF3364"/>
    <w:rsid w:val="00E055BB"/>
    <w:rsid w:val="00E11988"/>
    <w:rsid w:val="00E15DA9"/>
    <w:rsid w:val="00E2095D"/>
    <w:rsid w:val="00E30414"/>
    <w:rsid w:val="00E40769"/>
    <w:rsid w:val="00E42E8B"/>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12201"/>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2EE3"/>
    <w:rsid w:val="00FB32A4"/>
    <w:rsid w:val="00FB3595"/>
    <w:rsid w:val="00FB584B"/>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AD8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noteTextChar">
    <w:name w:val="Footnote Text Char"/>
    <w:link w:val="FootnoteText"/>
    <w:uiPriority w:val="8"/>
    <w:rsid w:val="003A494C"/>
    <w:rPr>
      <w:rFonts w:ascii="Arial" w:eastAsia="MS Gothic" w:hAnsi="Arial" w:cs="Arial"/>
      <w:sz w:val="16"/>
      <w:szCs w:val="16"/>
      <w:lang w:eastAsia="en-US"/>
    </w:rPr>
  </w:style>
  <w:style w:type="paragraph" w:styleId="NormalWeb">
    <w:name w:val="Normal (Web)"/>
    <w:basedOn w:val="Normal"/>
    <w:uiPriority w:val="99"/>
    <w:semiHidden/>
    <w:unhideWhenUsed/>
    <w:rsid w:val="003A494C"/>
    <w:pPr>
      <w:spacing w:before="100" w:beforeAutospacing="1" w:after="100" w:afterAutospacing="1"/>
    </w:pPr>
    <w:rPr>
      <w:rFonts w:ascii="Times New Roman" w:hAnsi="Times New Roman"/>
      <w:sz w:val="24"/>
      <w:szCs w:val="24"/>
      <w:lang w:eastAsia="en-AU"/>
    </w:rPr>
  </w:style>
  <w:style w:type="character" w:styleId="UnresolvedMention">
    <w:name w:val="Unresolved Mention"/>
    <w:uiPriority w:val="99"/>
    <w:semiHidden/>
    <w:unhideWhenUsed/>
    <w:rsid w:val="006C0793"/>
    <w:rPr>
      <w:color w:val="605E5C"/>
      <w:shd w:val="clear" w:color="auto" w:fill="E1DFDD"/>
    </w:rPr>
  </w:style>
  <w:style w:type="character" w:styleId="CommentReference">
    <w:name w:val="annotation reference"/>
    <w:uiPriority w:val="99"/>
    <w:semiHidden/>
    <w:unhideWhenUsed/>
    <w:rsid w:val="00A0139C"/>
    <w:rPr>
      <w:sz w:val="16"/>
      <w:szCs w:val="16"/>
    </w:rPr>
  </w:style>
  <w:style w:type="paragraph" w:styleId="CommentText">
    <w:name w:val="annotation text"/>
    <w:basedOn w:val="Normal"/>
    <w:link w:val="CommentTextChar"/>
    <w:uiPriority w:val="99"/>
    <w:semiHidden/>
    <w:unhideWhenUsed/>
    <w:rsid w:val="00A0139C"/>
  </w:style>
  <w:style w:type="character" w:customStyle="1" w:styleId="CommentTextChar">
    <w:name w:val="Comment Text Char"/>
    <w:link w:val="CommentText"/>
    <w:uiPriority w:val="99"/>
    <w:semiHidden/>
    <w:rsid w:val="00A0139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0139C"/>
    <w:rPr>
      <w:b/>
      <w:bCs/>
    </w:rPr>
  </w:style>
  <w:style w:type="character" w:customStyle="1" w:styleId="CommentSubjectChar">
    <w:name w:val="Comment Subject Char"/>
    <w:link w:val="CommentSubject"/>
    <w:uiPriority w:val="99"/>
    <w:semiHidden/>
    <w:rsid w:val="00A0139C"/>
    <w:rPr>
      <w:rFonts w:ascii="Cambria" w:hAnsi="Cambria"/>
      <w:b/>
      <w:bCs/>
      <w:lang w:eastAsia="en-US"/>
    </w:rPr>
  </w:style>
  <w:style w:type="paragraph" w:styleId="BalloonText">
    <w:name w:val="Balloon Text"/>
    <w:basedOn w:val="Normal"/>
    <w:link w:val="BalloonTextChar"/>
    <w:uiPriority w:val="99"/>
    <w:semiHidden/>
    <w:unhideWhenUsed/>
    <w:rsid w:val="002D3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A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health.vic.gov.au/foodsaf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enquiries@primesafe.vic.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imesafe.vic.gov.au/" TargetMode="External"/><Relationship Id="rId20" Type="http://schemas.openxmlformats.org/officeDocument/2006/relationships/hyperlink" Target="https://www.foodstandards.gov.au/industry/foodrecalls/recallstat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standards.gov.au/Pages/default.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dairysafe.vic.gov.au" TargetMode="External"/><Relationship Id="rId23" Type="http://schemas.openxmlformats.org/officeDocument/2006/relationships/footer" Target="footer1.xml"/><Relationship Id="rId10" Type="http://schemas.openxmlformats.org/officeDocument/2006/relationships/hyperlink" Target="https://www2.health.vic.gov.au/public-health/food-safety/publications-guides-resources" TargetMode="External"/><Relationship Id="rId19" Type="http://schemas.openxmlformats.org/officeDocument/2006/relationships/hyperlink" Target="mailto:foodsafety@health.vic.gov.au" TargetMode="External"/><Relationship Id="rId4" Type="http://schemas.openxmlformats.org/officeDocument/2006/relationships/settings" Target="settings.xml"/><Relationship Id="rId9" Type="http://schemas.openxmlformats.org/officeDocument/2006/relationships/hyperlink" Target="https://www2.health.vic.gov.au/public-health/food-safety/publications-guides-resources" TargetMode="External"/><Relationship Id="rId14" Type="http://schemas.openxmlformats.org/officeDocument/2006/relationships/hyperlink" Target="http://www.dairysafe.vic.gov.a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B6A3-6230-4324-BC14-F7E5683A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2242</Words>
  <Characters>13704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Food safety report</vt:lpstr>
    </vt:vector>
  </TitlesOfParts>
  <Manager/>
  <Company/>
  <LinksUpToDate>false</LinksUpToDate>
  <CharactersWithSpaces>15915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report</dc:title>
  <dc:subject/>
  <dc:creator/>
  <cp:keywords/>
  <cp:lastModifiedBy/>
  <cp:revision>1</cp:revision>
  <dcterms:created xsi:type="dcterms:W3CDTF">2021-06-28T03:07:00Z</dcterms:created>
  <dcterms:modified xsi:type="dcterms:W3CDTF">2021-06-28T03:07:00Z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2021-06-28T03:07:50Z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9c6de66e-e30c-4182-88fb-4cb8fe00752a</vt:lpwstr>
  </property>
  <property fmtid="{D5CDD505-2E9C-101B-9397-08002B2CF9AE}" pid="8" name="MSIP_Label_efdf5488-3066-4b6c-8fea-9472b8a1f34c_ContentBits">
    <vt:lpwstr>0</vt:lpwstr>
  </property>
</Properties>
</file>