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22"/>
        <w:tblW w:w="0" w:type="auto"/>
        <w:tblLook w:val="04A0" w:firstRow="1" w:lastRow="0" w:firstColumn="1" w:lastColumn="0" w:noHBand="0" w:noVBand="1"/>
      </w:tblPr>
      <w:tblGrid>
        <w:gridCol w:w="10137"/>
      </w:tblGrid>
      <w:tr w:rsidR="00C55D60" w:rsidTr="00C55D60">
        <w:trPr>
          <w:trHeight w:val="1276"/>
        </w:trPr>
        <w:tc>
          <w:tcPr>
            <w:tcW w:w="10137" w:type="dxa"/>
            <w:shd w:val="clear" w:color="auto" w:fill="auto"/>
            <w:vAlign w:val="bottom"/>
          </w:tcPr>
          <w:p w:rsidR="00C55D60" w:rsidRPr="00C55D60" w:rsidRDefault="00C55D60" w:rsidP="00C55D60">
            <w:pPr>
              <w:autoSpaceDE w:val="0"/>
              <w:autoSpaceDN w:val="0"/>
              <w:adjustRightInd w:val="0"/>
              <w:rPr>
                <w:rFonts w:ascii="Arial" w:hAnsi="Arial" w:cs="Arial"/>
                <w:color w:val="FFFFFF" w:themeColor="background1"/>
                <w:sz w:val="50"/>
                <w:szCs w:val="50"/>
              </w:rPr>
            </w:pPr>
            <w:r w:rsidRPr="00C55D60">
              <w:rPr>
                <w:rFonts w:ascii="Arial" w:hAnsi="Arial" w:cs="Arial"/>
                <w:color w:val="FFFFFF" w:themeColor="background1"/>
                <w:sz w:val="50"/>
                <w:szCs w:val="50"/>
                <w:lang w:eastAsia="en-AU"/>
              </w:rPr>
              <w:t xml:space="preserve">Deceased </w:t>
            </w:r>
            <w:r>
              <w:rPr>
                <w:rFonts w:ascii="Arial" w:hAnsi="Arial" w:cs="Arial"/>
                <w:color w:val="FFFFFF" w:themeColor="background1"/>
                <w:sz w:val="50"/>
                <w:szCs w:val="50"/>
                <w:lang w:eastAsia="en-AU"/>
              </w:rPr>
              <w:t>C</w:t>
            </w:r>
            <w:r w:rsidRPr="00C55D60">
              <w:rPr>
                <w:rFonts w:ascii="Arial" w:hAnsi="Arial" w:cs="Arial"/>
                <w:color w:val="FFFFFF" w:themeColor="background1"/>
                <w:sz w:val="50"/>
                <w:szCs w:val="50"/>
                <w:lang w:eastAsia="en-AU"/>
              </w:rPr>
              <w:t xml:space="preserve">lients </w:t>
            </w:r>
            <w:r>
              <w:rPr>
                <w:rFonts w:ascii="Arial" w:hAnsi="Arial" w:cs="Arial"/>
                <w:color w:val="FFFFFF" w:themeColor="background1"/>
                <w:sz w:val="50"/>
                <w:szCs w:val="50"/>
                <w:lang w:eastAsia="en-AU"/>
              </w:rPr>
              <w:t>L</w:t>
            </w:r>
            <w:r w:rsidRPr="00C55D60">
              <w:rPr>
                <w:rFonts w:ascii="Arial" w:hAnsi="Arial" w:cs="Arial"/>
                <w:color w:val="FFFFFF" w:themeColor="background1"/>
                <w:sz w:val="50"/>
                <w:szCs w:val="50"/>
                <w:lang w:eastAsia="en-AU"/>
              </w:rPr>
              <w:t xml:space="preserve">egal </w:t>
            </w:r>
            <w:r>
              <w:rPr>
                <w:rFonts w:ascii="Arial" w:hAnsi="Arial" w:cs="Arial"/>
                <w:color w:val="FFFFFF" w:themeColor="background1"/>
                <w:sz w:val="50"/>
                <w:szCs w:val="50"/>
                <w:lang w:eastAsia="en-AU"/>
              </w:rPr>
              <w:t>S</w:t>
            </w:r>
            <w:r w:rsidRPr="00C55D60">
              <w:rPr>
                <w:rFonts w:ascii="Arial" w:hAnsi="Arial" w:cs="Arial"/>
                <w:color w:val="FFFFFF" w:themeColor="background1"/>
                <w:sz w:val="50"/>
                <w:szCs w:val="50"/>
                <w:lang w:eastAsia="en-AU"/>
              </w:rPr>
              <w:t xml:space="preserve">tatus and </w:t>
            </w:r>
            <w:r>
              <w:rPr>
                <w:rFonts w:ascii="Arial" w:hAnsi="Arial" w:cs="Arial"/>
                <w:color w:val="FFFFFF" w:themeColor="background1"/>
                <w:sz w:val="50"/>
                <w:szCs w:val="50"/>
                <w:lang w:eastAsia="en-AU"/>
              </w:rPr>
              <w:t>C</w:t>
            </w:r>
            <w:r w:rsidRPr="00C55D60">
              <w:rPr>
                <w:rFonts w:ascii="Arial" w:hAnsi="Arial" w:cs="Arial"/>
                <w:color w:val="FFFFFF" w:themeColor="background1"/>
                <w:sz w:val="50"/>
                <w:szCs w:val="50"/>
                <w:lang w:eastAsia="en-AU"/>
              </w:rPr>
              <w:t xml:space="preserve">ase </w:t>
            </w:r>
            <w:r>
              <w:rPr>
                <w:rFonts w:ascii="Arial" w:hAnsi="Arial" w:cs="Arial"/>
                <w:color w:val="FFFFFF" w:themeColor="background1"/>
                <w:sz w:val="50"/>
                <w:szCs w:val="50"/>
                <w:lang w:eastAsia="en-AU"/>
              </w:rPr>
              <w:t>C</w:t>
            </w:r>
            <w:r w:rsidRPr="00C55D60">
              <w:rPr>
                <w:rFonts w:ascii="Arial" w:hAnsi="Arial" w:cs="Arial"/>
                <w:color w:val="FFFFFF" w:themeColor="background1"/>
                <w:sz w:val="50"/>
                <w:szCs w:val="50"/>
                <w:lang w:eastAsia="en-AU"/>
              </w:rPr>
              <w:t>losure in CMI/ODS</w:t>
            </w:r>
          </w:p>
          <w:p w:rsidR="00C55D60" w:rsidRPr="00161AA0" w:rsidRDefault="00C55D60" w:rsidP="00C55D60">
            <w:pPr>
              <w:pStyle w:val="DHHSmainheading"/>
            </w:pPr>
          </w:p>
        </w:tc>
      </w:tr>
      <w:tr w:rsidR="00C55D60" w:rsidTr="00C55D60">
        <w:trPr>
          <w:trHeight w:val="494"/>
        </w:trPr>
        <w:tc>
          <w:tcPr>
            <w:tcW w:w="10137" w:type="dxa"/>
            <w:shd w:val="clear" w:color="auto" w:fill="auto"/>
            <w:tcMar>
              <w:top w:w="510" w:type="dxa"/>
            </w:tcMar>
          </w:tcPr>
          <w:p w:rsidR="00C55D60" w:rsidRDefault="00C55D60" w:rsidP="00C55D60">
            <w:pPr>
              <w:pStyle w:val="DHHSmainsubheading"/>
            </w:pPr>
            <w:r>
              <w:rPr>
                <w:sz w:val="30"/>
                <w:szCs w:val="30"/>
              </w:rPr>
              <w:t>Program management circular</w:t>
            </w:r>
          </w:p>
        </w:tc>
      </w:tr>
    </w:tbl>
    <w:p w:rsidR="00306E5F" w:rsidRPr="004946F4" w:rsidRDefault="00D23BCF" w:rsidP="00DE6028">
      <w:pPr>
        <w:pStyle w:val="Spacerparatopoffirstpage"/>
      </w:pPr>
      <w:r>
        <w:rPr>
          <w:lang w:eastAsia="en-AU"/>
        </w:rPr>
        <w:drawing>
          <wp:anchor distT="0" distB="0" distL="114300" distR="114300" simplePos="0" relativeHeight="251657728" behindDoc="1" locked="1" layoutInCell="0" allowOverlap="1" wp14:anchorId="70DC48C6" wp14:editId="4DE0CBBD">
            <wp:simplePos x="0" y="0"/>
            <wp:positionH relativeFrom="page">
              <wp:posOffset>0</wp:posOffset>
            </wp:positionH>
            <wp:positionV relativeFrom="page">
              <wp:posOffset>0</wp:posOffset>
            </wp:positionV>
            <wp:extent cx="7563485" cy="2066290"/>
            <wp:effectExtent l="0" t="0" r="0" b="0"/>
            <wp:wrapNone/>
            <wp:docPr id="21" name="Picture 21" descr="Factsheet Banner 08 Blu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tsheet Banner 08 Blu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DEF" w:rsidRPr="00B23EA5" w:rsidRDefault="00C55D60" w:rsidP="00C55D60">
      <w:pPr>
        <w:tabs>
          <w:tab w:val="left" w:pos="6804"/>
        </w:tabs>
        <w:rPr>
          <w:rFonts w:ascii="Arial" w:hAnsi="Arial" w:cs="Arial"/>
          <w:color w:val="3366FF"/>
          <w:sz w:val="32"/>
          <w:szCs w:val="32"/>
        </w:rPr>
      </w:pPr>
      <w:r>
        <w:rPr>
          <w:rFonts w:ascii="Arial" w:hAnsi="Arial" w:cs="Arial"/>
          <w:color w:val="3366FF"/>
          <w:sz w:val="32"/>
          <w:szCs w:val="32"/>
        </w:rPr>
        <w:t>Revised: July 2015</w:t>
      </w:r>
      <w:r w:rsidR="00FA6DEF" w:rsidRPr="00B23EA5">
        <w:rPr>
          <w:rFonts w:ascii="Arial" w:hAnsi="Arial" w:cs="Arial"/>
          <w:color w:val="3366FF"/>
          <w:sz w:val="32"/>
          <w:szCs w:val="32"/>
        </w:rPr>
        <w:tab/>
      </w:r>
      <w:r>
        <w:rPr>
          <w:rFonts w:ascii="Arial" w:hAnsi="Arial" w:cs="Arial"/>
          <w:color w:val="3366FF"/>
          <w:sz w:val="32"/>
          <w:szCs w:val="32"/>
        </w:rPr>
        <w:t>Review Date: July 2016</w:t>
      </w:r>
    </w:p>
    <w:p w:rsidR="00576E84" w:rsidRPr="00F320C1" w:rsidRDefault="009F02A3">
      <w:pPr>
        <w:pStyle w:val="TOC1"/>
        <w:rPr>
          <w:rFonts w:ascii="Calibri" w:hAnsi="Calibri"/>
          <w:b w:val="0"/>
          <w:sz w:val="22"/>
          <w:szCs w:val="22"/>
          <w:lang w:eastAsia="en-AU"/>
        </w:rPr>
      </w:pPr>
      <w:r>
        <w:fldChar w:fldCharType="begin"/>
      </w:r>
      <w:r>
        <w:instrText xml:space="preserve"> TOC \h \z \t "Heading 1,1,Heading 2,2" </w:instrText>
      </w:r>
      <w:r>
        <w:fldChar w:fldCharType="separate"/>
      </w:r>
      <w:hyperlink w:anchor="_Toc410976287" w:history="1">
        <w:r w:rsidR="005C24F8">
          <w:rPr>
            <w:rStyle w:val="Hyperlink"/>
          </w:rPr>
          <w:t>Key Message</w:t>
        </w:r>
        <w:r w:rsidR="00576E84">
          <w:rPr>
            <w:webHidden/>
          </w:rPr>
          <w:tab/>
        </w:r>
        <w:r w:rsidR="00576E84">
          <w:rPr>
            <w:webHidden/>
          </w:rPr>
          <w:fldChar w:fldCharType="begin"/>
        </w:r>
        <w:r w:rsidR="00576E84">
          <w:rPr>
            <w:webHidden/>
          </w:rPr>
          <w:instrText xml:space="preserve"> PAGEREF _Toc410976287 \h </w:instrText>
        </w:r>
        <w:r w:rsidR="00576E84">
          <w:rPr>
            <w:webHidden/>
          </w:rPr>
        </w:r>
        <w:r w:rsidR="00576E84">
          <w:rPr>
            <w:webHidden/>
          </w:rPr>
          <w:fldChar w:fldCharType="separate"/>
        </w:r>
        <w:r w:rsidR="00D23BCF">
          <w:rPr>
            <w:webHidden/>
          </w:rPr>
          <w:t>1</w:t>
        </w:r>
        <w:r w:rsidR="00576E84">
          <w:rPr>
            <w:webHidden/>
          </w:rPr>
          <w:fldChar w:fldCharType="end"/>
        </w:r>
      </w:hyperlink>
    </w:p>
    <w:p w:rsidR="00576E84" w:rsidRDefault="00175441">
      <w:pPr>
        <w:pStyle w:val="TOC1"/>
      </w:pPr>
      <w:hyperlink w:anchor="_Toc410976289" w:history="1">
        <w:r w:rsidR="005C24F8">
          <w:rPr>
            <w:rStyle w:val="Hyperlink"/>
          </w:rPr>
          <w:t>Purpose</w:t>
        </w:r>
        <w:r w:rsidR="00576E84">
          <w:rPr>
            <w:webHidden/>
          </w:rPr>
          <w:tab/>
        </w:r>
        <w:r w:rsidR="005C24F8">
          <w:rPr>
            <w:webHidden/>
          </w:rPr>
          <w:t>1</w:t>
        </w:r>
      </w:hyperlink>
    </w:p>
    <w:p w:rsidR="005C24F8" w:rsidRPr="00F320C1" w:rsidRDefault="005C24F8" w:rsidP="005C24F8">
      <w:pPr>
        <w:pStyle w:val="TOC1"/>
        <w:rPr>
          <w:rFonts w:ascii="Calibri" w:hAnsi="Calibri"/>
          <w:b w:val="0"/>
          <w:sz w:val="22"/>
          <w:szCs w:val="22"/>
          <w:lang w:eastAsia="en-AU"/>
        </w:rPr>
      </w:pPr>
      <w:r>
        <w:fldChar w:fldCharType="begin"/>
      </w:r>
      <w:r>
        <w:instrText xml:space="preserve"> TOC \h \z \t "Heading 1,1,Heading 2,2" </w:instrText>
      </w:r>
      <w:r>
        <w:fldChar w:fldCharType="separate"/>
      </w:r>
      <w:hyperlink w:anchor="_Toc410976287" w:history="1">
        <w:r>
          <w:rPr>
            <w:rStyle w:val="Hyperlink"/>
          </w:rPr>
          <w:t>Background</w:t>
        </w:r>
        <w:r>
          <w:rPr>
            <w:webHidden/>
          </w:rPr>
          <w:tab/>
        </w:r>
        <w:r>
          <w:rPr>
            <w:webHidden/>
          </w:rPr>
          <w:fldChar w:fldCharType="begin"/>
        </w:r>
        <w:r>
          <w:rPr>
            <w:webHidden/>
          </w:rPr>
          <w:instrText xml:space="preserve"> PAGEREF _Toc410976287 \h </w:instrText>
        </w:r>
        <w:r>
          <w:rPr>
            <w:webHidden/>
          </w:rPr>
        </w:r>
        <w:r>
          <w:rPr>
            <w:webHidden/>
          </w:rPr>
          <w:fldChar w:fldCharType="separate"/>
        </w:r>
        <w:r>
          <w:rPr>
            <w:webHidden/>
          </w:rPr>
          <w:t>1</w:t>
        </w:r>
        <w:r>
          <w:rPr>
            <w:webHidden/>
          </w:rPr>
          <w:fldChar w:fldCharType="end"/>
        </w:r>
      </w:hyperlink>
    </w:p>
    <w:p w:rsidR="005C24F8" w:rsidRPr="00F320C1" w:rsidRDefault="00175441" w:rsidP="005C24F8">
      <w:pPr>
        <w:pStyle w:val="TOC1"/>
        <w:rPr>
          <w:rFonts w:ascii="Calibri" w:hAnsi="Calibri"/>
          <w:b w:val="0"/>
          <w:sz w:val="22"/>
          <w:szCs w:val="22"/>
          <w:lang w:eastAsia="en-AU"/>
        </w:rPr>
      </w:pPr>
      <w:hyperlink w:anchor="_Toc410976289" w:history="1">
        <w:r w:rsidR="005C24F8">
          <w:rPr>
            <w:rStyle w:val="Hyperlink"/>
          </w:rPr>
          <w:t>The Process</w:t>
        </w:r>
        <w:r w:rsidR="005C24F8">
          <w:rPr>
            <w:webHidden/>
          </w:rPr>
          <w:tab/>
          <w:t>2</w:t>
        </w:r>
      </w:hyperlink>
    </w:p>
    <w:p w:rsidR="005C24F8" w:rsidRPr="00F320C1" w:rsidRDefault="005C24F8" w:rsidP="005C24F8">
      <w:pPr>
        <w:pStyle w:val="TOC1"/>
        <w:rPr>
          <w:rFonts w:ascii="Calibri" w:hAnsi="Calibri"/>
          <w:b w:val="0"/>
          <w:sz w:val="22"/>
          <w:szCs w:val="22"/>
          <w:lang w:eastAsia="en-AU"/>
        </w:rPr>
      </w:pPr>
      <w:r>
        <w:fldChar w:fldCharType="end"/>
      </w:r>
      <w:r>
        <w:fldChar w:fldCharType="begin"/>
      </w:r>
      <w:r>
        <w:instrText xml:space="preserve"> TOC \h \z \t "Heading 1,1,Heading 2,2" </w:instrText>
      </w:r>
      <w:r>
        <w:fldChar w:fldCharType="separate"/>
      </w:r>
      <w:hyperlink w:anchor="_Toc410976287" w:history="1">
        <w:r>
          <w:rPr>
            <w:rStyle w:val="Hyperlink"/>
          </w:rPr>
          <w:t>About Management Circulars</w:t>
        </w:r>
        <w:r>
          <w:rPr>
            <w:webHidden/>
          </w:rPr>
          <w:tab/>
          <w:t>2</w:t>
        </w:r>
      </w:hyperlink>
    </w:p>
    <w:p w:rsidR="0074696E" w:rsidRPr="004C6EEE" w:rsidRDefault="005C24F8" w:rsidP="005C24F8">
      <w:pPr>
        <w:pStyle w:val="TOC1"/>
      </w:pPr>
      <w:r>
        <w:fldChar w:fldCharType="end"/>
      </w:r>
      <w:r w:rsidR="009F02A3">
        <w:fldChar w:fldCharType="end"/>
      </w:r>
    </w:p>
    <w:p w:rsidR="00A62D44" w:rsidRPr="004C6EEE" w:rsidRDefault="00A62D44" w:rsidP="004C6EEE">
      <w:pPr>
        <w:pStyle w:val="Sectionbreakfirstpage"/>
        <w:sectPr w:rsidR="00A62D44" w:rsidRPr="004C6EEE" w:rsidSect="00D33E72">
          <w:footerReference w:type="default" r:id="rId9"/>
          <w:footerReference w:type="first" r:id="rId10"/>
          <w:pgSz w:w="11906" w:h="16838" w:code="9"/>
          <w:pgMar w:top="851" w:right="851" w:bottom="1418" w:left="851" w:header="510" w:footer="510" w:gutter="0"/>
          <w:cols w:space="708"/>
          <w:docGrid w:linePitch="360"/>
        </w:sectPr>
      </w:pPr>
    </w:p>
    <w:p w:rsidR="00893AF6" w:rsidRPr="00B63AE8" w:rsidRDefault="005C24F8" w:rsidP="00B63AE8">
      <w:pPr>
        <w:pStyle w:val="Heading1"/>
      </w:pPr>
      <w:r>
        <w:lastRenderedPageBreak/>
        <w:t>Key Message</w:t>
      </w:r>
    </w:p>
    <w:p w:rsidR="005C24F8" w:rsidRPr="005C24F8" w:rsidRDefault="005C24F8" w:rsidP="005C24F8">
      <w:pPr>
        <w:autoSpaceDE w:val="0"/>
        <w:autoSpaceDN w:val="0"/>
        <w:adjustRightInd w:val="0"/>
        <w:spacing w:line="312" w:lineRule="auto"/>
        <w:rPr>
          <w:rFonts w:ascii="Arial" w:hAnsi="Arial" w:cs="Arial"/>
          <w:lang w:eastAsia="en-AU"/>
        </w:rPr>
      </w:pPr>
      <w:bookmarkStart w:id="0" w:name="_Toc256778633"/>
      <w:r w:rsidRPr="005C24F8">
        <w:rPr>
          <w:rFonts w:ascii="Arial" w:hAnsi="Arial" w:cs="Arial"/>
          <w:lang w:eastAsia="en-AU"/>
        </w:rPr>
        <w:t>All deceased clients on a legal status must have their status updated to ‘None’ and their case closed after their death recorded in CMI/ODS.</w:t>
      </w:r>
    </w:p>
    <w:bookmarkEnd w:id="0"/>
    <w:p w:rsidR="005C24F8" w:rsidRPr="00B63AE8" w:rsidRDefault="005C24F8" w:rsidP="005C24F8">
      <w:pPr>
        <w:pStyle w:val="Heading1"/>
      </w:pPr>
      <w:r>
        <w:t xml:space="preserve">Purpose </w:t>
      </w:r>
    </w:p>
    <w:p w:rsidR="005C24F8" w:rsidRDefault="005C24F8" w:rsidP="005C24F8">
      <w:pPr>
        <w:autoSpaceDE w:val="0"/>
        <w:autoSpaceDN w:val="0"/>
        <w:adjustRightInd w:val="0"/>
        <w:spacing w:line="288" w:lineRule="auto"/>
        <w:rPr>
          <w:rFonts w:ascii="Arial" w:hAnsi="Arial" w:cs="Arial"/>
          <w:lang w:eastAsia="en-AU"/>
        </w:rPr>
      </w:pPr>
      <w:r w:rsidRPr="005C24F8">
        <w:rPr>
          <w:rFonts w:ascii="Arial" w:hAnsi="Arial" w:cs="Arial"/>
          <w:lang w:eastAsia="en-AU"/>
        </w:rPr>
        <w:t>To provide advice regarding the recording and updating of legal status and case closure for deceased clients in CMI/ODS.</w:t>
      </w:r>
    </w:p>
    <w:p w:rsidR="005C24F8" w:rsidRPr="00B63AE8" w:rsidRDefault="005C24F8" w:rsidP="005C24F8">
      <w:pPr>
        <w:pStyle w:val="Heading1"/>
      </w:pPr>
      <w:r>
        <w:t>Background</w:t>
      </w:r>
    </w:p>
    <w:p w:rsidR="005C24F8" w:rsidRPr="00F70236" w:rsidRDefault="005C24F8" w:rsidP="005C24F8">
      <w:pPr>
        <w:autoSpaceDE w:val="0"/>
        <w:autoSpaceDN w:val="0"/>
        <w:adjustRightInd w:val="0"/>
        <w:spacing w:line="312" w:lineRule="auto"/>
        <w:rPr>
          <w:rFonts w:ascii="Arial" w:hAnsi="Arial" w:cs="Arial"/>
          <w:lang w:eastAsia="en-AU"/>
        </w:rPr>
      </w:pPr>
      <w:r w:rsidRPr="00F70236">
        <w:rPr>
          <w:rFonts w:ascii="Arial" w:hAnsi="Arial" w:cs="Arial"/>
          <w:lang w:eastAsia="en-AU"/>
        </w:rPr>
        <w:t>CMI/ODS is the Victorian public mental health client information management system and comprises:</w:t>
      </w:r>
    </w:p>
    <w:p w:rsidR="005C24F8" w:rsidRPr="00F70236" w:rsidRDefault="005C24F8" w:rsidP="005C24F8">
      <w:pPr>
        <w:numPr>
          <w:ilvl w:val="0"/>
          <w:numId w:val="5"/>
        </w:numPr>
        <w:tabs>
          <w:tab w:val="clear" w:pos="720"/>
          <w:tab w:val="left" w:pos="362"/>
        </w:tabs>
        <w:autoSpaceDE w:val="0"/>
        <w:autoSpaceDN w:val="0"/>
        <w:adjustRightInd w:val="0"/>
        <w:spacing w:line="312" w:lineRule="auto"/>
        <w:ind w:left="362" w:hanging="362"/>
        <w:rPr>
          <w:rFonts w:ascii="Arial" w:hAnsi="Arial" w:cs="Arial"/>
          <w:lang w:eastAsia="en-AU"/>
        </w:rPr>
      </w:pPr>
      <w:r w:rsidRPr="00F70236">
        <w:rPr>
          <w:rFonts w:ascii="Arial" w:hAnsi="Arial" w:cs="Arial"/>
          <w:lang w:eastAsia="en-AU"/>
        </w:rPr>
        <w:t>Cli</w:t>
      </w:r>
      <w:r>
        <w:rPr>
          <w:rFonts w:ascii="Arial" w:hAnsi="Arial" w:cs="Arial"/>
          <w:lang w:eastAsia="en-AU"/>
        </w:rPr>
        <w:t>ent Management Interface (CMI).  T</w:t>
      </w:r>
      <w:r w:rsidRPr="00F70236">
        <w:rPr>
          <w:rFonts w:ascii="Arial" w:hAnsi="Arial" w:cs="Arial"/>
          <w:lang w:eastAsia="en-AU"/>
        </w:rPr>
        <w:t>he CMI is the local client information system used by each public mental health service</w:t>
      </w:r>
    </w:p>
    <w:p w:rsidR="005C24F8" w:rsidRPr="00F70236" w:rsidRDefault="005C24F8" w:rsidP="005C24F8">
      <w:pPr>
        <w:numPr>
          <w:ilvl w:val="0"/>
          <w:numId w:val="5"/>
        </w:numPr>
        <w:tabs>
          <w:tab w:val="clear" w:pos="720"/>
          <w:tab w:val="left" w:pos="362"/>
        </w:tabs>
        <w:autoSpaceDE w:val="0"/>
        <w:autoSpaceDN w:val="0"/>
        <w:adjustRightInd w:val="0"/>
        <w:spacing w:line="312" w:lineRule="auto"/>
        <w:ind w:left="362" w:hanging="362"/>
        <w:rPr>
          <w:rFonts w:ascii="Arial" w:hAnsi="Arial" w:cs="Arial"/>
          <w:lang w:eastAsia="en-AU"/>
        </w:rPr>
      </w:pPr>
      <w:r>
        <w:rPr>
          <w:rFonts w:ascii="Arial" w:hAnsi="Arial" w:cs="Arial"/>
          <w:lang w:eastAsia="en-AU"/>
        </w:rPr>
        <w:t>Operational Data Store (ODS).  T</w:t>
      </w:r>
      <w:r w:rsidRPr="00F70236">
        <w:rPr>
          <w:rFonts w:ascii="Arial" w:hAnsi="Arial" w:cs="Arial"/>
          <w:lang w:eastAsia="en-AU"/>
        </w:rPr>
        <w:t>he ODS manages a set of select data items from each CMI and is used to:</w:t>
      </w:r>
    </w:p>
    <w:p w:rsidR="005C24F8" w:rsidRPr="00F70236" w:rsidRDefault="005C24F8" w:rsidP="005C24F8">
      <w:pPr>
        <w:numPr>
          <w:ilvl w:val="1"/>
          <w:numId w:val="6"/>
        </w:numPr>
        <w:tabs>
          <w:tab w:val="clear" w:pos="1440"/>
          <w:tab w:val="num" w:pos="1560"/>
        </w:tabs>
        <w:autoSpaceDE w:val="0"/>
        <w:autoSpaceDN w:val="0"/>
        <w:adjustRightInd w:val="0"/>
        <w:spacing w:line="312" w:lineRule="auto"/>
        <w:ind w:left="709"/>
        <w:rPr>
          <w:rFonts w:ascii="Arial" w:hAnsi="Arial" w:cs="Arial"/>
          <w:lang w:eastAsia="en-AU"/>
        </w:rPr>
      </w:pPr>
      <w:r w:rsidRPr="00F70236">
        <w:rPr>
          <w:rFonts w:ascii="Arial" w:hAnsi="Arial" w:cs="Arial"/>
          <w:lang w:eastAsia="en-AU"/>
        </w:rPr>
        <w:t xml:space="preserve">allocate a unique (mental health) registration number for each client, known as the </w:t>
      </w:r>
      <w:proofErr w:type="spellStart"/>
      <w:r w:rsidRPr="00F70236">
        <w:rPr>
          <w:rFonts w:ascii="Arial" w:hAnsi="Arial" w:cs="Arial"/>
          <w:lang w:eastAsia="en-AU"/>
        </w:rPr>
        <w:t>statewide</w:t>
      </w:r>
      <w:proofErr w:type="spellEnd"/>
      <w:r w:rsidRPr="00F70236">
        <w:rPr>
          <w:rFonts w:ascii="Arial" w:hAnsi="Arial" w:cs="Arial"/>
          <w:lang w:eastAsia="en-AU"/>
        </w:rPr>
        <w:t xml:space="preserve"> unit record (UR) number</w:t>
      </w:r>
    </w:p>
    <w:p w:rsidR="005C24F8" w:rsidRPr="00F70236" w:rsidRDefault="005C24F8" w:rsidP="005C24F8">
      <w:pPr>
        <w:numPr>
          <w:ilvl w:val="1"/>
          <w:numId w:val="6"/>
        </w:numPr>
        <w:tabs>
          <w:tab w:val="clear" w:pos="1440"/>
          <w:tab w:val="num" w:pos="1560"/>
        </w:tabs>
        <w:autoSpaceDE w:val="0"/>
        <w:autoSpaceDN w:val="0"/>
        <w:adjustRightInd w:val="0"/>
        <w:spacing w:line="312" w:lineRule="auto"/>
        <w:ind w:left="709"/>
        <w:rPr>
          <w:rFonts w:ascii="Arial" w:hAnsi="Arial" w:cs="Arial"/>
          <w:lang w:eastAsia="en-AU"/>
        </w:rPr>
      </w:pPr>
      <w:r w:rsidRPr="00F70236">
        <w:rPr>
          <w:rFonts w:ascii="Arial" w:hAnsi="Arial" w:cs="Arial"/>
          <w:lang w:eastAsia="en-AU"/>
        </w:rPr>
        <w:t>share select client-level data between Victorian public area mental health services (AMHS) to support continuity of treatment and care</w:t>
      </w:r>
    </w:p>
    <w:p w:rsidR="005C24F8" w:rsidRPr="00F70236" w:rsidRDefault="005C24F8" w:rsidP="005C24F8">
      <w:pPr>
        <w:numPr>
          <w:ilvl w:val="1"/>
          <w:numId w:val="6"/>
        </w:numPr>
        <w:tabs>
          <w:tab w:val="clear" w:pos="1440"/>
          <w:tab w:val="num" w:pos="1560"/>
        </w:tabs>
        <w:autoSpaceDE w:val="0"/>
        <w:autoSpaceDN w:val="0"/>
        <w:adjustRightInd w:val="0"/>
        <w:spacing w:line="312" w:lineRule="auto"/>
        <w:ind w:left="709"/>
        <w:rPr>
          <w:rFonts w:ascii="Arial" w:hAnsi="Arial" w:cs="Arial"/>
          <w:lang w:eastAsia="en-AU"/>
        </w:rPr>
      </w:pPr>
      <w:r w:rsidRPr="00F70236">
        <w:rPr>
          <w:rFonts w:ascii="Arial" w:hAnsi="Arial" w:cs="Arial"/>
          <w:lang w:eastAsia="en-AU"/>
        </w:rPr>
        <w:t>ensure the legal basis for providing treatment is evident to all public mental health service providers where a client may be unable or unwilling to consent to treatment</w:t>
      </w:r>
    </w:p>
    <w:p w:rsidR="005C24F8" w:rsidRPr="00F70236" w:rsidRDefault="005C24F8" w:rsidP="005C24F8">
      <w:pPr>
        <w:numPr>
          <w:ilvl w:val="1"/>
          <w:numId w:val="6"/>
        </w:numPr>
        <w:tabs>
          <w:tab w:val="clear" w:pos="1440"/>
          <w:tab w:val="num" w:pos="1560"/>
        </w:tabs>
        <w:autoSpaceDE w:val="0"/>
        <w:autoSpaceDN w:val="0"/>
        <w:adjustRightInd w:val="0"/>
        <w:spacing w:line="312" w:lineRule="auto"/>
        <w:ind w:left="709"/>
        <w:rPr>
          <w:rFonts w:ascii="Arial" w:hAnsi="Arial" w:cs="Arial"/>
          <w:lang w:eastAsia="en-AU"/>
        </w:rPr>
      </w:pPr>
      <w:r w:rsidRPr="00F70236">
        <w:rPr>
          <w:rFonts w:ascii="Arial" w:hAnsi="Arial" w:cs="Arial"/>
          <w:lang w:eastAsia="en-AU"/>
        </w:rPr>
        <w:t>meet the various reporting requirements of the Department of Health</w:t>
      </w:r>
    </w:p>
    <w:p w:rsidR="005C24F8" w:rsidRDefault="005C24F8" w:rsidP="005C24F8">
      <w:pPr>
        <w:numPr>
          <w:ilvl w:val="1"/>
          <w:numId w:val="6"/>
        </w:numPr>
        <w:tabs>
          <w:tab w:val="clear" w:pos="1440"/>
          <w:tab w:val="num" w:pos="1560"/>
        </w:tabs>
        <w:autoSpaceDE w:val="0"/>
        <w:autoSpaceDN w:val="0"/>
        <w:adjustRightInd w:val="0"/>
        <w:spacing w:line="312" w:lineRule="auto"/>
        <w:ind w:left="709"/>
        <w:rPr>
          <w:rFonts w:ascii="Arial" w:hAnsi="Arial" w:cs="Arial"/>
          <w:lang w:eastAsia="en-AU"/>
        </w:rPr>
      </w:pPr>
      <w:proofErr w:type="gramStart"/>
      <w:r w:rsidRPr="00F70236">
        <w:rPr>
          <w:rFonts w:ascii="Arial" w:hAnsi="Arial" w:cs="Arial"/>
          <w:lang w:eastAsia="en-AU"/>
        </w:rPr>
        <w:t>support</w:t>
      </w:r>
      <w:proofErr w:type="gramEnd"/>
      <w:r w:rsidRPr="00F70236">
        <w:rPr>
          <w:rFonts w:ascii="Arial" w:hAnsi="Arial" w:cs="Arial"/>
          <w:lang w:eastAsia="en-AU"/>
        </w:rPr>
        <w:t xml:space="preserve"> the statutory functions of the Chief Psychiatrist and the Mental Health Review Board.</w:t>
      </w:r>
    </w:p>
    <w:p w:rsidR="005C24F8" w:rsidRPr="00B63AE8" w:rsidRDefault="005C24F8" w:rsidP="005C24F8">
      <w:pPr>
        <w:pStyle w:val="Heading1"/>
      </w:pPr>
      <w:r>
        <w:lastRenderedPageBreak/>
        <w:t>The Process</w:t>
      </w:r>
    </w:p>
    <w:p w:rsidR="005C24F8" w:rsidRPr="00F70236" w:rsidRDefault="005C24F8" w:rsidP="005C24F8">
      <w:pPr>
        <w:autoSpaceDE w:val="0"/>
        <w:autoSpaceDN w:val="0"/>
        <w:adjustRightInd w:val="0"/>
        <w:spacing w:line="312" w:lineRule="auto"/>
        <w:rPr>
          <w:rFonts w:ascii="Arial" w:hAnsi="Arial" w:cs="Arial"/>
          <w:lang w:eastAsia="en-AU"/>
        </w:rPr>
      </w:pPr>
      <w:r w:rsidRPr="00F70236">
        <w:rPr>
          <w:rFonts w:ascii="Arial" w:hAnsi="Arial" w:cs="Arial"/>
          <w:lang w:eastAsia="en-AU"/>
        </w:rPr>
        <w:t>In accordance with s.</w:t>
      </w:r>
      <w:r w:rsidR="00175441">
        <w:rPr>
          <w:rFonts w:ascii="Arial" w:hAnsi="Arial" w:cs="Arial"/>
          <w:lang w:eastAsia="en-AU"/>
        </w:rPr>
        <w:t>348(1)</w:t>
      </w:r>
      <w:r w:rsidRPr="00F70236">
        <w:rPr>
          <w:rFonts w:ascii="Arial" w:hAnsi="Arial" w:cs="Arial"/>
          <w:lang w:eastAsia="en-AU"/>
        </w:rPr>
        <w:t xml:space="preserve"> of the </w:t>
      </w:r>
      <w:r w:rsidRPr="00F70236">
        <w:rPr>
          <w:rFonts w:ascii="Arial" w:hAnsi="Arial" w:cs="Arial"/>
          <w:i/>
          <w:iCs/>
          <w:lang w:eastAsia="en-AU"/>
        </w:rPr>
        <w:t xml:space="preserve">Mental Health Act </w:t>
      </w:r>
      <w:r w:rsidR="00175441">
        <w:rPr>
          <w:rFonts w:ascii="Arial" w:hAnsi="Arial" w:cs="Arial"/>
          <w:i/>
          <w:iCs/>
          <w:lang w:eastAsia="en-AU"/>
        </w:rPr>
        <w:t>2014</w:t>
      </w:r>
      <w:r w:rsidRPr="00F70236">
        <w:rPr>
          <w:rFonts w:ascii="Arial" w:hAnsi="Arial" w:cs="Arial"/>
          <w:lang w:eastAsia="en-AU"/>
        </w:rPr>
        <w:t>, the authorised</w:t>
      </w:r>
      <w:r>
        <w:rPr>
          <w:rFonts w:ascii="Arial" w:hAnsi="Arial" w:cs="Arial"/>
          <w:lang w:eastAsia="en-AU"/>
        </w:rPr>
        <w:t xml:space="preserve"> </w:t>
      </w:r>
      <w:r w:rsidRPr="00F70236">
        <w:rPr>
          <w:rFonts w:ascii="Arial" w:hAnsi="Arial" w:cs="Arial"/>
          <w:lang w:eastAsia="en-AU"/>
        </w:rPr>
        <w:t xml:space="preserve">psychiatrist of each approved mental health service must report the death of a person receiving treatment or care for a mental disorder which is a ‘reportable death’ within the meaning of the </w:t>
      </w:r>
      <w:r w:rsidRPr="00F70236">
        <w:rPr>
          <w:rFonts w:ascii="Arial" w:hAnsi="Arial" w:cs="Arial"/>
          <w:i/>
          <w:iCs/>
          <w:lang w:eastAsia="en-AU"/>
        </w:rPr>
        <w:t xml:space="preserve">Coroners Act </w:t>
      </w:r>
      <w:r w:rsidR="00175441">
        <w:rPr>
          <w:rFonts w:ascii="Arial" w:hAnsi="Arial" w:cs="Arial"/>
          <w:i/>
          <w:iCs/>
          <w:lang w:eastAsia="en-AU"/>
        </w:rPr>
        <w:t>2008</w:t>
      </w:r>
      <w:r w:rsidRPr="00F70236">
        <w:rPr>
          <w:rFonts w:ascii="Arial" w:hAnsi="Arial" w:cs="Arial"/>
          <w:lang w:eastAsia="en-AU"/>
        </w:rPr>
        <w:t>. This report is made by completing form MHA-</w:t>
      </w:r>
      <w:r w:rsidR="00175441">
        <w:rPr>
          <w:rFonts w:ascii="Arial" w:hAnsi="Arial" w:cs="Arial"/>
          <w:lang w:eastAsia="en-AU"/>
        </w:rPr>
        <w:t>125</w:t>
      </w:r>
      <w:r w:rsidRPr="00F70236">
        <w:rPr>
          <w:rFonts w:ascii="Arial" w:hAnsi="Arial" w:cs="Arial"/>
          <w:lang w:eastAsia="en-AU"/>
        </w:rPr>
        <w:t xml:space="preserve"> (Notice of death) and submitting it to the Chief Psychiatrist. </w:t>
      </w:r>
    </w:p>
    <w:p w:rsidR="005C24F8" w:rsidRPr="00F70236" w:rsidRDefault="005C24F8" w:rsidP="005C24F8">
      <w:pPr>
        <w:autoSpaceDE w:val="0"/>
        <w:autoSpaceDN w:val="0"/>
        <w:adjustRightInd w:val="0"/>
        <w:spacing w:line="312" w:lineRule="auto"/>
        <w:rPr>
          <w:rFonts w:ascii="Arial" w:hAnsi="Arial" w:cs="Arial"/>
          <w:lang w:eastAsia="en-AU"/>
        </w:rPr>
      </w:pPr>
    </w:p>
    <w:p w:rsidR="005C24F8" w:rsidRPr="00F70236" w:rsidRDefault="005C24F8" w:rsidP="005C24F8">
      <w:pPr>
        <w:autoSpaceDE w:val="0"/>
        <w:autoSpaceDN w:val="0"/>
        <w:adjustRightInd w:val="0"/>
        <w:spacing w:line="312" w:lineRule="auto"/>
        <w:rPr>
          <w:rFonts w:ascii="Arial" w:hAnsi="Arial" w:cs="Arial"/>
          <w:lang w:eastAsia="en-AU"/>
        </w:rPr>
      </w:pPr>
      <w:r w:rsidRPr="00F70236">
        <w:rPr>
          <w:rFonts w:ascii="Arial" w:hAnsi="Arial" w:cs="Arial"/>
          <w:lang w:eastAsia="en-AU"/>
        </w:rPr>
        <w:t>Administrative staff should accept the completion of the MHA-</w:t>
      </w:r>
      <w:r w:rsidR="00175441">
        <w:rPr>
          <w:rFonts w:ascii="Arial" w:hAnsi="Arial" w:cs="Arial"/>
          <w:lang w:eastAsia="en-AU"/>
        </w:rPr>
        <w:t>125</w:t>
      </w:r>
      <w:r w:rsidRPr="00F70236">
        <w:rPr>
          <w:rFonts w:ascii="Arial" w:hAnsi="Arial" w:cs="Arial"/>
          <w:lang w:eastAsia="en-AU"/>
        </w:rPr>
        <w:t xml:space="preserve"> as full authorisat</w:t>
      </w:r>
      <w:r>
        <w:rPr>
          <w:rFonts w:ascii="Arial" w:hAnsi="Arial" w:cs="Arial"/>
          <w:lang w:eastAsia="en-AU"/>
        </w:rPr>
        <w:t>ion to enter the death details i</w:t>
      </w:r>
      <w:r w:rsidRPr="00F70236">
        <w:rPr>
          <w:rFonts w:ascii="Arial" w:hAnsi="Arial" w:cs="Arial"/>
          <w:lang w:eastAsia="en-AU"/>
        </w:rPr>
        <w:t>nto the CMI/ODS</w:t>
      </w:r>
      <w:r w:rsidR="00175441">
        <w:rPr>
          <w:rFonts w:ascii="Arial" w:hAnsi="Arial" w:cs="Arial"/>
          <w:lang w:eastAsia="en-AU"/>
        </w:rPr>
        <w:t xml:space="preserve"> </w:t>
      </w:r>
      <w:bookmarkStart w:id="1" w:name="_GoBack"/>
      <w:bookmarkEnd w:id="1"/>
      <w:r w:rsidRPr="00F70236">
        <w:rPr>
          <w:rFonts w:ascii="Arial" w:hAnsi="Arial" w:cs="Arial"/>
          <w:lang w:eastAsia="en-AU"/>
        </w:rPr>
        <w:t>and close the current case(s) where this is not automatically performed by the system.</w:t>
      </w:r>
    </w:p>
    <w:p w:rsidR="005C24F8" w:rsidRPr="00F70236" w:rsidRDefault="005C24F8" w:rsidP="005C24F8">
      <w:pPr>
        <w:autoSpaceDE w:val="0"/>
        <w:autoSpaceDN w:val="0"/>
        <w:adjustRightInd w:val="0"/>
        <w:spacing w:line="312" w:lineRule="auto"/>
        <w:rPr>
          <w:rFonts w:ascii="Arial" w:hAnsi="Arial" w:cs="Arial"/>
          <w:lang w:eastAsia="en-AU"/>
        </w:rPr>
      </w:pPr>
    </w:p>
    <w:p w:rsidR="005C24F8" w:rsidRDefault="005C24F8" w:rsidP="005C24F8">
      <w:pPr>
        <w:autoSpaceDE w:val="0"/>
        <w:autoSpaceDN w:val="0"/>
        <w:adjustRightInd w:val="0"/>
        <w:spacing w:line="312" w:lineRule="auto"/>
        <w:rPr>
          <w:rFonts w:ascii="Arial" w:hAnsi="Arial" w:cs="Arial"/>
          <w:lang w:eastAsia="en-AU"/>
        </w:rPr>
      </w:pPr>
      <w:r w:rsidRPr="00F70236">
        <w:rPr>
          <w:rFonts w:ascii="Arial" w:hAnsi="Arial" w:cs="Arial"/>
          <w:lang w:eastAsia="en-AU"/>
        </w:rPr>
        <w:t>The date and time of the legal status change must be set at exactly one minute after the date and time of death, where the date and time are known and recorded.</w:t>
      </w:r>
    </w:p>
    <w:p w:rsidR="005C24F8" w:rsidRPr="00F70236" w:rsidRDefault="005C24F8" w:rsidP="005C24F8">
      <w:pPr>
        <w:autoSpaceDE w:val="0"/>
        <w:autoSpaceDN w:val="0"/>
        <w:adjustRightInd w:val="0"/>
        <w:spacing w:line="312" w:lineRule="auto"/>
        <w:rPr>
          <w:rFonts w:ascii="Arial" w:hAnsi="Arial" w:cs="Arial"/>
          <w:lang w:eastAsia="en-AU"/>
        </w:rPr>
      </w:pPr>
    </w:p>
    <w:p w:rsidR="005C24F8" w:rsidRDefault="005C24F8" w:rsidP="005C24F8">
      <w:pPr>
        <w:autoSpaceDE w:val="0"/>
        <w:autoSpaceDN w:val="0"/>
        <w:adjustRightInd w:val="0"/>
        <w:spacing w:line="312" w:lineRule="auto"/>
        <w:rPr>
          <w:rFonts w:ascii="Arial" w:hAnsi="Arial" w:cs="Arial"/>
          <w:lang w:eastAsia="en-AU"/>
        </w:rPr>
      </w:pPr>
      <w:r w:rsidRPr="00F70236">
        <w:rPr>
          <w:rFonts w:ascii="Arial" w:hAnsi="Arial" w:cs="Arial"/>
          <w:lang w:eastAsia="en-AU"/>
        </w:rPr>
        <w:t>Where either</w:t>
      </w:r>
      <w:r>
        <w:rPr>
          <w:rFonts w:ascii="Arial" w:hAnsi="Arial" w:cs="Arial"/>
          <w:lang w:eastAsia="en-AU"/>
        </w:rPr>
        <w:t xml:space="preserve"> the date or time </w:t>
      </w:r>
      <w:proofErr w:type="gramStart"/>
      <w:r>
        <w:rPr>
          <w:rFonts w:ascii="Arial" w:hAnsi="Arial" w:cs="Arial"/>
          <w:lang w:eastAsia="en-AU"/>
        </w:rPr>
        <w:t xml:space="preserve">are not known, </w:t>
      </w:r>
      <w:r w:rsidRPr="00F70236">
        <w:rPr>
          <w:rFonts w:ascii="Arial" w:hAnsi="Arial" w:cs="Arial"/>
          <w:lang w:eastAsia="en-AU"/>
        </w:rPr>
        <w:t>administrative staff</w:t>
      </w:r>
      <w:proofErr w:type="gramEnd"/>
      <w:r w:rsidRPr="00F70236">
        <w:rPr>
          <w:rFonts w:ascii="Arial" w:hAnsi="Arial" w:cs="Arial"/>
          <w:lang w:eastAsia="en-AU"/>
        </w:rPr>
        <w:t xml:space="preserve"> should try to obtain the information in the first instance. </w:t>
      </w:r>
    </w:p>
    <w:p w:rsidR="005C24F8" w:rsidRDefault="005C24F8" w:rsidP="005C24F8">
      <w:pPr>
        <w:autoSpaceDE w:val="0"/>
        <w:autoSpaceDN w:val="0"/>
        <w:adjustRightInd w:val="0"/>
        <w:spacing w:line="312" w:lineRule="auto"/>
        <w:rPr>
          <w:rFonts w:ascii="Arial" w:hAnsi="Arial" w:cs="Arial"/>
          <w:lang w:eastAsia="en-AU"/>
        </w:rPr>
      </w:pPr>
    </w:p>
    <w:p w:rsidR="005C24F8" w:rsidRDefault="005C24F8" w:rsidP="005C24F8">
      <w:pPr>
        <w:autoSpaceDE w:val="0"/>
        <w:autoSpaceDN w:val="0"/>
        <w:adjustRightInd w:val="0"/>
        <w:spacing w:line="312" w:lineRule="auto"/>
        <w:rPr>
          <w:rFonts w:ascii="Arial" w:hAnsi="Arial" w:cs="Arial"/>
          <w:lang w:eastAsia="en-AU"/>
        </w:rPr>
      </w:pPr>
      <w:r w:rsidRPr="00F70236">
        <w:rPr>
          <w:rFonts w:ascii="Arial" w:hAnsi="Arial" w:cs="Arial"/>
          <w:lang w:eastAsia="en-AU"/>
        </w:rPr>
        <w:t>In the event that one or both are not able to be reliably determined, a best estimate should be made,</w:t>
      </w:r>
      <w:r>
        <w:rPr>
          <w:rFonts w:ascii="Arial" w:hAnsi="Arial" w:cs="Arial"/>
          <w:lang w:eastAsia="en-AU"/>
        </w:rPr>
        <w:t xml:space="preserve"> </w:t>
      </w:r>
      <w:r w:rsidRPr="00F70236">
        <w:rPr>
          <w:rFonts w:ascii="Arial" w:hAnsi="Arial" w:cs="Arial"/>
          <w:lang w:eastAsia="en-AU"/>
        </w:rPr>
        <w:t>based on information obtained from all available sources.</w:t>
      </w:r>
    </w:p>
    <w:p w:rsidR="005C24F8" w:rsidRPr="00F70236" w:rsidRDefault="005C24F8" w:rsidP="005C24F8">
      <w:pPr>
        <w:autoSpaceDE w:val="0"/>
        <w:autoSpaceDN w:val="0"/>
        <w:adjustRightInd w:val="0"/>
        <w:spacing w:line="312" w:lineRule="auto"/>
        <w:rPr>
          <w:rFonts w:ascii="Arial" w:hAnsi="Arial" w:cs="Arial"/>
          <w:lang w:eastAsia="en-AU"/>
        </w:rPr>
      </w:pPr>
    </w:p>
    <w:p w:rsidR="005C24F8" w:rsidRPr="00F70236" w:rsidRDefault="005C24F8" w:rsidP="005C24F8">
      <w:pPr>
        <w:autoSpaceDE w:val="0"/>
        <w:autoSpaceDN w:val="0"/>
        <w:adjustRightInd w:val="0"/>
        <w:spacing w:line="312" w:lineRule="auto"/>
        <w:rPr>
          <w:rFonts w:ascii="Arial" w:hAnsi="Arial" w:cs="Arial"/>
          <w:lang w:eastAsia="en-AU"/>
        </w:rPr>
      </w:pPr>
      <w:r w:rsidRPr="00F70236">
        <w:rPr>
          <w:rFonts w:ascii="Arial" w:hAnsi="Arial" w:cs="Arial"/>
          <w:lang w:eastAsia="en-AU"/>
        </w:rPr>
        <w:t>As a last resort, a default date and/or time may be recorded using the following protocol:</w:t>
      </w:r>
    </w:p>
    <w:p w:rsidR="005C24F8" w:rsidRPr="00F70236" w:rsidRDefault="005C24F8" w:rsidP="005C24F8">
      <w:pPr>
        <w:numPr>
          <w:ilvl w:val="0"/>
          <w:numId w:val="7"/>
        </w:numPr>
        <w:tabs>
          <w:tab w:val="clear" w:pos="720"/>
          <w:tab w:val="num" w:pos="362"/>
        </w:tabs>
        <w:autoSpaceDE w:val="0"/>
        <w:autoSpaceDN w:val="0"/>
        <w:adjustRightInd w:val="0"/>
        <w:spacing w:line="312" w:lineRule="auto"/>
        <w:ind w:left="362" w:hanging="362"/>
        <w:rPr>
          <w:rFonts w:ascii="Arial" w:hAnsi="Arial" w:cs="Arial"/>
          <w:lang w:eastAsia="en-AU"/>
        </w:rPr>
      </w:pPr>
      <w:r w:rsidRPr="00F70236">
        <w:rPr>
          <w:rFonts w:ascii="Arial" w:hAnsi="Arial" w:cs="Arial"/>
          <w:lang w:eastAsia="en-AU"/>
        </w:rPr>
        <w:t>last date of the week or month of death as the default date of death</w:t>
      </w:r>
    </w:p>
    <w:p w:rsidR="005C24F8" w:rsidRPr="00F70236" w:rsidRDefault="005C24F8" w:rsidP="005C24F8">
      <w:pPr>
        <w:numPr>
          <w:ilvl w:val="0"/>
          <w:numId w:val="7"/>
        </w:numPr>
        <w:tabs>
          <w:tab w:val="clear" w:pos="720"/>
          <w:tab w:val="num" w:pos="362"/>
        </w:tabs>
        <w:autoSpaceDE w:val="0"/>
        <w:autoSpaceDN w:val="0"/>
        <w:adjustRightInd w:val="0"/>
        <w:spacing w:line="312" w:lineRule="auto"/>
        <w:ind w:left="362" w:hanging="362"/>
        <w:rPr>
          <w:rFonts w:ascii="Arial" w:hAnsi="Arial" w:cs="Arial"/>
          <w:lang w:eastAsia="en-AU"/>
        </w:rPr>
      </w:pPr>
      <w:proofErr w:type="gramStart"/>
      <w:r w:rsidRPr="00F70236">
        <w:rPr>
          <w:rFonts w:ascii="Arial" w:hAnsi="Arial" w:cs="Arial"/>
          <w:lang w:eastAsia="en-AU"/>
        </w:rPr>
        <w:t>time</w:t>
      </w:r>
      <w:proofErr w:type="gramEnd"/>
      <w:r w:rsidRPr="00F70236">
        <w:rPr>
          <w:rFonts w:ascii="Arial" w:hAnsi="Arial" w:cs="Arial"/>
          <w:lang w:eastAsia="en-AU"/>
        </w:rPr>
        <w:t xml:space="preserve"> of death (where unknown and unable to be estimated) recorded as 00:01 hours with legal status change recorded effective of 00:02 hours.</w:t>
      </w:r>
    </w:p>
    <w:p w:rsidR="005C24F8" w:rsidRPr="00F70236" w:rsidRDefault="005C24F8" w:rsidP="005C24F8">
      <w:pPr>
        <w:autoSpaceDE w:val="0"/>
        <w:autoSpaceDN w:val="0"/>
        <w:adjustRightInd w:val="0"/>
        <w:spacing w:line="312" w:lineRule="auto"/>
        <w:rPr>
          <w:rFonts w:ascii="Arial" w:hAnsi="Arial" w:cs="Arial"/>
          <w:lang w:eastAsia="en-AU"/>
        </w:rPr>
      </w:pPr>
    </w:p>
    <w:p w:rsidR="005C24F8" w:rsidRPr="00F70236" w:rsidRDefault="005C24F8" w:rsidP="005C24F8">
      <w:pPr>
        <w:autoSpaceDE w:val="0"/>
        <w:autoSpaceDN w:val="0"/>
        <w:adjustRightInd w:val="0"/>
        <w:spacing w:line="312" w:lineRule="auto"/>
        <w:rPr>
          <w:rFonts w:ascii="Arial" w:hAnsi="Arial" w:cs="Arial"/>
          <w:lang w:eastAsia="en-AU"/>
        </w:rPr>
      </w:pPr>
      <w:r w:rsidRPr="00F70236">
        <w:rPr>
          <w:rFonts w:ascii="Arial" w:hAnsi="Arial" w:cs="Arial"/>
          <w:lang w:eastAsia="en-AU"/>
        </w:rPr>
        <w:t>Recording a death does not in itself close a case where there is a current community episode. The case will automatically close if the only current episode is an admitted episode and the separation type/mode is ‘Death’. Administrative staff must check the case and manually close any open community episode to ensure post-mortem events are not recorded against an open case. Reportable post-mortem contacts may still be attributed to the client, but not a case.</w:t>
      </w:r>
    </w:p>
    <w:p w:rsidR="005C24F8" w:rsidRPr="00B63AE8" w:rsidRDefault="005C24F8" w:rsidP="005C24F8">
      <w:pPr>
        <w:pStyle w:val="Heading1"/>
      </w:pPr>
      <w:r>
        <w:t>About Management Circulars</w:t>
      </w:r>
    </w:p>
    <w:p w:rsidR="005C24F8" w:rsidRPr="005C24F8" w:rsidRDefault="005C24F8" w:rsidP="005C24F8">
      <w:pPr>
        <w:tabs>
          <w:tab w:val="num" w:pos="724"/>
        </w:tabs>
        <w:autoSpaceDE w:val="0"/>
        <w:autoSpaceDN w:val="0"/>
        <w:adjustRightInd w:val="0"/>
        <w:spacing w:line="312" w:lineRule="auto"/>
        <w:rPr>
          <w:rFonts w:ascii="Arial" w:hAnsi="Arial" w:cs="Arial"/>
          <w:lang w:eastAsia="en-AU"/>
        </w:rPr>
      </w:pPr>
      <w:r w:rsidRPr="005C24F8">
        <w:rPr>
          <w:rFonts w:ascii="Arial" w:hAnsi="Arial" w:cs="Arial"/>
        </w:rPr>
        <w:t>The information provided in this circular is intended as general information and not as legal advice.  Mental health service management should ensure that policies and procedures are developed and implemented to enable staff to collect and use health information in accordance with relevant legislation.</w:t>
      </w:r>
    </w:p>
    <w:p w:rsidR="005C24F8" w:rsidRPr="005C24F8" w:rsidRDefault="005C24F8" w:rsidP="005C24F8">
      <w:pPr>
        <w:autoSpaceDE w:val="0"/>
        <w:autoSpaceDN w:val="0"/>
        <w:adjustRightInd w:val="0"/>
        <w:spacing w:line="288" w:lineRule="auto"/>
        <w:rPr>
          <w:rFonts w:ascii="Arial" w:hAnsi="Arial" w:cs="Arial"/>
          <w:lang w:eastAsia="en-AU"/>
        </w:rPr>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5C24F8">
        <w:trPr>
          <w:cantSplit/>
        </w:trPr>
        <w:tc>
          <w:tcPr>
            <w:tcW w:w="10003" w:type="dxa"/>
            <w:tcBorders>
              <w:top w:val="single" w:sz="4" w:space="0" w:color="auto"/>
              <w:left w:val="single" w:sz="4" w:space="0" w:color="auto"/>
              <w:bottom w:val="single" w:sz="4" w:space="0" w:color="auto"/>
              <w:right w:val="single" w:sz="4" w:space="0" w:color="auto"/>
            </w:tcBorders>
            <w:vAlign w:val="bottom"/>
          </w:tcPr>
          <w:p w:rsidR="005C24F8" w:rsidRPr="002802E3" w:rsidRDefault="005C24F8" w:rsidP="005C24F8">
            <w:pPr>
              <w:spacing w:after="120" w:line="270" w:lineRule="atLeast"/>
              <w:rPr>
                <w:rFonts w:ascii="Arial" w:eastAsia="Times" w:hAnsi="Arial"/>
              </w:rPr>
            </w:pPr>
            <w:r w:rsidRPr="002802E3">
              <w:rPr>
                <w:rFonts w:ascii="Arial" w:eastAsia="Times" w:hAnsi="Arial"/>
              </w:rPr>
              <w:t xml:space="preserve">Authorised and published by the Victorian Government, 1 Treasury Place, Melbourne. </w:t>
            </w:r>
          </w:p>
          <w:p w:rsidR="005C24F8" w:rsidRPr="002802E3" w:rsidRDefault="005C24F8" w:rsidP="005C24F8">
            <w:pPr>
              <w:spacing w:after="120" w:line="270" w:lineRule="atLeast"/>
              <w:rPr>
                <w:rFonts w:ascii="Arial" w:eastAsia="Times" w:hAnsi="Arial"/>
              </w:rPr>
            </w:pPr>
            <w:r w:rsidRPr="002802E3">
              <w:rPr>
                <w:rFonts w:ascii="Arial" w:eastAsia="Times" w:hAnsi="Arial"/>
              </w:rPr>
              <w:t xml:space="preserve">© State of Victoria, </w:t>
            </w:r>
            <w:r>
              <w:rPr>
                <w:rFonts w:ascii="Arial" w:eastAsia="Times" w:hAnsi="Arial"/>
                <w:color w:val="CC0066"/>
              </w:rPr>
              <w:t>March 2015</w:t>
            </w:r>
            <w:r w:rsidRPr="002802E3">
              <w:rPr>
                <w:rFonts w:ascii="Arial" w:eastAsia="Times" w:hAnsi="Arial"/>
                <w:color w:val="CC0066"/>
              </w:rPr>
              <w:t xml:space="preserve">. Except where otherwise indicated, the images in this publication show models and illustrative settings only, and do </w:t>
            </w:r>
            <w:r>
              <w:rPr>
                <w:rFonts w:ascii="Arial" w:eastAsia="Times" w:hAnsi="Arial"/>
                <w:color w:val="CC0066"/>
              </w:rPr>
              <w:t xml:space="preserve">not </w:t>
            </w:r>
            <w:r w:rsidRPr="002802E3">
              <w:rPr>
                <w:rFonts w:ascii="Arial" w:eastAsia="Times" w:hAnsi="Arial"/>
                <w:color w:val="CC0066"/>
              </w:rPr>
              <w:t>necessarily depict actual services, facilities or recipients of services. This publication may contain images of deceased Aboriginal and Torres Strait Islander peoples.</w:t>
            </w:r>
          </w:p>
          <w:p w:rsidR="002802E3" w:rsidRPr="002802E3" w:rsidRDefault="005C24F8" w:rsidP="005C24F8">
            <w:pPr>
              <w:spacing w:after="120" w:line="270" w:lineRule="atLeast"/>
              <w:rPr>
                <w:rFonts w:ascii="Arial" w:eastAsia="Times" w:hAnsi="Arial"/>
              </w:rPr>
            </w:pPr>
            <w:r w:rsidRPr="002802E3">
              <w:rPr>
                <w:rFonts w:ascii="Arial" w:eastAsia="Times" w:hAnsi="Arial"/>
                <w:szCs w:val="19"/>
                <w:lang w:val="en-US"/>
              </w:rPr>
              <w:t xml:space="preserve">Available at </w:t>
            </w:r>
            <w:r w:rsidRPr="004543C1">
              <w:rPr>
                <w:rFonts w:ascii="Arial" w:eastAsia="Times" w:hAnsi="Arial"/>
                <w:szCs w:val="19"/>
                <w:lang w:val="en-US"/>
              </w:rPr>
              <w:t>http://www.health.vic.gov.au/mhdr-info/rules.htm</w:t>
            </w:r>
          </w:p>
        </w:tc>
      </w:tr>
    </w:tbl>
    <w:p w:rsidR="00B2752E" w:rsidRPr="00906490" w:rsidRDefault="00B2752E" w:rsidP="00FF6D9D">
      <w:pPr>
        <w:pStyle w:val="DHHSbody"/>
      </w:pPr>
    </w:p>
    <w:sectPr w:rsidR="00B2752E" w:rsidRPr="00906490" w:rsidSect="00D23BCF">
      <w:headerReference w:type="default" r:id="rId11"/>
      <w:footerReference w:type="default" r:id="rId12"/>
      <w:type w:val="continuous"/>
      <w:pgSz w:w="11906" w:h="16838"/>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50" w:rsidRDefault="008A4C50">
      <w:r>
        <w:separator/>
      </w:r>
    </w:p>
  </w:endnote>
  <w:endnote w:type="continuationSeparator" w:id="0">
    <w:p w:rsidR="008A4C50" w:rsidRDefault="008A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D23BCF" w:rsidP="00F65AA9">
    <w:pPr>
      <w:pStyle w:val="Footerfirstpage"/>
    </w:pPr>
    <w:r>
      <w:rPr>
        <w:lang w:val="en-AU" w:eastAsia="en-AU"/>
      </w:rPr>
      <w:drawing>
        <wp:anchor distT="0" distB="0" distL="114300" distR="114300" simplePos="0" relativeHeight="251657728" behindDoc="0" locked="1" layoutInCell="1" allowOverlap="1">
          <wp:simplePos x="0" y="0"/>
          <wp:positionH relativeFrom="page">
            <wp:posOffset>0</wp:posOffset>
          </wp:positionH>
          <wp:positionV relativeFrom="page">
            <wp:posOffset>9901555</wp:posOffset>
          </wp:positionV>
          <wp:extent cx="7559675" cy="796925"/>
          <wp:effectExtent l="0" t="0" r="3175" b="3175"/>
          <wp:wrapNone/>
          <wp:docPr id="7" name="Picture 7" descr="Department of Health &amp; Human Services - State Governmen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Health &amp; Human Services - State Government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32720B" w:rsidRDefault="009D70A4" w:rsidP="00C33388">
    <w:pPr>
      <w:pStyle w:val="Footerfirstpage"/>
    </w:pPr>
    <w:r w:rsidRPr="008F0962">
      <w:t>Department of Human Service</w:t>
    </w:r>
    <w:r>
      <w:t>s</w:t>
    </w:r>
    <w:r>
      <w:tab/>
    </w:r>
    <w:r w:rsidR="00D23BCF">
      <w:rPr>
        <w:lang w:val="en-AU" w:eastAsia="en-AU"/>
      </w:rPr>
      <w:drawing>
        <wp:inline distT="0" distB="0" distL="0" distR="0">
          <wp:extent cx="914400" cy="522605"/>
          <wp:effectExtent l="0" t="0" r="0" b="0"/>
          <wp:docPr id="2" name="Picture 2" descr="Victorian Government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Government 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26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B6B1D" w:rsidP="00A11421">
    <w:pPr>
      <w:pStyle w:val="Footer"/>
    </w:pPr>
    <w:r w:rsidRPr="009B6B1D">
      <w:t>Deceased Clients Legal Status and Case Closure in CMI/ODS</w:t>
    </w:r>
    <w:r w:rsidR="009D70A4" w:rsidRPr="00A11421">
      <w:tab/>
    </w:r>
    <w:r w:rsidR="009D70A4" w:rsidRPr="00A11421">
      <w:fldChar w:fldCharType="begin"/>
    </w:r>
    <w:r w:rsidR="009D70A4" w:rsidRPr="00A11421">
      <w:instrText xml:space="preserve"> PAGE </w:instrText>
    </w:r>
    <w:r w:rsidR="009D70A4" w:rsidRPr="00A11421">
      <w:fldChar w:fldCharType="separate"/>
    </w:r>
    <w:r w:rsidR="00175441">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50" w:rsidRDefault="008A4C50" w:rsidP="002862F1">
      <w:pPr>
        <w:spacing w:before="120"/>
      </w:pPr>
      <w:r>
        <w:separator/>
      </w:r>
    </w:p>
  </w:footnote>
  <w:footnote w:type="continuationSeparator" w:id="0">
    <w:p w:rsidR="008A4C50" w:rsidRDefault="008A4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9D7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29F2"/>
      </v:shape>
    </w:pict>
  </w:numPicBullet>
  <w:abstractNum w:abstractNumId="0">
    <w:nsid w:val="2CC3697E"/>
    <w:multiLevelType w:val="hybridMultilevel"/>
    <w:tmpl w:val="8D42B19A"/>
    <w:lvl w:ilvl="0" w:tplc="04090001">
      <w:start w:val="1"/>
      <w:numFmt w:val="bullet"/>
      <w:lvlText w:val=""/>
      <w:lvlJc w:val="left"/>
      <w:pPr>
        <w:tabs>
          <w:tab w:val="num" w:pos="720"/>
        </w:tabs>
        <w:ind w:left="720" w:hanging="360"/>
      </w:pPr>
      <w:rPr>
        <w:rFonts w:ascii="Symbol" w:hAnsi="Symbol" w:hint="default"/>
      </w:rPr>
    </w:lvl>
    <w:lvl w:ilvl="1" w:tplc="A3FED7AC">
      <w:start w:val="2"/>
      <w:numFmt w:val="bullet"/>
      <w:lvlText w:val="-"/>
      <w:lvlJc w:val="left"/>
      <w:pPr>
        <w:tabs>
          <w:tab w:val="num" w:pos="903"/>
        </w:tabs>
        <w:ind w:left="903" w:hanging="360"/>
      </w:pPr>
      <w:rPr>
        <w:rFonts w:ascii="Verdana" w:eastAsia="Webdings" w:hAnsi="Verdana" w:cs="Webdings" w:hint="default"/>
      </w:rPr>
    </w:lvl>
    <w:lvl w:ilvl="2" w:tplc="FB382C90">
      <w:numFmt w:val="bullet"/>
      <w:lvlText w:val="–"/>
      <w:lvlJc w:val="left"/>
      <w:pPr>
        <w:tabs>
          <w:tab w:val="num" w:pos="2160"/>
        </w:tabs>
        <w:ind w:left="2160" w:hanging="36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nsid w:val="75C96327"/>
    <w:multiLevelType w:val="multilevel"/>
    <w:tmpl w:val="440E362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Arial" w:hAnsi="Aria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8DC67CC"/>
    <w:multiLevelType w:val="hybridMultilevel"/>
    <w:tmpl w:val="8E04C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
  </w:num>
  <w:num w:numId="4">
    <w:abstractNumId w:val="2"/>
  </w:num>
  <w:num w:numId="5">
    <w:abstractNumId w:val="0"/>
  </w:num>
  <w:num w:numId="6">
    <w:abstractNumId w:val="3"/>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CF"/>
    <w:rsid w:val="000072B6"/>
    <w:rsid w:val="0001021B"/>
    <w:rsid w:val="00011D89"/>
    <w:rsid w:val="00024D89"/>
    <w:rsid w:val="00033D81"/>
    <w:rsid w:val="00041BF0"/>
    <w:rsid w:val="0004536B"/>
    <w:rsid w:val="00046B68"/>
    <w:rsid w:val="000527DD"/>
    <w:rsid w:val="000578B2"/>
    <w:rsid w:val="00060959"/>
    <w:rsid w:val="00070B61"/>
    <w:rsid w:val="00074219"/>
    <w:rsid w:val="00074ED5"/>
    <w:rsid w:val="00094DA3"/>
    <w:rsid w:val="00096CD1"/>
    <w:rsid w:val="000A012C"/>
    <w:rsid w:val="000A0EB9"/>
    <w:rsid w:val="000A186C"/>
    <w:rsid w:val="000B543D"/>
    <w:rsid w:val="000B5BF7"/>
    <w:rsid w:val="000B64D4"/>
    <w:rsid w:val="000B6BC8"/>
    <w:rsid w:val="000C42EA"/>
    <w:rsid w:val="000C4546"/>
    <w:rsid w:val="000D1242"/>
    <w:rsid w:val="000E3CC7"/>
    <w:rsid w:val="000E6BD4"/>
    <w:rsid w:val="000F1F1E"/>
    <w:rsid w:val="000F2259"/>
    <w:rsid w:val="0010392D"/>
    <w:rsid w:val="00104FE3"/>
    <w:rsid w:val="00120BD3"/>
    <w:rsid w:val="00122FEA"/>
    <w:rsid w:val="001232BD"/>
    <w:rsid w:val="00124ED5"/>
    <w:rsid w:val="001447B3"/>
    <w:rsid w:val="00161939"/>
    <w:rsid w:val="00161AA0"/>
    <w:rsid w:val="00162093"/>
    <w:rsid w:val="00175441"/>
    <w:rsid w:val="001771DD"/>
    <w:rsid w:val="00177995"/>
    <w:rsid w:val="00177A8C"/>
    <w:rsid w:val="00183657"/>
    <w:rsid w:val="00186B33"/>
    <w:rsid w:val="00192F9D"/>
    <w:rsid w:val="00196EB8"/>
    <w:rsid w:val="001979FF"/>
    <w:rsid w:val="00197B17"/>
    <w:rsid w:val="001A3ACE"/>
    <w:rsid w:val="001C2A72"/>
    <w:rsid w:val="001D0B75"/>
    <w:rsid w:val="001D3C09"/>
    <w:rsid w:val="001D44E8"/>
    <w:rsid w:val="001D60EC"/>
    <w:rsid w:val="001E44DF"/>
    <w:rsid w:val="001E68A5"/>
    <w:rsid w:val="001F6E46"/>
    <w:rsid w:val="001F7C91"/>
    <w:rsid w:val="00206463"/>
    <w:rsid w:val="00206F2F"/>
    <w:rsid w:val="0021053D"/>
    <w:rsid w:val="00210A92"/>
    <w:rsid w:val="00216C03"/>
    <w:rsid w:val="00220C04"/>
    <w:rsid w:val="0022701F"/>
    <w:rsid w:val="002333F5"/>
    <w:rsid w:val="00246C5E"/>
    <w:rsid w:val="00251343"/>
    <w:rsid w:val="002620BC"/>
    <w:rsid w:val="00263A90"/>
    <w:rsid w:val="0026408B"/>
    <w:rsid w:val="00267C3E"/>
    <w:rsid w:val="002709BB"/>
    <w:rsid w:val="002802E3"/>
    <w:rsid w:val="0028213D"/>
    <w:rsid w:val="002862F1"/>
    <w:rsid w:val="00291373"/>
    <w:rsid w:val="0029597D"/>
    <w:rsid w:val="002962C3"/>
    <w:rsid w:val="002A483C"/>
    <w:rsid w:val="002B1729"/>
    <w:rsid w:val="002B4DD4"/>
    <w:rsid w:val="002B5277"/>
    <w:rsid w:val="002B77C1"/>
    <w:rsid w:val="002C2728"/>
    <w:rsid w:val="002E01D0"/>
    <w:rsid w:val="002E161D"/>
    <w:rsid w:val="002E6C95"/>
    <w:rsid w:val="002E7C36"/>
    <w:rsid w:val="002F5F31"/>
    <w:rsid w:val="00302216"/>
    <w:rsid w:val="00303E53"/>
    <w:rsid w:val="00306E5F"/>
    <w:rsid w:val="00307E14"/>
    <w:rsid w:val="00314054"/>
    <w:rsid w:val="00316F27"/>
    <w:rsid w:val="00323F97"/>
    <w:rsid w:val="00327870"/>
    <w:rsid w:val="0033259D"/>
    <w:rsid w:val="00335D42"/>
    <w:rsid w:val="003406C6"/>
    <w:rsid w:val="003418CC"/>
    <w:rsid w:val="003459BD"/>
    <w:rsid w:val="00350D38"/>
    <w:rsid w:val="003744CF"/>
    <w:rsid w:val="00374717"/>
    <w:rsid w:val="0037676C"/>
    <w:rsid w:val="003829E5"/>
    <w:rsid w:val="003956CC"/>
    <w:rsid w:val="00395C9A"/>
    <w:rsid w:val="003A6B67"/>
    <w:rsid w:val="003B15E6"/>
    <w:rsid w:val="003C2045"/>
    <w:rsid w:val="003C43A1"/>
    <w:rsid w:val="003C4FC0"/>
    <w:rsid w:val="003C55F4"/>
    <w:rsid w:val="003C7A3F"/>
    <w:rsid w:val="003D3E8F"/>
    <w:rsid w:val="003D6475"/>
    <w:rsid w:val="003F0445"/>
    <w:rsid w:val="003F0CF0"/>
    <w:rsid w:val="003F3289"/>
    <w:rsid w:val="00401FCF"/>
    <w:rsid w:val="00406285"/>
    <w:rsid w:val="004148F9"/>
    <w:rsid w:val="0042084E"/>
    <w:rsid w:val="00421EEF"/>
    <w:rsid w:val="00424D65"/>
    <w:rsid w:val="00442C6C"/>
    <w:rsid w:val="00443CBE"/>
    <w:rsid w:val="00443E8A"/>
    <w:rsid w:val="004441BC"/>
    <w:rsid w:val="0045230A"/>
    <w:rsid w:val="00457337"/>
    <w:rsid w:val="0047372D"/>
    <w:rsid w:val="004743DD"/>
    <w:rsid w:val="00474CEA"/>
    <w:rsid w:val="00483968"/>
    <w:rsid w:val="00484F86"/>
    <w:rsid w:val="00490746"/>
    <w:rsid w:val="00490852"/>
    <w:rsid w:val="004946F4"/>
    <w:rsid w:val="0049487E"/>
    <w:rsid w:val="004A3E81"/>
    <w:rsid w:val="004A5C62"/>
    <w:rsid w:val="004A707D"/>
    <w:rsid w:val="004C6EEE"/>
    <w:rsid w:val="004C702B"/>
    <w:rsid w:val="004D016B"/>
    <w:rsid w:val="004D1B22"/>
    <w:rsid w:val="004D36F2"/>
    <w:rsid w:val="004E4649"/>
    <w:rsid w:val="004E5C2B"/>
    <w:rsid w:val="004F00DD"/>
    <w:rsid w:val="004F2133"/>
    <w:rsid w:val="004F55F1"/>
    <w:rsid w:val="004F6936"/>
    <w:rsid w:val="00503DC6"/>
    <w:rsid w:val="00506F5D"/>
    <w:rsid w:val="005126D0"/>
    <w:rsid w:val="00536499"/>
    <w:rsid w:val="00543903"/>
    <w:rsid w:val="00547A95"/>
    <w:rsid w:val="00572031"/>
    <w:rsid w:val="00576E84"/>
    <w:rsid w:val="0058757E"/>
    <w:rsid w:val="00596A4B"/>
    <w:rsid w:val="00597507"/>
    <w:rsid w:val="005B21B6"/>
    <w:rsid w:val="005B7A63"/>
    <w:rsid w:val="005C24F8"/>
    <w:rsid w:val="005C49DA"/>
    <w:rsid w:val="005C50F3"/>
    <w:rsid w:val="005C5D91"/>
    <w:rsid w:val="005D07B8"/>
    <w:rsid w:val="005D6597"/>
    <w:rsid w:val="005E14E7"/>
    <w:rsid w:val="005E447E"/>
    <w:rsid w:val="005F0775"/>
    <w:rsid w:val="005F0CF5"/>
    <w:rsid w:val="005F21EB"/>
    <w:rsid w:val="00605908"/>
    <w:rsid w:val="00610D7C"/>
    <w:rsid w:val="00613414"/>
    <w:rsid w:val="0062408D"/>
    <w:rsid w:val="006240CC"/>
    <w:rsid w:val="00627DA7"/>
    <w:rsid w:val="006358B4"/>
    <w:rsid w:val="006419AA"/>
    <w:rsid w:val="00644B7E"/>
    <w:rsid w:val="00646A68"/>
    <w:rsid w:val="0065092E"/>
    <w:rsid w:val="006557A7"/>
    <w:rsid w:val="00656290"/>
    <w:rsid w:val="006621D7"/>
    <w:rsid w:val="0066302A"/>
    <w:rsid w:val="00670597"/>
    <w:rsid w:val="00677574"/>
    <w:rsid w:val="0068454C"/>
    <w:rsid w:val="00691B62"/>
    <w:rsid w:val="006A18C2"/>
    <w:rsid w:val="006B077C"/>
    <w:rsid w:val="006D2A3F"/>
    <w:rsid w:val="006E138B"/>
    <w:rsid w:val="006F1FDC"/>
    <w:rsid w:val="007013EF"/>
    <w:rsid w:val="007216AA"/>
    <w:rsid w:val="00721AB5"/>
    <w:rsid w:val="00721DEF"/>
    <w:rsid w:val="00724A43"/>
    <w:rsid w:val="007346E4"/>
    <w:rsid w:val="00740F22"/>
    <w:rsid w:val="00741F1A"/>
    <w:rsid w:val="007450F8"/>
    <w:rsid w:val="0074696E"/>
    <w:rsid w:val="00750135"/>
    <w:rsid w:val="00754E36"/>
    <w:rsid w:val="00763139"/>
    <w:rsid w:val="00772D5E"/>
    <w:rsid w:val="00776928"/>
    <w:rsid w:val="00786F16"/>
    <w:rsid w:val="00796E20"/>
    <w:rsid w:val="00797C32"/>
    <w:rsid w:val="007B0914"/>
    <w:rsid w:val="007B1374"/>
    <w:rsid w:val="007B589F"/>
    <w:rsid w:val="007B6186"/>
    <w:rsid w:val="007C7301"/>
    <w:rsid w:val="007C7859"/>
    <w:rsid w:val="007D2BDE"/>
    <w:rsid w:val="007D2FB6"/>
    <w:rsid w:val="007E0DE2"/>
    <w:rsid w:val="007F31B6"/>
    <w:rsid w:val="007F546C"/>
    <w:rsid w:val="007F665E"/>
    <w:rsid w:val="00800412"/>
    <w:rsid w:val="0080587B"/>
    <w:rsid w:val="00806468"/>
    <w:rsid w:val="008155F0"/>
    <w:rsid w:val="00816735"/>
    <w:rsid w:val="00820141"/>
    <w:rsid w:val="00820E0C"/>
    <w:rsid w:val="00853EE4"/>
    <w:rsid w:val="00855535"/>
    <w:rsid w:val="008633F0"/>
    <w:rsid w:val="00867D9D"/>
    <w:rsid w:val="00872E0A"/>
    <w:rsid w:val="00875285"/>
    <w:rsid w:val="00884B62"/>
    <w:rsid w:val="0088529C"/>
    <w:rsid w:val="0089270A"/>
    <w:rsid w:val="00893AF6"/>
    <w:rsid w:val="00894BC4"/>
    <w:rsid w:val="008A4C50"/>
    <w:rsid w:val="008B2EE4"/>
    <w:rsid w:val="008B4D3D"/>
    <w:rsid w:val="008B57C7"/>
    <w:rsid w:val="008C2F92"/>
    <w:rsid w:val="008D4236"/>
    <w:rsid w:val="008D462F"/>
    <w:rsid w:val="008E4376"/>
    <w:rsid w:val="00900719"/>
    <w:rsid w:val="00906490"/>
    <w:rsid w:val="009111B2"/>
    <w:rsid w:val="00924AE1"/>
    <w:rsid w:val="009269B1"/>
    <w:rsid w:val="00937BD9"/>
    <w:rsid w:val="00950E2C"/>
    <w:rsid w:val="00951D50"/>
    <w:rsid w:val="009525EB"/>
    <w:rsid w:val="00961400"/>
    <w:rsid w:val="00963646"/>
    <w:rsid w:val="009853E1"/>
    <w:rsid w:val="00986E6B"/>
    <w:rsid w:val="00991769"/>
    <w:rsid w:val="00994386"/>
    <w:rsid w:val="009A279E"/>
    <w:rsid w:val="009B0A6F"/>
    <w:rsid w:val="009B59E9"/>
    <w:rsid w:val="009B629A"/>
    <w:rsid w:val="009B6B1D"/>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4715"/>
    <w:rsid w:val="00A6061C"/>
    <w:rsid w:val="00A62D44"/>
    <w:rsid w:val="00A7161C"/>
    <w:rsid w:val="00A77AA3"/>
    <w:rsid w:val="00A872E5"/>
    <w:rsid w:val="00A96E65"/>
    <w:rsid w:val="00A97C72"/>
    <w:rsid w:val="00AA63D4"/>
    <w:rsid w:val="00AB06E8"/>
    <w:rsid w:val="00AB1CD3"/>
    <w:rsid w:val="00AB352F"/>
    <w:rsid w:val="00AC274B"/>
    <w:rsid w:val="00AC6D36"/>
    <w:rsid w:val="00AD0CBA"/>
    <w:rsid w:val="00AD26E2"/>
    <w:rsid w:val="00AE126A"/>
    <w:rsid w:val="00AE3005"/>
    <w:rsid w:val="00AE59A0"/>
    <w:rsid w:val="00AF0C57"/>
    <w:rsid w:val="00AF26F3"/>
    <w:rsid w:val="00B00672"/>
    <w:rsid w:val="00B01B4D"/>
    <w:rsid w:val="00B06571"/>
    <w:rsid w:val="00B068BA"/>
    <w:rsid w:val="00B13851"/>
    <w:rsid w:val="00B13B1C"/>
    <w:rsid w:val="00B22291"/>
    <w:rsid w:val="00B23F9A"/>
    <w:rsid w:val="00B2417B"/>
    <w:rsid w:val="00B24E6F"/>
    <w:rsid w:val="00B26CB5"/>
    <w:rsid w:val="00B2752E"/>
    <w:rsid w:val="00B307CC"/>
    <w:rsid w:val="00B45141"/>
    <w:rsid w:val="00B5273A"/>
    <w:rsid w:val="00B62B50"/>
    <w:rsid w:val="00B635B7"/>
    <w:rsid w:val="00B63AE8"/>
    <w:rsid w:val="00B65950"/>
    <w:rsid w:val="00B672C0"/>
    <w:rsid w:val="00B75646"/>
    <w:rsid w:val="00B76915"/>
    <w:rsid w:val="00B90729"/>
    <w:rsid w:val="00B907DA"/>
    <w:rsid w:val="00B950BC"/>
    <w:rsid w:val="00B9714C"/>
    <w:rsid w:val="00BB7A10"/>
    <w:rsid w:val="00BC7D4F"/>
    <w:rsid w:val="00BC7ED7"/>
    <w:rsid w:val="00BD2850"/>
    <w:rsid w:val="00BE28D2"/>
    <w:rsid w:val="00BF7F58"/>
    <w:rsid w:val="00C01381"/>
    <w:rsid w:val="00C079B8"/>
    <w:rsid w:val="00C123EA"/>
    <w:rsid w:val="00C12A49"/>
    <w:rsid w:val="00C133EE"/>
    <w:rsid w:val="00C268D5"/>
    <w:rsid w:val="00C27DE9"/>
    <w:rsid w:val="00C33388"/>
    <w:rsid w:val="00C4173A"/>
    <w:rsid w:val="00C55D60"/>
    <w:rsid w:val="00C602FF"/>
    <w:rsid w:val="00C61174"/>
    <w:rsid w:val="00C6148F"/>
    <w:rsid w:val="00C62F7A"/>
    <w:rsid w:val="00C63B9C"/>
    <w:rsid w:val="00C6682F"/>
    <w:rsid w:val="00C7275E"/>
    <w:rsid w:val="00C74C5D"/>
    <w:rsid w:val="00C863C4"/>
    <w:rsid w:val="00C93C3E"/>
    <w:rsid w:val="00CA12E3"/>
    <w:rsid w:val="00CA6611"/>
    <w:rsid w:val="00CC2BFD"/>
    <w:rsid w:val="00CD3476"/>
    <w:rsid w:val="00CD64DF"/>
    <w:rsid w:val="00CF2F50"/>
    <w:rsid w:val="00D02919"/>
    <w:rsid w:val="00D04C61"/>
    <w:rsid w:val="00D05B8D"/>
    <w:rsid w:val="00D07F00"/>
    <w:rsid w:val="00D23BCF"/>
    <w:rsid w:val="00D33E72"/>
    <w:rsid w:val="00D35BD6"/>
    <w:rsid w:val="00D361B5"/>
    <w:rsid w:val="00D411A2"/>
    <w:rsid w:val="00D50B9C"/>
    <w:rsid w:val="00D52D73"/>
    <w:rsid w:val="00D52E58"/>
    <w:rsid w:val="00D714CC"/>
    <w:rsid w:val="00D75EA7"/>
    <w:rsid w:val="00D81F21"/>
    <w:rsid w:val="00D95470"/>
    <w:rsid w:val="00DA2619"/>
    <w:rsid w:val="00DA4239"/>
    <w:rsid w:val="00DB0B61"/>
    <w:rsid w:val="00DC090B"/>
    <w:rsid w:val="00DC2CF1"/>
    <w:rsid w:val="00DC4FCF"/>
    <w:rsid w:val="00DC50E0"/>
    <w:rsid w:val="00DC6386"/>
    <w:rsid w:val="00DD1130"/>
    <w:rsid w:val="00DD1951"/>
    <w:rsid w:val="00DD6628"/>
    <w:rsid w:val="00DE3250"/>
    <w:rsid w:val="00DE6028"/>
    <w:rsid w:val="00DE78A3"/>
    <w:rsid w:val="00DF1A71"/>
    <w:rsid w:val="00DF68C7"/>
    <w:rsid w:val="00E170DC"/>
    <w:rsid w:val="00E26818"/>
    <w:rsid w:val="00E27FFC"/>
    <w:rsid w:val="00E30B15"/>
    <w:rsid w:val="00E40181"/>
    <w:rsid w:val="00E5169A"/>
    <w:rsid w:val="00E629A1"/>
    <w:rsid w:val="00E82C55"/>
    <w:rsid w:val="00E92AC3"/>
    <w:rsid w:val="00EB00E0"/>
    <w:rsid w:val="00EC059F"/>
    <w:rsid w:val="00EC1F24"/>
    <w:rsid w:val="00EC77B9"/>
    <w:rsid w:val="00ED5B9B"/>
    <w:rsid w:val="00ED6BAD"/>
    <w:rsid w:val="00ED7447"/>
    <w:rsid w:val="00EE1488"/>
    <w:rsid w:val="00EE4D5D"/>
    <w:rsid w:val="00EF109B"/>
    <w:rsid w:val="00EF36AF"/>
    <w:rsid w:val="00F00F9C"/>
    <w:rsid w:val="00F02ABA"/>
    <w:rsid w:val="00F0437A"/>
    <w:rsid w:val="00F11037"/>
    <w:rsid w:val="00F250A9"/>
    <w:rsid w:val="00F30FF4"/>
    <w:rsid w:val="00F320C1"/>
    <w:rsid w:val="00F331AD"/>
    <w:rsid w:val="00F43A37"/>
    <w:rsid w:val="00F4641B"/>
    <w:rsid w:val="00F46EB8"/>
    <w:rsid w:val="00F511E4"/>
    <w:rsid w:val="00F52D09"/>
    <w:rsid w:val="00F52E08"/>
    <w:rsid w:val="00F55B21"/>
    <w:rsid w:val="00F56EF6"/>
    <w:rsid w:val="00F64696"/>
    <w:rsid w:val="00F65AA9"/>
    <w:rsid w:val="00F6768F"/>
    <w:rsid w:val="00F72C2C"/>
    <w:rsid w:val="00F76CAB"/>
    <w:rsid w:val="00F772C6"/>
    <w:rsid w:val="00F85195"/>
    <w:rsid w:val="00F938BA"/>
    <w:rsid w:val="00FA2C46"/>
    <w:rsid w:val="00FA6DEF"/>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335D42"/>
    <w:rPr>
      <w:rFonts w:ascii="Tahoma" w:hAnsi="Tahoma" w:cs="Tahoma"/>
      <w:sz w:val="16"/>
      <w:szCs w:val="16"/>
    </w:rPr>
  </w:style>
  <w:style w:type="character" w:customStyle="1" w:styleId="BalloonTextChar">
    <w:name w:val="Balloon Text Char"/>
    <w:basedOn w:val="DefaultParagraphFont"/>
    <w:link w:val="BalloonText"/>
    <w:uiPriority w:val="99"/>
    <w:semiHidden/>
    <w:rsid w:val="00335D42"/>
    <w:rPr>
      <w:rFonts w:ascii="Tahoma" w:hAnsi="Tahoma" w:cs="Tahoma"/>
      <w:sz w:val="16"/>
      <w:szCs w:val="16"/>
      <w:lang w:eastAsia="en-US"/>
    </w:rPr>
  </w:style>
  <w:style w:type="paragraph" w:customStyle="1" w:styleId="DHMainheading">
    <w:name w:val="DH Main heading"/>
    <w:basedOn w:val="Normal"/>
    <w:rsid w:val="00C55D60"/>
    <w:pPr>
      <w:spacing w:before="360"/>
    </w:pPr>
    <w:rPr>
      <w:rFonts w:ascii="Arial" w:hAnsi="Arial"/>
      <w:bCs/>
      <w:color w:val="FFFFFF"/>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335D42"/>
    <w:rPr>
      <w:rFonts w:ascii="Tahoma" w:hAnsi="Tahoma" w:cs="Tahoma"/>
      <w:sz w:val="16"/>
      <w:szCs w:val="16"/>
    </w:rPr>
  </w:style>
  <w:style w:type="character" w:customStyle="1" w:styleId="BalloonTextChar">
    <w:name w:val="Balloon Text Char"/>
    <w:basedOn w:val="DefaultParagraphFont"/>
    <w:link w:val="BalloonText"/>
    <w:uiPriority w:val="99"/>
    <w:semiHidden/>
    <w:rsid w:val="00335D42"/>
    <w:rPr>
      <w:rFonts w:ascii="Tahoma" w:hAnsi="Tahoma" w:cs="Tahoma"/>
      <w:sz w:val="16"/>
      <w:szCs w:val="16"/>
      <w:lang w:eastAsia="en-US"/>
    </w:rPr>
  </w:style>
  <w:style w:type="paragraph" w:customStyle="1" w:styleId="DHMainheading">
    <w:name w:val="DH Main heading"/>
    <w:basedOn w:val="Normal"/>
    <w:rsid w:val="00C55D60"/>
    <w:pPr>
      <w:spacing w:before="360"/>
    </w:pPr>
    <w:rPr>
      <w:rFonts w:ascii="Arial" w:hAnsi="Arial"/>
      <w:bCs/>
      <w:color w:val="FFFFFF"/>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8%20Blue%202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08 Blue 285.dot</Template>
  <TotalTime>12</TotalTime>
  <Pages>2</Pages>
  <Words>639</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4412</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Thomas</dc:creator>
  <cp:lastModifiedBy>Ian Thomas</cp:lastModifiedBy>
  <cp:revision>6</cp:revision>
  <cp:lastPrinted>2015-01-28T04:08:00Z</cp:lastPrinted>
  <dcterms:created xsi:type="dcterms:W3CDTF">2015-07-30T01:30:00Z</dcterms:created>
  <dcterms:modified xsi:type="dcterms:W3CDTF">2015-07-31T03:42:00Z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