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5B5F"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771BDED3" wp14:editId="034045FC">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29954D84" w14:textId="77777777" w:rsidR="00A62D44" w:rsidRPr="004C6EEE" w:rsidRDefault="00A62D44" w:rsidP="00EC40D5">
      <w:pPr>
        <w:pStyle w:val="Sectionbreakfirstpage"/>
        <w:sectPr w:rsidR="00A62D44" w:rsidRPr="004C6EEE" w:rsidSect="007769DC">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C1607F0" w14:textId="77777777" w:rsidTr="00E96CA7">
        <w:tc>
          <w:tcPr>
            <w:tcW w:w="0" w:type="auto"/>
            <w:tcMar>
              <w:top w:w="1588" w:type="dxa"/>
              <w:left w:w="0" w:type="dxa"/>
              <w:right w:w="0" w:type="dxa"/>
            </w:tcMar>
          </w:tcPr>
          <w:p w14:paraId="5FCB7A0C" w14:textId="5FBBEEF1" w:rsidR="003B5733" w:rsidRPr="003B5733" w:rsidRDefault="00A93924" w:rsidP="003B5733">
            <w:pPr>
              <w:pStyle w:val="Documenttitle"/>
            </w:pPr>
            <w:r>
              <w:t>Guide to prescribing buprenorphine/naloxone and long-acting injectable buprenorphine</w:t>
            </w:r>
          </w:p>
        </w:tc>
      </w:tr>
      <w:tr w:rsidR="003B5733" w14:paraId="3E21F0F5" w14:textId="77777777" w:rsidTr="005F44C0">
        <w:tc>
          <w:tcPr>
            <w:tcW w:w="0" w:type="auto"/>
          </w:tcPr>
          <w:p w14:paraId="143B330B" w14:textId="1126F736" w:rsidR="003B5733" w:rsidRPr="00A1389F" w:rsidRDefault="00A93924" w:rsidP="005F44C0">
            <w:pPr>
              <w:pStyle w:val="Documentsubtitle"/>
            </w:pPr>
            <w:r>
              <w:t xml:space="preserve">Advice for prescribers who have </w:t>
            </w:r>
            <w:r w:rsidRPr="003E3B98">
              <w:rPr>
                <w:u w:val="single"/>
              </w:rPr>
              <w:t>not undertaken</w:t>
            </w:r>
            <w:r>
              <w:t xml:space="preserve"> Medication Assisted Treatment for Opioid Dependence</w:t>
            </w:r>
            <w:r w:rsidR="003E3B98">
              <w:t xml:space="preserve"> (MATOD)</w:t>
            </w:r>
            <w:r>
              <w:t xml:space="preserve"> training</w:t>
            </w:r>
          </w:p>
        </w:tc>
      </w:tr>
      <w:tr w:rsidR="003B5733" w14:paraId="3CF120D3" w14:textId="77777777" w:rsidTr="005F44C0">
        <w:tc>
          <w:tcPr>
            <w:tcW w:w="0" w:type="auto"/>
          </w:tcPr>
          <w:p w14:paraId="3725B72E" w14:textId="77777777" w:rsidR="003B5733" w:rsidRDefault="009870C3" w:rsidP="005F44C0">
            <w:pPr>
              <w:pStyle w:val="Bannermarking"/>
            </w:pPr>
            <w:r>
              <w:fldChar w:fldCharType="begin"/>
            </w:r>
            <w:r>
              <w:instrText xml:space="preserve"> FILLIN  "Type the protective marking" \d OFFICIAL \o  \* MERGEFORMAT </w:instrText>
            </w:r>
            <w:r>
              <w:fldChar w:fldCharType="separate"/>
            </w:r>
            <w:r w:rsidR="00A93924">
              <w:t>OFFICIAL</w:t>
            </w:r>
            <w:r>
              <w:fldChar w:fldCharType="end"/>
            </w:r>
          </w:p>
        </w:tc>
      </w:tr>
    </w:tbl>
    <w:p w14:paraId="6FC6EB21" w14:textId="77777777" w:rsidR="006D7093" w:rsidRPr="006D7093" w:rsidRDefault="006D7093" w:rsidP="006D7093">
      <w:pPr>
        <w:pStyle w:val="Body"/>
      </w:pPr>
      <w:bookmarkStart w:id="0" w:name="_Hlk63355178"/>
    </w:p>
    <w:p w14:paraId="0CD2B12D" w14:textId="791D3820" w:rsidR="00A93924" w:rsidRPr="00792DFD" w:rsidRDefault="00A93924" w:rsidP="005F3383">
      <w:pPr>
        <w:pStyle w:val="Lettertext"/>
        <w:spacing w:after="120"/>
        <w:rPr>
          <w:rFonts w:ascii="Arial" w:eastAsia="Arial" w:hAnsi="Arial"/>
          <w:b/>
          <w:color w:val="404040" w:themeColor="text1" w:themeTint="BF"/>
          <w:spacing w:val="-2"/>
          <w:sz w:val="28"/>
        </w:rPr>
      </w:pPr>
      <w:bookmarkStart w:id="1" w:name="_Toc63355237"/>
      <w:bookmarkEnd w:id="0"/>
      <w:r w:rsidRPr="00792DFD">
        <w:rPr>
          <w:rFonts w:ascii="Arial" w:eastAsia="Arial" w:hAnsi="Arial"/>
          <w:b/>
          <w:color w:val="404040" w:themeColor="text1" w:themeTint="BF"/>
          <w:spacing w:val="-2"/>
          <w:sz w:val="28"/>
        </w:rPr>
        <w:t>Introduction</w:t>
      </w:r>
    </w:p>
    <w:p w14:paraId="09E3D23C" w14:textId="4693D7FB" w:rsidR="00A93924" w:rsidRPr="005F3383" w:rsidRDefault="00A93924" w:rsidP="005F3383">
      <w:pPr>
        <w:spacing w:line="240" w:lineRule="auto"/>
        <w:ind w:right="216"/>
        <w:textAlignment w:val="baseline"/>
        <w:rPr>
          <w:rFonts w:eastAsia="Arial" w:cs="Arial"/>
          <w:color w:val="000000"/>
          <w:sz w:val="20"/>
        </w:rPr>
      </w:pPr>
      <w:r w:rsidRPr="005F3383">
        <w:rPr>
          <w:rFonts w:eastAsia="Arial" w:cs="Arial"/>
          <w:color w:val="000000"/>
          <w:sz w:val="20"/>
        </w:rPr>
        <w:t>The</w:t>
      </w:r>
      <w:hyperlink r:id="rId18">
        <w:r w:rsidRPr="005F3383">
          <w:rPr>
            <w:rFonts w:eastAsia="Arial" w:cs="Arial"/>
            <w:color w:val="0000FF"/>
            <w:sz w:val="20"/>
            <w:u w:val="single"/>
          </w:rPr>
          <w:t xml:space="preserve"> Policy for Maintenance Pharmacotherapy for Opioid Dependence </w:t>
        </w:r>
      </w:hyperlink>
      <w:r w:rsidRPr="005F3383">
        <w:rPr>
          <w:rFonts w:eastAsia="Arial" w:cs="Arial"/>
          <w:color w:val="000000"/>
          <w:sz w:val="20"/>
        </w:rPr>
        <w:t>(the Policy) enables all medical and nurse practitioners, to prescribe buprenorphine/naloxone</w:t>
      </w:r>
      <w:r w:rsidR="00AA1DB0">
        <w:rPr>
          <w:rFonts w:eastAsia="Arial" w:cs="Arial"/>
          <w:color w:val="000000"/>
          <w:sz w:val="20"/>
        </w:rPr>
        <w:t xml:space="preserve"> and/or long-acting injectable buprenorphine</w:t>
      </w:r>
      <w:r w:rsidR="00E750A2">
        <w:rPr>
          <w:rFonts w:eastAsia="Arial" w:cs="Arial"/>
          <w:color w:val="000000"/>
          <w:sz w:val="20"/>
        </w:rPr>
        <w:t xml:space="preserve"> (LAIB)</w:t>
      </w:r>
      <w:r w:rsidRPr="005F3383">
        <w:rPr>
          <w:rFonts w:eastAsia="Arial" w:cs="Arial"/>
          <w:color w:val="000000"/>
          <w:sz w:val="20"/>
        </w:rPr>
        <w:t xml:space="preserve"> for up to </w:t>
      </w:r>
      <w:r w:rsidR="00AA1DB0">
        <w:rPr>
          <w:rFonts w:eastAsia="Arial" w:cs="Arial"/>
          <w:color w:val="000000"/>
          <w:sz w:val="20"/>
        </w:rPr>
        <w:t>ten</w:t>
      </w:r>
      <w:r w:rsidRPr="005F3383">
        <w:rPr>
          <w:rFonts w:eastAsia="Arial" w:cs="Arial"/>
          <w:color w:val="000000"/>
          <w:sz w:val="20"/>
        </w:rPr>
        <w:t xml:space="preserve"> patients without the need to undergo additional training and assessment to prescribe pharmacotherapy for opioid dependence.</w:t>
      </w:r>
    </w:p>
    <w:p w14:paraId="0404F4D5" w14:textId="77777777" w:rsidR="00A93924" w:rsidRPr="005F3383" w:rsidRDefault="00A93924" w:rsidP="005F3383">
      <w:pPr>
        <w:spacing w:line="240" w:lineRule="auto"/>
        <w:ind w:right="216"/>
        <w:textAlignment w:val="baseline"/>
        <w:rPr>
          <w:rFonts w:eastAsia="Arial" w:cs="Arial"/>
          <w:color w:val="000000"/>
          <w:sz w:val="20"/>
        </w:rPr>
      </w:pPr>
      <w:r w:rsidRPr="005F3383">
        <w:rPr>
          <w:rFonts w:eastAsia="Arial" w:cs="Arial"/>
          <w:color w:val="000000"/>
          <w:sz w:val="20"/>
        </w:rPr>
        <w:t xml:space="preserve">This may provide better access to treatment for opioid dependent </w:t>
      </w:r>
      <w:proofErr w:type="gramStart"/>
      <w:r w:rsidRPr="005F3383">
        <w:rPr>
          <w:rFonts w:eastAsia="Arial" w:cs="Arial"/>
          <w:color w:val="000000"/>
          <w:sz w:val="20"/>
        </w:rPr>
        <w:t>patients, and</w:t>
      </w:r>
      <w:proofErr w:type="gramEnd"/>
      <w:r w:rsidRPr="005F3383">
        <w:rPr>
          <w:rFonts w:eastAsia="Arial" w:cs="Arial"/>
          <w:color w:val="000000"/>
          <w:sz w:val="20"/>
        </w:rPr>
        <w:t xml:space="preserve"> encourage integration of treatment of addiction with general health care.</w:t>
      </w:r>
    </w:p>
    <w:p w14:paraId="76D2F23C" w14:textId="279C7F71" w:rsidR="00A93924" w:rsidRPr="005F3383" w:rsidRDefault="00A93924" w:rsidP="00E750A2">
      <w:pPr>
        <w:spacing w:line="240" w:lineRule="auto"/>
        <w:ind w:right="216"/>
        <w:textAlignment w:val="baseline"/>
        <w:rPr>
          <w:rFonts w:eastAsia="Arial" w:cs="Arial"/>
          <w:color w:val="000000"/>
          <w:sz w:val="20"/>
        </w:rPr>
      </w:pPr>
      <w:r w:rsidRPr="005F3383">
        <w:rPr>
          <w:rFonts w:eastAsia="Arial" w:cs="Arial"/>
          <w:color w:val="000000"/>
          <w:sz w:val="20"/>
        </w:rPr>
        <w:t>Buprenorphine has similar effectiveness as methadone in reducing problematic pharmaceutical opioid use or heroin use, decreasing injecting drug use, reducing risk of needle sharing and transmission of blood borne viruses, and reducing criminal activity where this is driven by drug-seeking behaviour</w:t>
      </w:r>
      <w:r w:rsidR="00E750A2">
        <w:rPr>
          <w:rFonts w:eastAsia="Arial" w:cs="Arial"/>
          <w:color w:val="000000"/>
          <w:sz w:val="20"/>
        </w:rPr>
        <w:t>.</w:t>
      </w:r>
    </w:p>
    <w:p w14:paraId="72807A96" w14:textId="5E676D53" w:rsidR="00AA1DB0" w:rsidRPr="005F3383" w:rsidRDefault="00A93924" w:rsidP="005F3383">
      <w:pPr>
        <w:spacing w:line="218" w:lineRule="exact"/>
        <w:ind w:right="505"/>
        <w:textAlignment w:val="baseline"/>
        <w:rPr>
          <w:rFonts w:eastAsia="Arial" w:cs="Arial"/>
          <w:color w:val="000000"/>
          <w:sz w:val="20"/>
        </w:rPr>
      </w:pPr>
      <w:r w:rsidRPr="005F3383">
        <w:rPr>
          <w:rFonts w:eastAsia="Arial" w:cs="Arial"/>
          <w:color w:val="000000"/>
          <w:sz w:val="20"/>
        </w:rPr>
        <w:t>Maintenance pharmacotherapy for opioid dependence enables patients to stabilise and control their opioid use, stabilise their social circumstances, and obtain other benefits from treatment</w:t>
      </w:r>
      <w:r w:rsidR="00E750A2">
        <w:rPr>
          <w:rFonts w:eastAsia="Arial" w:cs="Arial"/>
          <w:color w:val="000000"/>
          <w:sz w:val="20"/>
        </w:rPr>
        <w:t>.</w:t>
      </w:r>
    </w:p>
    <w:tbl>
      <w:tblPr>
        <w:tblStyle w:val="ListTable3-Accent1"/>
        <w:tblW w:w="0" w:type="auto"/>
        <w:tblLook w:val="04A0" w:firstRow="1" w:lastRow="0" w:firstColumn="1" w:lastColumn="0" w:noHBand="0" w:noVBand="1"/>
      </w:tblPr>
      <w:tblGrid>
        <w:gridCol w:w="9918"/>
      </w:tblGrid>
      <w:tr w:rsidR="00AA1DB0" w14:paraId="395028C8" w14:textId="77777777" w:rsidTr="007769D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18"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shd w:val="clear" w:color="auto" w:fill="DBE5F1" w:themeFill="accent1" w:themeFillTint="33"/>
            <w:vAlign w:val="center"/>
          </w:tcPr>
          <w:p w14:paraId="668FE4FA" w14:textId="53CC9956" w:rsidR="00AA1DB0" w:rsidRPr="00E750A2" w:rsidRDefault="00AA1DB0" w:rsidP="00E750A2">
            <w:pPr>
              <w:spacing w:before="120" w:line="218" w:lineRule="exact"/>
              <w:ind w:right="505"/>
              <w:jc w:val="center"/>
              <w:textAlignment w:val="baseline"/>
              <w:rPr>
                <w:rFonts w:eastAsia="Arial" w:cs="Arial"/>
                <w:b w:val="0"/>
                <w:color w:val="000000"/>
                <w:sz w:val="20"/>
              </w:rPr>
            </w:pPr>
            <w:r>
              <w:rPr>
                <w:rFonts w:eastAsia="Arial" w:cs="Arial"/>
                <w:color w:val="000000"/>
                <w:sz w:val="20"/>
              </w:rPr>
              <w:t>If you require advice on the clinical management of a patient, advice should be sought from a colleague familiar with the use of buprenorphine in the treatment of opioid dependence. Advice from an addiction medicine specialist may be obtained by contacting the Drug and Alcohol Clinical Advisory Service (DACAS) on 1800 812 804</w:t>
            </w:r>
          </w:p>
        </w:tc>
      </w:tr>
    </w:tbl>
    <w:p w14:paraId="6E001BAE" w14:textId="2F3D93D4" w:rsidR="00A93924" w:rsidRPr="005F3383" w:rsidRDefault="00A93924" w:rsidP="00E750A2">
      <w:pPr>
        <w:spacing w:before="120" w:line="320" w:lineRule="exact"/>
        <w:textAlignment w:val="baseline"/>
        <w:rPr>
          <w:rFonts w:eastAsia="Arial" w:cs="Arial"/>
          <w:b/>
          <w:color w:val="404040" w:themeColor="text1" w:themeTint="BF"/>
          <w:sz w:val="24"/>
          <w:szCs w:val="24"/>
        </w:rPr>
      </w:pPr>
      <w:r w:rsidRPr="005F3383">
        <w:rPr>
          <w:rFonts w:eastAsia="Arial" w:cs="Arial"/>
          <w:b/>
          <w:color w:val="404040" w:themeColor="text1" w:themeTint="BF"/>
          <w:sz w:val="24"/>
          <w:szCs w:val="24"/>
        </w:rPr>
        <w:t>General steps in prescribing buprenorphine/naloxone</w:t>
      </w:r>
      <w:r w:rsidR="00407406">
        <w:rPr>
          <w:rFonts w:eastAsia="Arial" w:cs="Arial"/>
          <w:b/>
          <w:color w:val="404040" w:themeColor="text1" w:themeTint="BF"/>
          <w:sz w:val="24"/>
          <w:szCs w:val="24"/>
        </w:rPr>
        <w:t xml:space="preserve"> and LAIB</w:t>
      </w:r>
    </w:p>
    <w:p w14:paraId="1532C1E6" w14:textId="7503A905" w:rsidR="00A93924" w:rsidRPr="005F3383" w:rsidRDefault="00A93924" w:rsidP="005F3383">
      <w:pPr>
        <w:spacing w:line="278" w:lineRule="exact"/>
        <w:ind w:right="216"/>
        <w:textAlignment w:val="baseline"/>
        <w:rPr>
          <w:rFonts w:eastAsia="Arial" w:cs="Arial"/>
          <w:b/>
          <w:color w:val="000000"/>
          <w:sz w:val="20"/>
        </w:rPr>
      </w:pPr>
      <w:r w:rsidRPr="005F3383">
        <w:rPr>
          <w:rFonts w:eastAsia="Arial" w:cs="Arial"/>
          <w:b/>
          <w:color w:val="000000"/>
          <w:sz w:val="20"/>
        </w:rPr>
        <w:t>1. Be familiar with the pharmacology of buprenorphine</w:t>
      </w:r>
    </w:p>
    <w:p w14:paraId="57454662" w14:textId="2087ECBA" w:rsidR="00A93924" w:rsidRPr="005F3383" w:rsidRDefault="00A93924" w:rsidP="005F3383">
      <w:pPr>
        <w:spacing w:line="218" w:lineRule="exact"/>
        <w:ind w:right="216"/>
        <w:textAlignment w:val="baseline"/>
        <w:rPr>
          <w:rFonts w:eastAsia="Arial" w:cs="Arial"/>
          <w:color w:val="000000"/>
          <w:spacing w:val="-2"/>
          <w:sz w:val="20"/>
        </w:rPr>
      </w:pPr>
      <w:r w:rsidRPr="005F3383">
        <w:rPr>
          <w:rFonts w:eastAsia="Arial" w:cs="Arial"/>
          <w:color w:val="000000"/>
          <w:spacing w:val="-2"/>
          <w:sz w:val="20"/>
        </w:rPr>
        <w:t>Buprenorphine, like methadone, is used to treat opioid dependence and is a substitute for either pharmaceutical opioid analgesics or heroin, whether such opioids are prescribed, or obtained without prescription on the street.</w:t>
      </w:r>
    </w:p>
    <w:p w14:paraId="17A9EF6D" w14:textId="39BB7743"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color w:val="000000"/>
          <w:sz w:val="20"/>
        </w:rPr>
        <w:t xml:space="preserve">Unlike full opioid agonists such as morphine and methadone, buprenorphine is a partial opioid agonist. This results in a ‘ceiling’ effect where even with increasing dose there is little increase in respiratory or central nervous system depression, making it less risky than methadone. </w:t>
      </w:r>
      <w:proofErr w:type="gramStart"/>
      <w:r w:rsidRPr="005F3383">
        <w:rPr>
          <w:rFonts w:eastAsia="Arial" w:cs="Arial"/>
          <w:color w:val="000000"/>
          <w:sz w:val="20"/>
        </w:rPr>
        <w:t>Nevertheless</w:t>
      </w:r>
      <w:proofErr w:type="gramEnd"/>
      <w:r w:rsidRPr="005F3383">
        <w:rPr>
          <w:rFonts w:eastAsia="Arial" w:cs="Arial"/>
          <w:color w:val="000000"/>
          <w:sz w:val="20"/>
        </w:rPr>
        <w:t xml:space="preserve"> some deaths are associated with buprenorphine when it is </w:t>
      </w:r>
      <w:r w:rsidR="002070B6">
        <w:rPr>
          <w:rFonts w:eastAsia="Arial" w:cs="Arial"/>
          <w:color w:val="000000"/>
          <w:sz w:val="20"/>
        </w:rPr>
        <w:t xml:space="preserve">intravenously </w:t>
      </w:r>
      <w:r w:rsidRPr="005F3383">
        <w:rPr>
          <w:rFonts w:eastAsia="Arial" w:cs="Arial"/>
          <w:color w:val="000000"/>
          <w:sz w:val="20"/>
        </w:rPr>
        <w:t>injected and/or combined with benzodiazepines, alcohol or other sedatives, so care is required in patient selection and prescribing.</w:t>
      </w:r>
    </w:p>
    <w:p w14:paraId="6D52E98F" w14:textId="77777777" w:rsidR="00A93924" w:rsidRPr="005F3383" w:rsidRDefault="00A93924" w:rsidP="005F3383">
      <w:pPr>
        <w:spacing w:line="217" w:lineRule="exact"/>
        <w:ind w:right="216"/>
        <w:textAlignment w:val="baseline"/>
        <w:rPr>
          <w:rFonts w:eastAsia="Arial" w:cs="Arial"/>
          <w:color w:val="000000"/>
          <w:sz w:val="20"/>
        </w:rPr>
      </w:pPr>
      <w:r w:rsidRPr="005F3383">
        <w:rPr>
          <w:rFonts w:eastAsia="Arial" w:cs="Arial"/>
          <w:color w:val="000000"/>
          <w:sz w:val="20"/>
        </w:rPr>
        <w:t xml:space="preserve">Buprenorphine is an opioid subject to development of tolerance and </w:t>
      </w:r>
      <w:proofErr w:type="gramStart"/>
      <w:r w:rsidRPr="005F3383">
        <w:rPr>
          <w:rFonts w:eastAsia="Arial" w:cs="Arial"/>
          <w:color w:val="000000"/>
          <w:sz w:val="20"/>
        </w:rPr>
        <w:t>dependence, and</w:t>
      </w:r>
      <w:proofErr w:type="gramEnd"/>
      <w:r w:rsidRPr="005F3383">
        <w:rPr>
          <w:rFonts w:eastAsia="Arial" w:cs="Arial"/>
          <w:color w:val="000000"/>
          <w:sz w:val="20"/>
        </w:rPr>
        <w:t xml:space="preserve"> ceasing use abruptly may cause an opioid withdrawal syndrome.</w:t>
      </w:r>
    </w:p>
    <w:p w14:paraId="7E83E76C" w14:textId="57149DCC"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b/>
          <w:color w:val="000000"/>
          <w:spacing w:val="-2"/>
          <w:sz w:val="20"/>
        </w:rPr>
        <w:t xml:space="preserve">Suboxone® </w:t>
      </w:r>
      <w:r w:rsidRPr="005F3383">
        <w:rPr>
          <w:rFonts w:eastAsia="Arial" w:cs="Arial"/>
          <w:color w:val="000000"/>
          <w:spacing w:val="-2"/>
          <w:sz w:val="20"/>
        </w:rPr>
        <w:t>is a combination of buprenorphine and naloxone developed to deter injection of formulations intended for sublingual use. The product is administered sublingually because buprenorphine absorption from the gut is poor. Naloxone is very poorly absorbed via the oral or sublingual route, but is active if the product is injected, so if injected it will delay the onset of opioid effect in those who</w:t>
      </w:r>
      <w:r w:rsidRPr="005F3383">
        <w:rPr>
          <w:rFonts w:eastAsia="Arial" w:cs="Arial"/>
          <w:color w:val="000000"/>
          <w:sz w:val="20"/>
        </w:rPr>
        <w:t xml:space="preserve"> are not opioid dependent, or it will precipitate withdrawal in those who are opioid dependent.</w:t>
      </w:r>
    </w:p>
    <w:p w14:paraId="25520C21" w14:textId="77777777"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color w:val="000000"/>
          <w:sz w:val="20"/>
        </w:rPr>
        <w:t xml:space="preserve">Buprenorphine/naloxone is available as a </w:t>
      </w:r>
      <w:r w:rsidRPr="005F3383">
        <w:rPr>
          <w:rFonts w:eastAsia="Arial" w:cs="Arial"/>
          <w:b/>
          <w:i/>
          <w:color w:val="000000"/>
          <w:sz w:val="20"/>
        </w:rPr>
        <w:t xml:space="preserve">sublingual film </w:t>
      </w:r>
      <w:r w:rsidRPr="005F3383">
        <w:rPr>
          <w:rFonts w:eastAsia="Arial" w:cs="Arial"/>
          <w:color w:val="000000"/>
          <w:sz w:val="20"/>
        </w:rPr>
        <w:t xml:space="preserve">(in 2 mg and 8 mg dose formulations). The film adheres to the sublingual mucosa within seconds once administered and is difficult to remove after 30 to 60 </w:t>
      </w:r>
      <w:r w:rsidRPr="005F3383">
        <w:rPr>
          <w:rFonts w:eastAsia="Arial" w:cs="Arial"/>
          <w:color w:val="000000"/>
          <w:sz w:val="20"/>
        </w:rPr>
        <w:lastRenderedPageBreak/>
        <w:t>seconds, making it difficult to divert the dose from the mouth. Under normal circumstances, supervision of a dose does not need to exceed 1 minute.</w:t>
      </w:r>
    </w:p>
    <w:p w14:paraId="57A8050F" w14:textId="77777777"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color w:val="000000"/>
          <w:sz w:val="20"/>
        </w:rPr>
        <w:t>The onset of effect is between 30 to 60 minutes, and peak effect occurs at 1 to 4 hours. Duration of effect to control craving can be from 24 to 72 hours, depending on dose and individual patient response.</w:t>
      </w:r>
    </w:p>
    <w:p w14:paraId="63D6FDB1" w14:textId="3416425C" w:rsidR="00A93924" w:rsidRPr="005F3383" w:rsidRDefault="00A93924" w:rsidP="005F3383">
      <w:pPr>
        <w:spacing w:line="214" w:lineRule="exact"/>
        <w:textAlignment w:val="baseline"/>
        <w:rPr>
          <w:rFonts w:eastAsia="Arial" w:cs="Arial"/>
          <w:b/>
          <w:color w:val="000000"/>
          <w:sz w:val="20"/>
        </w:rPr>
      </w:pPr>
      <w:r w:rsidRPr="005F3383">
        <w:rPr>
          <w:rFonts w:eastAsia="Arial" w:cs="Arial"/>
          <w:b/>
          <w:color w:val="000000"/>
          <w:sz w:val="20"/>
        </w:rPr>
        <w:t>Figure 1: Buprenorphine/naloxone film</w:t>
      </w:r>
    </w:p>
    <w:tbl>
      <w:tblPr>
        <w:tblW w:w="0" w:type="auto"/>
        <w:tblLayout w:type="fixed"/>
        <w:tblCellMar>
          <w:left w:w="0" w:type="dxa"/>
          <w:right w:w="0" w:type="dxa"/>
        </w:tblCellMar>
        <w:tblLook w:val="04A0" w:firstRow="1" w:lastRow="0" w:firstColumn="1" w:lastColumn="0" w:noHBand="0" w:noVBand="1"/>
      </w:tblPr>
      <w:tblGrid>
        <w:gridCol w:w="1317"/>
        <w:gridCol w:w="3930"/>
      </w:tblGrid>
      <w:tr w:rsidR="00A93924" w:rsidRPr="005F3383" w14:paraId="2E073FAF" w14:textId="77777777" w:rsidTr="009653E8">
        <w:trPr>
          <w:trHeight w:hRule="exact" w:val="935"/>
        </w:trPr>
        <w:tc>
          <w:tcPr>
            <w:tcW w:w="1317" w:type="dxa"/>
            <w:tcBorders>
              <w:top w:val="none" w:sz="0" w:space="0" w:color="000000"/>
              <w:left w:val="none" w:sz="0" w:space="0" w:color="000000"/>
              <w:bottom w:val="none" w:sz="0" w:space="0" w:color="000000"/>
              <w:right w:val="none" w:sz="0" w:space="0" w:color="000000"/>
            </w:tcBorders>
          </w:tcPr>
          <w:p w14:paraId="49CF690F" w14:textId="77777777" w:rsidR="00A93924" w:rsidRPr="005F3383" w:rsidRDefault="00A93924" w:rsidP="005F3383">
            <w:pPr>
              <w:jc w:val="center"/>
              <w:textAlignment w:val="baseline"/>
              <w:rPr>
                <w:rFonts w:cs="Arial"/>
                <w:sz w:val="20"/>
              </w:rPr>
            </w:pPr>
            <w:r w:rsidRPr="005F3383">
              <w:rPr>
                <w:rFonts w:cs="Arial"/>
                <w:noProof/>
                <w:sz w:val="20"/>
              </w:rPr>
              <w:drawing>
                <wp:inline distT="0" distB="0" distL="0" distR="0" wp14:anchorId="6DE80882" wp14:editId="799B54E4">
                  <wp:extent cx="792480" cy="515620"/>
                  <wp:effectExtent l="0" t="0" r="0" b="0"/>
                  <wp:docPr id="196"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9"/>
                          <a:stretch>
                            <a:fillRect/>
                          </a:stretch>
                        </pic:blipFill>
                        <pic:spPr>
                          <a:xfrm>
                            <a:off x="0" y="0"/>
                            <a:ext cx="792480" cy="515620"/>
                          </a:xfrm>
                          <a:prstGeom prst="rect">
                            <a:avLst/>
                          </a:prstGeom>
                        </pic:spPr>
                      </pic:pic>
                    </a:graphicData>
                  </a:graphic>
                </wp:inline>
              </w:drawing>
            </w:r>
          </w:p>
        </w:tc>
        <w:tc>
          <w:tcPr>
            <w:tcW w:w="3930" w:type="dxa"/>
            <w:tcBorders>
              <w:top w:val="none" w:sz="0" w:space="0" w:color="000000"/>
              <w:left w:val="none" w:sz="0" w:space="0" w:color="000000"/>
              <w:bottom w:val="none" w:sz="0" w:space="0" w:color="000000"/>
              <w:right w:val="none" w:sz="0" w:space="0" w:color="000000"/>
            </w:tcBorders>
          </w:tcPr>
          <w:p w14:paraId="34FE44A8" w14:textId="77777777" w:rsidR="00A93924" w:rsidRPr="005F3383" w:rsidRDefault="00A93924" w:rsidP="005F3383">
            <w:pPr>
              <w:spacing w:line="220" w:lineRule="exact"/>
              <w:textAlignment w:val="baseline"/>
              <w:rPr>
                <w:rFonts w:eastAsia="Arial" w:cs="Arial"/>
                <w:color w:val="000000"/>
                <w:sz w:val="20"/>
              </w:rPr>
            </w:pPr>
            <w:r w:rsidRPr="005F3383">
              <w:rPr>
                <w:rFonts w:eastAsia="Arial" w:cs="Arial"/>
                <w:color w:val="000000"/>
                <w:sz w:val="20"/>
              </w:rPr>
              <w:t xml:space="preserve">Actual size of each </w:t>
            </w:r>
            <w:r w:rsidRPr="005F3383">
              <w:rPr>
                <w:rFonts w:eastAsia="Arial" w:cs="Arial"/>
                <w:color w:val="000000"/>
                <w:sz w:val="20"/>
              </w:rPr>
              <w:br/>
              <w:t>film:</w:t>
            </w:r>
          </w:p>
          <w:p w14:paraId="199CC391" w14:textId="77777777" w:rsidR="00A93924" w:rsidRPr="005F3383" w:rsidRDefault="00A93924" w:rsidP="005F3383">
            <w:pPr>
              <w:spacing w:line="184" w:lineRule="exact"/>
              <w:textAlignment w:val="baseline"/>
              <w:rPr>
                <w:rFonts w:eastAsia="Arial" w:cs="Arial"/>
                <w:color w:val="000000"/>
                <w:sz w:val="20"/>
              </w:rPr>
            </w:pPr>
            <w:r w:rsidRPr="005F3383">
              <w:rPr>
                <w:rFonts w:eastAsia="Arial" w:cs="Arial"/>
                <w:color w:val="000000"/>
                <w:sz w:val="20"/>
              </w:rPr>
              <w:t>2.2 cm x 1.3 cm</w:t>
            </w:r>
          </w:p>
        </w:tc>
      </w:tr>
    </w:tbl>
    <w:p w14:paraId="003B4C4C" w14:textId="5734AB82" w:rsidR="002070B6" w:rsidRPr="005F3383" w:rsidRDefault="002070B6" w:rsidP="005F3383">
      <w:pPr>
        <w:spacing w:line="20" w:lineRule="exact"/>
        <w:rPr>
          <w:rFonts w:cs="Arial"/>
          <w:sz w:val="20"/>
        </w:rPr>
      </w:pPr>
    </w:p>
    <w:p w14:paraId="2E9CDFAF" w14:textId="77777777" w:rsidR="00391DE1" w:rsidRPr="00391DE1" w:rsidRDefault="00391DE1" w:rsidP="00391DE1">
      <w:pPr>
        <w:tabs>
          <w:tab w:val="left" w:pos="216"/>
          <w:tab w:val="left" w:pos="288"/>
        </w:tabs>
        <w:spacing w:line="248" w:lineRule="exact"/>
        <w:ind w:right="1224"/>
        <w:textAlignment w:val="baseline"/>
        <w:rPr>
          <w:rFonts w:eastAsia="Arial" w:cs="Arial"/>
          <w:bCs/>
          <w:color w:val="000000"/>
          <w:sz w:val="20"/>
        </w:rPr>
      </w:pPr>
      <w:r w:rsidRPr="00391DE1">
        <w:rPr>
          <w:rFonts w:eastAsia="Arial" w:cs="Arial"/>
          <w:bCs/>
          <w:color w:val="000000"/>
          <w:sz w:val="20"/>
        </w:rPr>
        <w:t xml:space="preserve">LAIB </w:t>
      </w:r>
      <w:r w:rsidR="002070B6" w:rsidRPr="00391DE1">
        <w:rPr>
          <w:rFonts w:eastAsia="Arial" w:cs="Arial"/>
          <w:bCs/>
          <w:color w:val="000000"/>
          <w:sz w:val="20"/>
        </w:rPr>
        <w:t>is an extended release formulation of buprenorphine</w:t>
      </w:r>
      <w:r w:rsidRPr="00391DE1">
        <w:rPr>
          <w:rFonts w:eastAsia="Arial" w:cs="Arial"/>
          <w:bCs/>
          <w:color w:val="000000"/>
          <w:sz w:val="20"/>
        </w:rPr>
        <w:t xml:space="preserve"> administered by subcutaneous injection and provides sustained plasma levels of buprenorphine over the dosing period.</w:t>
      </w:r>
    </w:p>
    <w:p w14:paraId="1AD2A0E8" w14:textId="628DA811" w:rsidR="002070B6" w:rsidRDefault="00391DE1" w:rsidP="00407406">
      <w:pPr>
        <w:tabs>
          <w:tab w:val="left" w:pos="216"/>
          <w:tab w:val="left" w:pos="288"/>
        </w:tabs>
        <w:spacing w:line="218" w:lineRule="exact"/>
        <w:ind w:right="1224"/>
        <w:textAlignment w:val="baseline"/>
        <w:rPr>
          <w:rFonts w:eastAsia="Arial" w:cs="Arial"/>
          <w:bCs/>
          <w:color w:val="000000"/>
          <w:sz w:val="20"/>
        </w:rPr>
      </w:pPr>
      <w:r w:rsidRPr="00391DE1">
        <w:rPr>
          <w:rFonts w:eastAsia="Arial" w:cs="Arial"/>
          <w:bCs/>
          <w:color w:val="000000"/>
          <w:sz w:val="20"/>
        </w:rPr>
        <w:t xml:space="preserve">Two formulations are available: </w:t>
      </w:r>
      <w:proofErr w:type="spellStart"/>
      <w:r w:rsidRPr="00391DE1">
        <w:rPr>
          <w:rFonts w:eastAsia="Arial" w:cs="Arial"/>
          <w:b/>
          <w:color w:val="000000"/>
          <w:sz w:val="20"/>
        </w:rPr>
        <w:t>Buvidal</w:t>
      </w:r>
      <w:proofErr w:type="spellEnd"/>
      <w:r w:rsidRPr="00391DE1">
        <w:rPr>
          <w:rFonts w:eastAsia="Arial" w:cs="Arial"/>
          <w:b/>
          <w:color w:val="000000"/>
          <w:sz w:val="20"/>
        </w:rPr>
        <w:t xml:space="preserve">® </w:t>
      </w:r>
      <w:r w:rsidRPr="00391DE1">
        <w:rPr>
          <w:rFonts w:eastAsia="Arial" w:cs="Arial"/>
          <w:bCs/>
          <w:color w:val="000000"/>
          <w:sz w:val="20"/>
        </w:rPr>
        <w:t>(</w:t>
      </w:r>
      <w:r w:rsidR="002070B6" w:rsidRPr="00391DE1">
        <w:rPr>
          <w:rFonts w:eastAsia="Arial" w:cs="Arial"/>
          <w:bCs/>
          <w:color w:val="000000"/>
          <w:sz w:val="20"/>
        </w:rPr>
        <w:t>weekly or monthly</w:t>
      </w:r>
      <w:r w:rsidRPr="00391DE1">
        <w:rPr>
          <w:rFonts w:eastAsia="Arial" w:cs="Arial"/>
          <w:bCs/>
          <w:color w:val="000000"/>
          <w:sz w:val="20"/>
        </w:rPr>
        <w:t>) and</w:t>
      </w:r>
      <w:r w:rsidR="002070B6" w:rsidRPr="00391DE1">
        <w:rPr>
          <w:rFonts w:eastAsia="Arial" w:cs="Arial"/>
          <w:bCs/>
          <w:color w:val="000000"/>
          <w:sz w:val="20"/>
        </w:rPr>
        <w:t xml:space="preserve"> </w:t>
      </w:r>
      <w:proofErr w:type="spellStart"/>
      <w:r w:rsidR="002070B6" w:rsidRPr="00391DE1">
        <w:rPr>
          <w:rFonts w:eastAsia="Arial" w:cs="Arial"/>
          <w:b/>
          <w:color w:val="000000"/>
          <w:sz w:val="20"/>
        </w:rPr>
        <w:t>Sublocade</w:t>
      </w:r>
      <w:proofErr w:type="spellEnd"/>
      <w:r w:rsidR="002070B6" w:rsidRPr="00391DE1">
        <w:rPr>
          <w:rFonts w:eastAsia="Arial" w:cs="Arial"/>
          <w:b/>
          <w:color w:val="000000"/>
          <w:sz w:val="20"/>
        </w:rPr>
        <w:t xml:space="preserve">® </w:t>
      </w:r>
      <w:r w:rsidRPr="00391DE1">
        <w:rPr>
          <w:rFonts w:eastAsia="Arial" w:cs="Arial"/>
          <w:bCs/>
          <w:color w:val="000000"/>
          <w:sz w:val="20"/>
        </w:rPr>
        <w:t>(monthly)</w:t>
      </w:r>
      <w:r>
        <w:rPr>
          <w:rFonts w:eastAsia="Arial" w:cs="Arial"/>
          <w:bCs/>
          <w:color w:val="000000"/>
          <w:sz w:val="20"/>
        </w:rPr>
        <w:t>.</w:t>
      </w:r>
    </w:p>
    <w:p w14:paraId="6312E442" w14:textId="437ABBB3" w:rsidR="00CF378E" w:rsidRDefault="00CF378E" w:rsidP="00407406">
      <w:pPr>
        <w:tabs>
          <w:tab w:val="left" w:pos="216"/>
          <w:tab w:val="left" w:pos="288"/>
        </w:tabs>
        <w:spacing w:line="218" w:lineRule="exact"/>
        <w:ind w:right="1224"/>
        <w:textAlignment w:val="baseline"/>
        <w:rPr>
          <w:rFonts w:eastAsia="Arial" w:cs="Arial"/>
          <w:bCs/>
          <w:color w:val="000000"/>
          <w:sz w:val="20"/>
        </w:rPr>
      </w:pPr>
      <w:r>
        <w:rPr>
          <w:rFonts w:eastAsia="Arial" w:cs="Arial"/>
          <w:bCs/>
          <w:color w:val="000000"/>
          <w:sz w:val="20"/>
        </w:rPr>
        <w:t xml:space="preserve">Further details on LAIB pharmacology can be found at </w:t>
      </w:r>
      <w:hyperlink r:id="rId20" w:history="1">
        <w:r>
          <w:rPr>
            <w:rStyle w:val="Hyperlink"/>
            <w:rFonts w:eastAsia="Arial" w:cs="Arial"/>
            <w:bCs/>
            <w:sz w:val="20"/>
          </w:rPr>
          <w:t>LAIB - Brief clinical guidelines</w:t>
        </w:r>
      </w:hyperlink>
    </w:p>
    <w:tbl>
      <w:tblPr>
        <w:tblStyle w:val="TableGrid"/>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10174"/>
      </w:tblGrid>
      <w:tr w:rsidR="00587EF4" w14:paraId="16049D32" w14:textId="77777777" w:rsidTr="007769DC">
        <w:tc>
          <w:tcPr>
            <w:tcW w:w="10194" w:type="dxa"/>
            <w:shd w:val="clear" w:color="auto" w:fill="DBE5F1" w:themeFill="accent1" w:themeFillTint="33"/>
          </w:tcPr>
          <w:p w14:paraId="6B8986C8" w14:textId="35F36D6C" w:rsidR="00587EF4" w:rsidRDefault="00587EF4" w:rsidP="00407406">
            <w:pPr>
              <w:tabs>
                <w:tab w:val="left" w:pos="216"/>
                <w:tab w:val="left" w:pos="288"/>
              </w:tabs>
              <w:spacing w:before="120" w:line="218" w:lineRule="exact"/>
              <w:ind w:right="284"/>
              <w:textAlignment w:val="baseline"/>
              <w:rPr>
                <w:rFonts w:eastAsia="Arial" w:cs="Arial"/>
                <w:b/>
                <w:color w:val="000000"/>
                <w:sz w:val="20"/>
              </w:rPr>
            </w:pPr>
            <w:r w:rsidRPr="00391DE1">
              <w:rPr>
                <w:rFonts w:eastAsia="Arial" w:cs="Arial"/>
                <w:b/>
                <w:color w:val="000000"/>
                <w:sz w:val="20"/>
              </w:rPr>
              <w:t>Warning: Do not administer LAIB intravenously or intramuscularly</w:t>
            </w:r>
            <w:r>
              <w:rPr>
                <w:rFonts w:eastAsia="Arial" w:cs="Arial"/>
                <w:b/>
                <w:color w:val="000000"/>
                <w:sz w:val="20"/>
              </w:rPr>
              <w:t xml:space="preserve"> (risk of serious harm or death). These preparations should never be dispensed directly to or handled by the patient or their </w:t>
            </w:r>
            <w:proofErr w:type="spellStart"/>
            <w:r>
              <w:rPr>
                <w:rFonts w:eastAsia="Arial" w:cs="Arial"/>
                <w:b/>
                <w:color w:val="000000"/>
                <w:sz w:val="20"/>
              </w:rPr>
              <w:t>carers</w:t>
            </w:r>
            <w:proofErr w:type="spellEnd"/>
            <w:r>
              <w:rPr>
                <w:rFonts w:eastAsia="Arial" w:cs="Arial"/>
                <w:b/>
                <w:color w:val="000000"/>
                <w:sz w:val="20"/>
              </w:rPr>
              <w:t>.</w:t>
            </w:r>
          </w:p>
        </w:tc>
      </w:tr>
    </w:tbl>
    <w:p w14:paraId="409C717A" w14:textId="5198CEC0" w:rsidR="00A93924" w:rsidRPr="005F3383" w:rsidRDefault="00A93924" w:rsidP="00CF378E">
      <w:pPr>
        <w:numPr>
          <w:ilvl w:val="0"/>
          <w:numId w:val="7"/>
        </w:numPr>
        <w:tabs>
          <w:tab w:val="clear" w:pos="216"/>
          <w:tab w:val="left" w:pos="288"/>
        </w:tabs>
        <w:spacing w:before="120" w:line="248" w:lineRule="exact"/>
        <w:ind w:right="1225"/>
        <w:textAlignment w:val="baseline"/>
        <w:rPr>
          <w:rFonts w:eastAsia="Arial" w:cs="Arial"/>
          <w:b/>
          <w:color w:val="000000"/>
          <w:sz w:val="20"/>
        </w:rPr>
      </w:pPr>
      <w:r w:rsidRPr="005F3383">
        <w:rPr>
          <w:rFonts w:eastAsia="Arial" w:cs="Arial"/>
          <w:b/>
          <w:color w:val="000000"/>
          <w:sz w:val="20"/>
        </w:rPr>
        <w:t>Assess the patient for evidence of opioid dependence and suitability for treatment</w:t>
      </w:r>
    </w:p>
    <w:p w14:paraId="4CBA2E8F" w14:textId="77777777" w:rsidR="00A93924" w:rsidRPr="005F3383" w:rsidRDefault="00A93924" w:rsidP="005F3383">
      <w:pPr>
        <w:spacing w:line="218" w:lineRule="exact"/>
        <w:ind w:right="216"/>
        <w:textAlignment w:val="baseline"/>
        <w:rPr>
          <w:rFonts w:eastAsia="Arial" w:cs="Arial"/>
          <w:b/>
          <w:color w:val="000000"/>
          <w:sz w:val="20"/>
        </w:rPr>
      </w:pPr>
      <w:r w:rsidRPr="005F3383">
        <w:rPr>
          <w:rFonts w:eastAsia="Arial" w:cs="Arial"/>
          <w:b/>
          <w:color w:val="000000"/>
          <w:sz w:val="20"/>
        </w:rPr>
        <w:t xml:space="preserve">Establishing opioid dependence. </w:t>
      </w:r>
      <w:r w:rsidRPr="005F3383">
        <w:rPr>
          <w:rFonts w:eastAsia="Arial" w:cs="Arial"/>
          <w:color w:val="000000"/>
          <w:sz w:val="20"/>
        </w:rPr>
        <w:t>Inquire about history of opioid use and past attempts at withdrawal, examine the patient, and arrange investigations. A drug screen of a supervised collection of urine is recommended.</w:t>
      </w:r>
    </w:p>
    <w:p w14:paraId="1D990A9A" w14:textId="77777777"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color w:val="000000"/>
          <w:sz w:val="20"/>
        </w:rPr>
        <w:t>Opioid dependence can be diagnosed by considering well-established criteria (see Figure 2).</w:t>
      </w:r>
    </w:p>
    <w:p w14:paraId="133889F1" w14:textId="1D407454" w:rsidR="00A93924" w:rsidRDefault="00E03298" w:rsidP="005F3383">
      <w:pPr>
        <w:spacing w:line="218" w:lineRule="exact"/>
        <w:ind w:right="216"/>
        <w:textAlignment w:val="baseline"/>
        <w:rPr>
          <w:rFonts w:eastAsia="Arial" w:cs="Arial"/>
          <w:color w:val="000000"/>
          <w:sz w:val="20"/>
        </w:rPr>
      </w:pPr>
      <w:r>
        <w:rPr>
          <w:rFonts w:eastAsia="Arial" w:cs="Arial"/>
          <w:color w:val="000000"/>
          <w:sz w:val="20"/>
        </w:rPr>
        <w:t>Seek specialist advice for appropriate treatment options in p</w:t>
      </w:r>
      <w:r w:rsidR="00A93924" w:rsidRPr="005F3383">
        <w:rPr>
          <w:rFonts w:eastAsia="Arial" w:cs="Arial"/>
          <w:color w:val="000000"/>
          <w:sz w:val="20"/>
        </w:rPr>
        <w:t>atients who are pregnant, breast-feeding or are allergic to buprenorphine or naloxone.</w:t>
      </w:r>
    </w:p>
    <w:p w14:paraId="17864353" w14:textId="472E780F" w:rsidR="002070B6" w:rsidRDefault="002070B6" w:rsidP="005F3383">
      <w:pPr>
        <w:spacing w:line="218" w:lineRule="exact"/>
        <w:ind w:right="216"/>
        <w:textAlignment w:val="baseline"/>
        <w:rPr>
          <w:rFonts w:eastAsia="Arial" w:cs="Arial"/>
          <w:b/>
          <w:color w:val="000000"/>
          <w:sz w:val="20"/>
        </w:rPr>
      </w:pPr>
      <w:r w:rsidRPr="005F3383">
        <w:rPr>
          <w:rFonts w:eastAsia="Arial" w:cs="Arial"/>
          <w:b/>
          <w:color w:val="000000"/>
          <w:sz w:val="20"/>
        </w:rPr>
        <w:t>Figure 2: Diagnostic Criteria for Opioid Use Disorder</w:t>
      </w:r>
    </w:p>
    <w:tbl>
      <w:tblPr>
        <w:tblStyle w:val="TableGrid"/>
        <w:tblW w:w="0" w:type="auto"/>
        <w:tblLook w:val="04A0" w:firstRow="1" w:lastRow="0" w:firstColumn="1" w:lastColumn="0" w:noHBand="0" w:noVBand="1"/>
      </w:tblPr>
      <w:tblGrid>
        <w:gridCol w:w="10194"/>
      </w:tblGrid>
      <w:tr w:rsidR="002070B6" w14:paraId="5167596E" w14:textId="77777777" w:rsidTr="002070B6">
        <w:tc>
          <w:tcPr>
            <w:tcW w:w="10194" w:type="dxa"/>
          </w:tcPr>
          <w:p w14:paraId="1935608F" w14:textId="77777777" w:rsidR="002070B6" w:rsidRPr="005F3383" w:rsidRDefault="002070B6" w:rsidP="00E750A2">
            <w:pPr>
              <w:spacing w:before="120" w:line="188" w:lineRule="exact"/>
              <w:ind w:right="74"/>
              <w:textAlignment w:val="baseline"/>
              <w:rPr>
                <w:rFonts w:eastAsia="Arial" w:cs="Arial"/>
                <w:b/>
                <w:color w:val="000000"/>
                <w:sz w:val="20"/>
              </w:rPr>
            </w:pPr>
            <w:r w:rsidRPr="005F3383">
              <w:rPr>
                <w:rFonts w:eastAsia="Arial" w:cs="Arial"/>
                <w:b/>
                <w:color w:val="000000"/>
                <w:sz w:val="20"/>
              </w:rPr>
              <w:t>Diagnostic criteria</w:t>
            </w:r>
          </w:p>
          <w:p w14:paraId="2FC60FF6" w14:textId="77777777" w:rsidR="002070B6" w:rsidRPr="005F3383" w:rsidRDefault="002070B6" w:rsidP="002070B6">
            <w:pPr>
              <w:spacing w:line="271" w:lineRule="exact"/>
              <w:ind w:right="72"/>
              <w:textAlignment w:val="baseline"/>
              <w:rPr>
                <w:rFonts w:eastAsia="Arial" w:cs="Arial"/>
                <w:color w:val="000000"/>
                <w:sz w:val="20"/>
              </w:rPr>
            </w:pPr>
            <w:r w:rsidRPr="005F3383">
              <w:rPr>
                <w:rFonts w:eastAsia="Arial" w:cs="Arial"/>
                <w:color w:val="000000"/>
                <w:sz w:val="20"/>
              </w:rPr>
              <w:t>A problematic pattern of opioid use leading to clinically significant impairment or distress, as manifested by at least two of the following, occurring within a 12-month period:</w:t>
            </w:r>
          </w:p>
          <w:p w14:paraId="5C5F2B2E" w14:textId="77777777" w:rsidR="002070B6" w:rsidRPr="005F3383" w:rsidRDefault="002070B6" w:rsidP="009C511B">
            <w:pPr>
              <w:numPr>
                <w:ilvl w:val="0"/>
                <w:numId w:val="10"/>
              </w:numPr>
              <w:tabs>
                <w:tab w:val="left" w:pos="288"/>
              </w:tabs>
              <w:spacing w:line="221" w:lineRule="exact"/>
              <w:ind w:left="289" w:right="288" w:hanging="289"/>
              <w:textAlignment w:val="baseline"/>
              <w:rPr>
                <w:rFonts w:eastAsia="Arial" w:cs="Arial"/>
                <w:color w:val="000000"/>
                <w:sz w:val="20"/>
              </w:rPr>
            </w:pPr>
            <w:r w:rsidRPr="005F3383">
              <w:rPr>
                <w:rFonts w:eastAsia="Arial" w:cs="Arial"/>
                <w:color w:val="000000"/>
                <w:sz w:val="20"/>
              </w:rPr>
              <w:t>opioids are often taken in larger amounts or over a longer period than was intended</w:t>
            </w:r>
          </w:p>
          <w:p w14:paraId="4A08633F" w14:textId="77777777" w:rsidR="002070B6" w:rsidRPr="005F3383" w:rsidRDefault="002070B6" w:rsidP="009C511B">
            <w:pPr>
              <w:numPr>
                <w:ilvl w:val="0"/>
                <w:numId w:val="10"/>
              </w:numPr>
              <w:tabs>
                <w:tab w:val="left" w:pos="288"/>
              </w:tabs>
              <w:spacing w:line="221" w:lineRule="exact"/>
              <w:ind w:left="289" w:right="360" w:hanging="289"/>
              <w:textAlignment w:val="baseline"/>
              <w:rPr>
                <w:rFonts w:eastAsia="Arial" w:cs="Arial"/>
                <w:color w:val="000000"/>
                <w:sz w:val="20"/>
              </w:rPr>
            </w:pPr>
            <w:r w:rsidRPr="005F3383">
              <w:rPr>
                <w:rFonts w:eastAsia="Arial" w:cs="Arial"/>
                <w:color w:val="000000"/>
                <w:sz w:val="20"/>
              </w:rPr>
              <w:t>there is a persistent desire or unsuccessful efforts to cut down or control opioid use</w:t>
            </w:r>
          </w:p>
          <w:p w14:paraId="3ED43211" w14:textId="77777777" w:rsidR="002070B6" w:rsidRPr="005F3383" w:rsidRDefault="002070B6" w:rsidP="009C511B">
            <w:pPr>
              <w:numPr>
                <w:ilvl w:val="0"/>
                <w:numId w:val="10"/>
              </w:numPr>
              <w:tabs>
                <w:tab w:val="left" w:pos="288"/>
              </w:tabs>
              <w:spacing w:line="221" w:lineRule="exact"/>
              <w:ind w:left="289" w:right="72" w:hanging="289"/>
              <w:textAlignment w:val="baseline"/>
              <w:rPr>
                <w:rFonts w:eastAsia="Arial" w:cs="Arial"/>
                <w:color w:val="000000"/>
                <w:sz w:val="20"/>
              </w:rPr>
            </w:pPr>
            <w:r w:rsidRPr="005F3383">
              <w:rPr>
                <w:rFonts w:eastAsia="Arial" w:cs="Arial"/>
                <w:color w:val="000000"/>
                <w:sz w:val="20"/>
              </w:rPr>
              <w:t>a great deal of time is spent in activities necessary to obtain the opioid, use the opioid or recover from its effects</w:t>
            </w:r>
          </w:p>
          <w:p w14:paraId="6D918945" w14:textId="77777777" w:rsidR="002070B6" w:rsidRPr="005F3383" w:rsidRDefault="002070B6" w:rsidP="009C511B">
            <w:pPr>
              <w:numPr>
                <w:ilvl w:val="0"/>
                <w:numId w:val="10"/>
              </w:numPr>
              <w:tabs>
                <w:tab w:val="left" w:pos="288"/>
              </w:tabs>
              <w:spacing w:line="200" w:lineRule="exact"/>
              <w:ind w:left="289" w:right="72" w:hanging="289"/>
              <w:textAlignment w:val="baseline"/>
              <w:rPr>
                <w:rFonts w:eastAsia="Arial" w:cs="Arial"/>
                <w:color w:val="000000"/>
                <w:sz w:val="20"/>
              </w:rPr>
            </w:pPr>
            <w:r w:rsidRPr="005F3383">
              <w:rPr>
                <w:rFonts w:eastAsia="Arial" w:cs="Arial"/>
                <w:color w:val="000000"/>
                <w:sz w:val="20"/>
              </w:rPr>
              <w:t>craving, or a strong desire or urge to use opioids</w:t>
            </w:r>
          </w:p>
          <w:p w14:paraId="034C06C5" w14:textId="77777777" w:rsidR="002070B6" w:rsidRPr="005F3383" w:rsidRDefault="002070B6" w:rsidP="009C511B">
            <w:pPr>
              <w:numPr>
                <w:ilvl w:val="0"/>
                <w:numId w:val="10"/>
              </w:numPr>
              <w:tabs>
                <w:tab w:val="left" w:pos="288"/>
              </w:tabs>
              <w:spacing w:line="221" w:lineRule="exact"/>
              <w:ind w:left="289" w:right="216" w:hanging="289"/>
              <w:textAlignment w:val="baseline"/>
              <w:rPr>
                <w:rFonts w:eastAsia="Arial" w:cs="Arial"/>
                <w:color w:val="000000"/>
                <w:sz w:val="20"/>
              </w:rPr>
            </w:pPr>
            <w:r w:rsidRPr="005F3383">
              <w:rPr>
                <w:rFonts w:eastAsia="Arial" w:cs="Arial"/>
                <w:color w:val="000000"/>
                <w:sz w:val="20"/>
              </w:rPr>
              <w:t>recurrent opioid use resulting in a failure to fulfil major role obligations at work, school or home.</w:t>
            </w:r>
          </w:p>
          <w:p w14:paraId="16AC59DC" w14:textId="77777777" w:rsidR="002070B6" w:rsidRPr="005F3383" w:rsidRDefault="002070B6" w:rsidP="009C511B">
            <w:pPr>
              <w:numPr>
                <w:ilvl w:val="0"/>
                <w:numId w:val="10"/>
              </w:numPr>
              <w:tabs>
                <w:tab w:val="left" w:pos="288"/>
              </w:tabs>
              <w:spacing w:line="221" w:lineRule="exact"/>
              <w:ind w:left="289" w:right="72" w:hanging="289"/>
              <w:textAlignment w:val="baseline"/>
              <w:rPr>
                <w:rFonts w:eastAsia="Arial" w:cs="Arial"/>
                <w:color w:val="000000"/>
                <w:sz w:val="20"/>
              </w:rPr>
            </w:pPr>
            <w:r w:rsidRPr="005F3383">
              <w:rPr>
                <w:rFonts w:eastAsia="Arial" w:cs="Arial"/>
                <w:color w:val="000000"/>
                <w:sz w:val="20"/>
              </w:rPr>
              <w:t>Continued opioid use despite having persistent or recurrent social or interpersonal problems cause or exacerbated by the effects of opioids</w:t>
            </w:r>
          </w:p>
          <w:p w14:paraId="6CFFF96E" w14:textId="77777777" w:rsidR="002070B6" w:rsidRPr="005F3383" w:rsidRDefault="002070B6" w:rsidP="009C511B">
            <w:pPr>
              <w:numPr>
                <w:ilvl w:val="0"/>
                <w:numId w:val="10"/>
              </w:numPr>
              <w:tabs>
                <w:tab w:val="left" w:pos="288"/>
              </w:tabs>
              <w:spacing w:line="221" w:lineRule="exact"/>
              <w:ind w:left="289" w:right="72" w:hanging="289"/>
              <w:textAlignment w:val="baseline"/>
              <w:rPr>
                <w:rFonts w:eastAsia="Arial" w:cs="Arial"/>
                <w:color w:val="000000"/>
                <w:sz w:val="20"/>
              </w:rPr>
            </w:pPr>
            <w:r w:rsidRPr="005F3383">
              <w:rPr>
                <w:rFonts w:eastAsia="Arial" w:cs="Arial"/>
                <w:color w:val="000000"/>
                <w:sz w:val="20"/>
              </w:rPr>
              <w:t>Important social, occupational, or recreational activities are given up or reduced because of opioid use</w:t>
            </w:r>
          </w:p>
          <w:p w14:paraId="3310DDC2" w14:textId="77777777" w:rsidR="002070B6" w:rsidRPr="005F3383" w:rsidRDefault="002070B6" w:rsidP="009C511B">
            <w:pPr>
              <w:numPr>
                <w:ilvl w:val="0"/>
                <w:numId w:val="10"/>
              </w:numPr>
              <w:tabs>
                <w:tab w:val="left" w:pos="288"/>
              </w:tabs>
              <w:spacing w:line="221" w:lineRule="exact"/>
              <w:ind w:left="289" w:right="288" w:hanging="289"/>
              <w:textAlignment w:val="baseline"/>
              <w:rPr>
                <w:rFonts w:eastAsia="Arial" w:cs="Arial"/>
                <w:color w:val="000000"/>
                <w:sz w:val="20"/>
              </w:rPr>
            </w:pPr>
            <w:r w:rsidRPr="005F3383">
              <w:rPr>
                <w:rFonts w:eastAsia="Arial" w:cs="Arial"/>
                <w:color w:val="000000"/>
                <w:sz w:val="20"/>
              </w:rPr>
              <w:t>Recurrent opioid use in situations in which it is physically hazardous</w:t>
            </w:r>
          </w:p>
          <w:p w14:paraId="29182B6D" w14:textId="77777777" w:rsidR="002070B6" w:rsidRPr="005F3383" w:rsidRDefault="002070B6" w:rsidP="009C511B">
            <w:pPr>
              <w:numPr>
                <w:ilvl w:val="0"/>
                <w:numId w:val="10"/>
              </w:numPr>
              <w:tabs>
                <w:tab w:val="left" w:pos="288"/>
              </w:tabs>
              <w:spacing w:line="221" w:lineRule="exact"/>
              <w:ind w:left="289" w:right="72" w:hanging="289"/>
              <w:textAlignment w:val="baseline"/>
              <w:rPr>
                <w:rFonts w:eastAsia="Arial" w:cs="Arial"/>
                <w:color w:val="000000"/>
                <w:sz w:val="20"/>
              </w:rPr>
            </w:pPr>
            <w:r w:rsidRPr="005F3383">
              <w:rPr>
                <w:rFonts w:eastAsia="Arial" w:cs="Arial"/>
                <w:color w:val="000000"/>
                <w:sz w:val="20"/>
              </w:rPr>
              <w:t>Continued opioid use despite knowledge of having a persistent or recurrent physical or psychological problem that is likely to have been cause or exacerbated by the substance.</w:t>
            </w:r>
          </w:p>
          <w:p w14:paraId="1F46C72C" w14:textId="77777777" w:rsidR="002070B6" w:rsidRPr="005F3383" w:rsidRDefault="002070B6" w:rsidP="009C511B">
            <w:pPr>
              <w:numPr>
                <w:ilvl w:val="0"/>
                <w:numId w:val="10"/>
              </w:numPr>
              <w:tabs>
                <w:tab w:val="left" w:pos="288"/>
              </w:tabs>
              <w:spacing w:line="200" w:lineRule="exact"/>
              <w:ind w:left="289" w:right="72" w:hanging="289"/>
              <w:textAlignment w:val="baseline"/>
              <w:rPr>
                <w:rFonts w:eastAsia="Arial" w:cs="Arial"/>
                <w:color w:val="000000"/>
                <w:sz w:val="20"/>
              </w:rPr>
            </w:pPr>
            <w:r w:rsidRPr="005F3383">
              <w:rPr>
                <w:rFonts w:eastAsia="Arial" w:cs="Arial"/>
                <w:color w:val="000000"/>
                <w:sz w:val="20"/>
              </w:rPr>
              <w:t>Tolerance*, as defined by either of the following:</w:t>
            </w:r>
          </w:p>
          <w:p w14:paraId="79539CE7" w14:textId="77777777" w:rsidR="002070B6" w:rsidRPr="005F3383" w:rsidRDefault="002070B6" w:rsidP="00CF378E">
            <w:pPr>
              <w:numPr>
                <w:ilvl w:val="1"/>
                <w:numId w:val="10"/>
              </w:numPr>
              <w:tabs>
                <w:tab w:val="left" w:pos="288"/>
                <w:tab w:val="left" w:pos="792"/>
              </w:tabs>
              <w:spacing w:after="40" w:line="240" w:lineRule="atLeast"/>
              <w:ind w:left="1077" w:right="74" w:hanging="357"/>
              <w:textAlignment w:val="baseline"/>
              <w:rPr>
                <w:rFonts w:eastAsia="Arial" w:cs="Arial"/>
                <w:color w:val="000000"/>
                <w:sz w:val="20"/>
              </w:rPr>
            </w:pPr>
            <w:r w:rsidRPr="005F3383">
              <w:rPr>
                <w:rFonts w:eastAsia="Arial" w:cs="Arial"/>
                <w:color w:val="000000"/>
                <w:sz w:val="20"/>
              </w:rPr>
              <w:t>A need for markedly increased amounts of opioids to achieve intoxication or desired effect</w:t>
            </w:r>
          </w:p>
          <w:p w14:paraId="17B7336B" w14:textId="77777777" w:rsidR="002070B6" w:rsidRPr="005F3383" w:rsidRDefault="002070B6" w:rsidP="00CF378E">
            <w:pPr>
              <w:numPr>
                <w:ilvl w:val="1"/>
                <w:numId w:val="10"/>
              </w:numPr>
              <w:tabs>
                <w:tab w:val="left" w:pos="288"/>
                <w:tab w:val="left" w:pos="792"/>
              </w:tabs>
              <w:spacing w:after="40" w:line="240" w:lineRule="atLeast"/>
              <w:ind w:left="1077" w:right="74" w:hanging="357"/>
              <w:textAlignment w:val="baseline"/>
              <w:rPr>
                <w:rFonts w:eastAsia="Arial" w:cs="Arial"/>
                <w:color w:val="000000"/>
                <w:sz w:val="20"/>
              </w:rPr>
            </w:pPr>
            <w:r w:rsidRPr="005F3383">
              <w:rPr>
                <w:rFonts w:eastAsia="Arial" w:cs="Arial"/>
                <w:color w:val="000000"/>
                <w:sz w:val="20"/>
              </w:rPr>
              <w:t>A markedly diminished effect with continued use of the same amount of an opioid</w:t>
            </w:r>
          </w:p>
          <w:p w14:paraId="6A3C601E" w14:textId="77777777" w:rsidR="002070B6" w:rsidRPr="005F3383" w:rsidRDefault="002070B6" w:rsidP="009C511B">
            <w:pPr>
              <w:numPr>
                <w:ilvl w:val="0"/>
                <w:numId w:val="10"/>
              </w:numPr>
              <w:tabs>
                <w:tab w:val="left" w:pos="288"/>
              </w:tabs>
              <w:spacing w:line="200" w:lineRule="exact"/>
              <w:ind w:left="289" w:right="72" w:hanging="289"/>
              <w:textAlignment w:val="baseline"/>
              <w:rPr>
                <w:rFonts w:eastAsia="Arial" w:cs="Arial"/>
                <w:color w:val="000000"/>
                <w:sz w:val="20"/>
              </w:rPr>
            </w:pPr>
            <w:r w:rsidRPr="005F3383">
              <w:rPr>
                <w:rFonts w:eastAsia="Arial" w:cs="Arial"/>
                <w:color w:val="000000"/>
                <w:sz w:val="20"/>
              </w:rPr>
              <w:t>Withdrawal* as manifested by either of the following:</w:t>
            </w:r>
          </w:p>
          <w:p w14:paraId="29404D58" w14:textId="2DF2A458" w:rsidR="002070B6" w:rsidRPr="005F3383" w:rsidRDefault="00711BBA" w:rsidP="00CF378E">
            <w:pPr>
              <w:numPr>
                <w:ilvl w:val="1"/>
                <w:numId w:val="10"/>
              </w:numPr>
              <w:tabs>
                <w:tab w:val="left" w:pos="360"/>
                <w:tab w:val="left" w:pos="864"/>
              </w:tabs>
              <w:spacing w:after="40" w:line="240" w:lineRule="atLeast"/>
              <w:ind w:left="1077" w:right="74" w:hanging="357"/>
              <w:textAlignment w:val="baseline"/>
              <w:rPr>
                <w:rFonts w:eastAsia="Arial" w:cs="Arial"/>
                <w:color w:val="000000"/>
                <w:spacing w:val="-1"/>
                <w:sz w:val="20"/>
              </w:rPr>
            </w:pPr>
            <w:r>
              <w:rPr>
                <w:rFonts w:eastAsia="Arial" w:cs="Arial"/>
                <w:color w:val="000000"/>
                <w:spacing w:val="-1"/>
                <w:sz w:val="20"/>
              </w:rPr>
              <w:t xml:space="preserve">    </w:t>
            </w:r>
            <w:r w:rsidR="002070B6" w:rsidRPr="005F3383">
              <w:rPr>
                <w:rFonts w:eastAsia="Arial" w:cs="Arial"/>
                <w:color w:val="000000"/>
                <w:spacing w:val="-1"/>
                <w:sz w:val="20"/>
              </w:rPr>
              <w:t>the characteristic opioid withdrawal syndrome (refer to Criteria A and B or the criteria set for opioid withdrawal, pp 547-548 of the Diagnostic and Statistical Manual of Mental Disorders, Fifth Edition)</w:t>
            </w:r>
          </w:p>
          <w:p w14:paraId="10DFAF01" w14:textId="77777777" w:rsidR="002070B6" w:rsidRPr="00E750A2" w:rsidRDefault="00711BBA" w:rsidP="00CF378E">
            <w:pPr>
              <w:pStyle w:val="ListParagraph"/>
              <w:numPr>
                <w:ilvl w:val="1"/>
                <w:numId w:val="10"/>
              </w:numPr>
              <w:spacing w:after="40" w:line="240" w:lineRule="atLeast"/>
              <w:ind w:left="1077" w:right="74" w:hanging="357"/>
              <w:contextualSpacing w:val="0"/>
              <w:textAlignment w:val="baseline"/>
              <w:rPr>
                <w:rFonts w:eastAsia="Arial" w:cs="Arial"/>
                <w:b/>
                <w:color w:val="000000"/>
                <w:sz w:val="20"/>
              </w:rPr>
            </w:pPr>
            <w:r>
              <w:rPr>
                <w:rFonts w:eastAsia="Arial" w:cs="Arial"/>
                <w:color w:val="000000"/>
                <w:sz w:val="20"/>
              </w:rPr>
              <w:t>o</w:t>
            </w:r>
            <w:r w:rsidR="002070B6" w:rsidRPr="00E750A2">
              <w:rPr>
                <w:rFonts w:eastAsia="Arial" w:cs="Arial"/>
                <w:color w:val="000000"/>
                <w:sz w:val="20"/>
              </w:rPr>
              <w:t>pioids (or a closely related substance) are taken to relieve or avoid withdrawal symptoms</w:t>
            </w:r>
          </w:p>
          <w:p w14:paraId="67AF76A4" w14:textId="5D1DE88B" w:rsidR="00711BBA" w:rsidRPr="00E750A2" w:rsidRDefault="00711BBA" w:rsidP="00E750A2">
            <w:pPr>
              <w:spacing w:line="188" w:lineRule="exact"/>
              <w:ind w:right="74"/>
              <w:textAlignment w:val="baseline"/>
              <w:rPr>
                <w:rFonts w:eastAsia="Arial" w:cs="Arial"/>
                <w:b/>
                <w:color w:val="000000"/>
                <w:sz w:val="20"/>
              </w:rPr>
            </w:pPr>
            <w:r>
              <w:rPr>
                <w:rFonts w:eastAsia="Arial"/>
                <w:color w:val="000000"/>
                <w:sz w:val="16"/>
              </w:rPr>
              <w:t>* Note: this criterion is not considered to be met for those individuals taking opioids solely under appropriate medical supervision).</w:t>
            </w:r>
          </w:p>
        </w:tc>
      </w:tr>
    </w:tbl>
    <w:p w14:paraId="5CC0BF00" w14:textId="77777777" w:rsidR="002070B6" w:rsidRPr="005F3383" w:rsidRDefault="002070B6" w:rsidP="005F3383">
      <w:pPr>
        <w:spacing w:line="218" w:lineRule="exact"/>
        <w:ind w:right="216"/>
        <w:textAlignment w:val="baseline"/>
        <w:rPr>
          <w:rFonts w:eastAsia="Arial" w:cs="Arial"/>
          <w:color w:val="000000"/>
          <w:sz w:val="20"/>
        </w:rPr>
      </w:pPr>
    </w:p>
    <w:p w14:paraId="7B10ADC7" w14:textId="0135C8A8" w:rsidR="00A93924" w:rsidRPr="005F3383" w:rsidRDefault="00E03298" w:rsidP="009C511B">
      <w:pPr>
        <w:numPr>
          <w:ilvl w:val="0"/>
          <w:numId w:val="7"/>
        </w:numPr>
        <w:tabs>
          <w:tab w:val="clear" w:pos="216"/>
          <w:tab w:val="left" w:pos="288"/>
        </w:tabs>
        <w:spacing w:line="283" w:lineRule="exact"/>
        <w:ind w:right="864"/>
        <w:textAlignment w:val="baseline"/>
        <w:rPr>
          <w:rFonts w:eastAsia="Arial" w:cs="Arial"/>
          <w:b/>
          <w:color w:val="000000"/>
          <w:sz w:val="20"/>
        </w:rPr>
      </w:pPr>
      <w:r>
        <w:rPr>
          <w:rFonts w:eastAsia="Arial" w:cs="Arial"/>
          <w:b/>
          <w:color w:val="000000"/>
          <w:sz w:val="20"/>
        </w:rPr>
        <w:t xml:space="preserve">(a) </w:t>
      </w:r>
      <w:r w:rsidR="00A93924" w:rsidRPr="005F3383">
        <w:rPr>
          <w:rFonts w:eastAsia="Arial" w:cs="Arial"/>
          <w:b/>
          <w:color w:val="000000"/>
          <w:sz w:val="20"/>
        </w:rPr>
        <w:t>Arrange a pharmacy for the patient to receive supervised dosing</w:t>
      </w:r>
      <w:r>
        <w:rPr>
          <w:rFonts w:eastAsia="Arial" w:cs="Arial"/>
          <w:b/>
          <w:color w:val="000000"/>
          <w:sz w:val="20"/>
        </w:rPr>
        <w:t xml:space="preserve"> (buprenorphine/naloxone)</w:t>
      </w:r>
    </w:p>
    <w:p w14:paraId="49E79338" w14:textId="77777777" w:rsidR="00A93924" w:rsidRPr="005F3383" w:rsidRDefault="00A93924" w:rsidP="005F3383">
      <w:pPr>
        <w:spacing w:line="218" w:lineRule="exact"/>
        <w:ind w:right="216"/>
        <w:textAlignment w:val="baseline"/>
        <w:rPr>
          <w:rFonts w:eastAsia="Arial" w:cs="Arial"/>
          <w:color w:val="000000"/>
          <w:sz w:val="20"/>
        </w:rPr>
      </w:pPr>
      <w:r w:rsidRPr="005F3383">
        <w:rPr>
          <w:rFonts w:eastAsia="Arial" w:cs="Arial"/>
          <w:color w:val="000000"/>
          <w:sz w:val="20"/>
        </w:rPr>
        <w:t>Doses of buprenorphine/naloxone are taken under the supervision of a pharmacist at an approved pharmacy that provides pharmacotherapy services.</w:t>
      </w:r>
    </w:p>
    <w:p w14:paraId="5407A2C9" w14:textId="77777777" w:rsidR="00A93924" w:rsidRPr="005F3383" w:rsidRDefault="00A93924" w:rsidP="005F3383">
      <w:pPr>
        <w:spacing w:line="218" w:lineRule="exact"/>
        <w:ind w:right="216"/>
        <w:textAlignment w:val="baseline"/>
        <w:rPr>
          <w:rFonts w:eastAsia="Arial" w:cs="Arial"/>
          <w:b/>
          <w:color w:val="000000"/>
          <w:spacing w:val="-1"/>
          <w:sz w:val="20"/>
        </w:rPr>
      </w:pPr>
      <w:r w:rsidRPr="005F3383">
        <w:rPr>
          <w:rFonts w:eastAsia="Arial" w:cs="Arial"/>
          <w:b/>
          <w:color w:val="000000"/>
          <w:spacing w:val="-1"/>
          <w:sz w:val="20"/>
        </w:rPr>
        <w:t xml:space="preserve">Daily supervised dosing </w:t>
      </w:r>
      <w:r w:rsidRPr="005F3383">
        <w:rPr>
          <w:rFonts w:eastAsia="Arial" w:cs="Arial"/>
          <w:color w:val="000000"/>
          <w:spacing w:val="-1"/>
          <w:sz w:val="20"/>
        </w:rPr>
        <w:t xml:space="preserve">is required during the commencement of treatment. Dosing arrangements must be made with a pharmacy </w:t>
      </w:r>
      <w:r w:rsidRPr="005F3383">
        <w:rPr>
          <w:rFonts w:eastAsia="Arial" w:cs="Arial"/>
          <w:b/>
          <w:color w:val="000000"/>
          <w:spacing w:val="-1"/>
          <w:sz w:val="20"/>
          <w:u w:val="single"/>
        </w:rPr>
        <w:t>before</w:t>
      </w:r>
      <w:r w:rsidRPr="005F3383">
        <w:rPr>
          <w:rFonts w:eastAsia="Arial" w:cs="Arial"/>
          <w:color w:val="000000"/>
          <w:spacing w:val="-1"/>
          <w:sz w:val="20"/>
        </w:rPr>
        <w:t xml:space="preserve"> applying for a permit and before the patient is given a prescription. </w:t>
      </w:r>
      <w:proofErr w:type="spellStart"/>
      <w:r w:rsidRPr="005F3383">
        <w:rPr>
          <w:rFonts w:eastAsia="Arial" w:cs="Arial"/>
          <w:color w:val="000000"/>
          <w:spacing w:val="-1"/>
          <w:sz w:val="20"/>
        </w:rPr>
        <w:t>DirectLine</w:t>
      </w:r>
      <w:proofErr w:type="spellEnd"/>
      <w:r w:rsidRPr="005F3383">
        <w:rPr>
          <w:rFonts w:eastAsia="Arial" w:cs="Arial"/>
          <w:color w:val="000000"/>
          <w:spacing w:val="-1"/>
          <w:sz w:val="20"/>
        </w:rPr>
        <w:t xml:space="preserve"> (</w:t>
      </w:r>
      <w:proofErr w:type="spellStart"/>
      <w:r w:rsidRPr="005F3383">
        <w:rPr>
          <w:rFonts w:eastAsia="Arial" w:cs="Arial"/>
          <w:color w:val="000000"/>
          <w:spacing w:val="-1"/>
          <w:sz w:val="20"/>
        </w:rPr>
        <w:t>tel</w:t>
      </w:r>
      <w:proofErr w:type="spellEnd"/>
      <w:r w:rsidRPr="005F3383">
        <w:rPr>
          <w:rFonts w:eastAsia="Arial" w:cs="Arial"/>
          <w:color w:val="000000"/>
          <w:spacing w:val="-1"/>
          <w:sz w:val="20"/>
        </w:rPr>
        <w:t>: 1800 888 236) may assist with details of pharmacies that provide supervised dosing of buprenorphine/naloxone.</w:t>
      </w:r>
    </w:p>
    <w:p w14:paraId="43FCD1E2" w14:textId="77777777" w:rsidR="00A93924" w:rsidRPr="005F3383" w:rsidRDefault="00A93924" w:rsidP="005F3383">
      <w:pPr>
        <w:spacing w:line="218" w:lineRule="exact"/>
        <w:ind w:right="504"/>
        <w:textAlignment w:val="baseline"/>
        <w:rPr>
          <w:rFonts w:eastAsia="Arial" w:cs="Arial"/>
          <w:b/>
          <w:color w:val="000000"/>
          <w:sz w:val="20"/>
        </w:rPr>
      </w:pPr>
      <w:r w:rsidRPr="005F3383">
        <w:rPr>
          <w:rFonts w:eastAsia="Arial" w:cs="Arial"/>
          <w:b/>
          <w:color w:val="000000"/>
          <w:sz w:val="20"/>
        </w:rPr>
        <w:t xml:space="preserve">The supply of buprenorphine/naloxone by the pharmacy to the patient is not subsided under the Pharmaceutical Benefits Scheme (PBS). </w:t>
      </w:r>
      <w:r w:rsidRPr="005F3383">
        <w:rPr>
          <w:rFonts w:eastAsia="Arial" w:cs="Arial"/>
          <w:color w:val="000000"/>
          <w:sz w:val="20"/>
        </w:rPr>
        <w:t>Advise the patient to check with the pharmacy on the cost of daily dosing fees, the opening hours and arrange to meet the pharmacist, if possible.</w:t>
      </w:r>
    </w:p>
    <w:p w14:paraId="550CB546" w14:textId="77777777" w:rsidR="00A93924" w:rsidRPr="005F3383" w:rsidRDefault="00A93924" w:rsidP="005F3383">
      <w:pPr>
        <w:spacing w:line="218" w:lineRule="exact"/>
        <w:ind w:right="432"/>
        <w:textAlignment w:val="baseline"/>
        <w:rPr>
          <w:rFonts w:eastAsia="Arial" w:cs="Arial"/>
          <w:color w:val="000000"/>
          <w:sz w:val="20"/>
        </w:rPr>
      </w:pPr>
      <w:r w:rsidRPr="005F3383">
        <w:rPr>
          <w:rFonts w:eastAsia="Arial" w:cs="Arial"/>
          <w:color w:val="000000"/>
          <w:sz w:val="20"/>
        </w:rPr>
        <w:t xml:space="preserve">These details should be confirmed by the prescriber with the nominated pharmacy, to ensure all parties </w:t>
      </w:r>
      <w:proofErr w:type="gramStart"/>
      <w:r w:rsidRPr="005F3383">
        <w:rPr>
          <w:rFonts w:eastAsia="Arial" w:cs="Arial"/>
          <w:color w:val="000000"/>
          <w:sz w:val="20"/>
        </w:rPr>
        <w:t>are in agreement</w:t>
      </w:r>
      <w:proofErr w:type="gramEnd"/>
      <w:r w:rsidRPr="005F3383">
        <w:rPr>
          <w:rFonts w:eastAsia="Arial" w:cs="Arial"/>
          <w:color w:val="000000"/>
          <w:sz w:val="20"/>
        </w:rPr>
        <w:t>.</w:t>
      </w:r>
    </w:p>
    <w:p w14:paraId="63932707" w14:textId="075F8AD5" w:rsidR="00A93924" w:rsidRDefault="00A93924" w:rsidP="005F3383">
      <w:pPr>
        <w:spacing w:line="218" w:lineRule="exact"/>
        <w:ind w:right="216"/>
        <w:textAlignment w:val="baseline"/>
        <w:rPr>
          <w:rFonts w:eastAsia="Arial" w:cs="Arial"/>
          <w:color w:val="000000"/>
          <w:spacing w:val="-1"/>
          <w:sz w:val="20"/>
        </w:rPr>
      </w:pPr>
      <w:r w:rsidRPr="005F3383">
        <w:rPr>
          <w:rFonts w:eastAsia="Arial" w:cs="Arial"/>
          <w:color w:val="000000"/>
          <w:spacing w:val="-1"/>
          <w:sz w:val="20"/>
        </w:rPr>
        <w:t>Certify a photograph of the patient for the patient to provide to the pharmacy to ensure that the patient who presents at the pharmacy is the same person who consulted you.</w:t>
      </w:r>
    </w:p>
    <w:p w14:paraId="775DD0E3" w14:textId="741AEB32" w:rsidR="00E03298" w:rsidRDefault="00E03298" w:rsidP="00E750A2">
      <w:pPr>
        <w:spacing w:line="218" w:lineRule="exact"/>
        <w:ind w:left="284" w:right="215"/>
        <w:textAlignment w:val="baseline"/>
        <w:rPr>
          <w:rFonts w:eastAsia="Arial" w:cs="Arial"/>
          <w:b/>
          <w:bCs/>
          <w:color w:val="000000"/>
          <w:spacing w:val="-1"/>
          <w:sz w:val="20"/>
        </w:rPr>
      </w:pPr>
      <w:r w:rsidRPr="009C511B">
        <w:rPr>
          <w:rFonts w:eastAsia="Arial" w:cs="Arial"/>
          <w:b/>
          <w:bCs/>
          <w:color w:val="000000"/>
          <w:spacing w:val="-1"/>
          <w:sz w:val="20"/>
        </w:rPr>
        <w:t>(b) Arrange for administration of long-acting injectable buprenorphine</w:t>
      </w:r>
    </w:p>
    <w:p w14:paraId="480A40F9" w14:textId="155562E6" w:rsidR="00A93924" w:rsidRDefault="00587EF4" w:rsidP="00587EF4">
      <w:pPr>
        <w:spacing w:line="218" w:lineRule="exact"/>
        <w:ind w:right="216"/>
        <w:textAlignment w:val="baseline"/>
        <w:rPr>
          <w:rFonts w:eastAsia="Arial" w:cs="Arial"/>
          <w:color w:val="000000"/>
          <w:spacing w:val="-1"/>
          <w:sz w:val="20"/>
        </w:rPr>
      </w:pPr>
      <w:r>
        <w:rPr>
          <w:rFonts w:eastAsia="Arial" w:cs="Arial"/>
          <w:color w:val="000000"/>
          <w:spacing w:val="-1"/>
          <w:sz w:val="20"/>
        </w:rPr>
        <w:t xml:space="preserve">Supply of LAIB may occur either directly to an individual practitioner/health service or via pharmacy-based delivery. For further advice on ordering and storage see </w:t>
      </w:r>
      <w:hyperlink r:id="rId21" w:history="1">
        <w:r>
          <w:rPr>
            <w:rStyle w:val="Hyperlink"/>
            <w:rFonts w:eastAsia="Arial" w:cs="Arial"/>
            <w:spacing w:val="-1"/>
            <w:sz w:val="20"/>
          </w:rPr>
          <w:t>Pharmacotherapy policy addendum - Long-acting injectable buprenorphine</w:t>
        </w:r>
      </w:hyperlink>
    </w:p>
    <w:p w14:paraId="07BFCFD3" w14:textId="3D08ED0D" w:rsidR="00EE21A6" w:rsidRPr="00587EF4" w:rsidRDefault="00EE21A6" w:rsidP="00587EF4">
      <w:pPr>
        <w:spacing w:line="218" w:lineRule="exact"/>
        <w:ind w:right="216"/>
        <w:textAlignment w:val="baseline"/>
        <w:rPr>
          <w:rFonts w:eastAsia="Arial" w:cs="Arial"/>
          <w:color w:val="000000"/>
          <w:spacing w:val="-1"/>
          <w:sz w:val="20"/>
        </w:rPr>
      </w:pPr>
      <w:r>
        <w:rPr>
          <w:rFonts w:eastAsia="Arial" w:cs="Arial"/>
          <w:color w:val="000000"/>
          <w:spacing w:val="-1"/>
          <w:sz w:val="20"/>
        </w:rPr>
        <w:t>LAIB administration may occur by the prescriber, a registered nurse or accredited pharmacist.</w:t>
      </w:r>
    </w:p>
    <w:p w14:paraId="437A08DB" w14:textId="77777777" w:rsidR="00A93924" w:rsidRPr="005F3383" w:rsidRDefault="00A93924" w:rsidP="005F3383">
      <w:pPr>
        <w:spacing w:line="248" w:lineRule="exact"/>
        <w:ind w:right="288"/>
        <w:textAlignment w:val="baseline"/>
        <w:rPr>
          <w:rFonts w:eastAsia="Arial" w:cs="Arial"/>
          <w:b/>
          <w:color w:val="000000"/>
          <w:sz w:val="20"/>
        </w:rPr>
      </w:pPr>
      <w:r w:rsidRPr="005F3383">
        <w:rPr>
          <w:rFonts w:eastAsia="Arial" w:cs="Arial"/>
          <w:b/>
          <w:color w:val="000000"/>
          <w:sz w:val="20"/>
        </w:rPr>
        <w:t xml:space="preserve">4. Obtain a permit from the Department of Health </w:t>
      </w:r>
      <w:r w:rsidRPr="005F3383">
        <w:rPr>
          <w:rFonts w:eastAsia="Arial" w:cs="Arial"/>
          <w:b/>
          <w:color w:val="000000"/>
          <w:sz w:val="20"/>
          <w:u w:val="single"/>
        </w:rPr>
        <w:t>before</w:t>
      </w:r>
      <w:r w:rsidRPr="005F3383">
        <w:rPr>
          <w:rFonts w:eastAsia="Arial" w:cs="Arial"/>
          <w:b/>
          <w:color w:val="000000"/>
          <w:sz w:val="20"/>
        </w:rPr>
        <w:t xml:space="preserve"> writing the prescription</w:t>
      </w:r>
    </w:p>
    <w:p w14:paraId="3BB299D8" w14:textId="5242E3B9" w:rsidR="00A93924" w:rsidRPr="005F3383" w:rsidRDefault="00A93924" w:rsidP="005F3383">
      <w:pPr>
        <w:spacing w:line="222" w:lineRule="exact"/>
        <w:ind w:right="72"/>
        <w:textAlignment w:val="baseline"/>
        <w:rPr>
          <w:rFonts w:eastAsia="Arial" w:cs="Arial"/>
          <w:color w:val="000000"/>
          <w:sz w:val="20"/>
        </w:rPr>
      </w:pPr>
      <w:r w:rsidRPr="005F3383">
        <w:rPr>
          <w:rFonts w:eastAsia="Arial" w:cs="Arial"/>
          <w:color w:val="000000"/>
          <w:sz w:val="20"/>
        </w:rPr>
        <w:t xml:space="preserve">A permit must be obtained from </w:t>
      </w:r>
      <w:r w:rsidR="00622979">
        <w:rPr>
          <w:rFonts w:eastAsia="Arial" w:cs="Arial"/>
          <w:color w:val="000000"/>
          <w:sz w:val="20"/>
        </w:rPr>
        <w:t>Medicines</w:t>
      </w:r>
      <w:r w:rsidRPr="005F3383">
        <w:rPr>
          <w:rFonts w:eastAsia="Arial" w:cs="Arial"/>
          <w:color w:val="000000"/>
          <w:sz w:val="20"/>
        </w:rPr>
        <w:t xml:space="preserve"> and Poisons Regulation, Department of Health </w:t>
      </w:r>
      <w:r w:rsidRPr="005F3383">
        <w:rPr>
          <w:rFonts w:eastAsia="Arial" w:cs="Arial"/>
          <w:b/>
          <w:color w:val="000000"/>
          <w:sz w:val="20"/>
          <w:u w:val="single"/>
        </w:rPr>
        <w:t>before</w:t>
      </w:r>
      <w:r w:rsidRPr="005F3383">
        <w:rPr>
          <w:rFonts w:eastAsia="Arial" w:cs="Arial"/>
          <w:color w:val="000000"/>
          <w:sz w:val="20"/>
        </w:rPr>
        <w:t xml:space="preserve"> prescribing buprenorphine/naloxone</w:t>
      </w:r>
      <w:r w:rsidR="00407406">
        <w:rPr>
          <w:rFonts w:eastAsia="Arial" w:cs="Arial"/>
          <w:color w:val="000000"/>
          <w:sz w:val="20"/>
        </w:rPr>
        <w:t xml:space="preserve"> or LAIB</w:t>
      </w:r>
      <w:r w:rsidRPr="005F3383">
        <w:rPr>
          <w:rFonts w:eastAsia="Arial" w:cs="Arial"/>
          <w:color w:val="000000"/>
          <w:sz w:val="20"/>
        </w:rPr>
        <w:t xml:space="preserve"> (a Schedule 8 poison) to an opioid dependent person. The </w:t>
      </w:r>
      <w:r w:rsidRPr="005F3383">
        <w:rPr>
          <w:rFonts w:eastAsia="Arial" w:cs="Arial"/>
          <w:i/>
          <w:color w:val="000000"/>
          <w:sz w:val="20"/>
        </w:rPr>
        <w:t xml:space="preserve">Application for a permit to treat an opioid dependent person with methadone or buprenorphine </w:t>
      </w:r>
      <w:r w:rsidRPr="005F3383">
        <w:rPr>
          <w:rFonts w:eastAsia="Arial" w:cs="Arial"/>
          <w:color w:val="000000"/>
          <w:sz w:val="20"/>
        </w:rPr>
        <w:t>can be completed and submitted online via an online form at</w:t>
      </w:r>
      <w:hyperlink r:id="rId22">
        <w:r w:rsidRPr="005F3383">
          <w:rPr>
            <w:rFonts w:eastAsia="Arial" w:cs="Arial"/>
            <w:color w:val="0000FF"/>
            <w:sz w:val="20"/>
            <w:u w:val="single"/>
          </w:rPr>
          <w:t xml:space="preserve"> https://www2.health.vic.gov.au/public-health/drugs-and-poisons/smart-forms-drugs-and-poisons</w:t>
        </w:r>
      </w:hyperlink>
      <w:r w:rsidRPr="005F3383">
        <w:rPr>
          <w:rFonts w:eastAsia="Arial" w:cs="Arial"/>
          <w:color w:val="0000FF"/>
          <w:sz w:val="20"/>
          <w:u w:val="single"/>
        </w:rPr>
        <w:t>.</w:t>
      </w:r>
      <w:r w:rsidRPr="005F3383">
        <w:rPr>
          <w:rFonts w:eastAsia="Arial" w:cs="Arial"/>
          <w:color w:val="3366FF"/>
          <w:sz w:val="20"/>
        </w:rPr>
        <w:t xml:space="preserve"> </w:t>
      </w:r>
    </w:p>
    <w:p w14:paraId="0E9E288F" w14:textId="54689824" w:rsidR="00A93924" w:rsidRPr="005F3383" w:rsidRDefault="00A93924" w:rsidP="005F3383">
      <w:pPr>
        <w:spacing w:line="217" w:lineRule="exact"/>
        <w:ind w:right="72"/>
        <w:textAlignment w:val="baseline"/>
        <w:rPr>
          <w:rFonts w:eastAsia="Arial" w:cs="Arial"/>
          <w:color w:val="000000"/>
          <w:sz w:val="20"/>
        </w:rPr>
      </w:pPr>
      <w:r w:rsidRPr="005F3383">
        <w:rPr>
          <w:rFonts w:eastAsia="Arial" w:cs="Arial"/>
          <w:color w:val="000000"/>
          <w:sz w:val="20"/>
        </w:rPr>
        <w:t>Your local Pharmacotherapy</w:t>
      </w:r>
      <w:r w:rsidR="00622979">
        <w:rPr>
          <w:rFonts w:eastAsia="Arial" w:cs="Arial"/>
          <w:color w:val="000000"/>
          <w:sz w:val="20"/>
        </w:rPr>
        <w:t xml:space="preserve"> </w:t>
      </w:r>
      <w:r w:rsidR="00622979" w:rsidRPr="005F3383">
        <w:rPr>
          <w:rFonts w:eastAsia="Arial" w:cs="Arial"/>
          <w:color w:val="000000"/>
          <w:sz w:val="20"/>
        </w:rPr>
        <w:t>Area-Based</w:t>
      </w:r>
      <w:r w:rsidRPr="005F3383">
        <w:rPr>
          <w:rFonts w:eastAsia="Arial" w:cs="Arial"/>
          <w:color w:val="000000"/>
          <w:sz w:val="20"/>
        </w:rPr>
        <w:t xml:space="preserve"> Network is available to assist you with completing this form. See below for contacts.</w:t>
      </w:r>
    </w:p>
    <w:p w14:paraId="25765D49" w14:textId="0EDFCA14" w:rsidR="00A93924" w:rsidRPr="005F3383"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t xml:space="preserve">Individual permits must be obtained for each patient. Before applying for a permit, ensure that the limit of </w:t>
      </w:r>
      <w:r w:rsidR="00622979">
        <w:rPr>
          <w:rFonts w:eastAsia="Arial" w:cs="Arial"/>
          <w:color w:val="000000"/>
          <w:sz w:val="20"/>
        </w:rPr>
        <w:t>ten</w:t>
      </w:r>
      <w:r w:rsidRPr="005F3383">
        <w:rPr>
          <w:rFonts w:eastAsia="Arial" w:cs="Arial"/>
          <w:color w:val="000000"/>
          <w:sz w:val="20"/>
        </w:rPr>
        <w:t xml:space="preserve"> (</w:t>
      </w:r>
      <w:r w:rsidR="00622979">
        <w:rPr>
          <w:rFonts w:eastAsia="Arial" w:cs="Arial"/>
          <w:color w:val="000000"/>
          <w:sz w:val="20"/>
        </w:rPr>
        <w:t>10</w:t>
      </w:r>
      <w:r w:rsidRPr="005F3383">
        <w:rPr>
          <w:rFonts w:eastAsia="Arial" w:cs="Arial"/>
          <w:color w:val="000000"/>
          <w:sz w:val="20"/>
        </w:rPr>
        <w:t>) patients has not been exceeded.</w:t>
      </w:r>
    </w:p>
    <w:p w14:paraId="48E57696" w14:textId="5FB3539C" w:rsidR="00A93924" w:rsidRPr="005F3383" w:rsidRDefault="00622979" w:rsidP="005F3383">
      <w:pPr>
        <w:spacing w:line="219" w:lineRule="exact"/>
        <w:ind w:right="360"/>
        <w:textAlignment w:val="baseline"/>
        <w:rPr>
          <w:rFonts w:eastAsia="Arial" w:cs="Arial"/>
          <w:color w:val="000000"/>
          <w:sz w:val="20"/>
        </w:rPr>
      </w:pPr>
      <w:proofErr w:type="spellStart"/>
      <w:r>
        <w:rPr>
          <w:rFonts w:eastAsia="Arial" w:cs="Arial"/>
          <w:color w:val="000000"/>
          <w:sz w:val="20"/>
        </w:rPr>
        <w:t>SafeScript</w:t>
      </w:r>
      <w:proofErr w:type="spellEnd"/>
      <w:r>
        <w:rPr>
          <w:rFonts w:eastAsia="Arial" w:cs="Arial"/>
          <w:color w:val="000000"/>
          <w:sz w:val="20"/>
        </w:rPr>
        <w:t xml:space="preserve"> must be checked prior to prescribing</w:t>
      </w:r>
      <w:r w:rsidR="00A93924" w:rsidRPr="005F3383">
        <w:rPr>
          <w:rFonts w:eastAsia="Arial" w:cs="Arial"/>
          <w:color w:val="000000"/>
          <w:sz w:val="20"/>
        </w:rPr>
        <w:t xml:space="preserve"> for information on a patient’s previous prescriber </w:t>
      </w:r>
      <w:r>
        <w:rPr>
          <w:rFonts w:eastAsia="Arial" w:cs="Arial"/>
          <w:color w:val="000000"/>
          <w:sz w:val="20"/>
        </w:rPr>
        <w:t xml:space="preserve">and </w:t>
      </w:r>
      <w:r w:rsidR="00A93924" w:rsidRPr="005F3383">
        <w:rPr>
          <w:rFonts w:eastAsia="Arial" w:cs="Arial"/>
          <w:color w:val="000000"/>
          <w:sz w:val="20"/>
        </w:rPr>
        <w:t>to ascertain previous treatment details.</w:t>
      </w:r>
    </w:p>
    <w:p w14:paraId="260333C2" w14:textId="77777777" w:rsidR="00A93924" w:rsidRPr="005F3383"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t>To prevent inadvertent double dosing do not commence treatment until a permit has been issued (usually within one working day after submitting the application).</w:t>
      </w:r>
    </w:p>
    <w:p w14:paraId="63E55617" w14:textId="77777777" w:rsidR="00A93924" w:rsidRPr="005F3383" w:rsidRDefault="00A93924" w:rsidP="005F3383">
      <w:pPr>
        <w:spacing w:line="219" w:lineRule="exact"/>
        <w:ind w:right="504"/>
        <w:textAlignment w:val="baseline"/>
        <w:rPr>
          <w:rFonts w:eastAsia="Arial" w:cs="Arial"/>
          <w:b/>
          <w:color w:val="000000"/>
          <w:sz w:val="20"/>
        </w:rPr>
      </w:pPr>
      <w:r w:rsidRPr="005F3383">
        <w:rPr>
          <w:rFonts w:eastAsia="Arial" w:cs="Arial"/>
          <w:b/>
          <w:color w:val="000000"/>
          <w:sz w:val="20"/>
        </w:rPr>
        <w:t xml:space="preserve">5. Write a prescription to start treatment, </w:t>
      </w:r>
      <w:proofErr w:type="gramStart"/>
      <w:r w:rsidRPr="005F3383">
        <w:rPr>
          <w:rFonts w:eastAsia="Arial" w:cs="Arial"/>
          <w:b/>
          <w:color w:val="000000"/>
          <w:sz w:val="20"/>
        </w:rPr>
        <w:t>taking into account</w:t>
      </w:r>
      <w:proofErr w:type="gramEnd"/>
      <w:r w:rsidRPr="005F3383">
        <w:rPr>
          <w:rFonts w:eastAsia="Arial" w:cs="Arial"/>
          <w:b/>
          <w:color w:val="000000"/>
          <w:sz w:val="20"/>
        </w:rPr>
        <w:t xml:space="preserve"> the risk of precipitated withdrawal</w:t>
      </w:r>
    </w:p>
    <w:p w14:paraId="7024AE88" w14:textId="7050B8E6" w:rsidR="00A93924" w:rsidRPr="005F3383" w:rsidRDefault="00A93924" w:rsidP="005F3383">
      <w:pPr>
        <w:spacing w:line="219" w:lineRule="exact"/>
        <w:ind w:right="144"/>
        <w:textAlignment w:val="baseline"/>
        <w:rPr>
          <w:rFonts w:eastAsia="Arial" w:cs="Arial"/>
          <w:b/>
          <w:color w:val="000000"/>
          <w:sz w:val="20"/>
        </w:rPr>
      </w:pPr>
      <w:r w:rsidRPr="005F3383">
        <w:rPr>
          <w:rFonts w:eastAsia="Arial" w:cs="Arial"/>
          <w:b/>
          <w:color w:val="000000"/>
          <w:sz w:val="20"/>
        </w:rPr>
        <w:t xml:space="preserve">Precipitated withdrawal. </w:t>
      </w:r>
      <w:r w:rsidRPr="005F3383">
        <w:rPr>
          <w:rFonts w:eastAsia="Arial" w:cs="Arial"/>
          <w:color w:val="000000"/>
          <w:sz w:val="20"/>
        </w:rPr>
        <w:t xml:space="preserve">This is the main risk of beginning treatment for opioid dependence with </w:t>
      </w:r>
      <w:proofErr w:type="gramStart"/>
      <w:r w:rsidRPr="005F3383">
        <w:rPr>
          <w:rFonts w:eastAsia="Arial" w:cs="Arial"/>
          <w:color w:val="000000"/>
          <w:sz w:val="20"/>
        </w:rPr>
        <w:t>buprenorphine, and</w:t>
      </w:r>
      <w:proofErr w:type="gramEnd"/>
      <w:r w:rsidRPr="005F3383">
        <w:rPr>
          <w:rFonts w:eastAsia="Arial" w:cs="Arial"/>
          <w:color w:val="000000"/>
          <w:sz w:val="20"/>
        </w:rPr>
        <w:t xml:space="preserve"> may be so unpleasant that the patient will avoid further involvement in treatment. Buprenorphine has a strong affinity for opioid </w:t>
      </w:r>
      <w:proofErr w:type="gramStart"/>
      <w:r w:rsidRPr="005F3383">
        <w:rPr>
          <w:rFonts w:eastAsia="Arial" w:cs="Arial"/>
          <w:color w:val="000000"/>
          <w:sz w:val="20"/>
        </w:rPr>
        <w:t>receptors, and</w:t>
      </w:r>
      <w:proofErr w:type="gramEnd"/>
      <w:r w:rsidRPr="005F3383">
        <w:rPr>
          <w:rFonts w:eastAsia="Arial" w:cs="Arial"/>
          <w:color w:val="000000"/>
          <w:sz w:val="20"/>
        </w:rPr>
        <w:t xml:space="preserve"> will replace other opioids and precipitate a withdrawal syndrome if treatment initiation is not carefully managed. To avoid precipitated </w:t>
      </w:r>
      <w:proofErr w:type="gramStart"/>
      <w:r w:rsidRPr="005F3383">
        <w:rPr>
          <w:rFonts w:eastAsia="Arial" w:cs="Arial"/>
          <w:color w:val="000000"/>
          <w:sz w:val="20"/>
        </w:rPr>
        <w:t>withdrawal</w:t>
      </w:r>
      <w:proofErr w:type="gramEnd"/>
      <w:r w:rsidRPr="005F3383">
        <w:rPr>
          <w:rFonts w:eastAsia="Arial" w:cs="Arial"/>
          <w:color w:val="000000"/>
          <w:sz w:val="20"/>
        </w:rPr>
        <w:t xml:space="preserve"> it is best to commence treatment after a suitable time to allow early opioid withdrawal symptoms to be observed, and start with a low dose.</w:t>
      </w:r>
    </w:p>
    <w:p w14:paraId="4A48931D" w14:textId="77777777" w:rsidR="00A93924" w:rsidRPr="005F3383" w:rsidRDefault="00A93924" w:rsidP="005F3383">
      <w:pPr>
        <w:spacing w:line="219" w:lineRule="exact"/>
        <w:ind w:right="144"/>
        <w:textAlignment w:val="baseline"/>
        <w:rPr>
          <w:rFonts w:eastAsia="Arial" w:cs="Arial"/>
          <w:b/>
          <w:color w:val="000000"/>
          <w:sz w:val="20"/>
        </w:rPr>
      </w:pPr>
      <w:r w:rsidRPr="005F3383">
        <w:rPr>
          <w:rFonts w:eastAsia="Arial" w:cs="Arial"/>
          <w:b/>
          <w:color w:val="000000"/>
          <w:sz w:val="20"/>
        </w:rPr>
        <w:t xml:space="preserve">Commencing treatment. </w:t>
      </w:r>
      <w:r w:rsidRPr="005F3383">
        <w:rPr>
          <w:rFonts w:eastAsia="Arial" w:cs="Arial"/>
          <w:color w:val="000000"/>
          <w:sz w:val="20"/>
        </w:rPr>
        <w:t>Treatment should not be started until you or the pharmacist observe the physical signs of opioid withdrawal (including one or more of the following: dilated pupils, pulse &gt; 90/min, BP &gt; 140/90, sweatiness, sniffing, yawning, watery eyes, anxiety, piloerection (goose bumps)).</w:t>
      </w:r>
    </w:p>
    <w:p w14:paraId="5D40952D" w14:textId="77777777" w:rsidR="00A93924" w:rsidRPr="005F3383" w:rsidRDefault="00A93924" w:rsidP="005F3383">
      <w:pPr>
        <w:spacing w:line="219" w:lineRule="exact"/>
        <w:ind w:right="432"/>
        <w:textAlignment w:val="baseline"/>
        <w:rPr>
          <w:rFonts w:eastAsia="Arial" w:cs="Arial"/>
          <w:color w:val="000000"/>
          <w:sz w:val="20"/>
        </w:rPr>
      </w:pPr>
      <w:r w:rsidRPr="005F3383">
        <w:rPr>
          <w:rFonts w:eastAsia="Arial" w:cs="Arial"/>
          <w:color w:val="000000"/>
          <w:sz w:val="20"/>
        </w:rPr>
        <w:t>The onset of withdrawal is usually 8 to 12 hours after the last use of a short-acting opioid and may be delayed for longer acting opioids.</w:t>
      </w:r>
    </w:p>
    <w:p w14:paraId="11A7D0CB" w14:textId="77777777" w:rsidR="00A93924" w:rsidRPr="005F3383" w:rsidRDefault="00A93924" w:rsidP="005F3383">
      <w:pPr>
        <w:spacing w:line="219" w:lineRule="exact"/>
        <w:ind w:right="144"/>
        <w:textAlignment w:val="baseline"/>
        <w:rPr>
          <w:rFonts w:eastAsia="Arial" w:cs="Arial"/>
          <w:color w:val="000000"/>
          <w:spacing w:val="1"/>
          <w:sz w:val="20"/>
        </w:rPr>
      </w:pPr>
      <w:r w:rsidRPr="005F3383">
        <w:rPr>
          <w:rFonts w:eastAsia="Arial" w:cs="Arial"/>
          <w:color w:val="000000"/>
          <w:spacing w:val="1"/>
          <w:sz w:val="20"/>
        </w:rPr>
        <w:t>Patients exhibiting signs of opioid withdrawal may start on 4 mg buprenorphine (2 x 2 mg films) on the first day and may be and provided with a further 4 mg after 1 to 2 hours if necessary and if the first dose did not precipitate a withdrawal syndrome. This ‘split dosing’ reduces the risk of a severe precipitated withdrawal. If ‘split dosing’ may be required, contact the nominated pharmacy to make this arrangement.</w:t>
      </w:r>
    </w:p>
    <w:p w14:paraId="6E01AF5F" w14:textId="77777777" w:rsidR="00A93924" w:rsidRPr="005F3383"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t>Over subsequent days, doses may be increased by 2, 4 or 8 mg increments, with upper limits of 16 mg on day 2 and 24 mg on day 3.</w:t>
      </w:r>
    </w:p>
    <w:p w14:paraId="51B1AF1F" w14:textId="3B102B1F" w:rsidR="00A93924"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lastRenderedPageBreak/>
        <w:t xml:space="preserve">Adjust the dose according to whether the patient is experiencing opiate withdrawal symptoms prior to their dose of Suboxone, craving for opiates or ongoing illicit opiate use (Suboxone dose is too low); or whether the patient is experiencing symptoms of intoxication, sedation or nausea (Suboxone dose is too high). Take use of other central nervous system depressants into account in assessing intoxication or sedation. Refer to </w:t>
      </w:r>
      <w:r w:rsidRPr="005F3383">
        <w:rPr>
          <w:rFonts w:eastAsia="Arial" w:cs="Arial"/>
          <w:i/>
          <w:color w:val="000000"/>
          <w:sz w:val="20"/>
        </w:rPr>
        <w:t xml:space="preserve">Multiple missed doses </w:t>
      </w:r>
      <w:r w:rsidRPr="005F3383">
        <w:rPr>
          <w:rFonts w:eastAsia="Arial" w:cs="Arial"/>
          <w:color w:val="000000"/>
          <w:sz w:val="20"/>
        </w:rPr>
        <w:t>section of the Policy.</w:t>
      </w:r>
    </w:p>
    <w:p w14:paraId="5752A105" w14:textId="7BBF4E24" w:rsidR="00622979" w:rsidRDefault="00622979" w:rsidP="005F3383">
      <w:pPr>
        <w:spacing w:line="219" w:lineRule="exact"/>
        <w:ind w:right="144"/>
        <w:textAlignment w:val="baseline"/>
        <w:rPr>
          <w:rFonts w:eastAsia="Arial" w:cs="Arial"/>
          <w:color w:val="000000"/>
          <w:sz w:val="20"/>
        </w:rPr>
      </w:pPr>
      <w:r w:rsidRPr="00EE21A6">
        <w:rPr>
          <w:rFonts w:eastAsia="Arial" w:cs="Arial"/>
          <w:b/>
          <w:bCs/>
          <w:color w:val="000000"/>
          <w:sz w:val="20"/>
        </w:rPr>
        <w:t>Long-acting injectable buprenorphine:</w:t>
      </w:r>
      <w:r w:rsidRPr="00EE21A6">
        <w:rPr>
          <w:rFonts w:eastAsia="Arial" w:cs="Arial"/>
          <w:color w:val="000000"/>
          <w:sz w:val="20"/>
        </w:rPr>
        <w:t xml:space="preserve"> </w:t>
      </w:r>
      <w:r w:rsidR="00EE21A6">
        <w:rPr>
          <w:rFonts w:eastAsia="Arial" w:cs="Arial"/>
          <w:color w:val="000000"/>
          <w:sz w:val="20"/>
        </w:rPr>
        <w:t xml:space="preserve">Patients should be initially treated with seven or more days of continuous sublingual buprenorphine (see above) prior to transferring to LAIB. </w:t>
      </w:r>
      <w:r w:rsidRPr="00EE21A6">
        <w:rPr>
          <w:rFonts w:eastAsia="Arial" w:cs="Arial"/>
          <w:color w:val="000000"/>
          <w:sz w:val="20"/>
        </w:rPr>
        <w:t>The first dose of long-acting injectable buprenorphine should be</w:t>
      </w:r>
      <w:r w:rsidR="00EE21A6">
        <w:rPr>
          <w:rFonts w:eastAsia="Arial" w:cs="Arial"/>
          <w:color w:val="000000"/>
          <w:sz w:val="20"/>
        </w:rPr>
        <w:t xml:space="preserve"> started on the day after the last daily sublingual buprenorphine dose.</w:t>
      </w:r>
    </w:p>
    <w:p w14:paraId="77107F21" w14:textId="7D9B6434" w:rsidR="00EE21A6" w:rsidRPr="005F3383" w:rsidRDefault="00EE21A6" w:rsidP="00EE21A6">
      <w:pPr>
        <w:spacing w:line="219" w:lineRule="exact"/>
        <w:ind w:right="144"/>
        <w:textAlignment w:val="baseline"/>
        <w:rPr>
          <w:rFonts w:eastAsia="Arial" w:cs="Arial"/>
          <w:color w:val="000000"/>
          <w:sz w:val="20"/>
        </w:rPr>
      </w:pPr>
      <w:r>
        <w:rPr>
          <w:rFonts w:eastAsia="Arial" w:cs="Arial"/>
          <w:bCs/>
          <w:color w:val="000000"/>
          <w:sz w:val="20"/>
        </w:rPr>
        <w:t>Refer to</w:t>
      </w:r>
      <w:r w:rsidRPr="00391DE1">
        <w:rPr>
          <w:rFonts w:eastAsia="Arial" w:cs="Arial"/>
          <w:bCs/>
          <w:color w:val="000000"/>
          <w:sz w:val="20"/>
        </w:rPr>
        <w:t xml:space="preserve"> </w:t>
      </w:r>
      <w:hyperlink r:id="rId23" w:history="1">
        <w:r>
          <w:rPr>
            <w:rStyle w:val="Hyperlink"/>
            <w:rFonts w:eastAsia="Arial" w:cs="Arial"/>
            <w:bCs/>
            <w:sz w:val="20"/>
          </w:rPr>
          <w:t>Long-acting injectable buprenorphine - Brief clinical guidelines</w:t>
        </w:r>
      </w:hyperlink>
      <w:r>
        <w:rPr>
          <w:rFonts w:eastAsia="Arial" w:cs="Arial"/>
          <w:bCs/>
          <w:color w:val="000000"/>
          <w:sz w:val="20"/>
        </w:rPr>
        <w:t xml:space="preserve"> for further advice on LAIB dosing.</w:t>
      </w:r>
    </w:p>
    <w:p w14:paraId="28980969" w14:textId="77777777" w:rsidR="00A93924" w:rsidRPr="005F3383" w:rsidRDefault="00A93924" w:rsidP="005F3383">
      <w:pPr>
        <w:spacing w:line="219" w:lineRule="exact"/>
        <w:ind w:right="648"/>
        <w:textAlignment w:val="baseline"/>
        <w:rPr>
          <w:rFonts w:eastAsia="Arial" w:cs="Arial"/>
          <w:color w:val="000000"/>
          <w:sz w:val="20"/>
        </w:rPr>
      </w:pPr>
      <w:r w:rsidRPr="005F3383">
        <w:rPr>
          <w:rFonts w:eastAsia="Arial" w:cs="Arial"/>
          <w:color w:val="000000"/>
          <w:sz w:val="20"/>
        </w:rPr>
        <w:t>Consider contacting the DACAS (</w:t>
      </w:r>
      <w:proofErr w:type="spellStart"/>
      <w:r w:rsidRPr="005F3383">
        <w:rPr>
          <w:rFonts w:eastAsia="Arial" w:cs="Arial"/>
          <w:color w:val="000000"/>
          <w:sz w:val="20"/>
        </w:rPr>
        <w:t>tel</w:t>
      </w:r>
      <w:proofErr w:type="spellEnd"/>
      <w:r w:rsidRPr="005F3383">
        <w:rPr>
          <w:rFonts w:eastAsia="Arial" w:cs="Arial"/>
          <w:color w:val="000000"/>
          <w:sz w:val="20"/>
        </w:rPr>
        <w:t>: 1800 812 804) if unsure about dosing.</w:t>
      </w:r>
    </w:p>
    <w:p w14:paraId="6BADD01E" w14:textId="77777777" w:rsidR="00A93924" w:rsidRPr="005F3383" w:rsidRDefault="00A93924" w:rsidP="005F3383">
      <w:pPr>
        <w:spacing w:line="219" w:lineRule="exact"/>
        <w:ind w:right="144"/>
        <w:textAlignment w:val="baseline"/>
        <w:rPr>
          <w:rFonts w:eastAsia="Arial" w:cs="Arial"/>
          <w:b/>
          <w:color w:val="000000"/>
          <w:sz w:val="20"/>
        </w:rPr>
      </w:pPr>
      <w:r w:rsidRPr="005F3383">
        <w:rPr>
          <w:rFonts w:eastAsia="Arial" w:cs="Arial"/>
          <w:b/>
          <w:color w:val="000000"/>
          <w:sz w:val="20"/>
        </w:rPr>
        <w:t xml:space="preserve">Writing a prescription. </w:t>
      </w:r>
      <w:r w:rsidRPr="005F3383">
        <w:rPr>
          <w:rFonts w:eastAsia="Arial" w:cs="Arial"/>
          <w:color w:val="000000"/>
          <w:sz w:val="20"/>
        </w:rPr>
        <w:t>The prescription must comply with all legislative requirements for writing a prescription for a Schedule 8 poison (including the dose to be written in words and figures).</w:t>
      </w:r>
    </w:p>
    <w:p w14:paraId="744C3922" w14:textId="63D23D2C" w:rsidR="00A93924" w:rsidRPr="005F3383" w:rsidRDefault="00A93924" w:rsidP="005F3383">
      <w:pPr>
        <w:spacing w:line="230" w:lineRule="exact"/>
        <w:textAlignment w:val="baseline"/>
        <w:rPr>
          <w:rFonts w:eastAsia="Arial" w:cs="Arial"/>
          <w:b/>
          <w:color w:val="000000"/>
          <w:sz w:val="20"/>
        </w:rPr>
      </w:pPr>
      <w:r w:rsidRPr="005F3383">
        <w:rPr>
          <w:rFonts w:eastAsia="Arial" w:cs="Arial"/>
          <w:b/>
          <w:color w:val="000000"/>
          <w:sz w:val="20"/>
        </w:rPr>
        <w:t>Figure 3: Example of a prescription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648"/>
      </w:tblGrid>
      <w:tr w:rsidR="00711BBA" w14:paraId="3869C637" w14:textId="77777777" w:rsidTr="00E750A2">
        <w:tc>
          <w:tcPr>
            <w:tcW w:w="5097" w:type="dxa"/>
            <w:shd w:val="clear" w:color="auto" w:fill="auto"/>
          </w:tcPr>
          <w:p w14:paraId="292C2CCE" w14:textId="4CE5F7E2" w:rsidR="00711BBA" w:rsidRDefault="00711BBA" w:rsidP="005F3383">
            <w:pPr>
              <w:spacing w:line="230" w:lineRule="exact"/>
              <w:textAlignment w:val="baseline"/>
              <w:rPr>
                <w:rFonts w:eastAsia="Arial" w:cs="Arial"/>
                <w:b/>
                <w:color w:val="000000"/>
                <w:sz w:val="20"/>
              </w:rPr>
            </w:pPr>
            <w:r>
              <w:rPr>
                <w:noProof/>
              </w:rPr>
              <w:drawing>
                <wp:anchor distT="0" distB="0" distL="114300" distR="114300" simplePos="0" relativeHeight="251662336" behindDoc="1" locked="0" layoutInCell="1" allowOverlap="1" wp14:anchorId="2D637304" wp14:editId="5B403918">
                  <wp:simplePos x="0" y="0"/>
                  <wp:positionH relativeFrom="column">
                    <wp:posOffset>0</wp:posOffset>
                  </wp:positionH>
                  <wp:positionV relativeFrom="paragraph">
                    <wp:posOffset>224790</wp:posOffset>
                  </wp:positionV>
                  <wp:extent cx="3390900" cy="2895600"/>
                  <wp:effectExtent l="0" t="0" r="0" b="0"/>
                  <wp:wrapTight wrapText="bothSides">
                    <wp:wrapPolygon edited="0">
                      <wp:start x="0" y="0"/>
                      <wp:lineTo x="0" y="21458"/>
                      <wp:lineTo x="21479" y="21458"/>
                      <wp:lineTo x="21479" y="0"/>
                      <wp:lineTo x="0" y="0"/>
                    </wp:wrapPolygon>
                  </wp:wrapTight>
                  <wp:docPr id="1"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24">
                            <a:extLst>
                              <a:ext uri="{28A0092B-C50C-407E-A947-70E740481C1C}">
                                <a14:useLocalDpi xmlns:a14="http://schemas.microsoft.com/office/drawing/2010/main" val="0"/>
                              </a:ext>
                            </a:extLst>
                          </a:blip>
                          <a:stretch>
                            <a:fillRect/>
                          </a:stretch>
                        </pic:blipFill>
                        <pic:spPr>
                          <a:xfrm>
                            <a:off x="0" y="0"/>
                            <a:ext cx="3390900" cy="2895600"/>
                          </a:xfrm>
                          <a:prstGeom prst="rect">
                            <a:avLst/>
                          </a:prstGeom>
                        </pic:spPr>
                      </pic:pic>
                    </a:graphicData>
                  </a:graphic>
                  <wp14:sizeRelH relativeFrom="page">
                    <wp14:pctWidth>0</wp14:pctWidth>
                  </wp14:sizeRelH>
                  <wp14:sizeRelV relativeFrom="page">
                    <wp14:pctHeight>0</wp14:pctHeight>
                  </wp14:sizeRelV>
                </wp:anchor>
              </w:drawing>
            </w:r>
          </w:p>
        </w:tc>
        <w:tc>
          <w:tcPr>
            <w:tcW w:w="5097" w:type="dxa"/>
            <w:shd w:val="clear" w:color="auto" w:fill="auto"/>
            <w:vAlign w:val="center"/>
          </w:tcPr>
          <w:p w14:paraId="7C4C767A" w14:textId="77777777" w:rsidR="00711BBA" w:rsidRDefault="00711BBA" w:rsidP="00711BBA">
            <w:pPr>
              <w:spacing w:line="219" w:lineRule="exact"/>
              <w:textAlignment w:val="baseline"/>
              <w:rPr>
                <w:rFonts w:eastAsia="Arial" w:cs="Arial"/>
                <w:color w:val="000000"/>
                <w:sz w:val="20"/>
              </w:rPr>
            </w:pPr>
          </w:p>
          <w:p w14:paraId="2C5536E2" w14:textId="77777777" w:rsidR="00711BBA" w:rsidRDefault="00711BBA" w:rsidP="00711BBA">
            <w:pPr>
              <w:spacing w:line="219" w:lineRule="exact"/>
              <w:textAlignment w:val="baseline"/>
              <w:rPr>
                <w:rFonts w:eastAsia="Arial" w:cs="Arial"/>
                <w:color w:val="000000"/>
                <w:sz w:val="20"/>
              </w:rPr>
            </w:pPr>
          </w:p>
          <w:p w14:paraId="248BF5A5" w14:textId="1C6A1285" w:rsidR="00711BBA" w:rsidRPr="005F3383" w:rsidRDefault="00711BBA" w:rsidP="000131BA">
            <w:pPr>
              <w:spacing w:line="219" w:lineRule="exact"/>
              <w:textAlignment w:val="baseline"/>
              <w:rPr>
                <w:rFonts w:eastAsia="Arial" w:cs="Arial"/>
                <w:color w:val="000000"/>
                <w:sz w:val="20"/>
              </w:rPr>
            </w:pPr>
            <w:r w:rsidRPr="005F3383">
              <w:rPr>
                <w:rFonts w:eastAsia="Arial" w:cs="Arial"/>
                <w:color w:val="000000"/>
                <w:sz w:val="20"/>
              </w:rPr>
              <w:t>In addition, the prescription should include:</w:t>
            </w:r>
          </w:p>
          <w:p w14:paraId="285B6E58" w14:textId="77777777" w:rsidR="00711BBA" w:rsidRPr="00E750A2" w:rsidRDefault="00711BBA" w:rsidP="009C511B">
            <w:pPr>
              <w:pStyle w:val="ListParagraph"/>
              <w:numPr>
                <w:ilvl w:val="0"/>
                <w:numId w:val="11"/>
              </w:numPr>
              <w:tabs>
                <w:tab w:val="left" w:pos="288"/>
                <w:tab w:val="left" w:pos="432"/>
              </w:tabs>
              <w:spacing w:line="219" w:lineRule="exact"/>
              <w:ind w:left="301" w:right="360" w:hanging="227"/>
              <w:contextualSpacing w:val="0"/>
              <w:textAlignment w:val="baseline"/>
              <w:rPr>
                <w:rFonts w:eastAsia="Arial" w:cs="Arial"/>
                <w:color w:val="000000"/>
                <w:sz w:val="20"/>
              </w:rPr>
            </w:pPr>
            <w:r w:rsidRPr="00E750A2">
              <w:rPr>
                <w:rFonts w:eastAsia="Arial" w:cs="Arial"/>
                <w:color w:val="000000"/>
                <w:sz w:val="20"/>
              </w:rPr>
              <w:t>the date the first dose is to be supplied</w:t>
            </w:r>
          </w:p>
          <w:p w14:paraId="56A4F0AC" w14:textId="77777777" w:rsidR="00711BBA" w:rsidRPr="00E750A2" w:rsidRDefault="00711BBA" w:rsidP="009C511B">
            <w:pPr>
              <w:pStyle w:val="ListParagraph"/>
              <w:numPr>
                <w:ilvl w:val="0"/>
                <w:numId w:val="11"/>
              </w:numPr>
              <w:tabs>
                <w:tab w:val="left" w:pos="288"/>
                <w:tab w:val="left" w:pos="432"/>
              </w:tabs>
              <w:spacing w:line="219" w:lineRule="exact"/>
              <w:ind w:left="301" w:right="360" w:hanging="227"/>
              <w:contextualSpacing w:val="0"/>
              <w:textAlignment w:val="baseline"/>
              <w:rPr>
                <w:rFonts w:eastAsia="Arial" w:cs="Arial"/>
                <w:color w:val="000000"/>
                <w:sz w:val="20"/>
              </w:rPr>
            </w:pPr>
            <w:r w:rsidRPr="00E750A2">
              <w:rPr>
                <w:rFonts w:eastAsia="Arial" w:cs="Arial"/>
                <w:color w:val="000000"/>
                <w:sz w:val="20"/>
              </w:rPr>
              <w:t>the date the authorisation to supply will end (to encourage the pharmacotherapy patient to attend for review at an appropriate interval)</w:t>
            </w:r>
          </w:p>
          <w:p w14:paraId="10B1D400" w14:textId="77777777" w:rsidR="00711BBA" w:rsidRPr="00E750A2" w:rsidRDefault="00711BBA" w:rsidP="009C511B">
            <w:pPr>
              <w:pStyle w:val="ListParagraph"/>
              <w:numPr>
                <w:ilvl w:val="0"/>
                <w:numId w:val="11"/>
              </w:numPr>
              <w:tabs>
                <w:tab w:val="left" w:pos="288"/>
                <w:tab w:val="left" w:pos="432"/>
              </w:tabs>
              <w:spacing w:line="219" w:lineRule="exact"/>
              <w:ind w:left="301" w:hanging="227"/>
              <w:contextualSpacing w:val="0"/>
              <w:textAlignment w:val="baseline"/>
              <w:rPr>
                <w:rFonts w:eastAsia="Arial" w:cs="Arial"/>
                <w:color w:val="000000"/>
                <w:sz w:val="20"/>
              </w:rPr>
            </w:pPr>
            <w:r w:rsidRPr="00E750A2">
              <w:rPr>
                <w:rFonts w:eastAsia="Arial" w:cs="Arial"/>
                <w:color w:val="000000"/>
                <w:sz w:val="20"/>
              </w:rPr>
              <w:t>the precise dose in words and figures</w:t>
            </w:r>
          </w:p>
          <w:p w14:paraId="111EAB7E" w14:textId="6A3005B9" w:rsidR="00711BBA" w:rsidRPr="00E750A2" w:rsidRDefault="00711BBA" w:rsidP="009C511B">
            <w:pPr>
              <w:pStyle w:val="ListParagraph"/>
              <w:numPr>
                <w:ilvl w:val="0"/>
                <w:numId w:val="11"/>
              </w:numPr>
              <w:tabs>
                <w:tab w:val="left" w:pos="288"/>
                <w:tab w:val="left" w:pos="432"/>
              </w:tabs>
              <w:spacing w:line="219" w:lineRule="exact"/>
              <w:ind w:left="301" w:right="360" w:hanging="227"/>
              <w:contextualSpacing w:val="0"/>
              <w:textAlignment w:val="baseline"/>
              <w:rPr>
                <w:rFonts w:eastAsia="Arial" w:cs="Arial"/>
                <w:color w:val="000000"/>
                <w:sz w:val="20"/>
              </w:rPr>
            </w:pPr>
            <w:r w:rsidRPr="00E750A2">
              <w:rPr>
                <w:rFonts w:eastAsia="Arial" w:cs="Arial"/>
                <w:color w:val="000000"/>
                <w:sz w:val="20"/>
              </w:rPr>
              <w:t>number of take-away doses per week authorised (</w:t>
            </w:r>
            <w:r w:rsidRPr="00E750A2">
              <w:rPr>
                <w:rFonts w:eastAsia="Arial" w:cs="Arial"/>
                <w:b/>
                <w:color w:val="000000"/>
                <w:sz w:val="20"/>
              </w:rPr>
              <w:t>nil during commencement of treatment</w:t>
            </w:r>
            <w:r w:rsidRPr="00E750A2">
              <w:rPr>
                <w:rFonts w:eastAsia="Arial" w:cs="Arial"/>
                <w:color w:val="000000"/>
                <w:sz w:val="20"/>
              </w:rPr>
              <w:t xml:space="preserve">; refer to </w:t>
            </w:r>
            <w:r w:rsidRPr="00835E47">
              <w:rPr>
                <w:rFonts w:eastAsia="Arial" w:cs="Arial"/>
                <w:i/>
                <w:iCs/>
                <w:color w:val="000000"/>
                <w:sz w:val="20"/>
              </w:rPr>
              <w:t>Take</w:t>
            </w:r>
            <w:r w:rsidRPr="00835E47">
              <w:rPr>
                <w:rFonts w:eastAsia="Arial" w:cs="Arial"/>
                <w:i/>
                <w:iCs/>
                <w:color w:val="000000"/>
                <w:sz w:val="20"/>
              </w:rPr>
              <w:softHyphen/>
              <w:t xml:space="preserve">away </w:t>
            </w:r>
            <w:r w:rsidR="00835E47">
              <w:rPr>
                <w:rFonts w:eastAsia="Arial" w:cs="Arial"/>
                <w:i/>
                <w:iCs/>
                <w:color w:val="000000"/>
                <w:sz w:val="20"/>
              </w:rPr>
              <w:t>d</w:t>
            </w:r>
            <w:r w:rsidRPr="00835E47">
              <w:rPr>
                <w:rFonts w:eastAsia="Arial" w:cs="Arial"/>
                <w:i/>
                <w:iCs/>
                <w:color w:val="000000"/>
                <w:sz w:val="20"/>
              </w:rPr>
              <w:t>oses</w:t>
            </w:r>
            <w:r w:rsidRPr="00E750A2">
              <w:rPr>
                <w:rFonts w:eastAsia="Arial" w:cs="Arial"/>
                <w:color w:val="000000"/>
                <w:sz w:val="20"/>
              </w:rPr>
              <w:t xml:space="preserve"> section of the Policy for further information)) and</w:t>
            </w:r>
          </w:p>
          <w:p w14:paraId="60A5A9AF" w14:textId="77777777" w:rsidR="00711BBA" w:rsidRPr="00E750A2" w:rsidRDefault="00711BBA" w:rsidP="009C511B">
            <w:pPr>
              <w:pStyle w:val="ListParagraph"/>
              <w:numPr>
                <w:ilvl w:val="0"/>
                <w:numId w:val="11"/>
              </w:numPr>
              <w:tabs>
                <w:tab w:val="left" w:pos="288"/>
                <w:tab w:val="left" w:pos="432"/>
              </w:tabs>
              <w:spacing w:line="219" w:lineRule="exact"/>
              <w:ind w:left="301" w:hanging="227"/>
              <w:contextualSpacing w:val="0"/>
              <w:textAlignment w:val="baseline"/>
              <w:rPr>
                <w:rFonts w:eastAsia="Arial" w:cs="Arial"/>
                <w:color w:val="000000"/>
                <w:sz w:val="20"/>
              </w:rPr>
            </w:pPr>
            <w:r w:rsidRPr="00E750A2">
              <w:rPr>
                <w:rFonts w:eastAsia="Arial" w:cs="Arial"/>
                <w:color w:val="000000"/>
                <w:sz w:val="20"/>
              </w:rPr>
              <w:t xml:space="preserve">the name of the pharmacy at which the </w:t>
            </w:r>
            <w:r w:rsidRPr="00E750A2">
              <w:rPr>
                <w:rFonts w:eastAsia="Arial" w:cs="Arial"/>
                <w:color w:val="000000"/>
                <w:sz w:val="20"/>
              </w:rPr>
              <w:br/>
              <w:t>pharmacotherapy dose it to be supplied.</w:t>
            </w:r>
          </w:p>
          <w:p w14:paraId="1EBF9FFF" w14:textId="77777777" w:rsidR="00711BBA" w:rsidRDefault="00711BBA" w:rsidP="000131BA">
            <w:pPr>
              <w:spacing w:line="230" w:lineRule="exact"/>
              <w:textAlignment w:val="baseline"/>
              <w:rPr>
                <w:rFonts w:eastAsia="Arial" w:cs="Arial"/>
                <w:b/>
                <w:color w:val="000000"/>
                <w:sz w:val="20"/>
              </w:rPr>
            </w:pPr>
          </w:p>
        </w:tc>
      </w:tr>
    </w:tbl>
    <w:p w14:paraId="30E961F5" w14:textId="77777777" w:rsidR="005F3383" w:rsidRPr="005F3383" w:rsidRDefault="005F3383" w:rsidP="005F3383">
      <w:pPr>
        <w:tabs>
          <w:tab w:val="left" w:pos="432"/>
        </w:tabs>
        <w:spacing w:line="219" w:lineRule="exact"/>
        <w:textAlignment w:val="baseline"/>
        <w:rPr>
          <w:rFonts w:eastAsia="Arial" w:cs="Arial"/>
          <w:color w:val="000000"/>
          <w:sz w:val="20"/>
        </w:rPr>
      </w:pPr>
    </w:p>
    <w:p w14:paraId="2B38B461" w14:textId="23ED1250" w:rsidR="00A93924" w:rsidRPr="005F3383" w:rsidRDefault="00A93924" w:rsidP="005F3383">
      <w:pPr>
        <w:spacing w:line="219" w:lineRule="exact"/>
        <w:textAlignment w:val="baseline"/>
        <w:rPr>
          <w:rFonts w:eastAsia="Arial" w:cs="Arial"/>
          <w:color w:val="000000"/>
          <w:sz w:val="20"/>
        </w:rPr>
      </w:pPr>
      <w:r w:rsidRPr="005F3383">
        <w:rPr>
          <w:rFonts w:eastAsia="Arial" w:cs="Arial"/>
          <w:color w:val="000000"/>
          <w:sz w:val="20"/>
        </w:rPr>
        <w:t>As with prescribing other opioids, ensure the patient is advised not to drive or operate machinery if the patient feels sedated at any time during the course of treatment. Also warn the patient to avoid the use of other central nervous system depressants such as benzodiazepines or alcohol. Advise about the risk of overdose and symptoms and signs suggesting a need to seek help (refer</w:t>
      </w:r>
      <w:r w:rsidR="003236D1">
        <w:rPr>
          <w:rFonts w:eastAsia="Arial" w:cs="Arial"/>
          <w:color w:val="000000"/>
          <w:sz w:val="20"/>
        </w:rPr>
        <w:t xml:space="preserve"> to patient leaflet</w:t>
      </w:r>
      <w:r w:rsidRPr="005F3383">
        <w:rPr>
          <w:rFonts w:eastAsia="Arial" w:cs="Arial"/>
          <w:color w:val="3366FF"/>
          <w:sz w:val="20"/>
          <w:u w:val="single"/>
        </w:rPr>
        <w:t xml:space="preserve"> </w:t>
      </w:r>
      <w:hyperlink r:id="rId25" w:history="1">
        <w:r w:rsidR="003236D1">
          <w:rPr>
            <w:rStyle w:val="Hyperlink"/>
          </w:rPr>
          <w:t>Starting methadone or buprenorphine</w:t>
        </w:r>
      </w:hyperlink>
      <w:r w:rsidR="003236D1">
        <w:rPr>
          <w:rStyle w:val="Hyperlink"/>
        </w:rPr>
        <w:t>)</w:t>
      </w:r>
    </w:p>
    <w:p w14:paraId="396CBDC9" w14:textId="77777777" w:rsidR="00A93924" w:rsidRPr="005F3383" w:rsidRDefault="00A93924" w:rsidP="009C511B">
      <w:pPr>
        <w:numPr>
          <w:ilvl w:val="0"/>
          <w:numId w:val="9"/>
        </w:numPr>
        <w:tabs>
          <w:tab w:val="clear" w:pos="288"/>
          <w:tab w:val="left" w:pos="432"/>
        </w:tabs>
        <w:spacing w:line="219" w:lineRule="exact"/>
        <w:ind w:right="144" w:hanging="288"/>
        <w:textAlignment w:val="baseline"/>
        <w:rPr>
          <w:rFonts w:eastAsia="Arial" w:cs="Arial"/>
          <w:b/>
          <w:color w:val="000000"/>
          <w:sz w:val="20"/>
        </w:rPr>
      </w:pPr>
      <w:r w:rsidRPr="005F3383">
        <w:rPr>
          <w:rFonts w:eastAsia="Arial" w:cs="Arial"/>
          <w:b/>
          <w:color w:val="000000"/>
          <w:sz w:val="20"/>
        </w:rPr>
        <w:t>Review the patient within the first few days to adjust the dose if necessary</w:t>
      </w:r>
    </w:p>
    <w:p w14:paraId="427D0C93" w14:textId="4B6F1AB6" w:rsidR="00711BBA" w:rsidRDefault="00B55A14" w:rsidP="005F3383">
      <w:pPr>
        <w:spacing w:line="219" w:lineRule="exact"/>
        <w:ind w:right="216"/>
        <w:textAlignment w:val="baseline"/>
        <w:rPr>
          <w:rFonts w:eastAsia="Arial" w:cs="Arial"/>
          <w:color w:val="000000"/>
          <w:spacing w:val="-1"/>
          <w:sz w:val="20"/>
        </w:rPr>
      </w:pPr>
      <w:r w:rsidRPr="00B55A14">
        <w:rPr>
          <w:rFonts w:eastAsia="Arial" w:cs="Arial"/>
          <w:b/>
          <w:bCs/>
          <w:color w:val="000000"/>
          <w:spacing w:val="-1"/>
          <w:sz w:val="20"/>
        </w:rPr>
        <w:t>Suboxone®:</w:t>
      </w:r>
      <w:r>
        <w:rPr>
          <w:rFonts w:eastAsia="Arial" w:cs="Arial"/>
          <w:color w:val="000000"/>
          <w:spacing w:val="-1"/>
          <w:sz w:val="20"/>
        </w:rPr>
        <w:t xml:space="preserve"> R</w:t>
      </w:r>
      <w:r w:rsidR="00A93924" w:rsidRPr="005F3383">
        <w:rPr>
          <w:rFonts w:eastAsia="Arial" w:cs="Arial"/>
          <w:color w:val="000000"/>
          <w:spacing w:val="-1"/>
          <w:sz w:val="20"/>
        </w:rPr>
        <w:t xml:space="preserve">eview the patient on days 2 and 3 of dosing to assess adverse </w:t>
      </w:r>
      <w:r w:rsidR="00792DFD" w:rsidRPr="005F3383">
        <w:rPr>
          <w:rFonts w:eastAsia="Arial" w:cs="Arial"/>
          <w:color w:val="000000"/>
          <w:spacing w:val="-1"/>
          <w:sz w:val="20"/>
        </w:rPr>
        <w:t xml:space="preserve">effectiveness of </w:t>
      </w:r>
      <w:proofErr w:type="gramStart"/>
      <w:r w:rsidR="00792DFD" w:rsidRPr="005F3383">
        <w:rPr>
          <w:rFonts w:eastAsia="Arial" w:cs="Arial"/>
          <w:color w:val="000000"/>
          <w:spacing w:val="-1"/>
          <w:sz w:val="20"/>
        </w:rPr>
        <w:t>treatment, and</w:t>
      </w:r>
      <w:proofErr w:type="gramEnd"/>
      <w:r w:rsidR="00792DFD" w:rsidRPr="005F3383">
        <w:rPr>
          <w:rFonts w:eastAsia="Arial" w:cs="Arial"/>
          <w:color w:val="000000"/>
          <w:spacing w:val="-1"/>
          <w:sz w:val="20"/>
        </w:rPr>
        <w:t xml:space="preserve"> adjust dose as necessary. Review again by the next week to check </w:t>
      </w:r>
      <w:proofErr w:type="gramStart"/>
      <w:r w:rsidR="00792DFD" w:rsidRPr="005F3383">
        <w:rPr>
          <w:rFonts w:eastAsia="Arial" w:cs="Arial"/>
          <w:color w:val="000000"/>
          <w:spacing w:val="-1"/>
          <w:sz w:val="20"/>
        </w:rPr>
        <w:t>progress, and</w:t>
      </w:r>
      <w:proofErr w:type="gramEnd"/>
      <w:r w:rsidR="00792DFD" w:rsidRPr="005F3383">
        <w:rPr>
          <w:rFonts w:eastAsia="Arial" w:cs="Arial"/>
          <w:color w:val="000000"/>
          <w:spacing w:val="-1"/>
          <w:sz w:val="20"/>
        </w:rPr>
        <w:t xml:space="preserve"> liaise with the pharmacy to inquire about attendance and progress they may have observed</w:t>
      </w:r>
      <w:r w:rsidR="00711BBA">
        <w:rPr>
          <w:rFonts w:eastAsia="Arial" w:cs="Arial"/>
          <w:color w:val="000000"/>
          <w:spacing w:val="-1"/>
          <w:sz w:val="20"/>
        </w:rPr>
        <w:t>.</w:t>
      </w:r>
    </w:p>
    <w:p w14:paraId="6520A259" w14:textId="7B98AA17" w:rsidR="00B55A14" w:rsidRPr="00B55A14" w:rsidRDefault="00B55A14" w:rsidP="00B55A14">
      <w:pPr>
        <w:spacing w:line="219" w:lineRule="exact"/>
        <w:ind w:right="288"/>
        <w:textAlignment w:val="baseline"/>
        <w:rPr>
          <w:rFonts w:eastAsia="Arial" w:cs="Arial"/>
          <w:color w:val="000000"/>
          <w:sz w:val="20"/>
        </w:rPr>
      </w:pPr>
      <w:r w:rsidRPr="005F3383">
        <w:rPr>
          <w:rFonts w:eastAsia="Arial" w:cs="Arial"/>
          <w:color w:val="000000"/>
          <w:sz w:val="20"/>
        </w:rPr>
        <w:t xml:space="preserve">Refer to </w:t>
      </w:r>
      <w:r w:rsidRPr="005F3383">
        <w:rPr>
          <w:rFonts w:eastAsia="Arial" w:cs="Arial"/>
          <w:i/>
          <w:color w:val="000000"/>
          <w:sz w:val="20"/>
        </w:rPr>
        <w:t>Frequency of review</w:t>
      </w:r>
      <w:r w:rsidRPr="005F3383">
        <w:rPr>
          <w:rFonts w:eastAsia="Arial" w:cs="Arial"/>
          <w:color w:val="000000"/>
          <w:sz w:val="20"/>
        </w:rPr>
        <w:t xml:space="preserve"> section of the Policy for further information.</w:t>
      </w:r>
    </w:p>
    <w:p w14:paraId="1BB9ABFA" w14:textId="58E45A75" w:rsidR="00A93924" w:rsidRPr="005F3383" w:rsidRDefault="00EE21A6" w:rsidP="005F3383">
      <w:pPr>
        <w:spacing w:line="219" w:lineRule="exact"/>
        <w:ind w:right="216"/>
        <w:textAlignment w:val="baseline"/>
        <w:rPr>
          <w:rFonts w:eastAsia="Arial" w:cs="Arial"/>
          <w:color w:val="000000"/>
          <w:spacing w:val="-1"/>
          <w:sz w:val="20"/>
        </w:rPr>
      </w:pPr>
      <w:r w:rsidRPr="00B55A14">
        <w:rPr>
          <w:rFonts w:eastAsia="Arial" w:cs="Arial"/>
          <w:color w:val="000000"/>
          <w:spacing w:val="-1"/>
          <w:sz w:val="20"/>
        </w:rPr>
        <w:t xml:space="preserve">If </w:t>
      </w:r>
      <w:r w:rsidRPr="00B55A14">
        <w:rPr>
          <w:rFonts w:eastAsia="Arial" w:cs="Arial"/>
          <w:b/>
          <w:bCs/>
          <w:color w:val="000000"/>
          <w:spacing w:val="-1"/>
          <w:sz w:val="20"/>
        </w:rPr>
        <w:t>t</w:t>
      </w:r>
      <w:r w:rsidR="00711BBA" w:rsidRPr="00B55A14">
        <w:rPr>
          <w:rFonts w:eastAsia="Arial" w:cs="Arial"/>
          <w:b/>
          <w:bCs/>
          <w:color w:val="000000"/>
          <w:spacing w:val="-1"/>
          <w:sz w:val="20"/>
        </w:rPr>
        <w:t>ransfer</w:t>
      </w:r>
      <w:r w:rsidRPr="00B55A14">
        <w:rPr>
          <w:rFonts w:eastAsia="Arial" w:cs="Arial"/>
          <w:b/>
          <w:bCs/>
          <w:color w:val="000000"/>
          <w:spacing w:val="-1"/>
          <w:sz w:val="20"/>
        </w:rPr>
        <w:t>ring</w:t>
      </w:r>
      <w:r w:rsidR="00711BBA" w:rsidRPr="00B55A14">
        <w:rPr>
          <w:rFonts w:eastAsia="Arial" w:cs="Arial"/>
          <w:b/>
          <w:bCs/>
          <w:color w:val="000000"/>
          <w:spacing w:val="-1"/>
          <w:sz w:val="20"/>
        </w:rPr>
        <w:t xml:space="preserve"> to LAIB</w:t>
      </w:r>
      <w:r w:rsidR="00B55A14" w:rsidRPr="00B55A14">
        <w:rPr>
          <w:rFonts w:eastAsia="Arial" w:cs="Arial"/>
          <w:color w:val="000000"/>
          <w:spacing w:val="-1"/>
          <w:sz w:val="20"/>
        </w:rPr>
        <w:t>, note that due to the extended release formulation, dosing adjustments may continue over a few months until the patient is stabilised</w:t>
      </w:r>
      <w:r w:rsidR="00B55A14">
        <w:rPr>
          <w:rFonts w:eastAsia="Arial" w:cs="Arial"/>
          <w:color w:val="000000"/>
          <w:spacing w:val="-1"/>
          <w:sz w:val="20"/>
        </w:rPr>
        <w:t>.</w:t>
      </w:r>
    </w:p>
    <w:p w14:paraId="5D59E5D9" w14:textId="77777777" w:rsidR="00A93924" w:rsidRPr="005F3383" w:rsidRDefault="00A93924" w:rsidP="009C511B">
      <w:pPr>
        <w:numPr>
          <w:ilvl w:val="0"/>
          <w:numId w:val="9"/>
        </w:numPr>
        <w:tabs>
          <w:tab w:val="clear" w:pos="288"/>
          <w:tab w:val="left" w:pos="432"/>
        </w:tabs>
        <w:spacing w:line="219" w:lineRule="exact"/>
        <w:ind w:hanging="288"/>
        <w:textAlignment w:val="baseline"/>
        <w:rPr>
          <w:rFonts w:eastAsia="Arial" w:cs="Arial"/>
          <w:b/>
          <w:color w:val="000000"/>
          <w:sz w:val="20"/>
        </w:rPr>
      </w:pPr>
      <w:r w:rsidRPr="005F3383">
        <w:rPr>
          <w:rFonts w:eastAsia="Arial" w:cs="Arial"/>
          <w:b/>
          <w:color w:val="000000"/>
          <w:sz w:val="20"/>
        </w:rPr>
        <w:t>Establish the maintenance dose and arrange ongoing consultation</w:t>
      </w:r>
    </w:p>
    <w:p w14:paraId="5CD39045" w14:textId="161AB9A5" w:rsidR="00A93924" w:rsidRPr="005F3383" w:rsidRDefault="00B55A14" w:rsidP="005F3383">
      <w:pPr>
        <w:spacing w:line="219" w:lineRule="exact"/>
        <w:ind w:right="216"/>
        <w:textAlignment w:val="baseline"/>
        <w:rPr>
          <w:rFonts w:eastAsia="Arial" w:cs="Arial"/>
          <w:color w:val="000000"/>
          <w:sz w:val="20"/>
        </w:rPr>
      </w:pPr>
      <w:r w:rsidRPr="00B55A14">
        <w:rPr>
          <w:rFonts w:eastAsia="Arial" w:cs="Arial"/>
          <w:b/>
          <w:bCs/>
          <w:color w:val="000000"/>
          <w:sz w:val="20"/>
        </w:rPr>
        <w:t>Suboxone®:</w:t>
      </w:r>
      <w:r>
        <w:rPr>
          <w:rFonts w:eastAsia="Arial" w:cs="Arial"/>
          <w:color w:val="000000"/>
          <w:sz w:val="20"/>
        </w:rPr>
        <w:t xml:space="preserve"> </w:t>
      </w:r>
      <w:r w:rsidR="00A93924" w:rsidRPr="005F3383">
        <w:rPr>
          <w:rFonts w:eastAsia="Arial" w:cs="Arial"/>
          <w:color w:val="000000"/>
          <w:sz w:val="20"/>
        </w:rPr>
        <w:t>The typical maintenance dose range for treating opioid dependence is 12 to 16 mg buprenorphine</w:t>
      </w:r>
      <w:r w:rsidR="00711BBA">
        <w:rPr>
          <w:rFonts w:eastAsia="Arial" w:cs="Arial"/>
          <w:color w:val="000000"/>
          <w:sz w:val="20"/>
        </w:rPr>
        <w:t>/naloxone</w:t>
      </w:r>
      <w:r w:rsidR="00A93924" w:rsidRPr="005F3383">
        <w:rPr>
          <w:rFonts w:eastAsia="Arial" w:cs="Arial"/>
          <w:color w:val="000000"/>
          <w:sz w:val="20"/>
        </w:rPr>
        <w:t xml:space="preserve"> daily. Most patients become stable on 12 to 24 mg, and the maximum dose is 32 mg per day. Following a period of continuous treatment and stability in treatment, patients may be considered suitable for take-away doses to reduce the demands of daily supervised dosing.</w:t>
      </w:r>
    </w:p>
    <w:p w14:paraId="3B528A1F" w14:textId="3B24ADED" w:rsidR="00A93924" w:rsidRDefault="00A93924" w:rsidP="005F3383">
      <w:pPr>
        <w:spacing w:line="219" w:lineRule="atLeast"/>
        <w:ind w:right="360"/>
        <w:textAlignment w:val="baseline"/>
        <w:rPr>
          <w:rFonts w:eastAsia="Arial" w:cs="Arial"/>
          <w:color w:val="000000"/>
          <w:sz w:val="20"/>
        </w:rPr>
      </w:pPr>
      <w:r w:rsidRPr="005F3383">
        <w:rPr>
          <w:rFonts w:eastAsia="Arial" w:cs="Arial"/>
          <w:color w:val="000000"/>
          <w:sz w:val="20"/>
        </w:rPr>
        <w:t xml:space="preserve">Refer to </w:t>
      </w:r>
      <w:r w:rsidRPr="005F3383">
        <w:rPr>
          <w:rFonts w:eastAsia="Arial" w:cs="Arial"/>
          <w:i/>
          <w:color w:val="000000"/>
          <w:sz w:val="20"/>
        </w:rPr>
        <w:t xml:space="preserve">Take-away doses </w:t>
      </w:r>
      <w:r w:rsidRPr="005F3383">
        <w:rPr>
          <w:rFonts w:eastAsia="Arial" w:cs="Arial"/>
          <w:color w:val="000000"/>
          <w:sz w:val="20"/>
        </w:rPr>
        <w:t>section of the Policy for further information.</w:t>
      </w:r>
    </w:p>
    <w:p w14:paraId="1B531DA0" w14:textId="1A014062" w:rsidR="00711BBA" w:rsidRPr="005F3383" w:rsidRDefault="00711BBA" w:rsidP="005F3383">
      <w:pPr>
        <w:spacing w:line="219" w:lineRule="atLeast"/>
        <w:ind w:right="360"/>
        <w:textAlignment w:val="baseline"/>
        <w:rPr>
          <w:rFonts w:eastAsia="Arial" w:cs="Arial"/>
          <w:color w:val="000000"/>
          <w:sz w:val="20"/>
        </w:rPr>
      </w:pPr>
      <w:r w:rsidRPr="009C511B">
        <w:rPr>
          <w:rFonts w:eastAsia="Arial" w:cs="Arial"/>
          <w:b/>
          <w:bCs/>
          <w:color w:val="000000"/>
          <w:sz w:val="20"/>
        </w:rPr>
        <w:lastRenderedPageBreak/>
        <w:t>LAIB</w:t>
      </w:r>
      <w:r w:rsidR="00B55A14" w:rsidRPr="009C511B">
        <w:rPr>
          <w:rFonts w:eastAsia="Arial" w:cs="Arial"/>
          <w:b/>
          <w:bCs/>
          <w:color w:val="000000"/>
          <w:sz w:val="20"/>
        </w:rPr>
        <w:t>:</w:t>
      </w:r>
      <w:r w:rsidR="00B55A14">
        <w:rPr>
          <w:rFonts w:eastAsia="Arial" w:cs="Arial"/>
          <w:color w:val="000000"/>
          <w:sz w:val="20"/>
        </w:rPr>
        <w:t xml:space="preserve"> Once maintenance dose is established</w:t>
      </w:r>
      <w:r w:rsidR="009C511B">
        <w:rPr>
          <w:rFonts w:eastAsia="Arial" w:cs="Arial"/>
          <w:color w:val="000000"/>
          <w:sz w:val="20"/>
        </w:rPr>
        <w:t>, consider the required frequency of review. It is important to note that patients will have less interaction with health professionals (i.e. pharmacist) than would occur with supervised methadone or buprenorphine/naloxone dosing.</w:t>
      </w:r>
    </w:p>
    <w:p w14:paraId="6889A60B" w14:textId="77777777" w:rsidR="00A93924" w:rsidRPr="005F3383" w:rsidRDefault="00A93924" w:rsidP="005F3383">
      <w:pPr>
        <w:spacing w:line="219" w:lineRule="atLeast"/>
        <w:ind w:right="72"/>
        <w:textAlignment w:val="baseline"/>
        <w:rPr>
          <w:rFonts w:eastAsia="Arial" w:cs="Arial"/>
          <w:b/>
          <w:color w:val="000000"/>
          <w:sz w:val="20"/>
        </w:rPr>
      </w:pPr>
      <w:r w:rsidRPr="005F3383">
        <w:rPr>
          <w:rFonts w:eastAsia="Arial" w:cs="Arial"/>
          <w:b/>
          <w:color w:val="000000"/>
          <w:sz w:val="20"/>
        </w:rPr>
        <w:t>8. Arrange collaborative treatment and counselling with other health professionals as appropriate</w:t>
      </w:r>
    </w:p>
    <w:p w14:paraId="03B3EB96" w14:textId="77777777" w:rsidR="00A93924" w:rsidRPr="005F3383" w:rsidRDefault="00A93924" w:rsidP="005F3383">
      <w:pPr>
        <w:spacing w:line="219" w:lineRule="atLeast"/>
        <w:ind w:right="72"/>
        <w:textAlignment w:val="baseline"/>
        <w:rPr>
          <w:rFonts w:eastAsia="Arial" w:cs="Arial"/>
          <w:color w:val="000000"/>
          <w:sz w:val="20"/>
        </w:rPr>
      </w:pPr>
      <w:r w:rsidRPr="005F3383">
        <w:rPr>
          <w:rFonts w:eastAsia="Arial" w:cs="Arial"/>
          <w:color w:val="000000"/>
          <w:sz w:val="20"/>
        </w:rPr>
        <w:t>Opioid dependent individuals may engage in chaotic drug taking, and pharmacotherapy can help to stabilise their lives and their drug use, providing an opportunity to enable them to address any underlying problems that have led to opioid dependence or problematic opioid use.</w:t>
      </w:r>
    </w:p>
    <w:p w14:paraId="28618913" w14:textId="3FAEB91D" w:rsidR="00A93924" w:rsidRPr="005F3383" w:rsidRDefault="00A93924" w:rsidP="005F3383">
      <w:pPr>
        <w:spacing w:line="220" w:lineRule="exact"/>
        <w:ind w:right="216"/>
        <w:textAlignment w:val="baseline"/>
        <w:rPr>
          <w:rFonts w:eastAsia="Arial" w:cs="Arial"/>
          <w:color w:val="000000"/>
          <w:sz w:val="20"/>
        </w:rPr>
      </w:pPr>
      <w:r w:rsidRPr="005F3383">
        <w:rPr>
          <w:rFonts w:eastAsia="Arial" w:cs="Arial"/>
          <w:color w:val="000000"/>
          <w:sz w:val="20"/>
        </w:rPr>
        <w:t xml:space="preserve">They may benefit from counselling, and social support with accommodation and employment. They may require assessment for issues experienced by this patient group, including but not limited to blood borne viruses (HIV, hepatitis B and hepatitis C) as per </w:t>
      </w:r>
      <w:r w:rsidR="003236D1">
        <w:rPr>
          <w:rFonts w:eastAsia="Arial" w:cs="Arial"/>
          <w:color w:val="000000"/>
          <w:sz w:val="20"/>
        </w:rPr>
        <w:t xml:space="preserve">the </w:t>
      </w:r>
      <w:r w:rsidRPr="005F3383">
        <w:rPr>
          <w:rFonts w:eastAsia="Arial" w:cs="Arial"/>
          <w:color w:val="000000"/>
          <w:sz w:val="20"/>
        </w:rPr>
        <w:t>Policy</w:t>
      </w:r>
      <w:r w:rsidR="003236D1">
        <w:rPr>
          <w:rFonts w:eastAsia="Arial" w:cs="Arial"/>
          <w:color w:val="000000"/>
          <w:sz w:val="20"/>
        </w:rPr>
        <w:t>,</w:t>
      </w:r>
      <w:r w:rsidRPr="005F3383">
        <w:rPr>
          <w:rFonts w:eastAsia="Arial" w:cs="Arial"/>
          <w:color w:val="000000"/>
          <w:sz w:val="20"/>
        </w:rPr>
        <w:t xml:space="preserve"> smoking cessation, mental health issues, poor diet, dental issues, social supports and integration.</w:t>
      </w:r>
    </w:p>
    <w:tbl>
      <w:tblPr>
        <w:tblW w:w="0" w:type="auto"/>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4A0" w:firstRow="1" w:lastRow="0" w:firstColumn="1" w:lastColumn="0" w:noHBand="0" w:noVBand="1"/>
      </w:tblPr>
      <w:tblGrid>
        <w:gridCol w:w="10065"/>
      </w:tblGrid>
      <w:tr w:rsidR="00A93924" w:rsidRPr="005F3383" w14:paraId="3C87244E" w14:textId="77777777" w:rsidTr="007769DC">
        <w:trPr>
          <w:trHeight w:hRule="exact" w:val="3152"/>
        </w:trPr>
        <w:tc>
          <w:tcPr>
            <w:tcW w:w="10065" w:type="dxa"/>
            <w:shd w:val="clear" w:color="auto" w:fill="DBE5F1" w:themeFill="accent1" w:themeFillTint="33"/>
          </w:tcPr>
          <w:p w14:paraId="40D45E7E" w14:textId="2E0D3819" w:rsidR="00A93924" w:rsidRPr="007769DC" w:rsidRDefault="00A93924" w:rsidP="002D0659">
            <w:pPr>
              <w:spacing w:before="120" w:line="240" w:lineRule="auto"/>
              <w:ind w:left="113" w:right="142"/>
              <w:textAlignment w:val="baseline"/>
              <w:rPr>
                <w:rFonts w:eastAsia="Arial" w:cs="Arial"/>
                <w:spacing w:val="2"/>
                <w:sz w:val="20"/>
              </w:rPr>
            </w:pPr>
            <w:r w:rsidRPr="007769DC">
              <w:rPr>
                <w:rFonts w:eastAsia="Arial" w:cs="Arial"/>
                <w:spacing w:val="2"/>
                <w:sz w:val="20"/>
              </w:rPr>
              <w:t xml:space="preserve">Medical and nurse practitioners, who are confidently managing up to </w:t>
            </w:r>
            <w:r w:rsidR="005F3353" w:rsidRPr="007769DC">
              <w:rPr>
                <w:rFonts w:eastAsia="Arial" w:cs="Arial"/>
                <w:spacing w:val="2"/>
                <w:sz w:val="20"/>
              </w:rPr>
              <w:t>ten</w:t>
            </w:r>
            <w:r w:rsidRPr="007769DC">
              <w:rPr>
                <w:rFonts w:eastAsia="Arial" w:cs="Arial"/>
                <w:spacing w:val="2"/>
                <w:sz w:val="20"/>
              </w:rPr>
              <w:t xml:space="preserve"> (</w:t>
            </w:r>
            <w:r w:rsidR="005F3353" w:rsidRPr="007769DC">
              <w:rPr>
                <w:rFonts w:eastAsia="Arial" w:cs="Arial"/>
                <w:spacing w:val="2"/>
                <w:sz w:val="20"/>
              </w:rPr>
              <w:t>10</w:t>
            </w:r>
            <w:r w:rsidRPr="007769DC">
              <w:rPr>
                <w:rFonts w:eastAsia="Arial" w:cs="Arial"/>
                <w:spacing w:val="2"/>
                <w:sz w:val="20"/>
              </w:rPr>
              <w:t xml:space="preserve">) patients with buprenorphine, are highly encouraged to undertake the </w:t>
            </w:r>
            <w:r w:rsidR="002B7901" w:rsidRPr="007769DC">
              <w:rPr>
                <w:rFonts w:eastAsia="Arial" w:cs="Arial"/>
                <w:spacing w:val="2"/>
                <w:sz w:val="20"/>
              </w:rPr>
              <w:t xml:space="preserve">online </w:t>
            </w:r>
            <w:r w:rsidRPr="007769DC">
              <w:rPr>
                <w:rFonts w:eastAsia="Arial" w:cs="Arial"/>
                <w:spacing w:val="2"/>
                <w:sz w:val="20"/>
              </w:rPr>
              <w:t>opioid</w:t>
            </w:r>
            <w:hyperlink r:id="rId26">
              <w:r w:rsidRPr="007769DC">
                <w:rPr>
                  <w:rFonts w:eastAsia="Arial" w:cs="Arial"/>
                  <w:spacing w:val="2"/>
                  <w:sz w:val="20"/>
                </w:rPr>
                <w:t xml:space="preserve"> </w:t>
              </w:r>
              <w:r w:rsidRPr="007769DC">
                <w:rPr>
                  <w:rFonts w:eastAsia="Arial" w:cs="Arial"/>
                  <w:spacing w:val="2"/>
                  <w:sz w:val="20"/>
                  <w:u w:val="single"/>
                </w:rPr>
                <w:t xml:space="preserve">pharmacotherapy prescriber training, also referred to as </w:t>
              </w:r>
            </w:hyperlink>
            <w:r w:rsidRPr="007769DC">
              <w:rPr>
                <w:rFonts w:eastAsia="Arial" w:cs="Arial"/>
                <w:i/>
                <w:spacing w:val="2"/>
                <w:sz w:val="20"/>
                <w:u w:val="single"/>
              </w:rPr>
              <w:t>Medication Assisted Treatment of Opioid Dependence (MATOD</w:t>
            </w:r>
            <w:r w:rsidRPr="007769DC">
              <w:rPr>
                <w:rFonts w:eastAsia="Arial" w:cs="Arial"/>
                <w:spacing w:val="2"/>
                <w:sz w:val="20"/>
                <w:u w:val="single"/>
              </w:rPr>
              <w:t>) training.</w:t>
            </w:r>
            <w:r w:rsidRPr="007769DC">
              <w:rPr>
                <w:rFonts w:eastAsia="Arial" w:cs="Arial"/>
                <w:spacing w:val="2"/>
                <w:sz w:val="20"/>
              </w:rPr>
              <w:t xml:space="preserve"> </w:t>
            </w:r>
          </w:p>
          <w:p w14:paraId="2E39D148" w14:textId="7699A0B3" w:rsidR="00A93924" w:rsidRPr="007769DC" w:rsidRDefault="00A93924" w:rsidP="002D0659">
            <w:pPr>
              <w:spacing w:line="240" w:lineRule="auto"/>
              <w:ind w:left="113" w:right="360"/>
              <w:textAlignment w:val="baseline"/>
              <w:rPr>
                <w:rFonts w:eastAsia="Arial" w:cs="Arial"/>
                <w:sz w:val="20"/>
              </w:rPr>
            </w:pPr>
            <w:r w:rsidRPr="007769DC">
              <w:rPr>
                <w:rFonts w:eastAsia="Arial" w:cs="Arial"/>
                <w:sz w:val="20"/>
              </w:rPr>
              <w:t xml:space="preserve">Successful completion of training and assessment enables prescribers to provide a greater range and capacity of pharmacotherapy services to patients; that is, the ability to prescribe methadone and/or manage more than </w:t>
            </w:r>
            <w:r w:rsidR="002B7901" w:rsidRPr="007769DC">
              <w:rPr>
                <w:rFonts w:eastAsia="Arial" w:cs="Arial"/>
                <w:sz w:val="20"/>
              </w:rPr>
              <w:t>ten</w:t>
            </w:r>
            <w:r w:rsidRPr="007769DC">
              <w:rPr>
                <w:rFonts w:eastAsia="Arial" w:cs="Arial"/>
                <w:sz w:val="20"/>
              </w:rPr>
              <w:t xml:space="preserve"> (</w:t>
            </w:r>
            <w:r w:rsidR="002B7901" w:rsidRPr="007769DC">
              <w:rPr>
                <w:rFonts w:eastAsia="Arial" w:cs="Arial"/>
                <w:sz w:val="20"/>
              </w:rPr>
              <w:t>10</w:t>
            </w:r>
            <w:r w:rsidRPr="007769DC">
              <w:rPr>
                <w:rFonts w:eastAsia="Arial" w:cs="Arial"/>
                <w:sz w:val="20"/>
              </w:rPr>
              <w:t>) buprenorphine patients.</w:t>
            </w:r>
          </w:p>
          <w:p w14:paraId="4638746C" w14:textId="77076077" w:rsidR="002B7901" w:rsidRPr="007769DC" w:rsidRDefault="002B7901" w:rsidP="002D0659">
            <w:pPr>
              <w:spacing w:line="240" w:lineRule="auto"/>
              <w:ind w:left="113" w:right="360"/>
              <w:textAlignment w:val="baseline"/>
              <w:rPr>
                <w:rFonts w:eastAsia="Arial" w:cs="Arial"/>
                <w:sz w:val="20"/>
              </w:rPr>
            </w:pPr>
            <w:r w:rsidRPr="007769DC">
              <w:rPr>
                <w:rFonts w:eastAsia="Arial" w:cs="Arial"/>
                <w:sz w:val="20"/>
              </w:rPr>
              <w:t>Available MATOD courses</w:t>
            </w:r>
            <w:r w:rsidR="002D0659" w:rsidRPr="007769DC">
              <w:rPr>
                <w:rFonts w:eastAsia="Arial" w:cs="Arial"/>
                <w:sz w:val="20"/>
              </w:rPr>
              <w:t xml:space="preserve"> (must be completed in order)</w:t>
            </w:r>
            <w:r w:rsidRPr="007769DC">
              <w:rPr>
                <w:rFonts w:eastAsia="Arial" w:cs="Arial"/>
                <w:sz w:val="20"/>
              </w:rPr>
              <w:t>:</w:t>
            </w:r>
          </w:p>
          <w:p w14:paraId="4A08E11C" w14:textId="7EB6FA58" w:rsidR="002B7901" w:rsidRPr="007769DC" w:rsidRDefault="009870C3" w:rsidP="002D0659">
            <w:pPr>
              <w:spacing w:line="240" w:lineRule="auto"/>
              <w:ind w:left="113" w:right="576"/>
              <w:textAlignment w:val="baseline"/>
              <w:rPr>
                <w:rFonts w:eastAsia="Arial" w:cs="Arial"/>
                <w:sz w:val="20"/>
              </w:rPr>
            </w:pPr>
            <w:hyperlink r:id="rId27" w:history="1">
              <w:r w:rsidR="002B7901" w:rsidRPr="007769DC">
                <w:rPr>
                  <w:rStyle w:val="Hyperlink"/>
                  <w:rFonts w:eastAsia="Arial" w:cs="Arial"/>
                  <w:color w:val="auto"/>
                  <w:sz w:val="20"/>
                </w:rPr>
                <w:t>Module 1</w:t>
              </w:r>
            </w:hyperlink>
            <w:r w:rsidR="002B7901" w:rsidRPr="007769DC">
              <w:rPr>
                <w:rFonts w:eastAsia="Arial" w:cs="Arial"/>
                <w:sz w:val="20"/>
              </w:rPr>
              <w:t xml:space="preserve"> - </w:t>
            </w:r>
            <w:r w:rsidR="00A93924" w:rsidRPr="007769DC">
              <w:rPr>
                <w:rFonts w:eastAsia="Arial" w:cs="Arial"/>
                <w:i/>
                <w:sz w:val="20"/>
              </w:rPr>
              <w:t>Safer Opioid Prescribing</w:t>
            </w:r>
            <w:r w:rsidR="00A93924" w:rsidRPr="007769DC">
              <w:rPr>
                <w:rFonts w:eastAsia="Arial" w:cs="Arial"/>
                <w:sz w:val="20"/>
              </w:rPr>
              <w:t xml:space="preserve">  </w:t>
            </w:r>
          </w:p>
          <w:p w14:paraId="7B1E71E6" w14:textId="0DEFC837" w:rsidR="00A93924" w:rsidRPr="007769DC" w:rsidRDefault="009870C3" w:rsidP="002D0659">
            <w:pPr>
              <w:spacing w:line="240" w:lineRule="auto"/>
              <w:ind w:left="113" w:right="576"/>
              <w:textAlignment w:val="baseline"/>
              <w:rPr>
                <w:rFonts w:eastAsia="Arial" w:cs="Arial"/>
                <w:i/>
                <w:iCs/>
                <w:sz w:val="20"/>
              </w:rPr>
            </w:pPr>
            <w:hyperlink r:id="rId28" w:history="1">
              <w:r w:rsidR="002B7901" w:rsidRPr="007769DC">
                <w:rPr>
                  <w:rStyle w:val="Hyperlink"/>
                  <w:rFonts w:eastAsia="Arial" w:cs="Arial"/>
                  <w:color w:val="auto"/>
                  <w:sz w:val="20"/>
                </w:rPr>
                <w:t>Module 2</w:t>
              </w:r>
            </w:hyperlink>
            <w:r w:rsidR="002B7901" w:rsidRPr="007769DC">
              <w:rPr>
                <w:rFonts w:eastAsia="Arial" w:cs="Arial"/>
                <w:sz w:val="20"/>
              </w:rPr>
              <w:t xml:space="preserve"> </w:t>
            </w:r>
            <w:r w:rsidR="002D0659" w:rsidRPr="007769DC">
              <w:rPr>
                <w:rFonts w:eastAsia="Arial" w:cs="Arial"/>
                <w:sz w:val="20"/>
              </w:rPr>
              <w:t>-</w:t>
            </w:r>
            <w:r w:rsidR="002B7901" w:rsidRPr="007769DC">
              <w:rPr>
                <w:rFonts w:eastAsia="Arial" w:cs="Arial"/>
                <w:sz w:val="20"/>
              </w:rPr>
              <w:t xml:space="preserve"> </w:t>
            </w:r>
            <w:r w:rsidR="002B7901" w:rsidRPr="007769DC">
              <w:rPr>
                <w:rFonts w:eastAsia="Arial" w:cs="Arial"/>
                <w:i/>
                <w:iCs/>
                <w:sz w:val="20"/>
              </w:rPr>
              <w:t>Builds on essential knowledge gained in Module 1</w:t>
            </w:r>
          </w:p>
          <w:p w14:paraId="34DADB15" w14:textId="1F90518E" w:rsidR="002B7901" w:rsidRPr="007769DC" w:rsidRDefault="009870C3" w:rsidP="002D0659">
            <w:pPr>
              <w:spacing w:line="240" w:lineRule="auto"/>
              <w:ind w:left="113" w:right="576"/>
              <w:textAlignment w:val="baseline"/>
              <w:rPr>
                <w:rFonts w:eastAsia="Arial" w:cs="Arial"/>
                <w:sz w:val="20"/>
              </w:rPr>
            </w:pPr>
            <w:hyperlink r:id="rId29" w:history="1">
              <w:r w:rsidR="002B7901" w:rsidRPr="007769DC">
                <w:rPr>
                  <w:rStyle w:val="Hyperlink"/>
                  <w:rFonts w:eastAsia="Arial" w:cs="Arial"/>
                  <w:color w:val="auto"/>
                  <w:sz w:val="20"/>
                </w:rPr>
                <w:t>Module 3</w:t>
              </w:r>
            </w:hyperlink>
            <w:r w:rsidR="002D0659" w:rsidRPr="007769DC">
              <w:rPr>
                <w:rFonts w:eastAsia="Arial" w:cs="Arial"/>
                <w:sz w:val="20"/>
              </w:rPr>
              <w:t xml:space="preserve"> - </w:t>
            </w:r>
            <w:r w:rsidR="002D0659" w:rsidRPr="007769DC">
              <w:rPr>
                <w:rFonts w:eastAsia="Arial" w:cs="Arial"/>
                <w:i/>
                <w:iCs/>
                <w:sz w:val="20"/>
              </w:rPr>
              <w:t>Designed to improve knowledge and confidence with prescribing and administering LAIB</w:t>
            </w:r>
          </w:p>
          <w:p w14:paraId="471F8482" w14:textId="77777777" w:rsidR="002B7901" w:rsidRPr="005F3383" w:rsidRDefault="002B7901" w:rsidP="005F3383">
            <w:pPr>
              <w:spacing w:line="240" w:lineRule="auto"/>
              <w:ind w:right="576"/>
              <w:textAlignment w:val="baseline"/>
              <w:rPr>
                <w:rFonts w:eastAsia="Arial" w:cs="Arial"/>
                <w:color w:val="FFFFFF"/>
                <w:sz w:val="20"/>
              </w:rPr>
            </w:pPr>
          </w:p>
          <w:p w14:paraId="76FBFF89" w14:textId="60C8D10B" w:rsidR="00A93924" w:rsidRPr="002B7901" w:rsidRDefault="00A93924" w:rsidP="005F3383">
            <w:pPr>
              <w:spacing w:line="240" w:lineRule="auto"/>
              <w:textAlignment w:val="baseline"/>
              <w:rPr>
                <w:rFonts w:eastAsia="Arial" w:cs="Arial"/>
                <w:color w:val="FFFFFF"/>
                <w:sz w:val="20"/>
              </w:rPr>
            </w:pPr>
          </w:p>
        </w:tc>
      </w:tr>
    </w:tbl>
    <w:p w14:paraId="27888FCA" w14:textId="77777777" w:rsidR="00A93924" w:rsidRPr="005F3383" w:rsidRDefault="00A93924" w:rsidP="002D0659">
      <w:pPr>
        <w:spacing w:line="20" w:lineRule="exact"/>
        <w:ind w:left="113"/>
        <w:rPr>
          <w:rFonts w:cs="Arial"/>
          <w:sz w:val="20"/>
        </w:rPr>
      </w:pPr>
    </w:p>
    <w:p w14:paraId="3D010EDA" w14:textId="77777777" w:rsidR="00A93924" w:rsidRPr="005F3383" w:rsidRDefault="00A93924" w:rsidP="005F3383">
      <w:pPr>
        <w:spacing w:line="319" w:lineRule="exact"/>
        <w:textAlignment w:val="baseline"/>
        <w:rPr>
          <w:rFonts w:eastAsia="Arial" w:cs="Arial"/>
          <w:b/>
          <w:color w:val="404040" w:themeColor="text1" w:themeTint="BF"/>
          <w:sz w:val="28"/>
          <w:szCs w:val="28"/>
        </w:rPr>
      </w:pPr>
      <w:r w:rsidRPr="005F3383">
        <w:rPr>
          <w:rFonts w:eastAsia="Arial" w:cs="Arial"/>
          <w:b/>
          <w:color w:val="404040" w:themeColor="text1" w:themeTint="BF"/>
          <w:sz w:val="28"/>
          <w:szCs w:val="28"/>
        </w:rPr>
        <w:t>Useful resources and contacts</w:t>
      </w:r>
    </w:p>
    <w:p w14:paraId="103A20BA" w14:textId="1783C8CD" w:rsidR="007769DC" w:rsidRDefault="00A93924" w:rsidP="007769DC">
      <w:pPr>
        <w:pStyle w:val="CommentText"/>
        <w:spacing w:after="40"/>
        <w:rPr>
          <w:rFonts w:eastAsia="Arial" w:cs="Arial"/>
          <w:color w:val="000000"/>
          <w:sz w:val="20"/>
        </w:rPr>
      </w:pPr>
      <w:r w:rsidRPr="005F3383">
        <w:rPr>
          <w:rFonts w:eastAsia="Arial" w:cs="Arial"/>
          <w:color w:val="000000"/>
          <w:sz w:val="20"/>
        </w:rPr>
        <w:t>A short video on prescribing buprenorphine/naloxone is available at</w:t>
      </w:r>
      <w:r w:rsidR="003236D1">
        <w:rPr>
          <w:rFonts w:eastAsia="Arial" w:cs="Arial"/>
          <w:color w:val="000000"/>
          <w:sz w:val="20"/>
        </w:rPr>
        <w:t>:</w:t>
      </w:r>
    </w:p>
    <w:p w14:paraId="698EEF48" w14:textId="77777777" w:rsidR="00E60A8B" w:rsidRDefault="009870C3" w:rsidP="00CF378E">
      <w:pPr>
        <w:pStyle w:val="CommentText"/>
        <w:numPr>
          <w:ilvl w:val="0"/>
          <w:numId w:val="18"/>
        </w:numPr>
      </w:pPr>
      <w:hyperlink r:id="rId30" w:history="1">
        <w:r w:rsidR="007769DC">
          <w:rPr>
            <w:rStyle w:val="Hyperlink"/>
          </w:rPr>
          <w:t>RACGP Buprenorphine/Naloxone safer prescribing</w:t>
        </w:r>
      </w:hyperlink>
    </w:p>
    <w:p w14:paraId="427FED22" w14:textId="48C17412" w:rsidR="00A93924" w:rsidRPr="00E60A8B" w:rsidRDefault="00E60A8B" w:rsidP="00CF378E">
      <w:pPr>
        <w:pStyle w:val="CommentText"/>
        <w:spacing w:after="40"/>
      </w:pPr>
      <w:r>
        <w:t xml:space="preserve">Videos on LAIB administration can be found at: </w:t>
      </w:r>
    </w:p>
    <w:p w14:paraId="066653EE" w14:textId="021E5B16" w:rsidR="00E60A8B" w:rsidRPr="00E60A8B" w:rsidRDefault="009870C3" w:rsidP="00CF378E">
      <w:pPr>
        <w:pStyle w:val="CommentText"/>
        <w:numPr>
          <w:ilvl w:val="0"/>
          <w:numId w:val="18"/>
        </w:numPr>
        <w:spacing w:after="240"/>
        <w:ind w:left="714" w:hanging="357"/>
      </w:pPr>
      <w:hyperlink r:id="rId31" w:history="1">
        <w:proofErr w:type="spellStart"/>
        <w:r w:rsidR="00E60A8B">
          <w:rPr>
            <w:rStyle w:val="Hyperlink"/>
            <w:lang w:eastAsia="en-AU"/>
          </w:rPr>
          <w:t>Buvidal</w:t>
        </w:r>
        <w:proofErr w:type="spellEnd"/>
        <w:r w:rsidR="00E60A8B">
          <w:rPr>
            <w:rStyle w:val="Hyperlink"/>
            <w:lang w:eastAsia="en-AU"/>
          </w:rPr>
          <w:t xml:space="preserve"> administration</w:t>
        </w:r>
      </w:hyperlink>
      <w:r w:rsidR="00E60A8B">
        <w:rPr>
          <w:rStyle w:val="Hyperlink"/>
          <w:lang w:eastAsia="en-AU"/>
        </w:rPr>
        <w:t xml:space="preserve"> </w:t>
      </w:r>
      <w:r w:rsidR="00E60A8B">
        <w:t xml:space="preserve">and </w:t>
      </w:r>
      <w:hyperlink r:id="rId32" w:anchor="administration-and-storage" w:history="1">
        <w:proofErr w:type="spellStart"/>
        <w:r w:rsidR="00E60A8B">
          <w:rPr>
            <w:rStyle w:val="Hyperlink"/>
          </w:rPr>
          <w:t>Sublocade</w:t>
        </w:r>
        <w:proofErr w:type="spellEnd"/>
        <w:r w:rsidR="00E60A8B">
          <w:rPr>
            <w:rStyle w:val="Hyperlink"/>
          </w:rPr>
          <w:t xml:space="preserve"> administration</w:t>
        </w:r>
      </w:hyperlink>
    </w:p>
    <w:p w14:paraId="17F49132" w14:textId="762970DB" w:rsidR="00A93924" w:rsidRPr="005F3383" w:rsidRDefault="00E750A2" w:rsidP="005F3383">
      <w:pPr>
        <w:spacing w:line="219" w:lineRule="exact"/>
        <w:ind w:right="360"/>
        <w:textAlignment w:val="baseline"/>
        <w:rPr>
          <w:rFonts w:eastAsia="Arial" w:cs="Arial"/>
          <w:b/>
          <w:color w:val="000000"/>
          <w:sz w:val="20"/>
        </w:rPr>
      </w:pPr>
      <w:r>
        <w:rPr>
          <w:rFonts w:eastAsia="Arial" w:cs="Arial"/>
          <w:b/>
          <w:color w:val="000000"/>
          <w:sz w:val="20"/>
        </w:rPr>
        <w:t>Medicine</w:t>
      </w:r>
      <w:r w:rsidRPr="005F3383">
        <w:rPr>
          <w:rFonts w:eastAsia="Arial" w:cs="Arial"/>
          <w:b/>
          <w:color w:val="000000"/>
          <w:sz w:val="20"/>
        </w:rPr>
        <w:t xml:space="preserve">s </w:t>
      </w:r>
      <w:r w:rsidR="00A93924" w:rsidRPr="005F3383">
        <w:rPr>
          <w:rFonts w:eastAsia="Arial" w:cs="Arial"/>
          <w:b/>
          <w:color w:val="000000"/>
          <w:sz w:val="20"/>
        </w:rPr>
        <w:t xml:space="preserve">and Poisons Regulation, Department of Health </w:t>
      </w:r>
    </w:p>
    <w:p w14:paraId="0194200F" w14:textId="7BF1612A" w:rsidR="00A93924" w:rsidRPr="00B55A14" w:rsidRDefault="00A93924" w:rsidP="005F3383">
      <w:pPr>
        <w:spacing w:line="219" w:lineRule="exact"/>
        <w:textAlignment w:val="baseline"/>
        <w:rPr>
          <w:rFonts w:eastAsia="Arial" w:cs="Arial"/>
          <w:color w:val="000000"/>
          <w:sz w:val="20"/>
        </w:rPr>
      </w:pPr>
      <w:r w:rsidRPr="005F3383">
        <w:rPr>
          <w:rFonts w:eastAsia="Arial" w:cs="Arial"/>
          <w:color w:val="000000"/>
          <w:sz w:val="20"/>
        </w:rPr>
        <w:t>Issues permits to treat a patient with pharmacotherapy.</w:t>
      </w:r>
    </w:p>
    <w:p w14:paraId="21185888" w14:textId="34F93ABE" w:rsidR="00A93924" w:rsidRPr="005F3383" w:rsidRDefault="00A93924" w:rsidP="005F3383">
      <w:pPr>
        <w:spacing w:line="219" w:lineRule="exact"/>
        <w:textAlignment w:val="baseline"/>
        <w:rPr>
          <w:rFonts w:eastAsia="Arial" w:cs="Arial"/>
          <w:color w:val="000000"/>
          <w:sz w:val="20"/>
        </w:rPr>
      </w:pPr>
      <w:r w:rsidRPr="005F3383">
        <w:rPr>
          <w:rFonts w:eastAsia="Arial" w:cs="Arial"/>
          <w:color w:val="000000"/>
          <w:sz w:val="20"/>
        </w:rPr>
        <w:t>Fax: 1300 360 830</w:t>
      </w:r>
      <w:r w:rsidR="00CF378E">
        <w:rPr>
          <w:rFonts w:eastAsia="Arial" w:cs="Arial"/>
          <w:color w:val="000000"/>
          <w:sz w:val="20"/>
        </w:rPr>
        <w:t xml:space="preserve">    </w:t>
      </w:r>
      <w:r w:rsidRPr="005F3383">
        <w:rPr>
          <w:rFonts w:eastAsia="Arial" w:cs="Arial"/>
          <w:color w:val="000000"/>
          <w:sz w:val="20"/>
        </w:rPr>
        <w:t>Email:</w:t>
      </w:r>
      <w:hyperlink r:id="rId33">
        <w:r w:rsidRPr="005F3383">
          <w:rPr>
            <w:rFonts w:eastAsia="Arial" w:cs="Arial"/>
            <w:color w:val="0000FF"/>
            <w:sz w:val="20"/>
            <w:u w:val="single"/>
          </w:rPr>
          <w:t xml:space="preserve"> </w:t>
        </w:r>
      </w:hyperlink>
      <w:r w:rsidRPr="005F3383">
        <w:rPr>
          <w:rFonts w:eastAsia="Arial" w:cs="Arial"/>
          <w:color w:val="0000FF"/>
          <w:sz w:val="20"/>
          <w:u w:val="single"/>
        </w:rPr>
        <w:t>dpcs@</w:t>
      </w:r>
      <w:r w:rsidR="00B55A14">
        <w:rPr>
          <w:rFonts w:eastAsia="Arial" w:cs="Arial"/>
          <w:color w:val="0000FF"/>
          <w:sz w:val="20"/>
          <w:u w:val="single"/>
        </w:rPr>
        <w:t>dhhs</w:t>
      </w:r>
      <w:r w:rsidRPr="005F3383">
        <w:rPr>
          <w:rFonts w:eastAsia="Arial" w:cs="Arial"/>
          <w:color w:val="0000FF"/>
          <w:sz w:val="20"/>
          <w:u w:val="single"/>
        </w:rPr>
        <w:t>.vic.gov.au</w:t>
      </w:r>
      <w:r w:rsidRPr="005F3383">
        <w:rPr>
          <w:rFonts w:eastAsia="Arial" w:cs="Arial"/>
          <w:color w:val="000000"/>
          <w:sz w:val="20"/>
          <w:u w:val="single"/>
        </w:rPr>
        <w:t xml:space="preserve"> </w:t>
      </w:r>
      <w:r w:rsidRPr="005F3383">
        <w:rPr>
          <w:rFonts w:eastAsia="Arial" w:cs="Arial"/>
          <w:color w:val="000000"/>
          <w:sz w:val="20"/>
        </w:rPr>
        <w:t xml:space="preserve"> </w:t>
      </w:r>
    </w:p>
    <w:p w14:paraId="7DD109BB" w14:textId="1BB8CB60" w:rsidR="00A93924" w:rsidRPr="00CF378E" w:rsidRDefault="00A93924" w:rsidP="00CF378E">
      <w:pPr>
        <w:spacing w:after="240" w:line="219" w:lineRule="exact"/>
        <w:ind w:right="74"/>
        <w:textAlignment w:val="baseline"/>
        <w:rPr>
          <w:rFonts w:eastAsia="Arial" w:cs="Arial"/>
          <w:color w:val="000000"/>
          <w:sz w:val="20"/>
        </w:rPr>
      </w:pPr>
      <w:r w:rsidRPr="005F3383">
        <w:rPr>
          <w:rFonts w:eastAsia="Arial" w:cs="Arial"/>
          <w:color w:val="000000"/>
          <w:sz w:val="20"/>
        </w:rPr>
        <w:t>Further information about pharmacotherapy in Victoria, including links to permit application forms are available at</w:t>
      </w:r>
      <w:hyperlink r:id="rId34">
        <w:r w:rsidRPr="0016300D">
          <w:rPr>
            <w:rFonts w:eastAsia="Arial" w:cs="Arial"/>
            <w:color w:val="0000FF"/>
            <w:sz w:val="20"/>
          </w:rPr>
          <w:t xml:space="preserve"> </w:t>
        </w:r>
        <w:r w:rsidRPr="005F3383">
          <w:rPr>
            <w:rFonts w:eastAsia="Arial" w:cs="Arial"/>
            <w:color w:val="0000FF"/>
            <w:sz w:val="20"/>
            <w:u w:val="single"/>
          </w:rPr>
          <w:t>www2.health.vic.gov.au/public-health/drugs-and-poisons/pharmacotherapy</w:t>
        </w:r>
      </w:hyperlink>
      <w:r w:rsidRPr="005F3383">
        <w:rPr>
          <w:rFonts w:eastAsia="Arial" w:cs="Arial"/>
          <w:color w:val="000000"/>
          <w:sz w:val="20"/>
          <w:u w:val="single"/>
        </w:rPr>
        <w:t xml:space="preserve"> </w:t>
      </w:r>
    </w:p>
    <w:p w14:paraId="576F3807" w14:textId="3D8AF139" w:rsidR="00A93924" w:rsidRPr="005F3383" w:rsidRDefault="002D0659" w:rsidP="005F3383">
      <w:pPr>
        <w:spacing w:line="219" w:lineRule="exact"/>
        <w:ind w:right="72"/>
        <w:textAlignment w:val="baseline"/>
        <w:rPr>
          <w:rFonts w:eastAsia="Arial" w:cs="Arial"/>
          <w:b/>
          <w:color w:val="000000"/>
          <w:sz w:val="20"/>
        </w:rPr>
      </w:pPr>
      <w:r>
        <w:rPr>
          <w:rFonts w:eastAsia="Arial" w:cs="Arial"/>
          <w:b/>
          <w:color w:val="000000"/>
          <w:sz w:val="20"/>
        </w:rPr>
        <w:t>Mental Health Division</w:t>
      </w:r>
      <w:r w:rsidR="00A93924" w:rsidRPr="005F3383">
        <w:rPr>
          <w:rFonts w:eastAsia="Arial" w:cs="Arial"/>
          <w:b/>
          <w:color w:val="000000"/>
          <w:sz w:val="20"/>
        </w:rPr>
        <w:t xml:space="preserve">, Department of Health </w:t>
      </w:r>
    </w:p>
    <w:p w14:paraId="60C5505D" w14:textId="2836DEA3" w:rsidR="00A93924" w:rsidRPr="005F3383" w:rsidRDefault="00A93924" w:rsidP="005F3383">
      <w:pPr>
        <w:spacing w:line="219" w:lineRule="exact"/>
        <w:ind w:right="216"/>
        <w:textAlignment w:val="baseline"/>
        <w:rPr>
          <w:rFonts w:eastAsia="Arial" w:cs="Arial"/>
          <w:color w:val="000000"/>
          <w:sz w:val="20"/>
        </w:rPr>
      </w:pPr>
      <w:r w:rsidRPr="005F3383">
        <w:rPr>
          <w:rFonts w:eastAsia="Arial" w:cs="Arial"/>
          <w:color w:val="000000"/>
          <w:sz w:val="20"/>
        </w:rPr>
        <w:t xml:space="preserve">Provides </w:t>
      </w:r>
      <w:r w:rsidR="00CF378E">
        <w:rPr>
          <w:rFonts w:eastAsia="Arial" w:cs="Arial"/>
          <w:color w:val="000000"/>
          <w:sz w:val="20"/>
        </w:rPr>
        <w:t>approvals</w:t>
      </w:r>
      <w:r w:rsidRPr="005F3383">
        <w:rPr>
          <w:rFonts w:eastAsia="Arial" w:cs="Arial"/>
          <w:color w:val="000000"/>
          <w:sz w:val="20"/>
        </w:rPr>
        <w:t xml:space="preserve"> and information for individual medical practitioners, nurse practitioners and pharmacies who wish to prescribe or supply pharmacotherapies.</w:t>
      </w:r>
    </w:p>
    <w:p w14:paraId="6D15342D" w14:textId="77777777" w:rsidR="00A93924" w:rsidRPr="005F3383" w:rsidRDefault="00A93924" w:rsidP="005F3383">
      <w:pPr>
        <w:spacing w:line="219" w:lineRule="exact"/>
        <w:textAlignment w:val="baseline"/>
        <w:rPr>
          <w:rFonts w:eastAsia="Arial" w:cs="Arial"/>
          <w:color w:val="000000"/>
          <w:sz w:val="20"/>
        </w:rPr>
      </w:pPr>
      <w:r w:rsidRPr="005F3383">
        <w:rPr>
          <w:rFonts w:eastAsia="Arial" w:cs="Arial"/>
          <w:color w:val="000000"/>
          <w:sz w:val="20"/>
        </w:rPr>
        <w:t>Email:</w:t>
      </w:r>
      <w:hyperlink r:id="rId35">
        <w:r w:rsidRPr="005F3383">
          <w:rPr>
            <w:rFonts w:eastAsia="Arial" w:cs="Arial"/>
            <w:color w:val="0000FF"/>
            <w:sz w:val="20"/>
            <w:u w:val="single"/>
          </w:rPr>
          <w:t xml:space="preserve"> </w:t>
        </w:r>
      </w:hyperlink>
      <w:r w:rsidRPr="005F3383">
        <w:rPr>
          <w:rFonts w:eastAsia="Arial" w:cs="Arial"/>
          <w:color w:val="0000FF"/>
          <w:sz w:val="20"/>
          <w:u w:val="single"/>
        </w:rPr>
        <w:t>AOD.enquries@dhhs.vic.gov.au</w:t>
      </w:r>
      <w:r w:rsidRPr="005F3383">
        <w:rPr>
          <w:rFonts w:eastAsia="Arial" w:cs="Arial"/>
          <w:color w:val="000000"/>
          <w:sz w:val="20"/>
          <w:u w:val="single"/>
        </w:rPr>
        <w:t xml:space="preserve"> </w:t>
      </w:r>
      <w:r w:rsidRPr="005F3383">
        <w:rPr>
          <w:rFonts w:eastAsia="Arial" w:cs="Arial"/>
          <w:color w:val="000000"/>
          <w:sz w:val="20"/>
        </w:rPr>
        <w:t xml:space="preserve"> </w:t>
      </w:r>
    </w:p>
    <w:p w14:paraId="617F9343" w14:textId="77777777" w:rsidR="00A93924" w:rsidRPr="005F3383" w:rsidRDefault="00A93924" w:rsidP="005F3383">
      <w:pPr>
        <w:spacing w:line="219" w:lineRule="exact"/>
        <w:textAlignment w:val="baseline"/>
        <w:rPr>
          <w:rFonts w:eastAsia="Arial" w:cs="Arial"/>
          <w:b/>
          <w:color w:val="000000"/>
          <w:sz w:val="20"/>
        </w:rPr>
      </w:pPr>
      <w:r w:rsidRPr="005F3383">
        <w:rPr>
          <w:rFonts w:eastAsia="Arial" w:cs="Arial"/>
          <w:b/>
          <w:color w:val="000000"/>
          <w:sz w:val="20"/>
        </w:rPr>
        <w:t>Drug and Alcohol Clinical Advisory Service (DACAS)</w:t>
      </w:r>
      <w:bookmarkStart w:id="2" w:name="_GoBack"/>
      <w:bookmarkEnd w:id="2"/>
    </w:p>
    <w:p w14:paraId="76416759" w14:textId="77777777" w:rsidR="00A93924" w:rsidRPr="005F3383" w:rsidRDefault="00A93924" w:rsidP="005F3383">
      <w:pPr>
        <w:spacing w:line="219" w:lineRule="exact"/>
        <w:ind w:right="72"/>
        <w:textAlignment w:val="baseline"/>
        <w:rPr>
          <w:rFonts w:eastAsia="Arial" w:cs="Arial"/>
          <w:color w:val="000000"/>
          <w:spacing w:val="-1"/>
          <w:sz w:val="20"/>
        </w:rPr>
      </w:pPr>
      <w:r w:rsidRPr="005F3383">
        <w:rPr>
          <w:rFonts w:eastAsia="Arial" w:cs="Arial"/>
          <w:color w:val="000000"/>
          <w:spacing w:val="-1"/>
          <w:sz w:val="20"/>
        </w:rPr>
        <w:t>Exclusively for health and welfare professionals, the service provides advice and information on the clinical management of patients with drug and/or alcohol problems, including:</w:t>
      </w:r>
    </w:p>
    <w:p w14:paraId="4626C4C2" w14:textId="77777777" w:rsidR="00A93924" w:rsidRPr="0016300D" w:rsidRDefault="00A93924" w:rsidP="0016300D">
      <w:pPr>
        <w:pStyle w:val="ListParagraph"/>
        <w:numPr>
          <w:ilvl w:val="0"/>
          <w:numId w:val="16"/>
        </w:numPr>
        <w:tabs>
          <w:tab w:val="left" w:pos="360"/>
        </w:tabs>
        <w:spacing w:after="40" w:line="240" w:lineRule="atLeast"/>
        <w:ind w:left="714" w:right="792" w:hanging="357"/>
        <w:contextualSpacing w:val="0"/>
        <w:textAlignment w:val="baseline"/>
        <w:rPr>
          <w:rFonts w:eastAsia="Arial" w:cs="Arial"/>
          <w:color w:val="000000"/>
          <w:sz w:val="20"/>
        </w:rPr>
      </w:pPr>
      <w:r w:rsidRPr="0016300D">
        <w:rPr>
          <w:rFonts w:eastAsia="Arial" w:cs="Arial"/>
          <w:color w:val="000000"/>
          <w:sz w:val="20"/>
        </w:rPr>
        <w:t>advice on recognising and managing withdrawal symptoms</w:t>
      </w:r>
    </w:p>
    <w:p w14:paraId="58571107" w14:textId="77777777" w:rsidR="00A93924" w:rsidRPr="0016300D" w:rsidRDefault="00A93924" w:rsidP="0016300D">
      <w:pPr>
        <w:pStyle w:val="ListParagraph"/>
        <w:numPr>
          <w:ilvl w:val="0"/>
          <w:numId w:val="16"/>
        </w:numPr>
        <w:tabs>
          <w:tab w:val="left" w:pos="360"/>
        </w:tabs>
        <w:spacing w:after="40" w:line="240" w:lineRule="atLeast"/>
        <w:ind w:left="714" w:hanging="357"/>
        <w:contextualSpacing w:val="0"/>
        <w:textAlignment w:val="baseline"/>
        <w:rPr>
          <w:rFonts w:eastAsia="Arial" w:cs="Arial"/>
          <w:color w:val="000000"/>
          <w:sz w:val="20"/>
        </w:rPr>
      </w:pPr>
      <w:r w:rsidRPr="0016300D">
        <w:rPr>
          <w:rFonts w:eastAsia="Arial" w:cs="Arial"/>
          <w:color w:val="000000"/>
          <w:sz w:val="20"/>
        </w:rPr>
        <w:t>information about drug use complications</w:t>
      </w:r>
    </w:p>
    <w:p w14:paraId="1F352F7C" w14:textId="77777777" w:rsidR="00A93924" w:rsidRPr="0016300D" w:rsidRDefault="00A93924" w:rsidP="0016300D">
      <w:pPr>
        <w:pStyle w:val="ListParagraph"/>
        <w:numPr>
          <w:ilvl w:val="0"/>
          <w:numId w:val="16"/>
        </w:numPr>
        <w:tabs>
          <w:tab w:val="left" w:pos="360"/>
        </w:tabs>
        <w:spacing w:after="40" w:line="240" w:lineRule="atLeast"/>
        <w:ind w:left="714" w:hanging="357"/>
        <w:contextualSpacing w:val="0"/>
        <w:textAlignment w:val="baseline"/>
        <w:rPr>
          <w:rFonts w:eastAsia="Arial" w:cs="Arial"/>
          <w:color w:val="000000"/>
          <w:sz w:val="20"/>
        </w:rPr>
      </w:pPr>
      <w:r w:rsidRPr="0016300D">
        <w:rPr>
          <w:rFonts w:eastAsia="Arial" w:cs="Arial"/>
          <w:color w:val="000000"/>
          <w:sz w:val="20"/>
        </w:rPr>
        <w:t>drug and prescribing information</w:t>
      </w:r>
    </w:p>
    <w:p w14:paraId="566B57C6" w14:textId="29A7D014" w:rsidR="00A93924" w:rsidRPr="0016300D" w:rsidRDefault="00A93924" w:rsidP="0016300D">
      <w:pPr>
        <w:pStyle w:val="ListParagraph"/>
        <w:numPr>
          <w:ilvl w:val="0"/>
          <w:numId w:val="16"/>
        </w:numPr>
        <w:tabs>
          <w:tab w:val="left" w:pos="288"/>
          <w:tab w:val="left" w:pos="360"/>
        </w:tabs>
        <w:spacing w:after="40" w:line="240" w:lineRule="atLeast"/>
        <w:ind w:left="714" w:hanging="357"/>
        <w:contextualSpacing w:val="0"/>
        <w:textAlignment w:val="baseline"/>
        <w:rPr>
          <w:rFonts w:eastAsia="Arial" w:cs="Arial"/>
          <w:color w:val="000000"/>
          <w:sz w:val="20"/>
        </w:rPr>
      </w:pPr>
      <w:r w:rsidRPr="0016300D">
        <w:rPr>
          <w:rFonts w:eastAsia="Arial" w:cs="Arial"/>
          <w:color w:val="000000"/>
          <w:sz w:val="20"/>
        </w:rPr>
        <w:t>assistance with cases of acute intoxication.</w:t>
      </w:r>
    </w:p>
    <w:p w14:paraId="3B37A34D" w14:textId="5FAF9984" w:rsidR="002D0659" w:rsidRDefault="00A93924" w:rsidP="00CF378E">
      <w:pPr>
        <w:spacing w:line="219" w:lineRule="exact"/>
        <w:textAlignment w:val="baseline"/>
        <w:rPr>
          <w:rFonts w:eastAsia="Arial" w:cs="Arial"/>
          <w:b/>
          <w:color w:val="000000"/>
          <w:sz w:val="20"/>
        </w:rPr>
      </w:pPr>
      <w:r w:rsidRPr="005F3383">
        <w:rPr>
          <w:rFonts w:eastAsia="Arial" w:cs="Arial"/>
          <w:b/>
          <w:color w:val="000000"/>
          <w:sz w:val="20"/>
        </w:rPr>
        <w:t xml:space="preserve">Tel: 1800 812 804 (24 </w:t>
      </w:r>
      <w:proofErr w:type="gramStart"/>
      <w:r w:rsidRPr="005F3383">
        <w:rPr>
          <w:rFonts w:eastAsia="Arial" w:cs="Arial"/>
          <w:b/>
          <w:color w:val="000000"/>
          <w:sz w:val="20"/>
        </w:rPr>
        <w:t>hours)</w:t>
      </w:r>
      <w:r w:rsidR="00CF378E">
        <w:rPr>
          <w:rFonts w:eastAsia="Arial" w:cs="Arial"/>
          <w:b/>
          <w:color w:val="000000"/>
          <w:sz w:val="20"/>
        </w:rPr>
        <w:t xml:space="preserve">   </w:t>
      </w:r>
      <w:proofErr w:type="gramEnd"/>
      <w:r w:rsidRPr="005F3383">
        <w:rPr>
          <w:rFonts w:eastAsia="Arial" w:cs="Arial"/>
          <w:color w:val="000000"/>
          <w:sz w:val="20"/>
        </w:rPr>
        <w:t>Web:</w:t>
      </w:r>
      <w:hyperlink r:id="rId36">
        <w:r w:rsidRPr="005F3383">
          <w:rPr>
            <w:rFonts w:eastAsia="Arial" w:cs="Arial"/>
            <w:color w:val="0000FF"/>
            <w:sz w:val="20"/>
            <w:u w:val="single"/>
          </w:rPr>
          <w:t xml:space="preserve"> </w:t>
        </w:r>
      </w:hyperlink>
      <w:r w:rsidRPr="005F3383">
        <w:rPr>
          <w:rFonts w:eastAsia="Arial" w:cs="Arial"/>
          <w:color w:val="0000FF"/>
          <w:sz w:val="20"/>
          <w:u w:val="single"/>
        </w:rPr>
        <w:t>www.dacas.org.au</w:t>
      </w:r>
      <w:r w:rsidRPr="005F3383">
        <w:rPr>
          <w:rFonts w:eastAsia="Arial" w:cs="Arial"/>
          <w:color w:val="000000"/>
          <w:sz w:val="20"/>
          <w:u w:val="single"/>
        </w:rPr>
        <w:t xml:space="preserve"> </w:t>
      </w:r>
      <w:r w:rsidRPr="005F3383">
        <w:rPr>
          <w:rFonts w:eastAsia="Arial" w:cs="Arial"/>
          <w:color w:val="000000"/>
          <w:sz w:val="20"/>
        </w:rPr>
        <w:t xml:space="preserve"> </w:t>
      </w:r>
      <w:r w:rsidRPr="005F3383">
        <w:rPr>
          <w:rFonts w:eastAsia="Arial" w:cs="Arial"/>
          <w:color w:val="000000"/>
          <w:sz w:val="20"/>
        </w:rPr>
        <w:br/>
      </w:r>
    </w:p>
    <w:p w14:paraId="4FEAA88D" w14:textId="57538C3B" w:rsidR="00A93924" w:rsidRPr="005F3383" w:rsidRDefault="00A93924" w:rsidP="002D0659">
      <w:pPr>
        <w:spacing w:before="120" w:line="219" w:lineRule="exact"/>
        <w:textAlignment w:val="baseline"/>
        <w:rPr>
          <w:rFonts w:eastAsia="Arial" w:cs="Arial"/>
          <w:color w:val="000000"/>
          <w:sz w:val="20"/>
        </w:rPr>
      </w:pPr>
      <w:proofErr w:type="spellStart"/>
      <w:r w:rsidRPr="005F3383">
        <w:rPr>
          <w:rFonts w:eastAsia="Arial" w:cs="Arial"/>
          <w:b/>
          <w:color w:val="000000"/>
          <w:sz w:val="20"/>
        </w:rPr>
        <w:lastRenderedPageBreak/>
        <w:t>DirectLine</w:t>
      </w:r>
      <w:proofErr w:type="spellEnd"/>
    </w:p>
    <w:p w14:paraId="78510B27" w14:textId="77777777" w:rsidR="00A93924" w:rsidRPr="005F3383" w:rsidRDefault="00A93924" w:rsidP="005F3383">
      <w:pPr>
        <w:spacing w:line="219" w:lineRule="exact"/>
        <w:ind w:right="144"/>
        <w:textAlignment w:val="baseline"/>
        <w:rPr>
          <w:rFonts w:eastAsia="Arial" w:cs="Arial"/>
          <w:color w:val="000000"/>
          <w:spacing w:val="-2"/>
          <w:sz w:val="20"/>
        </w:rPr>
      </w:pPr>
      <w:r w:rsidRPr="005F3383">
        <w:rPr>
          <w:rFonts w:eastAsia="Arial" w:cs="Arial"/>
          <w:color w:val="000000"/>
          <w:spacing w:val="-2"/>
          <w:sz w:val="20"/>
        </w:rPr>
        <w:t>For the general public and health and welfare professionals, the service provides counselling and information including:</w:t>
      </w:r>
    </w:p>
    <w:p w14:paraId="5825C084" w14:textId="77777777" w:rsidR="00A93924" w:rsidRPr="0016300D" w:rsidRDefault="00A93924" w:rsidP="0016300D">
      <w:pPr>
        <w:pStyle w:val="ListParagraph"/>
        <w:numPr>
          <w:ilvl w:val="0"/>
          <w:numId w:val="17"/>
        </w:numPr>
        <w:tabs>
          <w:tab w:val="left" w:pos="360"/>
          <w:tab w:val="left" w:pos="2304"/>
        </w:tabs>
        <w:spacing w:after="40" w:line="240" w:lineRule="atLeast"/>
        <w:ind w:left="714" w:right="504" w:hanging="357"/>
        <w:contextualSpacing w:val="0"/>
        <w:textAlignment w:val="baseline"/>
        <w:rPr>
          <w:rFonts w:eastAsia="Arial" w:cs="Arial"/>
          <w:color w:val="000000"/>
          <w:sz w:val="20"/>
        </w:rPr>
      </w:pPr>
      <w:r w:rsidRPr="0016300D">
        <w:rPr>
          <w:rFonts w:eastAsia="Arial" w:cs="Arial"/>
          <w:color w:val="000000"/>
          <w:sz w:val="20"/>
        </w:rPr>
        <w:t>pharmacotherapy prescriber and pharmacy contact details</w:t>
      </w:r>
    </w:p>
    <w:p w14:paraId="3B5770C7" w14:textId="77777777" w:rsidR="00A93924" w:rsidRPr="0016300D" w:rsidRDefault="00A93924" w:rsidP="0016300D">
      <w:pPr>
        <w:pStyle w:val="ListParagraph"/>
        <w:numPr>
          <w:ilvl w:val="0"/>
          <w:numId w:val="17"/>
        </w:numPr>
        <w:tabs>
          <w:tab w:val="left" w:pos="360"/>
          <w:tab w:val="left" w:pos="2304"/>
        </w:tabs>
        <w:spacing w:after="40" w:line="240" w:lineRule="atLeast"/>
        <w:ind w:left="714" w:hanging="357"/>
        <w:contextualSpacing w:val="0"/>
        <w:textAlignment w:val="baseline"/>
        <w:rPr>
          <w:rFonts w:eastAsia="Arial" w:cs="Arial"/>
          <w:color w:val="000000"/>
          <w:sz w:val="20"/>
        </w:rPr>
      </w:pPr>
      <w:r w:rsidRPr="0016300D">
        <w:rPr>
          <w:rFonts w:eastAsia="Arial" w:cs="Arial"/>
          <w:color w:val="000000"/>
          <w:sz w:val="20"/>
        </w:rPr>
        <w:t>details of needle syringe programs and bin locations</w:t>
      </w:r>
    </w:p>
    <w:p w14:paraId="248E608E" w14:textId="77777777" w:rsidR="00A93924" w:rsidRPr="0016300D" w:rsidRDefault="00A93924" w:rsidP="0016300D">
      <w:pPr>
        <w:pStyle w:val="ListParagraph"/>
        <w:numPr>
          <w:ilvl w:val="0"/>
          <w:numId w:val="17"/>
        </w:numPr>
        <w:tabs>
          <w:tab w:val="left" w:pos="360"/>
          <w:tab w:val="left" w:pos="2304"/>
        </w:tabs>
        <w:spacing w:after="40" w:line="240" w:lineRule="atLeast"/>
        <w:ind w:left="714" w:right="1008" w:hanging="357"/>
        <w:contextualSpacing w:val="0"/>
        <w:textAlignment w:val="baseline"/>
        <w:rPr>
          <w:rFonts w:eastAsia="Arial" w:cs="Arial"/>
          <w:color w:val="000000"/>
          <w:sz w:val="20"/>
        </w:rPr>
      </w:pPr>
      <w:r w:rsidRPr="0016300D">
        <w:rPr>
          <w:rFonts w:eastAsia="Arial" w:cs="Arial"/>
          <w:color w:val="000000"/>
          <w:sz w:val="20"/>
        </w:rPr>
        <w:t>details of drug and alcohol agencies and drug withdrawal beds</w:t>
      </w:r>
    </w:p>
    <w:p w14:paraId="051AEE66" w14:textId="77777777" w:rsidR="00A93924" w:rsidRPr="0016300D" w:rsidRDefault="00A93924" w:rsidP="0016300D">
      <w:pPr>
        <w:pStyle w:val="ListParagraph"/>
        <w:numPr>
          <w:ilvl w:val="0"/>
          <w:numId w:val="17"/>
        </w:numPr>
        <w:tabs>
          <w:tab w:val="left" w:pos="360"/>
          <w:tab w:val="left" w:pos="2304"/>
        </w:tabs>
        <w:spacing w:after="40" w:line="240" w:lineRule="atLeast"/>
        <w:ind w:left="714" w:hanging="357"/>
        <w:contextualSpacing w:val="0"/>
        <w:textAlignment w:val="baseline"/>
        <w:rPr>
          <w:rFonts w:eastAsia="Arial" w:cs="Arial"/>
          <w:color w:val="000000"/>
          <w:sz w:val="20"/>
        </w:rPr>
      </w:pPr>
      <w:r w:rsidRPr="0016300D">
        <w:rPr>
          <w:rFonts w:eastAsia="Arial" w:cs="Arial"/>
          <w:color w:val="000000"/>
          <w:sz w:val="20"/>
        </w:rPr>
        <w:t>HIV/AIDS information and referral</w:t>
      </w:r>
    </w:p>
    <w:p w14:paraId="7538651E" w14:textId="77777777" w:rsidR="00A93924" w:rsidRPr="0016300D" w:rsidRDefault="00A93924" w:rsidP="0016300D">
      <w:pPr>
        <w:pStyle w:val="ListParagraph"/>
        <w:numPr>
          <w:ilvl w:val="0"/>
          <w:numId w:val="17"/>
        </w:numPr>
        <w:tabs>
          <w:tab w:val="left" w:pos="360"/>
          <w:tab w:val="left" w:pos="2304"/>
        </w:tabs>
        <w:spacing w:after="40" w:line="240" w:lineRule="atLeast"/>
        <w:ind w:left="714" w:right="792" w:hanging="357"/>
        <w:contextualSpacing w:val="0"/>
        <w:textAlignment w:val="baseline"/>
        <w:rPr>
          <w:rFonts w:eastAsia="Arial" w:cs="Arial"/>
          <w:color w:val="000000"/>
          <w:sz w:val="20"/>
        </w:rPr>
      </w:pPr>
      <w:r w:rsidRPr="0016300D">
        <w:rPr>
          <w:rFonts w:eastAsia="Arial" w:cs="Arial"/>
          <w:color w:val="000000"/>
          <w:sz w:val="20"/>
        </w:rPr>
        <w:t xml:space="preserve">drink driving education and assessment referral. </w:t>
      </w:r>
      <w:r w:rsidRPr="0016300D">
        <w:rPr>
          <w:rFonts w:eastAsia="Arial" w:cs="Arial"/>
          <w:b/>
          <w:color w:val="000000"/>
          <w:sz w:val="20"/>
        </w:rPr>
        <w:t>Tel: 1800 888 236 (24 hours)</w:t>
      </w:r>
    </w:p>
    <w:p w14:paraId="0F8C143B" w14:textId="77777777" w:rsidR="00A93924" w:rsidRPr="005F3383" w:rsidRDefault="00A93924" w:rsidP="005F3383">
      <w:pPr>
        <w:spacing w:line="219" w:lineRule="exact"/>
        <w:ind w:right="432"/>
        <w:textAlignment w:val="baseline"/>
        <w:rPr>
          <w:rFonts w:eastAsia="Arial" w:cs="Arial"/>
          <w:b/>
          <w:color w:val="000000"/>
          <w:sz w:val="20"/>
        </w:rPr>
      </w:pPr>
      <w:r w:rsidRPr="005F3383">
        <w:rPr>
          <w:rFonts w:eastAsia="Arial" w:cs="Arial"/>
          <w:b/>
          <w:color w:val="000000"/>
          <w:sz w:val="20"/>
        </w:rPr>
        <w:t>Pharmacotherapy Advocacy, Mediation and Support (PAMS) Service</w:t>
      </w:r>
    </w:p>
    <w:p w14:paraId="0BF0D74E" w14:textId="77777777" w:rsidR="00A93924" w:rsidRPr="005F3383" w:rsidRDefault="00A93924" w:rsidP="005F3383">
      <w:pPr>
        <w:spacing w:line="219" w:lineRule="exact"/>
        <w:ind w:right="360"/>
        <w:textAlignment w:val="baseline"/>
        <w:rPr>
          <w:rFonts w:eastAsia="Arial" w:cs="Arial"/>
          <w:color w:val="000000"/>
          <w:spacing w:val="-1"/>
          <w:sz w:val="20"/>
        </w:rPr>
      </w:pPr>
      <w:r w:rsidRPr="005F3383">
        <w:rPr>
          <w:rFonts w:eastAsia="Arial" w:cs="Arial"/>
          <w:color w:val="000000"/>
          <w:spacing w:val="-1"/>
          <w:sz w:val="20"/>
        </w:rPr>
        <w:t>PAMS is a service that is available to pharmacotherapy patients, prescribers or pharmacists to help resolve problems with accessing or delivery of pharmacotherapy.</w:t>
      </w:r>
    </w:p>
    <w:p w14:paraId="318083D5" w14:textId="77777777" w:rsidR="00A93924" w:rsidRPr="005F3383"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t>PAMS will assist in mediating outcomes to these problems and service providers are encouraged to attempt mediation before deciding to withdraw service provision to particular patients of the system.</w:t>
      </w:r>
    </w:p>
    <w:p w14:paraId="2A4E5A92" w14:textId="77777777" w:rsidR="00A93924" w:rsidRPr="005F3383" w:rsidRDefault="00A93924" w:rsidP="005F3383">
      <w:pPr>
        <w:spacing w:line="219" w:lineRule="exact"/>
        <w:textAlignment w:val="baseline"/>
        <w:rPr>
          <w:rFonts w:eastAsia="Arial" w:cs="Arial"/>
          <w:b/>
          <w:color w:val="000000"/>
          <w:sz w:val="20"/>
        </w:rPr>
      </w:pPr>
      <w:r w:rsidRPr="005F3383">
        <w:rPr>
          <w:rFonts w:eastAsia="Arial" w:cs="Arial"/>
          <w:b/>
          <w:color w:val="000000"/>
          <w:sz w:val="20"/>
        </w:rPr>
        <w:t>Tel: 1800 443 844</w:t>
      </w:r>
    </w:p>
    <w:p w14:paraId="1AF564DD" w14:textId="77777777" w:rsidR="00A93924" w:rsidRPr="005F3383" w:rsidRDefault="00A93924" w:rsidP="005F3383">
      <w:pPr>
        <w:spacing w:line="219" w:lineRule="exact"/>
        <w:textAlignment w:val="baseline"/>
        <w:rPr>
          <w:rFonts w:eastAsia="Arial" w:cs="Arial"/>
          <w:b/>
          <w:color w:val="000000"/>
          <w:sz w:val="20"/>
        </w:rPr>
      </w:pPr>
      <w:r w:rsidRPr="005F3383">
        <w:rPr>
          <w:rFonts w:eastAsia="Arial" w:cs="Arial"/>
          <w:b/>
          <w:color w:val="000000"/>
          <w:sz w:val="20"/>
        </w:rPr>
        <w:t>Area-Based Pharmacotherapy Networks</w:t>
      </w:r>
    </w:p>
    <w:p w14:paraId="532B333F" w14:textId="77777777" w:rsidR="00A93924" w:rsidRPr="005F3383" w:rsidRDefault="00A93924" w:rsidP="005F3383">
      <w:pPr>
        <w:spacing w:line="219" w:lineRule="exact"/>
        <w:ind w:right="144"/>
        <w:textAlignment w:val="baseline"/>
        <w:rPr>
          <w:rFonts w:eastAsia="Arial" w:cs="Arial"/>
          <w:color w:val="000000"/>
          <w:sz w:val="20"/>
        </w:rPr>
      </w:pPr>
      <w:r w:rsidRPr="005F3383">
        <w:rPr>
          <w:rFonts w:eastAsia="Arial" w:cs="Arial"/>
          <w:color w:val="000000"/>
          <w:sz w:val="20"/>
        </w:rPr>
        <w:t xml:space="preserve">Prescribers are encouraged to </w:t>
      </w:r>
      <w:proofErr w:type="gramStart"/>
      <w:r w:rsidRPr="005F3383">
        <w:rPr>
          <w:rFonts w:eastAsia="Arial" w:cs="Arial"/>
          <w:color w:val="000000"/>
          <w:sz w:val="20"/>
        </w:rPr>
        <w:t>make contact with</w:t>
      </w:r>
      <w:proofErr w:type="gramEnd"/>
      <w:r w:rsidRPr="005F3383">
        <w:rPr>
          <w:rFonts w:eastAsia="Arial" w:cs="Arial"/>
          <w:color w:val="000000"/>
          <w:sz w:val="20"/>
        </w:rPr>
        <w:t xml:space="preserve"> their local Pharmacotherapy Network. The five Networks assist pharmacotherapy providers with implementing a more integrated and cohesive services and can offer support and mentoring to prescribers.</w:t>
      </w:r>
    </w:p>
    <w:p w14:paraId="3B59E43C" w14:textId="41FD7512" w:rsidR="00A93924" w:rsidRPr="002D0659" w:rsidRDefault="00A93924" w:rsidP="009C511B">
      <w:pPr>
        <w:pStyle w:val="ListParagraph"/>
        <w:numPr>
          <w:ilvl w:val="0"/>
          <w:numId w:val="14"/>
        </w:numPr>
        <w:spacing w:after="40" w:line="219" w:lineRule="exact"/>
        <w:contextualSpacing w:val="0"/>
        <w:textAlignment w:val="baseline"/>
        <w:rPr>
          <w:rFonts w:eastAsia="Arial" w:cs="Arial"/>
          <w:color w:val="000000"/>
          <w:sz w:val="20"/>
          <w:u w:val="single"/>
        </w:rPr>
      </w:pPr>
      <w:r w:rsidRPr="002D0659">
        <w:rPr>
          <w:rFonts w:eastAsia="Arial" w:cs="Arial"/>
          <w:color w:val="000000"/>
          <w:sz w:val="20"/>
          <w:u w:val="single"/>
        </w:rPr>
        <w:t>Area 1 (Barwon South West)</w:t>
      </w:r>
      <w:r w:rsidRPr="002D0659">
        <w:rPr>
          <w:rFonts w:eastAsia="Arial" w:cs="Arial"/>
          <w:b/>
          <w:color w:val="000000"/>
          <w:sz w:val="20"/>
        </w:rPr>
        <w:t xml:space="preserve"> Tel: </w:t>
      </w:r>
      <w:r w:rsidR="00553939">
        <w:rPr>
          <w:rFonts w:eastAsia="Arial" w:cs="Arial"/>
          <w:b/>
          <w:color w:val="000000"/>
          <w:sz w:val="20"/>
        </w:rPr>
        <w:t xml:space="preserve">03 </w:t>
      </w:r>
      <w:r w:rsidRPr="002D0659">
        <w:rPr>
          <w:rFonts w:eastAsia="Arial" w:cs="Arial"/>
          <w:b/>
          <w:color w:val="000000"/>
          <w:sz w:val="20"/>
        </w:rPr>
        <w:t>5222 0809</w:t>
      </w:r>
    </w:p>
    <w:p w14:paraId="02959E4E" w14:textId="4C6E72FD" w:rsidR="00A93924" w:rsidRPr="002D0659" w:rsidRDefault="00A93924" w:rsidP="009C511B">
      <w:pPr>
        <w:pStyle w:val="ListParagraph"/>
        <w:numPr>
          <w:ilvl w:val="0"/>
          <w:numId w:val="14"/>
        </w:numPr>
        <w:spacing w:after="40" w:line="219" w:lineRule="exact"/>
        <w:contextualSpacing w:val="0"/>
        <w:textAlignment w:val="baseline"/>
        <w:rPr>
          <w:rFonts w:eastAsia="Arial" w:cs="Arial"/>
          <w:color w:val="000000"/>
          <w:sz w:val="20"/>
          <w:u w:val="single"/>
        </w:rPr>
      </w:pPr>
      <w:proofErr w:type="spellStart"/>
      <w:r w:rsidRPr="002D0659">
        <w:rPr>
          <w:rFonts w:eastAsia="Arial" w:cs="Arial"/>
          <w:color w:val="000000"/>
          <w:sz w:val="20"/>
          <w:u w:val="single"/>
        </w:rPr>
        <w:t>ORTicare</w:t>
      </w:r>
      <w:proofErr w:type="spellEnd"/>
      <w:r w:rsidRPr="002D0659">
        <w:rPr>
          <w:rFonts w:eastAsia="Arial" w:cs="Arial"/>
          <w:color w:val="000000"/>
          <w:sz w:val="20"/>
          <w:u w:val="single"/>
        </w:rPr>
        <w:t xml:space="preserve"> (Grampians and Loddon Mallee)</w:t>
      </w:r>
      <w:r w:rsidRPr="002D0659">
        <w:rPr>
          <w:rFonts w:eastAsia="Arial" w:cs="Arial"/>
          <w:b/>
          <w:color w:val="000000"/>
          <w:sz w:val="20"/>
        </w:rPr>
        <w:t xml:space="preserve"> Tel: </w:t>
      </w:r>
      <w:r w:rsidR="00553939">
        <w:rPr>
          <w:rFonts w:eastAsia="Arial" w:cs="Arial"/>
          <w:b/>
          <w:color w:val="000000"/>
          <w:sz w:val="20"/>
        </w:rPr>
        <w:t xml:space="preserve">03 </w:t>
      </w:r>
      <w:r w:rsidRPr="002D0659">
        <w:rPr>
          <w:rFonts w:eastAsia="Arial" w:cs="Arial"/>
          <w:b/>
          <w:color w:val="000000"/>
          <w:sz w:val="20"/>
        </w:rPr>
        <w:t>5338 4500</w:t>
      </w:r>
    </w:p>
    <w:p w14:paraId="40E6B4E8" w14:textId="360CAB67" w:rsidR="00A93924" w:rsidRPr="002D0659" w:rsidRDefault="00A93924" w:rsidP="009C511B">
      <w:pPr>
        <w:pStyle w:val="ListParagraph"/>
        <w:numPr>
          <w:ilvl w:val="0"/>
          <w:numId w:val="14"/>
        </w:numPr>
        <w:spacing w:after="40" w:line="219" w:lineRule="exact"/>
        <w:contextualSpacing w:val="0"/>
        <w:textAlignment w:val="baseline"/>
        <w:rPr>
          <w:rFonts w:eastAsia="Arial" w:cs="Arial"/>
          <w:color w:val="000000"/>
          <w:sz w:val="20"/>
          <w:u w:val="single"/>
        </w:rPr>
      </w:pPr>
      <w:r w:rsidRPr="002D0659">
        <w:rPr>
          <w:rFonts w:eastAsia="Arial" w:cs="Arial"/>
          <w:color w:val="000000"/>
          <w:sz w:val="20"/>
          <w:u w:val="single"/>
        </w:rPr>
        <w:t>Area 3 (Hume)</w:t>
      </w:r>
      <w:r w:rsidRPr="002D0659">
        <w:rPr>
          <w:rFonts w:eastAsia="Arial" w:cs="Arial"/>
          <w:b/>
          <w:color w:val="000000"/>
          <w:sz w:val="20"/>
        </w:rPr>
        <w:t xml:space="preserve"> Tel: </w:t>
      </w:r>
      <w:r w:rsidR="00553939">
        <w:rPr>
          <w:rFonts w:eastAsia="Arial" w:cs="Arial"/>
          <w:b/>
          <w:color w:val="000000"/>
          <w:sz w:val="20"/>
        </w:rPr>
        <w:t xml:space="preserve">03 </w:t>
      </w:r>
      <w:r w:rsidRPr="002D0659">
        <w:rPr>
          <w:rFonts w:eastAsia="Arial" w:cs="Arial"/>
          <w:b/>
          <w:color w:val="000000"/>
          <w:sz w:val="20"/>
        </w:rPr>
        <w:t>5823 3219</w:t>
      </w:r>
      <w:r w:rsidR="002D0659">
        <w:rPr>
          <w:rFonts w:eastAsia="Arial" w:cs="Arial"/>
          <w:b/>
          <w:color w:val="000000"/>
          <w:sz w:val="20"/>
        </w:rPr>
        <w:t xml:space="preserve"> or </w:t>
      </w:r>
      <w:r w:rsidR="002D0659" w:rsidRPr="002D0659">
        <w:rPr>
          <w:rFonts w:eastAsia="Arial" w:cs="Arial"/>
          <w:color w:val="000000"/>
          <w:sz w:val="20"/>
          <w:u w:val="single"/>
        </w:rPr>
        <w:t>(Gippsland)</w:t>
      </w:r>
      <w:r w:rsidR="002D0659" w:rsidRPr="002D0659">
        <w:rPr>
          <w:rFonts w:eastAsia="Arial" w:cs="Arial"/>
          <w:b/>
          <w:color w:val="000000"/>
          <w:sz w:val="20"/>
        </w:rPr>
        <w:t xml:space="preserve"> Tel: 1800 242 696</w:t>
      </w:r>
    </w:p>
    <w:p w14:paraId="217A40B2" w14:textId="77777777" w:rsidR="00A93924" w:rsidRPr="002D0659" w:rsidRDefault="00A93924" w:rsidP="009C511B">
      <w:pPr>
        <w:pStyle w:val="ListParagraph"/>
        <w:numPr>
          <w:ilvl w:val="0"/>
          <w:numId w:val="14"/>
        </w:numPr>
        <w:spacing w:after="40" w:line="219" w:lineRule="exact"/>
        <w:contextualSpacing w:val="0"/>
        <w:textAlignment w:val="baseline"/>
        <w:rPr>
          <w:rFonts w:eastAsia="Arial" w:cs="Arial"/>
          <w:color w:val="000000"/>
          <w:sz w:val="20"/>
          <w:u w:val="single"/>
        </w:rPr>
      </w:pPr>
      <w:r w:rsidRPr="002D0659">
        <w:rPr>
          <w:rFonts w:eastAsia="Arial" w:cs="Arial"/>
          <w:color w:val="000000"/>
          <w:sz w:val="20"/>
          <w:u w:val="single"/>
        </w:rPr>
        <w:t>Area 4 (South East Metropolitan Melbourne)</w:t>
      </w:r>
      <w:r w:rsidRPr="002D0659">
        <w:rPr>
          <w:rFonts w:eastAsia="Arial" w:cs="Arial"/>
          <w:b/>
          <w:color w:val="000000"/>
          <w:sz w:val="20"/>
        </w:rPr>
        <w:t xml:space="preserve"> Tel: 8514 6600</w:t>
      </w:r>
    </w:p>
    <w:p w14:paraId="6A10BC76" w14:textId="77777777" w:rsidR="00A93924" w:rsidRPr="002D0659" w:rsidRDefault="00A93924" w:rsidP="009C511B">
      <w:pPr>
        <w:pStyle w:val="ListParagraph"/>
        <w:numPr>
          <w:ilvl w:val="0"/>
          <w:numId w:val="14"/>
        </w:numPr>
        <w:spacing w:line="219" w:lineRule="exact"/>
        <w:contextualSpacing w:val="0"/>
        <w:textAlignment w:val="baseline"/>
        <w:rPr>
          <w:rFonts w:eastAsia="Arial" w:cs="Arial"/>
          <w:color w:val="000000"/>
          <w:sz w:val="20"/>
          <w:u w:val="single"/>
        </w:rPr>
      </w:pPr>
      <w:r w:rsidRPr="002D0659">
        <w:rPr>
          <w:rFonts w:eastAsia="Arial" w:cs="Arial"/>
          <w:color w:val="000000"/>
          <w:sz w:val="20"/>
          <w:u w:val="single"/>
        </w:rPr>
        <w:t>Area 5 (North West Metropolitan Melbourne)</w:t>
      </w:r>
      <w:r w:rsidRPr="002D0659">
        <w:rPr>
          <w:rFonts w:eastAsia="Arial" w:cs="Arial"/>
          <w:b/>
          <w:color w:val="000000"/>
          <w:sz w:val="20"/>
        </w:rPr>
        <w:t xml:space="preserve"> Tel: 9448 5511</w:t>
      </w:r>
    </w:p>
    <w:p w14:paraId="1F1AE5DE" w14:textId="680D65C9" w:rsidR="00A93924" w:rsidRPr="005F3383" w:rsidRDefault="00A93924" w:rsidP="005F3383">
      <w:pPr>
        <w:spacing w:line="219" w:lineRule="exact"/>
        <w:ind w:right="216"/>
        <w:textAlignment w:val="baseline"/>
        <w:rPr>
          <w:rFonts w:eastAsia="Arial" w:cs="Arial"/>
          <w:color w:val="000000"/>
          <w:sz w:val="20"/>
        </w:rPr>
      </w:pPr>
      <w:r w:rsidRPr="005F3383">
        <w:rPr>
          <w:rFonts w:eastAsia="Arial" w:cs="Arial"/>
          <w:color w:val="000000"/>
          <w:sz w:val="20"/>
        </w:rPr>
        <w:t xml:space="preserve">More information on Pharmacotherapy Networks and full contact details are provided in </w:t>
      </w:r>
      <w:r w:rsidRPr="005F3383">
        <w:rPr>
          <w:rFonts w:eastAsia="Arial" w:cs="Arial"/>
          <w:i/>
          <w:color w:val="000000"/>
          <w:sz w:val="20"/>
        </w:rPr>
        <w:t>Appendix 15</w:t>
      </w:r>
      <w:r w:rsidRPr="005F3383">
        <w:rPr>
          <w:rFonts w:eastAsia="Arial" w:cs="Arial"/>
          <w:color w:val="000000"/>
          <w:sz w:val="20"/>
        </w:rPr>
        <w:t xml:space="preserve"> of the Policy.</w:t>
      </w:r>
    </w:p>
    <w:p w14:paraId="65F137CF" w14:textId="0CE6AAE9" w:rsidR="00A93924" w:rsidRPr="005F3383" w:rsidRDefault="00A93924" w:rsidP="005F3383">
      <w:pPr>
        <w:spacing w:line="219" w:lineRule="exact"/>
        <w:ind w:right="648"/>
        <w:textAlignment w:val="baseline"/>
        <w:rPr>
          <w:rFonts w:cs="Arial"/>
          <w:sz w:val="20"/>
          <w:lang w:eastAsia="en-AU"/>
        </w:rPr>
      </w:pPr>
      <w:r w:rsidRPr="005F3383">
        <w:rPr>
          <w:rFonts w:eastAsia="Arial" w:cs="Arial"/>
          <w:b/>
          <w:color w:val="000000"/>
          <w:sz w:val="20"/>
        </w:rPr>
        <w:t xml:space="preserve">Additional useful contacts are listed in </w:t>
      </w:r>
      <w:r w:rsidRPr="005F3383">
        <w:rPr>
          <w:rFonts w:eastAsia="Arial" w:cs="Arial"/>
          <w:b/>
          <w:i/>
          <w:color w:val="000000"/>
          <w:sz w:val="20"/>
        </w:rPr>
        <w:t>Appendix 2</w:t>
      </w:r>
      <w:r w:rsidRPr="005F3383">
        <w:rPr>
          <w:rFonts w:eastAsia="Arial" w:cs="Arial"/>
          <w:b/>
          <w:color w:val="000000"/>
          <w:sz w:val="20"/>
        </w:rPr>
        <w:t xml:space="preserve"> of the Policy.</w:t>
      </w:r>
    </w:p>
    <w:p w14:paraId="0E4D6D86" w14:textId="668F9D1E" w:rsidR="00F32368" w:rsidRPr="00F32368" w:rsidRDefault="00F32368" w:rsidP="00300F30">
      <w:pPr>
        <w:pStyle w:val="Bullet2"/>
        <w:numPr>
          <w:ilvl w:val="0"/>
          <w:numId w:val="0"/>
        </w:numPr>
      </w:pPr>
      <w:bookmarkStart w:id="3" w:name="_Hlk37240926"/>
      <w:bookmarkEnd w:id="1"/>
    </w:p>
    <w:tbl>
      <w:tblPr>
        <w:tblStyle w:val="TableGrid"/>
        <w:tblW w:w="0" w:type="auto"/>
        <w:tblCellMar>
          <w:bottom w:w="108" w:type="dxa"/>
        </w:tblCellMar>
        <w:tblLook w:val="0600" w:firstRow="0" w:lastRow="0" w:firstColumn="0" w:lastColumn="0" w:noHBand="1" w:noVBand="1"/>
      </w:tblPr>
      <w:tblGrid>
        <w:gridCol w:w="10194"/>
      </w:tblGrid>
      <w:tr w:rsidR="0055119B" w14:paraId="2B269CD8" w14:textId="77777777" w:rsidTr="00EC40D5">
        <w:tc>
          <w:tcPr>
            <w:tcW w:w="10194" w:type="dxa"/>
          </w:tcPr>
          <w:p w14:paraId="0D8CCF13" w14:textId="77777777" w:rsidR="0055119B" w:rsidRPr="0055119B" w:rsidRDefault="0055119B" w:rsidP="00E33237">
            <w:pPr>
              <w:pStyle w:val="Imprint"/>
            </w:pPr>
            <w:r w:rsidRPr="0055119B">
              <w:t>Authorised and published by the Victorian Government, 1 Treasury Place, Melbourne.</w:t>
            </w:r>
          </w:p>
          <w:p w14:paraId="6DF0BDCD" w14:textId="46454727"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01E67">
              <w:t>April 2021</w:t>
            </w:r>
            <w:r w:rsidRPr="0055119B">
              <w:t>.</w:t>
            </w:r>
          </w:p>
          <w:p w14:paraId="15180C1C" w14:textId="252E295F" w:rsidR="0055119B" w:rsidRPr="0055119B" w:rsidRDefault="00066B7C" w:rsidP="00E33237">
            <w:pPr>
              <w:pStyle w:val="Imprint"/>
            </w:pPr>
            <w:r>
              <w:rPr>
                <w:rFonts w:cs="Arial"/>
                <w:b/>
                <w:bCs/>
                <w:color w:val="000000"/>
              </w:rPr>
              <w:t xml:space="preserve">ISBN </w:t>
            </w:r>
            <w:r>
              <w:rPr>
                <w:rFonts w:cs="Arial"/>
                <w:color w:val="000000"/>
              </w:rPr>
              <w:t>978-1-76096-206-7</w:t>
            </w:r>
            <w:r>
              <w:rPr>
                <w:rFonts w:cs="Arial"/>
                <w:b/>
                <w:bCs/>
                <w:color w:val="000000"/>
              </w:rPr>
              <w:t xml:space="preserve"> (pdf/online/MS word)</w:t>
            </w:r>
          </w:p>
          <w:p w14:paraId="399F30F9" w14:textId="42F893F6" w:rsidR="0055119B" w:rsidRDefault="0055119B" w:rsidP="00E33237">
            <w:pPr>
              <w:pStyle w:val="Imprint"/>
            </w:pPr>
            <w:r w:rsidRPr="0055119B">
              <w:t>Available at &lt;</w:t>
            </w:r>
            <w:r w:rsidR="00300F30">
              <w:t xml:space="preserve"> </w:t>
            </w:r>
            <w:r w:rsidR="00801E67" w:rsidRPr="00801E67">
              <w:rPr>
                <w:color w:val="004C97"/>
              </w:rPr>
              <w:t>https://www2.health.vic.gov.au/public-health/drugs-and-poisons/pharmacotherapy/buprenorphine-and-naloxone-prescribing-guidelines</w:t>
            </w:r>
            <w:r w:rsidRPr="0055119B">
              <w:t>&gt;</w:t>
            </w:r>
          </w:p>
        </w:tc>
      </w:tr>
      <w:bookmarkEnd w:id="3"/>
    </w:tbl>
    <w:p w14:paraId="035BE2E3" w14:textId="77777777" w:rsidR="00162CA9" w:rsidRDefault="00162CA9" w:rsidP="00162CA9">
      <w:pPr>
        <w:pStyle w:val="Body"/>
      </w:pPr>
    </w:p>
    <w:sectPr w:rsidR="00162CA9" w:rsidSect="007769DC">
      <w:headerReference w:type="default" r:id="rId3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E73E" w14:textId="77777777" w:rsidR="00A93924" w:rsidRDefault="00A93924">
      <w:r>
        <w:separator/>
      </w:r>
    </w:p>
  </w:endnote>
  <w:endnote w:type="continuationSeparator" w:id="0">
    <w:p w14:paraId="39E9993F" w14:textId="77777777" w:rsidR="00A93924" w:rsidRDefault="00A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02751" w14:textId="77777777" w:rsidR="00066B7C" w:rsidRDefault="0006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D76E6" w14:textId="31CBE353" w:rsidR="00E261B3" w:rsidRPr="00F65AA9" w:rsidRDefault="00FC7FB6" w:rsidP="00F84FA0">
    <w:pPr>
      <w:pStyle w:val="Footer"/>
    </w:pPr>
    <w:r>
      <w:rPr>
        <w:noProof/>
        <w:lang w:eastAsia="en-AU"/>
      </w:rPr>
      <w:drawing>
        <wp:anchor distT="0" distB="0" distL="114300" distR="114300" simplePos="0" relativeHeight="251674112" behindDoc="1" locked="1" layoutInCell="1" allowOverlap="1" wp14:anchorId="475E76F5" wp14:editId="0E067C5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6588" w14:textId="5B5AE2F3" w:rsidR="00E261B3" w:rsidRDefault="00E26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59BB" w14:textId="77777777" w:rsidR="00A93924" w:rsidRDefault="00A93924" w:rsidP="002862F1">
      <w:pPr>
        <w:spacing w:before="120"/>
      </w:pPr>
      <w:r>
        <w:separator/>
      </w:r>
    </w:p>
  </w:footnote>
  <w:footnote w:type="continuationSeparator" w:id="0">
    <w:p w14:paraId="3A5AA803" w14:textId="77777777" w:rsidR="00A93924" w:rsidRDefault="00A93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88F9" w14:textId="77777777" w:rsidR="00066B7C" w:rsidRDefault="0006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C1EE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F625" w14:textId="77777777" w:rsidR="00066B7C" w:rsidRDefault="00066B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8862" w14:textId="7E83AB73" w:rsidR="00E261B3" w:rsidRPr="0051568D" w:rsidRDefault="00FC7FB6" w:rsidP="0011701A">
    <w:pPr>
      <w:pStyle w:val="Header"/>
    </w:pPr>
    <w:r>
      <w:rPr>
        <w:noProof/>
      </w:rPr>
      <w:drawing>
        <wp:anchor distT="0" distB="0" distL="114300" distR="114300" simplePos="0" relativeHeight="251675136" behindDoc="1" locked="1" layoutInCell="1" allowOverlap="1" wp14:anchorId="296E3E36" wp14:editId="05555704">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EE21A6">
      <w:t>Guide to prescribing buprenorphine/naloxone and LAIB</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2DF1EB0"/>
    <w:multiLevelType w:val="multilevel"/>
    <w:tmpl w:val="F314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B7B82"/>
    <w:multiLevelType w:val="hybridMultilevel"/>
    <w:tmpl w:val="E2FA15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981F0A"/>
    <w:multiLevelType w:val="multilevel"/>
    <w:tmpl w:val="005C05E6"/>
    <w:lvl w:ilvl="0">
      <w:start w:val="2"/>
      <w:numFmt w:val="decimal"/>
      <w:lvlText w:val="%1."/>
      <w:lvlJc w:val="left"/>
      <w:pPr>
        <w:tabs>
          <w:tab w:val="left" w:pos="216"/>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A63D94"/>
    <w:multiLevelType w:val="multilevel"/>
    <w:tmpl w:val="5344E90C"/>
    <w:lvl w:ilvl="0">
      <w:numFmt w:val="bullet"/>
      <w:lvlText w:val="·"/>
      <w:lvlJc w:val="left"/>
      <w:pPr>
        <w:tabs>
          <w:tab w:val="left" w:pos="2304"/>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29E751A"/>
    <w:multiLevelType w:val="hybridMultilevel"/>
    <w:tmpl w:val="91A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06571"/>
    <w:multiLevelType w:val="hybridMultilevel"/>
    <w:tmpl w:val="9F0C3C14"/>
    <w:lvl w:ilvl="0" w:tplc="3476233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D1CBF"/>
    <w:multiLevelType w:val="multilevel"/>
    <w:tmpl w:val="5344E90C"/>
    <w:lvl w:ilvl="0">
      <w:numFmt w:val="bullet"/>
      <w:lvlText w:val="·"/>
      <w:lvlJc w:val="left"/>
      <w:pPr>
        <w:tabs>
          <w:tab w:val="left" w:pos="-1584"/>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93850B7"/>
    <w:multiLevelType w:val="multilevel"/>
    <w:tmpl w:val="5344E90C"/>
    <w:lvl w:ilvl="0">
      <w:numFmt w:val="bullet"/>
      <w:lvlText w:val="·"/>
      <w:lvlJc w:val="left"/>
      <w:pPr>
        <w:tabs>
          <w:tab w:val="left" w:pos="432"/>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F2348B"/>
    <w:multiLevelType w:val="hybridMultilevel"/>
    <w:tmpl w:val="D49E329A"/>
    <w:lvl w:ilvl="0" w:tplc="0C090001">
      <w:start w:val="1"/>
      <w:numFmt w:val="bullet"/>
      <w:lvlText w:val=""/>
      <w:lvlJc w:val="left"/>
      <w:pPr>
        <w:ind w:left="432" w:hanging="360"/>
      </w:pPr>
      <w:rPr>
        <w:rFonts w:ascii="Symbol" w:hAnsi="Symbol"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5" w15:restartNumberingAfterBreak="0">
    <w:nsid w:val="6E421C44"/>
    <w:multiLevelType w:val="hybridMultilevel"/>
    <w:tmpl w:val="54140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7761A"/>
    <w:multiLevelType w:val="multilevel"/>
    <w:tmpl w:val="20A00C32"/>
    <w:lvl w:ilvl="0">
      <w:start w:val="6"/>
      <w:numFmt w:val="decimal"/>
      <w:lvlText w:val="%1."/>
      <w:lvlJc w:val="left"/>
      <w:pPr>
        <w:tabs>
          <w:tab w:val="left" w:pos="288"/>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674236"/>
    <w:multiLevelType w:val="hybridMultilevel"/>
    <w:tmpl w:val="A6D4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6"/>
  </w:num>
  <w:num w:numId="6">
    <w:abstractNumId w:val="0"/>
  </w:num>
  <w:num w:numId="7">
    <w:abstractNumId w:val="3"/>
  </w:num>
  <w:num w:numId="8">
    <w:abstractNumId w:val="4"/>
  </w:num>
  <w:num w:numId="9">
    <w:abstractNumId w:val="16"/>
  </w:num>
  <w:num w:numId="10">
    <w:abstractNumId w:val="2"/>
  </w:num>
  <w:num w:numId="11">
    <w:abstractNumId w:val="14"/>
  </w:num>
  <w:num w:numId="12">
    <w:abstractNumId w:val="8"/>
  </w:num>
  <w:num w:numId="13">
    <w:abstractNumId w:val="13"/>
  </w:num>
  <w:num w:numId="14">
    <w:abstractNumId w:val="11"/>
  </w:num>
  <w:num w:numId="15">
    <w:abstractNumId w:val="1"/>
  </w:num>
  <w:num w:numId="16">
    <w:abstractNumId w:val="17"/>
  </w:num>
  <w:num w:numId="17">
    <w:abstractNumId w:val="7"/>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24"/>
    <w:rsid w:val="00000719"/>
    <w:rsid w:val="00003403"/>
    <w:rsid w:val="00005347"/>
    <w:rsid w:val="000072B6"/>
    <w:rsid w:val="0001021B"/>
    <w:rsid w:val="00011D89"/>
    <w:rsid w:val="000131BA"/>
    <w:rsid w:val="000154FD"/>
    <w:rsid w:val="00022271"/>
    <w:rsid w:val="000235E8"/>
    <w:rsid w:val="00024D6B"/>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66B7C"/>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00D"/>
    <w:rsid w:val="00165459"/>
    <w:rsid w:val="00165A57"/>
    <w:rsid w:val="001712C2"/>
    <w:rsid w:val="00172BAF"/>
    <w:rsid w:val="001771DD"/>
    <w:rsid w:val="00177995"/>
    <w:rsid w:val="00177A8C"/>
    <w:rsid w:val="00186B33"/>
    <w:rsid w:val="00191459"/>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070B6"/>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6B58"/>
    <w:rsid w:val="002B77C1"/>
    <w:rsid w:val="002B7901"/>
    <w:rsid w:val="002C0ED7"/>
    <w:rsid w:val="002C2728"/>
    <w:rsid w:val="002D0659"/>
    <w:rsid w:val="002D1E0D"/>
    <w:rsid w:val="002D5006"/>
    <w:rsid w:val="002E01D0"/>
    <w:rsid w:val="002E161D"/>
    <w:rsid w:val="002E3100"/>
    <w:rsid w:val="002E6C95"/>
    <w:rsid w:val="002E7C36"/>
    <w:rsid w:val="002F0107"/>
    <w:rsid w:val="002F3D32"/>
    <w:rsid w:val="002F5F31"/>
    <w:rsid w:val="002F5F46"/>
    <w:rsid w:val="00300F30"/>
    <w:rsid w:val="00302216"/>
    <w:rsid w:val="00303E53"/>
    <w:rsid w:val="00305CC1"/>
    <w:rsid w:val="00306E5F"/>
    <w:rsid w:val="00307E14"/>
    <w:rsid w:val="00314054"/>
    <w:rsid w:val="00315BD8"/>
    <w:rsid w:val="00316F27"/>
    <w:rsid w:val="003214F1"/>
    <w:rsid w:val="00322E4B"/>
    <w:rsid w:val="003236D1"/>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1DE1"/>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3B98"/>
    <w:rsid w:val="003E4086"/>
    <w:rsid w:val="003E639E"/>
    <w:rsid w:val="003E71E5"/>
    <w:rsid w:val="003F0445"/>
    <w:rsid w:val="003F0CF0"/>
    <w:rsid w:val="003F14B1"/>
    <w:rsid w:val="003F2B20"/>
    <w:rsid w:val="003F3289"/>
    <w:rsid w:val="003F5CB9"/>
    <w:rsid w:val="004013C7"/>
    <w:rsid w:val="00401FCF"/>
    <w:rsid w:val="0040248F"/>
    <w:rsid w:val="00406285"/>
    <w:rsid w:val="00407406"/>
    <w:rsid w:val="004146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499"/>
    <w:rsid w:val="00543903"/>
    <w:rsid w:val="00543F11"/>
    <w:rsid w:val="00546305"/>
    <w:rsid w:val="00547A95"/>
    <w:rsid w:val="0055119B"/>
    <w:rsid w:val="00553939"/>
    <w:rsid w:val="005548B5"/>
    <w:rsid w:val="00572031"/>
    <w:rsid w:val="00572282"/>
    <w:rsid w:val="00573CE3"/>
    <w:rsid w:val="00576E84"/>
    <w:rsid w:val="00580394"/>
    <w:rsid w:val="005809CD"/>
    <w:rsid w:val="00582B8C"/>
    <w:rsid w:val="0058757E"/>
    <w:rsid w:val="00587EF4"/>
    <w:rsid w:val="005948E0"/>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353"/>
    <w:rsid w:val="005F3383"/>
    <w:rsid w:val="00605908"/>
    <w:rsid w:val="00610D7C"/>
    <w:rsid w:val="00613414"/>
    <w:rsid w:val="00620154"/>
    <w:rsid w:val="00622979"/>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D7093"/>
    <w:rsid w:val="006E0541"/>
    <w:rsid w:val="006E138B"/>
    <w:rsid w:val="006F0330"/>
    <w:rsid w:val="006F1FDC"/>
    <w:rsid w:val="006F6B8C"/>
    <w:rsid w:val="007013EF"/>
    <w:rsid w:val="007055BD"/>
    <w:rsid w:val="00711BBA"/>
    <w:rsid w:val="007173CA"/>
    <w:rsid w:val="007216AA"/>
    <w:rsid w:val="00721AB5"/>
    <w:rsid w:val="00721CFB"/>
    <w:rsid w:val="00721DEF"/>
    <w:rsid w:val="00724A43"/>
    <w:rsid w:val="007273AC"/>
    <w:rsid w:val="00731AD4"/>
    <w:rsid w:val="007346E4"/>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9DC"/>
    <w:rsid w:val="00776E0F"/>
    <w:rsid w:val="007774B1"/>
    <w:rsid w:val="00777BE1"/>
    <w:rsid w:val="007833D8"/>
    <w:rsid w:val="00785677"/>
    <w:rsid w:val="00786F16"/>
    <w:rsid w:val="00791BD7"/>
    <w:rsid w:val="00792DFD"/>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E67"/>
    <w:rsid w:val="0080587B"/>
    <w:rsid w:val="00806468"/>
    <w:rsid w:val="008119CA"/>
    <w:rsid w:val="008130C4"/>
    <w:rsid w:val="008155F0"/>
    <w:rsid w:val="00816735"/>
    <w:rsid w:val="00817658"/>
    <w:rsid w:val="00820141"/>
    <w:rsid w:val="00820E0C"/>
    <w:rsid w:val="00823275"/>
    <w:rsid w:val="0082366F"/>
    <w:rsid w:val="00825CF6"/>
    <w:rsid w:val="008338A2"/>
    <w:rsid w:val="00835E47"/>
    <w:rsid w:val="00835FAF"/>
    <w:rsid w:val="0084033A"/>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2EE4"/>
    <w:rsid w:val="008B4D3D"/>
    <w:rsid w:val="008B57C7"/>
    <w:rsid w:val="008C158E"/>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870C3"/>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11B"/>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25D1D"/>
    <w:rsid w:val="00A330BB"/>
    <w:rsid w:val="00A44882"/>
    <w:rsid w:val="00A45125"/>
    <w:rsid w:val="00A54715"/>
    <w:rsid w:val="00A6061C"/>
    <w:rsid w:val="00A62D44"/>
    <w:rsid w:val="00A67263"/>
    <w:rsid w:val="00A7161C"/>
    <w:rsid w:val="00A77AA3"/>
    <w:rsid w:val="00A8236D"/>
    <w:rsid w:val="00A854EB"/>
    <w:rsid w:val="00A872E5"/>
    <w:rsid w:val="00A91406"/>
    <w:rsid w:val="00A93924"/>
    <w:rsid w:val="00A96E65"/>
    <w:rsid w:val="00A97C72"/>
    <w:rsid w:val="00AA1DB0"/>
    <w:rsid w:val="00AA268E"/>
    <w:rsid w:val="00AA310B"/>
    <w:rsid w:val="00AA63D4"/>
    <w:rsid w:val="00AB06E8"/>
    <w:rsid w:val="00AB1CD3"/>
    <w:rsid w:val="00AB352F"/>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E6DDC"/>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5A14"/>
    <w:rsid w:val="00B57329"/>
    <w:rsid w:val="00B60E61"/>
    <w:rsid w:val="00B62B50"/>
    <w:rsid w:val="00B635B7"/>
    <w:rsid w:val="00B63AE8"/>
    <w:rsid w:val="00B65950"/>
    <w:rsid w:val="00B66D83"/>
    <w:rsid w:val="00B672C0"/>
    <w:rsid w:val="00B676FD"/>
    <w:rsid w:val="00B75646"/>
    <w:rsid w:val="00B90729"/>
    <w:rsid w:val="00B907DA"/>
    <w:rsid w:val="00B917E8"/>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362D6"/>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378E"/>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3298"/>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0A8B"/>
    <w:rsid w:val="00E62622"/>
    <w:rsid w:val="00E629A1"/>
    <w:rsid w:val="00E6794C"/>
    <w:rsid w:val="00E71591"/>
    <w:rsid w:val="00E71CEB"/>
    <w:rsid w:val="00E7474F"/>
    <w:rsid w:val="00E750A2"/>
    <w:rsid w:val="00E80DE3"/>
    <w:rsid w:val="00E82C55"/>
    <w:rsid w:val="00E8787E"/>
    <w:rsid w:val="00E92AC3"/>
    <w:rsid w:val="00E96CA7"/>
    <w:rsid w:val="00EA1360"/>
    <w:rsid w:val="00EA2F6A"/>
    <w:rsid w:val="00EB00E0"/>
    <w:rsid w:val="00EC059F"/>
    <w:rsid w:val="00EC1F24"/>
    <w:rsid w:val="00EC22F6"/>
    <w:rsid w:val="00EC40D5"/>
    <w:rsid w:val="00ED5B9B"/>
    <w:rsid w:val="00ED6BAD"/>
    <w:rsid w:val="00ED7447"/>
    <w:rsid w:val="00EE00D6"/>
    <w:rsid w:val="00EE11E7"/>
    <w:rsid w:val="00EE1488"/>
    <w:rsid w:val="00EE21A6"/>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E1E0588"/>
  <w15:docId w15:val="{7A4109CF-529E-4F9A-B09C-011FE7BD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Lettertext">
    <w:name w:val="Letter text"/>
    <w:basedOn w:val="Normal"/>
    <w:uiPriority w:val="99"/>
    <w:rsid w:val="00A93924"/>
    <w:pPr>
      <w:spacing w:after="0" w:line="240" w:lineRule="auto"/>
    </w:pPr>
    <w:rPr>
      <w:rFonts w:ascii="Calibri" w:hAnsi="Calibri"/>
      <w:sz w:val="22"/>
      <w:lang w:val="en-US"/>
    </w:rPr>
  </w:style>
  <w:style w:type="table" w:styleId="ListTable3-Accent1">
    <w:name w:val="List Table 3 Accent 1"/>
    <w:basedOn w:val="TableNormal"/>
    <w:uiPriority w:val="48"/>
    <w:rsid w:val="00AA1DB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72"/>
    <w:semiHidden/>
    <w:qFormat/>
    <w:rsid w:val="002070B6"/>
    <w:pPr>
      <w:ind w:left="720"/>
      <w:contextualSpacing/>
    </w:pPr>
  </w:style>
  <w:style w:type="paragraph" w:customStyle="1" w:styleId="is-active">
    <w:name w:val="is-active"/>
    <w:basedOn w:val="Normal"/>
    <w:rsid w:val="002B6B58"/>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936174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docs.health.vic.gov.au/docs/doc/F41321F8CFC269C6CA257B0400075C1B/$FILE/Pharmacotherapy%20Policy%202013-v02.pdf" TargetMode="External"/><Relationship Id="rId26" Type="http://schemas.openxmlformats.org/officeDocument/2006/relationships/hyperlink" Target="http://www.gpv.org.au/content.asp?cid=12,219&amp;t=Pharmacotherapy%20GP%20Trainin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health.vic.gov.au/public-health/drugs-and-poisons/pharmacotherapy/pharmacotherapy-policy-in-victoria" TargetMode="External"/><Relationship Id="rId34" Type="http://schemas.openxmlformats.org/officeDocument/2006/relationships/hyperlink" Target="https://www2.health.vic.gov.au/public-health/drugs-and-poisons/pharmacotherapy/pharmacotherapy-forms-and-appl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about/publications/ResearchAndReports/Methadone%20Starting%20Methadone%20or%20Buprenorphine%20-%20brochure" TargetMode="External"/><Relationship Id="rId33" Type="http://schemas.openxmlformats.org/officeDocument/2006/relationships/hyperlink" Target="mailto:dpcs@health.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drugs-and-poisons/pharmacotherapy/pharmacotherapy-policy-in-victoria" TargetMode="External"/><Relationship Id="rId29" Type="http://schemas.openxmlformats.org/officeDocument/2006/relationships/hyperlink" Target="https://www1.racgp.org.au/events/booking/registration?eventid=VIC2122_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g"/><Relationship Id="rId32" Type="http://schemas.openxmlformats.org/officeDocument/2006/relationships/hyperlink" Target="https://www.sublocade.com/hcp/buprenorphine" TargetMode="External"/><Relationship Id="rId37"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2.health.vic.gov.au/public-health/drugs-and-poisons/pharmacotherapy/pharmacotherapy-policy-in-victoria" TargetMode="External"/><Relationship Id="rId28" Type="http://schemas.openxmlformats.org/officeDocument/2006/relationships/hyperlink" Target="https://www1.racgp.org.au/events/booking/registration?eventid=VIC2021_29" TargetMode="External"/><Relationship Id="rId36" Type="http://schemas.openxmlformats.org/officeDocument/2006/relationships/hyperlink" Target="http://www.dacas.org.au/" TargetMode="Externa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yperlink" Target="http://buvidal.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drugs-and-poisons/smart-forms-drugs-and-poisons" TargetMode="External"/><Relationship Id="rId27" Type="http://schemas.openxmlformats.org/officeDocument/2006/relationships/hyperlink" Target="https://www1.racgp.org.au/events/booking/registration?eventid=VIC1617_86" TargetMode="External"/><Relationship Id="rId30" Type="http://schemas.openxmlformats.org/officeDocument/2006/relationships/hyperlink" Target="https://www.racgp.org.au/education/professional-development/online-learning/webinars/prescription-drugs/buprenorphine-naloxone-safe-prescribing" TargetMode="External"/><Relationship Id="rId35" Type="http://schemas.openxmlformats.org/officeDocument/2006/relationships/hyperlink" Target="mailto:AOD.enquries@dhhs.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1bad440-a7e7-46c6-81bd-18ed54663c6a"/>
    <ds:schemaRef ds:uri="http://www.w3.org/XML/1998/namespace"/>
  </ds:schemaRefs>
</ds:datastoreItem>
</file>

<file path=customXml/itemProps4.xml><?xml version="1.0" encoding="utf-8"?>
<ds:datastoreItem xmlns:ds="http://schemas.openxmlformats.org/officeDocument/2006/customXml" ds:itemID="{CB190BF1-0A16-4E65-AABD-7B9B5591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2839</Words>
  <Characters>18226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Guide to prescribing buprenorphine/naloxone and long-acting injectable buprenorphine</vt:lpstr>
    </vt:vector>
  </TitlesOfParts>
  <Company>Victoria State Government, Department of Health</Company>
  <LinksUpToDate>false</LinksUpToDate>
  <CharactersWithSpaces>21023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prescribing buprenorphine/naloxone and long-acting injectable buprenorphine</dc:title>
  <dc:creator>Alice York (Health)</dc:creator>
  <cp:lastModifiedBy>Alice York (Health)</cp:lastModifiedBy>
  <cp:revision>2</cp:revision>
  <cp:lastPrinted>2020-03-30T03:28:00Z</cp:lastPrinted>
  <dcterms:created xsi:type="dcterms:W3CDTF">2021-04-16T03:06:00Z</dcterms:created>
  <dcterms:modified xsi:type="dcterms:W3CDTF">2021-04-16T03:06:00Z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efdf5488-3066-4b6c-8fea-9472b8a1f34c_Enabled">
    <vt:lpwstr>True</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Owner">
    <vt:lpwstr>Alice.York@health.vic.gov.au</vt:lpwstr>
  </property>
  <property fmtid="{D5CDD505-2E9C-101B-9397-08002B2CF9AE}" pid="8" name="MSIP_Label_efdf5488-3066-4b6c-8fea-9472b8a1f34c_SetDate">
    <vt:lpwstr>2021-04-16T03:06:09.8433469Z</vt:lpwstr>
  </property>
  <property fmtid="{D5CDD505-2E9C-101B-9397-08002B2CF9AE}" pid="9" name="MSIP_Label_efdf5488-3066-4b6c-8fea-9472b8a1f34c_Name">
    <vt:lpwstr>DO NOT MARK</vt:lpwstr>
  </property>
  <property fmtid="{D5CDD505-2E9C-101B-9397-08002B2CF9AE}" pid="10" name="MSIP_Label_efdf5488-3066-4b6c-8fea-9472b8a1f34c_Application">
    <vt:lpwstr>Microsoft Azure Information Protection</vt:lpwstr>
  </property>
  <property fmtid="{D5CDD505-2E9C-101B-9397-08002B2CF9AE}" pid="11" name="MSIP_Label_efdf5488-3066-4b6c-8fea-9472b8a1f34c_ActionId">
    <vt:lpwstr>471af155-dade-4d13-bdd0-b2ec3d340b1e</vt:lpwstr>
  </property>
  <property fmtid="{D5CDD505-2E9C-101B-9397-08002B2CF9AE}" pid="12" name="MSIP_Label_efdf5488-3066-4b6c-8fea-9472b8a1f34c_Extended_MSFT_Method">
    <vt:lpwstr>Manual</vt:lpwstr>
  </property>
  <property fmtid="{D5CDD505-2E9C-101B-9397-08002B2CF9AE}" pid="13" name="Sensitivity">
    <vt:lpwstr>DO NOT MARK</vt:lpwstr>
  </property>
</Properties>
</file>