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7A358" w14:textId="77777777" w:rsidR="0074696E" w:rsidRPr="004C6EEE" w:rsidRDefault="0074696E" w:rsidP="00EC40D5">
      <w:pPr>
        <w:pStyle w:val="Sectionbreakfirstpage"/>
      </w:pPr>
    </w:p>
    <w:p w14:paraId="6DD22B00" w14:textId="77777777" w:rsidR="00A62D44" w:rsidRPr="004C6EEE" w:rsidRDefault="00BC63D9" w:rsidP="00EC40D5">
      <w:pPr>
        <w:pStyle w:val="Sectionbreakfirstpage"/>
        <w:sectPr w:rsidR="00A62D44" w:rsidRPr="004C6EEE" w:rsidSect="00E62622">
          <w:headerReference w:type="even" r:id="rId11"/>
          <w:headerReference w:type="default" r:id="rId12"/>
          <w:footerReference w:type="even" r:id="rId13"/>
          <w:footerReference w:type="default" r:id="rId14"/>
          <w:headerReference w:type="first" r:id="rId15"/>
          <w:footerReference w:type="first" r:id="rId16"/>
          <w:pgSz w:w="11906" w:h="16838" w:code="9"/>
          <w:pgMar w:top="454" w:right="851" w:bottom="1418" w:left="851" w:header="340" w:footer="851" w:gutter="0"/>
          <w:cols w:space="708"/>
          <w:docGrid w:linePitch="360"/>
        </w:sectPr>
      </w:pPr>
      <w:r>
        <w:drawing>
          <wp:anchor distT="0" distB="0" distL="114300" distR="114300" simplePos="0" relativeHeight="251658240" behindDoc="1" locked="1" layoutInCell="1" allowOverlap="0" wp14:anchorId="1948995B" wp14:editId="112FF667">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7"/>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5528E44B" w14:textId="77777777" w:rsidTr="00B07FF7">
        <w:trPr>
          <w:trHeight w:val="622"/>
        </w:trPr>
        <w:tc>
          <w:tcPr>
            <w:tcW w:w="10348" w:type="dxa"/>
            <w:tcMar>
              <w:top w:w="1531" w:type="dxa"/>
              <w:left w:w="0" w:type="dxa"/>
              <w:right w:w="0" w:type="dxa"/>
            </w:tcMar>
          </w:tcPr>
          <w:p w14:paraId="32C89C82" w14:textId="55BA2870" w:rsidR="003B5733" w:rsidRPr="003B5733" w:rsidRDefault="00E47C67" w:rsidP="00E47C67">
            <w:pPr>
              <w:pStyle w:val="Documenttitle"/>
              <w:spacing w:after="120"/>
            </w:pPr>
            <w:r>
              <w:t>Managing limited tenure</w:t>
            </w:r>
            <w:r>
              <w:t xml:space="preserve"> </w:t>
            </w:r>
            <w:r>
              <w:t>cremated remains</w:t>
            </w:r>
            <w:r>
              <w:t> </w:t>
            </w:r>
            <w:r>
              <w:t>of veterans</w:t>
            </w:r>
          </w:p>
        </w:tc>
      </w:tr>
      <w:tr w:rsidR="003B5733" w14:paraId="2FE01A35" w14:textId="77777777" w:rsidTr="00B07FF7">
        <w:tc>
          <w:tcPr>
            <w:tcW w:w="10348" w:type="dxa"/>
          </w:tcPr>
          <w:p w14:paraId="1CCAEC83" w14:textId="6F635344" w:rsidR="003B5733" w:rsidRPr="00A1389F" w:rsidRDefault="00E47C67" w:rsidP="00E47C67">
            <w:pPr>
              <w:pStyle w:val="Documentsubtitle"/>
              <w:spacing w:after="240"/>
            </w:pPr>
            <w:r w:rsidRPr="001008F2">
              <w:rPr>
                <w:szCs w:val="28"/>
              </w:rPr>
              <w:t>Guidelines for cemetery trusts</w:t>
            </w:r>
          </w:p>
        </w:tc>
      </w:tr>
      <w:tr w:rsidR="003B5733" w14:paraId="7798F6E1" w14:textId="77777777" w:rsidTr="00B07FF7">
        <w:tc>
          <w:tcPr>
            <w:tcW w:w="10348" w:type="dxa"/>
          </w:tcPr>
          <w:p w14:paraId="435A3B12" w14:textId="77777777" w:rsidR="003B5733" w:rsidRPr="001E5058" w:rsidRDefault="0089397F" w:rsidP="001E5058">
            <w:pPr>
              <w:pStyle w:val="Bannermarking"/>
            </w:pPr>
            <w:fldSimple w:instr=" FILLIN  &quot;Type the protective marking&quot; \d OFFICIAL \o  \* MERGEFORMAT ">
              <w:r w:rsidR="00E47C67">
                <w:t>OFFICIAL</w:t>
              </w:r>
            </w:fldSimple>
          </w:p>
        </w:tc>
      </w:tr>
    </w:tbl>
    <w:p w14:paraId="3FCC0A30" w14:textId="61AE298D" w:rsidR="007173CA" w:rsidRDefault="007173CA" w:rsidP="00E47C67">
      <w:pPr>
        <w:pStyle w:val="Body"/>
        <w:spacing w:line="220" w:lineRule="atLeast"/>
      </w:pPr>
    </w:p>
    <w:p w14:paraId="11AFB9DE" w14:textId="77777777" w:rsidR="00580394" w:rsidRPr="00B519CD" w:rsidRDefault="00580394" w:rsidP="00E47C67">
      <w:pPr>
        <w:pStyle w:val="Body"/>
        <w:spacing w:line="220" w:lineRule="atLeast"/>
        <w:sectPr w:rsidR="00580394" w:rsidRPr="00B519CD" w:rsidSect="00E62622">
          <w:headerReference w:type="default" r:id="rId18"/>
          <w:type w:val="continuous"/>
          <w:pgSz w:w="11906" w:h="16838" w:code="9"/>
          <w:pgMar w:top="1418" w:right="851" w:bottom="1418" w:left="851" w:header="851" w:footer="851" w:gutter="0"/>
          <w:cols w:space="340"/>
          <w:titlePg/>
          <w:docGrid w:linePitch="360"/>
        </w:sectPr>
      </w:pPr>
    </w:p>
    <w:p w14:paraId="65686AFB" w14:textId="77777777" w:rsidR="00E47C67" w:rsidRDefault="00E47C67" w:rsidP="00E47C67">
      <w:pPr>
        <w:pStyle w:val="Heading1"/>
      </w:pPr>
      <w:bookmarkStart w:id="0" w:name="_Hlk41913885"/>
      <w:r>
        <w:t>Background</w:t>
      </w:r>
    </w:p>
    <w:p w14:paraId="71DD041C" w14:textId="77777777" w:rsidR="00E47C67" w:rsidRDefault="00E47C67" w:rsidP="00E47C67">
      <w:pPr>
        <w:pStyle w:val="Body"/>
      </w:pPr>
      <w:r>
        <w:t xml:space="preserve">The </w:t>
      </w:r>
      <w:r w:rsidRPr="00E47C67">
        <w:rPr>
          <w:i/>
          <w:iCs/>
        </w:rPr>
        <w:t>Cemeteries and Crematoria Act 2003</w:t>
      </w:r>
      <w:r>
        <w:t xml:space="preserve"> (the Act) was amended in 2015 to recognise the contribution of veterans and to reflect community expectations for managing veterans’ cremated remains. The amended Act is intended to ensure that identified veterans’ cremated remains are not scattered upon expiry of a limited tenure interment, but rather are preserved in perpetuity.</w:t>
      </w:r>
    </w:p>
    <w:p w14:paraId="46F399B6" w14:textId="77777777" w:rsidR="00E47C67" w:rsidRDefault="00E47C67" w:rsidP="00E47C67">
      <w:pPr>
        <w:pStyle w:val="Body"/>
      </w:pPr>
      <w:r>
        <w:t>The amended Act provides trusts with a range of options to help manage identified veterans’ cremated remains.</w:t>
      </w:r>
    </w:p>
    <w:p w14:paraId="0A5CB88E" w14:textId="77777777" w:rsidR="00E47C67" w:rsidRDefault="00E47C67" w:rsidP="00E47C67">
      <w:pPr>
        <w:pStyle w:val="Heading1"/>
      </w:pPr>
      <w:r>
        <w:t>How to use these guidelines</w:t>
      </w:r>
    </w:p>
    <w:p w14:paraId="2220E678" w14:textId="77777777" w:rsidR="00E47C67" w:rsidRDefault="00E47C67" w:rsidP="00E47C67">
      <w:pPr>
        <w:pStyle w:val="Body"/>
      </w:pPr>
      <w:r>
        <w:t>These guidelines should be read in conjunction with the relevant sections of the Act and should inform trusts’ development of their own policies for managing veterans’ limited tenure cremated remains.</w:t>
      </w:r>
    </w:p>
    <w:p w14:paraId="63365CFD" w14:textId="77777777" w:rsidR="00E47C67" w:rsidRDefault="00E47C67" w:rsidP="00E47C67">
      <w:pPr>
        <w:pStyle w:val="Body"/>
      </w:pPr>
      <w:r w:rsidRPr="00E47C67">
        <w:rPr>
          <w:b/>
          <w:bCs/>
        </w:rPr>
        <w:t>Part 1</w:t>
      </w:r>
      <w:r>
        <w:t xml:space="preserve"> provides guidance on how trusts can identify veterans’ cremated remains.</w:t>
      </w:r>
    </w:p>
    <w:p w14:paraId="379A361E" w14:textId="77777777" w:rsidR="00E47C67" w:rsidRDefault="00E47C67" w:rsidP="00E47C67">
      <w:pPr>
        <w:pStyle w:val="Body"/>
      </w:pPr>
      <w:r w:rsidRPr="00E47C67">
        <w:rPr>
          <w:b/>
          <w:bCs/>
        </w:rPr>
        <w:t>Part 2</w:t>
      </w:r>
      <w:r>
        <w:t xml:space="preserve"> contains a flowchart to help trusts prepare the correct expiry notice under s. 85 in a variety of situations and to identify the options available for managing the remains based on the right of interment (ROI) holder’s response.</w:t>
      </w:r>
    </w:p>
    <w:p w14:paraId="321AFF6E" w14:textId="77777777" w:rsidR="00E47C67" w:rsidRDefault="00E47C67" w:rsidP="00E47C67">
      <w:pPr>
        <w:pStyle w:val="Body"/>
      </w:pPr>
      <w:r w:rsidRPr="00E47C67">
        <w:rPr>
          <w:b/>
          <w:bCs/>
        </w:rPr>
        <w:t>Part 3</w:t>
      </w:r>
      <w:r>
        <w:t xml:space="preserve"> provides guidance on how to apply each option.</w:t>
      </w:r>
    </w:p>
    <w:p w14:paraId="50C5F354" w14:textId="77777777" w:rsidR="00E47C67" w:rsidRDefault="00E47C67" w:rsidP="00E47C67">
      <w:pPr>
        <w:pStyle w:val="Body"/>
      </w:pPr>
      <w:r>
        <w:t>Trusts should consider developing policies to ensure consistent application of these options. Trusts should also ensure that they keep comprehensive records of decisions made about veterans’ cremated remains, including the process followed to reach each decision.</w:t>
      </w:r>
    </w:p>
    <w:p w14:paraId="5514CB96" w14:textId="77777777" w:rsidR="00E47C67" w:rsidRDefault="00E47C67" w:rsidP="00E47C67">
      <w:pPr>
        <w:pStyle w:val="Heading1"/>
      </w:pPr>
      <w:r>
        <w:t>Part 1: Identifying veterans’ cremated remains</w:t>
      </w:r>
    </w:p>
    <w:p w14:paraId="19D30CD1" w14:textId="785BDCE1" w:rsidR="00E47C67" w:rsidRDefault="00E47C67" w:rsidP="00E47C67">
      <w:pPr>
        <w:pStyle w:val="Body"/>
      </w:pPr>
      <w:r>
        <w:t xml:space="preserve">A veteran is defined in s. 4 of the Act as ‘a person who has performed service or duty within the meaning of the </w:t>
      </w:r>
      <w:r w:rsidRPr="00E47C67">
        <w:rPr>
          <w:i/>
          <w:iCs/>
        </w:rPr>
        <w:t>Veterans Act 2005</w:t>
      </w:r>
      <w:r>
        <w:t>’.</w:t>
      </w:r>
      <w:r>
        <w:rPr>
          <w:rStyle w:val="FootnoteReference"/>
        </w:rPr>
        <w:footnoteReference w:id="1"/>
      </w:r>
      <w:r>
        <w:t xml:space="preserve"> </w:t>
      </w:r>
    </w:p>
    <w:p w14:paraId="509F60CD" w14:textId="77777777" w:rsidR="00E47C67" w:rsidRDefault="00E47C67" w:rsidP="00E47C67">
      <w:pPr>
        <w:pStyle w:val="Body"/>
      </w:pPr>
      <w:r>
        <w:t>Trusts could identify that a deceased person was a veteran by reference to:</w:t>
      </w:r>
    </w:p>
    <w:p w14:paraId="0D517F21" w14:textId="2CF2C674" w:rsidR="00E47C67" w:rsidRDefault="00E47C67" w:rsidP="00E47C67">
      <w:pPr>
        <w:pStyle w:val="Bullet1"/>
      </w:pPr>
      <w:r>
        <w:t>the memorial (such as an official Office of Australian War Graves memorial or the rising sun emblem)</w:t>
      </w:r>
    </w:p>
    <w:p w14:paraId="0A86C2A0" w14:textId="2FDB74F7" w:rsidR="00E47C67" w:rsidRDefault="00E47C67" w:rsidP="00E47C67">
      <w:pPr>
        <w:pStyle w:val="Bullet1"/>
      </w:pPr>
      <w:r>
        <w:t>the trust’s records, for example, where there are war-related causes of death on the death certificate</w:t>
      </w:r>
    </w:p>
    <w:p w14:paraId="6EE518FD" w14:textId="0414B157" w:rsidR="00E47C67" w:rsidRDefault="00E47C67" w:rsidP="00E47C67">
      <w:pPr>
        <w:pStyle w:val="Bullet1"/>
      </w:pPr>
      <w:r>
        <w:t>notification by family members or interested community members.</w:t>
      </w:r>
    </w:p>
    <w:p w14:paraId="1D7A38BE" w14:textId="65FC89D5" w:rsidR="00F32368" w:rsidRDefault="00E47C67" w:rsidP="00E47C67">
      <w:pPr>
        <w:pStyle w:val="Bodyafterbullets"/>
      </w:pPr>
      <w:r>
        <w:t>Trusts may require documentation to confirm a deceased individual’s veteran status; this should be requested in a sensitive and consistent manner. Trusts are not expected to make independent enquiries into whether a deceased individual might be a veteran where there is no indication of veteran status.</w:t>
      </w:r>
    </w:p>
    <w:p w14:paraId="02552E75" w14:textId="77777777" w:rsidR="00E47C67" w:rsidRDefault="00E47C67" w:rsidP="00E47C67">
      <w:pPr>
        <w:pStyle w:val="Heading1"/>
      </w:pPr>
      <w:r>
        <w:t>Part 2: Expiry notices and identifying options</w:t>
      </w:r>
    </w:p>
    <w:p w14:paraId="611F3B4A" w14:textId="18E3E94A" w:rsidR="00E47C67" w:rsidRDefault="00E47C67" w:rsidP="00E47C67">
      <w:pPr>
        <w:pStyle w:val="Body"/>
      </w:pPr>
      <w:r>
        <w:t>Section 85 of the Act requires trusts to provide notice to the ROI holder at least 12 months before a limited tenure ROI is due to expire. The information that the trust is required to include in the section 85 notice varies according to whether the trust is able to identify the deceased as a veteran, as outlined in the flowchart below. The trust’s management of the remains will be guided by the ROI holder’s response to the section 85 notice, as set out below.</w:t>
      </w:r>
    </w:p>
    <w:p w14:paraId="58D6681D" w14:textId="7E9F0A25" w:rsidR="00E47C67" w:rsidRDefault="00E47C67" w:rsidP="00F32368">
      <w:pPr>
        <w:pStyle w:val="Body"/>
      </w:pPr>
      <w:r>
        <w:rPr>
          <w:rFonts w:eastAsia="MS Gothic" w:cs="Arial"/>
          <w:bCs/>
          <w:noProof/>
          <w:color w:val="006FB7"/>
          <w:kern w:val="32"/>
          <w:sz w:val="40"/>
          <w:szCs w:val="32"/>
          <w:lang w:eastAsia="en-AU"/>
        </w:rPr>
        <w:drawing>
          <wp:inline distT="0" distB="0" distL="0" distR="0" wp14:anchorId="36553C7B" wp14:editId="4AF7D31A">
            <wp:extent cx="6479540" cy="5074285"/>
            <wp:effectExtent l="0" t="0" r="0" b="0"/>
            <wp:docPr id="3" name="Picture 3" descr="Flowchart demonstrating steps to be taken by cemetery trusts depending on whether the trust is able to identify the deceased as a vete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Flowchart demonstrating steps to be taken by cemetery trusts depending on whether the trust is able to identify the deceased as a veteran."/>
                    <pic:cNvPicPr/>
                  </pic:nvPicPr>
                  <pic:blipFill>
                    <a:blip r:embed="rId19">
                      <a:extLst>
                        <a:ext uri="{28A0092B-C50C-407E-A947-70E740481C1C}">
                          <a14:useLocalDpi xmlns:a14="http://schemas.microsoft.com/office/drawing/2010/main" val="0"/>
                        </a:ext>
                      </a:extLst>
                    </a:blip>
                    <a:stretch>
                      <a:fillRect/>
                    </a:stretch>
                  </pic:blipFill>
                  <pic:spPr>
                    <a:xfrm>
                      <a:off x="0" y="0"/>
                      <a:ext cx="6479540" cy="5074285"/>
                    </a:xfrm>
                    <a:prstGeom prst="rect">
                      <a:avLst/>
                    </a:prstGeom>
                  </pic:spPr>
                </pic:pic>
              </a:graphicData>
            </a:graphic>
          </wp:inline>
        </w:drawing>
      </w:r>
    </w:p>
    <w:p w14:paraId="35ACBFF5" w14:textId="4CC42CBD" w:rsidR="00E47C67" w:rsidRDefault="00E47C67" w:rsidP="00F32368">
      <w:pPr>
        <w:pStyle w:val="Body"/>
      </w:pPr>
    </w:p>
    <w:p w14:paraId="4F904C3E" w14:textId="77777777" w:rsidR="00E47C67" w:rsidRDefault="00E47C67" w:rsidP="00E47C67">
      <w:pPr>
        <w:pStyle w:val="Heading1"/>
      </w:pPr>
      <w:r>
        <w:t>Part 3: Options for managing veterans’ cremated remains</w:t>
      </w:r>
    </w:p>
    <w:p w14:paraId="6DC9BC9D" w14:textId="77777777" w:rsidR="00E47C67" w:rsidRDefault="00E47C67" w:rsidP="00E47C67">
      <w:pPr>
        <w:pStyle w:val="Heading2"/>
      </w:pPr>
      <w:r>
        <w:t>3.1 Allowing a veteran’s cremated remains to remain interred in perpetuity</w:t>
      </w:r>
    </w:p>
    <w:p w14:paraId="6F55C7EC" w14:textId="77777777" w:rsidR="00E47C67" w:rsidRDefault="00E47C67" w:rsidP="00E47C67">
      <w:pPr>
        <w:pStyle w:val="Body"/>
      </w:pPr>
      <w:r>
        <w:t>Where possible, when the ROI holder has not taken action in response to a section 85 notice relating to the cremated remains of an identified veteran, trusts should leave the remains in place. The trust should update its records to reflect that the remains are now interred in perpetuity and that the trust is now the holder of the perpetual ROI.</w:t>
      </w:r>
    </w:p>
    <w:p w14:paraId="1CF524D5" w14:textId="7EA53BB9" w:rsidR="00E47C67" w:rsidRDefault="00E47C67" w:rsidP="00E47C67">
      <w:pPr>
        <w:pStyle w:val="Body"/>
      </w:pPr>
      <w:r>
        <w:t>However, trusts should also consider any views expressed by family members who are not ROI holders, or who are ROI holders who have refused to take action under the notice. Family members might prefer that the remains are relocated for perpetual interment (for example, to be near other family members). Trusts are not required to actively seek out these views (other than via the section 85 notice), are not bound by these views and should consider developing a policy setting out how these views will be considered.</w:t>
      </w:r>
    </w:p>
    <w:p w14:paraId="3D1E2E61" w14:textId="77777777" w:rsidR="00E47C67" w:rsidRDefault="00E47C67" w:rsidP="00E47C67">
      <w:pPr>
        <w:pStyle w:val="Heading2"/>
      </w:pPr>
      <w:r>
        <w:t>3.2 Moving an identified veteran’s cremated remains to an alternative location</w:t>
      </w:r>
    </w:p>
    <w:p w14:paraId="49E60E96" w14:textId="77777777" w:rsidR="00E47C67" w:rsidRDefault="00E47C67" w:rsidP="00E47C67">
      <w:pPr>
        <w:pStyle w:val="Body"/>
      </w:pPr>
      <w:r>
        <w:t>As an alternative to leaving the remains in place in perpetuity, trusts may relocate the cremated remains of identified veterans to another place of interment where no action has been taken by the ROI holder in response to the section 85 notice.</w:t>
      </w:r>
    </w:p>
    <w:p w14:paraId="19CA780C" w14:textId="77777777" w:rsidR="00E47C67" w:rsidRDefault="00E47C67" w:rsidP="00E47C67">
      <w:pPr>
        <w:pStyle w:val="Body"/>
      </w:pPr>
      <w:r>
        <w:t>However, it is expected that this option would only be used where it is not possible or viable to leave the remains interred in perpetuity at their original location, or where requested by family members as described above at 3.1.</w:t>
      </w:r>
    </w:p>
    <w:p w14:paraId="076C18E3" w14:textId="77777777" w:rsidR="00E47C67" w:rsidRDefault="00E47C67" w:rsidP="00E47C67">
      <w:pPr>
        <w:pStyle w:val="Body"/>
      </w:pPr>
      <w:r>
        <w:t>The ROI for the place of interment to which the remains are relocated is perpetual and held by the cemetery trust.</w:t>
      </w:r>
    </w:p>
    <w:p w14:paraId="59037C9A" w14:textId="77777777" w:rsidR="00E47C67" w:rsidRDefault="00E47C67" w:rsidP="00E47C67">
      <w:pPr>
        <w:pStyle w:val="Heading2"/>
      </w:pPr>
      <w:r>
        <w:t>3.3 Moving other remains with an identified veteran’s cremated remains</w:t>
      </w:r>
    </w:p>
    <w:p w14:paraId="75D00C5D" w14:textId="206A6D41" w:rsidR="00E47C67" w:rsidRDefault="00E47C67" w:rsidP="00E47C67">
      <w:pPr>
        <w:pStyle w:val="Body"/>
      </w:pPr>
      <w:r>
        <w:t>The Act allows trusts that move an identified veteran’s cremated remains to also move any cremated remains that were interred with the identified veteran’s remains or any cremated remains of a family member that were interred in the vicinity of the identified veteran’s remains (‘the other remains’).</w:t>
      </w:r>
    </w:p>
    <w:p w14:paraId="4977459E" w14:textId="77777777" w:rsidR="00E47C67" w:rsidRDefault="00E47C67" w:rsidP="00E47C67">
      <w:pPr>
        <w:pStyle w:val="Body"/>
      </w:pPr>
      <w:r>
        <w:t>This allows trusts to ensure that, in managing an identified veteran’s remains, they do not separate those remains from the remains of the veteran’s loved ones.</w:t>
      </w:r>
    </w:p>
    <w:p w14:paraId="7FB6A5B9" w14:textId="77777777" w:rsidR="00E47C67" w:rsidRDefault="00E47C67" w:rsidP="00E47C67">
      <w:pPr>
        <w:pStyle w:val="Body"/>
      </w:pPr>
      <w:r>
        <w:t>If the other remains are interred in a separate place of interment, the ROI holder might not be the same person who holds the ROI for the veteran’s remains. Therefore, s. 86(5) of the Act provides that other remains may only be moved after appropriate notice to the holder of the ROI for the other remains.</w:t>
      </w:r>
    </w:p>
    <w:p w14:paraId="1D00968E" w14:textId="77777777" w:rsidR="00E47C67" w:rsidRDefault="00E47C67" w:rsidP="00E47C67">
      <w:pPr>
        <w:pStyle w:val="Body"/>
      </w:pPr>
      <w:r>
        <w:t>If the other remains are interred for a limited tenure, the appropriate notice is a section 85 notice. If the other remains are interred for a perpetual tenure, the notice must seek the consent of each holder to the proposed movement of the remains.</w:t>
      </w:r>
    </w:p>
    <w:p w14:paraId="3A9C923D" w14:textId="77777777" w:rsidR="00E47C67" w:rsidRDefault="00E47C67" w:rsidP="00E47C67">
      <w:pPr>
        <w:pStyle w:val="Heading2"/>
      </w:pPr>
      <w:r>
        <w:t>3.4 Memorialisation</w:t>
      </w:r>
    </w:p>
    <w:p w14:paraId="23A30108" w14:textId="77777777" w:rsidR="00E47C67" w:rsidRDefault="00E47C67" w:rsidP="00E47C67">
      <w:pPr>
        <w:pStyle w:val="Body"/>
      </w:pPr>
      <w:r>
        <w:t>If a trust relocates the cremated remains of an identified veteran (and any other remains as set out above), the trust should also relocate any associated memorial where practicable. Where this is not practicable (for example, because a plaque will not fit at the new place of interment) the trust should establish a new equivalent memorial.</w:t>
      </w:r>
    </w:p>
    <w:p w14:paraId="3F6B65B3" w14:textId="77777777" w:rsidR="00E47C67" w:rsidRDefault="00E47C67" w:rsidP="00E47C67">
      <w:pPr>
        <w:pStyle w:val="Body"/>
      </w:pPr>
      <w:r>
        <w:t>Section 110A of the Act allows trusts to expend cemetery funds for the maintenance, repair or restoration of memorials for the cremated remains of identified veterans, or the establishment of a memorial that is equivalent to the memorial it replaces.</w:t>
      </w:r>
    </w:p>
    <w:p w14:paraId="16295D0C" w14:textId="77777777" w:rsidR="00E47C67" w:rsidRDefault="00E47C67" w:rsidP="00E47C67">
      <w:pPr>
        <w:pStyle w:val="Body"/>
      </w:pPr>
      <w:r>
        <w:t>It is therefore expected that trusts would bear the costs of memorialisation associated with relocating the cremated remains of identified veterans, such as repairing a plaque that is damaged during the relocation, or establishing a new equivalent memorial for a plaque that is damaged beyond repair or does not fit the new location.</w:t>
      </w:r>
    </w:p>
    <w:p w14:paraId="4BE340BE" w14:textId="77777777" w:rsidR="00E47C67" w:rsidRDefault="00E47C67" w:rsidP="00E47C67">
      <w:pPr>
        <w:pStyle w:val="Body"/>
      </w:pPr>
      <w:r>
        <w:t>There is no power to expend trusts’ funds on memorialisation for other remains that are relocated with an identified veteran’s cremated remains; however, under s. 110A trusts could establish a combined memorial for the veteran and the other remains.</w:t>
      </w:r>
    </w:p>
    <w:p w14:paraId="38040EB5" w14:textId="1585C1F3" w:rsidR="00E47C67" w:rsidRDefault="00E47C67" w:rsidP="00E47C67">
      <w:pPr>
        <w:pStyle w:val="Body"/>
      </w:pPr>
      <w:r>
        <w:t>Section 110A is intended to apply in conjunction with trusts’ powers to remove and re-establish or replace memorials under s. 86 of the Act, when relocating veterans’ cremated remains. It is not expected that trusts would use s. 110A to bear the costs of memorialisation associated with identified veterans’ remains in any other circumstances.</w:t>
      </w:r>
    </w:p>
    <w:p w14:paraId="0EB501E2" w14:textId="77777777" w:rsidR="00E47C67" w:rsidRDefault="00E47C67" w:rsidP="00E47C67">
      <w:pPr>
        <w:pStyle w:val="Heading2"/>
      </w:pPr>
      <w:r>
        <w:t>3.5 General management of limited tenure cremated remains</w:t>
      </w:r>
    </w:p>
    <w:p w14:paraId="5116038E" w14:textId="77777777" w:rsidR="00E47C67" w:rsidRDefault="00E47C67" w:rsidP="00E47C67">
      <w:pPr>
        <w:pStyle w:val="Body"/>
      </w:pPr>
      <w:r>
        <w:t>Section 86(2) of the Act allows for trusts to leave cremated remains interred or convert their tenure to perpetuity after their limited tenure interment expires, where the trust has sent a notification under s. 85 and no action has been taken by the ROI holder within the time limit specified in the notice.</w:t>
      </w:r>
    </w:p>
    <w:p w14:paraId="5493513A" w14:textId="77777777" w:rsidR="00E47C67" w:rsidRDefault="00E47C67" w:rsidP="00E47C67">
      <w:pPr>
        <w:pStyle w:val="Body"/>
      </w:pPr>
      <w:r>
        <w:t>This applies to all limited tenure cremated remains, not only remains of identified veterans.</w:t>
      </w:r>
    </w:p>
    <w:p w14:paraId="329FF477" w14:textId="77777777" w:rsidR="00E47C67" w:rsidRDefault="00E47C67" w:rsidP="00E47C67">
      <w:pPr>
        <w:pStyle w:val="Body"/>
      </w:pPr>
      <w:r>
        <w:t>Unlike the provisions relating to identified veterans, s. 86(2) allows trusts to leave the remains interred without necessarily converting the tenure to perpetuity. This creates flexibility if, for example, trusts wish to implement a policy of allowing a longer grace period before disinterring cremated remains.</w:t>
      </w:r>
    </w:p>
    <w:p w14:paraId="23F127BD" w14:textId="2DEE242A" w:rsidR="00E47C67" w:rsidRDefault="00E47C67" w:rsidP="00E47C67">
      <w:pPr>
        <w:pStyle w:val="Body"/>
      </w:pPr>
      <w:r>
        <w:t>In deciding whether to exercise the powers under s. 86(2), trusts should consider their financial responsibilities, particularly the obligation to maintain sufficient perpetual maintenance reserves. If trusts choose to exercise this power, they should do so consistently and in accordance with a written policy.</w:t>
      </w:r>
    </w:p>
    <w:p w14:paraId="23EE3906" w14:textId="1FC9C58F" w:rsidR="00FA1211" w:rsidRDefault="00FA1211" w:rsidP="00FA1211">
      <w:pPr>
        <w:pStyle w:val="Body"/>
        <w:spacing w:after="1560"/>
      </w:pPr>
    </w:p>
    <w:tbl>
      <w:tblPr>
        <w:tblStyle w:val="TableGrid"/>
        <w:tblW w:w="0" w:type="auto"/>
        <w:tblCellMar>
          <w:bottom w:w="108" w:type="dxa"/>
        </w:tblCellMar>
        <w:tblLook w:val="0600" w:firstRow="0" w:lastRow="0" w:firstColumn="0" w:lastColumn="0" w:noHBand="1" w:noVBand="1"/>
      </w:tblPr>
      <w:tblGrid>
        <w:gridCol w:w="10194"/>
      </w:tblGrid>
      <w:tr w:rsidR="00FA1211" w14:paraId="0F468827" w14:textId="77777777" w:rsidTr="007451F5">
        <w:tc>
          <w:tcPr>
            <w:tcW w:w="10194" w:type="dxa"/>
          </w:tcPr>
          <w:p w14:paraId="22672D75" w14:textId="77777777" w:rsidR="00FA1211" w:rsidRPr="0055119B" w:rsidRDefault="00FA1211" w:rsidP="007451F5">
            <w:pPr>
              <w:pStyle w:val="Accessibilitypara"/>
              <w:spacing w:before="120"/>
            </w:pPr>
            <w:bookmarkStart w:id="1" w:name="_Hlk37240926"/>
            <w:bookmarkEnd w:id="0"/>
            <w:r w:rsidRPr="0055119B">
              <w:t>To receive this document in another format</w:t>
            </w:r>
            <w:r>
              <w:t>,</w:t>
            </w:r>
            <w:r w:rsidRPr="0055119B">
              <w:t xml:space="preserve"> </w:t>
            </w:r>
            <w:r w:rsidRPr="00525836">
              <w:t xml:space="preserve">phone 1800 034 280, using </w:t>
            </w:r>
            <w:r w:rsidRPr="0055119B">
              <w:t xml:space="preserve">the National Relay Service 13 36 77 if required, or </w:t>
            </w:r>
            <w:hyperlink r:id="rId20" w:history="1">
              <w:r>
                <w:rPr>
                  <w:rStyle w:val="Hyperlink"/>
                  <w:u w:val="none"/>
                </w:rPr>
                <w:t>email the Cemetery Sector Governance Support Unit</w:t>
              </w:r>
            </w:hyperlink>
            <w:r w:rsidRPr="0055119B">
              <w:rPr>
                <w:color w:val="004C97"/>
              </w:rPr>
              <w:t xml:space="preserve"> </w:t>
            </w:r>
            <w:r w:rsidRPr="0055119B">
              <w:t>&lt;</w:t>
            </w:r>
            <w:r>
              <w:t>cemeteries@health.vic.gov.au</w:t>
            </w:r>
            <w:r w:rsidRPr="0055119B">
              <w:t>&gt;.</w:t>
            </w:r>
          </w:p>
          <w:p w14:paraId="6B47AA68" w14:textId="77777777" w:rsidR="00FA1211" w:rsidRPr="0055119B" w:rsidRDefault="00FA1211" w:rsidP="007451F5">
            <w:pPr>
              <w:pStyle w:val="Imprint"/>
            </w:pPr>
            <w:r w:rsidRPr="0055119B">
              <w:t>Authorised and published by the Victorian Government, 1 Treasury Place, Melbourne.</w:t>
            </w:r>
          </w:p>
          <w:p w14:paraId="37614DDE" w14:textId="77777777" w:rsidR="00FA1211" w:rsidRPr="0055119B" w:rsidRDefault="00FA1211" w:rsidP="007451F5">
            <w:pPr>
              <w:pStyle w:val="Imprint"/>
            </w:pPr>
            <w:r w:rsidRPr="0055119B">
              <w:t xml:space="preserve">© State of Victoria, Australia, </w:t>
            </w:r>
            <w:r w:rsidRPr="001E2A36">
              <w:t>Department of Health</w:t>
            </w:r>
            <w:r w:rsidRPr="0055119B">
              <w:t xml:space="preserve">, </w:t>
            </w:r>
            <w:r>
              <w:rPr>
                <w:color w:val="auto"/>
              </w:rPr>
              <w:t>August</w:t>
            </w:r>
            <w:r w:rsidRPr="00E30AC2">
              <w:rPr>
                <w:color w:val="auto"/>
              </w:rPr>
              <w:t xml:space="preserve"> 2021</w:t>
            </w:r>
            <w:r w:rsidRPr="0055119B">
              <w:t>.</w:t>
            </w:r>
          </w:p>
          <w:p w14:paraId="2AF521AE" w14:textId="19F92C76" w:rsidR="00FA1211" w:rsidRPr="00F51C4A" w:rsidRDefault="00FA1211" w:rsidP="007451F5">
            <w:pPr>
              <w:pStyle w:val="DHHSbody"/>
            </w:pPr>
            <w:r w:rsidRPr="003B311B">
              <w:rPr>
                <w:rFonts w:cs="Arial"/>
                <w:bCs/>
                <w:color w:val="000000"/>
              </w:rPr>
              <w:t xml:space="preserve">ISBN </w:t>
            </w:r>
            <w:r w:rsidRPr="00FA1211">
              <w:t>978-1-76069-611-5</w:t>
            </w:r>
            <w:r w:rsidRPr="003B311B">
              <w:rPr>
                <w:rFonts w:cs="Arial"/>
                <w:bCs/>
                <w:color w:val="000000"/>
              </w:rPr>
              <w:t xml:space="preserve"> (pdf/online/MS word) </w:t>
            </w:r>
          </w:p>
          <w:p w14:paraId="1919D67F" w14:textId="040F8A27" w:rsidR="00FA1211" w:rsidRPr="008F11E0" w:rsidRDefault="00FA1211" w:rsidP="007451F5">
            <w:pPr>
              <w:pStyle w:val="DHHSbody"/>
              <w:rPr>
                <w:rFonts w:cs="Arial"/>
                <w:bCs/>
                <w:color w:val="000000"/>
              </w:rPr>
            </w:pPr>
            <w:r w:rsidRPr="008F11E0">
              <w:rPr>
                <w:rFonts w:cs="Arial"/>
                <w:bCs/>
                <w:color w:val="000000"/>
              </w:rPr>
              <w:t xml:space="preserve">Available at </w:t>
            </w:r>
            <w:hyperlink r:id="rId21" w:history="1">
              <w:r w:rsidRPr="008F11E0">
                <w:rPr>
                  <w:rStyle w:val="Hyperlink"/>
                  <w:u w:val="none"/>
                </w:rPr>
                <w:t>health.vic</w:t>
              </w:r>
            </w:hyperlink>
            <w:r w:rsidRPr="008F11E0">
              <w:rPr>
                <w:rFonts w:cs="Arial"/>
                <w:bCs/>
                <w:color w:val="000000"/>
              </w:rPr>
              <w:t xml:space="preserve"> </w:t>
            </w:r>
            <w:r>
              <w:rPr>
                <w:rFonts w:cs="Arial"/>
                <w:bCs/>
                <w:color w:val="000000"/>
              </w:rPr>
              <w:t>&lt;</w:t>
            </w:r>
            <w:r w:rsidRPr="00FA1211">
              <w:rPr>
                <w:rFonts w:cs="Arial"/>
                <w:bCs/>
                <w:color w:val="000000"/>
              </w:rPr>
              <w:t>https://www2.health.vic.gov.au/public-health/cemeteries-and-crematoria/interments-and-memorials/veterans-cremated-remains</w:t>
            </w:r>
            <w:r>
              <w:rPr>
                <w:rFonts w:cs="Arial"/>
                <w:bCs/>
                <w:color w:val="000000"/>
              </w:rPr>
              <w:t>&gt;</w:t>
            </w:r>
            <w:r w:rsidRPr="008F11E0">
              <w:rPr>
                <w:rFonts w:cs="Arial"/>
                <w:bCs/>
                <w:color w:val="000000"/>
              </w:rPr>
              <w:t xml:space="preserve"> </w:t>
            </w:r>
          </w:p>
        </w:tc>
      </w:tr>
      <w:bookmarkEnd w:id="1"/>
    </w:tbl>
    <w:p w14:paraId="1AACD1E6" w14:textId="29544EFE" w:rsidR="00FA1211" w:rsidRPr="00FA1211" w:rsidRDefault="00FA1211" w:rsidP="00FA1211">
      <w:pPr>
        <w:pStyle w:val="Body"/>
        <w:spacing w:after="0" w:line="240" w:lineRule="auto"/>
        <w:rPr>
          <w:sz w:val="10"/>
          <w:szCs w:val="8"/>
        </w:rPr>
      </w:pPr>
    </w:p>
    <w:sectPr w:rsidR="00FA1211" w:rsidRPr="00FA1211" w:rsidSect="00E62622">
      <w:footerReference w:type="default" r:id="rId22"/>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52C16" w14:textId="77777777" w:rsidR="00E47C67" w:rsidRDefault="00E47C67">
      <w:r>
        <w:separator/>
      </w:r>
    </w:p>
  </w:endnote>
  <w:endnote w:type="continuationSeparator" w:id="0">
    <w:p w14:paraId="786AB4C4" w14:textId="77777777" w:rsidR="00E47C67" w:rsidRDefault="00E47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4869F" w14:textId="77777777" w:rsidR="00FA1211" w:rsidRDefault="00FA12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D716A" w14:textId="77777777" w:rsidR="00E261B3" w:rsidRPr="00F65AA9" w:rsidRDefault="0072251A" w:rsidP="00F84FA0">
    <w:pPr>
      <w:pStyle w:val="Footer"/>
    </w:pPr>
    <w:r>
      <w:rPr>
        <w:noProof/>
        <w:lang w:eastAsia="en-AU"/>
      </w:rPr>
      <w:drawing>
        <wp:anchor distT="0" distB="0" distL="114300" distR="114300" simplePos="0" relativeHeight="251674112" behindDoc="1" locked="1" layoutInCell="1" allowOverlap="1" wp14:anchorId="7A7E47C4" wp14:editId="59943412">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68992" behindDoc="0" locked="0" layoutInCell="0" allowOverlap="1" wp14:anchorId="259E78C6" wp14:editId="4B8BFC6D">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2B22F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9E78C6"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" o:allowincell="f" filled="f" stroked="f" strokeweight=".5pt">
              <v:textbox inset=",0,,0">
                <w:txbxContent>
                  <w:p w14:paraId="422B22F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77CEC" w14:textId="77777777" w:rsidR="00E261B3" w:rsidRDefault="00E261B3">
    <w:pPr>
      <w:pStyle w:val="Footer"/>
    </w:pPr>
    <w:r>
      <w:rPr>
        <w:noProof/>
      </w:rPr>
      <mc:AlternateContent>
        <mc:Choice Requires="wps">
          <w:drawing>
            <wp:anchor distT="0" distB="0" distL="114300" distR="114300" simplePos="1" relativeHeight="251670016" behindDoc="0" locked="0" layoutInCell="0" allowOverlap="1" wp14:anchorId="545FB9CA" wp14:editId="77674C34">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C0A938"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5FB9CA"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BoQpgUrgIAAE4FAAAOAAAA&#10;AAAAAAAAAAAAAC4CAABkcnMvZTJvRG9jLnhtbFBLAQItABQABgAIAAAAIQBIDV6a3wAAAAsBAAAP&#10;AAAAAAAAAAAAAAAAAAgFAABkcnMvZG93bnJldi54bWxQSwUGAAAAAAQABADzAAAAFAYAAAAA&#10;" o:allowincell="f" filled="f" stroked="f" strokeweight=".5pt">
              <v:textbox inset=",0,,0">
                <w:txbxContent>
                  <w:p w14:paraId="2EC0A938"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162C8" w14:textId="77777777" w:rsidR="00373890" w:rsidRPr="00F65AA9" w:rsidRDefault="00B07FF7" w:rsidP="00F84FA0">
    <w:pPr>
      <w:pStyle w:val="Footer"/>
    </w:pPr>
    <w:r>
      <w:rPr>
        <w:noProof/>
      </w:rPr>
      <mc:AlternateContent>
        <mc:Choice Requires="wps">
          <w:drawing>
            <wp:anchor distT="0" distB="0" distL="114300" distR="114300" simplePos="0" relativeHeight="251675136" behindDoc="0" locked="0" layoutInCell="0" allowOverlap="1" wp14:anchorId="50E34E37" wp14:editId="3B3C8067">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F88290"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E34E37" id="_x0000_t202" coordsize="21600,21600" o:spt="202" path="m,l,21600r21600,l21600,xe">
              <v:stroke joinstyle="miter"/>
              <v:path gradientshapeok="t" o:connecttype="rect"/>
            </v:shapetype>
            <v:shape id="MSIPCMf473436da8889006ed5648e0"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AkqScOwAgAATAUAAA4A&#10;AAAAAAAAAAAAAAAALgIAAGRycy9lMm9Eb2MueG1sUEsBAi0AFAAGAAgAAAAhAEgNXprfAAAACwEA&#10;AA8AAAAAAAAAAAAAAAAACgUAAGRycy9kb3ducmV2LnhtbFBLBQYAAAAABAAEAPMAAAAWBgAAAAA=&#10;" o:allowincell="f" filled="f" stroked="f" strokeweight=".5pt">
              <v:textbox inset=",0,,0">
                <w:txbxContent>
                  <w:p w14:paraId="1DF88290"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774CB" w14:textId="77777777" w:rsidR="00E47C67" w:rsidRDefault="00E47C67" w:rsidP="002862F1">
      <w:pPr>
        <w:spacing w:before="120"/>
      </w:pPr>
      <w:r>
        <w:separator/>
      </w:r>
    </w:p>
  </w:footnote>
  <w:footnote w:type="continuationSeparator" w:id="0">
    <w:p w14:paraId="1066CF6E" w14:textId="77777777" w:rsidR="00E47C67" w:rsidRDefault="00E47C67">
      <w:r>
        <w:continuationSeparator/>
      </w:r>
    </w:p>
  </w:footnote>
  <w:footnote w:id="1">
    <w:p w14:paraId="4F2B6727" w14:textId="77777777" w:rsidR="00E47C67" w:rsidRPr="001008F2" w:rsidRDefault="00E47C67" w:rsidP="00E47C67">
      <w:pPr>
        <w:pStyle w:val="FootnoteText"/>
        <w:spacing w:before="20" w:after="20"/>
      </w:pPr>
      <w:r>
        <w:rPr>
          <w:rStyle w:val="FootnoteReference"/>
        </w:rPr>
        <w:footnoteRef/>
      </w:r>
      <w:r>
        <w:t xml:space="preserve"> </w:t>
      </w:r>
      <w:r w:rsidRPr="001008F2">
        <w:t xml:space="preserve">The </w:t>
      </w:r>
      <w:r w:rsidRPr="001008F2">
        <w:rPr>
          <w:i/>
        </w:rPr>
        <w:t>Veterans Act 2005</w:t>
      </w:r>
      <w:r w:rsidRPr="001008F2">
        <w:t xml:space="preserve"> defines service or duty as:</w:t>
      </w:r>
    </w:p>
    <w:p w14:paraId="4F21149D" w14:textId="77777777" w:rsidR="00E47C67" w:rsidRPr="001008F2" w:rsidRDefault="00E47C67" w:rsidP="00E47C67">
      <w:pPr>
        <w:pStyle w:val="FootnoteText"/>
        <w:spacing w:before="20" w:after="20"/>
      </w:pPr>
      <w:r w:rsidRPr="001008F2">
        <w:t>(a) any naval, military or air service in any proclaimed war; or</w:t>
      </w:r>
    </w:p>
    <w:p w14:paraId="4320B5E2" w14:textId="77777777" w:rsidR="00E47C67" w:rsidRPr="001008F2" w:rsidRDefault="00E47C67" w:rsidP="00E47C67">
      <w:pPr>
        <w:pStyle w:val="FootnoteText"/>
        <w:spacing w:before="20" w:after="20"/>
      </w:pPr>
      <w:r w:rsidRPr="001008F2">
        <w:t xml:space="preserve">(b) any special defence undertaking within the meaning of section 6 of the </w:t>
      </w:r>
      <w:r w:rsidRPr="001008F2">
        <w:rPr>
          <w:i/>
        </w:rPr>
        <w:t>Defence (Special Undertakings) Act 1952</w:t>
      </w:r>
      <w:r w:rsidRPr="001008F2">
        <w:t xml:space="preserve"> of the Commonwealth; or</w:t>
      </w:r>
    </w:p>
    <w:p w14:paraId="58EE79B0" w14:textId="77777777" w:rsidR="00E47C67" w:rsidRPr="001008F2" w:rsidRDefault="00E47C67" w:rsidP="00E47C67">
      <w:pPr>
        <w:pStyle w:val="FootnoteText"/>
        <w:spacing w:before="20" w:after="20"/>
      </w:pPr>
      <w:r w:rsidRPr="001008F2">
        <w:t>(c) any peacetime activities, including peace keeping activities; or</w:t>
      </w:r>
    </w:p>
    <w:p w14:paraId="7735A62F" w14:textId="1ED8072F" w:rsidR="00E47C67" w:rsidRDefault="00E47C67" w:rsidP="00E47C67">
      <w:pPr>
        <w:pStyle w:val="FootnoteText"/>
      </w:pPr>
      <w:r w:rsidRPr="001008F2">
        <w:t>(d) any training activities, including activities conducted in conditions simulat</w:t>
      </w:r>
      <w:r>
        <w:t>ing war or war-like activities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7B0EA" w14:textId="77777777" w:rsidR="00FA1211" w:rsidRDefault="00FA12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50DB4"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63B24" w14:textId="77777777" w:rsidR="00FA1211" w:rsidRDefault="00FA12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E5A7D" w14:textId="02046E6E" w:rsidR="00E261B3" w:rsidRPr="0051568D" w:rsidRDefault="00E47C67" w:rsidP="0011701A">
    <w:pPr>
      <w:pStyle w:val="Header"/>
    </w:pPr>
    <w:r w:rsidRPr="00E47C67">
      <w:t>Managing the limited tenure cremated remains of veterans</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C67"/>
    <w:rsid w:val="00000719"/>
    <w:rsid w:val="00003403"/>
    <w:rsid w:val="00005347"/>
    <w:rsid w:val="000072B6"/>
    <w:rsid w:val="0001021B"/>
    <w:rsid w:val="00011D89"/>
    <w:rsid w:val="000154FD"/>
    <w:rsid w:val="00016FBF"/>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35C6"/>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E0970"/>
    <w:rsid w:val="000E1910"/>
    <w:rsid w:val="000E3CC7"/>
    <w:rsid w:val="000E6BD4"/>
    <w:rsid w:val="000E6D6D"/>
    <w:rsid w:val="000F1F1E"/>
    <w:rsid w:val="000F2259"/>
    <w:rsid w:val="000F2DDA"/>
    <w:rsid w:val="000F5213"/>
    <w:rsid w:val="00101001"/>
    <w:rsid w:val="00103276"/>
    <w:rsid w:val="0010392D"/>
    <w:rsid w:val="0010447F"/>
    <w:rsid w:val="00104FE3"/>
    <w:rsid w:val="0010714F"/>
    <w:rsid w:val="001120C5"/>
    <w:rsid w:val="0011701A"/>
    <w:rsid w:val="00120BD3"/>
    <w:rsid w:val="00122FEA"/>
    <w:rsid w:val="001232BD"/>
    <w:rsid w:val="00124ED5"/>
    <w:rsid w:val="001276FA"/>
    <w:rsid w:val="0014255B"/>
    <w:rsid w:val="001447B3"/>
    <w:rsid w:val="00152073"/>
    <w:rsid w:val="00154E2D"/>
    <w:rsid w:val="00156598"/>
    <w:rsid w:val="00161939"/>
    <w:rsid w:val="00161AA0"/>
    <w:rsid w:val="00161D2E"/>
    <w:rsid w:val="00161F3E"/>
    <w:rsid w:val="00162093"/>
    <w:rsid w:val="00162CA9"/>
    <w:rsid w:val="00165459"/>
    <w:rsid w:val="00165A57"/>
    <w:rsid w:val="001712C2"/>
    <w:rsid w:val="00172BAF"/>
    <w:rsid w:val="001771DD"/>
    <w:rsid w:val="00177995"/>
    <w:rsid w:val="00177A8C"/>
    <w:rsid w:val="00186B33"/>
    <w:rsid w:val="00192F9D"/>
    <w:rsid w:val="00196EB8"/>
    <w:rsid w:val="00196EFB"/>
    <w:rsid w:val="001979FF"/>
    <w:rsid w:val="00197B17"/>
    <w:rsid w:val="001A1950"/>
    <w:rsid w:val="001A1C54"/>
    <w:rsid w:val="001A3ACE"/>
    <w:rsid w:val="001B058F"/>
    <w:rsid w:val="001B738B"/>
    <w:rsid w:val="001C09DB"/>
    <w:rsid w:val="001C277E"/>
    <w:rsid w:val="001C2A72"/>
    <w:rsid w:val="001C31B7"/>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0107"/>
    <w:rsid w:val="002F3D32"/>
    <w:rsid w:val="002F5F31"/>
    <w:rsid w:val="002F5F46"/>
    <w:rsid w:val="00302216"/>
    <w:rsid w:val="00303E53"/>
    <w:rsid w:val="00305CC1"/>
    <w:rsid w:val="00306E5F"/>
    <w:rsid w:val="00307E14"/>
    <w:rsid w:val="00314054"/>
    <w:rsid w:val="00315BD8"/>
    <w:rsid w:val="00316F27"/>
    <w:rsid w:val="003214F1"/>
    <w:rsid w:val="00322E4B"/>
    <w:rsid w:val="00327870"/>
    <w:rsid w:val="0033259D"/>
    <w:rsid w:val="003333D2"/>
    <w:rsid w:val="003406C6"/>
    <w:rsid w:val="003418CC"/>
    <w:rsid w:val="003459BD"/>
    <w:rsid w:val="00350D38"/>
    <w:rsid w:val="00351B36"/>
    <w:rsid w:val="00357B4E"/>
    <w:rsid w:val="003716FD"/>
    <w:rsid w:val="0037204B"/>
    <w:rsid w:val="00373890"/>
    <w:rsid w:val="003744CF"/>
    <w:rsid w:val="00374717"/>
    <w:rsid w:val="0037676C"/>
    <w:rsid w:val="00381043"/>
    <w:rsid w:val="003829E5"/>
    <w:rsid w:val="00386109"/>
    <w:rsid w:val="00386944"/>
    <w:rsid w:val="00387225"/>
    <w:rsid w:val="003956CC"/>
    <w:rsid w:val="00395C9A"/>
    <w:rsid w:val="003A0853"/>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375C"/>
    <w:rsid w:val="003E4086"/>
    <w:rsid w:val="003E639E"/>
    <w:rsid w:val="003E71E5"/>
    <w:rsid w:val="003F0445"/>
    <w:rsid w:val="003F0CF0"/>
    <w:rsid w:val="003F14B1"/>
    <w:rsid w:val="003F2B20"/>
    <w:rsid w:val="003F3289"/>
    <w:rsid w:val="003F5CB9"/>
    <w:rsid w:val="004013C7"/>
    <w:rsid w:val="00401FCF"/>
    <w:rsid w:val="0040248F"/>
    <w:rsid w:val="00406285"/>
    <w:rsid w:val="004112C6"/>
    <w:rsid w:val="004148F9"/>
    <w:rsid w:val="00414D4A"/>
    <w:rsid w:val="0042084E"/>
    <w:rsid w:val="00421EEF"/>
    <w:rsid w:val="00424D6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F86"/>
    <w:rsid w:val="00490746"/>
    <w:rsid w:val="00490852"/>
    <w:rsid w:val="00491C9C"/>
    <w:rsid w:val="00492F30"/>
    <w:rsid w:val="004946F4"/>
    <w:rsid w:val="0049487E"/>
    <w:rsid w:val="004A160D"/>
    <w:rsid w:val="004A3E81"/>
    <w:rsid w:val="004A4195"/>
    <w:rsid w:val="004A5C62"/>
    <w:rsid w:val="004A5CE5"/>
    <w:rsid w:val="004A707D"/>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568D"/>
    <w:rsid w:val="00526AC7"/>
    <w:rsid w:val="00526C15"/>
    <w:rsid w:val="00536395"/>
    <w:rsid w:val="00536499"/>
    <w:rsid w:val="00543903"/>
    <w:rsid w:val="00543F11"/>
    <w:rsid w:val="00546305"/>
    <w:rsid w:val="00547A95"/>
    <w:rsid w:val="0055119B"/>
    <w:rsid w:val="005548B5"/>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605908"/>
    <w:rsid w:val="00610D7C"/>
    <w:rsid w:val="00613414"/>
    <w:rsid w:val="00620154"/>
    <w:rsid w:val="0062408D"/>
    <w:rsid w:val="006240CC"/>
    <w:rsid w:val="00624940"/>
    <w:rsid w:val="006254F8"/>
    <w:rsid w:val="00627DA7"/>
    <w:rsid w:val="00630DA4"/>
    <w:rsid w:val="00632597"/>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7574"/>
    <w:rsid w:val="0068454C"/>
    <w:rsid w:val="00691B62"/>
    <w:rsid w:val="006933B5"/>
    <w:rsid w:val="00693D14"/>
    <w:rsid w:val="00696F27"/>
    <w:rsid w:val="006A18C2"/>
    <w:rsid w:val="006A3383"/>
    <w:rsid w:val="006B077C"/>
    <w:rsid w:val="006B6803"/>
    <w:rsid w:val="006D0F16"/>
    <w:rsid w:val="006D2A3F"/>
    <w:rsid w:val="006D2FBC"/>
    <w:rsid w:val="006E0541"/>
    <w:rsid w:val="006E138B"/>
    <w:rsid w:val="006F0330"/>
    <w:rsid w:val="006F1FDC"/>
    <w:rsid w:val="006F6B8C"/>
    <w:rsid w:val="007013EF"/>
    <w:rsid w:val="007055BD"/>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2E6"/>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13F0"/>
    <w:rsid w:val="00823275"/>
    <w:rsid w:val="0082366F"/>
    <w:rsid w:val="008338A2"/>
    <w:rsid w:val="00835FAF"/>
    <w:rsid w:val="00841AA9"/>
    <w:rsid w:val="008474FE"/>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97F"/>
    <w:rsid w:val="00893AF6"/>
    <w:rsid w:val="00894BC4"/>
    <w:rsid w:val="008A28A8"/>
    <w:rsid w:val="008A5B32"/>
    <w:rsid w:val="008B2EE4"/>
    <w:rsid w:val="008B4D3D"/>
    <w:rsid w:val="008B57C7"/>
    <w:rsid w:val="008C2F92"/>
    <w:rsid w:val="008C3697"/>
    <w:rsid w:val="008C5557"/>
    <w:rsid w:val="008C589D"/>
    <w:rsid w:val="008C6D51"/>
    <w:rsid w:val="008D2846"/>
    <w:rsid w:val="008D4236"/>
    <w:rsid w:val="008D462F"/>
    <w:rsid w:val="008D6DCF"/>
    <w:rsid w:val="008E3DE9"/>
    <w:rsid w:val="008E4376"/>
    <w:rsid w:val="008E7A0A"/>
    <w:rsid w:val="008E7B49"/>
    <w:rsid w:val="008F59F6"/>
    <w:rsid w:val="00900719"/>
    <w:rsid w:val="009017AC"/>
    <w:rsid w:val="00902A9A"/>
    <w:rsid w:val="00904A1C"/>
    <w:rsid w:val="00905030"/>
    <w:rsid w:val="00906490"/>
    <w:rsid w:val="009111B2"/>
    <w:rsid w:val="009151F5"/>
    <w:rsid w:val="009220CA"/>
    <w:rsid w:val="00924AE1"/>
    <w:rsid w:val="009269B1"/>
    <w:rsid w:val="0092724D"/>
    <w:rsid w:val="009272B3"/>
    <w:rsid w:val="009315BE"/>
    <w:rsid w:val="0093338F"/>
    <w:rsid w:val="00937BD9"/>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9E9"/>
    <w:rsid w:val="009B70AA"/>
    <w:rsid w:val="009C5E77"/>
    <w:rsid w:val="009C7A7E"/>
    <w:rsid w:val="009D02E8"/>
    <w:rsid w:val="009D51D0"/>
    <w:rsid w:val="009D70A4"/>
    <w:rsid w:val="009D7B14"/>
    <w:rsid w:val="009E08D1"/>
    <w:rsid w:val="009E1B95"/>
    <w:rsid w:val="009E496F"/>
    <w:rsid w:val="009E4B0D"/>
    <w:rsid w:val="009E5250"/>
    <w:rsid w:val="009E7F92"/>
    <w:rsid w:val="009F02A3"/>
    <w:rsid w:val="009F2F27"/>
    <w:rsid w:val="009F34AA"/>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44882"/>
    <w:rsid w:val="00A45125"/>
    <w:rsid w:val="00A54715"/>
    <w:rsid w:val="00A6061C"/>
    <w:rsid w:val="00A62D44"/>
    <w:rsid w:val="00A67263"/>
    <w:rsid w:val="00A7161C"/>
    <w:rsid w:val="00A77AA3"/>
    <w:rsid w:val="00A8236D"/>
    <w:rsid w:val="00A854EB"/>
    <w:rsid w:val="00A872E5"/>
    <w:rsid w:val="00A91406"/>
    <w:rsid w:val="00A96E65"/>
    <w:rsid w:val="00A97C72"/>
    <w:rsid w:val="00AA268E"/>
    <w:rsid w:val="00AA310B"/>
    <w:rsid w:val="00AA63D4"/>
    <w:rsid w:val="00AB06E8"/>
    <w:rsid w:val="00AB1CD3"/>
    <w:rsid w:val="00AB352F"/>
    <w:rsid w:val="00AC274B"/>
    <w:rsid w:val="00AC4764"/>
    <w:rsid w:val="00AC6D36"/>
    <w:rsid w:val="00AD0CBA"/>
    <w:rsid w:val="00AD177A"/>
    <w:rsid w:val="00AD26E2"/>
    <w:rsid w:val="00AD784C"/>
    <w:rsid w:val="00AE126A"/>
    <w:rsid w:val="00AE1BAE"/>
    <w:rsid w:val="00AE3005"/>
    <w:rsid w:val="00AE3BD5"/>
    <w:rsid w:val="00AE59A0"/>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588E"/>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4CD5"/>
    <w:rsid w:val="00B950BC"/>
    <w:rsid w:val="00B9714C"/>
    <w:rsid w:val="00BA29AD"/>
    <w:rsid w:val="00BA33CF"/>
    <w:rsid w:val="00BA3F8D"/>
    <w:rsid w:val="00BB7A10"/>
    <w:rsid w:val="00BC3E8F"/>
    <w:rsid w:val="00BC60BE"/>
    <w:rsid w:val="00BC63D9"/>
    <w:rsid w:val="00BC7468"/>
    <w:rsid w:val="00BC7D4F"/>
    <w:rsid w:val="00BC7ED7"/>
    <w:rsid w:val="00BD2850"/>
    <w:rsid w:val="00BE28D2"/>
    <w:rsid w:val="00BE4A64"/>
    <w:rsid w:val="00BE5E43"/>
    <w:rsid w:val="00BF30B2"/>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63C4"/>
    <w:rsid w:val="00C8746D"/>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D3476"/>
    <w:rsid w:val="00CD64DF"/>
    <w:rsid w:val="00CE225F"/>
    <w:rsid w:val="00CF2F50"/>
    <w:rsid w:val="00CF6198"/>
    <w:rsid w:val="00D01B99"/>
    <w:rsid w:val="00D02919"/>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1A2"/>
    <w:rsid w:val="00D4606D"/>
    <w:rsid w:val="00D46C92"/>
    <w:rsid w:val="00D50B9C"/>
    <w:rsid w:val="00D52D73"/>
    <w:rsid w:val="00D52E58"/>
    <w:rsid w:val="00D56B20"/>
    <w:rsid w:val="00D578B3"/>
    <w:rsid w:val="00D618F4"/>
    <w:rsid w:val="00D714CC"/>
    <w:rsid w:val="00D75EA7"/>
    <w:rsid w:val="00D81ADF"/>
    <w:rsid w:val="00D81F21"/>
    <w:rsid w:val="00D864F2"/>
    <w:rsid w:val="00D92F95"/>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47C67"/>
    <w:rsid w:val="00E54950"/>
    <w:rsid w:val="00E56A01"/>
    <w:rsid w:val="00E62622"/>
    <w:rsid w:val="00E629A1"/>
    <w:rsid w:val="00E6794C"/>
    <w:rsid w:val="00E71591"/>
    <w:rsid w:val="00E71CEB"/>
    <w:rsid w:val="00E7474F"/>
    <w:rsid w:val="00E80DE3"/>
    <w:rsid w:val="00E82C55"/>
    <w:rsid w:val="00E8787E"/>
    <w:rsid w:val="00E92AC3"/>
    <w:rsid w:val="00EA1360"/>
    <w:rsid w:val="00EA2F6A"/>
    <w:rsid w:val="00EB00E0"/>
    <w:rsid w:val="00EC04BA"/>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72C2C"/>
    <w:rsid w:val="00F76CAB"/>
    <w:rsid w:val="00F772C6"/>
    <w:rsid w:val="00F815B5"/>
    <w:rsid w:val="00F84FA0"/>
    <w:rsid w:val="00F85195"/>
    <w:rsid w:val="00F868E3"/>
    <w:rsid w:val="00F938BA"/>
    <w:rsid w:val="00F97919"/>
    <w:rsid w:val="00FA1211"/>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28EF63"/>
  <w15:docId w15:val="{5B8522C4-C515-47BB-80BC-37DB102A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A1211"/>
    <w:pPr>
      <w:spacing w:after="120" w:line="280" w:lineRule="atLeast"/>
    </w:pPr>
    <w:rPr>
      <w:rFonts w:ascii="Arial" w:hAnsi="Arial"/>
      <w:sz w:val="21"/>
      <w:lang w:eastAsia="en-US"/>
    </w:rPr>
  </w:style>
  <w:style w:type="paragraph" w:styleId="Heading1">
    <w:name w:val="heading 1"/>
    <w:next w:val="Body"/>
    <w:link w:val="Heading1Char"/>
    <w:uiPriority w:val="1"/>
    <w:qFormat/>
    <w:rsid w:val="00EC04BA"/>
    <w:pPr>
      <w:keepNext/>
      <w:keepLines/>
      <w:spacing w:before="320" w:after="200" w:line="440" w:lineRule="atLeast"/>
      <w:outlineLvl w:val="0"/>
    </w:pPr>
    <w:rPr>
      <w:rFonts w:ascii="Arial" w:eastAsia="MS Gothic" w:hAnsi="Arial" w:cs="Arial"/>
      <w:bCs/>
      <w:color w:val="C63663"/>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C04BA"/>
    <w:rPr>
      <w:rFonts w:ascii="Arial" w:eastAsia="MS Gothic" w:hAnsi="Arial" w:cs="Arial"/>
      <w:bCs/>
      <w:color w:val="C63663"/>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EC04BA"/>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EC04BA"/>
    <w:pPr>
      <w:spacing w:line="320" w:lineRule="atLeast"/>
    </w:pPr>
    <w:rPr>
      <w:color w:val="C63663"/>
      <w:sz w:val="24"/>
    </w:rPr>
  </w:style>
  <w:style w:type="paragraph" w:customStyle="1" w:styleId="DHHSbody">
    <w:name w:val="DHHS body"/>
    <w:qFormat/>
    <w:rsid w:val="00FA1211"/>
    <w:pPr>
      <w:spacing w:after="120" w:line="270" w:lineRule="atLeast"/>
    </w:pPr>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2.health.vic.gov.au/public-health/cemeteries-and-crematoria/interments-and-memorials/veterans-cremated-remain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cemeteries@healt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H%20visual%20style%202021\DH%20pink%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infopath/2007/PartnerControls"/>
    <ds:schemaRef ds:uri="http://purl.org/dc/terms/"/>
    <ds:schemaRef ds:uri="http://schemas.microsoft.com/office/2006/documentManagement/types"/>
    <ds:schemaRef ds:uri="71bad440-a7e7-46c6-81bd-18ed54663c6a"/>
    <ds:schemaRef ds:uri="http://purl.org/dc/elements/1.1/"/>
    <ds:schemaRef ds:uri="http://schemas.microsoft.com/office/2006/metadata/properties"/>
    <ds:schemaRef ds:uri="http://schemas.openxmlformats.org/package/2006/metadata/core-properties"/>
    <ds:schemaRef ds:uri="f9efe166-4f28-4f85-8235-ea2c89133434"/>
    <ds:schemaRef ds:uri="http://www.w3.org/XML/1998/namespace"/>
    <ds:schemaRef ds:uri="http://purl.org/dc/dcmitype/"/>
  </ds:schemaRefs>
</ds:datastoreItem>
</file>

<file path=customXml/itemProps3.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DH pink factsheet.dotx</Template>
  <TotalTime>14</TotalTime>
  <Pages>4</Pages>
  <Words>1342</Words>
  <Characters>7655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DH pink factsheet</vt:lpstr>
    </vt:vector>
  </TitlesOfParts>
  <Manager/>
  <Company>Victoria State Government, Department of Health</Company>
  <LinksUpToDate>false</LinksUpToDate>
  <CharactersWithSpaces>8980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limited tenure cremated remains of veterans</dc:title>
  <dc:subject>Managing the limited tenure cremated remains of veterans</dc:subject>
  <dc:creator>Cemeteries@health.vic.gov.au</dc:creator>
  <cp:keywords>Managing the limited tenure cremated remains of veterans</cp:keywords>
  <dc:description/>
  <cp:lastModifiedBy>Anna Ravenscroft (Health)</cp:lastModifiedBy>
  <cp:revision>1</cp:revision>
  <cp:lastPrinted>2020-03-30T03:28:00Z</cp:lastPrinted>
  <dcterms:created xsi:type="dcterms:W3CDTF">2021-07-30T04:29:00Z</dcterms:created>
  <dcterms:modified xsi:type="dcterms:W3CDTF">2021-07-30T04:46:00Z</dcterms:modified>
  <cp:category>Managing the limited tenure cremated remains of veterans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2021-07-30T04:46:42Z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ies>
</file>