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7E5B1F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9E4AC4" w:rsidP="00A91406">
            <w:pPr>
              <w:pStyle w:val="DHHSmainheading"/>
            </w:pPr>
            <w:bookmarkStart w:id="0" w:name="_Toc528241257"/>
            <w:bookmarkStart w:id="1" w:name="_Toc5623477"/>
            <w:r w:rsidRPr="009E4AC4">
              <w:t>Cosmetic application including eyelash tinting and spray tanning</w:t>
            </w:r>
            <w:bookmarkEnd w:id="0"/>
            <w:bookmarkEnd w:id="1"/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9E4AC4" w:rsidRDefault="009E4AC4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Procedure specific requirements</w:t>
            </w:r>
          </w:p>
        </w:tc>
      </w:tr>
    </w:tbl>
    <w:p w:rsidR="007173CA" w:rsidRDefault="007173CA" w:rsidP="007173CA">
      <w:pPr>
        <w:pStyle w:val="DHHSbody"/>
      </w:pPr>
    </w:p>
    <w:p w:rsidR="007173CA" w:rsidRDefault="007173CA" w:rsidP="007173CA">
      <w:pPr>
        <w:pStyle w:val="DHHSbody"/>
        <w:sectPr w:rsidR="007173CA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2" w:name="_Toc440566508"/>
    </w:p>
    <w:bookmarkEnd w:id="2"/>
    <w:p w:rsidR="009E4AC4" w:rsidRDefault="009E4AC4" w:rsidP="009E4AC4">
      <w:pPr>
        <w:pStyle w:val="DHHSbody"/>
      </w:pPr>
      <w:r w:rsidRPr="008629D7">
        <w:t>Cosmetic application involves applying temporary cosmetics or make-up such as lipstick, mascara and eye shadow.</w:t>
      </w:r>
    </w:p>
    <w:p w:rsidR="009E4AC4" w:rsidRDefault="009E4AC4" w:rsidP="009E4AC4">
      <w:pPr>
        <w:pStyle w:val="DHHSbody"/>
      </w:pPr>
      <w:r w:rsidRPr="008629D7">
        <w:t>Semi-permanent make-up or cosmetic tattooing, such as eyebrow feathering</w:t>
      </w:r>
      <w:r>
        <w:t>,</w:t>
      </w:r>
      <w:r w:rsidRPr="008629D7">
        <w:t xml:space="preserve"> that involve</w:t>
      </w:r>
      <w:r>
        <w:t>s</w:t>
      </w:r>
      <w:r w:rsidRPr="008629D7">
        <w:t xml:space="preserve"> skin penetration or tattooing are </w:t>
      </w:r>
      <w:r>
        <w:t>not discussed in this section. S</w:t>
      </w:r>
      <w:r w:rsidRPr="008629D7">
        <w:t xml:space="preserve">ee </w:t>
      </w:r>
      <w:r>
        <w:t xml:space="preserve">the </w:t>
      </w:r>
      <w:r w:rsidRPr="009E4AC4">
        <w:t>Tattooing (including cosmetic tattooing)</w:t>
      </w:r>
      <w:r>
        <w:t xml:space="preserve"> section on p. 65 of the </w:t>
      </w:r>
      <w:r w:rsidRPr="009E4AC4">
        <w:rPr>
          <w:i/>
        </w:rPr>
        <w:t>Infection prevention and control guidelines for hair, beauty, tattooing and skin penetration industries</w:t>
      </w:r>
      <w:r>
        <w:t xml:space="preserve"> (2019).</w:t>
      </w:r>
    </w:p>
    <w:p w:rsidR="009E4AC4" w:rsidRDefault="009E4AC4" w:rsidP="009E4AC4">
      <w:pPr>
        <w:pStyle w:val="Heading3"/>
      </w:pPr>
      <w:r>
        <w:t>Key points for business proprietors</w:t>
      </w:r>
    </w:p>
    <w:p w:rsidR="009E4AC4" w:rsidRDefault="009E4AC4" w:rsidP="009E4AC4">
      <w:pPr>
        <w:pStyle w:val="DHHSbullet1"/>
      </w:pPr>
      <w:r>
        <w:t xml:space="preserve">Make sure you </w:t>
      </w:r>
      <w:r w:rsidRPr="001B5E71">
        <w:rPr>
          <w:b/>
        </w:rPr>
        <w:t>thoroughly clean</w:t>
      </w:r>
      <w:r>
        <w:t xml:space="preserve"> all make-up brushes and applicators between clients.</w:t>
      </w:r>
    </w:p>
    <w:p w:rsidR="009E4AC4" w:rsidRDefault="009E4AC4" w:rsidP="009E4AC4">
      <w:pPr>
        <w:pStyle w:val="DHHSbullet1"/>
      </w:pPr>
      <w:r>
        <w:t xml:space="preserve">Use only </w:t>
      </w:r>
      <w:r w:rsidRPr="001B5E71">
        <w:rPr>
          <w:b/>
        </w:rPr>
        <w:t>single-use sponges</w:t>
      </w:r>
      <w:r>
        <w:t>.</w:t>
      </w:r>
    </w:p>
    <w:p w:rsidR="009E4AC4" w:rsidRDefault="009E4AC4" w:rsidP="009E4AC4">
      <w:pPr>
        <w:pStyle w:val="DHHSbullet1"/>
      </w:pPr>
      <w:r>
        <w:t xml:space="preserve">Do not apply make-up if a client has an </w:t>
      </w:r>
      <w:r w:rsidRPr="001B5E71">
        <w:rPr>
          <w:b/>
        </w:rPr>
        <w:t>open sore</w:t>
      </w:r>
      <w:r>
        <w:t>.</w:t>
      </w:r>
    </w:p>
    <w:p w:rsidR="009E4AC4" w:rsidRDefault="009E4AC4" w:rsidP="009E4AC4">
      <w:pPr>
        <w:pStyle w:val="DHHSbullet1"/>
      </w:pPr>
      <w:r w:rsidRPr="001B5E71">
        <w:rPr>
          <w:b/>
        </w:rPr>
        <w:t>Dispense products</w:t>
      </w:r>
      <w:r>
        <w:t xml:space="preserve"> from larger multi-use containers into smaller single-use containers.</w:t>
      </w:r>
    </w:p>
    <w:p w:rsidR="009E4AC4" w:rsidRDefault="009E4AC4" w:rsidP="009E4AC4">
      <w:pPr>
        <w:pStyle w:val="Heading3"/>
      </w:pPr>
      <w:r>
        <w:t>Specific health-risk information</w:t>
      </w:r>
    </w:p>
    <w:p w:rsidR="009E4AC4" w:rsidRDefault="009E4AC4" w:rsidP="009E4AC4">
      <w:pPr>
        <w:pStyle w:val="DHHSbody"/>
      </w:pPr>
      <w:r w:rsidRPr="00F81109">
        <w:t xml:space="preserve">Skin infections, such as impetigo and herpes (cold sores), can be easily spread via contaminated hands and equipment. It is essential that all make-up brushes and applicators are thoroughly cleaned (washed in warm water and detergent) between </w:t>
      </w:r>
      <w:r>
        <w:t>client</w:t>
      </w:r>
      <w:r w:rsidRPr="00F81109">
        <w:t xml:space="preserve">s to ensure there is no cross contamination between </w:t>
      </w:r>
      <w:r>
        <w:t>client</w:t>
      </w:r>
      <w:r w:rsidRPr="00F81109">
        <w:t xml:space="preserve">s. Sponges, due to their porous nature, </w:t>
      </w:r>
      <w:r>
        <w:t>cannot</w:t>
      </w:r>
      <w:r w:rsidRPr="00F81109">
        <w:t xml:space="preserve"> be cleaned or disinfected adequately between </w:t>
      </w:r>
      <w:r>
        <w:t>client</w:t>
      </w:r>
      <w:r w:rsidRPr="00F81109">
        <w:t xml:space="preserve">s. </w:t>
      </w:r>
      <w:r>
        <w:t>We recommend using s</w:t>
      </w:r>
      <w:r w:rsidRPr="00F81109">
        <w:t>ingle-use sponges.</w:t>
      </w:r>
    </w:p>
    <w:p w:rsidR="009E4AC4" w:rsidRDefault="009E4AC4" w:rsidP="009E4AC4">
      <w:pPr>
        <w:pStyle w:val="DHHSbody"/>
        <w:rPr>
          <w:rFonts w:cs="Arial"/>
          <w:lang w:val="en"/>
        </w:rPr>
      </w:pPr>
      <w:r>
        <w:rPr>
          <w:rFonts w:cs="Arial"/>
          <w:lang w:val="en"/>
        </w:rPr>
        <w:t>Do not apply make-up if a client has open weeping sores. The risk of transmission of infection is much greater when there are actively infected sores or wounds present.</w:t>
      </w:r>
    </w:p>
    <w:p w:rsidR="009E4AC4" w:rsidRDefault="009E4AC4" w:rsidP="009E4AC4">
      <w:pPr>
        <w:pStyle w:val="DHHSbody"/>
      </w:pPr>
      <w:r w:rsidRPr="00FF345D">
        <w:t xml:space="preserve">Dispense products to be used on a </w:t>
      </w:r>
      <w:r>
        <w:t>client</w:t>
      </w:r>
      <w:r w:rsidRPr="00FF345D">
        <w:t xml:space="preserve"> from larger multi-use containers into smaller single-use (or </w:t>
      </w:r>
      <w:r>
        <w:t>washed</w:t>
      </w:r>
      <w:r w:rsidRPr="00FF345D">
        <w:t xml:space="preserve"> and dried reusable) containers or use a single-use spatula to ensure there is no contamination of the original product (see </w:t>
      </w:r>
      <w:r>
        <w:t>‘</w:t>
      </w:r>
      <w:r w:rsidRPr="009E4AC4">
        <w:t>Appropriate handling and dispensing of products</w:t>
      </w:r>
      <w:r>
        <w:t>’ p. 29 of the guidelines)</w:t>
      </w:r>
      <w:r w:rsidRPr="00FF345D">
        <w:t>.</w:t>
      </w:r>
    </w:p>
    <w:p w:rsidR="009E4AC4" w:rsidRDefault="009E4AC4" w:rsidP="009E4AC4">
      <w:pPr>
        <w:pStyle w:val="Heading4"/>
        <w:rPr>
          <w:color w:val="000000"/>
          <w:lang w:eastAsia="en-AU"/>
        </w:rPr>
      </w:pPr>
      <w:r w:rsidRPr="00453531">
        <w:rPr>
          <w:lang w:eastAsia="en-AU"/>
        </w:rPr>
        <w:t>Spray Tanning</w:t>
      </w:r>
    </w:p>
    <w:p w:rsidR="009E4AC4" w:rsidRDefault="009E4AC4" w:rsidP="009E4AC4">
      <w:pPr>
        <w:pStyle w:val="DHHSbody"/>
        <w:rPr>
          <w:lang w:eastAsia="en-AU"/>
        </w:rPr>
      </w:pPr>
      <w:r w:rsidRPr="006C4A73">
        <w:rPr>
          <w:lang w:eastAsia="en-AU"/>
        </w:rPr>
        <w:t>Spray tanning should be conducted in a well</w:t>
      </w:r>
      <w:r>
        <w:rPr>
          <w:lang w:eastAsia="en-AU"/>
        </w:rPr>
        <w:t>-</w:t>
      </w:r>
      <w:r w:rsidRPr="006C4A73">
        <w:rPr>
          <w:lang w:eastAsia="en-AU"/>
        </w:rPr>
        <w:t xml:space="preserve">ventilated room, this includes recirculating and filtered air booths to avoid respiratory problems. </w:t>
      </w:r>
    </w:p>
    <w:p w:rsidR="009E4AC4" w:rsidRDefault="009E4AC4" w:rsidP="009E4AC4">
      <w:pPr>
        <w:pStyle w:val="DHHSbody"/>
        <w:rPr>
          <w:lang w:eastAsia="en-AU"/>
        </w:rPr>
      </w:pPr>
      <w:r w:rsidRPr="006C4A73">
        <w:rPr>
          <w:lang w:eastAsia="en-AU"/>
        </w:rPr>
        <w:t xml:space="preserve">All surfaces in the tanning booth and treatment room should be </w:t>
      </w:r>
      <w:r>
        <w:rPr>
          <w:lang w:eastAsia="en-AU"/>
        </w:rPr>
        <w:t xml:space="preserve">smooth and washable, and </w:t>
      </w:r>
      <w:r w:rsidRPr="006C4A73">
        <w:rPr>
          <w:lang w:eastAsia="en-AU"/>
        </w:rPr>
        <w:t xml:space="preserve">cleaned at least weekly to remove excess tanning solution </w:t>
      </w:r>
      <w:r>
        <w:rPr>
          <w:lang w:eastAsia="en-AU"/>
        </w:rPr>
        <w:t>that</w:t>
      </w:r>
      <w:r w:rsidRPr="006C4A73">
        <w:rPr>
          <w:lang w:eastAsia="en-AU"/>
        </w:rPr>
        <w:t xml:space="preserve"> may harbour microorganisms.</w:t>
      </w:r>
    </w:p>
    <w:p w:rsidR="009E4AC4" w:rsidRDefault="009E4AC4" w:rsidP="009E4AC4">
      <w:pPr>
        <w:pStyle w:val="DHHSbody"/>
        <w:rPr>
          <w:lang w:eastAsia="en-AU"/>
        </w:rPr>
      </w:pPr>
      <w:r>
        <w:rPr>
          <w:lang w:eastAsia="en-AU"/>
        </w:rPr>
        <w:t>Give clients:</w:t>
      </w:r>
    </w:p>
    <w:p w:rsidR="009E4AC4" w:rsidRDefault="009E4AC4" w:rsidP="009E4AC4">
      <w:pPr>
        <w:pStyle w:val="DHHSbullet1"/>
        <w:rPr>
          <w:lang w:eastAsia="en-AU"/>
        </w:rPr>
      </w:pPr>
      <w:r>
        <w:rPr>
          <w:lang w:eastAsia="en-AU"/>
        </w:rPr>
        <w:t>disposable panties</w:t>
      </w:r>
    </w:p>
    <w:p w:rsidR="009E4AC4" w:rsidRPr="00453531" w:rsidRDefault="009E4AC4" w:rsidP="009E4AC4">
      <w:pPr>
        <w:pStyle w:val="DHHSbullet1lastline"/>
        <w:rPr>
          <w:lang w:eastAsia="en-AU"/>
        </w:rPr>
      </w:pPr>
      <w:r>
        <w:rPr>
          <w:lang w:eastAsia="en-AU"/>
        </w:rPr>
        <w:t>eye protection.</w:t>
      </w:r>
    </w:p>
    <w:p w:rsidR="009E4AC4" w:rsidRDefault="009E4AC4" w:rsidP="009E4AC4">
      <w:pPr>
        <w:pStyle w:val="DHHSbody"/>
        <w:rPr>
          <w:lang w:eastAsia="en-AU"/>
        </w:rPr>
      </w:pPr>
      <w:r>
        <w:rPr>
          <w:lang w:eastAsia="en-AU"/>
        </w:rPr>
        <w:t>Staff should use appropriate PPE. This includes:</w:t>
      </w:r>
    </w:p>
    <w:p w:rsidR="009E4AC4" w:rsidRDefault="009E4AC4" w:rsidP="009E4AC4">
      <w:pPr>
        <w:pStyle w:val="DHHSbullet1"/>
        <w:rPr>
          <w:lang w:eastAsia="en-AU"/>
        </w:rPr>
      </w:pPr>
      <w:r>
        <w:rPr>
          <w:lang w:eastAsia="en-AU"/>
        </w:rPr>
        <w:t>a single-use P2 respirator</w:t>
      </w:r>
    </w:p>
    <w:p w:rsidR="009E4AC4" w:rsidRDefault="009E4AC4" w:rsidP="009E4AC4">
      <w:pPr>
        <w:pStyle w:val="DHHSbullet1"/>
        <w:rPr>
          <w:lang w:eastAsia="en-AU"/>
        </w:rPr>
      </w:pPr>
      <w:r>
        <w:rPr>
          <w:lang w:eastAsia="en-AU"/>
        </w:rPr>
        <w:t>a disposable apron</w:t>
      </w:r>
    </w:p>
    <w:p w:rsidR="009E4AC4" w:rsidRDefault="009E4AC4" w:rsidP="009E4AC4">
      <w:pPr>
        <w:pStyle w:val="DHHSbullet1lastline"/>
        <w:rPr>
          <w:lang w:eastAsia="en-AU"/>
        </w:rPr>
      </w:pPr>
      <w:r>
        <w:rPr>
          <w:lang w:eastAsia="en-AU"/>
        </w:rPr>
        <w:t>eye protection.</w:t>
      </w:r>
    </w:p>
    <w:p w:rsidR="009E4AC4" w:rsidRDefault="009E4AC4" w:rsidP="009E4AC4">
      <w:pPr>
        <w:pStyle w:val="DHHStabletext"/>
        <w:rPr>
          <w:lang w:eastAsia="en-AU"/>
        </w:rPr>
      </w:pPr>
      <w:r>
        <w:rPr>
          <w:lang w:eastAsia="en-AU"/>
        </w:rPr>
        <w:lastRenderedPageBreak/>
        <w:t>PPE should be single-use and disposed of after each client. If reusable (for example, eye protection), the item should be cleaned between uses, particularly</w:t>
      </w:r>
      <w:r w:rsidRPr="00855B35">
        <w:rPr>
          <w:lang w:eastAsia="en-AU"/>
        </w:rPr>
        <w:t xml:space="preserve"> </w:t>
      </w:r>
      <w:r w:rsidRPr="00453531">
        <w:rPr>
          <w:lang w:eastAsia="en-AU"/>
        </w:rPr>
        <w:t xml:space="preserve">if worn </w:t>
      </w:r>
      <w:r w:rsidRPr="00A86F86">
        <w:rPr>
          <w:lang w:eastAsia="en-AU"/>
        </w:rPr>
        <w:t xml:space="preserve">by more than one </w:t>
      </w:r>
      <w:proofErr w:type="gramStart"/>
      <w:r>
        <w:rPr>
          <w:lang w:eastAsia="en-AU"/>
        </w:rPr>
        <w:t>staff</w:t>
      </w:r>
      <w:proofErr w:type="gramEnd"/>
      <w:r>
        <w:rPr>
          <w:lang w:eastAsia="en-AU"/>
        </w:rPr>
        <w:t xml:space="preserve"> member</w:t>
      </w:r>
      <w:r w:rsidRPr="00A86F86">
        <w:rPr>
          <w:lang w:eastAsia="en-AU"/>
        </w:rPr>
        <w:t>.</w:t>
      </w:r>
    </w:p>
    <w:p w:rsidR="009E4AC4" w:rsidRDefault="009E4AC4" w:rsidP="009E4AC4">
      <w:pPr>
        <w:pStyle w:val="Heading4"/>
        <w:rPr>
          <w:lang w:eastAsia="en-AU"/>
        </w:rPr>
      </w:pPr>
      <w:r>
        <w:rPr>
          <w:lang w:eastAsia="en-AU"/>
        </w:rPr>
        <w:t>Eyelash tinting</w:t>
      </w:r>
    </w:p>
    <w:p w:rsidR="009E4AC4" w:rsidRDefault="009E4AC4" w:rsidP="009E4AC4">
      <w:pPr>
        <w:pStyle w:val="DHHSbody"/>
      </w:pPr>
      <w:r>
        <w:t xml:space="preserve">Eyelash tinting involves applying dye to the eyelashes. Care should be taken when applying any products to the eyelashes to avoid product or chemicals getting into the eyes. </w:t>
      </w:r>
    </w:p>
    <w:p w:rsidR="009E4AC4" w:rsidRDefault="009E4AC4" w:rsidP="009E4AC4">
      <w:pPr>
        <w:pStyle w:val="DHHSbody"/>
      </w:pPr>
      <w:r>
        <w:t xml:space="preserve">Ensure all equipment has been thoroughly cleaned between clients in order to avoid the spread of infections such as conjunctivitis. </w:t>
      </w:r>
    </w:p>
    <w:p w:rsidR="009E4AC4" w:rsidRDefault="009E4AC4" w:rsidP="009E4AC4">
      <w:pPr>
        <w:pStyle w:val="DHHSbody"/>
      </w:pPr>
      <w:r>
        <w:t>Clients with any signs of eye-related infection should have their treatment postponed until the infection has cleared.</w:t>
      </w:r>
    </w:p>
    <w:p w:rsidR="009E4AC4" w:rsidRDefault="009E4AC4" w:rsidP="009E4AC4">
      <w:pPr>
        <w:pStyle w:val="Heading3"/>
      </w:pPr>
      <w:r>
        <w:t>Cleaning and reprocessing requirements for equipment</w:t>
      </w:r>
    </w:p>
    <w:p w:rsidR="009E4AC4" w:rsidRPr="00D13086" w:rsidRDefault="009E4AC4" w:rsidP="009E4AC4">
      <w:pPr>
        <w:pStyle w:val="DHHStablecaption"/>
      </w:pPr>
      <w:bookmarkStart w:id="3" w:name="_Toc5623509"/>
      <w:r>
        <w:t>Table 8: Cleaning and reprocessing requirements for cosmetic application</w:t>
      </w:r>
      <w:bookmarkEnd w:id="3"/>
    </w:p>
    <w:tbl>
      <w:tblPr>
        <w:tblStyle w:val="TableGrid"/>
        <w:tblW w:w="963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Cleaning and reprocessing requirements for cosmetic application"/>
        <w:tblDescription w:val="How items used for cosmetic application should be reprocessed"/>
      </w:tblPr>
      <w:tblGrid>
        <w:gridCol w:w="2266"/>
        <w:gridCol w:w="1869"/>
        <w:gridCol w:w="1539"/>
        <w:gridCol w:w="3965"/>
      </w:tblGrid>
      <w:tr w:rsidR="009E4AC4" w:rsidTr="00416F0A">
        <w:trPr>
          <w:cantSplit/>
          <w:tblHeader/>
        </w:trPr>
        <w:tc>
          <w:tcPr>
            <w:tcW w:w="2266" w:type="dxa"/>
            <w:shd w:val="clear" w:color="auto" w:fill="F1E3F3"/>
          </w:tcPr>
          <w:p w:rsidR="009E4AC4" w:rsidRDefault="009E4AC4" w:rsidP="00416F0A">
            <w:pPr>
              <w:pStyle w:val="DHHStablecolhead"/>
            </w:pPr>
            <w:r>
              <w:t>Equipment</w:t>
            </w:r>
          </w:p>
        </w:tc>
        <w:tc>
          <w:tcPr>
            <w:tcW w:w="1869" w:type="dxa"/>
            <w:shd w:val="clear" w:color="auto" w:fill="F1E3F3"/>
          </w:tcPr>
          <w:p w:rsidR="009E4AC4" w:rsidRDefault="009E4AC4" w:rsidP="00416F0A">
            <w:pPr>
              <w:pStyle w:val="DHHStablecolhead"/>
            </w:pPr>
            <w:r>
              <w:t>Use of item</w:t>
            </w:r>
          </w:p>
        </w:tc>
        <w:tc>
          <w:tcPr>
            <w:tcW w:w="1539" w:type="dxa"/>
            <w:shd w:val="clear" w:color="auto" w:fill="F1E3F3"/>
          </w:tcPr>
          <w:p w:rsidR="009E4AC4" w:rsidRDefault="009E4AC4" w:rsidP="00416F0A">
            <w:pPr>
              <w:pStyle w:val="DHHStablecolhead"/>
            </w:pPr>
            <w:r>
              <w:t>When</w:t>
            </w:r>
          </w:p>
        </w:tc>
        <w:tc>
          <w:tcPr>
            <w:tcW w:w="3965" w:type="dxa"/>
            <w:shd w:val="clear" w:color="auto" w:fill="F1E3F3"/>
          </w:tcPr>
          <w:p w:rsidR="009E4AC4" w:rsidRDefault="009E4AC4" w:rsidP="00416F0A">
            <w:pPr>
              <w:pStyle w:val="DHHStablecolhead"/>
            </w:pPr>
            <w:r>
              <w:t>Recommendations</w:t>
            </w:r>
          </w:p>
        </w:tc>
      </w:tr>
      <w:tr w:rsidR="009E4AC4" w:rsidTr="00416F0A">
        <w:trPr>
          <w:cantSplit/>
        </w:trPr>
        <w:tc>
          <w:tcPr>
            <w:tcW w:w="2266" w:type="dxa"/>
          </w:tcPr>
          <w:p w:rsidR="009E4AC4" w:rsidRDefault="009E4AC4" w:rsidP="00416F0A">
            <w:pPr>
              <w:pStyle w:val="DHHStabletext"/>
            </w:pPr>
            <w:r>
              <w:t>Face brushes</w:t>
            </w:r>
          </w:p>
          <w:p w:rsidR="009E4AC4" w:rsidRDefault="009E4AC4" w:rsidP="00416F0A">
            <w:pPr>
              <w:pStyle w:val="DHHStablebullet"/>
            </w:pPr>
            <w:r>
              <w:t>Make-up</w:t>
            </w:r>
          </w:p>
          <w:p w:rsidR="009E4AC4" w:rsidRDefault="009E4AC4" w:rsidP="00416F0A">
            <w:pPr>
              <w:pStyle w:val="DHHStablebullet"/>
            </w:pPr>
            <w:r>
              <w:t>Eyebrow</w:t>
            </w:r>
          </w:p>
          <w:p w:rsidR="009E4AC4" w:rsidRDefault="009E4AC4" w:rsidP="00416F0A">
            <w:pPr>
              <w:pStyle w:val="DHHStablebullet"/>
            </w:pPr>
            <w:r>
              <w:t>Eyelashes</w:t>
            </w:r>
          </w:p>
        </w:tc>
        <w:tc>
          <w:tcPr>
            <w:tcW w:w="1869" w:type="dxa"/>
          </w:tcPr>
          <w:p w:rsidR="009E4AC4" w:rsidRDefault="009E4AC4" w:rsidP="00416F0A">
            <w:pPr>
              <w:pStyle w:val="DHHStabletext"/>
            </w:pPr>
            <w:r>
              <w:t>Application of make-up or tint to eyelashes</w:t>
            </w:r>
          </w:p>
        </w:tc>
        <w:tc>
          <w:tcPr>
            <w:tcW w:w="1539" w:type="dxa"/>
          </w:tcPr>
          <w:p w:rsidR="009E4AC4" w:rsidRDefault="009E4AC4" w:rsidP="00416F0A">
            <w:pPr>
              <w:pStyle w:val="DHHStabletext"/>
            </w:pPr>
            <w:r>
              <w:t>After each client</w:t>
            </w:r>
          </w:p>
        </w:tc>
        <w:tc>
          <w:tcPr>
            <w:tcW w:w="3965" w:type="dxa"/>
          </w:tcPr>
          <w:p w:rsidR="009E4AC4" w:rsidRPr="00192D1E" w:rsidRDefault="009E4AC4" w:rsidP="00416F0A">
            <w:pPr>
              <w:pStyle w:val="DHHStabletext"/>
            </w:pPr>
            <w:r w:rsidRPr="00192D1E">
              <w:t>Rinse free of lotions, creams or make-up.</w:t>
            </w:r>
          </w:p>
          <w:p w:rsidR="009E4AC4" w:rsidRPr="00192D1E" w:rsidRDefault="009E4AC4" w:rsidP="00416F0A">
            <w:pPr>
              <w:pStyle w:val="DHHStabletext"/>
            </w:pPr>
            <w:r w:rsidRPr="00192D1E">
              <w:t>Wash in warm water and detergent.</w:t>
            </w:r>
          </w:p>
          <w:p w:rsidR="009E4AC4" w:rsidRPr="00192D1E" w:rsidRDefault="009E4AC4" w:rsidP="00416F0A">
            <w:pPr>
              <w:pStyle w:val="DHHStabletext"/>
            </w:pPr>
            <w:r w:rsidRPr="00192D1E">
              <w:t>Rinse in hot running water.</w:t>
            </w:r>
          </w:p>
          <w:p w:rsidR="009E4AC4" w:rsidRPr="00192D1E" w:rsidRDefault="009E4AC4" w:rsidP="00416F0A">
            <w:pPr>
              <w:pStyle w:val="DHHStabletext"/>
            </w:pPr>
            <w:r w:rsidRPr="00192D1E">
              <w:t>Dry thoroughly.</w:t>
            </w:r>
          </w:p>
        </w:tc>
      </w:tr>
      <w:tr w:rsidR="009E4AC4" w:rsidTr="00416F0A">
        <w:trPr>
          <w:cantSplit/>
        </w:trPr>
        <w:tc>
          <w:tcPr>
            <w:tcW w:w="2266" w:type="dxa"/>
          </w:tcPr>
          <w:p w:rsidR="009E4AC4" w:rsidRDefault="009E4AC4" w:rsidP="00416F0A">
            <w:pPr>
              <w:pStyle w:val="DHHStabletext"/>
            </w:pPr>
            <w:r>
              <w:t>Eyelash curlers</w:t>
            </w:r>
          </w:p>
        </w:tc>
        <w:tc>
          <w:tcPr>
            <w:tcW w:w="1869" w:type="dxa"/>
          </w:tcPr>
          <w:p w:rsidR="009E4AC4" w:rsidRDefault="009E4AC4" w:rsidP="00416F0A">
            <w:pPr>
              <w:pStyle w:val="DHHStabletext"/>
            </w:pPr>
            <w:r>
              <w:t>Shape eyelashes</w:t>
            </w:r>
          </w:p>
        </w:tc>
        <w:tc>
          <w:tcPr>
            <w:tcW w:w="1539" w:type="dxa"/>
          </w:tcPr>
          <w:p w:rsidR="009E4AC4" w:rsidRDefault="009E4AC4" w:rsidP="00416F0A">
            <w:pPr>
              <w:pStyle w:val="DHHStabletext"/>
            </w:pPr>
            <w:r>
              <w:t>After each client</w:t>
            </w:r>
          </w:p>
        </w:tc>
        <w:tc>
          <w:tcPr>
            <w:tcW w:w="3965" w:type="dxa"/>
          </w:tcPr>
          <w:p w:rsidR="009E4AC4" w:rsidRPr="00192D1E" w:rsidRDefault="009E4AC4" w:rsidP="00416F0A">
            <w:pPr>
              <w:pStyle w:val="DHHStabletext"/>
            </w:pPr>
            <w:r w:rsidRPr="00192D1E">
              <w:t>Rinse free of lotions, creams or make-up.</w:t>
            </w:r>
          </w:p>
          <w:p w:rsidR="009E4AC4" w:rsidRPr="00192D1E" w:rsidRDefault="009E4AC4" w:rsidP="00416F0A">
            <w:pPr>
              <w:pStyle w:val="DHHStabletext"/>
            </w:pPr>
            <w:r w:rsidRPr="00192D1E">
              <w:t>Wash in warm water and detergent.</w:t>
            </w:r>
          </w:p>
          <w:p w:rsidR="009E4AC4" w:rsidRPr="00192D1E" w:rsidRDefault="009E4AC4" w:rsidP="00416F0A">
            <w:pPr>
              <w:pStyle w:val="DHHStabletext"/>
            </w:pPr>
            <w:r w:rsidRPr="00192D1E">
              <w:t>Rinse in hot running water.</w:t>
            </w:r>
          </w:p>
          <w:p w:rsidR="009E4AC4" w:rsidRDefault="009E4AC4" w:rsidP="00416F0A">
            <w:pPr>
              <w:pStyle w:val="DHHStabletext"/>
            </w:pPr>
            <w:r w:rsidRPr="00192D1E">
              <w:t>Dry thoroughly.</w:t>
            </w:r>
          </w:p>
        </w:tc>
      </w:tr>
      <w:tr w:rsidR="009E4AC4" w:rsidTr="00416F0A">
        <w:trPr>
          <w:cantSplit/>
        </w:trPr>
        <w:tc>
          <w:tcPr>
            <w:tcW w:w="2266" w:type="dxa"/>
          </w:tcPr>
          <w:p w:rsidR="009E4AC4" w:rsidRDefault="009E4AC4" w:rsidP="00416F0A">
            <w:pPr>
              <w:pStyle w:val="DHHStabletext"/>
            </w:pPr>
            <w:r>
              <w:t>Eye protection</w:t>
            </w:r>
          </w:p>
        </w:tc>
        <w:tc>
          <w:tcPr>
            <w:tcW w:w="1869" w:type="dxa"/>
          </w:tcPr>
          <w:p w:rsidR="009E4AC4" w:rsidRDefault="009E4AC4" w:rsidP="00416F0A">
            <w:pPr>
              <w:pStyle w:val="DHHStabletext"/>
            </w:pPr>
            <w:r>
              <w:t>Used during spray tanning</w:t>
            </w:r>
          </w:p>
        </w:tc>
        <w:tc>
          <w:tcPr>
            <w:tcW w:w="1539" w:type="dxa"/>
          </w:tcPr>
          <w:p w:rsidR="009E4AC4" w:rsidRDefault="009E4AC4" w:rsidP="00416F0A">
            <w:pPr>
              <w:pStyle w:val="DHHStabletext"/>
            </w:pPr>
            <w:r>
              <w:t>After each client</w:t>
            </w:r>
          </w:p>
        </w:tc>
        <w:tc>
          <w:tcPr>
            <w:tcW w:w="3965" w:type="dxa"/>
          </w:tcPr>
          <w:p w:rsidR="009E4AC4" w:rsidRPr="00192D1E" w:rsidRDefault="009E4AC4" w:rsidP="00416F0A">
            <w:pPr>
              <w:pStyle w:val="DHHStabletext"/>
            </w:pPr>
            <w:r w:rsidRPr="00192D1E">
              <w:t>Rinse free of lotions, creams or make-up.</w:t>
            </w:r>
          </w:p>
          <w:p w:rsidR="009E4AC4" w:rsidRPr="00192D1E" w:rsidRDefault="009E4AC4" w:rsidP="00416F0A">
            <w:pPr>
              <w:pStyle w:val="DHHStabletext"/>
            </w:pPr>
            <w:r w:rsidRPr="00192D1E">
              <w:t>Wash in warm water and detergent.</w:t>
            </w:r>
          </w:p>
          <w:p w:rsidR="009E4AC4" w:rsidRPr="00192D1E" w:rsidRDefault="009E4AC4" w:rsidP="00416F0A">
            <w:pPr>
              <w:pStyle w:val="DHHStabletext"/>
            </w:pPr>
            <w:r w:rsidRPr="00192D1E">
              <w:t>Rinse in hot running water.</w:t>
            </w:r>
          </w:p>
          <w:p w:rsidR="009E4AC4" w:rsidRDefault="009E4AC4" w:rsidP="00416F0A">
            <w:pPr>
              <w:pStyle w:val="DHHStabletext"/>
            </w:pPr>
            <w:r w:rsidRPr="00192D1E">
              <w:t>Dry thoroughly.</w:t>
            </w:r>
          </w:p>
        </w:tc>
      </w:tr>
      <w:tr w:rsidR="009E4AC4" w:rsidTr="00416F0A">
        <w:trPr>
          <w:cantSplit/>
        </w:trPr>
        <w:tc>
          <w:tcPr>
            <w:tcW w:w="2266" w:type="dxa"/>
          </w:tcPr>
          <w:p w:rsidR="009E4AC4" w:rsidRDefault="009E4AC4" w:rsidP="00416F0A">
            <w:pPr>
              <w:pStyle w:val="DHHStabletext"/>
            </w:pPr>
            <w:r>
              <w:t>Face sponges</w:t>
            </w:r>
          </w:p>
        </w:tc>
        <w:tc>
          <w:tcPr>
            <w:tcW w:w="1869" w:type="dxa"/>
          </w:tcPr>
          <w:p w:rsidR="009E4AC4" w:rsidRDefault="009E4AC4" w:rsidP="00416F0A">
            <w:pPr>
              <w:pStyle w:val="DHHStabletext"/>
            </w:pPr>
            <w:r>
              <w:t>Application and blending of make-up</w:t>
            </w:r>
          </w:p>
        </w:tc>
        <w:tc>
          <w:tcPr>
            <w:tcW w:w="1539" w:type="dxa"/>
          </w:tcPr>
          <w:p w:rsidR="009E4AC4" w:rsidRDefault="009E4AC4" w:rsidP="00416F0A">
            <w:pPr>
              <w:pStyle w:val="DHHStabletext"/>
            </w:pPr>
            <w:r>
              <w:t>After each client</w:t>
            </w:r>
          </w:p>
        </w:tc>
        <w:tc>
          <w:tcPr>
            <w:tcW w:w="3965" w:type="dxa"/>
          </w:tcPr>
          <w:p w:rsidR="009E4AC4" w:rsidRDefault="009E4AC4" w:rsidP="00416F0A">
            <w:pPr>
              <w:pStyle w:val="DHHStabletext"/>
            </w:pPr>
            <w:r>
              <w:t>As they are unable to be cleaned or disinfected satisfactorily, single-use is recommended.</w:t>
            </w:r>
          </w:p>
        </w:tc>
      </w:tr>
    </w:tbl>
    <w:p w:rsidR="00B2752E" w:rsidRDefault="00B2752E" w:rsidP="009E4AC4">
      <w:pPr>
        <w:pStyle w:val="DHHSbody"/>
      </w:pPr>
    </w:p>
    <w:p w:rsidR="00C263AB" w:rsidRDefault="00C263AB" w:rsidP="009E4AC4">
      <w:pPr>
        <w:pStyle w:val="DHHSbody"/>
      </w:pPr>
    </w:p>
    <w:p w:rsidR="00C263AB" w:rsidRDefault="00C263AB" w:rsidP="009E4AC4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C263AB" w:rsidRPr="002802E3" w:rsidTr="00F142DB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3AB" w:rsidRPr="00254F58" w:rsidRDefault="00C263AB" w:rsidP="00F142DB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>
              <w:t>1300 651 160</w:t>
            </w:r>
            <w:r w:rsidRPr="00254F58">
              <w:t xml:space="preserve">, using the National Relay Service 13 36 77 if required, or email </w:t>
            </w:r>
            <w:r w:rsidRPr="0006243D">
              <w:t>infectious.diseases@dhhs.vic.gov.au</w:t>
            </w:r>
          </w:p>
          <w:p w:rsidR="00C263AB" w:rsidRPr="00254F58" w:rsidRDefault="00C263AB" w:rsidP="00F142DB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:rsidR="00C263AB" w:rsidRPr="00254F58" w:rsidRDefault="00C263AB" w:rsidP="00F142DB">
            <w:pPr>
              <w:pStyle w:val="DHHSbody"/>
            </w:pPr>
            <w:r w:rsidRPr="00254F58">
              <w:t xml:space="preserve">© State of </w:t>
            </w:r>
            <w:r>
              <w:t>Victoria, Department of Health and</w:t>
            </w:r>
            <w:r w:rsidRPr="00254F58">
              <w:t xml:space="preserve"> Human Services</w:t>
            </w:r>
            <w:r>
              <w:t>,</w:t>
            </w:r>
            <w:r w:rsidRPr="0006243D">
              <w:t xml:space="preserve"> </w:t>
            </w:r>
            <w:r>
              <w:t>August</w:t>
            </w:r>
            <w:r w:rsidRPr="0006243D">
              <w:t xml:space="preserve"> 2019</w:t>
            </w:r>
            <w:r>
              <w:t>.</w:t>
            </w:r>
          </w:p>
          <w:p w:rsidR="00C263AB" w:rsidRPr="003D6907" w:rsidRDefault="00C263AB" w:rsidP="00F142DB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>Available at</w:t>
            </w:r>
            <w:r>
              <w:rPr>
                <w:szCs w:val="19"/>
              </w:rPr>
              <w:t xml:space="preserve"> &lt;</w:t>
            </w:r>
            <w:hyperlink r:id="rId11" w:history="1">
              <w:r w:rsidRPr="00816454">
                <w:rPr>
                  <w:rStyle w:val="Hyperlink"/>
                  <w:szCs w:val="19"/>
                </w:rPr>
                <w:t>https://www2.health.vic.gov.au/public-health/infectious-diseases/personal-care-body-art-industries/hairdressing-infection-prevention</w:t>
              </w:r>
            </w:hyperlink>
            <w:r>
              <w:rPr>
                <w:szCs w:val="19"/>
              </w:rPr>
              <w:t>&gt;</w:t>
            </w:r>
          </w:p>
        </w:tc>
      </w:tr>
    </w:tbl>
    <w:p w:rsidR="00413B55" w:rsidRDefault="00413B55" w:rsidP="009E4AC4">
      <w:pPr>
        <w:pStyle w:val="DHHSbody"/>
      </w:pPr>
      <w:bookmarkStart w:id="4" w:name="_GoBack"/>
      <w:bookmarkEnd w:id="4"/>
    </w:p>
    <w:sectPr w:rsidR="00413B55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A00" w:rsidRDefault="00783A00">
      <w:r>
        <w:separator/>
      </w:r>
    </w:p>
  </w:endnote>
  <w:endnote w:type="continuationSeparator" w:id="0">
    <w:p w:rsidR="00783A00" w:rsidRDefault="0078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7E5B1F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1D1BF3" w:rsidP="0051568D">
    <w:pPr>
      <w:pStyle w:val="DHHSfooter"/>
    </w:pPr>
    <w:r w:rsidRPr="009E4AC4">
      <w:t>Cosmetic application including eyelash tinting and spray tanning</w:t>
    </w:r>
    <w:r>
      <w:t>: Procedure specific requirements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7E5B1F">
      <w:rPr>
        <w:noProof/>
      </w:rPr>
      <w:t>4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A00" w:rsidRDefault="00783A00" w:rsidP="002862F1">
      <w:pPr>
        <w:spacing w:before="120"/>
      </w:pPr>
      <w:r>
        <w:separator/>
      </w:r>
    </w:p>
  </w:footnote>
  <w:footnote w:type="continuationSeparator" w:id="0">
    <w:p w:rsidR="00783A00" w:rsidRDefault="0078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BA72BFE"/>
    <w:multiLevelType w:val="multilevel"/>
    <w:tmpl w:val="D7CEA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1F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1BF3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02E9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3B5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3AFF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3A00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E5B1F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AC4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63AB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3D24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0BAC0"/>
  <w15:docId w15:val="{691E1CB6-1B00-4C7B-BE20-C70B60A6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C263AB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health.vic.gov.au/public-health/infectious-diseases/personal-care-body-art-industries/hairdressing-infection-preventio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2%20Purple%2026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02 Purple 2602</Template>
  <TotalTime>9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4463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Cameron</dc:creator>
  <cp:lastModifiedBy>Spiro Iliopoulos (DHHS)</cp:lastModifiedBy>
  <cp:revision>6</cp:revision>
  <cp:lastPrinted>2015-08-21T03:17:00Z</cp:lastPrinted>
  <dcterms:created xsi:type="dcterms:W3CDTF">2019-06-27T01:41:00Z</dcterms:created>
  <dcterms:modified xsi:type="dcterms:W3CDTF">2019-08-13T04:28:00Z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