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36E77" w14:textId="6CB61693" w:rsidR="00A62D44" w:rsidRPr="004C6EEE" w:rsidRDefault="00904AB4"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1A4BB942" wp14:editId="660EE43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865691" w:rsidRPr="00865691" w14:paraId="223B019D" w14:textId="77777777" w:rsidTr="00865691">
        <w:trPr>
          <w:trHeight w:val="575"/>
        </w:trPr>
        <w:tc>
          <w:tcPr>
            <w:tcW w:w="0" w:type="auto"/>
            <w:tcMar>
              <w:top w:w="1701" w:type="dxa"/>
              <w:left w:w="0" w:type="dxa"/>
              <w:bottom w:w="0" w:type="dxa"/>
              <w:right w:w="0" w:type="dxa"/>
            </w:tcMar>
            <w:hideMark/>
          </w:tcPr>
          <w:p w14:paraId="54DC4B21" w14:textId="77777777" w:rsidR="00865691" w:rsidRPr="00865691" w:rsidRDefault="00865691" w:rsidP="003662FD">
            <w:pPr>
              <w:pStyle w:val="Documenttitle"/>
              <w:rPr>
                <w:bCs/>
              </w:rPr>
            </w:pPr>
            <w:bookmarkStart w:id="0" w:name="_Hlk41913885"/>
            <w:r w:rsidRPr="00865691">
              <w:rPr>
                <w:bCs/>
              </w:rPr>
              <w:t xml:space="preserve">Nurse endoscopy program </w:t>
            </w:r>
          </w:p>
        </w:tc>
      </w:tr>
      <w:tr w:rsidR="00865691" w:rsidRPr="00865691" w14:paraId="0985B0C7" w14:textId="77777777" w:rsidTr="00865691">
        <w:trPr>
          <w:trHeight w:val="341"/>
        </w:trPr>
        <w:tc>
          <w:tcPr>
            <w:tcW w:w="0" w:type="auto"/>
            <w:hideMark/>
          </w:tcPr>
          <w:p w14:paraId="6F7C718E" w14:textId="77777777" w:rsidR="00865691" w:rsidRPr="002B5FF1" w:rsidRDefault="00865691" w:rsidP="00D12A29">
            <w:pPr>
              <w:pStyle w:val="Documentsubtitle"/>
              <w:rPr>
                <w:rFonts w:cs="Arial"/>
                <w:color w:val="auto"/>
              </w:rPr>
            </w:pPr>
            <w:r w:rsidRPr="00865691">
              <w:rPr>
                <w:rFonts w:cs="Arial"/>
                <w:color w:val="auto"/>
              </w:rPr>
              <w:t>Frequently Asked Questions</w:t>
            </w:r>
          </w:p>
          <w:p w14:paraId="4CB9A898" w14:textId="013DBD70" w:rsidR="001A01C9" w:rsidRPr="00865691" w:rsidRDefault="001A01C9" w:rsidP="002B5FF1">
            <w:pPr>
              <w:pStyle w:val="Bannermarking"/>
              <w:rPr>
                <w:bCs w:val="0"/>
                <w:color w:val="201547"/>
                <w:sz w:val="48"/>
                <w:szCs w:val="50"/>
              </w:rPr>
            </w:pPr>
            <w:r w:rsidRPr="002B5FF1">
              <w:rPr>
                <w:rFonts w:cs="Arial"/>
                <w:sz w:val="22"/>
                <w:szCs w:val="22"/>
              </w:rPr>
              <w:t>OFFICIAL</w:t>
            </w:r>
          </w:p>
        </w:tc>
      </w:tr>
    </w:tbl>
    <w:p w14:paraId="50EE85C7" w14:textId="4E102D2D" w:rsidR="00865691" w:rsidRPr="00865691" w:rsidRDefault="00865691" w:rsidP="00865691">
      <w:pPr>
        <w:keepNext/>
        <w:keepLines/>
        <w:spacing w:before="240" w:after="90" w:line="340" w:lineRule="atLeast"/>
        <w:outlineLvl w:val="1"/>
        <w:rPr>
          <w:b/>
          <w:sz w:val="32"/>
          <w:szCs w:val="28"/>
        </w:rPr>
      </w:pPr>
      <w:bookmarkStart w:id="1" w:name="_Hlk37240926"/>
      <w:r w:rsidRPr="00865691">
        <w:rPr>
          <w:b/>
          <w:sz w:val="32"/>
          <w:szCs w:val="28"/>
        </w:rPr>
        <w:t xml:space="preserve">What is a nurse endoscopist?  </w:t>
      </w:r>
    </w:p>
    <w:p w14:paraId="698F03F3" w14:textId="77777777" w:rsidR="00865691" w:rsidRPr="00865691" w:rsidRDefault="00865691" w:rsidP="00865691">
      <w:pPr>
        <w:spacing w:after="14" w:line="268" w:lineRule="auto"/>
        <w:ind w:left="-5" w:right="11" w:hanging="10"/>
        <w:rPr>
          <w:rFonts w:eastAsia="Times"/>
        </w:rPr>
      </w:pPr>
      <w:bookmarkStart w:id="2" w:name="_Hlk83639417"/>
      <w:r w:rsidRPr="00865691">
        <w:rPr>
          <w:rFonts w:eastAsia="Times"/>
        </w:rPr>
        <w:t xml:space="preserve">An advanced practice specialised nurse trained under the direct supervision of gastroenterologists and </w:t>
      </w:r>
    </w:p>
    <w:p w14:paraId="2E976742" w14:textId="77777777" w:rsidR="00865691" w:rsidRPr="00865691" w:rsidRDefault="00865691" w:rsidP="00865691">
      <w:pPr>
        <w:spacing w:after="130" w:line="268" w:lineRule="auto"/>
        <w:ind w:left="-5" w:right="11" w:hanging="10"/>
        <w:rPr>
          <w:rFonts w:eastAsia="Times"/>
        </w:rPr>
      </w:pPr>
      <w:r w:rsidRPr="00865691">
        <w:rPr>
          <w:rFonts w:eastAsia="Times"/>
        </w:rPr>
        <w:t xml:space="preserve">colorectal surgeons to perform endoscopic examinations, such as that of the lower gastrointestinal tract. </w:t>
      </w:r>
    </w:p>
    <w:bookmarkEnd w:id="2"/>
    <w:p w14:paraId="01610AA0" w14:textId="77777777" w:rsidR="00865691" w:rsidRPr="00865691" w:rsidRDefault="00865691" w:rsidP="00865691">
      <w:pPr>
        <w:keepNext/>
        <w:keepLines/>
        <w:spacing w:before="240" w:after="90" w:line="340" w:lineRule="atLeast"/>
        <w:outlineLvl w:val="1"/>
        <w:rPr>
          <w:b/>
          <w:sz w:val="32"/>
          <w:szCs w:val="28"/>
        </w:rPr>
      </w:pPr>
      <w:r w:rsidRPr="00865691">
        <w:rPr>
          <w:b/>
          <w:sz w:val="32"/>
          <w:szCs w:val="28"/>
        </w:rPr>
        <w:t xml:space="preserve">Why were advanced practice endoscopy nursing roles developed?  </w:t>
      </w:r>
    </w:p>
    <w:p w14:paraId="02E13FB8" w14:textId="77777777" w:rsidR="00865691" w:rsidRPr="00865691" w:rsidRDefault="00865691" w:rsidP="00865691">
      <w:pPr>
        <w:spacing w:after="130" w:line="268" w:lineRule="auto"/>
        <w:ind w:left="-5" w:right="11" w:hanging="10"/>
        <w:rPr>
          <w:rFonts w:eastAsia="Times"/>
        </w:rPr>
      </w:pPr>
      <w:r w:rsidRPr="00865691">
        <w:rPr>
          <w:rFonts w:eastAsia="Times"/>
        </w:rPr>
        <w:t xml:space="preserve">By expanding the scope of work that trained health professionals can safely undertake, we are creating a health workforce that can better respond to Australia’s changing and increased demands for health care.  </w:t>
      </w:r>
    </w:p>
    <w:p w14:paraId="1656340A" w14:textId="12DC54E1" w:rsidR="00865691" w:rsidRPr="00865691" w:rsidRDefault="007220AC" w:rsidP="00865691">
      <w:pPr>
        <w:spacing w:after="130" w:line="268" w:lineRule="auto"/>
        <w:ind w:left="-5" w:right="11" w:hanging="10"/>
        <w:rPr>
          <w:rFonts w:eastAsia="Times"/>
        </w:rPr>
      </w:pPr>
      <w:bookmarkStart w:id="3" w:name="_Hlk83639631"/>
      <w:r>
        <w:rPr>
          <w:rFonts w:eastAsia="Times"/>
        </w:rPr>
        <w:t xml:space="preserve">Various factors have driven the growth in demand </w:t>
      </w:r>
      <w:r w:rsidR="00865691" w:rsidRPr="00865691">
        <w:rPr>
          <w:rFonts w:eastAsia="Times"/>
        </w:rPr>
        <w:t>for colonoscopy screening services in Victoria</w:t>
      </w:r>
      <w:r>
        <w:rPr>
          <w:rFonts w:eastAsia="Times"/>
        </w:rPr>
        <w:t>,</w:t>
      </w:r>
      <w:r w:rsidR="00865691" w:rsidRPr="00865691">
        <w:rPr>
          <w:rFonts w:eastAsia="Times"/>
        </w:rPr>
        <w:t xml:space="preserve"> </w:t>
      </w:r>
      <w:bookmarkEnd w:id="3"/>
      <w:r w:rsidR="00865691" w:rsidRPr="00865691">
        <w:rPr>
          <w:rFonts w:eastAsia="Times"/>
        </w:rPr>
        <w:t xml:space="preserve">including:  </w:t>
      </w:r>
    </w:p>
    <w:p w14:paraId="04171978" w14:textId="77777777" w:rsidR="00865691" w:rsidRPr="00865691" w:rsidRDefault="00865691" w:rsidP="00865691">
      <w:pPr>
        <w:numPr>
          <w:ilvl w:val="0"/>
          <w:numId w:val="46"/>
        </w:numPr>
        <w:spacing w:after="40" w:line="268" w:lineRule="auto"/>
        <w:rPr>
          <w:rFonts w:eastAsia="Times"/>
        </w:rPr>
      </w:pPr>
      <w:r w:rsidRPr="00865691">
        <w:rPr>
          <w:rFonts w:eastAsia="Times"/>
        </w:rPr>
        <w:t xml:space="preserve">increasing public expectations and awareness in relation to health and health services, including the value of screening programs such as the National Bowel Cancer Screening Program (NBCSP) </w:t>
      </w:r>
    </w:p>
    <w:p w14:paraId="0538D3C5" w14:textId="77777777" w:rsidR="00865691" w:rsidRPr="00865691" w:rsidRDefault="00865691" w:rsidP="00865691">
      <w:pPr>
        <w:numPr>
          <w:ilvl w:val="0"/>
          <w:numId w:val="46"/>
        </w:numPr>
        <w:spacing w:after="40" w:line="268" w:lineRule="auto"/>
        <w:rPr>
          <w:rFonts w:eastAsia="Times"/>
        </w:rPr>
      </w:pPr>
      <w:r w:rsidRPr="00865691">
        <w:rPr>
          <w:rFonts w:eastAsia="Times"/>
        </w:rPr>
        <w:t xml:space="preserve">an ageing population </w:t>
      </w:r>
    </w:p>
    <w:p w14:paraId="7020ED1D" w14:textId="29B0EBEB" w:rsidR="00865691" w:rsidRPr="00865691" w:rsidRDefault="00865691" w:rsidP="00865691">
      <w:pPr>
        <w:numPr>
          <w:ilvl w:val="0"/>
          <w:numId w:val="46"/>
        </w:numPr>
        <w:spacing w:after="40" w:line="268" w:lineRule="auto"/>
        <w:rPr>
          <w:rFonts w:eastAsia="Times"/>
        </w:rPr>
      </w:pPr>
      <w:r w:rsidRPr="00865691">
        <w:rPr>
          <w:rFonts w:eastAsia="Times"/>
        </w:rPr>
        <w:t xml:space="preserve">an increase in </w:t>
      </w:r>
      <w:r w:rsidR="005E7905">
        <w:rPr>
          <w:rFonts w:eastAsia="Times"/>
        </w:rPr>
        <w:t>risk factors</w:t>
      </w:r>
      <w:r w:rsidRPr="00865691">
        <w:rPr>
          <w:rFonts w:eastAsia="Times"/>
        </w:rPr>
        <w:t>, such as obesity, which are associated with gastrointestinal comorbidities</w:t>
      </w:r>
      <w:r w:rsidRPr="00865691">
        <w:rPr>
          <w:rFonts w:eastAsia="Times"/>
          <w:vertAlign w:val="superscript"/>
        </w:rPr>
        <w:footnoteReference w:id="2"/>
      </w:r>
      <w:r w:rsidRPr="00865691">
        <w:rPr>
          <w:rFonts w:eastAsia="Times"/>
        </w:rPr>
        <w:t>.</w:t>
      </w:r>
    </w:p>
    <w:p w14:paraId="3A35711A" w14:textId="77777777" w:rsidR="00865691" w:rsidRPr="00865691" w:rsidRDefault="00865691" w:rsidP="00865691">
      <w:pPr>
        <w:spacing w:after="40"/>
        <w:rPr>
          <w:rFonts w:eastAsia="Times"/>
        </w:rPr>
      </w:pPr>
      <w:r w:rsidRPr="00865691">
        <w:rPr>
          <w:rFonts w:eastAsia="Times"/>
        </w:rPr>
        <w:t>Between 2009-10 and 2019-20, the number of public sector colonoscopies increased by 66 per cent (from 31,374 to 52,104 colonoscopies respectively)</w:t>
      </w:r>
      <w:r w:rsidRPr="00865691">
        <w:rPr>
          <w:rFonts w:eastAsia="Times"/>
          <w:vertAlign w:val="superscript"/>
        </w:rPr>
        <w:footnoteReference w:id="3"/>
      </w:r>
      <w:r w:rsidRPr="00865691">
        <w:rPr>
          <w:rFonts w:eastAsia="Times"/>
        </w:rPr>
        <w:t xml:space="preserve">. In part, demand has increased with the introduction of the NBCSP. In 2019-20, NBCSP colonoscopy represented approximately 9 per cent of all public sector colonoscopies reported (4,901). It is foreseeable that demand will continue to steadily increase. </w:t>
      </w:r>
    </w:p>
    <w:p w14:paraId="2F40C28C" w14:textId="18696772" w:rsidR="00865691" w:rsidRPr="00865691" w:rsidRDefault="00EB5A85" w:rsidP="00865691">
      <w:pPr>
        <w:spacing w:after="40"/>
        <w:rPr>
          <w:rFonts w:eastAsia="Times"/>
        </w:rPr>
      </w:pPr>
      <w:bookmarkStart w:id="4" w:name="_Hlk83640817"/>
      <w:r>
        <w:rPr>
          <w:rFonts w:eastAsia="Times"/>
        </w:rPr>
        <w:t xml:space="preserve">Interdisciplinary teams of health professionals </w:t>
      </w:r>
      <w:r w:rsidR="00620C75">
        <w:rPr>
          <w:rFonts w:eastAsia="Times"/>
        </w:rPr>
        <w:t>will help meet the growing demand for endoscopy services. Teams of medical, nursing and allied health staff work collaboratively and u</w:t>
      </w:r>
      <w:r w:rsidR="009D40A5">
        <w:rPr>
          <w:rFonts w:eastAsia="Times"/>
        </w:rPr>
        <w:t>se</w:t>
      </w:r>
      <w:r w:rsidR="00620C75">
        <w:rPr>
          <w:rFonts w:eastAsia="Times"/>
        </w:rPr>
        <w:t xml:space="preserve"> their skills to full capacity </w:t>
      </w:r>
      <w:r w:rsidR="005A08A4">
        <w:rPr>
          <w:rFonts w:eastAsia="Times"/>
        </w:rPr>
        <w:t xml:space="preserve">to provide safe, high-quality and patient-centred care. </w:t>
      </w:r>
      <w:r w:rsidR="00620C75">
        <w:rPr>
          <w:rFonts w:eastAsia="Times"/>
        </w:rPr>
        <w:t xml:space="preserve"> </w:t>
      </w:r>
    </w:p>
    <w:bookmarkEnd w:id="4"/>
    <w:p w14:paraId="62742F01" w14:textId="77777777" w:rsidR="00865691" w:rsidRPr="00865691" w:rsidRDefault="00865691" w:rsidP="00865691">
      <w:pPr>
        <w:keepNext/>
        <w:keepLines/>
        <w:spacing w:before="240" w:after="90" w:line="340" w:lineRule="atLeast"/>
        <w:outlineLvl w:val="1"/>
        <w:rPr>
          <w:b/>
          <w:sz w:val="32"/>
          <w:szCs w:val="28"/>
        </w:rPr>
      </w:pPr>
      <w:r w:rsidRPr="00865691">
        <w:rPr>
          <w:b/>
          <w:sz w:val="32"/>
          <w:szCs w:val="28"/>
        </w:rPr>
        <w:t xml:space="preserve">What are the benefits of nurse endoscopy?  </w:t>
      </w:r>
    </w:p>
    <w:p w14:paraId="1E3C1168" w14:textId="3EBBD2F0" w:rsidR="00865691" w:rsidRPr="00865691" w:rsidRDefault="00865691" w:rsidP="00865691">
      <w:pPr>
        <w:spacing w:after="130" w:line="268" w:lineRule="auto"/>
        <w:ind w:left="-5" w:right="11" w:hanging="10"/>
        <w:rPr>
          <w:rFonts w:eastAsia="Times"/>
        </w:rPr>
      </w:pPr>
      <w:r w:rsidRPr="00865691">
        <w:rPr>
          <w:rFonts w:eastAsia="Times"/>
        </w:rPr>
        <w:t>Access to timely endoscopy services is necessary to support delivery of high-quality health care to the Victorian community</w:t>
      </w:r>
      <w:r w:rsidR="00653C0A">
        <w:rPr>
          <w:rFonts w:eastAsia="Times"/>
        </w:rPr>
        <w:t xml:space="preserve"> </w:t>
      </w:r>
      <w:r w:rsidR="00F006DF">
        <w:rPr>
          <w:rFonts w:eastAsia="Times"/>
        </w:rPr>
        <w:t xml:space="preserve">and </w:t>
      </w:r>
      <w:r w:rsidR="00653C0A">
        <w:rPr>
          <w:rFonts w:eastAsia="Times"/>
        </w:rPr>
        <w:t>underpin</w:t>
      </w:r>
      <w:r w:rsidR="00F006DF">
        <w:rPr>
          <w:rFonts w:eastAsia="Times"/>
        </w:rPr>
        <w:t xml:space="preserve">s </w:t>
      </w:r>
      <w:r w:rsidR="00653C0A">
        <w:rPr>
          <w:rFonts w:eastAsia="Times"/>
        </w:rPr>
        <w:t xml:space="preserve">best practice in </w:t>
      </w:r>
      <w:r w:rsidR="00F006DF">
        <w:rPr>
          <w:rFonts w:eastAsia="Times"/>
        </w:rPr>
        <w:t>cancer care</w:t>
      </w:r>
      <w:r w:rsidRPr="00865691">
        <w:rPr>
          <w:rFonts w:eastAsia="Times"/>
        </w:rPr>
        <w:t xml:space="preserve">.   </w:t>
      </w:r>
    </w:p>
    <w:p w14:paraId="017486AC" w14:textId="77777777" w:rsidR="00865691" w:rsidRPr="00865691" w:rsidRDefault="00865691" w:rsidP="00865691">
      <w:pPr>
        <w:spacing w:after="130" w:line="268" w:lineRule="auto"/>
        <w:ind w:left="-5" w:right="11" w:hanging="10"/>
        <w:rPr>
          <w:rFonts w:eastAsia="Times"/>
        </w:rPr>
      </w:pPr>
      <w:r w:rsidRPr="00865691">
        <w:rPr>
          <w:rFonts w:eastAsia="Times"/>
        </w:rPr>
        <w:t xml:space="preserve">The introduction of nurse endoscopy enables medical staff to manage and treat more patients by delegating appropriate cases to highly qualified advanced practice nurses. This in turn allows better access to gastroenterologists for complex and advanced endoscopic cases.  </w:t>
      </w:r>
    </w:p>
    <w:p w14:paraId="6E5F1753" w14:textId="7EC1BE70" w:rsidR="00865691" w:rsidRPr="00865691" w:rsidRDefault="00865691" w:rsidP="00865691">
      <w:pPr>
        <w:spacing w:after="130" w:line="268" w:lineRule="auto"/>
        <w:ind w:left="-5" w:right="11" w:hanging="10"/>
        <w:rPr>
          <w:rFonts w:eastAsia="Arial" w:cs="Arial"/>
          <w:b/>
          <w:sz w:val="24"/>
          <w:szCs w:val="22"/>
          <w:lang w:eastAsia="en-AU"/>
        </w:rPr>
      </w:pPr>
      <w:r w:rsidRPr="00865691">
        <w:rPr>
          <w:rFonts w:eastAsia="Times"/>
        </w:rPr>
        <w:t xml:space="preserve">Nurse endoscopy means real benefits to patients and public health services. This means providing greater access to services for suitable patients that require follow up screening and review services </w:t>
      </w:r>
      <w:r w:rsidR="00854577">
        <w:rPr>
          <w:rFonts w:eastAsia="Times"/>
        </w:rPr>
        <w:t>It also builds</w:t>
      </w:r>
      <w:r w:rsidRPr="00865691">
        <w:rPr>
          <w:rFonts w:eastAsia="Times"/>
        </w:rPr>
        <w:t xml:space="preserve"> workforce capacity in the form of extra nurses and </w:t>
      </w:r>
      <w:r w:rsidR="00D17E74">
        <w:rPr>
          <w:rFonts w:eastAsia="Times"/>
        </w:rPr>
        <w:t>new</w:t>
      </w:r>
      <w:r w:rsidR="00D17E74" w:rsidRPr="00865691">
        <w:rPr>
          <w:rFonts w:eastAsia="Times"/>
        </w:rPr>
        <w:t xml:space="preserve"> </w:t>
      </w:r>
      <w:r w:rsidRPr="00865691">
        <w:rPr>
          <w:rFonts w:eastAsia="Times"/>
        </w:rPr>
        <w:t xml:space="preserve">lists, in addition to the current medical endoscopy lists.  </w:t>
      </w:r>
    </w:p>
    <w:p w14:paraId="510EB6C0" w14:textId="77777777" w:rsidR="00865691" w:rsidRPr="00865691" w:rsidRDefault="00865691" w:rsidP="00865691">
      <w:pPr>
        <w:keepNext/>
        <w:keepLines/>
        <w:spacing w:before="240" w:after="90" w:line="340" w:lineRule="atLeast"/>
        <w:outlineLvl w:val="1"/>
        <w:rPr>
          <w:b/>
          <w:sz w:val="32"/>
          <w:szCs w:val="28"/>
        </w:rPr>
      </w:pPr>
      <w:r w:rsidRPr="00865691">
        <w:rPr>
          <w:b/>
          <w:sz w:val="32"/>
          <w:szCs w:val="28"/>
        </w:rPr>
        <w:lastRenderedPageBreak/>
        <w:t xml:space="preserve">Do other countries have successful nurse endoscopy programs?  </w:t>
      </w:r>
    </w:p>
    <w:p w14:paraId="3C85C2D6" w14:textId="77777777" w:rsidR="00865691" w:rsidRPr="00865691" w:rsidRDefault="00865691" w:rsidP="00865691">
      <w:pPr>
        <w:spacing w:after="130" w:line="268" w:lineRule="auto"/>
        <w:ind w:left="-5" w:right="11" w:hanging="10"/>
        <w:rPr>
          <w:rFonts w:eastAsia="Times"/>
        </w:rPr>
      </w:pPr>
      <w:r w:rsidRPr="00865691">
        <w:rPr>
          <w:rFonts w:eastAsia="Times"/>
        </w:rPr>
        <w:t xml:space="preserve">International experience in nurse endoscopy in the UK, US and Europe demonstrate that health workforce reforms can be implemented without compromising patient safety.  </w:t>
      </w:r>
    </w:p>
    <w:p w14:paraId="72905279" w14:textId="77777777" w:rsidR="00865691" w:rsidRPr="00865691" w:rsidRDefault="00865691" w:rsidP="00865691">
      <w:pPr>
        <w:spacing w:after="130" w:line="268" w:lineRule="auto"/>
        <w:ind w:left="-5" w:right="11" w:hanging="10"/>
        <w:rPr>
          <w:rFonts w:eastAsia="Arial" w:cs="Arial"/>
          <w:b/>
          <w:sz w:val="24"/>
          <w:szCs w:val="22"/>
          <w:lang w:eastAsia="en-AU"/>
        </w:rPr>
      </w:pPr>
      <w:r w:rsidRPr="00865691">
        <w:rPr>
          <w:rFonts w:eastAsia="Times"/>
        </w:rPr>
        <w:t>In 2009, an evaluation of the comparative clinical effectiveness of doctors and nurses undertaking upper and lower gastrointestinal endoscopy was undertaken across 23 hospitals in the UK. The results showed that there was no significant difference between the clinical effectiveness of the procedure when undertaken by a doctor or a nurse</w:t>
      </w:r>
      <w:r w:rsidRPr="00865691">
        <w:rPr>
          <w:rFonts w:eastAsia="Times" w:cs="Arial"/>
          <w:vertAlign w:val="superscript"/>
        </w:rPr>
        <w:footnoteReference w:id="4"/>
      </w:r>
      <w:r w:rsidRPr="00865691">
        <w:rPr>
          <w:rFonts w:eastAsia="Times"/>
        </w:rPr>
        <w:t>. The study concluded that diagnostic endoscopy can be undertaken safely and effectively by nurses.</w:t>
      </w:r>
    </w:p>
    <w:p w14:paraId="25B8D7C8" w14:textId="77777777" w:rsidR="00865691" w:rsidRPr="00865691" w:rsidRDefault="00865691" w:rsidP="00865691">
      <w:pPr>
        <w:keepNext/>
        <w:keepLines/>
        <w:spacing w:before="240" w:after="90" w:line="340" w:lineRule="atLeast"/>
        <w:outlineLvl w:val="1"/>
        <w:rPr>
          <w:b/>
          <w:sz w:val="32"/>
          <w:szCs w:val="28"/>
        </w:rPr>
      </w:pPr>
      <w:r w:rsidRPr="00865691">
        <w:rPr>
          <w:b/>
          <w:sz w:val="32"/>
          <w:szCs w:val="28"/>
        </w:rPr>
        <w:t xml:space="preserve">Is there an active nurse endoscopy training program operating in Victoria?   </w:t>
      </w:r>
    </w:p>
    <w:p w14:paraId="3F3AD5D1" w14:textId="69B3CE70" w:rsidR="00865691" w:rsidRPr="00865691" w:rsidRDefault="00865691" w:rsidP="00865691">
      <w:pPr>
        <w:spacing w:after="130" w:line="268" w:lineRule="auto"/>
        <w:ind w:left="-5" w:right="11" w:hanging="10"/>
        <w:rPr>
          <w:rFonts w:eastAsia="Times"/>
        </w:rPr>
      </w:pPr>
      <w:r w:rsidRPr="00865691">
        <w:rPr>
          <w:rFonts w:eastAsia="Times"/>
        </w:rPr>
        <w:t xml:space="preserve">No, however there are resources available to assist health organisations interested in developing Nurse Endoscopist roles within their workforce. </w:t>
      </w:r>
    </w:p>
    <w:p w14:paraId="4F299BAD" w14:textId="3218843B" w:rsidR="00865691" w:rsidRPr="00865691" w:rsidRDefault="00865691" w:rsidP="00865691">
      <w:pPr>
        <w:spacing w:after="130" w:line="268" w:lineRule="auto"/>
        <w:ind w:left="-5" w:right="11" w:hanging="10"/>
        <w:rPr>
          <w:rFonts w:eastAsia="Times"/>
        </w:rPr>
      </w:pPr>
      <w:r w:rsidRPr="00865691">
        <w:rPr>
          <w:rFonts w:eastAsia="Times"/>
        </w:rPr>
        <w:t xml:space="preserve">A formalised training program was previously provided by the State Endoscopy Training Centre (SETC), through Austin Health in partnership with the Victorian Department of Health. </w:t>
      </w:r>
      <w:r w:rsidR="00C7168E">
        <w:rPr>
          <w:rFonts w:eastAsia="Times"/>
        </w:rPr>
        <w:t>I</w:t>
      </w:r>
      <w:r w:rsidRPr="00865691">
        <w:rPr>
          <w:rFonts w:eastAsia="Times"/>
        </w:rPr>
        <w:t xml:space="preserve">ndividual health services </w:t>
      </w:r>
      <w:r w:rsidR="007D65FD" w:rsidRPr="00865691">
        <w:rPr>
          <w:rFonts w:eastAsia="Times"/>
        </w:rPr>
        <w:t>can</w:t>
      </w:r>
      <w:r w:rsidRPr="00865691">
        <w:rPr>
          <w:rFonts w:eastAsia="Times"/>
        </w:rPr>
        <w:t xml:space="preserve"> access the resources</w:t>
      </w:r>
      <w:r w:rsidR="00B75465">
        <w:rPr>
          <w:rFonts w:eastAsia="Times"/>
        </w:rPr>
        <w:t xml:space="preserve"> </w:t>
      </w:r>
      <w:r w:rsidRPr="00865691">
        <w:rPr>
          <w:rFonts w:eastAsia="Times"/>
        </w:rPr>
        <w:t>developed by the SETC</w:t>
      </w:r>
      <w:r w:rsidR="00272520">
        <w:rPr>
          <w:rFonts w:eastAsia="Times"/>
        </w:rPr>
        <w:t>, now adapted for</w:t>
      </w:r>
      <w:r w:rsidRPr="00865691">
        <w:rPr>
          <w:rFonts w:eastAsia="Times"/>
        </w:rPr>
        <w:t xml:space="preserve"> use </w:t>
      </w:r>
      <w:r w:rsidR="00577119">
        <w:rPr>
          <w:rFonts w:eastAsia="Times"/>
        </w:rPr>
        <w:t>by other</w:t>
      </w:r>
      <w:r w:rsidRPr="00865691">
        <w:rPr>
          <w:rFonts w:eastAsia="Times"/>
        </w:rPr>
        <w:t xml:space="preserve"> organisation</w:t>
      </w:r>
      <w:r w:rsidR="00577119">
        <w:rPr>
          <w:rFonts w:eastAsia="Times"/>
        </w:rPr>
        <w:t>s at</w:t>
      </w:r>
      <w:r w:rsidR="00D05612">
        <w:rPr>
          <w:rFonts w:eastAsia="Times"/>
        </w:rPr>
        <w:t xml:space="preserve"> </w:t>
      </w:r>
      <w:hyperlink r:id="rId15" w:history="1">
        <w:r w:rsidR="00D05612" w:rsidRPr="00D05612">
          <w:rPr>
            <w:rStyle w:val="Hyperlink"/>
            <w:rFonts w:eastAsia="Times"/>
          </w:rPr>
          <w:t>Advance practice nurse endoscopists</w:t>
        </w:r>
      </w:hyperlink>
      <w:r w:rsidR="00577119">
        <w:rPr>
          <w:rFonts w:eastAsia="Times"/>
        </w:rPr>
        <w:t xml:space="preserve"> </w:t>
      </w:r>
      <w:r w:rsidR="00577119" w:rsidRPr="00D05612">
        <w:rPr>
          <w:rFonts w:eastAsia="Times"/>
        </w:rPr>
        <w:t>&lt;</w:t>
      </w:r>
      <w:r w:rsidR="00D05612" w:rsidRPr="00D05612">
        <w:rPr>
          <w:rFonts w:eastAsia="Times"/>
        </w:rPr>
        <w:t>https://www2.health.vic.gov.au/health-workforce/nursing-and-midwifery/furthering-your-nursing-and-midwifery-career/advance-practice-nurse-endoscopist</w:t>
      </w:r>
      <w:r w:rsidR="00D05612">
        <w:rPr>
          <w:rFonts w:eastAsia="Times"/>
        </w:rPr>
        <w:t>s</w:t>
      </w:r>
      <w:r w:rsidR="00577119" w:rsidRPr="00D05612">
        <w:rPr>
          <w:rFonts w:eastAsia="Times"/>
        </w:rPr>
        <w:t>&gt;</w:t>
      </w:r>
      <w:r w:rsidRPr="00D05612">
        <w:rPr>
          <w:rFonts w:eastAsia="Times"/>
        </w:rPr>
        <w:t>.</w:t>
      </w:r>
    </w:p>
    <w:p w14:paraId="0A461325" w14:textId="114D4346" w:rsidR="00865691" w:rsidRPr="00865691" w:rsidRDefault="00865691" w:rsidP="00865691">
      <w:pPr>
        <w:keepNext/>
        <w:keepLines/>
        <w:spacing w:before="240" w:after="90" w:line="340" w:lineRule="atLeast"/>
        <w:outlineLvl w:val="1"/>
        <w:rPr>
          <w:b/>
          <w:sz w:val="32"/>
          <w:szCs w:val="28"/>
        </w:rPr>
      </w:pPr>
      <w:r w:rsidRPr="00865691">
        <w:rPr>
          <w:b/>
          <w:sz w:val="32"/>
          <w:szCs w:val="28"/>
        </w:rPr>
        <w:t xml:space="preserve">What training do advance practice nurse endoscopists </w:t>
      </w:r>
      <w:r w:rsidR="009E7334">
        <w:rPr>
          <w:b/>
          <w:sz w:val="32"/>
          <w:szCs w:val="28"/>
        </w:rPr>
        <w:t xml:space="preserve">need to </w:t>
      </w:r>
      <w:r w:rsidRPr="00865691">
        <w:rPr>
          <w:b/>
          <w:sz w:val="32"/>
          <w:szCs w:val="28"/>
        </w:rPr>
        <w:t xml:space="preserve">undertake </w:t>
      </w:r>
      <w:r w:rsidR="00FD116B">
        <w:rPr>
          <w:b/>
          <w:sz w:val="32"/>
          <w:szCs w:val="28"/>
        </w:rPr>
        <w:t xml:space="preserve">to practice </w:t>
      </w:r>
      <w:r w:rsidRPr="00865691">
        <w:rPr>
          <w:b/>
          <w:sz w:val="32"/>
          <w:szCs w:val="28"/>
        </w:rPr>
        <w:t xml:space="preserve">in Victoria?    </w:t>
      </w:r>
    </w:p>
    <w:p w14:paraId="3D591702" w14:textId="77777777" w:rsidR="00865691" w:rsidRPr="00865691" w:rsidRDefault="00865691" w:rsidP="00865691">
      <w:pPr>
        <w:spacing w:after="130" w:line="268" w:lineRule="auto"/>
        <w:ind w:left="-5" w:right="11" w:hanging="10"/>
        <w:rPr>
          <w:rFonts w:eastAsia="Times"/>
        </w:rPr>
      </w:pPr>
      <w:r w:rsidRPr="00865691">
        <w:rPr>
          <w:rFonts w:eastAsia="Times"/>
        </w:rPr>
        <w:t xml:space="preserve">Under the Expanded Scope of Practice program, highly qualified and experienced nurses within the endoscopy field undertake 12-18 months of advanced skills training. </w:t>
      </w:r>
    </w:p>
    <w:p w14:paraId="1DD473C8" w14:textId="1318791D" w:rsidR="00865691" w:rsidRPr="00865691" w:rsidRDefault="00865691" w:rsidP="00865691">
      <w:pPr>
        <w:spacing w:after="130" w:line="268" w:lineRule="auto"/>
        <w:ind w:left="-5" w:right="11" w:hanging="10"/>
        <w:rPr>
          <w:rFonts w:eastAsia="Times"/>
        </w:rPr>
      </w:pPr>
      <w:r w:rsidRPr="00865691">
        <w:rPr>
          <w:rFonts w:eastAsia="Times"/>
        </w:rPr>
        <w:t xml:space="preserve">Specialist theoretical and practical modes of training are delivered under the direct supervision of gastroenterologists and colorectal surgeons, to ensure nurse endoscopists perform screening colonoscopies safely, </w:t>
      </w:r>
      <w:r w:rsidR="003729A3" w:rsidRPr="00865691">
        <w:rPr>
          <w:rFonts w:eastAsia="Times"/>
        </w:rPr>
        <w:t>accurately,</w:t>
      </w:r>
      <w:r w:rsidRPr="00865691">
        <w:rPr>
          <w:rFonts w:eastAsia="Times"/>
        </w:rPr>
        <w:t xml:space="preserve"> and effectively. As with medical trainees, competent nurse endoscopists will typically have performed </w:t>
      </w:r>
      <w:r w:rsidR="003729A3" w:rsidRPr="00865691">
        <w:rPr>
          <w:rFonts w:eastAsia="Times"/>
        </w:rPr>
        <w:t>more than</w:t>
      </w:r>
      <w:r w:rsidRPr="00865691">
        <w:rPr>
          <w:rFonts w:eastAsia="Times"/>
        </w:rPr>
        <w:t xml:space="preserve"> 200 endoscopic procedures.   </w:t>
      </w:r>
    </w:p>
    <w:p w14:paraId="7A6A8124" w14:textId="469823CB" w:rsidR="00865691" w:rsidRPr="00865691" w:rsidRDefault="00865691" w:rsidP="00865691">
      <w:pPr>
        <w:spacing w:after="130" w:line="268" w:lineRule="auto"/>
        <w:ind w:left="-5" w:right="11" w:hanging="10"/>
        <w:rPr>
          <w:rFonts w:eastAsia="Arial" w:cs="Arial"/>
          <w:b/>
          <w:sz w:val="24"/>
          <w:szCs w:val="22"/>
          <w:lang w:eastAsia="en-AU"/>
        </w:rPr>
      </w:pPr>
      <w:r w:rsidRPr="00865691">
        <w:rPr>
          <w:rFonts w:eastAsia="Times"/>
        </w:rPr>
        <w:t>Nurse endoscopists will only be trained within health services</w:t>
      </w:r>
      <w:r w:rsidR="00EA1937">
        <w:rPr>
          <w:rFonts w:eastAsia="Times"/>
        </w:rPr>
        <w:t xml:space="preserve"> that can</w:t>
      </w:r>
      <w:r w:rsidRPr="00865691">
        <w:rPr>
          <w:rFonts w:eastAsia="Times"/>
        </w:rPr>
        <w:t xml:space="preserve"> offer the appropriate medical supervision, leadership and comprehensive student support. </w:t>
      </w:r>
    </w:p>
    <w:p w14:paraId="62E938D6" w14:textId="094E22B3" w:rsidR="00865691" w:rsidRPr="00865691" w:rsidRDefault="00865691" w:rsidP="00865691">
      <w:pPr>
        <w:keepNext/>
        <w:keepLines/>
        <w:spacing w:before="240" w:after="90" w:line="340" w:lineRule="atLeast"/>
        <w:outlineLvl w:val="1"/>
        <w:rPr>
          <w:sz w:val="32"/>
          <w:szCs w:val="28"/>
        </w:rPr>
      </w:pPr>
      <w:r w:rsidRPr="00865691">
        <w:rPr>
          <w:b/>
          <w:sz w:val="32"/>
          <w:szCs w:val="28"/>
        </w:rPr>
        <w:t xml:space="preserve">What </w:t>
      </w:r>
      <w:r w:rsidR="00B04B72">
        <w:rPr>
          <w:b/>
          <w:sz w:val="32"/>
          <w:szCs w:val="28"/>
        </w:rPr>
        <w:t xml:space="preserve">entry </w:t>
      </w:r>
      <w:r w:rsidRPr="00865691">
        <w:rPr>
          <w:b/>
          <w:sz w:val="32"/>
          <w:szCs w:val="28"/>
        </w:rPr>
        <w:t>requirements</w:t>
      </w:r>
      <w:r w:rsidR="001832B6">
        <w:rPr>
          <w:b/>
          <w:sz w:val="32"/>
          <w:szCs w:val="28"/>
        </w:rPr>
        <w:t xml:space="preserve"> </w:t>
      </w:r>
      <w:r w:rsidR="000D2229">
        <w:rPr>
          <w:b/>
          <w:sz w:val="32"/>
          <w:szCs w:val="28"/>
        </w:rPr>
        <w:t>shoul</w:t>
      </w:r>
      <w:r w:rsidR="00B04B72">
        <w:rPr>
          <w:b/>
          <w:sz w:val="32"/>
          <w:szCs w:val="28"/>
        </w:rPr>
        <w:t xml:space="preserve">d </w:t>
      </w:r>
      <w:r w:rsidR="00302DFF">
        <w:rPr>
          <w:b/>
          <w:sz w:val="32"/>
          <w:szCs w:val="28"/>
        </w:rPr>
        <w:t>be considered when developing</w:t>
      </w:r>
      <w:r w:rsidR="00291ECF">
        <w:rPr>
          <w:b/>
          <w:sz w:val="32"/>
          <w:szCs w:val="28"/>
        </w:rPr>
        <w:t xml:space="preserve"> </w:t>
      </w:r>
      <w:r w:rsidR="00B04B72">
        <w:rPr>
          <w:b/>
          <w:sz w:val="32"/>
          <w:szCs w:val="28"/>
        </w:rPr>
        <w:t>a nurse endoscopy program</w:t>
      </w:r>
      <w:r w:rsidRPr="00865691">
        <w:rPr>
          <w:b/>
          <w:sz w:val="32"/>
          <w:szCs w:val="28"/>
        </w:rPr>
        <w:t>?</w:t>
      </w:r>
    </w:p>
    <w:p w14:paraId="2B667110" w14:textId="6152EF3D" w:rsidR="00B01006" w:rsidRDefault="00B01006" w:rsidP="00865691">
      <w:pPr>
        <w:spacing w:after="130" w:line="268" w:lineRule="auto"/>
        <w:ind w:left="-5" w:right="11" w:hanging="10"/>
        <w:rPr>
          <w:rFonts w:eastAsia="Times"/>
        </w:rPr>
      </w:pPr>
      <w:r>
        <w:rPr>
          <w:rFonts w:eastAsia="Times"/>
        </w:rPr>
        <w:t xml:space="preserve">Trainee nurse endoscopists need </w:t>
      </w:r>
      <w:r w:rsidR="00A103F2">
        <w:rPr>
          <w:rFonts w:eastAsia="Times"/>
        </w:rPr>
        <w:t>familiarity with gastroenterology and colorectal service environment</w:t>
      </w:r>
      <w:r w:rsidR="00047BC4">
        <w:rPr>
          <w:rFonts w:eastAsia="Times"/>
        </w:rPr>
        <w:t>s</w:t>
      </w:r>
      <w:r w:rsidR="00A103F2">
        <w:rPr>
          <w:rFonts w:eastAsia="Times"/>
        </w:rPr>
        <w:t xml:space="preserve">, the experience to undertake a new workforce role, capacity for postgraduate study, and an interest in contributing to research outcomes. </w:t>
      </w:r>
    </w:p>
    <w:p w14:paraId="0A984820" w14:textId="5414975F" w:rsidR="00602D95" w:rsidRDefault="00602D95" w:rsidP="00865691">
      <w:pPr>
        <w:spacing w:after="130" w:line="268" w:lineRule="auto"/>
        <w:ind w:left="-5" w:right="11" w:hanging="10"/>
        <w:rPr>
          <w:rFonts w:eastAsia="Times"/>
        </w:rPr>
      </w:pPr>
      <w:r>
        <w:rPr>
          <w:rFonts w:eastAsia="Times"/>
        </w:rPr>
        <w:t>To achieve this, the SETC pathway adopted the following entry req</w:t>
      </w:r>
      <w:r w:rsidR="003A1BEA">
        <w:rPr>
          <w:rFonts w:eastAsia="Times"/>
        </w:rPr>
        <w:t>uirements:</w:t>
      </w:r>
    </w:p>
    <w:p w14:paraId="49FB810D" w14:textId="77777777" w:rsidR="00865691" w:rsidRPr="00865691" w:rsidRDefault="00865691" w:rsidP="00865691">
      <w:pPr>
        <w:numPr>
          <w:ilvl w:val="0"/>
          <w:numId w:val="46"/>
        </w:numPr>
        <w:spacing w:after="40" w:line="268" w:lineRule="auto"/>
        <w:rPr>
          <w:rFonts w:eastAsia="Times"/>
        </w:rPr>
      </w:pPr>
      <w:r w:rsidRPr="00865691">
        <w:rPr>
          <w:rFonts w:eastAsia="Times"/>
        </w:rPr>
        <w:t xml:space="preserve">five years clinical experience as a Registered Nurse (post registration) </w:t>
      </w:r>
    </w:p>
    <w:p w14:paraId="5092B759" w14:textId="77777777" w:rsidR="00865691" w:rsidRPr="00865691" w:rsidRDefault="00865691" w:rsidP="00865691">
      <w:pPr>
        <w:numPr>
          <w:ilvl w:val="0"/>
          <w:numId w:val="46"/>
        </w:numPr>
        <w:spacing w:after="40" w:line="268" w:lineRule="auto"/>
        <w:rPr>
          <w:rFonts w:eastAsia="Times"/>
        </w:rPr>
      </w:pPr>
      <w:r w:rsidRPr="00865691">
        <w:rPr>
          <w:rFonts w:eastAsia="Times"/>
        </w:rPr>
        <w:t>three years nursing experience within the gastroenterology specialty, including two years (concurrent) experience in endoscopy</w:t>
      </w:r>
    </w:p>
    <w:p w14:paraId="2790B331" w14:textId="77777777" w:rsidR="00865691" w:rsidRPr="00865691" w:rsidRDefault="00865691" w:rsidP="00865691">
      <w:pPr>
        <w:numPr>
          <w:ilvl w:val="0"/>
          <w:numId w:val="46"/>
        </w:numPr>
        <w:spacing w:after="40" w:line="268" w:lineRule="auto"/>
        <w:rPr>
          <w:rFonts w:eastAsia="Times"/>
        </w:rPr>
      </w:pPr>
      <w:r w:rsidRPr="00865691">
        <w:rPr>
          <w:rFonts w:eastAsia="Times"/>
        </w:rPr>
        <w:t>a relevant post graduate qualification.</w:t>
      </w:r>
    </w:p>
    <w:p w14:paraId="27E47928" w14:textId="77777777" w:rsidR="00865691" w:rsidRPr="00865691" w:rsidRDefault="00865691" w:rsidP="00865691">
      <w:pPr>
        <w:keepNext/>
        <w:keepLines/>
        <w:spacing w:before="240" w:after="90" w:line="340" w:lineRule="atLeast"/>
        <w:outlineLvl w:val="1"/>
        <w:rPr>
          <w:b/>
          <w:sz w:val="32"/>
          <w:szCs w:val="28"/>
        </w:rPr>
      </w:pPr>
      <w:r w:rsidRPr="00865691">
        <w:rPr>
          <w:b/>
          <w:sz w:val="32"/>
          <w:szCs w:val="28"/>
        </w:rPr>
        <w:lastRenderedPageBreak/>
        <w:t xml:space="preserve">How many nurse endoscopists have been introduced into Victoria’s health workforce?    </w:t>
      </w:r>
    </w:p>
    <w:p w14:paraId="0308C61B" w14:textId="77777777" w:rsidR="00865691" w:rsidRPr="00865691" w:rsidRDefault="00865691" w:rsidP="00865691">
      <w:pPr>
        <w:spacing w:after="130" w:line="268" w:lineRule="auto"/>
        <w:ind w:left="-5" w:right="11" w:hanging="10"/>
        <w:rPr>
          <w:rFonts w:eastAsia="Times"/>
        </w:rPr>
      </w:pPr>
      <w:bookmarkStart w:id="5" w:name="_Hlk83640538"/>
      <w:r w:rsidRPr="00865691">
        <w:rPr>
          <w:rFonts w:eastAsia="Times"/>
        </w:rPr>
        <w:t xml:space="preserve">As of January 2021, Victoria has nurse endoscopy programs operating in ten health services, utilising the expertise of 15 nurse endoscopists.    </w:t>
      </w:r>
    </w:p>
    <w:bookmarkEnd w:id="5"/>
    <w:p w14:paraId="02A4B3BB" w14:textId="77777777" w:rsidR="00865691" w:rsidRPr="00865691" w:rsidRDefault="00865691" w:rsidP="00865691">
      <w:pPr>
        <w:spacing w:after="130" w:line="268" w:lineRule="auto"/>
        <w:ind w:left="-5" w:right="11" w:hanging="10"/>
        <w:rPr>
          <w:rFonts w:eastAsia="Arial" w:cs="Arial"/>
          <w:b/>
          <w:sz w:val="24"/>
          <w:szCs w:val="22"/>
          <w:lang w:eastAsia="en-AU"/>
        </w:rPr>
      </w:pPr>
      <w:r w:rsidRPr="00865691">
        <w:rPr>
          <w:rFonts w:eastAsia="Times"/>
        </w:rPr>
        <w:t xml:space="preserve">Using UK population benchmarks as a guide, over the next five to 10 years, it was originally estimated that approximately 90 nurse endoscopists could be utilised nationally, and of those 20 to 25 would be in Victoria.  </w:t>
      </w:r>
    </w:p>
    <w:p w14:paraId="038FD013" w14:textId="77777777" w:rsidR="00865691" w:rsidRPr="00F61168" w:rsidRDefault="00865691" w:rsidP="00865691">
      <w:pPr>
        <w:spacing w:after="137" w:line="256" w:lineRule="auto"/>
        <w:rPr>
          <w:b/>
          <w:sz w:val="32"/>
          <w:szCs w:val="28"/>
        </w:rPr>
      </w:pPr>
      <w:r w:rsidRPr="00F61168">
        <w:rPr>
          <w:b/>
          <w:sz w:val="32"/>
          <w:szCs w:val="28"/>
        </w:rPr>
        <w:t>What are the steps Victorian health services should consider if they identify a need to develop their own nurse endoscopy service?</w:t>
      </w:r>
    </w:p>
    <w:p w14:paraId="04D56FCC" w14:textId="61CAD20A" w:rsidR="00195094" w:rsidRDefault="00865691" w:rsidP="00865691">
      <w:pPr>
        <w:spacing w:after="130" w:line="268" w:lineRule="auto"/>
        <w:ind w:left="-5" w:right="11" w:hanging="10"/>
        <w:rPr>
          <w:rFonts w:eastAsia="Times"/>
          <w:szCs w:val="21"/>
        </w:rPr>
      </w:pPr>
      <w:r w:rsidRPr="00F61168">
        <w:rPr>
          <w:rFonts w:eastAsia="Times"/>
        </w:rPr>
        <w:t xml:space="preserve">The department </w:t>
      </w:r>
      <w:r w:rsidR="00FE35DD" w:rsidRPr="00F61168">
        <w:rPr>
          <w:rFonts w:eastAsia="Times"/>
        </w:rPr>
        <w:t>has collated</w:t>
      </w:r>
      <w:r w:rsidRPr="00F61168">
        <w:rPr>
          <w:rFonts w:eastAsia="Times"/>
        </w:rPr>
        <w:t xml:space="preserve"> a suite of documents</w:t>
      </w:r>
      <w:r w:rsidR="00C178E8">
        <w:rPr>
          <w:rFonts w:eastAsia="Times"/>
        </w:rPr>
        <w:t>, initially developed by Austin Health,</w:t>
      </w:r>
      <w:r w:rsidRPr="00F61168">
        <w:rPr>
          <w:rFonts w:eastAsia="Times"/>
        </w:rPr>
        <w:t xml:space="preserve"> </w:t>
      </w:r>
      <w:r w:rsidR="00C10A8A">
        <w:rPr>
          <w:rFonts w:eastAsia="Times"/>
        </w:rPr>
        <w:t>to support health services considering implementing a nurse endoscopy service. These documents</w:t>
      </w:r>
      <w:r w:rsidR="002530E4">
        <w:rPr>
          <w:rFonts w:eastAsia="Times"/>
        </w:rPr>
        <w:t xml:space="preserve"> </w:t>
      </w:r>
      <w:r w:rsidRPr="00F61168">
        <w:rPr>
          <w:rFonts w:eastAsia="Times"/>
        </w:rPr>
        <w:t xml:space="preserve">include an </w:t>
      </w:r>
      <w:r w:rsidR="00FE35DD" w:rsidRPr="00F61168">
        <w:rPr>
          <w:rFonts w:eastAsia="Arial" w:cs="Arial"/>
          <w:i/>
          <w:iCs/>
          <w:szCs w:val="21"/>
          <w:lang w:eastAsia="en-AU"/>
        </w:rPr>
        <w:t>Organisational Readiness Checklist</w:t>
      </w:r>
      <w:r w:rsidR="00FE35DD" w:rsidRPr="00F61168">
        <w:rPr>
          <w:rFonts w:eastAsia="Arial" w:cs="Arial"/>
          <w:b/>
          <w:bCs/>
          <w:szCs w:val="21"/>
          <w:lang w:eastAsia="en-AU"/>
        </w:rPr>
        <w:t xml:space="preserve"> </w:t>
      </w:r>
      <w:r w:rsidRPr="00F61168">
        <w:rPr>
          <w:rFonts w:eastAsia="Times"/>
          <w:szCs w:val="21"/>
        </w:rPr>
        <w:t>and a</w:t>
      </w:r>
      <w:r w:rsidR="00D80F5E">
        <w:rPr>
          <w:rFonts w:eastAsia="Times"/>
          <w:szCs w:val="21"/>
        </w:rPr>
        <w:t>n</w:t>
      </w:r>
      <w:r w:rsidRPr="00F61168">
        <w:rPr>
          <w:rFonts w:eastAsia="Times"/>
          <w:szCs w:val="21"/>
        </w:rPr>
        <w:t xml:space="preserve"> </w:t>
      </w:r>
      <w:r w:rsidR="00FE35DD" w:rsidRPr="00F61168">
        <w:rPr>
          <w:rFonts w:eastAsia="Times"/>
          <w:i/>
          <w:iCs/>
          <w:szCs w:val="21"/>
        </w:rPr>
        <w:t>Advanced Practice N</w:t>
      </w:r>
      <w:r w:rsidRPr="00F61168">
        <w:rPr>
          <w:rFonts w:eastAsia="Times"/>
          <w:i/>
          <w:iCs/>
          <w:szCs w:val="21"/>
        </w:rPr>
        <w:t xml:space="preserve">urse </w:t>
      </w:r>
      <w:r w:rsidR="00FE35DD" w:rsidRPr="00F61168">
        <w:rPr>
          <w:rFonts w:eastAsia="Times"/>
          <w:i/>
          <w:iCs/>
          <w:szCs w:val="21"/>
        </w:rPr>
        <w:t>E</w:t>
      </w:r>
      <w:r w:rsidRPr="00F61168">
        <w:rPr>
          <w:rFonts w:eastAsia="Times"/>
          <w:i/>
          <w:iCs/>
          <w:szCs w:val="21"/>
        </w:rPr>
        <w:t xml:space="preserve">ndoscopist </w:t>
      </w:r>
      <w:r w:rsidR="00FE35DD" w:rsidRPr="00F61168">
        <w:rPr>
          <w:rFonts w:eastAsia="Times"/>
          <w:i/>
          <w:iCs/>
          <w:szCs w:val="21"/>
        </w:rPr>
        <w:t>Trainee Position</w:t>
      </w:r>
      <w:r w:rsidRPr="00F61168">
        <w:rPr>
          <w:rFonts w:eastAsia="Times"/>
          <w:i/>
          <w:iCs/>
          <w:szCs w:val="21"/>
        </w:rPr>
        <w:t xml:space="preserve"> </w:t>
      </w:r>
      <w:r w:rsidR="00FE35DD" w:rsidRPr="00F61168">
        <w:rPr>
          <w:rFonts w:eastAsia="Times"/>
          <w:i/>
          <w:iCs/>
          <w:szCs w:val="21"/>
        </w:rPr>
        <w:t>D</w:t>
      </w:r>
      <w:r w:rsidRPr="00F61168">
        <w:rPr>
          <w:rFonts w:eastAsia="Times"/>
          <w:i/>
          <w:iCs/>
          <w:szCs w:val="21"/>
        </w:rPr>
        <w:t>escription</w:t>
      </w:r>
      <w:r w:rsidRPr="00F61168">
        <w:rPr>
          <w:rFonts w:eastAsia="Times"/>
          <w:szCs w:val="21"/>
        </w:rPr>
        <w:t>.</w:t>
      </w:r>
    </w:p>
    <w:p w14:paraId="5B53D7F1" w14:textId="5F1960EC" w:rsidR="00A106D0" w:rsidRDefault="00865691" w:rsidP="00865691">
      <w:pPr>
        <w:spacing w:after="130" w:line="268" w:lineRule="auto"/>
        <w:ind w:left="-5" w:right="11" w:hanging="10"/>
        <w:rPr>
          <w:rFonts w:eastAsia="Times"/>
        </w:rPr>
      </w:pPr>
      <w:r w:rsidRPr="00F61168">
        <w:rPr>
          <w:rFonts w:eastAsia="Times"/>
        </w:rPr>
        <w:t>Completi</w:t>
      </w:r>
      <w:r w:rsidR="006B0888">
        <w:rPr>
          <w:rFonts w:eastAsia="Times"/>
        </w:rPr>
        <w:t>ng</w:t>
      </w:r>
      <w:r w:rsidRPr="00F61168">
        <w:rPr>
          <w:rFonts w:eastAsia="Times"/>
        </w:rPr>
        <w:t xml:space="preserve"> the organisational checklist will </w:t>
      </w:r>
      <w:r w:rsidR="00A106D0">
        <w:rPr>
          <w:rFonts w:eastAsia="Times"/>
        </w:rPr>
        <w:t xml:space="preserve">help your organisation articulate a need for a nurse endoscopy service, </w:t>
      </w:r>
      <w:r w:rsidR="00023B33">
        <w:rPr>
          <w:rFonts w:eastAsia="Times"/>
        </w:rPr>
        <w:t xml:space="preserve">identify and engage relevant stakeholders, and develop a service delivery model and support clinical governance structures. </w:t>
      </w:r>
    </w:p>
    <w:p w14:paraId="58D23C27" w14:textId="15AA3EB5" w:rsidR="00865691" w:rsidRDefault="006F28B9" w:rsidP="00865691">
      <w:pPr>
        <w:spacing w:after="130" w:line="268" w:lineRule="auto"/>
        <w:ind w:left="-5" w:right="11" w:hanging="10"/>
        <w:rPr>
          <w:rFonts w:eastAsia="Times"/>
        </w:rPr>
      </w:pPr>
      <w:r w:rsidRPr="00F61168">
        <w:rPr>
          <w:rFonts w:eastAsia="Times"/>
        </w:rPr>
        <w:t>The ongoing support of medical and nursing champions, clinical leaders and the medical practitioners within a health service’s gastroenterology or colorectal surgical units, is vital to the successful implementation of a nurse endoscopy service.</w:t>
      </w:r>
    </w:p>
    <w:p w14:paraId="1CC649EF" w14:textId="5C2583C1" w:rsidR="00720D26" w:rsidRDefault="00720D26" w:rsidP="00865691">
      <w:pPr>
        <w:spacing w:after="130" w:line="268" w:lineRule="auto"/>
        <w:ind w:left="-5" w:right="11" w:hanging="10"/>
        <w:rPr>
          <w:rFonts w:eastAsia="Times"/>
        </w:rPr>
      </w:pPr>
    </w:p>
    <w:p w14:paraId="263C656C" w14:textId="760B9FB2" w:rsidR="00DD3DE5" w:rsidRDefault="00DD3DE5" w:rsidP="00865691">
      <w:pPr>
        <w:spacing w:after="130" w:line="268" w:lineRule="auto"/>
        <w:ind w:left="-5" w:right="11" w:hanging="10"/>
        <w:rPr>
          <w:rFonts w:eastAsia="Times"/>
        </w:rPr>
      </w:pPr>
    </w:p>
    <w:p w14:paraId="36FA6A19" w14:textId="3FC5136E" w:rsidR="00DD3DE5" w:rsidRDefault="00DD3DE5" w:rsidP="00865691">
      <w:pPr>
        <w:spacing w:after="130" w:line="268" w:lineRule="auto"/>
        <w:ind w:left="-5" w:right="11" w:hanging="10"/>
        <w:rPr>
          <w:rFonts w:eastAsia="Times"/>
        </w:rPr>
      </w:pPr>
    </w:p>
    <w:p w14:paraId="06872E58" w14:textId="0B098F1C" w:rsidR="00DD3DE5" w:rsidRDefault="00DD3DE5" w:rsidP="00865691">
      <w:pPr>
        <w:spacing w:after="130" w:line="268" w:lineRule="auto"/>
        <w:ind w:left="-5" w:right="11" w:hanging="10"/>
        <w:rPr>
          <w:rFonts w:eastAsia="Times"/>
        </w:rPr>
      </w:pPr>
    </w:p>
    <w:p w14:paraId="08C3CDF0" w14:textId="5AC01C78" w:rsidR="00DD3DE5" w:rsidRDefault="00DD3DE5" w:rsidP="00865691">
      <w:pPr>
        <w:spacing w:after="130" w:line="268" w:lineRule="auto"/>
        <w:ind w:left="-5" w:right="11" w:hanging="10"/>
        <w:rPr>
          <w:rFonts w:eastAsia="Times"/>
        </w:rPr>
      </w:pPr>
    </w:p>
    <w:p w14:paraId="17110ED9" w14:textId="047359DA" w:rsidR="00DD3DE5" w:rsidRDefault="00DD3DE5" w:rsidP="00865691">
      <w:pPr>
        <w:spacing w:after="130" w:line="268" w:lineRule="auto"/>
        <w:ind w:left="-5" w:right="11" w:hanging="10"/>
        <w:rPr>
          <w:rFonts w:eastAsia="Times"/>
        </w:rPr>
      </w:pPr>
    </w:p>
    <w:p w14:paraId="3CA0BA5F" w14:textId="77777777" w:rsidR="00DD3DE5" w:rsidRDefault="00DD3DE5" w:rsidP="00865691">
      <w:pPr>
        <w:spacing w:after="130" w:line="268" w:lineRule="auto"/>
        <w:ind w:left="-5" w:right="11" w:hanging="10"/>
        <w:rPr>
          <w:rFonts w:eastAsia="Times"/>
        </w:rPr>
      </w:pPr>
    </w:p>
    <w:p w14:paraId="28FFA543" w14:textId="77777777" w:rsidR="00720D26" w:rsidRDefault="00720D26" w:rsidP="00865691">
      <w:pPr>
        <w:spacing w:after="130" w:line="268" w:lineRule="auto"/>
        <w:ind w:left="-5" w:right="11" w:hanging="10"/>
        <w:rPr>
          <w:rFonts w:eastAsia="Times"/>
        </w:rPr>
      </w:pPr>
    </w:p>
    <w:tbl>
      <w:tblPr>
        <w:tblStyle w:val="TableGrid"/>
        <w:tblW w:w="0" w:type="auto"/>
        <w:tblCellMar>
          <w:bottom w:w="108" w:type="dxa"/>
        </w:tblCellMar>
        <w:tblLook w:val="0600" w:firstRow="0" w:lastRow="0" w:firstColumn="0" w:lastColumn="0" w:noHBand="1" w:noVBand="1"/>
      </w:tblPr>
      <w:tblGrid>
        <w:gridCol w:w="10194"/>
      </w:tblGrid>
      <w:tr w:rsidR="002B5FF1" w:rsidRPr="00865691" w14:paraId="40DD751E" w14:textId="77777777" w:rsidTr="00720D26">
        <w:trPr>
          <w:trHeight w:val="2415"/>
        </w:trPr>
        <w:tc>
          <w:tcPr>
            <w:tcW w:w="10194" w:type="dxa"/>
            <w:tcBorders>
              <w:top w:val="single" w:sz="4" w:space="0" w:color="auto"/>
              <w:left w:val="single" w:sz="4" w:space="0" w:color="auto"/>
              <w:bottom w:val="single" w:sz="4" w:space="0" w:color="auto"/>
              <w:right w:val="single" w:sz="4" w:space="0" w:color="auto"/>
            </w:tcBorders>
          </w:tcPr>
          <w:p w14:paraId="145A77DE" w14:textId="77777777" w:rsidR="00865691" w:rsidRPr="00041B90" w:rsidRDefault="00865691" w:rsidP="00865691">
            <w:pPr>
              <w:spacing w:before="240" w:after="200" w:line="300" w:lineRule="atLeast"/>
              <w:rPr>
                <w:rFonts w:eastAsia="Times"/>
                <w:szCs w:val="21"/>
              </w:rPr>
            </w:pPr>
            <w:r w:rsidRPr="00041B90">
              <w:rPr>
                <w:rFonts w:eastAsia="Times"/>
                <w:szCs w:val="21"/>
              </w:rPr>
              <w:t xml:space="preserve">To receive this document in another format, email </w:t>
            </w:r>
            <w:hyperlink r:id="rId16" w:history="1">
              <w:r w:rsidRPr="00041B90">
                <w:rPr>
                  <w:rFonts w:eastAsia="Times"/>
                  <w:szCs w:val="21"/>
                  <w:u w:val="dotted"/>
                </w:rPr>
                <w:t>NMW@health.vic.gov.au</w:t>
              </w:r>
            </w:hyperlink>
          </w:p>
          <w:p w14:paraId="6DB52F00" w14:textId="77777777" w:rsidR="00865691" w:rsidRPr="00041B90" w:rsidRDefault="00865691" w:rsidP="00865691">
            <w:pPr>
              <w:spacing w:after="60" w:line="270" w:lineRule="atLeast"/>
              <w:rPr>
                <w:rFonts w:eastAsia="Times"/>
                <w:szCs w:val="21"/>
              </w:rPr>
            </w:pPr>
            <w:r w:rsidRPr="00041B90">
              <w:rPr>
                <w:rFonts w:eastAsia="Times"/>
                <w:szCs w:val="21"/>
              </w:rPr>
              <w:t>Authorised and published by the Victorian Government, 1 Treasury Place, Melbourne.</w:t>
            </w:r>
          </w:p>
          <w:p w14:paraId="5AD90B69" w14:textId="77777777" w:rsidR="00865691" w:rsidRPr="00041B90" w:rsidRDefault="00865691" w:rsidP="00865691">
            <w:pPr>
              <w:spacing w:after="60" w:line="270" w:lineRule="atLeast"/>
              <w:rPr>
                <w:rFonts w:eastAsia="Times"/>
                <w:szCs w:val="21"/>
              </w:rPr>
            </w:pPr>
            <w:r w:rsidRPr="00041B90">
              <w:rPr>
                <w:rFonts w:eastAsia="Times"/>
                <w:szCs w:val="21"/>
              </w:rPr>
              <w:t>© State of Victoria, Australia, Department of Health, April 2021.</w:t>
            </w:r>
          </w:p>
          <w:p w14:paraId="53979116" w14:textId="77777777" w:rsidR="00865691" w:rsidRPr="00041B90" w:rsidRDefault="00865691" w:rsidP="00865691">
            <w:pPr>
              <w:spacing w:after="60" w:line="270" w:lineRule="atLeast"/>
              <w:rPr>
                <w:rFonts w:eastAsia="Times"/>
                <w:szCs w:val="21"/>
              </w:rPr>
            </w:pPr>
          </w:p>
          <w:p w14:paraId="1C50145D" w14:textId="77777777" w:rsidR="00C9481A" w:rsidRPr="00041B90" w:rsidRDefault="00C9481A" w:rsidP="00865691">
            <w:pPr>
              <w:spacing w:after="60" w:line="270" w:lineRule="atLeast"/>
              <w:rPr>
                <w:rFonts w:cs="Arial"/>
                <w:color w:val="000000"/>
                <w:szCs w:val="21"/>
              </w:rPr>
            </w:pPr>
            <w:r w:rsidRPr="00041B90">
              <w:rPr>
                <w:rFonts w:cs="Arial"/>
                <w:b/>
                <w:bCs/>
                <w:color w:val="000000"/>
                <w:szCs w:val="21"/>
              </w:rPr>
              <w:t xml:space="preserve">ISBN </w:t>
            </w:r>
            <w:r w:rsidRPr="00041B90">
              <w:rPr>
                <w:rFonts w:cs="Arial"/>
                <w:color w:val="000000"/>
                <w:szCs w:val="21"/>
              </w:rPr>
              <w:t xml:space="preserve">978-1-76096-608-9 </w:t>
            </w:r>
            <w:r w:rsidRPr="00041B90">
              <w:rPr>
                <w:rFonts w:cs="Arial"/>
                <w:b/>
                <w:bCs/>
                <w:color w:val="000000"/>
                <w:szCs w:val="21"/>
              </w:rPr>
              <w:t>(pdf/online/MS word)</w:t>
            </w:r>
            <w:r w:rsidRPr="00041B90">
              <w:rPr>
                <w:rFonts w:cs="Arial"/>
                <w:color w:val="000000"/>
                <w:szCs w:val="21"/>
              </w:rPr>
              <w:t xml:space="preserve"> </w:t>
            </w:r>
          </w:p>
          <w:p w14:paraId="54BBBA0D" w14:textId="314D2EC8" w:rsidR="00865691" w:rsidRPr="00720D26" w:rsidRDefault="00865691" w:rsidP="00865691">
            <w:pPr>
              <w:spacing w:after="60" w:line="270" w:lineRule="atLeast"/>
              <w:rPr>
                <w:rFonts w:eastAsia="Times"/>
                <w:szCs w:val="21"/>
              </w:rPr>
            </w:pPr>
            <w:r w:rsidRPr="00D05612">
              <w:rPr>
                <w:rFonts w:eastAsia="Times"/>
                <w:szCs w:val="21"/>
              </w:rPr>
              <w:t xml:space="preserve">Available at </w:t>
            </w:r>
            <w:r w:rsidR="00DD75F2" w:rsidRPr="00D05612">
              <w:rPr>
                <w:rFonts w:eastAsia="Times"/>
                <w:szCs w:val="21"/>
              </w:rPr>
              <w:t>&lt;</w:t>
            </w:r>
            <w:r w:rsidR="00D05612" w:rsidRPr="00D05612">
              <w:t xml:space="preserve"> </w:t>
            </w:r>
            <w:r w:rsidR="00D05612" w:rsidRPr="00D05612">
              <w:rPr>
                <w:rFonts w:eastAsia="Times"/>
                <w:szCs w:val="21"/>
              </w:rPr>
              <w:t>https://www2.health.vic.gov.au/health-workforce/nursing-and-midwifery/furthering-your-nursing-and-midwifery-career/advance-practice-nurse-endoscopists</w:t>
            </w:r>
            <w:r w:rsidR="00D05612" w:rsidRPr="00D05612">
              <w:rPr>
                <w:rFonts w:eastAsia="Times"/>
                <w:szCs w:val="21"/>
              </w:rPr>
              <w:t xml:space="preserve"> </w:t>
            </w:r>
            <w:r w:rsidR="00DD75F2" w:rsidRPr="00D05612">
              <w:rPr>
                <w:rFonts w:eastAsia="Times"/>
                <w:szCs w:val="21"/>
              </w:rPr>
              <w:t>&gt;</w:t>
            </w:r>
          </w:p>
        </w:tc>
        <w:bookmarkEnd w:id="1"/>
      </w:tr>
    </w:tbl>
    <w:p w14:paraId="58CB6878" w14:textId="0E73BB42" w:rsidR="00473B68" w:rsidRPr="004A535D" w:rsidRDefault="00473B68" w:rsidP="00626DC1">
      <w:pPr>
        <w:spacing w:after="160" w:line="259" w:lineRule="auto"/>
        <w:rPr>
          <w:rFonts w:cs="Arial"/>
          <w:sz w:val="22"/>
          <w:szCs w:val="22"/>
        </w:rPr>
      </w:pPr>
    </w:p>
    <w:p w14:paraId="08E38987" w14:textId="1C1FBC83" w:rsidR="00473B68" w:rsidRPr="004A535D" w:rsidRDefault="00473B68" w:rsidP="00626DC1">
      <w:pPr>
        <w:spacing w:after="160" w:line="259" w:lineRule="auto"/>
        <w:rPr>
          <w:rFonts w:cs="Arial"/>
          <w:sz w:val="22"/>
          <w:szCs w:val="22"/>
        </w:rPr>
      </w:pPr>
    </w:p>
    <w:p w14:paraId="088FB779" w14:textId="0C7E542F" w:rsidR="00473B68" w:rsidRPr="004A535D" w:rsidRDefault="00473B68" w:rsidP="00626DC1">
      <w:pPr>
        <w:spacing w:after="160" w:line="259" w:lineRule="auto"/>
        <w:rPr>
          <w:rFonts w:cs="Arial"/>
          <w:sz w:val="22"/>
          <w:szCs w:val="22"/>
        </w:rPr>
      </w:pPr>
    </w:p>
    <w:bookmarkEnd w:id="0"/>
    <w:p w14:paraId="65703D87" w14:textId="1DF55590" w:rsidR="00473B68" w:rsidRPr="004A535D" w:rsidRDefault="00473B68" w:rsidP="00626DC1">
      <w:pPr>
        <w:spacing w:after="160" w:line="259" w:lineRule="auto"/>
        <w:rPr>
          <w:rFonts w:cs="Arial"/>
          <w:sz w:val="22"/>
          <w:szCs w:val="22"/>
        </w:rPr>
      </w:pPr>
    </w:p>
    <w:sectPr w:rsidR="00473B68" w:rsidRPr="004A535D" w:rsidSect="00DD3DE5">
      <w:footerReference w:type="default" r:id="rId17"/>
      <w:type w:val="continuous"/>
      <w:pgSz w:w="11906" w:h="16838" w:code="9"/>
      <w:pgMar w:top="1418" w:right="851" w:bottom="113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B50EA" w14:textId="77777777" w:rsidR="008405C2" w:rsidRDefault="008405C2">
      <w:r>
        <w:separator/>
      </w:r>
    </w:p>
  </w:endnote>
  <w:endnote w:type="continuationSeparator" w:id="0">
    <w:p w14:paraId="7400B65B" w14:textId="77777777" w:rsidR="008405C2" w:rsidRDefault="008405C2">
      <w:r>
        <w:continuationSeparator/>
      </w:r>
    </w:p>
  </w:endnote>
  <w:endnote w:type="continuationNotice" w:id="1">
    <w:p w14:paraId="4AE90FD9" w14:textId="77777777" w:rsidR="008405C2" w:rsidRDefault="008405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487E8"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1EC9E67B" wp14:editId="429BCECE">
          <wp:simplePos x="542260" y="9324753"/>
          <wp:positionH relativeFrom="page">
            <wp:align>left</wp:align>
          </wp:positionH>
          <wp:positionV relativeFrom="page">
            <wp:align>bottom</wp:align>
          </wp:positionV>
          <wp:extent cx="7560000" cy="964800"/>
          <wp:effectExtent l="0" t="0" r="3175" b="698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E5991AB" wp14:editId="7D364F58">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F822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5991AB"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EF822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9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278ED77C" wp14:editId="2DED74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9AD19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8ED77C"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0D9AD19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B0559" w14:textId="39DC45A0" w:rsidR="00373890" w:rsidRPr="00F65AA9" w:rsidRDefault="00141752" w:rsidP="00F84FA0">
    <w:pPr>
      <w:pStyle w:val="Footer"/>
    </w:pPr>
    <w:r>
      <w:rPr>
        <w:noProof/>
      </w:rPr>
      <mc:AlternateContent>
        <mc:Choice Requires="wps">
          <w:drawing>
            <wp:anchor distT="0" distB="0" distL="114300" distR="114300" simplePos="0" relativeHeight="251658244" behindDoc="0" locked="0" layoutInCell="0" allowOverlap="1" wp14:anchorId="5267E929" wp14:editId="223CF4D9">
              <wp:simplePos x="0" y="0"/>
              <wp:positionH relativeFrom="page">
                <wp:posOffset>0</wp:posOffset>
              </wp:positionH>
              <wp:positionV relativeFrom="page">
                <wp:posOffset>10189210</wp:posOffset>
              </wp:positionV>
              <wp:extent cx="7560310" cy="311785"/>
              <wp:effectExtent l="0" t="0" r="0" b="12065"/>
              <wp:wrapNone/>
              <wp:docPr id="4" name="MSIPCMbc9c44918b1c84d3127f01d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5C37DB" w14:textId="2989CE6A" w:rsidR="00141752" w:rsidRPr="00141752" w:rsidRDefault="00141752" w:rsidP="00141752">
                          <w:pPr>
                            <w:spacing w:after="0"/>
                            <w:jc w:val="center"/>
                            <w:rPr>
                              <w:rFonts w:ascii="Arial Black" w:hAnsi="Arial Black"/>
                              <w:color w:val="000000"/>
                              <w:sz w:val="20"/>
                            </w:rPr>
                          </w:pPr>
                          <w:r w:rsidRPr="0014175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67E929" id="_x0000_t202" coordsize="21600,21600" o:spt="202" path="m,l,21600r21600,l21600,xe">
              <v:stroke joinstyle="miter"/>
              <v:path gradientshapeok="t" o:connecttype="rect"/>
            </v:shapetype>
            <v:shape id="MSIPCMbc9c44918b1c84d3127f01d8"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tTix5q8CAABMBQAADgAA&#10;AAAAAAAAAAAAAAAuAgAAZHJzL2Uyb0RvYy54bWxQSwECLQAUAAYACAAAACEASA1emt8AAAALAQAA&#10;DwAAAAAAAAAAAAAAAAAJBQAAZHJzL2Rvd25yZXYueG1sUEsFBgAAAAAEAAQA8wAAABUGAAAAAA==&#10;" o:allowincell="f" filled="f" stroked="f" strokeweight=".5pt">
              <v:textbox inset=",0,,0">
                <w:txbxContent>
                  <w:p w14:paraId="215C37DB" w14:textId="2989CE6A" w:rsidR="00141752" w:rsidRPr="00141752" w:rsidRDefault="00141752" w:rsidP="00141752">
                    <w:pPr>
                      <w:spacing w:after="0"/>
                      <w:jc w:val="center"/>
                      <w:rPr>
                        <w:rFonts w:ascii="Arial Black" w:hAnsi="Arial Black"/>
                        <w:color w:val="000000"/>
                        <w:sz w:val="20"/>
                      </w:rPr>
                    </w:pPr>
                    <w:r w:rsidRPr="00141752">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09AABF5A" wp14:editId="767B95B7">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C0768D"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9AABF5A"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31C0768D"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B95FD" w14:textId="77777777" w:rsidR="008405C2" w:rsidRDefault="008405C2" w:rsidP="002862F1">
      <w:pPr>
        <w:spacing w:before="120"/>
      </w:pPr>
      <w:r>
        <w:separator/>
      </w:r>
    </w:p>
  </w:footnote>
  <w:footnote w:type="continuationSeparator" w:id="0">
    <w:p w14:paraId="577122B7" w14:textId="77777777" w:rsidR="008405C2" w:rsidRDefault="008405C2">
      <w:r>
        <w:continuationSeparator/>
      </w:r>
    </w:p>
  </w:footnote>
  <w:footnote w:type="continuationNotice" w:id="1">
    <w:p w14:paraId="01E93A7D" w14:textId="77777777" w:rsidR="008405C2" w:rsidRDefault="008405C2">
      <w:pPr>
        <w:spacing w:after="0" w:line="240" w:lineRule="auto"/>
      </w:pPr>
    </w:p>
  </w:footnote>
  <w:footnote w:id="2">
    <w:p w14:paraId="0AE2C510" w14:textId="77777777" w:rsidR="00865691" w:rsidRDefault="00865691" w:rsidP="00865691">
      <w:pPr>
        <w:pStyle w:val="FootnoteText"/>
        <w:rPr>
          <w:color w:val="000000"/>
        </w:rPr>
      </w:pPr>
      <w:r>
        <w:rPr>
          <w:rStyle w:val="FootnoteReference"/>
        </w:rPr>
        <w:footnoteRef/>
      </w:r>
      <w:r>
        <w:t xml:space="preserve"> Department of Health 2010, Endoscopy in Victoria’s Public Health Services, State Government of Victoria, Melbourne.</w:t>
      </w:r>
    </w:p>
  </w:footnote>
  <w:footnote w:id="3">
    <w:p w14:paraId="38AE9D07" w14:textId="54F01A16" w:rsidR="00865691" w:rsidRDefault="00865691" w:rsidP="00865691">
      <w:pPr>
        <w:pStyle w:val="FootnoteText"/>
      </w:pPr>
      <w:r>
        <w:rPr>
          <w:rStyle w:val="FootnoteReference"/>
        </w:rPr>
        <w:footnoteRef/>
      </w:r>
      <w:r>
        <w:t xml:space="preserve"> Data provided by Screening and Cancer Prevention, Prevention and Population Health Branch, Public Health Division,</w:t>
      </w:r>
    </w:p>
    <w:p w14:paraId="1DCAE173" w14:textId="77777777" w:rsidR="00865691" w:rsidRDefault="00865691" w:rsidP="00865691">
      <w:pPr>
        <w:pStyle w:val="FootnoteText"/>
      </w:pPr>
      <w:r>
        <w:t>Department of Health (Victoria)</w:t>
      </w:r>
    </w:p>
  </w:footnote>
  <w:footnote w:id="4">
    <w:p w14:paraId="0B37AC55" w14:textId="77777777" w:rsidR="00865691" w:rsidRDefault="00865691" w:rsidP="00865691">
      <w:pPr>
        <w:pStyle w:val="FootnoteText"/>
      </w:pPr>
      <w:r>
        <w:rPr>
          <w:rStyle w:val="FootnoteReference"/>
        </w:rPr>
        <w:footnoteRef/>
      </w:r>
      <w:r>
        <w:t xml:space="preserve"> Williams, J., Russell, I., Durai., D, Cheung, W.Y., Farrin, A., Bloor, K., Coulton, S. and Richardson, G., 2009, ‘Effectiveness of nurse delivered endoscopy: findings from randomised multi-institution nurse endoscopy trial (MINuET), in BMJ; 338:b231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726E6"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8222E4E"/>
    <w:multiLevelType w:val="hybridMultilevel"/>
    <w:tmpl w:val="53D457AC"/>
    <w:lvl w:ilvl="0" w:tplc="0C09000B">
      <w:start w:val="1"/>
      <w:numFmt w:val="bullet"/>
      <w:lvlText w:val=""/>
      <w:lvlJc w:val="left"/>
      <w:pPr>
        <w:ind w:left="1042" w:hanging="360"/>
      </w:pPr>
      <w:rPr>
        <w:rFonts w:ascii="Wingdings" w:hAnsi="Wingdings" w:hint="default"/>
      </w:rPr>
    </w:lvl>
    <w:lvl w:ilvl="1" w:tplc="0C090003">
      <w:start w:val="1"/>
      <w:numFmt w:val="bullet"/>
      <w:lvlText w:val="o"/>
      <w:lvlJc w:val="left"/>
      <w:pPr>
        <w:ind w:left="1762" w:hanging="360"/>
      </w:pPr>
      <w:rPr>
        <w:rFonts w:ascii="Courier New" w:hAnsi="Courier New" w:cs="Courier New" w:hint="default"/>
      </w:rPr>
    </w:lvl>
    <w:lvl w:ilvl="2" w:tplc="0C090005">
      <w:start w:val="1"/>
      <w:numFmt w:val="bullet"/>
      <w:lvlText w:val=""/>
      <w:lvlJc w:val="left"/>
      <w:pPr>
        <w:ind w:left="2482" w:hanging="360"/>
      </w:pPr>
      <w:rPr>
        <w:rFonts w:ascii="Wingdings" w:hAnsi="Wingdings" w:hint="default"/>
      </w:rPr>
    </w:lvl>
    <w:lvl w:ilvl="3" w:tplc="0C090001">
      <w:start w:val="1"/>
      <w:numFmt w:val="bullet"/>
      <w:lvlText w:val=""/>
      <w:lvlJc w:val="left"/>
      <w:pPr>
        <w:ind w:left="3202" w:hanging="360"/>
      </w:pPr>
      <w:rPr>
        <w:rFonts w:ascii="Symbol" w:hAnsi="Symbol" w:hint="default"/>
      </w:rPr>
    </w:lvl>
    <w:lvl w:ilvl="4" w:tplc="0C090003">
      <w:start w:val="1"/>
      <w:numFmt w:val="bullet"/>
      <w:lvlText w:val="o"/>
      <w:lvlJc w:val="left"/>
      <w:pPr>
        <w:ind w:left="3922" w:hanging="360"/>
      </w:pPr>
      <w:rPr>
        <w:rFonts w:ascii="Courier New" w:hAnsi="Courier New" w:cs="Courier New" w:hint="default"/>
      </w:rPr>
    </w:lvl>
    <w:lvl w:ilvl="5" w:tplc="0C090005">
      <w:start w:val="1"/>
      <w:numFmt w:val="bullet"/>
      <w:lvlText w:val=""/>
      <w:lvlJc w:val="left"/>
      <w:pPr>
        <w:ind w:left="4642" w:hanging="360"/>
      </w:pPr>
      <w:rPr>
        <w:rFonts w:ascii="Wingdings" w:hAnsi="Wingdings" w:hint="default"/>
      </w:rPr>
    </w:lvl>
    <w:lvl w:ilvl="6" w:tplc="0C090001">
      <w:start w:val="1"/>
      <w:numFmt w:val="bullet"/>
      <w:lvlText w:val=""/>
      <w:lvlJc w:val="left"/>
      <w:pPr>
        <w:ind w:left="5362" w:hanging="360"/>
      </w:pPr>
      <w:rPr>
        <w:rFonts w:ascii="Symbol" w:hAnsi="Symbol" w:hint="default"/>
      </w:rPr>
    </w:lvl>
    <w:lvl w:ilvl="7" w:tplc="0C090003">
      <w:start w:val="1"/>
      <w:numFmt w:val="bullet"/>
      <w:lvlText w:val="o"/>
      <w:lvlJc w:val="left"/>
      <w:pPr>
        <w:ind w:left="6082" w:hanging="360"/>
      </w:pPr>
      <w:rPr>
        <w:rFonts w:ascii="Courier New" w:hAnsi="Courier New" w:cs="Courier New" w:hint="default"/>
      </w:rPr>
    </w:lvl>
    <w:lvl w:ilvl="8" w:tplc="0C090005">
      <w:start w:val="1"/>
      <w:numFmt w:val="bullet"/>
      <w:lvlText w:val=""/>
      <w:lvlJc w:val="left"/>
      <w:pPr>
        <w:ind w:left="6802" w:hanging="360"/>
      </w:pPr>
      <w:rPr>
        <w:rFonts w:ascii="Wingdings" w:hAnsi="Wingdings" w:hint="default"/>
      </w:rPr>
    </w:lvl>
  </w:abstractNum>
  <w:abstractNum w:abstractNumId="14" w15:restartNumberingAfterBreak="0">
    <w:nsid w:val="0AAB6B58"/>
    <w:multiLevelType w:val="hybridMultilevel"/>
    <w:tmpl w:val="195A0F98"/>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0E24232C"/>
    <w:multiLevelType w:val="hybridMultilevel"/>
    <w:tmpl w:val="27B82E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2491E3E"/>
    <w:multiLevelType w:val="hybridMultilevel"/>
    <w:tmpl w:val="145C588A"/>
    <w:lvl w:ilvl="0" w:tplc="0C09000B">
      <w:start w:val="1"/>
      <w:numFmt w:val="bullet"/>
      <w:lvlText w:val=""/>
      <w:lvlJc w:val="left"/>
      <w:pPr>
        <w:ind w:left="568" w:hanging="360"/>
      </w:pPr>
      <w:rPr>
        <w:rFonts w:ascii="Wingdings" w:hAnsi="Wingdings" w:hint="default"/>
      </w:rPr>
    </w:lvl>
    <w:lvl w:ilvl="1" w:tplc="0C090003">
      <w:start w:val="1"/>
      <w:numFmt w:val="bullet"/>
      <w:lvlText w:val="o"/>
      <w:lvlJc w:val="left"/>
      <w:pPr>
        <w:ind w:left="1288" w:hanging="360"/>
      </w:pPr>
      <w:rPr>
        <w:rFonts w:ascii="Courier New" w:hAnsi="Courier New" w:cs="Courier New" w:hint="default"/>
      </w:rPr>
    </w:lvl>
    <w:lvl w:ilvl="2" w:tplc="0C090005">
      <w:start w:val="1"/>
      <w:numFmt w:val="bullet"/>
      <w:lvlText w:val=""/>
      <w:lvlJc w:val="left"/>
      <w:pPr>
        <w:ind w:left="2008" w:hanging="360"/>
      </w:pPr>
      <w:rPr>
        <w:rFonts w:ascii="Wingdings" w:hAnsi="Wingdings" w:hint="default"/>
      </w:rPr>
    </w:lvl>
    <w:lvl w:ilvl="3" w:tplc="0C090001">
      <w:start w:val="1"/>
      <w:numFmt w:val="bullet"/>
      <w:lvlText w:val=""/>
      <w:lvlJc w:val="left"/>
      <w:pPr>
        <w:ind w:left="2728" w:hanging="360"/>
      </w:pPr>
      <w:rPr>
        <w:rFonts w:ascii="Symbol" w:hAnsi="Symbol" w:hint="default"/>
      </w:rPr>
    </w:lvl>
    <w:lvl w:ilvl="4" w:tplc="0C090003">
      <w:start w:val="1"/>
      <w:numFmt w:val="bullet"/>
      <w:lvlText w:val="o"/>
      <w:lvlJc w:val="left"/>
      <w:pPr>
        <w:ind w:left="3448" w:hanging="360"/>
      </w:pPr>
      <w:rPr>
        <w:rFonts w:ascii="Courier New" w:hAnsi="Courier New" w:cs="Courier New" w:hint="default"/>
      </w:rPr>
    </w:lvl>
    <w:lvl w:ilvl="5" w:tplc="0C090005">
      <w:start w:val="1"/>
      <w:numFmt w:val="bullet"/>
      <w:lvlText w:val=""/>
      <w:lvlJc w:val="left"/>
      <w:pPr>
        <w:ind w:left="4168" w:hanging="360"/>
      </w:pPr>
      <w:rPr>
        <w:rFonts w:ascii="Wingdings" w:hAnsi="Wingdings" w:hint="default"/>
      </w:rPr>
    </w:lvl>
    <w:lvl w:ilvl="6" w:tplc="0C090001">
      <w:start w:val="1"/>
      <w:numFmt w:val="bullet"/>
      <w:lvlText w:val=""/>
      <w:lvlJc w:val="left"/>
      <w:pPr>
        <w:ind w:left="4888" w:hanging="360"/>
      </w:pPr>
      <w:rPr>
        <w:rFonts w:ascii="Symbol" w:hAnsi="Symbol" w:hint="default"/>
      </w:rPr>
    </w:lvl>
    <w:lvl w:ilvl="7" w:tplc="0C090003">
      <w:start w:val="1"/>
      <w:numFmt w:val="bullet"/>
      <w:lvlText w:val="o"/>
      <w:lvlJc w:val="left"/>
      <w:pPr>
        <w:ind w:left="5608" w:hanging="360"/>
      </w:pPr>
      <w:rPr>
        <w:rFonts w:ascii="Courier New" w:hAnsi="Courier New" w:cs="Courier New" w:hint="default"/>
      </w:rPr>
    </w:lvl>
    <w:lvl w:ilvl="8" w:tplc="0C090005">
      <w:start w:val="1"/>
      <w:numFmt w:val="bullet"/>
      <w:lvlText w:val=""/>
      <w:lvlJc w:val="left"/>
      <w:pPr>
        <w:ind w:left="6328" w:hanging="360"/>
      </w:pPr>
      <w:rPr>
        <w:rFonts w:ascii="Wingdings" w:hAnsi="Wingdings" w:hint="default"/>
      </w:rPr>
    </w:lvl>
  </w:abstractNum>
  <w:abstractNum w:abstractNumId="19"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9B90384"/>
    <w:multiLevelType w:val="hybridMultilevel"/>
    <w:tmpl w:val="FE14107E"/>
    <w:lvl w:ilvl="0" w:tplc="0C09000B">
      <w:start w:val="1"/>
      <w:numFmt w:val="bullet"/>
      <w:lvlText w:val=""/>
      <w:lvlJc w:val="left"/>
      <w:pPr>
        <w:ind w:left="1042" w:hanging="360"/>
      </w:pPr>
      <w:rPr>
        <w:rFonts w:ascii="Wingdings" w:hAnsi="Wingdings" w:hint="default"/>
      </w:rPr>
    </w:lvl>
    <w:lvl w:ilvl="1" w:tplc="0C090003">
      <w:start w:val="1"/>
      <w:numFmt w:val="bullet"/>
      <w:lvlText w:val="o"/>
      <w:lvlJc w:val="left"/>
      <w:pPr>
        <w:ind w:left="1762" w:hanging="360"/>
      </w:pPr>
      <w:rPr>
        <w:rFonts w:ascii="Courier New" w:hAnsi="Courier New" w:cs="Courier New" w:hint="default"/>
      </w:rPr>
    </w:lvl>
    <w:lvl w:ilvl="2" w:tplc="0C090005">
      <w:start w:val="1"/>
      <w:numFmt w:val="bullet"/>
      <w:lvlText w:val=""/>
      <w:lvlJc w:val="left"/>
      <w:pPr>
        <w:ind w:left="2482" w:hanging="360"/>
      </w:pPr>
      <w:rPr>
        <w:rFonts w:ascii="Wingdings" w:hAnsi="Wingdings" w:hint="default"/>
      </w:rPr>
    </w:lvl>
    <w:lvl w:ilvl="3" w:tplc="0C090001">
      <w:start w:val="1"/>
      <w:numFmt w:val="bullet"/>
      <w:lvlText w:val=""/>
      <w:lvlJc w:val="left"/>
      <w:pPr>
        <w:ind w:left="3202" w:hanging="360"/>
      </w:pPr>
      <w:rPr>
        <w:rFonts w:ascii="Symbol" w:hAnsi="Symbol" w:hint="default"/>
      </w:rPr>
    </w:lvl>
    <w:lvl w:ilvl="4" w:tplc="0C090003">
      <w:start w:val="1"/>
      <w:numFmt w:val="bullet"/>
      <w:lvlText w:val="o"/>
      <w:lvlJc w:val="left"/>
      <w:pPr>
        <w:ind w:left="3922" w:hanging="360"/>
      </w:pPr>
      <w:rPr>
        <w:rFonts w:ascii="Courier New" w:hAnsi="Courier New" w:cs="Courier New" w:hint="default"/>
      </w:rPr>
    </w:lvl>
    <w:lvl w:ilvl="5" w:tplc="0C090005">
      <w:start w:val="1"/>
      <w:numFmt w:val="bullet"/>
      <w:lvlText w:val=""/>
      <w:lvlJc w:val="left"/>
      <w:pPr>
        <w:ind w:left="4642" w:hanging="360"/>
      </w:pPr>
      <w:rPr>
        <w:rFonts w:ascii="Wingdings" w:hAnsi="Wingdings" w:hint="default"/>
      </w:rPr>
    </w:lvl>
    <w:lvl w:ilvl="6" w:tplc="0C090001">
      <w:start w:val="1"/>
      <w:numFmt w:val="bullet"/>
      <w:lvlText w:val=""/>
      <w:lvlJc w:val="left"/>
      <w:pPr>
        <w:ind w:left="5362" w:hanging="360"/>
      </w:pPr>
      <w:rPr>
        <w:rFonts w:ascii="Symbol" w:hAnsi="Symbol" w:hint="default"/>
      </w:rPr>
    </w:lvl>
    <w:lvl w:ilvl="7" w:tplc="0C090003">
      <w:start w:val="1"/>
      <w:numFmt w:val="bullet"/>
      <w:lvlText w:val="o"/>
      <w:lvlJc w:val="left"/>
      <w:pPr>
        <w:ind w:left="6082" w:hanging="360"/>
      </w:pPr>
      <w:rPr>
        <w:rFonts w:ascii="Courier New" w:hAnsi="Courier New" w:cs="Courier New" w:hint="default"/>
      </w:rPr>
    </w:lvl>
    <w:lvl w:ilvl="8" w:tplc="0C090005">
      <w:start w:val="1"/>
      <w:numFmt w:val="bullet"/>
      <w:lvlText w:val=""/>
      <w:lvlJc w:val="left"/>
      <w:pPr>
        <w:ind w:left="6802" w:hanging="360"/>
      </w:pPr>
      <w:rPr>
        <w:rFonts w:ascii="Wingdings" w:hAnsi="Wingding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1AA7F05"/>
    <w:multiLevelType w:val="hybridMultilevel"/>
    <w:tmpl w:val="91748E1E"/>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start w:val="1"/>
      <w:numFmt w:val="bullet"/>
      <w:lvlText w:val=""/>
      <w:lvlJc w:val="left"/>
      <w:pPr>
        <w:ind w:left="2216" w:hanging="360"/>
      </w:pPr>
      <w:rPr>
        <w:rFonts w:ascii="Wingdings" w:hAnsi="Wingdings" w:hint="default"/>
      </w:rPr>
    </w:lvl>
    <w:lvl w:ilvl="3" w:tplc="0C090001">
      <w:start w:val="1"/>
      <w:numFmt w:val="bullet"/>
      <w:lvlText w:val=""/>
      <w:lvlJc w:val="left"/>
      <w:pPr>
        <w:ind w:left="2936" w:hanging="360"/>
      </w:pPr>
      <w:rPr>
        <w:rFonts w:ascii="Symbol" w:hAnsi="Symbol" w:hint="default"/>
      </w:rPr>
    </w:lvl>
    <w:lvl w:ilvl="4" w:tplc="0C090003">
      <w:start w:val="1"/>
      <w:numFmt w:val="bullet"/>
      <w:lvlText w:val="o"/>
      <w:lvlJc w:val="left"/>
      <w:pPr>
        <w:ind w:left="3656" w:hanging="360"/>
      </w:pPr>
      <w:rPr>
        <w:rFonts w:ascii="Courier New" w:hAnsi="Courier New" w:cs="Courier New" w:hint="default"/>
      </w:rPr>
    </w:lvl>
    <w:lvl w:ilvl="5" w:tplc="0C090005">
      <w:start w:val="1"/>
      <w:numFmt w:val="bullet"/>
      <w:lvlText w:val=""/>
      <w:lvlJc w:val="left"/>
      <w:pPr>
        <w:ind w:left="4376" w:hanging="360"/>
      </w:pPr>
      <w:rPr>
        <w:rFonts w:ascii="Wingdings" w:hAnsi="Wingdings" w:hint="default"/>
      </w:rPr>
    </w:lvl>
    <w:lvl w:ilvl="6" w:tplc="0C090001">
      <w:start w:val="1"/>
      <w:numFmt w:val="bullet"/>
      <w:lvlText w:val=""/>
      <w:lvlJc w:val="left"/>
      <w:pPr>
        <w:ind w:left="5096" w:hanging="360"/>
      </w:pPr>
      <w:rPr>
        <w:rFonts w:ascii="Symbol" w:hAnsi="Symbol" w:hint="default"/>
      </w:rPr>
    </w:lvl>
    <w:lvl w:ilvl="7" w:tplc="0C090003">
      <w:start w:val="1"/>
      <w:numFmt w:val="bullet"/>
      <w:lvlText w:val="o"/>
      <w:lvlJc w:val="left"/>
      <w:pPr>
        <w:ind w:left="5816" w:hanging="360"/>
      </w:pPr>
      <w:rPr>
        <w:rFonts w:ascii="Courier New" w:hAnsi="Courier New" w:cs="Courier New" w:hint="default"/>
      </w:rPr>
    </w:lvl>
    <w:lvl w:ilvl="8" w:tplc="0C090005">
      <w:start w:val="1"/>
      <w:numFmt w:val="bullet"/>
      <w:lvlText w:val=""/>
      <w:lvlJc w:val="left"/>
      <w:pPr>
        <w:ind w:left="6536" w:hanging="360"/>
      </w:pPr>
      <w:rPr>
        <w:rFonts w:ascii="Wingdings" w:hAnsi="Wingdings" w:hint="default"/>
      </w:r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0"/>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1"/>
  </w:num>
  <w:num w:numId="25">
    <w:abstractNumId w:val="29"/>
  </w:num>
  <w:num w:numId="26">
    <w:abstractNumId w:val="24"/>
  </w:num>
  <w:num w:numId="27">
    <w:abstractNumId w:val="11"/>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7"/>
  </w:num>
  <w:num w:numId="42">
    <w:abstractNumId w:val="18"/>
  </w:num>
  <w:num w:numId="43">
    <w:abstractNumId w:val="14"/>
  </w:num>
  <w:num w:numId="44">
    <w:abstractNumId w:val="13"/>
  </w:num>
  <w:num w:numId="45">
    <w:abstractNumId w:val="23"/>
  </w:num>
  <w:num w:numId="4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C1"/>
    <w:rsid w:val="00000719"/>
    <w:rsid w:val="00003403"/>
    <w:rsid w:val="00005347"/>
    <w:rsid w:val="000072B6"/>
    <w:rsid w:val="0001021B"/>
    <w:rsid w:val="00011D89"/>
    <w:rsid w:val="000154FD"/>
    <w:rsid w:val="00016FBF"/>
    <w:rsid w:val="000221EF"/>
    <w:rsid w:val="00022271"/>
    <w:rsid w:val="000235E8"/>
    <w:rsid w:val="00023B33"/>
    <w:rsid w:val="00024D89"/>
    <w:rsid w:val="000250B6"/>
    <w:rsid w:val="000313DB"/>
    <w:rsid w:val="00033D81"/>
    <w:rsid w:val="00037366"/>
    <w:rsid w:val="000405A9"/>
    <w:rsid w:val="00041B90"/>
    <w:rsid w:val="00041BF0"/>
    <w:rsid w:val="00042C8A"/>
    <w:rsid w:val="0004536B"/>
    <w:rsid w:val="00046B68"/>
    <w:rsid w:val="00047BC4"/>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2423"/>
    <w:rsid w:val="000B3EDB"/>
    <w:rsid w:val="000B543D"/>
    <w:rsid w:val="000B55F9"/>
    <w:rsid w:val="000B5BF7"/>
    <w:rsid w:val="000B6BC8"/>
    <w:rsid w:val="000C0303"/>
    <w:rsid w:val="000C42EA"/>
    <w:rsid w:val="000C4546"/>
    <w:rsid w:val="000D1242"/>
    <w:rsid w:val="000D2229"/>
    <w:rsid w:val="000E0970"/>
    <w:rsid w:val="000E1910"/>
    <w:rsid w:val="000E3218"/>
    <w:rsid w:val="000E3CC7"/>
    <w:rsid w:val="000E636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05F2"/>
    <w:rsid w:val="00141752"/>
    <w:rsid w:val="0014255B"/>
    <w:rsid w:val="001447B3"/>
    <w:rsid w:val="00152073"/>
    <w:rsid w:val="00154E2D"/>
    <w:rsid w:val="00156598"/>
    <w:rsid w:val="00157243"/>
    <w:rsid w:val="00161939"/>
    <w:rsid w:val="00161AA0"/>
    <w:rsid w:val="00161D2E"/>
    <w:rsid w:val="00161F3E"/>
    <w:rsid w:val="00162093"/>
    <w:rsid w:val="00162CA9"/>
    <w:rsid w:val="00163CB7"/>
    <w:rsid w:val="00165459"/>
    <w:rsid w:val="00165A57"/>
    <w:rsid w:val="001712C2"/>
    <w:rsid w:val="00172BAF"/>
    <w:rsid w:val="001771DD"/>
    <w:rsid w:val="00177995"/>
    <w:rsid w:val="00177A8C"/>
    <w:rsid w:val="001832B6"/>
    <w:rsid w:val="00186B33"/>
    <w:rsid w:val="00192F9D"/>
    <w:rsid w:val="00195094"/>
    <w:rsid w:val="00196EB8"/>
    <w:rsid w:val="00196EFB"/>
    <w:rsid w:val="001979FF"/>
    <w:rsid w:val="00197B17"/>
    <w:rsid w:val="001A01C9"/>
    <w:rsid w:val="001A01F5"/>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00F"/>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0E4"/>
    <w:rsid w:val="002536A4"/>
    <w:rsid w:val="00254F58"/>
    <w:rsid w:val="002620BC"/>
    <w:rsid w:val="00262802"/>
    <w:rsid w:val="00263A90"/>
    <w:rsid w:val="00263C1F"/>
    <w:rsid w:val="0026408B"/>
    <w:rsid w:val="00267C3E"/>
    <w:rsid w:val="002709BB"/>
    <w:rsid w:val="0027113F"/>
    <w:rsid w:val="00272520"/>
    <w:rsid w:val="00273BAC"/>
    <w:rsid w:val="002763B3"/>
    <w:rsid w:val="002802E3"/>
    <w:rsid w:val="0028213D"/>
    <w:rsid w:val="002862F1"/>
    <w:rsid w:val="0028769A"/>
    <w:rsid w:val="00291373"/>
    <w:rsid w:val="00291ECF"/>
    <w:rsid w:val="0029597D"/>
    <w:rsid w:val="002962C3"/>
    <w:rsid w:val="0029752B"/>
    <w:rsid w:val="002A0A9C"/>
    <w:rsid w:val="002A483C"/>
    <w:rsid w:val="002B0C7C"/>
    <w:rsid w:val="002B1729"/>
    <w:rsid w:val="002B36C7"/>
    <w:rsid w:val="002B4DD4"/>
    <w:rsid w:val="002B5277"/>
    <w:rsid w:val="002B5375"/>
    <w:rsid w:val="002B5FF1"/>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2DFF"/>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62FD"/>
    <w:rsid w:val="00367428"/>
    <w:rsid w:val="003716FD"/>
    <w:rsid w:val="0037204B"/>
    <w:rsid w:val="003729A3"/>
    <w:rsid w:val="00373890"/>
    <w:rsid w:val="003744CF"/>
    <w:rsid w:val="00374717"/>
    <w:rsid w:val="0037676C"/>
    <w:rsid w:val="00381043"/>
    <w:rsid w:val="003829E5"/>
    <w:rsid w:val="00386109"/>
    <w:rsid w:val="00386944"/>
    <w:rsid w:val="00387225"/>
    <w:rsid w:val="003956CC"/>
    <w:rsid w:val="00395C9A"/>
    <w:rsid w:val="003A0853"/>
    <w:rsid w:val="003A1BEA"/>
    <w:rsid w:val="003A6B67"/>
    <w:rsid w:val="003B13B6"/>
    <w:rsid w:val="003B15E6"/>
    <w:rsid w:val="003B408A"/>
    <w:rsid w:val="003B5733"/>
    <w:rsid w:val="003C0377"/>
    <w:rsid w:val="003C08A2"/>
    <w:rsid w:val="003C2045"/>
    <w:rsid w:val="003C43A1"/>
    <w:rsid w:val="003C4FC0"/>
    <w:rsid w:val="003C55F4"/>
    <w:rsid w:val="003C6A1B"/>
    <w:rsid w:val="003C7897"/>
    <w:rsid w:val="003C7A3F"/>
    <w:rsid w:val="003D2766"/>
    <w:rsid w:val="003D2A74"/>
    <w:rsid w:val="003D3E8F"/>
    <w:rsid w:val="003D6475"/>
    <w:rsid w:val="003D7300"/>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68"/>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35D"/>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5FB5"/>
    <w:rsid w:val="004F6936"/>
    <w:rsid w:val="00503DC6"/>
    <w:rsid w:val="00506F5D"/>
    <w:rsid w:val="00510C37"/>
    <w:rsid w:val="005126D0"/>
    <w:rsid w:val="0051568D"/>
    <w:rsid w:val="00521609"/>
    <w:rsid w:val="00526AC7"/>
    <w:rsid w:val="00526C15"/>
    <w:rsid w:val="00535907"/>
    <w:rsid w:val="00536395"/>
    <w:rsid w:val="00536499"/>
    <w:rsid w:val="00543903"/>
    <w:rsid w:val="00543F11"/>
    <w:rsid w:val="00543FF1"/>
    <w:rsid w:val="00546305"/>
    <w:rsid w:val="00547A95"/>
    <w:rsid w:val="0055119B"/>
    <w:rsid w:val="005548B5"/>
    <w:rsid w:val="00554C28"/>
    <w:rsid w:val="00572031"/>
    <w:rsid w:val="00572282"/>
    <w:rsid w:val="00573CE3"/>
    <w:rsid w:val="00576E84"/>
    <w:rsid w:val="00577119"/>
    <w:rsid w:val="00580394"/>
    <w:rsid w:val="005809CD"/>
    <w:rsid w:val="00582B8C"/>
    <w:rsid w:val="0058757E"/>
    <w:rsid w:val="00587BE1"/>
    <w:rsid w:val="00596A4B"/>
    <w:rsid w:val="00597507"/>
    <w:rsid w:val="005A08A4"/>
    <w:rsid w:val="005A479D"/>
    <w:rsid w:val="005B1C6D"/>
    <w:rsid w:val="005B21B6"/>
    <w:rsid w:val="005B3A08"/>
    <w:rsid w:val="005B6BED"/>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E7905"/>
    <w:rsid w:val="005F0775"/>
    <w:rsid w:val="005F0CF5"/>
    <w:rsid w:val="005F2107"/>
    <w:rsid w:val="005F21EB"/>
    <w:rsid w:val="00602D95"/>
    <w:rsid w:val="00605908"/>
    <w:rsid w:val="00610D7C"/>
    <w:rsid w:val="00613414"/>
    <w:rsid w:val="00620154"/>
    <w:rsid w:val="00620C75"/>
    <w:rsid w:val="00623DD3"/>
    <w:rsid w:val="0062408D"/>
    <w:rsid w:val="006240CC"/>
    <w:rsid w:val="00624940"/>
    <w:rsid w:val="006254F8"/>
    <w:rsid w:val="00626DC1"/>
    <w:rsid w:val="00627DA7"/>
    <w:rsid w:val="00630DA4"/>
    <w:rsid w:val="00632597"/>
    <w:rsid w:val="006358B4"/>
    <w:rsid w:val="006419AA"/>
    <w:rsid w:val="00644B1F"/>
    <w:rsid w:val="00644B7E"/>
    <w:rsid w:val="006454E6"/>
    <w:rsid w:val="00646235"/>
    <w:rsid w:val="00646A68"/>
    <w:rsid w:val="006505BD"/>
    <w:rsid w:val="006508EA"/>
    <w:rsid w:val="0065092E"/>
    <w:rsid w:val="00653C0A"/>
    <w:rsid w:val="006557A7"/>
    <w:rsid w:val="00656290"/>
    <w:rsid w:val="006608D8"/>
    <w:rsid w:val="006621D7"/>
    <w:rsid w:val="0066302A"/>
    <w:rsid w:val="00663427"/>
    <w:rsid w:val="00667770"/>
    <w:rsid w:val="00670597"/>
    <w:rsid w:val="006706D0"/>
    <w:rsid w:val="00677574"/>
    <w:rsid w:val="0068454C"/>
    <w:rsid w:val="00690B25"/>
    <w:rsid w:val="00691B62"/>
    <w:rsid w:val="006933B5"/>
    <w:rsid w:val="00693D14"/>
    <w:rsid w:val="00696F27"/>
    <w:rsid w:val="006A18C2"/>
    <w:rsid w:val="006A3383"/>
    <w:rsid w:val="006B077C"/>
    <w:rsid w:val="006B0888"/>
    <w:rsid w:val="006B5A8D"/>
    <w:rsid w:val="006B6803"/>
    <w:rsid w:val="006D0F16"/>
    <w:rsid w:val="006D2A3F"/>
    <w:rsid w:val="006D2FBC"/>
    <w:rsid w:val="006E0541"/>
    <w:rsid w:val="006E138B"/>
    <w:rsid w:val="006E4713"/>
    <w:rsid w:val="006F0330"/>
    <w:rsid w:val="006F1FDC"/>
    <w:rsid w:val="006F28B9"/>
    <w:rsid w:val="006F6B8C"/>
    <w:rsid w:val="007013EF"/>
    <w:rsid w:val="007055BD"/>
    <w:rsid w:val="007173CA"/>
    <w:rsid w:val="00720D26"/>
    <w:rsid w:val="007216AA"/>
    <w:rsid w:val="00721AB5"/>
    <w:rsid w:val="00721CFB"/>
    <w:rsid w:val="00721DEF"/>
    <w:rsid w:val="007220AC"/>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572"/>
    <w:rsid w:val="00772D5E"/>
    <w:rsid w:val="0077463E"/>
    <w:rsid w:val="00776928"/>
    <w:rsid w:val="00776E0F"/>
    <w:rsid w:val="007774B1"/>
    <w:rsid w:val="00777BE1"/>
    <w:rsid w:val="007833D8"/>
    <w:rsid w:val="00785677"/>
    <w:rsid w:val="00786F16"/>
    <w:rsid w:val="00791BD7"/>
    <w:rsid w:val="007933F7"/>
    <w:rsid w:val="00793DB6"/>
    <w:rsid w:val="00796E20"/>
    <w:rsid w:val="00797C32"/>
    <w:rsid w:val="007A11E8"/>
    <w:rsid w:val="007B0914"/>
    <w:rsid w:val="007B1374"/>
    <w:rsid w:val="007B32E5"/>
    <w:rsid w:val="007B3DB9"/>
    <w:rsid w:val="007B589F"/>
    <w:rsid w:val="007B6186"/>
    <w:rsid w:val="007B73BC"/>
    <w:rsid w:val="007C1838"/>
    <w:rsid w:val="007C20B9"/>
    <w:rsid w:val="007C2D01"/>
    <w:rsid w:val="007C7301"/>
    <w:rsid w:val="007C7859"/>
    <w:rsid w:val="007C7F28"/>
    <w:rsid w:val="007D1466"/>
    <w:rsid w:val="007D2BDE"/>
    <w:rsid w:val="007D2FB6"/>
    <w:rsid w:val="007D49EB"/>
    <w:rsid w:val="007D5E1C"/>
    <w:rsid w:val="007D65FD"/>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05C2"/>
    <w:rsid w:val="00841AA9"/>
    <w:rsid w:val="008474FE"/>
    <w:rsid w:val="00853EE4"/>
    <w:rsid w:val="00854577"/>
    <w:rsid w:val="00855535"/>
    <w:rsid w:val="00855920"/>
    <w:rsid w:val="00857C5A"/>
    <w:rsid w:val="0086255E"/>
    <w:rsid w:val="008633F0"/>
    <w:rsid w:val="00865691"/>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B5864"/>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5048"/>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2B54"/>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59C0"/>
    <w:rsid w:val="009B0A6F"/>
    <w:rsid w:val="009B0A94"/>
    <w:rsid w:val="009B2AE8"/>
    <w:rsid w:val="009B59E9"/>
    <w:rsid w:val="009B70AA"/>
    <w:rsid w:val="009C5E77"/>
    <w:rsid w:val="009C7A7E"/>
    <w:rsid w:val="009D02E8"/>
    <w:rsid w:val="009D40A5"/>
    <w:rsid w:val="009D51D0"/>
    <w:rsid w:val="009D70A4"/>
    <w:rsid w:val="009D7B14"/>
    <w:rsid w:val="009E04C0"/>
    <w:rsid w:val="009E08D1"/>
    <w:rsid w:val="009E1B95"/>
    <w:rsid w:val="009E496F"/>
    <w:rsid w:val="009E4B0D"/>
    <w:rsid w:val="009E5250"/>
    <w:rsid w:val="009E7334"/>
    <w:rsid w:val="009E7F92"/>
    <w:rsid w:val="009F02A3"/>
    <w:rsid w:val="009F2F27"/>
    <w:rsid w:val="009F34AA"/>
    <w:rsid w:val="009F6BCB"/>
    <w:rsid w:val="009F7B78"/>
    <w:rsid w:val="009F7C7C"/>
    <w:rsid w:val="00A0057A"/>
    <w:rsid w:val="00A02FA1"/>
    <w:rsid w:val="00A0387E"/>
    <w:rsid w:val="00A04CCE"/>
    <w:rsid w:val="00A07421"/>
    <w:rsid w:val="00A0776B"/>
    <w:rsid w:val="00A103F2"/>
    <w:rsid w:val="00A106D0"/>
    <w:rsid w:val="00A10FB9"/>
    <w:rsid w:val="00A11421"/>
    <w:rsid w:val="00A1389F"/>
    <w:rsid w:val="00A157B1"/>
    <w:rsid w:val="00A22229"/>
    <w:rsid w:val="00A24442"/>
    <w:rsid w:val="00A330BB"/>
    <w:rsid w:val="00A44882"/>
    <w:rsid w:val="00A45125"/>
    <w:rsid w:val="00A54715"/>
    <w:rsid w:val="00A55584"/>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B56DE"/>
    <w:rsid w:val="00AC274B"/>
    <w:rsid w:val="00AC4764"/>
    <w:rsid w:val="00AC6D36"/>
    <w:rsid w:val="00AD0CBA"/>
    <w:rsid w:val="00AD177A"/>
    <w:rsid w:val="00AD2087"/>
    <w:rsid w:val="00AD26E2"/>
    <w:rsid w:val="00AD4728"/>
    <w:rsid w:val="00AD784C"/>
    <w:rsid w:val="00AE126A"/>
    <w:rsid w:val="00AE1BAE"/>
    <w:rsid w:val="00AE3005"/>
    <w:rsid w:val="00AE3BD5"/>
    <w:rsid w:val="00AE59A0"/>
    <w:rsid w:val="00AE6B1D"/>
    <w:rsid w:val="00AF0C57"/>
    <w:rsid w:val="00AF26F3"/>
    <w:rsid w:val="00AF5F04"/>
    <w:rsid w:val="00B00672"/>
    <w:rsid w:val="00B01006"/>
    <w:rsid w:val="00B01B4D"/>
    <w:rsid w:val="00B04B72"/>
    <w:rsid w:val="00B06571"/>
    <w:rsid w:val="00B068BA"/>
    <w:rsid w:val="00B07FF7"/>
    <w:rsid w:val="00B13851"/>
    <w:rsid w:val="00B13B1C"/>
    <w:rsid w:val="00B14780"/>
    <w:rsid w:val="00B16B2D"/>
    <w:rsid w:val="00B21583"/>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4728A"/>
    <w:rsid w:val="00B519CD"/>
    <w:rsid w:val="00B5273A"/>
    <w:rsid w:val="00B57329"/>
    <w:rsid w:val="00B60E61"/>
    <w:rsid w:val="00B62B50"/>
    <w:rsid w:val="00B635B7"/>
    <w:rsid w:val="00B63AE8"/>
    <w:rsid w:val="00B65950"/>
    <w:rsid w:val="00B66D83"/>
    <w:rsid w:val="00B672C0"/>
    <w:rsid w:val="00B676FD"/>
    <w:rsid w:val="00B75465"/>
    <w:rsid w:val="00B75646"/>
    <w:rsid w:val="00B90729"/>
    <w:rsid w:val="00B907DA"/>
    <w:rsid w:val="00B94CD5"/>
    <w:rsid w:val="00B950BC"/>
    <w:rsid w:val="00B9714C"/>
    <w:rsid w:val="00BA29AD"/>
    <w:rsid w:val="00BA33CF"/>
    <w:rsid w:val="00BA3F8D"/>
    <w:rsid w:val="00BA7C5B"/>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0A8A"/>
    <w:rsid w:val="00C11492"/>
    <w:rsid w:val="00C123EA"/>
    <w:rsid w:val="00C12A49"/>
    <w:rsid w:val="00C133EE"/>
    <w:rsid w:val="00C149D0"/>
    <w:rsid w:val="00C178E8"/>
    <w:rsid w:val="00C26588"/>
    <w:rsid w:val="00C27DE9"/>
    <w:rsid w:val="00C32989"/>
    <w:rsid w:val="00C33388"/>
    <w:rsid w:val="00C35484"/>
    <w:rsid w:val="00C4173A"/>
    <w:rsid w:val="00C50DED"/>
    <w:rsid w:val="00C52121"/>
    <w:rsid w:val="00C602FF"/>
    <w:rsid w:val="00C61174"/>
    <w:rsid w:val="00C6148F"/>
    <w:rsid w:val="00C621B1"/>
    <w:rsid w:val="00C62F7A"/>
    <w:rsid w:val="00C630BC"/>
    <w:rsid w:val="00C63B9C"/>
    <w:rsid w:val="00C6682F"/>
    <w:rsid w:val="00C67BF4"/>
    <w:rsid w:val="00C7168E"/>
    <w:rsid w:val="00C7275E"/>
    <w:rsid w:val="00C74C5D"/>
    <w:rsid w:val="00C863C4"/>
    <w:rsid w:val="00C8746D"/>
    <w:rsid w:val="00C920EA"/>
    <w:rsid w:val="00C93C3E"/>
    <w:rsid w:val="00C9481A"/>
    <w:rsid w:val="00C95950"/>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18CA"/>
    <w:rsid w:val="00CE2058"/>
    <w:rsid w:val="00CE225F"/>
    <w:rsid w:val="00CF2F50"/>
    <w:rsid w:val="00CF6198"/>
    <w:rsid w:val="00D02919"/>
    <w:rsid w:val="00D04C61"/>
    <w:rsid w:val="00D05612"/>
    <w:rsid w:val="00D05B8D"/>
    <w:rsid w:val="00D065A2"/>
    <w:rsid w:val="00D079AA"/>
    <w:rsid w:val="00D07F00"/>
    <w:rsid w:val="00D1130F"/>
    <w:rsid w:val="00D12A29"/>
    <w:rsid w:val="00D17B72"/>
    <w:rsid w:val="00D17E74"/>
    <w:rsid w:val="00D3185C"/>
    <w:rsid w:val="00D3205F"/>
    <w:rsid w:val="00D3318E"/>
    <w:rsid w:val="00D33E72"/>
    <w:rsid w:val="00D35BD6"/>
    <w:rsid w:val="00D361B5"/>
    <w:rsid w:val="00D405AC"/>
    <w:rsid w:val="00D411A2"/>
    <w:rsid w:val="00D4606D"/>
    <w:rsid w:val="00D46C92"/>
    <w:rsid w:val="00D50B9C"/>
    <w:rsid w:val="00D52D73"/>
    <w:rsid w:val="00D52E58"/>
    <w:rsid w:val="00D54476"/>
    <w:rsid w:val="00D56B20"/>
    <w:rsid w:val="00D578B3"/>
    <w:rsid w:val="00D618F4"/>
    <w:rsid w:val="00D714CC"/>
    <w:rsid w:val="00D7363A"/>
    <w:rsid w:val="00D75EA7"/>
    <w:rsid w:val="00D80F5E"/>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3DE5"/>
    <w:rsid w:val="00DD487D"/>
    <w:rsid w:val="00DD4E83"/>
    <w:rsid w:val="00DD6628"/>
    <w:rsid w:val="00DD6945"/>
    <w:rsid w:val="00DD75F2"/>
    <w:rsid w:val="00DE2D04"/>
    <w:rsid w:val="00DE3250"/>
    <w:rsid w:val="00DE451A"/>
    <w:rsid w:val="00DE6028"/>
    <w:rsid w:val="00DE78A3"/>
    <w:rsid w:val="00DF1A71"/>
    <w:rsid w:val="00DF4FC0"/>
    <w:rsid w:val="00DF50FC"/>
    <w:rsid w:val="00DF68C7"/>
    <w:rsid w:val="00DF731A"/>
    <w:rsid w:val="00E06B75"/>
    <w:rsid w:val="00E11332"/>
    <w:rsid w:val="00E11352"/>
    <w:rsid w:val="00E170DC"/>
    <w:rsid w:val="00E17546"/>
    <w:rsid w:val="00E20712"/>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1937"/>
    <w:rsid w:val="00EA2F6A"/>
    <w:rsid w:val="00EB00E0"/>
    <w:rsid w:val="00EB5A85"/>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6DF"/>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3B32"/>
    <w:rsid w:val="00F33ECF"/>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168"/>
    <w:rsid w:val="00F61A9F"/>
    <w:rsid w:val="00F61B5F"/>
    <w:rsid w:val="00F64696"/>
    <w:rsid w:val="00F65AA9"/>
    <w:rsid w:val="00F6768F"/>
    <w:rsid w:val="00F712D8"/>
    <w:rsid w:val="00F72C2C"/>
    <w:rsid w:val="00F76CAB"/>
    <w:rsid w:val="00F772C6"/>
    <w:rsid w:val="00F815B5"/>
    <w:rsid w:val="00F84FA0"/>
    <w:rsid w:val="00F85195"/>
    <w:rsid w:val="00F85F49"/>
    <w:rsid w:val="00F868E3"/>
    <w:rsid w:val="00F938BA"/>
    <w:rsid w:val="00F967DB"/>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116B"/>
    <w:rsid w:val="00FD3766"/>
    <w:rsid w:val="00FD47C4"/>
    <w:rsid w:val="00FD722A"/>
    <w:rsid w:val="00FE2DCF"/>
    <w:rsid w:val="00FE35DD"/>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9C4F9A"/>
  <w15:docId w15:val="{897AAA88-5E16-49BE-AE8B-16861CF3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C114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numbering" w:customStyle="1" w:styleId="ZZBullets1">
    <w:name w:val="ZZ Bullets1"/>
    <w:rsid w:val="00865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6472">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7009579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NMW@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2.health.vic.gov.au/health-workforce/nursing-and-midwifery/furthering-your-nursing-and-midwifery-career/advance-practice-nurse-endoscopis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6" ma:contentTypeDescription="Create a new document." ma:contentTypeScope="" ma:versionID="50eb02a4db41fd25d15cad58aee2d755">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14d4c0cfc70313bbda080dd972895363"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DEB31D0-36C3-4862-938E-407F4E35A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f801f1-2872-443b-a104-0f84f9fd0895"/>
    <ds:schemaRef ds:uri="http://purl.org/dc/terms/"/>
    <ds:schemaRef ds:uri="56f13c3b-1a5e-4b20-8813-0ef8710fa3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6412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Nurse endoscopy program - FAQ's</vt:lpstr>
    </vt:vector>
  </TitlesOfParts>
  <Manager/>
  <Company>Victoria State Government, Department of Health</Company>
  <LinksUpToDate>false</LinksUpToDate>
  <CharactersWithSpaces>7352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endoscopy program - FAQ's</dc:title>
  <dc:subject>Nurse endoscopy program - FAQ's</dc:subject>
  <dc:creator>Nursing, Midwifery and Paramedicine Workforce</dc:creator>
  <cp:keywords/>
  <dc:description/>
  <cp:revision>2</cp:revision>
  <cp:lastPrinted>2020-03-30T03:28:00Z</cp:lastPrinted>
  <dcterms:created xsi:type="dcterms:W3CDTF">2021-10-11T22:56:00Z</dcterms:created>
  <dcterms:modified xsi:type="dcterms:W3CDTF">2021-10-11T22:56:00Z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2021-10-11T22:56:20Z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