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D21F15" w14:textId="77777777" w:rsidR="0074696E" w:rsidRPr="004C6EEE" w:rsidRDefault="00A373B1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 wp14:anchorId="2A042F7B" wp14:editId="7D9E403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72640"/>
            <wp:effectExtent l="0" t="0" r="0" b="3810"/>
            <wp:wrapNone/>
            <wp:docPr id="29" name="Picture 2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corativ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F4AC9" w14:textId="77777777"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10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14:paraId="66160E73" w14:textId="77777777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14:paraId="64E4D8E9" w14:textId="77777777" w:rsidR="00C73EC4" w:rsidRDefault="00C73EC4" w:rsidP="00C73EC4">
            <w:pPr>
              <w:pStyle w:val="DHHSmainheading"/>
              <w:jc w:val="both"/>
            </w:pPr>
            <w:r>
              <w:lastRenderedPageBreak/>
              <w:t>Clinical Mental Health</w:t>
            </w:r>
          </w:p>
          <w:p w14:paraId="3A623EF5" w14:textId="77777777" w:rsidR="00AD784C" w:rsidRPr="00161AA0" w:rsidRDefault="00C73EC4" w:rsidP="00C73EC4">
            <w:pPr>
              <w:pStyle w:val="DHHSmainheading"/>
            </w:pPr>
            <w:r>
              <w:t>Community Service Hours</w:t>
            </w:r>
          </w:p>
        </w:tc>
      </w:tr>
      <w:tr w:rsidR="00AD784C" w14:paraId="5063A0B6" w14:textId="77777777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14:paraId="77353C9F" w14:textId="0FB941C6" w:rsidR="00357B4E" w:rsidRPr="00AD784C" w:rsidRDefault="00C73EC4" w:rsidP="00357B4E">
            <w:pPr>
              <w:pStyle w:val="DHHSmainsubheading"/>
              <w:rPr>
                <w:szCs w:val="28"/>
              </w:rPr>
            </w:pPr>
            <w:r w:rsidRPr="00C73EC4">
              <w:rPr>
                <w:szCs w:val="28"/>
              </w:rPr>
              <w:t>Clinical Mental Health Community Service Hours Factsheet</w:t>
            </w:r>
            <w:r w:rsidR="00175631">
              <w:rPr>
                <w:szCs w:val="28"/>
              </w:rPr>
              <w:t>, December</w:t>
            </w:r>
            <w:r w:rsidR="007377A0">
              <w:rPr>
                <w:szCs w:val="28"/>
              </w:rPr>
              <w:t xml:space="preserve"> </w:t>
            </w:r>
            <w:r w:rsidR="00175631">
              <w:rPr>
                <w:szCs w:val="28"/>
              </w:rPr>
              <w:t xml:space="preserve"> 2017</w:t>
            </w:r>
          </w:p>
        </w:tc>
      </w:tr>
    </w:tbl>
    <w:p w14:paraId="19195730" w14:textId="77777777" w:rsidR="00C73EC4" w:rsidRDefault="00C73EC4" w:rsidP="00F3122E">
      <w:pPr>
        <w:pStyle w:val="DHHSbody"/>
        <w:rPr>
          <w:i/>
          <w:color w:val="D50032"/>
          <w:sz w:val="26"/>
          <w:szCs w:val="26"/>
        </w:rPr>
      </w:pPr>
    </w:p>
    <w:p w14:paraId="38EEDF58" w14:textId="77777777" w:rsidR="00C73EC4" w:rsidRPr="00DE61EB" w:rsidRDefault="00C73EC4" w:rsidP="00820C77">
      <w:pPr>
        <w:pStyle w:val="Heading2"/>
        <w:spacing w:line="240" w:lineRule="auto"/>
        <w:jc w:val="both"/>
      </w:pPr>
      <w:r>
        <w:t>Purpose</w:t>
      </w:r>
    </w:p>
    <w:p w14:paraId="3EFB0251" w14:textId="4F325250" w:rsidR="00C73EC4" w:rsidRDefault="00C73EC4" w:rsidP="00820C77">
      <w:pPr>
        <w:pStyle w:val="BodyText2"/>
        <w:spacing w:line="240" w:lineRule="auto"/>
      </w:pPr>
      <w:r w:rsidRPr="006C0EE2">
        <w:t xml:space="preserve">To </w:t>
      </w:r>
      <w:r>
        <w:t>provide an update on Clinical Mental Health Community Service Hours targets and guide</w:t>
      </w:r>
      <w:r w:rsidRPr="006C0EE2">
        <w:t xml:space="preserve"> </w:t>
      </w:r>
      <w:r>
        <w:t>health service reporting in line with definitions</w:t>
      </w:r>
      <w:r w:rsidR="00175631">
        <w:t xml:space="preserve">, </w:t>
      </w:r>
      <w:r>
        <w:t>business rules</w:t>
      </w:r>
      <w:r w:rsidR="00175631">
        <w:t xml:space="preserve"> and performance monitoring</w:t>
      </w:r>
      <w:r>
        <w:t>.</w:t>
      </w:r>
    </w:p>
    <w:p w14:paraId="3E94C4FA" w14:textId="24173D5C" w:rsidR="00C73EC4" w:rsidRDefault="00C73EC4" w:rsidP="00820C77">
      <w:pPr>
        <w:pStyle w:val="Heading2"/>
        <w:spacing w:line="240" w:lineRule="auto"/>
        <w:jc w:val="both"/>
      </w:pPr>
      <w:r w:rsidRPr="002C0BC0">
        <w:t>Background</w:t>
      </w:r>
      <w:r w:rsidR="005354A8">
        <w:t>/ Deliverables</w:t>
      </w:r>
    </w:p>
    <w:p w14:paraId="6C5585B5" w14:textId="7A3D2F42" w:rsidR="00C73EC4" w:rsidRPr="00B432FD" w:rsidRDefault="00C73EC4" w:rsidP="00820C77">
      <w:pPr>
        <w:pStyle w:val="DHHSbody"/>
        <w:spacing w:line="240" w:lineRule="auto"/>
        <w:jc w:val="both"/>
      </w:pPr>
      <w:r>
        <w:t xml:space="preserve">Community Service Hours is an indicator which monitors the level of ambulatory based clinical </w:t>
      </w:r>
      <w:r w:rsidR="00CF7C5F">
        <w:t>mental health service delivery.</w:t>
      </w:r>
    </w:p>
    <w:p w14:paraId="56DB4509" w14:textId="54601D72" w:rsidR="00C73EC4" w:rsidRDefault="00C73EC4" w:rsidP="00820C77">
      <w:pPr>
        <w:pStyle w:val="DHHSbody"/>
        <w:spacing w:line="240" w:lineRule="auto"/>
        <w:jc w:val="both"/>
      </w:pPr>
      <w:r>
        <w:t>Community Service Hours were introduced as a</w:t>
      </w:r>
      <w:r w:rsidR="00175631">
        <w:t>n</w:t>
      </w:r>
      <w:r>
        <w:t xml:space="preserve"> output measure in 2010-11. Targets were developed for each health service based on the following calculation:</w:t>
      </w:r>
    </w:p>
    <w:p w14:paraId="34F43DBE" w14:textId="4FB4E35F" w:rsidR="00C73EC4" w:rsidRDefault="00C73EC4" w:rsidP="00820C77">
      <w:pPr>
        <w:pStyle w:val="DHHSbody"/>
        <w:spacing w:line="240" w:lineRule="auto"/>
        <w:jc w:val="both"/>
      </w:pPr>
    </w:p>
    <w:p w14:paraId="18F162D7" w14:textId="69838E19" w:rsidR="00C73EC4" w:rsidRDefault="00175631" w:rsidP="00820C77">
      <w:pPr>
        <w:pStyle w:val="DHHSbody"/>
        <w:spacing w:line="240" w:lineRule="auto"/>
        <w:jc w:val="bot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A36F8A" wp14:editId="76EF461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134100" cy="990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F7A8A" w14:textId="57CA2B8B" w:rsidR="00A17607" w:rsidRPr="00175631" w:rsidRDefault="00A17607" w:rsidP="00A1760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17563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Numerator: </w:t>
                            </w:r>
                          </w:p>
                          <w:p w14:paraId="7DE00CDA" w14:textId="01F550DC" w:rsidR="00A17607" w:rsidRPr="00A17607" w:rsidRDefault="00A17607" w:rsidP="00B649BC">
                            <w:pPr>
                              <w:ind w:left="426"/>
                              <w:rPr>
                                <w:rFonts w:ascii="Arial" w:hAnsi="Arial" w:cs="Arial"/>
                                <w:color w:val="000000"/>
                                <w:sz w:val="18"/>
                                <w:lang w:eastAsia="en-AU"/>
                              </w:rPr>
                            </w:pPr>
                            <w:r w:rsidRPr="009F7198">
                              <w:rPr>
                                <w:rFonts w:ascii="Arial" w:hAnsi="Arial" w:cs="Arial"/>
                                <w:sz w:val="18"/>
                              </w:rPr>
                              <w:t xml:space="preserve">Total </w:t>
                            </w:r>
                            <w:r w:rsidRPr="009F7198">
                              <w:rPr>
                                <w:rFonts w:ascii="Arial" w:hAnsi="Arial" w:cs="Arial"/>
                                <w:color w:val="000000"/>
                                <w:sz w:val="18"/>
                                <w:lang w:eastAsia="en-AU"/>
                              </w:rPr>
                              <w:t xml:space="preserve">health service ambulatory funding provided to </w:t>
                            </w:r>
                            <w:r w:rsidRPr="00A17607">
                              <w:rPr>
                                <w:rFonts w:ascii="Arial" w:hAnsi="Arial" w:cs="Arial"/>
                                <w:color w:val="000000"/>
                                <w:sz w:val="18"/>
                                <w:lang w:eastAsia="en-AU"/>
                              </w:rPr>
                              <w:t>services (across CAMHS, adult, aged and Forensicare)</w:t>
                            </w:r>
                          </w:p>
                          <w:p w14:paraId="175A08C0" w14:textId="77777777" w:rsidR="00A17607" w:rsidRPr="00B649BC" w:rsidRDefault="00A17607" w:rsidP="00B649BC">
                            <w:pPr>
                              <w:pStyle w:val="Header"/>
                              <w:tabs>
                                <w:tab w:val="clear" w:pos="10206"/>
                              </w:tabs>
                              <w:rPr>
                                <w:noProof/>
                                <w:szCs w:val="20"/>
                                <w:lang w:eastAsia="en-AU"/>
                              </w:rPr>
                            </w:pPr>
                          </w:p>
                          <w:p w14:paraId="740E6379" w14:textId="77777777" w:rsidR="00A17607" w:rsidRPr="00175631" w:rsidRDefault="00A17607" w:rsidP="00A17607">
                            <w:pPr>
                              <w:pStyle w:val="DHHSfooter"/>
                              <w:tabs>
                                <w:tab w:val="clear" w:pos="10206"/>
                              </w:tabs>
                              <w:rPr>
                                <w:b/>
                                <w:noProof/>
                                <w:szCs w:val="20"/>
                                <w:lang w:eastAsia="en-AU"/>
                              </w:rPr>
                            </w:pPr>
                            <w:r w:rsidRPr="00175631">
                              <w:rPr>
                                <w:b/>
                                <w:noProof/>
                                <w:szCs w:val="20"/>
                                <w:lang w:eastAsia="en-AU"/>
                              </w:rPr>
                              <w:t xml:space="preserve">Denominator: </w:t>
                            </w:r>
                          </w:p>
                          <w:p w14:paraId="2B6D1E22" w14:textId="09166A4C" w:rsidR="00A17607" w:rsidRPr="00A17607" w:rsidRDefault="00A17607" w:rsidP="00175631">
                            <w:pPr>
                              <w:pStyle w:val="BodyTextIndent"/>
                              <w:ind w:left="284" w:firstLine="142"/>
                              <w:jc w:val="left"/>
                            </w:pPr>
                            <w:r w:rsidRPr="009F7198">
                              <w:t>Hourly rate of mid-level clinican (including</w:t>
                            </w:r>
                            <w:r>
                              <w:t xml:space="preserve"> </w:t>
                            </w:r>
                            <w:r w:rsidR="00B649BC">
                              <w:t xml:space="preserve">travel </w:t>
                            </w:r>
                            <w:r w:rsidRPr="009F7198">
                              <w:t>costs)</w:t>
                            </w:r>
                            <w:r w:rsidR="00175631">
                              <w:t xml:space="preserve"> </w:t>
                            </w:r>
                            <w:r w:rsidRPr="00A17607">
                              <w:t>= $ per Service Hour</w:t>
                            </w:r>
                          </w:p>
                          <w:p w14:paraId="4258583A" w14:textId="297A66E5" w:rsidR="00A17607" w:rsidRDefault="00A176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83pt;height:78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">
                <v:textbox>
                  <w:txbxContent>
                    <w:p w14:paraId="1F2F7A8A" w14:textId="57CA2B8B" w:rsidR="00A17607" w:rsidRPr="00175631" w:rsidRDefault="00A17607" w:rsidP="00A17607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175631">
                        <w:rPr>
                          <w:rFonts w:ascii="Arial" w:hAnsi="Arial" w:cs="Arial"/>
                          <w:b/>
                          <w:sz w:val="18"/>
                        </w:rPr>
                        <w:t xml:space="preserve">Numerator: </w:t>
                      </w:r>
                    </w:p>
                    <w:p w14:paraId="7DE00CDA" w14:textId="01F550DC" w:rsidR="00A17607" w:rsidRPr="00A17607" w:rsidRDefault="00A17607" w:rsidP="00B649BC">
                      <w:pPr>
                        <w:ind w:left="426"/>
                        <w:rPr>
                          <w:rFonts w:ascii="Arial" w:hAnsi="Arial" w:cs="Arial"/>
                          <w:color w:val="000000"/>
                          <w:sz w:val="18"/>
                          <w:lang w:eastAsia="en-AU"/>
                        </w:rPr>
                      </w:pPr>
                      <w:r w:rsidRPr="009F7198">
                        <w:rPr>
                          <w:rFonts w:ascii="Arial" w:hAnsi="Arial" w:cs="Arial"/>
                          <w:sz w:val="18"/>
                        </w:rPr>
                        <w:t xml:space="preserve">Total </w:t>
                      </w:r>
                      <w:r w:rsidRPr="009F7198">
                        <w:rPr>
                          <w:rFonts w:ascii="Arial" w:hAnsi="Arial" w:cs="Arial"/>
                          <w:color w:val="000000"/>
                          <w:sz w:val="18"/>
                          <w:lang w:eastAsia="en-AU"/>
                        </w:rPr>
                        <w:t xml:space="preserve">health service ambulatory funding provided to </w:t>
                      </w:r>
                      <w:r w:rsidRPr="00A17607">
                        <w:rPr>
                          <w:rFonts w:ascii="Arial" w:hAnsi="Arial" w:cs="Arial"/>
                          <w:color w:val="000000"/>
                          <w:sz w:val="18"/>
                          <w:lang w:eastAsia="en-AU"/>
                        </w:rPr>
                        <w:t>services (across CAMHS, adult, aged and Forensicare)</w:t>
                      </w:r>
                    </w:p>
                    <w:p w14:paraId="175A08C0" w14:textId="77777777" w:rsidR="00A17607" w:rsidRPr="00B649BC" w:rsidRDefault="00A17607" w:rsidP="00B649BC">
                      <w:pPr>
                        <w:pStyle w:val="Header"/>
                        <w:tabs>
                          <w:tab w:val="clear" w:pos="10206"/>
                        </w:tabs>
                        <w:rPr>
                          <w:noProof/>
                          <w:szCs w:val="20"/>
                          <w:lang w:eastAsia="en-AU"/>
                        </w:rPr>
                      </w:pPr>
                    </w:p>
                    <w:p w14:paraId="740E6379" w14:textId="77777777" w:rsidR="00A17607" w:rsidRPr="00175631" w:rsidRDefault="00A17607" w:rsidP="00A17607">
                      <w:pPr>
                        <w:pStyle w:val="DHHSfooter"/>
                        <w:tabs>
                          <w:tab w:val="clear" w:pos="10206"/>
                        </w:tabs>
                        <w:rPr>
                          <w:b/>
                          <w:noProof/>
                          <w:szCs w:val="20"/>
                          <w:lang w:eastAsia="en-AU"/>
                        </w:rPr>
                      </w:pPr>
                      <w:r w:rsidRPr="00175631">
                        <w:rPr>
                          <w:b/>
                          <w:noProof/>
                          <w:szCs w:val="20"/>
                          <w:lang w:eastAsia="en-AU"/>
                        </w:rPr>
                        <w:t xml:space="preserve">Denominator: </w:t>
                      </w:r>
                    </w:p>
                    <w:p w14:paraId="2B6D1E22" w14:textId="09166A4C" w:rsidR="00A17607" w:rsidRPr="00A17607" w:rsidRDefault="00A17607" w:rsidP="00175631">
                      <w:pPr>
                        <w:pStyle w:val="BodyTextIndent"/>
                        <w:ind w:left="284" w:firstLine="142"/>
                        <w:jc w:val="left"/>
                      </w:pPr>
                      <w:r w:rsidRPr="009F7198">
                        <w:t>Hourly rate of mid-level clinican (including</w:t>
                      </w:r>
                      <w:r>
                        <w:t xml:space="preserve"> </w:t>
                      </w:r>
                      <w:r w:rsidR="00B649BC">
                        <w:t xml:space="preserve">travel </w:t>
                      </w:r>
                      <w:r w:rsidRPr="009F7198">
                        <w:t>costs)</w:t>
                      </w:r>
                      <w:r w:rsidR="00175631">
                        <w:t xml:space="preserve"> </w:t>
                      </w:r>
                      <w:r w:rsidRPr="00A17607">
                        <w:t>= $ per Service Hour</w:t>
                      </w:r>
                    </w:p>
                    <w:p w14:paraId="4258583A" w14:textId="297A66E5" w:rsidR="00A17607" w:rsidRDefault="00A17607"/>
                  </w:txbxContent>
                </v:textbox>
                <w10:wrap anchorx="margin"/>
              </v:shape>
            </w:pict>
          </mc:Fallback>
        </mc:AlternateContent>
      </w:r>
    </w:p>
    <w:p w14:paraId="7F698A26" w14:textId="77777777" w:rsidR="00C73EC4" w:rsidRDefault="00C73EC4" w:rsidP="00820C77">
      <w:pPr>
        <w:pStyle w:val="DHHSbody"/>
        <w:spacing w:line="240" w:lineRule="auto"/>
        <w:jc w:val="both"/>
      </w:pPr>
    </w:p>
    <w:p w14:paraId="0EE5CEEA" w14:textId="77777777" w:rsidR="00C73EC4" w:rsidRDefault="00C73EC4" w:rsidP="00820C77">
      <w:pPr>
        <w:pStyle w:val="DHHSbody"/>
        <w:spacing w:line="240" w:lineRule="auto"/>
        <w:jc w:val="both"/>
      </w:pPr>
    </w:p>
    <w:p w14:paraId="29A8BD9E" w14:textId="77777777" w:rsidR="009D17D9" w:rsidRDefault="009D17D9" w:rsidP="00820C77">
      <w:pPr>
        <w:pStyle w:val="DHHSbody"/>
        <w:spacing w:line="240" w:lineRule="auto"/>
        <w:jc w:val="both"/>
      </w:pPr>
    </w:p>
    <w:p w14:paraId="497F1929" w14:textId="77777777" w:rsidR="009D17D9" w:rsidRDefault="009D17D9" w:rsidP="00820C77">
      <w:pPr>
        <w:pStyle w:val="DHHSbody"/>
        <w:spacing w:line="240" w:lineRule="auto"/>
        <w:jc w:val="both"/>
      </w:pPr>
    </w:p>
    <w:p w14:paraId="5D630931" w14:textId="77777777" w:rsidR="00820C77" w:rsidRDefault="00820C77" w:rsidP="00820C77">
      <w:pPr>
        <w:pStyle w:val="DHHSbody"/>
        <w:spacing w:line="240" w:lineRule="auto"/>
        <w:jc w:val="both"/>
      </w:pPr>
    </w:p>
    <w:p w14:paraId="213FAB45" w14:textId="2C12F692" w:rsidR="00C73EC4" w:rsidRDefault="00C73EC4" w:rsidP="00820C77">
      <w:pPr>
        <w:pStyle w:val="DHHSbody"/>
        <w:spacing w:line="240" w:lineRule="auto"/>
        <w:jc w:val="both"/>
      </w:pPr>
      <w:r>
        <w:t xml:space="preserve">The department undertook modelling to determine an appropriate benchmark, and established that a funding rate of $320 per service hour would be used to set targets for </w:t>
      </w:r>
      <w:r w:rsidR="00CF7C5F">
        <w:t>2010-11.</w:t>
      </w:r>
    </w:p>
    <w:p w14:paraId="229A3BC0" w14:textId="3D2534BC" w:rsidR="00C73EC4" w:rsidRDefault="00C73EC4" w:rsidP="00820C77">
      <w:pPr>
        <w:pStyle w:val="DHHSbody"/>
        <w:spacing w:line="240" w:lineRule="auto"/>
        <w:jc w:val="both"/>
      </w:pPr>
      <w:r>
        <w:t xml:space="preserve">The figure of $320 per service hour was comparable with fee income earned by private practitioners. Based on Medicare Benefits Scheme </w:t>
      </w:r>
      <w:r w:rsidR="002B57C2">
        <w:t xml:space="preserve">(MBS) </w:t>
      </w:r>
      <w:r>
        <w:t>statistics published by the Department of Health and Ageing</w:t>
      </w:r>
      <w:r w:rsidR="002B57C2">
        <w:t>,</w:t>
      </w:r>
      <w:r>
        <w:t xml:space="preserve"> this was estimated at $200 for general practitioners and allied health professionals and $300 per hour for psychiatr</w:t>
      </w:r>
      <w:r w:rsidR="00CF7C5F">
        <w:t xml:space="preserve">ists working from their rooms. </w:t>
      </w:r>
      <w:r>
        <w:t>After allowing for travel time required for public mental health services (only around half of all recorded contact time is in an outpatient clinic setting) and a high proportion of attendances involving more than one clinician, the baseline rate of $320 was calculated.</w:t>
      </w:r>
    </w:p>
    <w:p w14:paraId="307394D8" w14:textId="6E8A1222" w:rsidR="00C73EC4" w:rsidRDefault="00C73EC4" w:rsidP="00820C77">
      <w:pPr>
        <w:pStyle w:val="DHHSbody"/>
        <w:spacing w:line="240" w:lineRule="auto"/>
        <w:jc w:val="both"/>
      </w:pPr>
      <w:r>
        <w:t xml:space="preserve">On this basis, benchmarks were set for aggregate community service hour targets for 2010-11. Since 2010-11, targets for new funding have been set using an indexed service hour price </w:t>
      </w:r>
    </w:p>
    <w:p w14:paraId="5D2200F4" w14:textId="77777777" w:rsidR="00C73EC4" w:rsidRDefault="00C73EC4" w:rsidP="00820C77">
      <w:pPr>
        <w:pStyle w:val="DHHSbody"/>
        <w:spacing w:line="240" w:lineRule="auto"/>
        <w:jc w:val="both"/>
      </w:pPr>
      <w:r>
        <w:t>Additional allocations to ambulatory funding provided to services have resulted in incremental adjustments to community service hour targets.</w:t>
      </w:r>
    </w:p>
    <w:p w14:paraId="7C8B6C59" w14:textId="0E06CE38" w:rsidR="00C73EC4" w:rsidRDefault="00C73EC4" w:rsidP="00820C77">
      <w:pPr>
        <w:pStyle w:val="DHHSbody"/>
        <w:spacing w:line="240" w:lineRule="auto"/>
        <w:jc w:val="both"/>
      </w:pPr>
      <w:r w:rsidRPr="00F90E0D">
        <w:t>In 2014–15 the department undert</w:t>
      </w:r>
      <w:r>
        <w:t xml:space="preserve">ook further modelling which </w:t>
      </w:r>
      <w:r w:rsidRPr="00F90E0D">
        <w:t>resulted in a rebasing of the service ho</w:t>
      </w:r>
      <w:r>
        <w:t xml:space="preserve">ur price </w:t>
      </w:r>
      <w:r w:rsidR="005354A8">
        <w:t xml:space="preserve">to the then </w:t>
      </w:r>
      <w:r w:rsidR="00823618">
        <w:t>mid-level</w:t>
      </w:r>
      <w:r w:rsidR="005354A8">
        <w:t xml:space="preserve"> MBS price. A</w:t>
      </w:r>
      <w:r>
        <w:t xml:space="preserve">s a consequence </w:t>
      </w:r>
      <w:r w:rsidRPr="00F90E0D">
        <w:t>minor adjustmen</w:t>
      </w:r>
      <w:r>
        <w:t xml:space="preserve">ts to service hour targets </w:t>
      </w:r>
      <w:r w:rsidRPr="00F90E0D">
        <w:t>occurred for most services</w:t>
      </w:r>
      <w:r>
        <w:t xml:space="preserve"> at that time</w:t>
      </w:r>
      <w:r w:rsidRPr="00F90E0D">
        <w:t>.</w:t>
      </w:r>
    </w:p>
    <w:p w14:paraId="0BC89F20" w14:textId="2E15FC41" w:rsidR="00C73EC4" w:rsidRDefault="00C73EC4" w:rsidP="00820C77">
      <w:pPr>
        <w:pStyle w:val="DHHSbody"/>
        <w:spacing w:line="240" w:lineRule="auto"/>
        <w:jc w:val="both"/>
      </w:pPr>
      <w:r>
        <w:t xml:space="preserve">The Community Service Hour </w:t>
      </w:r>
      <w:r w:rsidR="00CF7C5F" w:rsidRPr="00CF7C5F">
        <w:t>Policy and Funding Guidelines</w:t>
      </w:r>
      <w:r w:rsidR="00CF7C5F">
        <w:t xml:space="preserve"> </w:t>
      </w:r>
      <w:r>
        <w:t>price for 201</w:t>
      </w:r>
      <w:r w:rsidR="00116268">
        <w:t>7</w:t>
      </w:r>
      <w:r>
        <w:t>-1</w:t>
      </w:r>
      <w:r w:rsidR="00116268">
        <w:t>8 has been set at $396</w:t>
      </w:r>
      <w:r>
        <w:t>.</w:t>
      </w:r>
    </w:p>
    <w:p w14:paraId="3F296E2E" w14:textId="77777777" w:rsidR="00CF7C5F" w:rsidRDefault="00CF7C5F" w:rsidP="00820C77">
      <w:pPr>
        <w:rPr>
          <w:rFonts w:ascii="Arial" w:eastAsia="Times" w:hAnsi="Arial"/>
          <w:b/>
        </w:rPr>
      </w:pPr>
      <w:r>
        <w:rPr>
          <w:b/>
        </w:rPr>
        <w:br w:type="page"/>
      </w:r>
    </w:p>
    <w:p w14:paraId="02A48224" w14:textId="46EE4DBF" w:rsidR="005354A8" w:rsidRPr="00175631" w:rsidRDefault="005354A8" w:rsidP="00175631">
      <w:pPr>
        <w:pStyle w:val="Heading2"/>
        <w:spacing w:line="240" w:lineRule="auto"/>
        <w:jc w:val="both"/>
      </w:pPr>
      <w:r w:rsidRPr="00215B38">
        <w:lastRenderedPageBreak/>
        <w:t>Performance Monitoring</w:t>
      </w:r>
    </w:p>
    <w:p w14:paraId="4D688B48" w14:textId="354E6259" w:rsidR="00A82555" w:rsidRDefault="008A0534" w:rsidP="00820C77">
      <w:pPr>
        <w:pStyle w:val="DHHSbody"/>
        <w:spacing w:before="240" w:line="240" w:lineRule="auto"/>
        <w:jc w:val="both"/>
      </w:pPr>
      <w:r>
        <w:t>The</w:t>
      </w:r>
      <w:r w:rsidR="00C73EC4">
        <w:t xml:space="preserve"> 2016-17 </w:t>
      </w:r>
      <w:r>
        <w:t xml:space="preserve">Policy and Funding Guidelines </w:t>
      </w:r>
      <w:r w:rsidR="00B25B15">
        <w:t xml:space="preserve">noted for the first time that </w:t>
      </w:r>
      <w:r w:rsidR="00B649BC">
        <w:t>the depa</w:t>
      </w:r>
      <w:r w:rsidR="00175631">
        <w:t>rtment will be implementing a</w:t>
      </w:r>
      <w:r w:rsidR="00B649BC">
        <w:t xml:space="preserve"> recall policy for underperformance</w:t>
      </w:r>
      <w:r w:rsidR="00A82555">
        <w:t xml:space="preserve"> </w:t>
      </w:r>
      <w:r w:rsidR="00B25B15">
        <w:t xml:space="preserve">against service hours </w:t>
      </w:r>
      <w:r w:rsidR="00A82555" w:rsidRPr="00A82555">
        <w:t>as part of the department’s</w:t>
      </w:r>
      <w:r w:rsidR="00CF7C5F">
        <w:t xml:space="preserve"> Prior Year A</w:t>
      </w:r>
      <w:r w:rsidR="00823618">
        <w:t xml:space="preserve">djustment </w:t>
      </w:r>
      <w:r w:rsidR="00CF7C5F">
        <w:t xml:space="preserve">(PYA) </w:t>
      </w:r>
      <w:r w:rsidR="00823618">
        <w:t>process.</w:t>
      </w:r>
      <w:r w:rsidR="00B25B15">
        <w:t xml:space="preserve"> Implementation of recall via PYA will occur from 2017-18.</w:t>
      </w:r>
    </w:p>
    <w:p w14:paraId="5CC9DA73" w14:textId="4D1D9F6D" w:rsidR="00EC1CFA" w:rsidRDefault="00EC1CFA" w:rsidP="00820C77">
      <w:pPr>
        <w:pStyle w:val="DHHSbody"/>
        <w:spacing w:before="240" w:line="240" w:lineRule="auto"/>
        <w:jc w:val="both"/>
      </w:pPr>
      <w:r>
        <w:t>The m</w:t>
      </w:r>
      <w:r w:rsidRPr="00EC1CFA">
        <w:t xml:space="preserve">ental health recall policy reconciles the </w:t>
      </w:r>
      <w:r>
        <w:t>prior year funding</w:t>
      </w:r>
      <w:r w:rsidRPr="00EC1CFA">
        <w:t xml:space="preserve"> with expected activity for clinical community </w:t>
      </w:r>
      <w:r>
        <w:t xml:space="preserve">mental health ambulatory </w:t>
      </w:r>
      <w:r w:rsidR="00175631">
        <w:t>services:</w:t>
      </w:r>
    </w:p>
    <w:p w14:paraId="6585916D" w14:textId="2EE6B404" w:rsidR="00EC1CFA" w:rsidRDefault="00EC1CFA" w:rsidP="00820C77">
      <w:pPr>
        <w:pStyle w:val="DHHSbullet1"/>
        <w:spacing w:after="0" w:line="240" w:lineRule="auto"/>
        <w:ind w:left="709"/>
      </w:pPr>
      <w:r w:rsidRPr="00EC1CFA">
        <w:t>Based on community service hours funded across the financial year</w:t>
      </w:r>
    </w:p>
    <w:p w14:paraId="1596DE85" w14:textId="6394BDF7" w:rsidR="00EC1CFA" w:rsidRPr="00EC1CFA" w:rsidRDefault="00EC1CFA" w:rsidP="00820C77">
      <w:pPr>
        <w:pStyle w:val="DHHSbullet1"/>
        <w:spacing w:after="0" w:line="240" w:lineRule="auto"/>
        <w:ind w:left="709"/>
      </w:pPr>
      <w:r w:rsidRPr="00EC1CFA">
        <w:t>Determined by the underperformance against funded community service hour target</w:t>
      </w:r>
    </w:p>
    <w:p w14:paraId="3A1588BB" w14:textId="593B3BBA" w:rsidR="00175631" w:rsidRDefault="00EC1CFA" w:rsidP="00820C77">
      <w:pPr>
        <w:pStyle w:val="DHHSbullet1"/>
        <w:spacing w:after="0" w:line="240" w:lineRule="auto"/>
        <w:ind w:left="709"/>
      </w:pPr>
      <w:r w:rsidRPr="00EC1CFA">
        <w:t>Recall triggers where any activity is less than 95% of target and will be recalled at 100%</w:t>
      </w:r>
      <w:r w:rsidR="00175631">
        <w:t xml:space="preserve"> of funding, i.e. a performance result of 90% against target will result in a recall amount equivalent to 5% of targets multiplied by the full per hour service rate</w:t>
      </w:r>
    </w:p>
    <w:p w14:paraId="289F715A" w14:textId="5C4895A1" w:rsidR="00EC1CFA" w:rsidRDefault="00EC1CFA" w:rsidP="00820C77">
      <w:pPr>
        <w:pStyle w:val="DHHSbullet1"/>
        <w:spacing w:after="0" w:line="240" w:lineRule="auto"/>
        <w:ind w:left="709"/>
      </w:pPr>
      <w:r w:rsidRPr="00EC1CFA">
        <w:t xml:space="preserve">There is </w:t>
      </w:r>
      <w:r w:rsidR="00175631">
        <w:t>no recall where performance outcome result</w:t>
      </w:r>
      <w:r w:rsidRPr="00EC1CFA">
        <w:t xml:space="preserve"> is between 0-5% of target</w:t>
      </w:r>
    </w:p>
    <w:p w14:paraId="24A6CF52" w14:textId="67A126B7" w:rsidR="00B90853" w:rsidRPr="00B90853" w:rsidRDefault="00B90853" w:rsidP="00820C77">
      <w:pPr>
        <w:pStyle w:val="DHHSbullet1"/>
        <w:spacing w:after="0" w:line="240" w:lineRule="auto"/>
        <w:ind w:left="709"/>
      </w:pPr>
      <w:r w:rsidRPr="00B90853">
        <w:t>The activity data used to determine the recall is sourced from the CMI/ODS</w:t>
      </w:r>
      <w:r>
        <w:t xml:space="preserve"> </w:t>
      </w:r>
      <w:r w:rsidR="00175631">
        <w:t>end</w:t>
      </w:r>
      <w:r w:rsidRPr="00B90853">
        <w:t xml:space="preserve"> June dataset</w:t>
      </w:r>
    </w:p>
    <w:p w14:paraId="1F58FAA7" w14:textId="74DF204A" w:rsidR="00B90853" w:rsidRPr="00B90853" w:rsidRDefault="00B90853" w:rsidP="00820C77">
      <w:pPr>
        <w:pStyle w:val="DHHSbullet1"/>
        <w:spacing w:after="0" w:line="240" w:lineRule="auto"/>
        <w:ind w:left="709"/>
      </w:pPr>
      <w:r w:rsidRPr="00B90853">
        <w:t xml:space="preserve">The </w:t>
      </w:r>
      <w:r w:rsidR="00CF7C5F" w:rsidRPr="00CF7C5F">
        <w:t>Prior Year Adjustment</w:t>
      </w:r>
      <w:r w:rsidRPr="00B90853">
        <w:t xml:space="preserve"> process for mental health services is undertaken in August/September and requires that all relevant data has been accurately reported via the CMI no later than the end of September</w:t>
      </w:r>
    </w:p>
    <w:p w14:paraId="4D974416" w14:textId="5C27907E" w:rsidR="00EC1CFA" w:rsidRPr="00215B38" w:rsidRDefault="00B90853" w:rsidP="00820C77">
      <w:pPr>
        <w:pStyle w:val="DHHSbullet1"/>
        <w:spacing w:after="0" w:line="240" w:lineRule="auto"/>
        <w:ind w:left="709"/>
      </w:pPr>
      <w:r w:rsidRPr="00B90853">
        <w:t xml:space="preserve">Mental health recall analysis </w:t>
      </w:r>
      <w:r>
        <w:t xml:space="preserve">is </w:t>
      </w:r>
      <w:r w:rsidRPr="00B90853">
        <w:t>incorporate</w:t>
      </w:r>
      <w:r>
        <w:t>d into the h</w:t>
      </w:r>
      <w:r w:rsidRPr="00B90853">
        <w:t>ealth service wide P</w:t>
      </w:r>
      <w:r>
        <w:t xml:space="preserve">rior Year Adjustment </w:t>
      </w:r>
      <w:r w:rsidRPr="00B90853">
        <w:t>process</w:t>
      </w:r>
      <w:r>
        <w:t>.</w:t>
      </w:r>
    </w:p>
    <w:p w14:paraId="776D7F43" w14:textId="3F1A5E7F" w:rsidR="00EC1CFA" w:rsidRPr="0044501E" w:rsidRDefault="00EC1CFA" w:rsidP="00820C77">
      <w:pPr>
        <w:pStyle w:val="DHHSbody"/>
        <w:spacing w:before="240" w:line="240" w:lineRule="auto"/>
        <w:jc w:val="both"/>
      </w:pPr>
      <w:r>
        <w:t xml:space="preserve">Performance and Program management discussions provide the means for </w:t>
      </w:r>
      <w:r w:rsidR="00B90853">
        <w:t xml:space="preserve">health services to </w:t>
      </w:r>
      <w:r w:rsidR="00175631">
        <w:t xml:space="preserve">address </w:t>
      </w:r>
      <w:r>
        <w:t>performance</w:t>
      </w:r>
      <w:r w:rsidR="00B90853">
        <w:t xml:space="preserve"> concerns with the department</w:t>
      </w:r>
      <w:r>
        <w:t>.</w:t>
      </w:r>
    </w:p>
    <w:p w14:paraId="460AE79D" w14:textId="77777777" w:rsidR="00CF7C5F" w:rsidRDefault="00EC1CFA" w:rsidP="00820C77">
      <w:pPr>
        <w:pStyle w:val="Heading2"/>
        <w:spacing w:line="240" w:lineRule="auto"/>
        <w:jc w:val="both"/>
        <w:rPr>
          <w:rFonts w:eastAsia="Times"/>
          <w:b w:val="0"/>
          <w:color w:val="auto"/>
          <w:sz w:val="20"/>
          <w:szCs w:val="20"/>
        </w:rPr>
      </w:pPr>
      <w:r w:rsidRPr="00215B38">
        <w:rPr>
          <w:rFonts w:eastAsia="Times"/>
          <w:b w:val="0"/>
          <w:color w:val="auto"/>
          <w:sz w:val="20"/>
          <w:szCs w:val="20"/>
        </w:rPr>
        <w:t>For further information about definitions, business rules relating to Policy and Funding Guidelines please see the Department of Health and Human Services website</w:t>
      </w:r>
      <w:r w:rsidR="00CF7C5F">
        <w:rPr>
          <w:rFonts w:eastAsia="Times"/>
          <w:b w:val="0"/>
          <w:color w:val="auto"/>
          <w:sz w:val="20"/>
          <w:szCs w:val="20"/>
        </w:rPr>
        <w:t>:</w:t>
      </w:r>
    </w:p>
    <w:p w14:paraId="795EB57E" w14:textId="2B643C97" w:rsidR="00B90853" w:rsidRDefault="007377A0" w:rsidP="00820C77">
      <w:pPr>
        <w:pStyle w:val="Heading2"/>
        <w:spacing w:line="240" w:lineRule="auto"/>
        <w:jc w:val="both"/>
      </w:pPr>
      <w:hyperlink r:id="rId11" w:history="1">
        <w:r w:rsidR="00EC1CFA" w:rsidRPr="00CF7C5F">
          <w:rPr>
            <w:rStyle w:val="Hyperlink"/>
            <w:rFonts w:cs="Arial"/>
            <w:b w:val="0"/>
            <w:sz w:val="20"/>
            <w:lang w:eastAsia="en-AU"/>
          </w:rPr>
          <w:t>https://www2.health.vic.gov.au/about/policy-and-funding-guidelines</w:t>
        </w:r>
      </w:hyperlink>
      <w:r w:rsidR="00EC1CFA" w:rsidRPr="00CF7C5F">
        <w:rPr>
          <w:rFonts w:eastAsia="Times"/>
          <w:b w:val="0"/>
          <w:color w:val="auto"/>
          <w:sz w:val="14"/>
          <w:szCs w:val="20"/>
        </w:rPr>
        <w:t xml:space="preserve"> </w:t>
      </w:r>
      <w:r w:rsidR="00EC1CFA" w:rsidRPr="00215B38">
        <w:rPr>
          <w:rFonts w:eastAsia="Times"/>
          <w:b w:val="0"/>
          <w:color w:val="auto"/>
          <w:sz w:val="20"/>
          <w:szCs w:val="20"/>
        </w:rPr>
        <w:t>to download a copy. R</w:t>
      </w:r>
      <w:r w:rsidR="00A82555" w:rsidRPr="00215B38">
        <w:rPr>
          <w:rFonts w:eastAsia="Times"/>
          <w:b w:val="0"/>
          <w:color w:val="auto"/>
          <w:sz w:val="20"/>
          <w:szCs w:val="20"/>
        </w:rPr>
        <w:t xml:space="preserve">eference </w:t>
      </w:r>
      <w:r w:rsidR="00EC1CFA" w:rsidRPr="00215B38">
        <w:rPr>
          <w:rFonts w:eastAsia="Times"/>
          <w:b w:val="0"/>
          <w:color w:val="auto"/>
          <w:sz w:val="20"/>
          <w:szCs w:val="20"/>
        </w:rPr>
        <w:t xml:space="preserve">search is </w:t>
      </w:r>
      <w:r w:rsidR="00A82555" w:rsidRPr="00215B38">
        <w:rPr>
          <w:rFonts w:eastAsia="Times"/>
          <w:b w:val="0"/>
          <w:color w:val="auto"/>
          <w:sz w:val="20"/>
          <w:szCs w:val="20"/>
        </w:rPr>
        <w:t>Vol2: Health Operations, 2017-18 Chapter 2 pp144-145</w:t>
      </w:r>
      <w:r w:rsidR="00823618">
        <w:rPr>
          <w:rFonts w:eastAsia="Times"/>
          <w:b w:val="0"/>
          <w:color w:val="auto"/>
          <w:sz w:val="20"/>
          <w:szCs w:val="20"/>
        </w:rPr>
        <w:t>.</w:t>
      </w:r>
    </w:p>
    <w:p w14:paraId="6DC91C28" w14:textId="2B9C5FAB" w:rsidR="005328B7" w:rsidRDefault="00B90853" w:rsidP="00820C77">
      <w:pPr>
        <w:pStyle w:val="Heading2"/>
        <w:spacing w:line="240" w:lineRule="auto"/>
        <w:jc w:val="both"/>
      </w:pPr>
      <w:r>
        <w:t xml:space="preserve">CMI/ODS </w:t>
      </w:r>
      <w:r w:rsidR="00C73EC4">
        <w:t>Definitions and Business Rules</w:t>
      </w:r>
    </w:p>
    <w:p w14:paraId="4C16449D" w14:textId="574A1D05" w:rsidR="005328B7" w:rsidRDefault="005328B7" w:rsidP="00820C77">
      <w:pPr>
        <w:pStyle w:val="Heading2"/>
        <w:spacing w:line="240" w:lineRule="auto"/>
        <w:jc w:val="both"/>
      </w:pPr>
      <w:r>
        <w:t>Community Service Hours</w:t>
      </w:r>
    </w:p>
    <w:p w14:paraId="1DB5F2EF" w14:textId="613D25C6" w:rsidR="005328B7" w:rsidRDefault="005328B7" w:rsidP="00820C77">
      <w:pPr>
        <w:pStyle w:val="DHHSbullet1"/>
        <w:spacing w:after="0" w:line="240" w:lineRule="auto"/>
        <w:ind w:left="709"/>
        <w:rPr>
          <w:lang w:eastAsia="en-AU"/>
        </w:rPr>
      </w:pPr>
      <w:r w:rsidRPr="005328B7">
        <w:rPr>
          <w:lang w:eastAsia="en-AU"/>
        </w:rPr>
        <w:t>Community Service Hours are</w:t>
      </w:r>
      <w:r w:rsidR="00823618">
        <w:rPr>
          <w:lang w:eastAsia="en-AU"/>
        </w:rPr>
        <w:t xml:space="preserve"> derived from Service Contacts.</w:t>
      </w:r>
    </w:p>
    <w:p w14:paraId="1EA616D5" w14:textId="062A072B" w:rsidR="005328B7" w:rsidRPr="005328B7" w:rsidRDefault="005328B7" w:rsidP="00820C77">
      <w:pPr>
        <w:pStyle w:val="DHHSbullet1"/>
        <w:spacing w:after="0" w:line="240" w:lineRule="auto"/>
        <w:ind w:left="709"/>
        <w:rPr>
          <w:lang w:eastAsia="en-AU"/>
        </w:rPr>
      </w:pPr>
      <w:r w:rsidRPr="005328B7">
        <w:rPr>
          <w:lang w:eastAsia="en-AU"/>
        </w:rPr>
        <w:t xml:space="preserve">Group contacts are measured from a clinician perspective (that is, in clinician </w:t>
      </w:r>
      <w:r w:rsidR="00823618" w:rsidRPr="00CF7C5F">
        <w:rPr>
          <w:lang w:eastAsia="en-AU"/>
        </w:rPr>
        <w:t>hours) for a number of clients.</w:t>
      </w:r>
    </w:p>
    <w:p w14:paraId="33B2C144" w14:textId="77777777" w:rsidR="005328B7" w:rsidRDefault="005328B7" w:rsidP="00820C77">
      <w:pPr>
        <w:pStyle w:val="Heading3"/>
        <w:spacing w:before="0" w:after="0" w:line="240" w:lineRule="auto"/>
      </w:pPr>
      <w:bookmarkStart w:id="0" w:name="_GoBack"/>
      <w:bookmarkEnd w:id="0"/>
    </w:p>
    <w:p w14:paraId="24AA047B" w14:textId="64C6A4F2" w:rsidR="00C73EC4" w:rsidRPr="00557139" w:rsidRDefault="00C73EC4" w:rsidP="00820C77">
      <w:pPr>
        <w:pStyle w:val="Heading3"/>
        <w:spacing w:before="0" w:after="0" w:line="240" w:lineRule="auto"/>
      </w:pPr>
      <w:r>
        <w:t>Service Contacts</w:t>
      </w:r>
    </w:p>
    <w:p w14:paraId="297AB508" w14:textId="77777777" w:rsidR="00C73EC4" w:rsidRDefault="00C73EC4" w:rsidP="00820C77">
      <w:pPr>
        <w:autoSpaceDE w:val="0"/>
        <w:autoSpaceDN w:val="0"/>
        <w:adjustRightInd w:val="0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>Service Contacts are derived from the following CMI/ODS Contact types:</w:t>
      </w:r>
    </w:p>
    <w:p w14:paraId="637FBF48" w14:textId="77777777" w:rsidR="00C73EC4" w:rsidRPr="00710518" w:rsidRDefault="00C73EC4" w:rsidP="00820C77">
      <w:pPr>
        <w:pStyle w:val="DHHSbullet1"/>
        <w:spacing w:after="0" w:line="240" w:lineRule="auto"/>
        <w:ind w:left="709"/>
        <w:rPr>
          <w:lang w:eastAsia="en-AU"/>
        </w:rPr>
      </w:pPr>
      <w:r w:rsidRPr="00710518">
        <w:rPr>
          <w:lang w:eastAsia="en-AU"/>
        </w:rPr>
        <w:t>A</w:t>
      </w:r>
      <w:r>
        <w:rPr>
          <w:lang w:eastAsia="en-AU"/>
        </w:rPr>
        <w:t xml:space="preserve"> - </w:t>
      </w:r>
      <w:r w:rsidRPr="00710518">
        <w:rPr>
          <w:lang w:eastAsia="en-AU"/>
        </w:rPr>
        <w:t>Registered client contact</w:t>
      </w:r>
    </w:p>
    <w:p w14:paraId="36DA2305" w14:textId="77777777" w:rsidR="00C73EC4" w:rsidRPr="00710518" w:rsidRDefault="00C73EC4" w:rsidP="00820C77">
      <w:pPr>
        <w:pStyle w:val="DHHSbullet1"/>
        <w:spacing w:after="0" w:line="240" w:lineRule="auto"/>
        <w:ind w:left="709"/>
        <w:rPr>
          <w:lang w:eastAsia="en-AU"/>
        </w:rPr>
      </w:pPr>
      <w:r w:rsidRPr="00710518">
        <w:rPr>
          <w:lang w:eastAsia="en-AU"/>
        </w:rPr>
        <w:t>B</w:t>
      </w:r>
      <w:r>
        <w:rPr>
          <w:lang w:eastAsia="en-AU"/>
        </w:rPr>
        <w:t xml:space="preserve"> - </w:t>
      </w:r>
      <w:r w:rsidRPr="00710518">
        <w:rPr>
          <w:lang w:eastAsia="en-AU"/>
        </w:rPr>
        <w:t>Unregistered client contact</w:t>
      </w:r>
    </w:p>
    <w:p w14:paraId="697E45F0" w14:textId="77777777" w:rsidR="00C73EC4" w:rsidRPr="00710518" w:rsidRDefault="00C73EC4" w:rsidP="00820C77">
      <w:pPr>
        <w:pStyle w:val="DHHSbullet1"/>
        <w:spacing w:after="0" w:line="240" w:lineRule="auto"/>
        <w:ind w:left="709"/>
        <w:rPr>
          <w:lang w:eastAsia="en-AU"/>
        </w:rPr>
      </w:pPr>
      <w:r w:rsidRPr="00710518">
        <w:rPr>
          <w:lang w:eastAsia="en-AU"/>
        </w:rPr>
        <w:t>C</w:t>
      </w:r>
      <w:r>
        <w:rPr>
          <w:lang w:eastAsia="en-AU"/>
        </w:rPr>
        <w:t xml:space="preserve"> - </w:t>
      </w:r>
      <w:r w:rsidRPr="00710518">
        <w:rPr>
          <w:lang w:eastAsia="en-AU"/>
        </w:rPr>
        <w:t>Community contact</w:t>
      </w:r>
    </w:p>
    <w:p w14:paraId="2C4E0133" w14:textId="77777777" w:rsidR="00C73EC4" w:rsidRPr="00710518" w:rsidRDefault="00C73EC4" w:rsidP="00820C77">
      <w:pPr>
        <w:pStyle w:val="DHHSbullet1"/>
        <w:spacing w:after="0" w:line="240" w:lineRule="auto"/>
        <w:ind w:left="709"/>
        <w:rPr>
          <w:lang w:eastAsia="en-AU"/>
        </w:rPr>
      </w:pPr>
      <w:r w:rsidRPr="00710518">
        <w:rPr>
          <w:lang w:eastAsia="en-AU"/>
        </w:rPr>
        <w:t>E</w:t>
      </w:r>
      <w:r>
        <w:rPr>
          <w:lang w:eastAsia="en-AU"/>
        </w:rPr>
        <w:t xml:space="preserve"> - </w:t>
      </w:r>
      <w:r w:rsidRPr="00710518">
        <w:rPr>
          <w:lang w:eastAsia="en-AU"/>
        </w:rPr>
        <w:t>Case contact</w:t>
      </w:r>
    </w:p>
    <w:p w14:paraId="4790C26A" w14:textId="77777777" w:rsidR="00C73EC4" w:rsidRDefault="00C73EC4" w:rsidP="00820C77">
      <w:pPr>
        <w:autoSpaceDE w:val="0"/>
        <w:autoSpaceDN w:val="0"/>
        <w:adjustRightInd w:val="0"/>
        <w:rPr>
          <w:rFonts w:ascii="Arial" w:hAnsi="Arial" w:cs="Arial"/>
          <w:lang w:eastAsia="en-AU"/>
        </w:rPr>
      </w:pPr>
    </w:p>
    <w:p w14:paraId="75ED94C4" w14:textId="77777777" w:rsidR="005328B7" w:rsidRPr="005328B7" w:rsidRDefault="005328B7" w:rsidP="00820C77">
      <w:pPr>
        <w:pStyle w:val="Heading3"/>
        <w:spacing w:before="0" w:after="0" w:line="240" w:lineRule="auto"/>
        <w:rPr>
          <w:rFonts w:eastAsia="Times New Roman" w:cs="Arial"/>
          <w:b w:val="0"/>
          <w:bCs w:val="0"/>
          <w:sz w:val="20"/>
          <w:szCs w:val="20"/>
          <w:lang w:eastAsia="en-AU"/>
        </w:rPr>
      </w:pPr>
      <w:r w:rsidRPr="005328B7">
        <w:rPr>
          <w:rFonts w:eastAsia="Times New Roman" w:cs="Arial"/>
          <w:b w:val="0"/>
          <w:bCs w:val="0"/>
          <w:sz w:val="20"/>
          <w:szCs w:val="20"/>
          <w:lang w:eastAsia="en-AU"/>
        </w:rPr>
        <w:t>Detailed technical service hour KPI definitions are available within quarterly service hour target reports.</w:t>
      </w:r>
    </w:p>
    <w:p w14:paraId="36712548" w14:textId="77777777" w:rsidR="005328B7" w:rsidRDefault="005328B7" w:rsidP="00820C77">
      <w:pPr>
        <w:autoSpaceDE w:val="0"/>
        <w:autoSpaceDN w:val="0"/>
        <w:adjustRightInd w:val="0"/>
        <w:rPr>
          <w:rFonts w:ascii="Arial" w:hAnsi="Arial" w:cs="Arial"/>
          <w:lang w:eastAsia="en-AU"/>
        </w:rPr>
      </w:pPr>
    </w:p>
    <w:p w14:paraId="032124CA" w14:textId="2B3801B4" w:rsidR="00B649BC" w:rsidRDefault="00C73EC4" w:rsidP="00820C77">
      <w:pPr>
        <w:autoSpaceDE w:val="0"/>
        <w:autoSpaceDN w:val="0"/>
        <w:adjustRightInd w:val="0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 xml:space="preserve">For </w:t>
      </w:r>
      <w:r w:rsidR="005328B7">
        <w:rPr>
          <w:rFonts w:ascii="Arial" w:hAnsi="Arial" w:cs="Arial"/>
          <w:lang w:eastAsia="en-AU"/>
        </w:rPr>
        <w:t>further</w:t>
      </w:r>
      <w:r>
        <w:rPr>
          <w:rFonts w:ascii="Arial" w:hAnsi="Arial" w:cs="Arial"/>
          <w:lang w:eastAsia="en-AU"/>
        </w:rPr>
        <w:t xml:space="preserve"> information about reportable criteria, </w:t>
      </w:r>
      <w:r w:rsidRPr="00E47C5A">
        <w:rPr>
          <w:rFonts w:ascii="Arial" w:hAnsi="Arial" w:cs="Arial"/>
          <w:lang w:eastAsia="en-AU"/>
        </w:rPr>
        <w:t>definitions, business rules and code sets relating to</w:t>
      </w:r>
      <w:r>
        <w:rPr>
          <w:rFonts w:ascii="Arial" w:hAnsi="Arial" w:cs="Arial"/>
          <w:lang w:eastAsia="en-AU"/>
        </w:rPr>
        <w:t xml:space="preserve"> </w:t>
      </w:r>
    </w:p>
    <w:p w14:paraId="177F41E3" w14:textId="298D16C0" w:rsidR="00C73EC4" w:rsidRDefault="00C73EC4" w:rsidP="00820C77">
      <w:pPr>
        <w:autoSpaceDE w:val="0"/>
        <w:autoSpaceDN w:val="0"/>
        <w:adjustRightInd w:val="0"/>
        <w:rPr>
          <w:rFonts w:ascii="Arial" w:hAnsi="Arial" w:cs="Arial"/>
          <w:lang w:eastAsia="en-AU"/>
        </w:rPr>
      </w:pPr>
      <w:r>
        <w:rPr>
          <w:rFonts w:ascii="Arial" w:hAnsi="Arial" w:cs="Arial"/>
          <w:lang w:eastAsia="en-AU"/>
        </w:rPr>
        <w:t xml:space="preserve">Contacts, please see the Department of Health </w:t>
      </w:r>
      <w:r w:rsidR="00B649BC">
        <w:rPr>
          <w:rFonts w:ascii="Arial" w:hAnsi="Arial" w:cs="Arial"/>
          <w:lang w:eastAsia="en-AU"/>
        </w:rPr>
        <w:t>and</w:t>
      </w:r>
      <w:r>
        <w:rPr>
          <w:rFonts w:ascii="Arial" w:hAnsi="Arial" w:cs="Arial"/>
          <w:lang w:eastAsia="en-AU"/>
        </w:rPr>
        <w:t xml:space="preserve"> Human Services website:</w:t>
      </w:r>
    </w:p>
    <w:p w14:paraId="080F7217" w14:textId="77777777" w:rsidR="00C73EC4" w:rsidRDefault="00C73EC4" w:rsidP="00820C77">
      <w:pPr>
        <w:autoSpaceDE w:val="0"/>
        <w:autoSpaceDN w:val="0"/>
        <w:adjustRightInd w:val="0"/>
        <w:rPr>
          <w:rFonts w:ascii="Arial" w:hAnsi="Arial" w:cs="Arial"/>
          <w:lang w:eastAsia="en-AU"/>
        </w:rPr>
      </w:pPr>
    </w:p>
    <w:p w14:paraId="21621291" w14:textId="77777777" w:rsidR="00C73EC4" w:rsidRDefault="007377A0" w:rsidP="00820C77">
      <w:pPr>
        <w:autoSpaceDE w:val="0"/>
        <w:autoSpaceDN w:val="0"/>
        <w:adjustRightInd w:val="0"/>
        <w:rPr>
          <w:rFonts w:ascii="Arial" w:hAnsi="Arial" w:cs="Arial"/>
          <w:lang w:eastAsia="en-AU"/>
        </w:rPr>
      </w:pPr>
      <w:hyperlink r:id="rId12" w:history="1">
        <w:r w:rsidR="00C73EC4" w:rsidRPr="002F276E">
          <w:rPr>
            <w:rStyle w:val="Hyperlink"/>
            <w:rFonts w:ascii="Arial" w:hAnsi="Arial" w:cs="Arial"/>
            <w:lang w:eastAsia="en-AU"/>
          </w:rPr>
          <w:t>https://www2.health.vic.gov.au/mental-health/research-and-reporting/reporting-requirements-for-clinical%20mental-health-services</w:t>
        </w:r>
      </w:hyperlink>
      <w:r w:rsidR="00C73EC4">
        <w:rPr>
          <w:rFonts w:ascii="Arial" w:hAnsi="Arial" w:cs="Arial"/>
          <w:lang w:eastAsia="en-AU"/>
        </w:rPr>
        <w:t xml:space="preserve"> </w:t>
      </w:r>
    </w:p>
    <w:p w14:paraId="4A6F0B2F" w14:textId="77777777" w:rsidR="00C73EC4" w:rsidRDefault="00C73EC4" w:rsidP="00820C77">
      <w:pPr>
        <w:autoSpaceDE w:val="0"/>
        <w:autoSpaceDN w:val="0"/>
        <w:adjustRightInd w:val="0"/>
        <w:rPr>
          <w:rFonts w:ascii="Arial" w:hAnsi="Arial" w:cs="Arial"/>
          <w:lang w:eastAsia="en-AU"/>
        </w:rPr>
      </w:pPr>
    </w:p>
    <w:p w14:paraId="210CE0FE" w14:textId="2F6BF3C6" w:rsidR="00C73EC4" w:rsidRDefault="00C73EC4" w:rsidP="00820C77">
      <w:pPr>
        <w:autoSpaceDE w:val="0"/>
        <w:autoSpaceDN w:val="0"/>
        <w:adjustRightInd w:val="0"/>
      </w:pPr>
      <w:r>
        <w:rPr>
          <w:rFonts w:ascii="Arial" w:hAnsi="Arial" w:cs="Arial"/>
          <w:lang w:eastAsia="en-AU"/>
        </w:rPr>
        <w:t xml:space="preserve">If you have any further questions relating to CMI/ODS contact business rules, data reporting and data definitions, please email  </w:t>
      </w:r>
      <w:r w:rsidRPr="0035467E">
        <w:rPr>
          <w:rFonts w:ascii="Arial" w:hAnsi="Arial" w:cs="Arial"/>
          <w:lang w:eastAsia="en-AU"/>
        </w:rPr>
        <w:t xml:space="preserve">Mental Health </w:t>
      </w:r>
      <w:r>
        <w:rPr>
          <w:rFonts w:ascii="Arial" w:hAnsi="Arial" w:cs="Arial"/>
          <w:lang w:eastAsia="en-AU"/>
        </w:rPr>
        <w:t>Data</w:t>
      </w:r>
      <w:r w:rsidRPr="0035467E">
        <w:rPr>
          <w:rFonts w:ascii="Arial" w:hAnsi="Arial" w:cs="Arial"/>
          <w:lang w:eastAsia="en-AU"/>
        </w:rPr>
        <w:t xml:space="preserve"> Unit, </w:t>
      </w:r>
      <w:r>
        <w:rPr>
          <w:rFonts w:ascii="Arial" w:hAnsi="Arial" w:cs="Arial"/>
          <w:lang w:eastAsia="en-AU"/>
        </w:rPr>
        <w:t>Digital Health</w:t>
      </w:r>
      <w:r w:rsidRPr="0035467E">
        <w:rPr>
          <w:rFonts w:ascii="Arial" w:hAnsi="Arial" w:cs="Arial"/>
          <w:lang w:eastAsia="en-AU"/>
        </w:rPr>
        <w:t xml:space="preserve"> Branch:</w:t>
      </w:r>
      <w:r w:rsidRPr="00823618">
        <w:rPr>
          <w:rFonts w:ascii="Arial" w:hAnsi="Arial" w:cs="Arial"/>
        </w:rPr>
        <w:t xml:space="preserve"> </w:t>
      </w:r>
      <w:hyperlink r:id="rId13" w:history="1">
        <w:r w:rsidRPr="00823618">
          <w:rPr>
            <w:rStyle w:val="Hyperlink"/>
            <w:rFonts w:ascii="Arial" w:hAnsi="Arial" w:cs="Arial"/>
          </w:rPr>
          <w:t>mhdrreporting@health.vic.gov.au</w:t>
        </w:r>
      </w:hyperlink>
      <w:r w:rsidR="00820C77">
        <w:rPr>
          <w:rStyle w:val="Hyperlink"/>
          <w:rFonts w:ascii="Arial" w:hAnsi="Arial" w:cs="Arial"/>
        </w:rPr>
        <w:t>.</w:t>
      </w:r>
    </w:p>
    <w:p w14:paraId="4FE3D4FE" w14:textId="77777777" w:rsidR="00823618" w:rsidRDefault="00823618" w:rsidP="00C73EC4">
      <w:pPr>
        <w:autoSpaceDE w:val="0"/>
        <w:autoSpaceDN w:val="0"/>
        <w:adjustRightInd w:val="0"/>
        <w:rPr>
          <w:rFonts w:ascii="Arial" w:hAnsi="Arial" w:cs="Arial"/>
          <w:lang w:eastAsia="en-AU"/>
        </w:rPr>
        <w:sectPr w:rsidR="00823618" w:rsidSect="007377A0">
          <w:headerReference w:type="default" r:id="rId14"/>
          <w:footerReference w:type="default" r:id="rId15"/>
          <w:type w:val="continuous"/>
          <w:pgSz w:w="11906" w:h="16838" w:code="9"/>
          <w:pgMar w:top="904" w:right="851" w:bottom="1134" w:left="851" w:header="567" w:footer="510" w:gutter="0"/>
          <w:cols w:space="340"/>
          <w:titlePg/>
          <w:docGrid w:linePitch="360"/>
        </w:sectPr>
      </w:pPr>
    </w:p>
    <w:tbl>
      <w:tblPr>
        <w:tblpPr w:leftFromText="180" w:rightFromText="180" w:vertAnchor="text" w:horzAnchor="margin" w:tblpY="162"/>
        <w:tblW w:w="4786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974"/>
      </w:tblGrid>
      <w:tr w:rsidR="00823618" w:rsidRPr="002802E3" w14:paraId="566EF266" w14:textId="77777777" w:rsidTr="00823618">
        <w:trPr>
          <w:cantSplit/>
          <w:trHeight w:val="1264"/>
        </w:trPr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EC7B8" w14:textId="77777777" w:rsidR="00823618" w:rsidRPr="00823618" w:rsidRDefault="00823618" w:rsidP="00823618">
            <w:pPr>
              <w:pStyle w:val="BodyText"/>
              <w:framePr w:hSpace="0" w:wrap="auto" w:vAnchor="margin" w:hAnchor="text" w:yAlign="inline"/>
            </w:pPr>
            <w:r w:rsidRPr="00823618">
              <w:t>To receive this publication in an accessible format phone 1300 253 942, using the National Relay Service 13 36 77 if required.</w:t>
            </w:r>
          </w:p>
          <w:p w14:paraId="4810DA99" w14:textId="77777777" w:rsidR="00823618" w:rsidRPr="00823618" w:rsidRDefault="00823618" w:rsidP="00823618">
            <w:pPr>
              <w:spacing w:line="270" w:lineRule="atLeast"/>
              <w:jc w:val="both"/>
              <w:rPr>
                <w:rFonts w:ascii="Arial" w:hAnsi="Arial" w:cs="Arial"/>
                <w:lang w:eastAsia="en-AU"/>
              </w:rPr>
            </w:pPr>
            <w:r w:rsidRPr="00823618">
              <w:rPr>
                <w:rFonts w:ascii="Arial" w:hAnsi="Arial" w:cs="Arial"/>
                <w:lang w:eastAsia="en-AU"/>
              </w:rPr>
              <w:t xml:space="preserve">Authorised and published by the Victorian Government, 1 Treasury Place, Melbourne. </w:t>
            </w:r>
          </w:p>
          <w:p w14:paraId="75519931" w14:textId="1458D83A" w:rsidR="00823618" w:rsidRPr="002802E3" w:rsidRDefault="00823618" w:rsidP="00820C77">
            <w:pPr>
              <w:spacing w:line="270" w:lineRule="atLeast"/>
              <w:jc w:val="both"/>
              <w:rPr>
                <w:rFonts w:ascii="Arial" w:eastAsia="Times" w:hAnsi="Arial"/>
              </w:rPr>
            </w:pPr>
            <w:r w:rsidRPr="00823618">
              <w:rPr>
                <w:rFonts w:ascii="Arial" w:hAnsi="Arial" w:cs="Arial"/>
                <w:lang w:eastAsia="en-AU"/>
              </w:rPr>
              <w:t xml:space="preserve">© State of Victoria, </w:t>
            </w:r>
            <w:r w:rsidRPr="00C73EC4">
              <w:rPr>
                <w:rFonts w:ascii="Arial" w:hAnsi="Arial" w:cs="Arial"/>
                <w:lang w:eastAsia="en-AU"/>
              </w:rPr>
              <w:t>Department of Health and Human Services</w:t>
            </w:r>
            <w:r w:rsidRPr="00823618">
              <w:rPr>
                <w:rFonts w:ascii="Arial" w:hAnsi="Arial" w:cs="Arial"/>
                <w:lang w:eastAsia="en-AU"/>
              </w:rPr>
              <w:t>, November 2017.</w:t>
            </w:r>
          </w:p>
        </w:tc>
      </w:tr>
    </w:tbl>
    <w:p w14:paraId="42008BE9" w14:textId="77777777" w:rsidR="00C73EC4" w:rsidRPr="00823618" w:rsidRDefault="00C73EC4" w:rsidP="00823618">
      <w:pPr>
        <w:autoSpaceDE w:val="0"/>
        <w:autoSpaceDN w:val="0"/>
        <w:adjustRightInd w:val="0"/>
        <w:rPr>
          <w:rFonts w:ascii="Arial" w:hAnsi="Arial" w:cs="Arial"/>
          <w:lang w:eastAsia="en-AU"/>
        </w:rPr>
      </w:pPr>
    </w:p>
    <w:sectPr w:rsidR="00C73EC4" w:rsidRPr="00823618" w:rsidSect="00823618"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0A8A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E700E" w14:textId="77777777" w:rsidR="002836AC" w:rsidRDefault="002836AC">
      <w:r>
        <w:separator/>
      </w:r>
    </w:p>
  </w:endnote>
  <w:endnote w:type="continuationSeparator" w:id="0">
    <w:p w14:paraId="6920B079" w14:textId="77777777" w:rsidR="002836AC" w:rsidRDefault="00283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624E1" w14:textId="77777777" w:rsidR="009D70A4" w:rsidRPr="00F65AA9" w:rsidRDefault="00A373B1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 wp14:anchorId="3805813A" wp14:editId="463B680F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0B838" w14:textId="478ED3D0" w:rsidR="009D70A4" w:rsidRPr="00A11421" w:rsidRDefault="00820C77" w:rsidP="0051568D">
    <w:pPr>
      <w:pStyle w:val="DHHSfooter"/>
    </w:pPr>
    <w:r w:rsidRPr="00C73EC4">
      <w:rPr>
        <w:szCs w:val="28"/>
      </w:rPr>
      <w:t>Clinical Mental Health Community Service Hours Factsheet</w:t>
    </w:r>
    <w:r>
      <w:rPr>
        <w:szCs w:val="28"/>
      </w:rPr>
      <w:t xml:space="preserve"> –Last updated</w:t>
    </w:r>
    <w:r w:rsidR="005E39FD">
      <w:rPr>
        <w:szCs w:val="28"/>
      </w:rPr>
      <w:t xml:space="preserve"> and approved 6/12/</w:t>
    </w:r>
    <w:r>
      <w:rPr>
        <w:szCs w:val="28"/>
      </w:rPr>
      <w:t>/2017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7377A0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48B4D" w14:textId="77777777" w:rsidR="002836AC" w:rsidRDefault="002836AC" w:rsidP="002862F1">
      <w:pPr>
        <w:spacing w:before="120"/>
      </w:pPr>
      <w:r>
        <w:separator/>
      </w:r>
    </w:p>
  </w:footnote>
  <w:footnote w:type="continuationSeparator" w:id="0">
    <w:p w14:paraId="0CF6A62F" w14:textId="77777777" w:rsidR="002836AC" w:rsidRDefault="00283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207F1" w14:textId="77777777"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B8D43DB"/>
    <w:multiLevelType w:val="multilevel"/>
    <w:tmpl w:val="4B4E7622"/>
    <w:numStyleLink w:val="ZZNumbers"/>
  </w:abstractNum>
  <w:abstractNum w:abstractNumId="3">
    <w:nsid w:val="18B05425"/>
    <w:multiLevelType w:val="hybridMultilevel"/>
    <w:tmpl w:val="C2689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>
    <w:nsid w:val="4BDD3273"/>
    <w:multiLevelType w:val="hybridMultilevel"/>
    <w:tmpl w:val="60004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75A8A"/>
    <w:multiLevelType w:val="hybridMultilevel"/>
    <w:tmpl w:val="562AF9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7F232B47"/>
    <w:multiLevelType w:val="hybridMultilevel"/>
    <w:tmpl w:val="D5C20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6"/>
  </w:num>
  <w:num w:numId="12">
    <w:abstractNumId w:val="3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yn Humphries">
    <w15:presenceInfo w15:providerId="Windows Live" w15:userId="6dd50598e08a9b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C4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23FD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16268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5631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1F7F5D"/>
    <w:rsid w:val="00206463"/>
    <w:rsid w:val="00206F2F"/>
    <w:rsid w:val="0021053D"/>
    <w:rsid w:val="00210A92"/>
    <w:rsid w:val="00215B38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04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36AC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57C2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28B7"/>
    <w:rsid w:val="005354A8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39FD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B6803"/>
    <w:rsid w:val="006D2A3F"/>
    <w:rsid w:val="006D2FBC"/>
    <w:rsid w:val="006E138B"/>
    <w:rsid w:val="006F1FDC"/>
    <w:rsid w:val="00701335"/>
    <w:rsid w:val="007013EF"/>
    <w:rsid w:val="007173CA"/>
    <w:rsid w:val="007216AA"/>
    <w:rsid w:val="00721AB5"/>
    <w:rsid w:val="00721DEF"/>
    <w:rsid w:val="00724A43"/>
    <w:rsid w:val="007346E4"/>
    <w:rsid w:val="007377A0"/>
    <w:rsid w:val="00740F22"/>
    <w:rsid w:val="00741F1A"/>
    <w:rsid w:val="007450F8"/>
    <w:rsid w:val="0074696E"/>
    <w:rsid w:val="00750135"/>
    <w:rsid w:val="00750EC2"/>
    <w:rsid w:val="00752B28"/>
    <w:rsid w:val="00754E36"/>
    <w:rsid w:val="007554F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1E3D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C77"/>
    <w:rsid w:val="00820E0C"/>
    <w:rsid w:val="00823618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053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17D9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17607"/>
    <w:rsid w:val="00A22229"/>
    <w:rsid w:val="00A373B1"/>
    <w:rsid w:val="00A44882"/>
    <w:rsid w:val="00A54715"/>
    <w:rsid w:val="00A6061C"/>
    <w:rsid w:val="00A62D44"/>
    <w:rsid w:val="00A67263"/>
    <w:rsid w:val="00A7161C"/>
    <w:rsid w:val="00A77AA3"/>
    <w:rsid w:val="00A82555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27CD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3F56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5B15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49BC"/>
    <w:rsid w:val="00B65950"/>
    <w:rsid w:val="00B66D83"/>
    <w:rsid w:val="00B672C0"/>
    <w:rsid w:val="00B75646"/>
    <w:rsid w:val="00B90729"/>
    <w:rsid w:val="00B907DA"/>
    <w:rsid w:val="00B90853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3EC4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F50"/>
    <w:rsid w:val="00CF7C5F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1566"/>
    <w:rsid w:val="00D4606D"/>
    <w:rsid w:val="00D50B9C"/>
    <w:rsid w:val="00D52D73"/>
    <w:rsid w:val="00D52E58"/>
    <w:rsid w:val="00D714CC"/>
    <w:rsid w:val="00D75EA7"/>
    <w:rsid w:val="00D81F21"/>
    <w:rsid w:val="00D85AC1"/>
    <w:rsid w:val="00D95470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56A01"/>
    <w:rsid w:val="00E629A1"/>
    <w:rsid w:val="00E71591"/>
    <w:rsid w:val="00E82C55"/>
    <w:rsid w:val="00E92AC3"/>
    <w:rsid w:val="00EB00E0"/>
    <w:rsid w:val="00EC059F"/>
    <w:rsid w:val="00EC1CFA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A40B1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934C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1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header" w:uiPriority="10"/>
    <w:lsdException w:name="footer" w:uiPriority="8"/>
    <w:lsdException w:name="caption" w:uiPriority="35" w:qFormat="1"/>
    <w:lsdException w:name="footnote reference" w:uiPriority="8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C73EC4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styleId="ListParagraph">
    <w:name w:val="List Paragraph"/>
    <w:basedOn w:val="Normal"/>
    <w:uiPriority w:val="34"/>
    <w:qFormat/>
    <w:rsid w:val="00C73EC4"/>
    <w:pPr>
      <w:ind w:left="720"/>
      <w:contextualSpacing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styleId="PlaceholderText">
    <w:name w:val="Placeholder Text"/>
    <w:basedOn w:val="DefaultParagraphFont"/>
    <w:uiPriority w:val="99"/>
    <w:unhideWhenUsed/>
    <w:rsid w:val="002B57C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C2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7C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7CD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7CD"/>
    <w:rPr>
      <w:rFonts w:ascii="Cambria" w:hAnsi="Cambria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7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7CD"/>
    <w:rPr>
      <w:rFonts w:ascii="Segoe UI" w:hAnsi="Segoe UI" w:cs="Segoe UI"/>
      <w:sz w:val="18"/>
      <w:szCs w:val="18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A17607"/>
    <w:pPr>
      <w:ind w:left="720"/>
      <w:jc w:val="center"/>
    </w:pPr>
    <w:rPr>
      <w:rFonts w:ascii="Arial" w:hAnsi="Arial" w:cs="Arial"/>
      <w:noProof/>
      <w:sz w:val="18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17607"/>
    <w:rPr>
      <w:rFonts w:ascii="Arial" w:hAnsi="Arial" w:cs="Arial"/>
      <w:noProof/>
      <w:sz w:val="18"/>
    </w:rPr>
  </w:style>
  <w:style w:type="paragraph" w:styleId="BodyText">
    <w:name w:val="Body Text"/>
    <w:basedOn w:val="Normal"/>
    <w:link w:val="BodyTextChar"/>
    <w:uiPriority w:val="99"/>
    <w:unhideWhenUsed/>
    <w:rsid w:val="00823618"/>
    <w:pPr>
      <w:framePr w:hSpace="180" w:wrap="around" w:vAnchor="text" w:hAnchor="margin" w:y="3801"/>
      <w:spacing w:line="300" w:lineRule="exact"/>
      <w:jc w:val="both"/>
    </w:pPr>
    <w:rPr>
      <w:rFonts w:ascii="Arial" w:hAnsi="Arial" w:cs="Arial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823618"/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unhideWhenUsed/>
    <w:rsid w:val="00CF7C5F"/>
    <w:pPr>
      <w:autoSpaceDE w:val="0"/>
      <w:autoSpaceDN w:val="0"/>
      <w:adjustRightInd w:val="0"/>
      <w:spacing w:line="276" w:lineRule="auto"/>
      <w:jc w:val="both"/>
    </w:pPr>
    <w:rPr>
      <w:rFonts w:ascii="Arial" w:hAnsi="Arial" w:cs="Arial"/>
      <w:lang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CF7C5F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1" w:unhideWhenUsed="0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header" w:uiPriority="10"/>
    <w:lsdException w:name="footer" w:uiPriority="8"/>
    <w:lsdException w:name="caption" w:uiPriority="35" w:qFormat="1"/>
    <w:lsdException w:name="footnote reference" w:uiPriority="8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uiPriority w:val="11"/>
    <w:rsid w:val="00C73EC4"/>
    <w:rPr>
      <w:rFonts w:ascii="Cambria" w:hAnsi="Cambri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eastAsia="MS Mincho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paragraph" w:styleId="ListParagraph">
    <w:name w:val="List Paragraph"/>
    <w:basedOn w:val="Normal"/>
    <w:uiPriority w:val="34"/>
    <w:qFormat/>
    <w:rsid w:val="00C73EC4"/>
    <w:pPr>
      <w:ind w:left="720"/>
      <w:contextualSpacing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character" w:styleId="PlaceholderText">
    <w:name w:val="Placeholder Text"/>
    <w:basedOn w:val="DefaultParagraphFont"/>
    <w:uiPriority w:val="99"/>
    <w:unhideWhenUsed/>
    <w:rsid w:val="002B57C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C27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7C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7CD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7CD"/>
    <w:rPr>
      <w:rFonts w:ascii="Cambria" w:hAnsi="Cambria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7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7CD"/>
    <w:rPr>
      <w:rFonts w:ascii="Segoe UI" w:hAnsi="Segoe UI" w:cs="Segoe UI"/>
      <w:sz w:val="18"/>
      <w:szCs w:val="18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A17607"/>
    <w:pPr>
      <w:ind w:left="720"/>
      <w:jc w:val="center"/>
    </w:pPr>
    <w:rPr>
      <w:rFonts w:ascii="Arial" w:hAnsi="Arial" w:cs="Arial"/>
      <w:noProof/>
      <w:sz w:val="18"/>
      <w:lang w:eastAsia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17607"/>
    <w:rPr>
      <w:rFonts w:ascii="Arial" w:hAnsi="Arial" w:cs="Arial"/>
      <w:noProof/>
      <w:sz w:val="18"/>
    </w:rPr>
  </w:style>
  <w:style w:type="paragraph" w:styleId="BodyText">
    <w:name w:val="Body Text"/>
    <w:basedOn w:val="Normal"/>
    <w:link w:val="BodyTextChar"/>
    <w:uiPriority w:val="99"/>
    <w:unhideWhenUsed/>
    <w:rsid w:val="00823618"/>
    <w:pPr>
      <w:framePr w:hSpace="180" w:wrap="around" w:vAnchor="text" w:hAnchor="margin" w:y="3801"/>
      <w:spacing w:line="300" w:lineRule="exact"/>
      <w:jc w:val="both"/>
    </w:pPr>
    <w:rPr>
      <w:rFonts w:ascii="Arial" w:hAnsi="Arial" w:cs="Arial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823618"/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unhideWhenUsed/>
    <w:rsid w:val="00CF7C5F"/>
    <w:pPr>
      <w:autoSpaceDE w:val="0"/>
      <w:autoSpaceDN w:val="0"/>
      <w:adjustRightInd w:val="0"/>
      <w:spacing w:line="276" w:lineRule="auto"/>
      <w:jc w:val="both"/>
    </w:pPr>
    <w:rPr>
      <w:rFonts w:ascii="Arial" w:hAnsi="Arial" w:cs="Arial"/>
      <w:lang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CF7C5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hdrreporting@health.vic.gov.au" TargetMode="Externa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yperlink" Target="https://www2.health.vic.gov.au/mental-health/research-and-reporting/reporting-requirements-for-clinical%20mental-health-servic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2.health.vic.gov.au/about/policy-and-funding-guideline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E27AD-0034-4F7F-ADFD-6C51DA5F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753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5520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Smart</dc:creator>
  <cp:lastModifiedBy>Varun Krishnan</cp:lastModifiedBy>
  <cp:revision>6</cp:revision>
  <cp:lastPrinted>2015-08-21T03:17:00Z</cp:lastPrinted>
  <dcterms:created xsi:type="dcterms:W3CDTF">2017-12-06T00:38:00Z</dcterms:created>
  <dcterms:modified xsi:type="dcterms:W3CDTF">2018-02-02T03:23:00Z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