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012AF3" w14:textId="77777777" w:rsidR="0074696E" w:rsidRPr="004C6EEE" w:rsidRDefault="007231E7" w:rsidP="00AD784C">
      <w:pPr>
        <w:pStyle w:val="Spacerparatopoffirstpage"/>
      </w:pPr>
      <w:r>
        <w:drawing>
          <wp:anchor distT="0" distB="0" distL="114300" distR="114300" simplePos="0" relativeHeight="251658240" behindDoc="1" locked="1" layoutInCell="1" allowOverlap="1" wp14:anchorId="5A0602A7" wp14:editId="33A0B0FD">
            <wp:simplePos x="0" y="0"/>
            <wp:positionH relativeFrom="page">
              <wp:posOffset>0</wp:posOffset>
            </wp:positionH>
            <wp:positionV relativeFrom="page">
              <wp:posOffset>0</wp:posOffset>
            </wp:positionV>
            <wp:extent cx="10681200" cy="1360800"/>
            <wp:effectExtent l="0" t="0" r="0" b="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0"/>
                    <a:stretch>
                      <a:fillRect/>
                    </a:stretch>
                  </pic:blipFill>
                  <pic:spPr>
                    <a:xfrm>
                      <a:off x="0" y="0"/>
                      <a:ext cx="10681200" cy="1360800"/>
                    </a:xfrm>
                    <a:prstGeom prst="rect">
                      <a:avLst/>
                    </a:prstGeom>
                  </pic:spPr>
                </pic:pic>
              </a:graphicData>
            </a:graphic>
            <wp14:sizeRelH relativeFrom="margin">
              <wp14:pctWidth>0</wp14:pctWidth>
            </wp14:sizeRelH>
            <wp14:sizeRelV relativeFrom="margin">
              <wp14:pctHeight>0</wp14:pctHeight>
            </wp14:sizeRelV>
          </wp:anchor>
        </w:drawing>
      </w:r>
    </w:p>
    <w:p w14:paraId="14D973E9" w14:textId="77777777" w:rsidR="00A62D44" w:rsidRPr="004C6EEE" w:rsidRDefault="00A62D44" w:rsidP="004C6EEE">
      <w:pPr>
        <w:pStyle w:val="Sectionbreakfirstpage"/>
        <w:sectPr w:rsidR="00A62D44" w:rsidRPr="004C6EEE" w:rsidSect="00924948">
          <w:footerReference w:type="even" r:id="rId11"/>
          <w:footerReference w:type="default" r:id="rId12"/>
          <w:footerReference w:type="first" r:id="rId13"/>
          <w:pgSz w:w="16838" w:h="11906" w:orient="landscape" w:code="9"/>
          <w:pgMar w:top="1418" w:right="851" w:bottom="1418" w:left="851" w:header="851" w:footer="851" w:gutter="0"/>
          <w:cols w:space="708"/>
          <w:titlePg/>
          <w:docGrid w:linePitch="360"/>
        </w:sectPr>
      </w:pPr>
    </w:p>
    <w:tbl>
      <w:tblPr>
        <w:tblStyle w:val="TableGrid"/>
        <w:tblW w:w="119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20" w:firstRow="1" w:lastRow="0" w:firstColumn="0" w:lastColumn="0" w:noHBand="1" w:noVBand="1"/>
      </w:tblPr>
      <w:tblGrid>
        <w:gridCol w:w="11907"/>
      </w:tblGrid>
      <w:tr w:rsidR="00AD784C" w14:paraId="462E7CFF" w14:textId="77777777" w:rsidTr="00925620">
        <w:tc>
          <w:tcPr>
            <w:tcW w:w="11907" w:type="dxa"/>
          </w:tcPr>
          <w:p w14:paraId="75407DFE" w14:textId="0123C6B7" w:rsidR="00AD784C" w:rsidRPr="00161AA0" w:rsidRDefault="00740DD1" w:rsidP="00CE12AF">
            <w:pPr>
              <w:pStyle w:val="Documenttitle"/>
            </w:pPr>
            <w:r>
              <w:t>Response Template</w:t>
            </w:r>
          </w:p>
        </w:tc>
      </w:tr>
      <w:tr w:rsidR="00CE12AF" w14:paraId="02FA3045" w14:textId="77777777" w:rsidTr="00925620">
        <w:tc>
          <w:tcPr>
            <w:tcW w:w="11907" w:type="dxa"/>
          </w:tcPr>
          <w:p w14:paraId="007E2911" w14:textId="606F228B" w:rsidR="00CE12AF" w:rsidRPr="00A1389F" w:rsidRDefault="00740DD1" w:rsidP="00CE12AF">
            <w:pPr>
              <w:pStyle w:val="Documentsubtitle"/>
            </w:pPr>
            <w:r>
              <w:t>Proposed Health Services (Health Service Establishments) Regulations 2024</w:t>
            </w:r>
          </w:p>
        </w:tc>
      </w:tr>
      <w:tr w:rsidR="00CE12AF" w14:paraId="3985C78C" w14:textId="77777777" w:rsidTr="00925620">
        <w:tc>
          <w:tcPr>
            <w:tcW w:w="11907" w:type="dxa"/>
          </w:tcPr>
          <w:p w14:paraId="531A784B" w14:textId="77777777" w:rsidR="00CE12AF" w:rsidRPr="00250DC4" w:rsidRDefault="00F43833" w:rsidP="00CE12AF">
            <w:pPr>
              <w:pStyle w:val="Bannermarking"/>
            </w:pPr>
            <w:fldSimple w:instr="FILLIN  &quot;Type the protective marking&quot; \d OFFICIAL \o  \* MERGEFORMAT">
              <w:r w:rsidR="00740DD1">
                <w:t>OFFICIAL</w:t>
              </w:r>
            </w:fldSimple>
          </w:p>
        </w:tc>
      </w:tr>
    </w:tbl>
    <w:p w14:paraId="2B4D1694" w14:textId="77777777" w:rsidR="00D1702E" w:rsidRDefault="00D1702E" w:rsidP="007B5781">
      <w:pPr>
        <w:pStyle w:val="Body"/>
        <w:rPr>
          <w:b/>
          <w:bCs/>
          <w:color w:val="595959" w:themeColor="text1" w:themeTint="A6"/>
          <w:sz w:val="32"/>
          <w:szCs w:val="32"/>
        </w:rPr>
      </w:pPr>
      <w:bookmarkStart w:id="0" w:name="_Toc162432243"/>
    </w:p>
    <w:p w14:paraId="41A41854" w14:textId="48ACE153" w:rsidR="005445B5" w:rsidRPr="0072602E" w:rsidRDefault="00540C92" w:rsidP="007B5781">
      <w:pPr>
        <w:pStyle w:val="Body"/>
        <w:rPr>
          <w:b/>
          <w:bCs/>
          <w:color w:val="595959" w:themeColor="text1" w:themeTint="A6"/>
          <w:sz w:val="32"/>
          <w:szCs w:val="32"/>
        </w:rPr>
      </w:pPr>
      <w:r>
        <w:rPr>
          <w:b/>
          <w:bCs/>
          <w:color w:val="595959" w:themeColor="text1" w:themeTint="A6"/>
          <w:sz w:val="32"/>
          <w:szCs w:val="32"/>
        </w:rPr>
        <w:t>Responding to the proposed Regulations</w:t>
      </w:r>
      <w:bookmarkEnd w:id="0"/>
    </w:p>
    <w:p w14:paraId="104709C0" w14:textId="77777777" w:rsidR="0072602E" w:rsidRPr="0072602E" w:rsidRDefault="0072602E" w:rsidP="007B5781">
      <w:pPr>
        <w:pStyle w:val="Body"/>
        <w:rPr>
          <w:b/>
          <w:bCs/>
          <w:color w:val="595959" w:themeColor="text1" w:themeTint="A6"/>
          <w:sz w:val="24"/>
          <w:szCs w:val="24"/>
        </w:rPr>
      </w:pPr>
    </w:p>
    <w:p w14:paraId="603FD242" w14:textId="4C76286C" w:rsidR="007909A9" w:rsidRPr="00845B2F" w:rsidRDefault="007909A9" w:rsidP="007909A9">
      <w:pPr>
        <w:pStyle w:val="paragraph"/>
        <w:spacing w:before="0" w:beforeAutospacing="0" w:after="0" w:afterAutospacing="0"/>
        <w:textAlignment w:val="baseline"/>
        <w:rPr>
          <w:rFonts w:ascii="Arial" w:hAnsi="Arial" w:cs="Arial"/>
          <w:sz w:val="21"/>
          <w:szCs w:val="21"/>
        </w:rPr>
      </w:pPr>
      <w:r w:rsidRPr="00845B2F">
        <w:rPr>
          <w:rStyle w:val="normaltextrun"/>
          <w:rFonts w:ascii="Arial" w:hAnsi="Arial" w:cs="Arial"/>
          <w:sz w:val="21"/>
          <w:szCs w:val="21"/>
        </w:rPr>
        <w:t xml:space="preserve">A Regulatory Impact Statement (RIS) has been prepared with respect to the proposed </w:t>
      </w:r>
      <w:r w:rsidRPr="00845B2F">
        <w:rPr>
          <w:rFonts w:ascii="Arial" w:hAnsi="Arial" w:cs="Arial"/>
          <w:i/>
          <w:iCs/>
          <w:sz w:val="21"/>
          <w:szCs w:val="21"/>
        </w:rPr>
        <w:t>Health Services (Health Service Establishments) Regulations 20</w:t>
      </w:r>
      <w:r>
        <w:rPr>
          <w:rFonts w:ascii="Arial" w:hAnsi="Arial" w:cs="Arial"/>
          <w:i/>
          <w:iCs/>
          <w:sz w:val="21"/>
          <w:szCs w:val="21"/>
        </w:rPr>
        <w:t>24</w:t>
      </w:r>
      <w:r w:rsidRPr="00845B2F">
        <w:rPr>
          <w:rStyle w:val="normaltextrun"/>
          <w:rFonts w:ascii="Arial" w:hAnsi="Arial" w:cs="Arial"/>
          <w:sz w:val="21"/>
          <w:szCs w:val="21"/>
        </w:rPr>
        <w:t xml:space="preserve">. The RIS should be read in conjunction with the proposed Regulations when responding to the questions below. The questions are also available on page </w:t>
      </w:r>
      <w:r w:rsidR="002411B4" w:rsidRPr="00A55122">
        <w:rPr>
          <w:rStyle w:val="normaltextrun"/>
          <w:rFonts w:ascii="Arial" w:hAnsi="Arial" w:cs="Arial"/>
          <w:sz w:val="21"/>
          <w:szCs w:val="21"/>
        </w:rPr>
        <w:t>21</w:t>
      </w:r>
      <w:r w:rsidRPr="00845B2F">
        <w:rPr>
          <w:rStyle w:val="normaltextrun"/>
          <w:rFonts w:ascii="Arial" w:hAnsi="Arial" w:cs="Arial"/>
          <w:sz w:val="21"/>
          <w:szCs w:val="21"/>
        </w:rPr>
        <w:t xml:space="preserve"> of the RIS. </w:t>
      </w:r>
      <w:r w:rsidRPr="00B35B38">
        <w:rPr>
          <w:rStyle w:val="eop"/>
          <w:rFonts w:ascii="Arial" w:eastAsia="Times" w:hAnsi="Arial" w:cs="Arial"/>
          <w:sz w:val="21"/>
          <w:szCs w:val="21"/>
        </w:rPr>
        <w:t> </w:t>
      </w:r>
    </w:p>
    <w:p w14:paraId="0B72112F" w14:textId="77777777" w:rsidR="007909A9" w:rsidRPr="00845B2F" w:rsidRDefault="007909A9" w:rsidP="007909A9">
      <w:pPr>
        <w:pStyle w:val="paragraph"/>
        <w:spacing w:before="0" w:beforeAutospacing="0" w:after="0" w:afterAutospacing="0"/>
        <w:textAlignment w:val="baseline"/>
        <w:rPr>
          <w:rStyle w:val="normaltextrun"/>
          <w:rFonts w:ascii="Arial" w:hAnsi="Arial" w:cs="Arial"/>
          <w:sz w:val="21"/>
          <w:szCs w:val="21"/>
        </w:rPr>
      </w:pPr>
    </w:p>
    <w:p w14:paraId="10BAF074" w14:textId="10DD9F9F" w:rsidR="007909A9" w:rsidRDefault="007909A9" w:rsidP="007909A9">
      <w:pPr>
        <w:pStyle w:val="paragraph"/>
        <w:spacing w:before="0" w:beforeAutospacing="0" w:after="0" w:afterAutospacing="0"/>
        <w:textAlignment w:val="baseline"/>
        <w:rPr>
          <w:rStyle w:val="normaltextrun"/>
          <w:rFonts w:ascii="Arial" w:hAnsi="Arial" w:cs="Arial"/>
          <w:sz w:val="21"/>
          <w:szCs w:val="21"/>
        </w:rPr>
      </w:pPr>
      <w:r w:rsidRPr="00845B2F">
        <w:rPr>
          <w:rStyle w:val="normaltextrun"/>
          <w:rFonts w:ascii="Arial" w:hAnsi="Arial" w:cs="Arial"/>
          <w:sz w:val="21"/>
          <w:szCs w:val="21"/>
        </w:rPr>
        <w:t>Copies of the RIS</w:t>
      </w:r>
      <w:r>
        <w:rPr>
          <w:rStyle w:val="normaltextrun"/>
          <w:rFonts w:ascii="Arial" w:hAnsi="Arial" w:cs="Arial"/>
          <w:sz w:val="21"/>
          <w:szCs w:val="21"/>
        </w:rPr>
        <w:t xml:space="preserve"> and the proposed Regulations may be obtained from the Department of Health </w:t>
      </w:r>
      <w:hyperlink r:id="rId14" w:history="1">
        <w:r w:rsidRPr="00FB7124">
          <w:rPr>
            <w:rStyle w:val="Hyperlink"/>
            <w:rFonts w:ascii="Arial" w:hAnsi="Arial" w:cs="Arial"/>
            <w:sz w:val="21"/>
            <w:szCs w:val="21"/>
          </w:rPr>
          <w:t>website</w:t>
        </w:r>
      </w:hyperlink>
      <w:r>
        <w:rPr>
          <w:rStyle w:val="normaltextrun"/>
          <w:rFonts w:ascii="Arial" w:hAnsi="Arial" w:cs="Arial"/>
          <w:sz w:val="21"/>
          <w:szCs w:val="21"/>
        </w:rPr>
        <w:t xml:space="preserve"> </w:t>
      </w:r>
      <w:r w:rsidR="00B90C36">
        <w:rPr>
          <w:rStyle w:val="normaltextrun"/>
          <w:rFonts w:ascii="Arial" w:hAnsi="Arial" w:cs="Arial"/>
          <w:sz w:val="21"/>
          <w:szCs w:val="21"/>
        </w:rPr>
        <w:t>&lt;</w:t>
      </w:r>
      <w:hyperlink r:id="rId15" w:history="1">
        <w:r w:rsidR="00B90C36" w:rsidRPr="00B90C36">
          <w:rPr>
            <w:rStyle w:val="Hyperlink"/>
            <w:rFonts w:ascii="Arial" w:hAnsi="Arial" w:cs="Arial"/>
            <w:sz w:val="21"/>
            <w:szCs w:val="21"/>
          </w:rPr>
          <w:t>https://www.health.vic.gov.au/private-health-service-establishments/legislation-updates-for-private-health-service-establishments</w:t>
        </w:r>
      </w:hyperlink>
      <w:r w:rsidR="00B90C36">
        <w:rPr>
          <w:rFonts w:ascii="Arial" w:hAnsi="Arial" w:cs="Arial"/>
          <w:sz w:val="21"/>
          <w:szCs w:val="21"/>
        </w:rPr>
        <w:t>&gt;</w:t>
      </w:r>
      <w:r w:rsidR="00B35B38" w:rsidRPr="00B35B38" w:rsidDel="00B35B38">
        <w:rPr>
          <w:rFonts w:ascii="Arial" w:hAnsi="Arial" w:cs="Arial"/>
          <w:sz w:val="21"/>
          <w:szCs w:val="21"/>
        </w:rPr>
        <w:t xml:space="preserve"> </w:t>
      </w:r>
    </w:p>
    <w:p w14:paraId="6741CEF4" w14:textId="77777777" w:rsidR="00285608" w:rsidRDefault="00285608" w:rsidP="007909A9">
      <w:pPr>
        <w:pStyle w:val="paragraph"/>
        <w:spacing w:before="0" w:beforeAutospacing="0" w:after="0" w:afterAutospacing="0"/>
        <w:textAlignment w:val="baseline"/>
        <w:rPr>
          <w:rStyle w:val="normaltextrun"/>
          <w:rFonts w:ascii="Arial" w:hAnsi="Arial" w:cs="Arial"/>
          <w:sz w:val="21"/>
          <w:szCs w:val="21"/>
        </w:rPr>
      </w:pPr>
    </w:p>
    <w:p w14:paraId="6EA758CC" w14:textId="77777777" w:rsidR="007909A9" w:rsidRPr="001901DE" w:rsidRDefault="007909A9" w:rsidP="007909A9">
      <w:pPr>
        <w:pStyle w:val="Body"/>
        <w:rPr>
          <w:rFonts w:cs="Arial"/>
          <w:szCs w:val="21"/>
        </w:rPr>
      </w:pPr>
      <w:r>
        <w:rPr>
          <w:rStyle w:val="normaltextrun"/>
          <w:rFonts w:cs="Arial"/>
          <w:szCs w:val="21"/>
        </w:rPr>
        <w:t>Interested parties are encouraged to provide feedback on the proposed Regulations. In providing feedback, you may wish to respond to the questions below or provide a comment against the proposed regulatory changes.</w:t>
      </w:r>
      <w:r>
        <w:rPr>
          <w:rStyle w:val="eop"/>
          <w:rFonts w:cs="Arial"/>
          <w:szCs w:val="21"/>
        </w:rPr>
        <w:t> </w:t>
      </w:r>
      <w:r w:rsidRPr="001901DE">
        <w:rPr>
          <w:rFonts w:cs="Arial"/>
          <w:szCs w:val="21"/>
        </w:rPr>
        <w:t>You may use this template to submit your response or provide your feedback in another written format. You do not need to comment on each proposed change or address all the questions.</w:t>
      </w:r>
    </w:p>
    <w:p w14:paraId="01970FBD" w14:textId="77777777" w:rsidR="007909A9" w:rsidRDefault="007909A9" w:rsidP="007909A9">
      <w:pPr>
        <w:pStyle w:val="paragraph"/>
        <w:spacing w:before="0" w:beforeAutospacing="0" w:after="0" w:afterAutospacing="0"/>
        <w:textAlignment w:val="baseline"/>
        <w:rPr>
          <w:rStyle w:val="normaltextrun"/>
          <w:rFonts w:ascii="Arial" w:hAnsi="Arial" w:cs="Arial"/>
          <w:sz w:val="21"/>
          <w:szCs w:val="21"/>
        </w:rPr>
      </w:pPr>
    </w:p>
    <w:p w14:paraId="1B438341" w14:textId="4D321213" w:rsidR="007909A9" w:rsidRPr="00AC5A99" w:rsidRDefault="007909A9" w:rsidP="007909A9">
      <w:pPr>
        <w:pStyle w:val="paragraph"/>
        <w:spacing w:before="0" w:beforeAutospacing="0" w:after="0" w:afterAutospacing="0"/>
        <w:textAlignment w:val="baseline"/>
        <w:rPr>
          <w:rStyle w:val="normaltextrun"/>
          <w:rFonts w:ascii="Segoe UI" w:hAnsi="Segoe UI" w:cs="Segoe UI"/>
          <w:sz w:val="18"/>
          <w:szCs w:val="18"/>
        </w:rPr>
      </w:pPr>
      <w:r>
        <w:rPr>
          <w:rStyle w:val="normaltextrun"/>
          <w:rFonts w:ascii="Arial" w:hAnsi="Arial" w:cs="Arial"/>
          <w:sz w:val="21"/>
          <w:szCs w:val="21"/>
        </w:rPr>
        <w:t xml:space="preserve">For further assistance about the public comment process, please contact the Legislative and Regulatory Reform Team, Regulatory Reform Branch, Regulatory, Risk, Integrity and Legal Division at Department of Health at </w:t>
      </w:r>
      <w:hyperlink r:id="rId16" w:tgtFrame="_blank" w:history="1">
        <w:r>
          <w:rPr>
            <w:rStyle w:val="normaltextrun"/>
            <w:rFonts w:ascii="Arial" w:hAnsi="Arial" w:cs="Arial"/>
            <w:color w:val="004C97"/>
            <w:sz w:val="21"/>
            <w:szCs w:val="21"/>
            <w:u w:val="single"/>
          </w:rPr>
          <w:t>legandregreform@health.vic.gov.au</w:t>
        </w:r>
      </w:hyperlink>
    </w:p>
    <w:p w14:paraId="5290AED6" w14:textId="77777777" w:rsidR="005A416D" w:rsidRDefault="005A416D" w:rsidP="005A416D">
      <w:pPr>
        <w:pStyle w:val="Heading2"/>
      </w:pPr>
      <w:bookmarkStart w:id="1" w:name="_Toc143272051"/>
      <w:bookmarkStart w:id="2" w:name="_Toc143272052"/>
      <w:bookmarkStart w:id="3" w:name="_Toc162432244"/>
      <w:r>
        <w:t>Making a submission</w:t>
      </w:r>
      <w:bookmarkEnd w:id="1"/>
    </w:p>
    <w:p w14:paraId="139037D7" w14:textId="19BA45DC" w:rsidR="005A416D" w:rsidRPr="008B28C7" w:rsidRDefault="005A416D" w:rsidP="005A416D">
      <w:pPr>
        <w:pStyle w:val="Body"/>
        <w:rPr>
          <w:i/>
          <w:iCs/>
        </w:rPr>
      </w:pPr>
      <w:r>
        <w:t>Thank you for making a submission to the Department of Health (</w:t>
      </w:r>
      <w:r w:rsidRPr="008B28C7">
        <w:rPr>
          <w:b/>
          <w:bCs/>
        </w:rPr>
        <w:t>Department</w:t>
      </w:r>
      <w:r>
        <w:t xml:space="preserve">) in response to </w:t>
      </w:r>
      <w:r w:rsidRPr="00AB1E42">
        <w:t>the</w:t>
      </w:r>
      <w:r>
        <w:rPr>
          <w:i/>
          <w:iCs/>
        </w:rPr>
        <w:t xml:space="preserve"> </w:t>
      </w:r>
      <w:r w:rsidRPr="001B5E0B">
        <w:t xml:space="preserve">Regulatory Impact Statement </w:t>
      </w:r>
      <w:r w:rsidR="00D73652">
        <w:t>and proposed</w:t>
      </w:r>
      <w:r w:rsidRPr="001B5E0B">
        <w:t xml:space="preserve"> </w:t>
      </w:r>
      <w:r w:rsidRPr="00AA16A5">
        <w:rPr>
          <w:i/>
          <w:iCs/>
        </w:rPr>
        <w:t>Health Services (Health Service Establishments) Regulations 20</w:t>
      </w:r>
      <w:r w:rsidR="00D73652">
        <w:rPr>
          <w:i/>
          <w:iCs/>
        </w:rPr>
        <w:t>24</w:t>
      </w:r>
      <w:r>
        <w:rPr>
          <w:i/>
          <w:iCs/>
        </w:rPr>
        <w:t xml:space="preserve">. </w:t>
      </w:r>
    </w:p>
    <w:p w14:paraId="1EBADC65" w14:textId="77777777" w:rsidR="005A416D" w:rsidRDefault="005A416D" w:rsidP="005A416D">
      <w:pPr>
        <w:pStyle w:val="Body"/>
      </w:pPr>
      <w:r w:rsidRPr="00380068">
        <w:t>Please read the collection notice below before completing a submission.</w:t>
      </w:r>
      <w:r>
        <w:t xml:space="preserve"> </w:t>
      </w:r>
    </w:p>
    <w:p w14:paraId="01A5C565" w14:textId="77777777" w:rsidR="005A416D" w:rsidRDefault="005A416D" w:rsidP="005A416D">
      <w:pPr>
        <w:pStyle w:val="Body"/>
      </w:pPr>
      <w:r>
        <w:t xml:space="preserve">Once you have completed your response, please email it to </w:t>
      </w:r>
      <w:hyperlink r:id="rId17" w:history="1">
        <w:r>
          <w:rPr>
            <w:rStyle w:val="Hyperlink"/>
          </w:rPr>
          <w:t xml:space="preserve">Legislation and Regulation Reform </w:t>
        </w:r>
      </w:hyperlink>
      <w:r>
        <w:t xml:space="preserve"> &lt;legandregreform@health.vic.gov.au&gt;.</w:t>
      </w:r>
    </w:p>
    <w:p w14:paraId="4F9257BB" w14:textId="51D647A6" w:rsidR="005A416D" w:rsidRDefault="005A416D" w:rsidP="4786859C">
      <w:pPr>
        <w:pStyle w:val="Body"/>
        <w:rPr>
          <w:rStyle w:val="normaltextrun"/>
          <w:rFonts w:cs="Arial"/>
          <w:b/>
          <w:bCs/>
        </w:rPr>
      </w:pPr>
      <w:r w:rsidRPr="4786859C">
        <w:rPr>
          <w:rStyle w:val="normaltextrun"/>
          <w:rFonts w:cs="Arial"/>
          <w:b/>
          <w:bCs/>
        </w:rPr>
        <w:t>Submissions are due by</w:t>
      </w:r>
      <w:r w:rsidRPr="4786859C">
        <w:rPr>
          <w:rStyle w:val="normaltextrun"/>
          <w:rFonts w:cs="Arial"/>
        </w:rPr>
        <w:t xml:space="preserve"> </w:t>
      </w:r>
      <w:r w:rsidRPr="4786859C">
        <w:rPr>
          <w:rStyle w:val="normaltextrun"/>
          <w:rFonts w:cs="Arial"/>
          <w:b/>
          <w:bCs/>
        </w:rPr>
        <w:t xml:space="preserve">11:59pm </w:t>
      </w:r>
      <w:r w:rsidR="003A7908" w:rsidRPr="4786859C">
        <w:rPr>
          <w:rStyle w:val="normaltextrun"/>
          <w:rFonts w:cs="Arial"/>
          <w:b/>
          <w:bCs/>
        </w:rPr>
        <w:t>2</w:t>
      </w:r>
      <w:r w:rsidR="732EBBE2" w:rsidRPr="4786859C">
        <w:rPr>
          <w:rStyle w:val="normaltextrun"/>
          <w:rFonts w:cs="Arial"/>
          <w:b/>
          <w:bCs/>
        </w:rPr>
        <w:t>9</w:t>
      </w:r>
      <w:r w:rsidR="003A7908" w:rsidRPr="4786859C">
        <w:rPr>
          <w:rStyle w:val="normaltextrun"/>
          <w:rFonts w:cs="Arial"/>
          <w:b/>
          <w:bCs/>
        </w:rPr>
        <w:t xml:space="preserve"> May 2024</w:t>
      </w:r>
      <w:r w:rsidR="00CC2294" w:rsidRPr="4786859C">
        <w:rPr>
          <w:rStyle w:val="normaltextrun"/>
          <w:rFonts w:cs="Arial"/>
          <w:b/>
          <w:bCs/>
        </w:rPr>
        <w:t>.</w:t>
      </w:r>
    </w:p>
    <w:p w14:paraId="3C3C88F0" w14:textId="79E58544" w:rsidR="005A416D" w:rsidRDefault="005A416D" w:rsidP="005A416D">
      <w:pPr>
        <w:pStyle w:val="Heading2"/>
      </w:pPr>
      <w:bookmarkStart w:id="4" w:name="_Privacy_Collection_Notice"/>
      <w:bookmarkStart w:id="5" w:name="_Toc143272053"/>
      <w:bookmarkEnd w:id="4"/>
      <w:r>
        <w:lastRenderedPageBreak/>
        <w:t>Collection Notice</w:t>
      </w:r>
      <w:bookmarkEnd w:id="5"/>
    </w:p>
    <w:p w14:paraId="795E229F" w14:textId="77777777" w:rsidR="005A416D" w:rsidRPr="0026266F" w:rsidRDefault="005A416D" w:rsidP="005A416D">
      <w:pPr>
        <w:pStyle w:val="Body"/>
        <w:rPr>
          <w:i/>
          <w:iCs/>
        </w:rPr>
      </w:pPr>
      <w:r>
        <w:rPr>
          <w:rStyle w:val="normaltextrun"/>
          <w:rFonts w:cs="Arial"/>
          <w:szCs w:val="21"/>
        </w:rPr>
        <w:t xml:space="preserve">The Department is committed to protecting your privacy. Any personal information you provide is collected and handled in accordance with the </w:t>
      </w:r>
      <w:r w:rsidRPr="0026266F">
        <w:rPr>
          <w:rStyle w:val="normaltextrun"/>
          <w:rFonts w:cs="Arial"/>
          <w:i/>
          <w:iCs/>
          <w:szCs w:val="21"/>
        </w:rPr>
        <w:t>Privacy and Data Protection Act 2014</w:t>
      </w:r>
      <w:r>
        <w:rPr>
          <w:rStyle w:val="normaltextrun"/>
          <w:rFonts w:cs="Arial"/>
          <w:i/>
          <w:iCs/>
          <w:szCs w:val="21"/>
        </w:rPr>
        <w:t>.</w:t>
      </w:r>
    </w:p>
    <w:p w14:paraId="2B6319E3" w14:textId="38771151" w:rsidR="005A416D" w:rsidRDefault="005A416D" w:rsidP="005A416D">
      <w:pPr>
        <w:pStyle w:val="Body"/>
      </w:pPr>
      <w:r>
        <w:rPr>
          <w:rStyle w:val="normaltextrun"/>
          <w:rFonts w:cs="Arial"/>
          <w:szCs w:val="21"/>
        </w:rPr>
        <w:t xml:space="preserve">The information in your submission is collected by the Department to administer the public consultation process associated with the </w:t>
      </w:r>
      <w:r w:rsidR="003C397B" w:rsidRPr="001B5E0B">
        <w:t xml:space="preserve">Regulatory Impact Statement </w:t>
      </w:r>
      <w:r w:rsidR="003C397B">
        <w:t>and proposed</w:t>
      </w:r>
      <w:r w:rsidR="003C397B" w:rsidRPr="001B5E0B">
        <w:t xml:space="preserve"> </w:t>
      </w:r>
      <w:r w:rsidR="003C397B" w:rsidRPr="00AA16A5">
        <w:rPr>
          <w:i/>
          <w:iCs/>
        </w:rPr>
        <w:t xml:space="preserve">Health Services (Health Service Establishments) Regulations </w:t>
      </w:r>
      <w:r w:rsidR="003C397B" w:rsidRPr="004B3C60">
        <w:t>2024</w:t>
      </w:r>
      <w:r w:rsidR="006B2B51">
        <w:t xml:space="preserve">. </w:t>
      </w:r>
    </w:p>
    <w:p w14:paraId="13E4D124" w14:textId="669818CD" w:rsidR="005A416D" w:rsidRPr="008B28C7" w:rsidRDefault="005A416D" w:rsidP="005A416D">
      <w:pPr>
        <w:pStyle w:val="Body"/>
        <w:rPr>
          <w:color w:val="FF0000"/>
        </w:rPr>
      </w:pPr>
      <w:r>
        <w:t>You have the option of providing your name and contact details when making your submission. If you provide your name and contact details, these will be used by the Department to contact you regarding your submission. Your name and contact details will not be published or disclosed to third parties</w:t>
      </w:r>
      <w:r w:rsidRPr="008B28C7">
        <w:rPr>
          <w:color w:val="FF0000"/>
        </w:rPr>
        <w:t>.</w:t>
      </w:r>
      <w:r w:rsidR="005859FC" w:rsidRPr="008B28C7" w:rsidDel="005859FC">
        <w:rPr>
          <w:color w:val="FF0000"/>
        </w:rPr>
        <w:t xml:space="preserve"> </w:t>
      </w:r>
    </w:p>
    <w:p w14:paraId="4C3803FB" w14:textId="77777777" w:rsidR="005A416D" w:rsidRPr="00D711CC" w:rsidRDefault="005A416D" w:rsidP="005A416D">
      <w:pPr>
        <w:pStyle w:val="Body"/>
        <w:rPr>
          <w:rFonts w:cs="Arial"/>
          <w:szCs w:val="21"/>
        </w:rPr>
      </w:pPr>
      <w:r>
        <w:t xml:space="preserve">You are not asked to provide personal information in your submission responses. Please do not </w:t>
      </w:r>
      <w:r w:rsidRPr="00D711CC">
        <w:rPr>
          <w:rFonts w:cs="Arial"/>
        </w:rPr>
        <w:t xml:space="preserve">include any personal information relating to any other individual. Any personal information </w:t>
      </w:r>
      <w:r w:rsidRPr="00D711CC">
        <w:rPr>
          <w:rFonts w:cs="Arial"/>
          <w:szCs w:val="21"/>
        </w:rPr>
        <w:t>inadvertently included in submission responses will be removed upon review of the submissions.</w:t>
      </w:r>
    </w:p>
    <w:p w14:paraId="1BFD8CFA" w14:textId="6E15DD59" w:rsidR="005A416D" w:rsidRPr="00AB1E42" w:rsidRDefault="005A416D" w:rsidP="005A416D">
      <w:pPr>
        <w:rPr>
          <w:rStyle w:val="normaltextrun"/>
          <w:rFonts w:eastAsiaTheme="minorHAnsi" w:cs="Arial"/>
          <w:szCs w:val="21"/>
        </w:rPr>
      </w:pPr>
      <w:r w:rsidRPr="00AB1E42">
        <w:rPr>
          <w:rStyle w:val="normaltextrun"/>
          <w:rFonts w:cs="Arial"/>
          <w:szCs w:val="21"/>
        </w:rPr>
        <w:t xml:space="preserve">The Department may provide copies of your submissions to the Scrutiny </w:t>
      </w:r>
      <w:r w:rsidRPr="00AB1E42">
        <w:rPr>
          <w:rFonts w:cs="Arial"/>
          <w:szCs w:val="21"/>
        </w:rPr>
        <w:t xml:space="preserve">of Acts and Regulations Committee of Parliament (SARC) as part of their role in overseeing compliance with the requirements of the </w:t>
      </w:r>
      <w:r w:rsidRPr="00AB1E42">
        <w:rPr>
          <w:rFonts w:cs="Arial"/>
          <w:i/>
          <w:iCs/>
          <w:szCs w:val="21"/>
        </w:rPr>
        <w:t>Subordinate Legislation Act 1994</w:t>
      </w:r>
      <w:r w:rsidRPr="00AB1E42">
        <w:rPr>
          <w:rFonts w:cs="Arial"/>
          <w:szCs w:val="21"/>
        </w:rPr>
        <w:t>. The Department may also share your submission with third parties as required for the purposes of the Review.</w:t>
      </w:r>
      <w:r w:rsidR="00157D39" w:rsidRPr="00AB1E42" w:rsidDel="00157D39">
        <w:rPr>
          <w:rFonts w:cs="Arial"/>
          <w:szCs w:val="21"/>
        </w:rPr>
        <w:t xml:space="preserve"> </w:t>
      </w:r>
      <w:r w:rsidRPr="00AB1E42">
        <w:rPr>
          <w:rStyle w:val="normaltextrun"/>
          <w:rFonts w:cs="Arial"/>
          <w:szCs w:val="21"/>
        </w:rPr>
        <w:t xml:space="preserve">Your name and contact details will be removed before sharing your submission with other entities. </w:t>
      </w:r>
    </w:p>
    <w:p w14:paraId="69160FA9" w14:textId="396B2847" w:rsidR="007909A9" w:rsidRPr="00D711CC" w:rsidRDefault="007909A9" w:rsidP="007909A9">
      <w:pPr>
        <w:pStyle w:val="Heading2"/>
        <w:rPr>
          <w:rFonts w:cs="Arial"/>
        </w:rPr>
      </w:pPr>
      <w:r w:rsidRPr="00D711CC">
        <w:rPr>
          <w:rFonts w:cs="Arial"/>
        </w:rPr>
        <w:t>Publication of submissions</w:t>
      </w:r>
      <w:bookmarkEnd w:id="2"/>
      <w:bookmarkEnd w:id="3"/>
    </w:p>
    <w:p w14:paraId="0E63B31E" w14:textId="77777777" w:rsidR="005A416D" w:rsidRDefault="005A416D" w:rsidP="005A416D">
      <w:pPr>
        <w:pStyle w:val="Body"/>
      </w:pPr>
      <w:r w:rsidRPr="008B28C7">
        <w:t>All submissions are considered public documents</w:t>
      </w:r>
      <w:r w:rsidRPr="0019341F">
        <w:t>.</w:t>
      </w:r>
      <w:r w:rsidRPr="00375CDE">
        <w:t xml:space="preserve"> </w:t>
      </w:r>
    </w:p>
    <w:p w14:paraId="21DB4EE1" w14:textId="2859FC48" w:rsidR="005A416D" w:rsidRDefault="005A416D" w:rsidP="005A416D">
      <w:pPr>
        <w:pStyle w:val="Body"/>
      </w:pPr>
      <w:r>
        <w:t xml:space="preserve">Your submission </w:t>
      </w:r>
      <w:r w:rsidRPr="00375CDE">
        <w:t xml:space="preserve">may be referred to in further consultation material developed by the </w:t>
      </w:r>
      <w:r>
        <w:t>Department</w:t>
      </w:r>
      <w:r w:rsidRPr="00375CDE">
        <w:t>, including</w:t>
      </w:r>
      <w:r w:rsidRPr="00375CDE" w:rsidDel="00FB321A">
        <w:t xml:space="preserve"> </w:t>
      </w:r>
      <w:r w:rsidRPr="00375CDE">
        <w:t xml:space="preserve">being included in summary </w:t>
      </w:r>
      <w:r>
        <w:t xml:space="preserve">form </w:t>
      </w:r>
      <w:r w:rsidR="00B95258">
        <w:t xml:space="preserve">in the </w:t>
      </w:r>
      <w:r w:rsidR="00C05993">
        <w:t>Response to Public Comment</w:t>
      </w:r>
      <w:r w:rsidRPr="00375CDE">
        <w:t xml:space="preserve"> </w:t>
      </w:r>
      <w:r>
        <w:t>that</w:t>
      </w:r>
      <w:r w:rsidRPr="00375CDE">
        <w:t xml:space="preserve"> will </w:t>
      </w:r>
      <w:r w:rsidRPr="00BB0412">
        <w:t xml:space="preserve">be </w:t>
      </w:r>
      <w:r w:rsidRPr="0064479B">
        <w:t>published o</w:t>
      </w:r>
      <w:r w:rsidRPr="00BB0412">
        <w:t>n</w:t>
      </w:r>
      <w:r w:rsidRPr="00375CDE">
        <w:t xml:space="preserve"> the </w:t>
      </w:r>
      <w:r>
        <w:t>Department</w:t>
      </w:r>
      <w:r w:rsidRPr="00375CDE">
        <w:t>’s website.</w:t>
      </w:r>
      <w:r>
        <w:t xml:space="preserve"> If you do not wish your submission to be included in summary form in the </w:t>
      </w:r>
      <w:r w:rsidR="00C05993">
        <w:t>in the Response to Public Comment</w:t>
      </w:r>
      <w:r w:rsidR="00C05993" w:rsidRPr="00375CDE">
        <w:t xml:space="preserve"> </w:t>
      </w:r>
      <w:r>
        <w:t xml:space="preserve">published on the Department website, please email </w:t>
      </w:r>
      <w:hyperlink r:id="rId18">
        <w:r w:rsidR="007909A9" w:rsidRPr="4E7F98A3">
          <w:rPr>
            <w:rStyle w:val="Hyperlink"/>
          </w:rPr>
          <w:t>Legislation and Regulation Reform</w:t>
        </w:r>
      </w:hyperlink>
      <w:r w:rsidRPr="00380068">
        <w:t xml:space="preserve"> </w:t>
      </w:r>
      <w:r w:rsidRPr="00375CDE">
        <w:t xml:space="preserve">&lt;legandregreform@health.vic.gov.au&gt; </w:t>
      </w:r>
      <w:r w:rsidRPr="007E0BEC">
        <w:t xml:space="preserve">before </w:t>
      </w:r>
      <w:r w:rsidR="1EBE53D5" w:rsidRPr="007E0BEC">
        <w:t>31 May</w:t>
      </w:r>
      <w:r w:rsidR="00B923D6" w:rsidRPr="007E0BEC">
        <w:t xml:space="preserve"> 2024.</w:t>
      </w:r>
    </w:p>
    <w:p w14:paraId="13E12FDF" w14:textId="78193B8F" w:rsidR="005A416D" w:rsidRDefault="005A416D" w:rsidP="005A416D">
      <w:pPr>
        <w:pStyle w:val="Body"/>
        <w:rPr>
          <w:rStyle w:val="normaltextrun"/>
          <w:rFonts w:cs="Arial"/>
          <w:szCs w:val="21"/>
        </w:rPr>
      </w:pPr>
      <w:r w:rsidRPr="00375CDE">
        <w:t>Before publishing</w:t>
      </w:r>
      <w:r>
        <w:t xml:space="preserve"> your submission in any form, the Depar</w:t>
      </w:r>
      <w:r w:rsidRPr="00375CDE">
        <w:t xml:space="preserve">tment will remove your </w:t>
      </w:r>
      <w:r>
        <w:t xml:space="preserve">name and </w:t>
      </w:r>
      <w:r w:rsidRPr="00375CDE">
        <w:t xml:space="preserve">contact details </w:t>
      </w:r>
      <w:r>
        <w:t xml:space="preserve">and will take all reasonable steps to remove any personal information included in your submission responses. </w:t>
      </w:r>
      <w:r>
        <w:rPr>
          <w:rStyle w:val="normaltextrun"/>
          <w:rFonts w:cs="Arial"/>
          <w:szCs w:val="21"/>
        </w:rPr>
        <w:t xml:space="preserve">The Department reserves the right not to publish submissions for any reason including if they include material that is offensive, potentially </w:t>
      </w:r>
      <w:proofErr w:type="gramStart"/>
      <w:r>
        <w:rPr>
          <w:rStyle w:val="normaltextrun"/>
          <w:rFonts w:cs="Arial"/>
          <w:szCs w:val="21"/>
        </w:rPr>
        <w:t>defamatory</w:t>
      </w:r>
      <w:proofErr w:type="gramEnd"/>
      <w:r>
        <w:rPr>
          <w:rStyle w:val="normaltextrun"/>
          <w:rFonts w:cs="Arial"/>
          <w:szCs w:val="21"/>
        </w:rPr>
        <w:t xml:space="preserve"> or out of scope for the consultation. </w:t>
      </w:r>
    </w:p>
    <w:p w14:paraId="42B538FA" w14:textId="0B76C9BC" w:rsidR="005A416D" w:rsidRDefault="005A416D" w:rsidP="005A416D">
      <w:pPr>
        <w:pStyle w:val="Body"/>
        <w:rPr>
          <w:rStyle w:val="normaltextrun"/>
          <w:rFonts w:cs="Arial"/>
          <w:szCs w:val="21"/>
        </w:rPr>
      </w:pPr>
      <w:r>
        <w:rPr>
          <w:rStyle w:val="normaltextrun"/>
          <w:rFonts w:cs="Arial"/>
          <w:szCs w:val="21"/>
        </w:rPr>
        <w:t>By publishing your submission, in full, part or summary form, the Department does not imply any acceptance of, or agreement with, the views expressed in the submission. Copyright in submissions received by the Department rests with the author(s), not with the Department. If you are not the copyright owner of material in your submission, you should reference or provide a link to this material in your submission.</w:t>
      </w:r>
    </w:p>
    <w:p w14:paraId="3D579507" w14:textId="77777777" w:rsidR="007909A9" w:rsidRPr="000504AE" w:rsidRDefault="007909A9" w:rsidP="007909A9">
      <w:pPr>
        <w:pStyle w:val="Body"/>
        <w:rPr>
          <w:rStyle w:val="eop"/>
          <w:rFonts w:cs="Arial"/>
          <w:szCs w:val="21"/>
        </w:rPr>
      </w:pPr>
      <w:r w:rsidRPr="00380068">
        <w:t xml:space="preserve">For more information on the </w:t>
      </w:r>
      <w:r w:rsidR="005A416D">
        <w:t>Department</w:t>
      </w:r>
      <w:r w:rsidR="005A416D" w:rsidRPr="00380068">
        <w:t>’s</w:t>
      </w:r>
      <w:r w:rsidRPr="00380068">
        <w:t xml:space="preserve"> privacy collection practices, please refer to the </w:t>
      </w:r>
      <w:r w:rsidR="005A416D">
        <w:t>Department</w:t>
      </w:r>
      <w:r w:rsidR="005A416D" w:rsidRPr="00380068">
        <w:t>’s</w:t>
      </w:r>
      <w:r w:rsidRPr="00380068">
        <w:t xml:space="preserve"> </w:t>
      </w:r>
      <w:hyperlink r:id="rId19" w:history="1">
        <w:r w:rsidRPr="00380068">
          <w:rPr>
            <w:rStyle w:val="Hyperlink"/>
          </w:rPr>
          <w:t>Privacy policy</w:t>
        </w:r>
      </w:hyperlink>
      <w:r w:rsidRPr="00380068">
        <w:t xml:space="preserve"> </w:t>
      </w:r>
      <w:r>
        <w:t>&lt;</w:t>
      </w:r>
      <w:r w:rsidRPr="00380068">
        <w:rPr>
          <w:rFonts w:cs="Arial"/>
          <w:szCs w:val="21"/>
        </w:rPr>
        <w:t>https://www.health.vic.gov.au/department-of-health-privacy-policy</w:t>
      </w:r>
      <w:r>
        <w:rPr>
          <w:rFonts w:cs="Arial"/>
          <w:szCs w:val="21"/>
        </w:rPr>
        <w:t>&gt;.</w:t>
      </w:r>
    </w:p>
    <w:p w14:paraId="63FD0EF3" w14:textId="77777777" w:rsidR="007909A9" w:rsidRPr="00672539" w:rsidRDefault="007909A9" w:rsidP="007909A9">
      <w:pPr>
        <w:pStyle w:val="Body"/>
        <w:rPr>
          <w:rStyle w:val="normaltextrun"/>
        </w:rPr>
      </w:pPr>
      <w:r>
        <w:lastRenderedPageBreak/>
        <w:t xml:space="preserve">You may contact the </w:t>
      </w:r>
      <w:r w:rsidRPr="00380068">
        <w:t>Legislative and Regulatory Reform team supervising the consultation by emailing</w:t>
      </w:r>
      <w:r w:rsidRPr="000504AE">
        <w:rPr>
          <w:rStyle w:val="normaltextrun"/>
          <w:rFonts w:eastAsia="MS Gothic" w:cs="Arial"/>
          <w:szCs w:val="21"/>
        </w:rPr>
        <w:t xml:space="preserve"> </w:t>
      </w:r>
      <w:hyperlink r:id="rId20" w:history="1">
        <w:r>
          <w:rPr>
            <w:rStyle w:val="Hyperlink"/>
          </w:rPr>
          <w:t>Legislation and Regulation Reform</w:t>
        </w:r>
        <w:r w:rsidRPr="00785F34">
          <w:t xml:space="preserve"> </w:t>
        </w:r>
      </w:hyperlink>
      <w:r>
        <w:t>&lt;</w:t>
      </w:r>
      <w:r w:rsidRPr="00380068">
        <w:t>legandregreform@health.vic.gov.au&gt;</w:t>
      </w:r>
      <w:r>
        <w:t>.</w:t>
      </w:r>
    </w:p>
    <w:p w14:paraId="7E335F35" w14:textId="77777777" w:rsidR="005A416D" w:rsidRPr="00380068" w:rsidRDefault="005A416D" w:rsidP="005A416D">
      <w:pPr>
        <w:pStyle w:val="Body"/>
      </w:pPr>
      <w:r w:rsidRPr="00380068">
        <w:t xml:space="preserve">You may contact the </w:t>
      </w:r>
      <w:r>
        <w:t>Department</w:t>
      </w:r>
      <w:r w:rsidRPr="00380068">
        <w:t>’s Privacy team by emailing</w:t>
      </w:r>
      <w:r w:rsidRPr="000504AE">
        <w:rPr>
          <w:rStyle w:val="normaltextrun"/>
          <w:rFonts w:eastAsia="MS Gothic" w:cs="Arial"/>
          <w:szCs w:val="21"/>
        </w:rPr>
        <w:t xml:space="preserve"> </w:t>
      </w:r>
      <w:hyperlink r:id="rId21" w:history="1">
        <w:r>
          <w:rPr>
            <w:rStyle w:val="Hyperlink"/>
            <w:rFonts w:cs="Arial"/>
            <w:szCs w:val="21"/>
          </w:rPr>
          <w:t>Privacy team</w:t>
        </w:r>
      </w:hyperlink>
      <w:r>
        <w:rPr>
          <w:rStyle w:val="normaltextrun"/>
          <w:rFonts w:eastAsia="MS Gothic" w:cs="Arial"/>
          <w:szCs w:val="21"/>
        </w:rPr>
        <w:t xml:space="preserve"> </w:t>
      </w:r>
      <w:r w:rsidRPr="00380068">
        <w:t xml:space="preserve">&lt;privacy@health.vic.gov.au&gt;. </w:t>
      </w:r>
    </w:p>
    <w:p w14:paraId="13D879C7" w14:textId="77777777" w:rsidR="005A416D" w:rsidRDefault="005A416D" w:rsidP="005A416D">
      <w:pPr>
        <w:pStyle w:val="Body"/>
      </w:pPr>
      <w:r w:rsidRPr="00380068" w:rsidDel="00900E0C">
        <w:t xml:space="preserve">You/your organisation can request access and changes to information that you provide to the </w:t>
      </w:r>
      <w:r>
        <w:t>Department</w:t>
      </w:r>
      <w:r w:rsidRPr="00380068" w:rsidDel="00900E0C">
        <w:t xml:space="preserve"> using the </w:t>
      </w:r>
      <w:r w:rsidDel="00900E0C">
        <w:t>email contacts</w:t>
      </w:r>
      <w:r w:rsidRPr="00380068" w:rsidDel="00900E0C">
        <w:t xml:space="preserve"> above. </w:t>
      </w:r>
    </w:p>
    <w:p w14:paraId="2A669368" w14:textId="02187AF0" w:rsidR="00A244F8" w:rsidRDefault="00A244F8" w:rsidP="007909A9">
      <w:pPr>
        <w:pStyle w:val="Body"/>
      </w:pPr>
      <w:r w:rsidRPr="006039D0">
        <w:rPr>
          <w:b/>
          <w:bCs/>
        </w:rPr>
        <w:t xml:space="preserve">By providing your submission, you acknowledge that you have read and understood all the information detailed in this collection notice and agreed to provide your submission. </w:t>
      </w:r>
    </w:p>
    <w:p w14:paraId="57696DE0" w14:textId="519B8A5F" w:rsidR="007909A9" w:rsidRPr="00E267DC" w:rsidRDefault="007909A9" w:rsidP="007909A9">
      <w:pPr>
        <w:pStyle w:val="Heading2"/>
        <w:jc w:val="both"/>
      </w:pPr>
      <w:bookmarkStart w:id="6" w:name="_Toc143272054"/>
      <w:bookmarkStart w:id="7" w:name="_Toc162432246"/>
      <w:r w:rsidRPr="00E267DC">
        <w:t>Contact details</w:t>
      </w:r>
      <w:bookmarkEnd w:id="6"/>
      <w:bookmarkEnd w:id="7"/>
    </w:p>
    <w:tbl>
      <w:tblPr>
        <w:tblStyle w:val="TableGrid"/>
        <w:tblW w:w="5000" w:type="pct"/>
        <w:tblBorders>
          <w:bottom w:val="none" w:sz="0" w:space="0" w:color="auto"/>
        </w:tblBorders>
        <w:tblLook w:val="04A0" w:firstRow="1" w:lastRow="0" w:firstColumn="1" w:lastColumn="0" w:noHBand="0" w:noVBand="1"/>
      </w:tblPr>
      <w:tblGrid>
        <w:gridCol w:w="9215"/>
        <w:gridCol w:w="5911"/>
      </w:tblGrid>
      <w:tr w:rsidR="007909A9" w:rsidRPr="00C123CB" w14:paraId="7817CF71" w14:textId="77777777" w:rsidTr="00EB0619">
        <w:tc>
          <w:tcPr>
            <w:tcW w:w="3046" w:type="pct"/>
            <w:shd w:val="clear" w:color="auto" w:fill="E36C0A" w:themeFill="accent6" w:themeFillShade="BF"/>
          </w:tcPr>
          <w:p w14:paraId="02A91467" w14:textId="77777777" w:rsidR="007909A9" w:rsidRPr="00C123CB" w:rsidRDefault="007909A9">
            <w:pPr>
              <w:pStyle w:val="Tablecolhead"/>
              <w:rPr>
                <w:color w:val="FFFFFF" w:themeColor="background1"/>
              </w:rPr>
            </w:pPr>
            <w:r w:rsidRPr="00C123CB">
              <w:rPr>
                <w:color w:val="FFFFFF" w:themeColor="background1"/>
              </w:rPr>
              <w:t>Question</w:t>
            </w:r>
          </w:p>
        </w:tc>
        <w:tc>
          <w:tcPr>
            <w:tcW w:w="1954" w:type="pct"/>
            <w:tcBorders>
              <w:bottom w:val="single" w:sz="4" w:space="0" w:color="auto"/>
            </w:tcBorders>
            <w:shd w:val="clear" w:color="auto" w:fill="E36C0A" w:themeFill="accent6" w:themeFillShade="BF"/>
          </w:tcPr>
          <w:p w14:paraId="2B8067B8" w14:textId="77777777" w:rsidR="007909A9" w:rsidRPr="00C123CB" w:rsidRDefault="007909A9">
            <w:pPr>
              <w:pStyle w:val="Tablecolhead"/>
              <w:rPr>
                <w:color w:val="FFFFFF" w:themeColor="background1"/>
              </w:rPr>
            </w:pPr>
            <w:r>
              <w:rPr>
                <w:color w:val="FFFFFF" w:themeColor="background1"/>
              </w:rPr>
              <w:t>Your r</w:t>
            </w:r>
            <w:r w:rsidRPr="00C123CB">
              <w:rPr>
                <w:color w:val="FFFFFF" w:themeColor="background1"/>
              </w:rPr>
              <w:t>esponse</w:t>
            </w:r>
          </w:p>
        </w:tc>
      </w:tr>
      <w:tr w:rsidR="007909A9" w:rsidRPr="001810F0" w14:paraId="1C0B9005" w14:textId="77777777" w:rsidTr="00EB0619">
        <w:tc>
          <w:tcPr>
            <w:tcW w:w="3046" w:type="pct"/>
          </w:tcPr>
          <w:p w14:paraId="447E0B7A" w14:textId="77777777" w:rsidR="007909A9" w:rsidRPr="00E267DC" w:rsidRDefault="007909A9">
            <w:pPr>
              <w:pStyle w:val="Tabletext"/>
            </w:pPr>
            <w:r w:rsidRPr="00E267DC">
              <w:t>Name</w:t>
            </w:r>
            <w:r w:rsidRPr="00960495">
              <w:t xml:space="preserve"> </w:t>
            </w:r>
            <w:r>
              <w:t xml:space="preserve">and title </w:t>
            </w:r>
            <w:r w:rsidRPr="00960495">
              <w:t>(optional)</w:t>
            </w:r>
          </w:p>
        </w:tc>
        <w:tc>
          <w:tcPr>
            <w:tcW w:w="1954" w:type="pct"/>
            <w:tcBorders>
              <w:bottom w:val="single" w:sz="4" w:space="0" w:color="auto"/>
            </w:tcBorders>
          </w:tcPr>
          <w:p w14:paraId="328B10AD" w14:textId="77777777" w:rsidR="007909A9" w:rsidRPr="00E267DC" w:rsidRDefault="007909A9">
            <w:pPr>
              <w:pStyle w:val="Tabletext"/>
            </w:pPr>
          </w:p>
        </w:tc>
      </w:tr>
      <w:tr w:rsidR="00E10513" w:rsidRPr="001810F0" w14:paraId="7BEE2DAF" w14:textId="77777777" w:rsidTr="00EB0619">
        <w:tc>
          <w:tcPr>
            <w:tcW w:w="3046" w:type="pct"/>
          </w:tcPr>
          <w:p w14:paraId="0B5F6DF3" w14:textId="4C97AAB2" w:rsidR="00E10513" w:rsidRDefault="00E10513" w:rsidP="004B3C60">
            <w:pPr>
              <w:pStyle w:val="Tabletext"/>
            </w:pPr>
            <w:r>
              <w:t>Email address (optional)</w:t>
            </w:r>
          </w:p>
        </w:tc>
        <w:tc>
          <w:tcPr>
            <w:tcW w:w="1954" w:type="pct"/>
            <w:tcBorders>
              <w:top w:val="nil"/>
            </w:tcBorders>
          </w:tcPr>
          <w:p w14:paraId="6709BEEB" w14:textId="77777777" w:rsidR="00E10513" w:rsidRPr="00EB0304" w:rsidRDefault="00E10513" w:rsidP="004B3C60">
            <w:pPr>
              <w:pStyle w:val="Tabletext"/>
            </w:pPr>
          </w:p>
        </w:tc>
      </w:tr>
      <w:tr w:rsidR="007909A9" w:rsidRPr="001810F0" w14:paraId="3DA8CAFF" w14:textId="77777777" w:rsidTr="00EB0619">
        <w:tc>
          <w:tcPr>
            <w:tcW w:w="3046" w:type="pct"/>
          </w:tcPr>
          <w:p w14:paraId="02A0DB20" w14:textId="77777777" w:rsidR="007909A9" w:rsidRPr="00EB0304" w:rsidRDefault="007909A9">
            <w:pPr>
              <w:pStyle w:val="Tabletext"/>
            </w:pPr>
            <w:r>
              <w:t>Organisation / association / peak body / regulator / government agency (if relevant)</w:t>
            </w:r>
          </w:p>
        </w:tc>
        <w:tc>
          <w:tcPr>
            <w:tcW w:w="1954" w:type="pct"/>
            <w:tcBorders>
              <w:top w:val="nil"/>
            </w:tcBorders>
          </w:tcPr>
          <w:p w14:paraId="7002FCCA" w14:textId="77777777" w:rsidR="007909A9" w:rsidRPr="00EB0304" w:rsidRDefault="007909A9">
            <w:pPr>
              <w:pStyle w:val="Tabletext"/>
            </w:pPr>
          </w:p>
        </w:tc>
      </w:tr>
      <w:tr w:rsidR="007909A9" w:rsidRPr="001810F0" w14:paraId="510DEE1F" w14:textId="77777777" w:rsidTr="00EB0619">
        <w:tc>
          <w:tcPr>
            <w:tcW w:w="3046" w:type="pct"/>
            <w:tcBorders>
              <w:bottom w:val="single" w:sz="4" w:space="0" w:color="auto"/>
            </w:tcBorders>
          </w:tcPr>
          <w:p w14:paraId="0F805B8D" w14:textId="77777777" w:rsidR="007909A9" w:rsidRDefault="007909A9">
            <w:pPr>
              <w:pStyle w:val="Tabletext"/>
            </w:pPr>
            <w:r>
              <w:t>Are you authorised to provide this response on behalf of your organisation?</w:t>
            </w:r>
          </w:p>
        </w:tc>
        <w:tc>
          <w:tcPr>
            <w:tcW w:w="1954" w:type="pct"/>
            <w:tcBorders>
              <w:bottom w:val="single" w:sz="4" w:space="0" w:color="auto"/>
            </w:tcBorders>
          </w:tcPr>
          <w:p w14:paraId="4A44EB91" w14:textId="77777777" w:rsidR="007909A9" w:rsidRPr="00EB0304" w:rsidRDefault="007909A9">
            <w:pPr>
              <w:pStyle w:val="Tabletext"/>
            </w:pPr>
            <w:r>
              <w:t xml:space="preserve">Yes   </w:t>
            </w:r>
            <w:sdt>
              <w:sdtPr>
                <w:id w:val="-184748000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   </w:t>
            </w:r>
            <w:sdt>
              <w:sdtPr>
                <w:id w:val="-22051544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N/A   </w:t>
            </w:r>
            <w:sdt>
              <w:sdtPr>
                <w:id w:val="-1226453022"/>
                <w14:checkbox>
                  <w14:checked w14:val="0"/>
                  <w14:checkedState w14:val="2612" w14:font="MS Gothic"/>
                  <w14:uncheckedState w14:val="2610" w14:font="MS Gothic"/>
                </w14:checkbox>
              </w:sdtPr>
              <w:sdtContent>
                <w:r>
                  <w:rPr>
                    <w:rFonts w:ascii="MS Gothic" w:eastAsia="MS Gothic" w:hAnsi="MS Gothic" w:hint="eastAsia"/>
                  </w:rPr>
                  <w:t>☐</w:t>
                </w:r>
              </w:sdtContent>
            </w:sdt>
          </w:p>
        </w:tc>
      </w:tr>
      <w:tr w:rsidR="007909A9" w:rsidRPr="001810F0" w14:paraId="01C90505" w14:textId="77777777" w:rsidTr="00EB0619">
        <w:tc>
          <w:tcPr>
            <w:tcW w:w="3046" w:type="pct"/>
            <w:tcBorders>
              <w:bottom w:val="single" w:sz="4" w:space="0" w:color="auto"/>
            </w:tcBorders>
          </w:tcPr>
          <w:p w14:paraId="1EF5A6E6" w14:textId="77777777" w:rsidR="007909A9" w:rsidRPr="00E267DC" w:rsidRDefault="007909A9">
            <w:pPr>
              <w:pStyle w:val="Tabletext"/>
            </w:pPr>
            <w:r w:rsidRPr="00EB0304">
              <w:t>Would you</w:t>
            </w:r>
            <w:r>
              <w:t>r</w:t>
            </w:r>
            <w:r w:rsidRPr="00EB0304">
              <w:t xml:space="preserve"> </w:t>
            </w:r>
            <w:r>
              <w:t>organisation like to remain anonymous if material in your submission is published?</w:t>
            </w:r>
          </w:p>
        </w:tc>
        <w:tc>
          <w:tcPr>
            <w:tcW w:w="1954" w:type="pct"/>
            <w:tcBorders>
              <w:bottom w:val="single" w:sz="4" w:space="0" w:color="auto"/>
            </w:tcBorders>
          </w:tcPr>
          <w:p w14:paraId="511084F1" w14:textId="77777777" w:rsidR="007909A9" w:rsidRPr="00E267DC" w:rsidRDefault="007909A9">
            <w:pPr>
              <w:pStyle w:val="Tabletext"/>
            </w:pPr>
            <w:r>
              <w:t xml:space="preserve">Yes   </w:t>
            </w:r>
            <w:sdt>
              <w:sdtPr>
                <w:id w:val="-208266776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   </w:t>
            </w:r>
            <w:sdt>
              <w:sdtPr>
                <w:id w:val="-163833161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N/A   </w:t>
            </w:r>
            <w:sdt>
              <w:sdtPr>
                <w:id w:val="-1609346708"/>
                <w14:checkbox>
                  <w14:checked w14:val="0"/>
                  <w14:checkedState w14:val="2612" w14:font="MS Gothic"/>
                  <w14:uncheckedState w14:val="2610" w14:font="MS Gothic"/>
                </w14:checkbox>
              </w:sdtPr>
              <w:sdtContent>
                <w:r>
                  <w:rPr>
                    <w:rFonts w:ascii="MS Gothic" w:eastAsia="MS Gothic" w:hAnsi="MS Gothic" w:hint="eastAsia"/>
                  </w:rPr>
                  <w:t>☐</w:t>
                </w:r>
              </w:sdtContent>
            </w:sdt>
          </w:p>
        </w:tc>
      </w:tr>
    </w:tbl>
    <w:p w14:paraId="17D240C6" w14:textId="77777777" w:rsidR="007909A9" w:rsidRDefault="007909A9" w:rsidP="007909A9"/>
    <w:p w14:paraId="725F30E6" w14:textId="029EB8CC" w:rsidR="007909A9" w:rsidRPr="00E5488C" w:rsidRDefault="007909A9" w:rsidP="007909A9">
      <w:pPr>
        <w:pStyle w:val="Body"/>
        <w:rPr>
          <w:rStyle w:val="eop"/>
          <w:rFonts w:cs="Arial"/>
          <w:b/>
          <w:bCs/>
          <w:color w:val="595959" w:themeColor="text1" w:themeTint="A6"/>
          <w:sz w:val="32"/>
          <w:szCs w:val="32"/>
          <w:shd w:val="clear" w:color="auto" w:fill="FFFFFF"/>
        </w:rPr>
      </w:pPr>
      <w:r w:rsidRPr="00E5488C">
        <w:rPr>
          <w:rStyle w:val="normaltextrun"/>
          <w:rFonts w:cs="Arial"/>
          <w:b/>
          <w:bCs/>
          <w:color w:val="595959" w:themeColor="text1" w:themeTint="A6"/>
          <w:sz w:val="32"/>
          <w:szCs w:val="32"/>
          <w:shd w:val="clear" w:color="auto" w:fill="FFFFFF"/>
        </w:rPr>
        <w:t>Questions for public comment</w:t>
      </w:r>
      <w:r w:rsidRPr="00E5488C">
        <w:rPr>
          <w:rStyle w:val="eop"/>
          <w:rFonts w:cs="Arial"/>
          <w:b/>
          <w:bCs/>
          <w:color w:val="595959" w:themeColor="text1" w:themeTint="A6"/>
          <w:sz w:val="32"/>
          <w:szCs w:val="32"/>
          <w:shd w:val="clear" w:color="auto" w:fill="FFFFFF"/>
        </w:rPr>
        <w:t> </w:t>
      </w:r>
    </w:p>
    <w:p w14:paraId="6A448EF6" w14:textId="197C4468" w:rsidR="007909A9" w:rsidRPr="000C30FF" w:rsidRDefault="007909A9" w:rsidP="007909A9">
      <w:pPr>
        <w:pStyle w:val="Body"/>
        <w:rPr>
          <w:rStyle w:val="eop"/>
          <w:rFonts w:cs="Arial"/>
          <w:szCs w:val="21"/>
          <w:shd w:val="clear" w:color="auto" w:fill="FFFFFF"/>
        </w:rPr>
      </w:pPr>
      <w:r w:rsidRPr="000C30FF">
        <w:rPr>
          <w:rStyle w:val="eop"/>
          <w:rFonts w:cs="Arial"/>
          <w:szCs w:val="21"/>
          <w:shd w:val="clear" w:color="auto" w:fill="FFFFFF"/>
        </w:rPr>
        <w:t xml:space="preserve">See below questions to guide your response. A template is provided if you wish to address these with respect to specific proposed amendments. </w:t>
      </w:r>
    </w:p>
    <w:p w14:paraId="65D2C15D" w14:textId="77777777" w:rsidR="000C30FF" w:rsidRPr="000C30FF" w:rsidRDefault="000C30FF" w:rsidP="00FC2734">
      <w:pPr>
        <w:pStyle w:val="pf0"/>
        <w:numPr>
          <w:ilvl w:val="0"/>
          <w:numId w:val="11"/>
        </w:numPr>
        <w:rPr>
          <w:rFonts w:ascii="Arial" w:hAnsi="Arial" w:cs="Arial"/>
          <w:sz w:val="21"/>
          <w:szCs w:val="21"/>
        </w:rPr>
      </w:pPr>
      <w:r w:rsidRPr="000C30FF">
        <w:rPr>
          <w:rStyle w:val="cf01"/>
          <w:rFonts w:ascii="Arial" w:eastAsia="MS Mincho" w:hAnsi="Arial" w:cs="Arial"/>
          <w:sz w:val="21"/>
          <w:szCs w:val="21"/>
        </w:rPr>
        <w:t xml:space="preserve">Is there further information you wish to provide about potential impact of the proposed changes? </w:t>
      </w:r>
    </w:p>
    <w:p w14:paraId="6150FAB4" w14:textId="6B4AFCB2" w:rsidR="000C30FF" w:rsidRPr="000C30FF" w:rsidRDefault="000C30FF" w:rsidP="00FC2734">
      <w:pPr>
        <w:pStyle w:val="pf0"/>
        <w:numPr>
          <w:ilvl w:val="0"/>
          <w:numId w:val="11"/>
        </w:numPr>
        <w:rPr>
          <w:rFonts w:ascii="Arial" w:hAnsi="Arial" w:cs="Arial"/>
          <w:sz w:val="21"/>
          <w:szCs w:val="21"/>
        </w:rPr>
      </w:pPr>
      <w:r w:rsidRPr="000C30FF">
        <w:rPr>
          <w:rStyle w:val="cf01"/>
          <w:rFonts w:ascii="Arial" w:eastAsia="MS Mincho" w:hAnsi="Arial" w:cs="Arial"/>
          <w:sz w:val="21"/>
          <w:szCs w:val="21"/>
        </w:rPr>
        <w:t>Is there information or feedback you wish to provide to inform implementation of the changes? For example</w:t>
      </w:r>
      <w:r w:rsidR="00596327">
        <w:rPr>
          <w:rStyle w:val="cf01"/>
          <w:rFonts w:ascii="Arial" w:eastAsia="MS Mincho" w:hAnsi="Arial" w:cs="Arial"/>
          <w:sz w:val="21"/>
          <w:szCs w:val="21"/>
        </w:rPr>
        <w:t>,</w:t>
      </w:r>
      <w:r w:rsidRPr="000C30FF">
        <w:rPr>
          <w:rStyle w:val="cf01"/>
          <w:rFonts w:ascii="Arial" w:eastAsia="MS Mincho" w:hAnsi="Arial" w:cs="Arial"/>
          <w:sz w:val="21"/>
          <w:szCs w:val="21"/>
        </w:rPr>
        <w:t xml:space="preserve"> should there be time allowed after the Regulations are remade and before some changes come into effect, to allow time for preparation for implementation? If so</w:t>
      </w:r>
      <w:r w:rsidR="00596327">
        <w:rPr>
          <w:rStyle w:val="cf01"/>
          <w:rFonts w:ascii="Arial" w:eastAsia="MS Mincho" w:hAnsi="Arial" w:cs="Arial"/>
          <w:sz w:val="21"/>
          <w:szCs w:val="21"/>
        </w:rPr>
        <w:t>,</w:t>
      </w:r>
      <w:r w:rsidRPr="000C30FF">
        <w:rPr>
          <w:rStyle w:val="cf01"/>
          <w:rFonts w:ascii="Arial" w:eastAsia="MS Mincho" w:hAnsi="Arial" w:cs="Arial"/>
          <w:sz w:val="21"/>
          <w:szCs w:val="21"/>
        </w:rPr>
        <w:t xml:space="preserve"> how long should be allowed? </w:t>
      </w:r>
    </w:p>
    <w:p w14:paraId="6D909E42" w14:textId="77777777" w:rsidR="007909A9" w:rsidRDefault="007909A9" w:rsidP="007909A9">
      <w:pPr>
        <w:rPr>
          <w:b/>
        </w:rPr>
      </w:pPr>
    </w:p>
    <w:p w14:paraId="013148ED" w14:textId="2700B428" w:rsidR="00B97DDB" w:rsidRPr="000C30FF" w:rsidRDefault="00B97DDB" w:rsidP="00B97DDB">
      <w:pPr>
        <w:rPr>
          <w:b/>
          <w:bCs/>
        </w:rPr>
      </w:pPr>
      <w:r w:rsidRPr="779256AE">
        <w:rPr>
          <w:b/>
          <w:bCs/>
        </w:rPr>
        <w:t xml:space="preserve">TABLE: </w:t>
      </w:r>
      <w:r w:rsidR="000C30FF" w:rsidRPr="779256AE">
        <w:rPr>
          <w:b/>
          <w:bCs/>
        </w:rPr>
        <w:t>Summary of</w:t>
      </w:r>
      <w:r w:rsidR="76C4A057" w:rsidRPr="779256AE">
        <w:rPr>
          <w:b/>
          <w:bCs/>
        </w:rPr>
        <w:t xml:space="preserve"> key</w:t>
      </w:r>
      <w:r w:rsidR="000C30FF" w:rsidRPr="779256AE">
        <w:rPr>
          <w:b/>
          <w:bCs/>
        </w:rPr>
        <w:t xml:space="preserve"> </w:t>
      </w:r>
      <w:r w:rsidR="005D09A3" w:rsidRPr="779256AE">
        <w:rPr>
          <w:b/>
          <w:bCs/>
        </w:rPr>
        <w:t>p</w:t>
      </w:r>
      <w:r w:rsidR="000C30FF" w:rsidRPr="779256AE">
        <w:rPr>
          <w:b/>
          <w:bCs/>
        </w:rPr>
        <w:t>roposed amendments for comment</w:t>
      </w:r>
    </w:p>
    <w:p w14:paraId="318CFB45" w14:textId="223E09AB" w:rsidR="00B97DDB" w:rsidRDefault="00D91261" w:rsidP="184AD9F7">
      <w:pPr>
        <w:rPr>
          <w:rStyle w:val="eop"/>
          <w:rFonts w:cs="Arial"/>
          <w:b/>
          <w:bCs/>
          <w:shd w:val="clear" w:color="auto" w:fill="FFFFFF"/>
        </w:rPr>
      </w:pPr>
      <w:r w:rsidRPr="184AD9F7">
        <w:rPr>
          <w:rStyle w:val="eop"/>
          <w:rFonts w:cs="Arial"/>
          <w:shd w:val="clear" w:color="auto" w:fill="FFFFFF"/>
        </w:rPr>
        <w:lastRenderedPageBreak/>
        <w:t>N</w:t>
      </w:r>
      <w:r w:rsidR="00EF3779" w:rsidRPr="184AD9F7">
        <w:rPr>
          <w:rStyle w:val="eop"/>
          <w:rFonts w:cs="Arial"/>
          <w:shd w:val="clear" w:color="auto" w:fill="FFFFFF"/>
        </w:rPr>
        <w:t xml:space="preserve">ote: </w:t>
      </w:r>
      <w:r w:rsidRPr="184AD9F7">
        <w:rPr>
          <w:rStyle w:val="eop"/>
          <w:rFonts w:cs="Arial"/>
          <w:shd w:val="clear" w:color="auto" w:fill="FFFFFF"/>
        </w:rPr>
        <w:t>C</w:t>
      </w:r>
      <w:r w:rsidR="00EF3779">
        <w:t>urrent regulation number</w:t>
      </w:r>
      <w:r w:rsidR="00491EEA">
        <w:t>s</w:t>
      </w:r>
      <w:r w:rsidR="00EF3779">
        <w:t xml:space="preserve"> and </w:t>
      </w:r>
      <w:r w:rsidR="003E36C9">
        <w:t>text</w:t>
      </w:r>
      <w:r w:rsidR="00EF3779">
        <w:t xml:space="preserve"> </w:t>
      </w:r>
      <w:r w:rsidR="008C29BC">
        <w:t xml:space="preserve">are </w:t>
      </w:r>
      <w:r w:rsidR="00EF3779">
        <w:t>in black</w:t>
      </w:r>
      <w:r w:rsidR="00C72970">
        <w:t xml:space="preserve">, with </w:t>
      </w:r>
      <w:r w:rsidR="00EF3779" w:rsidRPr="184AD9F7">
        <w:rPr>
          <w:rStyle w:val="eop"/>
          <w:rFonts w:cs="Arial"/>
          <w:shd w:val="clear" w:color="auto" w:fill="FFFFFF"/>
        </w:rPr>
        <w:t xml:space="preserve">strikethrough </w:t>
      </w:r>
      <w:r w:rsidR="00C72970" w:rsidRPr="184AD9F7">
        <w:rPr>
          <w:rStyle w:val="eop"/>
          <w:rFonts w:cs="Arial"/>
          <w:shd w:val="clear" w:color="auto" w:fill="FFFFFF"/>
        </w:rPr>
        <w:t>indicating text</w:t>
      </w:r>
      <w:r w:rsidR="00414251" w:rsidRPr="184AD9F7">
        <w:rPr>
          <w:rStyle w:val="eop"/>
          <w:rFonts w:cs="Arial"/>
          <w:shd w:val="clear" w:color="auto" w:fill="FFFFFF"/>
        </w:rPr>
        <w:t xml:space="preserve"> </w:t>
      </w:r>
      <w:r w:rsidR="002E674E" w:rsidRPr="184AD9F7">
        <w:rPr>
          <w:rStyle w:val="eop"/>
          <w:rFonts w:cs="Arial"/>
          <w:shd w:val="clear" w:color="auto" w:fill="FFFFFF"/>
        </w:rPr>
        <w:t>to be</w:t>
      </w:r>
      <w:r w:rsidR="00EF3779" w:rsidRPr="184AD9F7">
        <w:rPr>
          <w:rStyle w:val="eop"/>
          <w:rFonts w:cs="Arial"/>
          <w:shd w:val="clear" w:color="auto" w:fill="FFFFFF"/>
        </w:rPr>
        <w:t xml:space="preserve"> deleted</w:t>
      </w:r>
      <w:r w:rsidR="00EF3779">
        <w:t xml:space="preserve">. </w:t>
      </w:r>
      <w:r w:rsidR="00EF3779" w:rsidRPr="184AD9F7">
        <w:rPr>
          <w:rStyle w:val="eop"/>
          <w:rFonts w:cs="Arial"/>
          <w:shd w:val="clear" w:color="auto" w:fill="FFFFFF"/>
        </w:rPr>
        <w:t xml:space="preserve">Proposed </w:t>
      </w:r>
      <w:r w:rsidR="003E36C9" w:rsidRPr="184AD9F7">
        <w:rPr>
          <w:rStyle w:val="eop"/>
          <w:rFonts w:cs="Arial"/>
          <w:shd w:val="clear" w:color="auto" w:fill="FFFFFF"/>
        </w:rPr>
        <w:t xml:space="preserve">new </w:t>
      </w:r>
      <w:r w:rsidR="00210C65" w:rsidRPr="184AD9F7">
        <w:rPr>
          <w:rStyle w:val="eop"/>
          <w:rFonts w:cs="Arial"/>
          <w:shd w:val="clear" w:color="auto" w:fill="FFFFFF"/>
        </w:rPr>
        <w:t>regulation numbers and</w:t>
      </w:r>
      <w:r w:rsidR="00EF3779" w:rsidRPr="184AD9F7">
        <w:rPr>
          <w:rStyle w:val="eop"/>
          <w:rFonts w:cs="Arial"/>
          <w:shd w:val="clear" w:color="auto" w:fill="FFFFFF"/>
        </w:rPr>
        <w:t xml:space="preserve"> text</w:t>
      </w:r>
      <w:r w:rsidR="003E36C9" w:rsidRPr="184AD9F7">
        <w:rPr>
          <w:rStyle w:val="eop"/>
          <w:rFonts w:cs="Arial"/>
          <w:shd w:val="clear" w:color="auto" w:fill="FFFFFF"/>
        </w:rPr>
        <w:t xml:space="preserve"> are in </w:t>
      </w:r>
      <w:r w:rsidR="00EF3779" w:rsidRPr="184AD9F7">
        <w:rPr>
          <w:rStyle w:val="eop"/>
          <w:rFonts w:cs="Arial"/>
          <w:shd w:val="clear" w:color="auto" w:fill="FFFFFF"/>
        </w:rPr>
        <w:t>red.</w:t>
      </w:r>
      <w:r w:rsidR="00F414DD" w:rsidRPr="184AD9F7">
        <w:rPr>
          <w:rStyle w:val="eop"/>
          <w:rFonts w:cs="Arial"/>
          <w:shd w:val="clear" w:color="auto" w:fill="FFFFFF"/>
        </w:rPr>
        <w:t xml:space="preserve"> </w:t>
      </w:r>
      <w:r w:rsidR="00F414DD" w:rsidRPr="184AD9F7">
        <w:rPr>
          <w:rStyle w:val="eop"/>
          <w:rFonts w:cs="Arial"/>
          <w:b/>
          <w:bCs/>
          <w:shd w:val="clear" w:color="auto" w:fill="FFFFFF"/>
        </w:rPr>
        <w:t>A</w:t>
      </w:r>
      <w:r w:rsidR="003E2149" w:rsidRPr="184AD9F7">
        <w:rPr>
          <w:rStyle w:val="eop"/>
          <w:rFonts w:cs="Arial"/>
          <w:b/>
          <w:bCs/>
          <w:shd w:val="clear" w:color="auto" w:fill="FFFFFF"/>
        </w:rPr>
        <w:t xml:space="preserve">mendments to the Regulations that are administrative </w:t>
      </w:r>
      <w:r w:rsidR="00FB7F51" w:rsidRPr="184AD9F7">
        <w:rPr>
          <w:rStyle w:val="eop"/>
          <w:rFonts w:cs="Arial"/>
          <w:b/>
          <w:bCs/>
          <w:shd w:val="clear" w:color="auto" w:fill="FFFFFF"/>
        </w:rPr>
        <w:t xml:space="preserve">in </w:t>
      </w:r>
      <w:r w:rsidR="003E2149" w:rsidRPr="184AD9F7">
        <w:rPr>
          <w:rStyle w:val="eop"/>
          <w:rFonts w:cs="Arial"/>
          <w:b/>
          <w:bCs/>
          <w:shd w:val="clear" w:color="auto" w:fill="FFFFFF"/>
        </w:rPr>
        <w:t xml:space="preserve">nature or to streamline or modernise wording, rather than </w:t>
      </w:r>
      <w:r w:rsidR="00EE685F" w:rsidRPr="184AD9F7">
        <w:rPr>
          <w:rStyle w:val="eop"/>
          <w:rFonts w:cs="Arial"/>
          <w:b/>
          <w:bCs/>
          <w:shd w:val="clear" w:color="auto" w:fill="FFFFFF"/>
        </w:rPr>
        <w:t>changing th</w:t>
      </w:r>
      <w:r w:rsidR="31CD89B2" w:rsidRPr="184AD9F7">
        <w:rPr>
          <w:rStyle w:val="eop"/>
          <w:rFonts w:cs="Arial"/>
          <w:b/>
          <w:bCs/>
          <w:shd w:val="clear" w:color="auto" w:fill="FFFFFF"/>
        </w:rPr>
        <w:t>e substantive effect</w:t>
      </w:r>
      <w:r w:rsidR="006D6BEC" w:rsidRPr="184AD9F7">
        <w:rPr>
          <w:rStyle w:val="eop"/>
          <w:rFonts w:cs="Arial"/>
          <w:b/>
          <w:bCs/>
          <w:shd w:val="clear" w:color="auto" w:fill="FFFFFF"/>
        </w:rPr>
        <w:t>, are not included in the table.</w:t>
      </w:r>
      <w:r w:rsidR="003E2149" w:rsidRPr="184AD9F7">
        <w:rPr>
          <w:rStyle w:val="eop"/>
          <w:rFonts w:cs="Arial"/>
          <w:b/>
          <w:bCs/>
          <w:shd w:val="clear" w:color="auto" w:fill="FFFFFF"/>
        </w:rPr>
        <w:t xml:space="preserve"> </w:t>
      </w:r>
    </w:p>
    <w:p w14:paraId="3EF2830C" w14:textId="77777777" w:rsidR="007A7F2D" w:rsidRDefault="007A7F2D" w:rsidP="00B97DDB"/>
    <w:tbl>
      <w:tblPr>
        <w:tblStyle w:val="TableGrid"/>
        <w:tblW w:w="15735" w:type="dxa"/>
        <w:tblInd w:w="-289" w:type="dxa"/>
        <w:tblLayout w:type="fixed"/>
        <w:tblLook w:val="04A0" w:firstRow="1" w:lastRow="0" w:firstColumn="1" w:lastColumn="0" w:noHBand="0" w:noVBand="1"/>
      </w:tblPr>
      <w:tblGrid>
        <w:gridCol w:w="1135"/>
        <w:gridCol w:w="5605"/>
        <w:gridCol w:w="3467"/>
        <w:gridCol w:w="5528"/>
      </w:tblGrid>
      <w:tr w:rsidR="00561F86" w:rsidRPr="00E865BA" w14:paraId="255A2940" w14:textId="77777777" w:rsidTr="19A1CCEF">
        <w:trPr>
          <w:trHeight w:val="699"/>
          <w:tblHeader/>
        </w:trPr>
        <w:tc>
          <w:tcPr>
            <w:tcW w:w="1135" w:type="dxa"/>
            <w:shd w:val="clear" w:color="auto" w:fill="E36C0A" w:themeFill="accent6" w:themeFillShade="BF"/>
          </w:tcPr>
          <w:p w14:paraId="5D92EFDE" w14:textId="77777777" w:rsidR="00B97DDB" w:rsidRPr="00E33942" w:rsidRDefault="00B97DDB" w:rsidP="00B97DDB">
            <w:pPr>
              <w:rPr>
                <w:b/>
                <w:color w:val="FFFFFF" w:themeColor="background1"/>
                <w:sz w:val="24"/>
                <w:szCs w:val="24"/>
              </w:rPr>
            </w:pPr>
            <w:r w:rsidRPr="00E33942">
              <w:rPr>
                <w:b/>
                <w:bCs/>
                <w:color w:val="FFFFFF" w:themeColor="background1"/>
                <w:sz w:val="24"/>
                <w:szCs w:val="24"/>
              </w:rPr>
              <w:t>Reg no.</w:t>
            </w:r>
          </w:p>
          <w:p w14:paraId="4DA97609" w14:textId="0F6C98A4" w:rsidR="00B97DDB" w:rsidRPr="00E33942" w:rsidRDefault="000E645C" w:rsidP="00B97DDB">
            <w:pPr>
              <w:rPr>
                <w:b/>
                <w:bCs/>
                <w:color w:val="FFFFFF" w:themeColor="background1"/>
                <w:sz w:val="24"/>
                <w:szCs w:val="24"/>
              </w:rPr>
            </w:pPr>
            <w:r>
              <w:rPr>
                <w:b/>
                <w:bCs/>
                <w:color w:val="FFFFFF" w:themeColor="background1"/>
                <w:sz w:val="24"/>
                <w:szCs w:val="24"/>
              </w:rPr>
              <w:t>(</w:t>
            </w:r>
            <w:proofErr w:type="gramStart"/>
            <w:r>
              <w:rPr>
                <w:b/>
                <w:bCs/>
                <w:color w:val="FFFFFF" w:themeColor="background1"/>
                <w:sz w:val="24"/>
                <w:szCs w:val="24"/>
              </w:rPr>
              <w:t>current</w:t>
            </w:r>
            <w:proofErr w:type="gramEnd"/>
            <w:r>
              <w:rPr>
                <w:b/>
                <w:bCs/>
                <w:color w:val="FFFFFF" w:themeColor="background1"/>
                <w:sz w:val="24"/>
                <w:szCs w:val="24"/>
              </w:rPr>
              <w:t xml:space="preserve"> and new)</w:t>
            </w:r>
          </w:p>
        </w:tc>
        <w:tc>
          <w:tcPr>
            <w:tcW w:w="5605" w:type="dxa"/>
            <w:shd w:val="clear" w:color="auto" w:fill="E36C0A" w:themeFill="accent6" w:themeFillShade="BF"/>
          </w:tcPr>
          <w:p w14:paraId="07854ADF" w14:textId="77777777" w:rsidR="003F3CA5" w:rsidRDefault="00B97DDB" w:rsidP="00B97DDB">
            <w:pPr>
              <w:rPr>
                <w:b/>
                <w:bCs/>
                <w:color w:val="FFFFFF" w:themeColor="background1"/>
                <w:sz w:val="24"/>
                <w:szCs w:val="24"/>
              </w:rPr>
            </w:pPr>
            <w:r w:rsidRPr="00E33942">
              <w:rPr>
                <w:b/>
                <w:bCs/>
                <w:color w:val="FFFFFF" w:themeColor="background1"/>
                <w:sz w:val="24"/>
                <w:szCs w:val="24"/>
              </w:rPr>
              <w:t xml:space="preserve">Excerpt of </w:t>
            </w:r>
            <w:r w:rsidR="00937A89">
              <w:rPr>
                <w:b/>
                <w:bCs/>
                <w:color w:val="FFFFFF" w:themeColor="background1"/>
                <w:sz w:val="24"/>
                <w:szCs w:val="24"/>
              </w:rPr>
              <w:t xml:space="preserve">regulations </w:t>
            </w:r>
          </w:p>
          <w:p w14:paraId="2A33B9A4" w14:textId="52A46360" w:rsidR="00B97DDB" w:rsidRPr="00B97DDB" w:rsidRDefault="00592B93" w:rsidP="00B97DDB">
            <w:pPr>
              <w:rPr>
                <w:b/>
                <w:color w:val="FFFFFF" w:themeColor="background1"/>
                <w:sz w:val="24"/>
                <w:szCs w:val="24"/>
              </w:rPr>
            </w:pPr>
            <w:r>
              <w:rPr>
                <w:b/>
                <w:bCs/>
                <w:color w:val="FFFFFF" w:themeColor="background1"/>
                <w:sz w:val="24"/>
                <w:szCs w:val="24"/>
              </w:rPr>
              <w:t>(</w:t>
            </w:r>
            <w:proofErr w:type="gramStart"/>
            <w:r w:rsidR="00937A89">
              <w:rPr>
                <w:b/>
                <w:bCs/>
                <w:color w:val="FFFFFF" w:themeColor="background1"/>
                <w:sz w:val="24"/>
                <w:szCs w:val="24"/>
              </w:rPr>
              <w:t>showing</w:t>
            </w:r>
            <w:proofErr w:type="gramEnd"/>
            <w:r w:rsidR="00937A89">
              <w:rPr>
                <w:b/>
                <w:bCs/>
                <w:color w:val="FFFFFF" w:themeColor="background1"/>
                <w:sz w:val="24"/>
                <w:szCs w:val="24"/>
              </w:rPr>
              <w:t xml:space="preserve"> changes from current to proposed text)</w:t>
            </w:r>
          </w:p>
        </w:tc>
        <w:tc>
          <w:tcPr>
            <w:tcW w:w="3467" w:type="dxa"/>
            <w:shd w:val="clear" w:color="auto" w:fill="E36C0A" w:themeFill="accent6" w:themeFillShade="BF"/>
          </w:tcPr>
          <w:p w14:paraId="1D658772" w14:textId="2F37B7CF" w:rsidR="00B97DDB" w:rsidRPr="00E33942" w:rsidRDefault="51DE65F2" w:rsidP="00B97DDB">
            <w:pPr>
              <w:rPr>
                <w:b/>
                <w:color w:val="FFFFFF" w:themeColor="background1"/>
                <w:sz w:val="24"/>
                <w:szCs w:val="24"/>
              </w:rPr>
            </w:pPr>
            <w:r w:rsidRPr="3CDF1CFD">
              <w:rPr>
                <w:b/>
                <w:bCs/>
                <w:color w:val="FFFFFF" w:themeColor="background1"/>
                <w:sz w:val="24"/>
                <w:szCs w:val="24"/>
              </w:rPr>
              <w:t>Change proposed and rationale</w:t>
            </w:r>
          </w:p>
        </w:tc>
        <w:tc>
          <w:tcPr>
            <w:tcW w:w="5528" w:type="dxa"/>
            <w:shd w:val="clear" w:color="auto" w:fill="E36C0A" w:themeFill="accent6" w:themeFillShade="BF"/>
          </w:tcPr>
          <w:p w14:paraId="5B09E319" w14:textId="195072C9" w:rsidR="00B97DDB" w:rsidRPr="00E33942" w:rsidRDefault="00B97DDB" w:rsidP="00B97DDB">
            <w:pPr>
              <w:rPr>
                <w:b/>
                <w:color w:val="FFFFFF" w:themeColor="background1"/>
                <w:sz w:val="24"/>
                <w:szCs w:val="24"/>
              </w:rPr>
            </w:pPr>
            <w:r w:rsidRPr="00E33942">
              <w:rPr>
                <w:b/>
                <w:color w:val="FFFFFF" w:themeColor="background1"/>
                <w:sz w:val="24"/>
                <w:szCs w:val="24"/>
              </w:rPr>
              <w:t xml:space="preserve">Stakeholder </w:t>
            </w:r>
            <w:r w:rsidRPr="00E33942">
              <w:rPr>
                <w:b/>
                <w:bCs/>
                <w:color w:val="FFFFFF" w:themeColor="background1"/>
                <w:sz w:val="24"/>
                <w:szCs w:val="24"/>
              </w:rPr>
              <w:t>comment</w:t>
            </w:r>
          </w:p>
        </w:tc>
      </w:tr>
      <w:tr w:rsidR="00B97DDB" w:rsidRPr="00E865BA" w14:paraId="5592EA5E" w14:textId="77777777" w:rsidTr="0004476B">
        <w:trPr>
          <w:trHeight w:val="2700"/>
        </w:trPr>
        <w:tc>
          <w:tcPr>
            <w:tcW w:w="1135" w:type="dxa"/>
            <w:hideMark/>
          </w:tcPr>
          <w:p w14:paraId="0EED36B3" w14:textId="77777777" w:rsidR="00B97DDB" w:rsidRDefault="00B97DDB">
            <w:pPr>
              <w:rPr>
                <w:rFonts w:cstheme="minorHAnsi"/>
                <w:sz w:val="20"/>
              </w:rPr>
            </w:pPr>
            <w:r w:rsidRPr="00E865BA">
              <w:rPr>
                <w:rFonts w:cstheme="minorHAnsi"/>
                <w:sz w:val="20"/>
              </w:rPr>
              <w:t>1(a)</w:t>
            </w:r>
          </w:p>
          <w:p w14:paraId="3D581837" w14:textId="77777777" w:rsidR="00B97DDB" w:rsidRPr="00E865BA" w:rsidRDefault="00B97DDB">
            <w:pPr>
              <w:rPr>
                <w:rFonts w:cstheme="minorHAnsi"/>
                <w:sz w:val="20"/>
              </w:rPr>
            </w:pPr>
          </w:p>
        </w:tc>
        <w:tc>
          <w:tcPr>
            <w:tcW w:w="5605" w:type="dxa"/>
            <w:hideMark/>
          </w:tcPr>
          <w:p w14:paraId="32E8CA11" w14:textId="77777777" w:rsidR="00AC7EC0" w:rsidRPr="002B6D4C" w:rsidRDefault="00B97DDB" w:rsidP="00AC7EC0">
            <w:pPr>
              <w:rPr>
                <w:rFonts w:cs="Arial"/>
                <w:color w:val="FF0000"/>
                <w:sz w:val="20"/>
              </w:rPr>
            </w:pPr>
            <w:r w:rsidRPr="002B6D4C">
              <w:rPr>
                <w:rFonts w:cs="Arial"/>
                <w:b/>
                <w:sz w:val="20"/>
              </w:rPr>
              <w:t>Objectives</w:t>
            </w:r>
          </w:p>
          <w:p w14:paraId="54FF92E3" w14:textId="77777777" w:rsidR="00C15ADC" w:rsidRPr="002B6D4C" w:rsidRDefault="00B97DDB" w:rsidP="00C15ADC">
            <w:pPr>
              <w:rPr>
                <w:rFonts w:cs="Arial"/>
                <w:color w:val="FF0000"/>
                <w:sz w:val="20"/>
              </w:rPr>
            </w:pPr>
            <w:r w:rsidRPr="002B6D4C">
              <w:rPr>
                <w:rFonts w:cs="Arial"/>
                <w:sz w:val="20"/>
              </w:rPr>
              <w:t>The objectives of these Regulations are—</w:t>
            </w:r>
          </w:p>
          <w:p w14:paraId="5525A665" w14:textId="318DFCAB" w:rsidR="00C15ADC" w:rsidRPr="009F514F" w:rsidRDefault="00B97DDB" w:rsidP="00FC2734">
            <w:pPr>
              <w:pStyle w:val="ListParagraph"/>
              <w:numPr>
                <w:ilvl w:val="1"/>
                <w:numId w:val="12"/>
              </w:numPr>
              <w:rPr>
                <w:rFonts w:ascii="Arial" w:hAnsi="Arial" w:cs="Arial"/>
                <w:color w:val="FF0000"/>
              </w:rPr>
            </w:pPr>
            <w:r w:rsidRPr="009F514F">
              <w:rPr>
                <w:rFonts w:ascii="Arial" w:hAnsi="Arial" w:cs="Arial"/>
              </w:rPr>
              <w:t>to provide for the safety and quality of care of patients receiving health services in or from health service establishments by prescribing—</w:t>
            </w:r>
          </w:p>
          <w:p w14:paraId="120DBC03" w14:textId="6109969B" w:rsidR="00C15ADC" w:rsidRPr="009F514F" w:rsidRDefault="00B97DDB" w:rsidP="00FC2734">
            <w:pPr>
              <w:pStyle w:val="ListParagraph"/>
              <w:numPr>
                <w:ilvl w:val="2"/>
                <w:numId w:val="12"/>
              </w:numPr>
              <w:rPr>
                <w:rFonts w:ascii="Arial" w:hAnsi="Arial" w:cs="Arial"/>
                <w:color w:val="FF0000"/>
              </w:rPr>
            </w:pPr>
            <w:r w:rsidRPr="009F514F">
              <w:rPr>
                <w:rFonts w:ascii="Arial" w:hAnsi="Arial" w:cs="Arial"/>
              </w:rPr>
              <w:t>requirements for staffing; and</w:t>
            </w:r>
          </w:p>
          <w:p w14:paraId="60924C7B" w14:textId="054457D5" w:rsidR="00C15ADC" w:rsidRPr="009F514F" w:rsidRDefault="00B97DDB" w:rsidP="00FC2734">
            <w:pPr>
              <w:pStyle w:val="ListParagraph"/>
              <w:numPr>
                <w:ilvl w:val="2"/>
                <w:numId w:val="12"/>
              </w:numPr>
              <w:rPr>
                <w:rFonts w:ascii="Arial" w:hAnsi="Arial" w:cs="Arial"/>
                <w:color w:val="FF0000"/>
              </w:rPr>
            </w:pPr>
            <w:r w:rsidRPr="009F514F">
              <w:rPr>
                <w:rFonts w:ascii="Arial" w:hAnsi="Arial" w:cs="Arial"/>
              </w:rPr>
              <w:t>procedures for the handling of complaints; and</w:t>
            </w:r>
          </w:p>
          <w:p w14:paraId="18365EB2" w14:textId="7D8155AA" w:rsidR="006C01C5" w:rsidRPr="009F514F" w:rsidRDefault="00B97DDB" w:rsidP="00FC2734">
            <w:pPr>
              <w:pStyle w:val="ListParagraph"/>
              <w:numPr>
                <w:ilvl w:val="2"/>
                <w:numId w:val="12"/>
              </w:numPr>
              <w:rPr>
                <w:rFonts w:ascii="Arial" w:hAnsi="Arial" w:cs="Arial"/>
                <w:color w:val="FF0000"/>
              </w:rPr>
            </w:pPr>
            <w:r w:rsidRPr="009F514F">
              <w:rPr>
                <w:rFonts w:ascii="Arial" w:hAnsi="Arial" w:cs="Arial"/>
              </w:rPr>
              <w:t>records to be kept; and</w:t>
            </w:r>
          </w:p>
          <w:p w14:paraId="444F4F23" w14:textId="479EA7A2" w:rsidR="00C15ADC" w:rsidRPr="00446272" w:rsidRDefault="00B97DDB" w:rsidP="00FC2734">
            <w:pPr>
              <w:pStyle w:val="ListParagraph"/>
              <w:numPr>
                <w:ilvl w:val="2"/>
                <w:numId w:val="12"/>
              </w:numPr>
              <w:rPr>
                <w:rFonts w:ascii="Arial" w:hAnsi="Arial" w:cs="Arial"/>
                <w:color w:val="FF0000"/>
              </w:rPr>
            </w:pPr>
            <w:r w:rsidRPr="00446272">
              <w:rPr>
                <w:rFonts w:ascii="Arial" w:hAnsi="Arial" w:cs="Arial"/>
                <w:color w:val="FF0000"/>
              </w:rPr>
              <w:t>reporting requirements; and</w:t>
            </w:r>
          </w:p>
          <w:p w14:paraId="77A5CFBE" w14:textId="1806FB65" w:rsidR="00B97DDB" w:rsidRPr="009F514F" w:rsidRDefault="00B97DDB" w:rsidP="00FC2734">
            <w:pPr>
              <w:pStyle w:val="ListParagraph"/>
              <w:numPr>
                <w:ilvl w:val="2"/>
                <w:numId w:val="12"/>
              </w:numPr>
              <w:rPr>
                <w:rFonts w:ascii="Arial" w:hAnsi="Arial" w:cs="Arial"/>
                <w:color w:val="FF0000"/>
                <w:lang w:val="en-AU"/>
              </w:rPr>
            </w:pPr>
            <w:r w:rsidRPr="009F514F">
              <w:rPr>
                <w:rFonts w:ascii="Arial" w:hAnsi="Arial" w:cs="Arial"/>
                <w:lang w:val="en-AU"/>
              </w:rPr>
              <w:t>other requirements to ensure the welfare of patients; and</w:t>
            </w:r>
          </w:p>
        </w:tc>
        <w:tc>
          <w:tcPr>
            <w:tcW w:w="3467" w:type="dxa"/>
          </w:tcPr>
          <w:p w14:paraId="2F1F9D17" w14:textId="03AAB433" w:rsidR="00B97DDB" w:rsidRPr="00E865BA" w:rsidRDefault="006C7AA3">
            <w:pPr>
              <w:rPr>
                <w:rFonts w:cstheme="minorHAnsi"/>
                <w:sz w:val="20"/>
              </w:rPr>
            </w:pPr>
            <w:r w:rsidRPr="00102832">
              <w:rPr>
                <w:rFonts w:cstheme="minorHAnsi"/>
                <w:sz w:val="20"/>
              </w:rPr>
              <w:t xml:space="preserve">Adds reporting requirements into the objectives of the Regulations. This reflects the range of reporting requirements in the Regulations (including those being added and amended in this reform process), which allow oversight of risk and safety performance at the facility and system level, including to support continuous improvement. </w:t>
            </w:r>
          </w:p>
        </w:tc>
        <w:tc>
          <w:tcPr>
            <w:tcW w:w="5528" w:type="dxa"/>
            <w:hideMark/>
          </w:tcPr>
          <w:p w14:paraId="6ADA58F0" w14:textId="77777777" w:rsidR="00B97DDB" w:rsidRPr="00E865BA" w:rsidRDefault="00B97DDB">
            <w:pPr>
              <w:rPr>
                <w:rFonts w:cstheme="minorHAnsi"/>
                <w:sz w:val="20"/>
              </w:rPr>
            </w:pPr>
          </w:p>
        </w:tc>
      </w:tr>
      <w:tr w:rsidR="00B97DDB" w:rsidRPr="00E865BA" w14:paraId="278514C9" w14:textId="77777777" w:rsidTr="0004476B">
        <w:trPr>
          <w:trHeight w:val="1500"/>
        </w:trPr>
        <w:tc>
          <w:tcPr>
            <w:tcW w:w="1135" w:type="dxa"/>
            <w:hideMark/>
          </w:tcPr>
          <w:p w14:paraId="003609AB" w14:textId="77777777" w:rsidR="00B97DDB" w:rsidRDefault="00B97DDB">
            <w:pPr>
              <w:rPr>
                <w:rFonts w:cstheme="minorHAnsi"/>
                <w:sz w:val="20"/>
              </w:rPr>
            </w:pPr>
            <w:r w:rsidRPr="00E865BA">
              <w:rPr>
                <w:rFonts w:cstheme="minorHAnsi"/>
                <w:sz w:val="20"/>
              </w:rPr>
              <w:t>3</w:t>
            </w:r>
          </w:p>
          <w:p w14:paraId="341D9FB7" w14:textId="77777777" w:rsidR="00B97DDB" w:rsidRPr="00E865BA" w:rsidRDefault="00B97DDB">
            <w:pPr>
              <w:rPr>
                <w:rFonts w:cstheme="minorHAnsi"/>
                <w:sz w:val="20"/>
              </w:rPr>
            </w:pPr>
          </w:p>
        </w:tc>
        <w:tc>
          <w:tcPr>
            <w:tcW w:w="5605" w:type="dxa"/>
            <w:hideMark/>
          </w:tcPr>
          <w:p w14:paraId="22CDFDC3" w14:textId="77777777" w:rsidR="007604D5" w:rsidRDefault="00B97DDB">
            <w:pPr>
              <w:rPr>
                <w:sz w:val="20"/>
              </w:rPr>
            </w:pPr>
            <w:r w:rsidRPr="6A1155C9">
              <w:rPr>
                <w:b/>
                <w:sz w:val="20"/>
              </w:rPr>
              <w:t>Commencement</w:t>
            </w:r>
          </w:p>
          <w:p w14:paraId="6F850AF8" w14:textId="2DBC1067" w:rsidR="00B97DDB" w:rsidRPr="007604D5" w:rsidRDefault="00B97DDB">
            <w:pPr>
              <w:rPr>
                <w:b/>
                <w:sz w:val="20"/>
              </w:rPr>
            </w:pPr>
            <w:r w:rsidRPr="6A5CEB65">
              <w:rPr>
                <w:strike/>
                <w:sz w:val="20"/>
              </w:rPr>
              <w:t>These Regulations come into operation on 8 September 2013.</w:t>
            </w:r>
          </w:p>
          <w:p w14:paraId="5E02AC00" w14:textId="538CDA1C" w:rsidR="00B97DDB" w:rsidRPr="00E865BA" w:rsidRDefault="00B97DDB">
            <w:pPr>
              <w:rPr>
                <w:rFonts w:cstheme="minorHAnsi"/>
                <w:sz w:val="20"/>
              </w:rPr>
            </w:pPr>
            <w:r w:rsidRPr="00E865BA">
              <w:rPr>
                <w:rFonts w:cstheme="minorHAnsi"/>
                <w:color w:val="FF0000"/>
                <w:sz w:val="20"/>
              </w:rPr>
              <w:t>These Regulations come into operation on</w:t>
            </w:r>
            <w:r>
              <w:rPr>
                <w:rFonts w:cstheme="minorHAnsi"/>
                <w:color w:val="FF0000"/>
                <w:sz w:val="20"/>
              </w:rPr>
              <w:t xml:space="preserve"> </w:t>
            </w:r>
            <w:r w:rsidRPr="00E865BA">
              <w:rPr>
                <w:rFonts w:cstheme="minorHAnsi"/>
                <w:color w:val="FF0000"/>
                <w:sz w:val="20"/>
              </w:rPr>
              <w:t>31 August 2024.</w:t>
            </w:r>
          </w:p>
        </w:tc>
        <w:tc>
          <w:tcPr>
            <w:tcW w:w="3467" w:type="dxa"/>
          </w:tcPr>
          <w:p w14:paraId="71FF45C3" w14:textId="77777777" w:rsidR="00E71350" w:rsidRDefault="004F63EC" w:rsidP="004B3C60">
            <w:pPr>
              <w:rPr>
                <w:rFonts w:cs="Arial"/>
                <w:sz w:val="20"/>
              </w:rPr>
            </w:pPr>
            <w:bookmarkStart w:id="8" w:name="RANGE!G4"/>
            <w:r w:rsidRPr="00102832">
              <w:rPr>
                <w:sz w:val="20"/>
              </w:rPr>
              <w:t xml:space="preserve">Specifies when the Regulations come into effect. 31 August 2024 is the commencement date to ensure there is no gap when the current Regulations expire on 1 September 2024. It is expected some provisions will come into effect </w:t>
            </w:r>
            <w:proofErr w:type="spellStart"/>
            <w:r w:rsidRPr="00102832">
              <w:rPr>
                <w:sz w:val="20"/>
              </w:rPr>
              <w:t>some time</w:t>
            </w:r>
            <w:proofErr w:type="spellEnd"/>
            <w:r w:rsidRPr="00102832">
              <w:rPr>
                <w:sz w:val="20"/>
              </w:rPr>
              <w:t xml:space="preserve"> after to allow stakeholders and the Department time to prepare for implementation</w:t>
            </w:r>
            <w:bookmarkEnd w:id="8"/>
            <w:r w:rsidRPr="00102832">
              <w:rPr>
                <w:sz w:val="20"/>
              </w:rPr>
              <w:t xml:space="preserve">. Feedback is sought </w:t>
            </w:r>
            <w:r w:rsidRPr="00102832">
              <w:rPr>
                <w:sz w:val="20"/>
              </w:rPr>
              <w:lastRenderedPageBreak/>
              <w:t xml:space="preserve">on timeframes required for such preparation. </w:t>
            </w:r>
          </w:p>
          <w:p w14:paraId="7702C9AB" w14:textId="068E086F" w:rsidR="00B97DDB" w:rsidRPr="00E865BA" w:rsidRDefault="00E71350">
            <w:pPr>
              <w:rPr>
                <w:rFonts w:cstheme="minorHAnsi"/>
                <w:sz w:val="20"/>
              </w:rPr>
            </w:pPr>
            <w:r w:rsidRPr="00E71350">
              <w:rPr>
                <w:rStyle w:val="normaltextrun"/>
                <w:rFonts w:cs="Arial"/>
                <w:color w:val="000000"/>
                <w:sz w:val="20"/>
                <w:shd w:val="clear" w:color="auto" w:fill="FFFFFF"/>
              </w:rPr>
              <w:t>For the purposes of consultation, as indicative timeframes the draft Regulations allow 6 months lead time for implementation of updated requirements for contents of clinical governance protocols and 12 months for implementation of new mechani</w:t>
            </w:r>
            <w:r>
              <w:rPr>
                <w:rStyle w:val="normaltextrun"/>
                <w:rFonts w:cs="Arial"/>
                <w:color w:val="000000"/>
                <w:sz w:val="20"/>
                <w:shd w:val="clear" w:color="auto" w:fill="FFFFFF"/>
              </w:rPr>
              <w:t>s</w:t>
            </w:r>
            <w:r w:rsidRPr="0019542A">
              <w:rPr>
                <w:rStyle w:val="normaltextrun"/>
                <w:rFonts w:cs="Arial"/>
                <w:color w:val="000000"/>
                <w:sz w:val="20"/>
                <w:shd w:val="clear" w:color="auto" w:fill="FFFFFF"/>
              </w:rPr>
              <w:t>ms for review of those protocols by the Secretary (</w:t>
            </w:r>
            <w:r w:rsidR="0019542A">
              <w:rPr>
                <w:rStyle w:val="normaltextrun"/>
                <w:rFonts w:cs="Arial"/>
                <w:color w:val="000000"/>
                <w:sz w:val="20"/>
                <w:shd w:val="clear" w:color="auto" w:fill="FFFFFF"/>
              </w:rPr>
              <w:t>s</w:t>
            </w:r>
            <w:r w:rsidRPr="0019542A">
              <w:rPr>
                <w:rStyle w:val="normaltextrun"/>
                <w:rFonts w:cs="Arial"/>
                <w:color w:val="000000"/>
                <w:sz w:val="20"/>
                <w:shd w:val="clear" w:color="auto" w:fill="FFFFFF"/>
              </w:rPr>
              <w:t>ee below)</w:t>
            </w:r>
            <w:r w:rsidR="0019542A" w:rsidRPr="002B6D4C">
              <w:rPr>
                <w:rStyle w:val="eop"/>
                <w:rFonts w:eastAsia="MS Gothic" w:cs="Arial"/>
                <w:sz w:val="20"/>
              </w:rPr>
              <w:t>.</w:t>
            </w:r>
          </w:p>
        </w:tc>
        <w:tc>
          <w:tcPr>
            <w:tcW w:w="5528" w:type="dxa"/>
            <w:hideMark/>
          </w:tcPr>
          <w:p w14:paraId="40FF91B1" w14:textId="77777777" w:rsidR="00B97DDB" w:rsidRPr="00E865BA" w:rsidRDefault="00B97DDB">
            <w:pPr>
              <w:rPr>
                <w:rFonts w:cstheme="minorHAnsi"/>
                <w:sz w:val="20"/>
              </w:rPr>
            </w:pPr>
          </w:p>
        </w:tc>
      </w:tr>
      <w:tr w:rsidR="00B97DDB" w:rsidRPr="00E865BA" w14:paraId="2E55F772" w14:textId="77777777" w:rsidTr="0004476B">
        <w:tc>
          <w:tcPr>
            <w:tcW w:w="1135" w:type="dxa"/>
            <w:hideMark/>
          </w:tcPr>
          <w:p w14:paraId="377B228F" w14:textId="77777777" w:rsidR="00B97DDB" w:rsidRDefault="00B97DDB">
            <w:pPr>
              <w:rPr>
                <w:rFonts w:cstheme="minorHAnsi"/>
                <w:sz w:val="20"/>
              </w:rPr>
            </w:pPr>
            <w:r w:rsidRPr="00E865BA">
              <w:rPr>
                <w:rFonts w:cstheme="minorHAnsi"/>
                <w:sz w:val="20"/>
              </w:rPr>
              <w:t>7</w:t>
            </w:r>
            <w:proofErr w:type="gramStart"/>
            <w:r w:rsidRPr="00E865BA">
              <w:rPr>
                <w:rFonts w:cstheme="minorHAnsi"/>
                <w:sz w:val="20"/>
              </w:rPr>
              <w:t>A(</w:t>
            </w:r>
            <w:proofErr w:type="gramEnd"/>
            <w:r w:rsidRPr="00E865BA">
              <w:rPr>
                <w:rFonts w:cstheme="minorHAnsi"/>
                <w:sz w:val="20"/>
              </w:rPr>
              <w:t>3)</w:t>
            </w:r>
          </w:p>
          <w:p w14:paraId="09E9A2FE" w14:textId="77777777" w:rsidR="00B97DDB" w:rsidRPr="00E865BA" w:rsidRDefault="00B97DDB">
            <w:pPr>
              <w:rPr>
                <w:rFonts w:cstheme="minorHAnsi"/>
                <w:sz w:val="20"/>
              </w:rPr>
            </w:pPr>
            <w:r w:rsidRPr="00BC6432">
              <w:rPr>
                <w:rFonts w:cstheme="minorHAnsi"/>
                <w:color w:val="FF0000"/>
                <w:sz w:val="20"/>
              </w:rPr>
              <w:t>8(3)</w:t>
            </w:r>
          </w:p>
        </w:tc>
        <w:tc>
          <w:tcPr>
            <w:tcW w:w="5605" w:type="dxa"/>
            <w:hideMark/>
          </w:tcPr>
          <w:p w14:paraId="4115765C" w14:textId="77777777" w:rsidR="0046616F" w:rsidRPr="002B6D4C" w:rsidRDefault="00B97DDB" w:rsidP="0046616F">
            <w:pPr>
              <w:rPr>
                <w:rFonts w:cs="Arial"/>
                <w:sz w:val="20"/>
              </w:rPr>
            </w:pPr>
            <w:r w:rsidRPr="002B6D4C">
              <w:rPr>
                <w:rFonts w:cs="Arial"/>
                <w:b/>
                <w:sz w:val="20"/>
              </w:rPr>
              <w:t>Health service establishment protocols for quality and safety</w:t>
            </w:r>
          </w:p>
          <w:p w14:paraId="2315B8FB" w14:textId="77777777" w:rsidR="0046616F" w:rsidRPr="009F514F" w:rsidRDefault="00B97DDB" w:rsidP="00FC2734">
            <w:pPr>
              <w:pStyle w:val="ListParagraph"/>
              <w:numPr>
                <w:ilvl w:val="0"/>
                <w:numId w:val="13"/>
              </w:numPr>
              <w:rPr>
                <w:rFonts w:ascii="Arial" w:hAnsi="Arial" w:cs="Arial"/>
              </w:rPr>
            </w:pPr>
            <w:r w:rsidRPr="009F514F">
              <w:rPr>
                <w:rFonts w:ascii="Arial" w:hAnsi="Arial" w:cs="Arial"/>
              </w:rPr>
              <w:t>The health service establishment protocols must include the following—</w:t>
            </w:r>
          </w:p>
          <w:p w14:paraId="3A5CD050" w14:textId="77777777" w:rsidR="0046616F" w:rsidRPr="009F514F" w:rsidRDefault="00B97DDB" w:rsidP="00FC2734">
            <w:pPr>
              <w:pStyle w:val="ListParagraph"/>
              <w:numPr>
                <w:ilvl w:val="1"/>
                <w:numId w:val="13"/>
              </w:numPr>
              <w:rPr>
                <w:rFonts w:ascii="Arial" w:hAnsi="Arial" w:cs="Arial"/>
              </w:rPr>
            </w:pPr>
            <w:r w:rsidRPr="009F514F">
              <w:rPr>
                <w:rFonts w:ascii="Arial" w:hAnsi="Arial" w:cs="Arial"/>
              </w:rPr>
              <w:t xml:space="preserve">processes for assessing every 3 years the credentials of each health professional practising at the health service </w:t>
            </w:r>
            <w:proofErr w:type="gramStart"/>
            <w:r w:rsidRPr="009F514F">
              <w:rPr>
                <w:rFonts w:ascii="Arial" w:hAnsi="Arial" w:cs="Arial"/>
              </w:rPr>
              <w:t>establishment;</w:t>
            </w:r>
            <w:proofErr w:type="gramEnd"/>
            <w:r w:rsidRPr="009F514F">
              <w:rPr>
                <w:rFonts w:ascii="Arial" w:hAnsi="Arial" w:cs="Arial"/>
              </w:rPr>
              <w:t xml:space="preserve">  </w:t>
            </w:r>
          </w:p>
          <w:p w14:paraId="7704DA6D" w14:textId="77777777" w:rsidR="0046616F" w:rsidRPr="009F514F" w:rsidRDefault="00B97DDB" w:rsidP="00FC2734">
            <w:pPr>
              <w:pStyle w:val="ListParagraph"/>
              <w:numPr>
                <w:ilvl w:val="1"/>
                <w:numId w:val="13"/>
              </w:numPr>
              <w:rPr>
                <w:rFonts w:ascii="Arial" w:hAnsi="Arial" w:cs="Arial"/>
              </w:rPr>
            </w:pPr>
            <w:r w:rsidRPr="009F514F">
              <w:rPr>
                <w:rFonts w:ascii="Arial" w:hAnsi="Arial" w:cs="Arial"/>
              </w:rPr>
              <w:t xml:space="preserve">processes for setting the scope of practice for each health professional practising at the health service </w:t>
            </w:r>
            <w:proofErr w:type="gramStart"/>
            <w:r w:rsidRPr="009F514F">
              <w:rPr>
                <w:rFonts w:ascii="Arial" w:hAnsi="Arial" w:cs="Arial"/>
              </w:rPr>
              <w:t>establishment;</w:t>
            </w:r>
            <w:proofErr w:type="gramEnd"/>
          </w:p>
          <w:p w14:paraId="7725B8C8" w14:textId="77777777" w:rsidR="0046616F" w:rsidRPr="009F514F" w:rsidRDefault="00B97DDB" w:rsidP="00FC2734">
            <w:pPr>
              <w:pStyle w:val="ListParagraph"/>
              <w:numPr>
                <w:ilvl w:val="1"/>
                <w:numId w:val="13"/>
              </w:numPr>
              <w:rPr>
                <w:rFonts w:ascii="Arial" w:hAnsi="Arial" w:cs="Arial"/>
              </w:rPr>
            </w:pPr>
            <w:r w:rsidRPr="009F514F">
              <w:rPr>
                <w:rFonts w:ascii="Arial" w:hAnsi="Arial" w:cs="Arial"/>
              </w:rPr>
              <w:t xml:space="preserve">processes for continually assessing the competence and performance of each health professional practising at the health service </w:t>
            </w:r>
            <w:proofErr w:type="gramStart"/>
            <w:r w:rsidRPr="009F514F">
              <w:rPr>
                <w:rFonts w:ascii="Arial" w:hAnsi="Arial" w:cs="Arial"/>
              </w:rPr>
              <w:t>establishment;</w:t>
            </w:r>
            <w:proofErr w:type="gramEnd"/>
            <w:r w:rsidRPr="009F514F">
              <w:rPr>
                <w:rFonts w:ascii="Arial" w:hAnsi="Arial" w:cs="Arial"/>
              </w:rPr>
              <w:t xml:space="preserve"> </w:t>
            </w:r>
          </w:p>
          <w:p w14:paraId="37A9C2C1" w14:textId="77777777" w:rsidR="0046616F" w:rsidRPr="009F514F" w:rsidRDefault="00B97DDB" w:rsidP="00FC2734">
            <w:pPr>
              <w:pStyle w:val="ListParagraph"/>
              <w:numPr>
                <w:ilvl w:val="1"/>
                <w:numId w:val="13"/>
              </w:numPr>
              <w:rPr>
                <w:rFonts w:ascii="Arial" w:hAnsi="Arial" w:cs="Arial"/>
              </w:rPr>
            </w:pPr>
            <w:r w:rsidRPr="009F514F">
              <w:rPr>
                <w:rFonts w:ascii="Arial" w:hAnsi="Arial" w:cs="Arial"/>
              </w:rPr>
              <w:lastRenderedPageBreak/>
              <w:t xml:space="preserve">processes for continually assessing and reviewing health services provided by each health professional at the health service </w:t>
            </w:r>
            <w:proofErr w:type="gramStart"/>
            <w:r w:rsidRPr="009F514F">
              <w:rPr>
                <w:rFonts w:ascii="Arial" w:hAnsi="Arial" w:cs="Arial"/>
              </w:rPr>
              <w:t>establishment;</w:t>
            </w:r>
            <w:proofErr w:type="gramEnd"/>
          </w:p>
          <w:p w14:paraId="3C06A599" w14:textId="77777777" w:rsidR="0046616F" w:rsidRPr="009F514F" w:rsidRDefault="00B97DDB" w:rsidP="00FC2734">
            <w:pPr>
              <w:pStyle w:val="ListParagraph"/>
              <w:numPr>
                <w:ilvl w:val="1"/>
                <w:numId w:val="13"/>
              </w:numPr>
              <w:rPr>
                <w:rFonts w:ascii="Arial" w:hAnsi="Arial" w:cs="Arial"/>
              </w:rPr>
            </w:pPr>
            <w:r w:rsidRPr="009F514F">
              <w:rPr>
                <w:rFonts w:ascii="Arial" w:hAnsi="Arial" w:cs="Arial"/>
              </w:rPr>
              <w:t xml:space="preserve">processes for continually assessing the capacity of the health service establishment to provide safe, patient centred and appropriate health services to patients at each of its </w:t>
            </w:r>
            <w:proofErr w:type="gramStart"/>
            <w:r w:rsidRPr="009F514F">
              <w:rPr>
                <w:rFonts w:ascii="Arial" w:hAnsi="Arial" w:cs="Arial"/>
              </w:rPr>
              <w:t>premises;</w:t>
            </w:r>
            <w:proofErr w:type="gramEnd"/>
          </w:p>
          <w:p w14:paraId="63F3D725" w14:textId="77777777" w:rsidR="0094752B" w:rsidRDefault="00B97DDB" w:rsidP="00FC2734">
            <w:pPr>
              <w:pStyle w:val="ListParagraph"/>
              <w:numPr>
                <w:ilvl w:val="1"/>
                <w:numId w:val="13"/>
              </w:numPr>
              <w:rPr>
                <w:rFonts w:ascii="Arial" w:hAnsi="Arial" w:cs="Arial"/>
              </w:rPr>
            </w:pPr>
            <w:r w:rsidRPr="009F514F">
              <w:rPr>
                <w:rFonts w:ascii="Arial" w:hAnsi="Arial" w:cs="Arial"/>
              </w:rPr>
              <w:t xml:space="preserve">setting the frequency of, and procedures for, meetings of </w:t>
            </w:r>
            <w:r w:rsidR="00B340B0" w:rsidRPr="009F514F">
              <w:rPr>
                <w:rFonts w:ascii="Arial" w:hAnsi="Arial" w:cs="Arial"/>
                <w:color w:val="FF0000"/>
              </w:rPr>
              <w:t xml:space="preserve">any </w:t>
            </w:r>
            <w:r w:rsidRPr="009F514F">
              <w:rPr>
                <w:rFonts w:ascii="Arial" w:hAnsi="Arial" w:cs="Arial"/>
              </w:rPr>
              <w:t xml:space="preserve">committees of the health service establishment with responsibility for the quality and safety of health services provided at, or from, the health service </w:t>
            </w:r>
            <w:proofErr w:type="gramStart"/>
            <w:r w:rsidRPr="009F514F">
              <w:rPr>
                <w:rFonts w:ascii="Arial" w:hAnsi="Arial" w:cs="Arial"/>
              </w:rPr>
              <w:t>establishment;</w:t>
            </w:r>
            <w:proofErr w:type="gramEnd"/>
          </w:p>
          <w:p w14:paraId="0D31F29F" w14:textId="3AD3A1D2" w:rsidR="0046616F" w:rsidRPr="009F514F" w:rsidRDefault="00B97DDB" w:rsidP="0094752B">
            <w:pPr>
              <w:pStyle w:val="ListParagraph"/>
              <w:numPr>
                <w:ilvl w:val="0"/>
                <w:numId w:val="0"/>
              </w:numPr>
              <w:ind w:left="720"/>
              <w:rPr>
                <w:rFonts w:ascii="Arial" w:hAnsi="Arial" w:cs="Arial"/>
              </w:rPr>
            </w:pPr>
            <w:r w:rsidRPr="003D01DF">
              <w:rPr>
                <w:rFonts w:ascii="Arial" w:hAnsi="Arial" w:cs="Arial"/>
                <w:b/>
                <w:sz w:val="19"/>
                <w:szCs w:val="19"/>
              </w:rPr>
              <w:t xml:space="preserve">Note </w:t>
            </w:r>
            <w:r w:rsidRPr="003D01DF">
              <w:rPr>
                <w:rFonts w:ascii="Arial" w:hAnsi="Arial" w:cs="Arial"/>
                <w:sz w:val="19"/>
                <w:szCs w:val="19"/>
              </w:rPr>
              <w:t>Relevant committees may include, but are not limited to, a medical advisory committee, a quality and safety committee and the board of the health service establishment</w:t>
            </w:r>
            <w:r w:rsidRPr="009F514F">
              <w:rPr>
                <w:rFonts w:ascii="Arial" w:hAnsi="Arial" w:cs="Arial"/>
              </w:rPr>
              <w:t>.</w:t>
            </w:r>
          </w:p>
          <w:p w14:paraId="630B850E" w14:textId="77777777" w:rsidR="0046616F" w:rsidRPr="009F514F" w:rsidRDefault="00B97DDB" w:rsidP="00FC2734">
            <w:pPr>
              <w:pStyle w:val="ListParagraph"/>
              <w:numPr>
                <w:ilvl w:val="1"/>
                <w:numId w:val="13"/>
              </w:numPr>
              <w:rPr>
                <w:rFonts w:ascii="Arial" w:hAnsi="Arial" w:cs="Arial"/>
              </w:rPr>
            </w:pPr>
            <w:r w:rsidRPr="009F514F">
              <w:rPr>
                <w:rFonts w:ascii="Arial" w:hAnsi="Arial" w:cs="Arial"/>
              </w:rPr>
              <w:t xml:space="preserve">processes for ensuring that appropriate arrangements have been made for evaluating, monitoring and improving the quality and safety of health services provided at each premises of the health service </w:t>
            </w:r>
            <w:proofErr w:type="gramStart"/>
            <w:r w:rsidRPr="009F514F">
              <w:rPr>
                <w:rFonts w:ascii="Arial" w:hAnsi="Arial" w:cs="Arial"/>
              </w:rPr>
              <w:t>establishment;</w:t>
            </w:r>
            <w:proofErr w:type="gramEnd"/>
          </w:p>
          <w:p w14:paraId="5FBB19F3" w14:textId="77777777" w:rsidR="005A73FB" w:rsidRPr="006D3CF4" w:rsidRDefault="00B97DDB" w:rsidP="00FC2734">
            <w:pPr>
              <w:pStyle w:val="ListParagraph"/>
              <w:numPr>
                <w:ilvl w:val="1"/>
                <w:numId w:val="13"/>
              </w:numPr>
              <w:rPr>
                <w:rFonts w:ascii="Arial" w:hAnsi="Arial" w:cs="Arial"/>
                <w:color w:val="FF0000"/>
              </w:rPr>
            </w:pPr>
            <w:r w:rsidRPr="006D3CF4">
              <w:rPr>
                <w:rFonts w:ascii="Arial" w:hAnsi="Arial" w:cs="Arial"/>
                <w:color w:val="FF0000"/>
              </w:rPr>
              <w:t xml:space="preserve">on and from 28 February 2025, the </w:t>
            </w:r>
            <w:r w:rsidR="00460474" w:rsidRPr="006D3CF4">
              <w:rPr>
                <w:rFonts w:ascii="Arial" w:hAnsi="Arial" w:cs="Arial"/>
                <w:color w:val="FF0000"/>
              </w:rPr>
              <w:t xml:space="preserve">description </w:t>
            </w:r>
            <w:r w:rsidRPr="006D3CF4">
              <w:rPr>
                <w:rFonts w:ascii="Arial" w:hAnsi="Arial" w:cs="Arial"/>
                <w:color w:val="FF0000"/>
              </w:rPr>
              <w:t>and allocat</w:t>
            </w:r>
            <w:r w:rsidR="007523DA" w:rsidRPr="006D3CF4">
              <w:rPr>
                <w:rFonts w:ascii="Arial" w:hAnsi="Arial" w:cs="Arial"/>
                <w:color w:val="FF0000"/>
              </w:rPr>
              <w:t>ion of</w:t>
            </w:r>
            <w:r w:rsidRPr="006D3CF4">
              <w:rPr>
                <w:rFonts w:ascii="Arial" w:hAnsi="Arial" w:cs="Arial"/>
                <w:color w:val="FF0000"/>
              </w:rPr>
              <w:t xml:space="preserve"> safety and quality roles </w:t>
            </w:r>
            <w:r w:rsidR="00EE2660" w:rsidRPr="006D3CF4">
              <w:rPr>
                <w:rFonts w:ascii="Arial" w:hAnsi="Arial" w:cs="Arial"/>
                <w:color w:val="FF0000"/>
              </w:rPr>
              <w:t xml:space="preserve">in relation to </w:t>
            </w:r>
            <w:r w:rsidRPr="006D3CF4">
              <w:rPr>
                <w:rFonts w:ascii="Arial" w:hAnsi="Arial" w:cs="Arial"/>
                <w:color w:val="FF0000"/>
              </w:rPr>
              <w:t xml:space="preserve">the health service </w:t>
            </w:r>
            <w:proofErr w:type="gramStart"/>
            <w:r w:rsidRPr="006D3CF4">
              <w:rPr>
                <w:rFonts w:ascii="Arial" w:hAnsi="Arial" w:cs="Arial"/>
                <w:color w:val="FF0000"/>
              </w:rPr>
              <w:t>establishment;</w:t>
            </w:r>
            <w:proofErr w:type="gramEnd"/>
            <w:r w:rsidRPr="006D3CF4">
              <w:rPr>
                <w:rFonts w:ascii="Arial" w:hAnsi="Arial" w:cs="Arial"/>
                <w:color w:val="FF0000"/>
              </w:rPr>
              <w:t xml:space="preserve"> </w:t>
            </w:r>
          </w:p>
          <w:p w14:paraId="64A380F1" w14:textId="77777777" w:rsidR="005A73FB" w:rsidRPr="006D3CF4" w:rsidRDefault="00B97DDB" w:rsidP="00FC2734">
            <w:pPr>
              <w:pStyle w:val="ListParagraph"/>
              <w:numPr>
                <w:ilvl w:val="1"/>
                <w:numId w:val="13"/>
              </w:numPr>
              <w:rPr>
                <w:rFonts w:ascii="Arial" w:hAnsi="Arial" w:cs="Arial"/>
                <w:color w:val="FF0000"/>
              </w:rPr>
            </w:pPr>
            <w:r w:rsidRPr="006D3CF4">
              <w:rPr>
                <w:rFonts w:ascii="Arial" w:hAnsi="Arial" w:cs="Arial"/>
                <w:color w:val="FF0000"/>
              </w:rPr>
              <w:t xml:space="preserve">on and from 28 February 2025, having regard to the kind or kinds of health services being provided at, or from, the health service establishment, </w:t>
            </w:r>
            <w:proofErr w:type="gramStart"/>
            <w:r w:rsidRPr="006D3CF4">
              <w:rPr>
                <w:rFonts w:ascii="Arial" w:hAnsi="Arial" w:cs="Arial"/>
                <w:color w:val="FF0000"/>
              </w:rPr>
              <w:t>processes</w:t>
            </w:r>
            <w:proofErr w:type="gramEnd"/>
            <w:r w:rsidRPr="006D3CF4">
              <w:rPr>
                <w:rFonts w:ascii="Arial" w:hAnsi="Arial" w:cs="Arial"/>
                <w:color w:val="FF0000"/>
              </w:rPr>
              <w:t xml:space="preserve"> and procedures for—</w:t>
            </w:r>
          </w:p>
          <w:p w14:paraId="268F4FF0" w14:textId="77777777" w:rsidR="005A73FB" w:rsidRPr="00F23487" w:rsidRDefault="00B97DDB" w:rsidP="00FC2734">
            <w:pPr>
              <w:pStyle w:val="ListParagraph"/>
              <w:numPr>
                <w:ilvl w:val="2"/>
                <w:numId w:val="13"/>
              </w:numPr>
              <w:rPr>
                <w:rFonts w:ascii="Arial" w:hAnsi="Arial" w:cs="Arial"/>
                <w:color w:val="FF0000"/>
              </w:rPr>
            </w:pPr>
            <w:r w:rsidRPr="00F23487">
              <w:rPr>
                <w:rFonts w:ascii="Arial" w:hAnsi="Arial" w:cs="Arial"/>
                <w:color w:val="FF0000"/>
              </w:rPr>
              <w:lastRenderedPageBreak/>
              <w:t xml:space="preserve">the availability of appropriate adjunct diagnostic </w:t>
            </w:r>
            <w:proofErr w:type="gramStart"/>
            <w:r w:rsidRPr="00F23487">
              <w:rPr>
                <w:rFonts w:ascii="Arial" w:hAnsi="Arial" w:cs="Arial"/>
                <w:color w:val="FF0000"/>
              </w:rPr>
              <w:t>services;</w:t>
            </w:r>
            <w:proofErr w:type="gramEnd"/>
          </w:p>
          <w:p w14:paraId="76527DF7" w14:textId="77777777" w:rsidR="002211E3" w:rsidRPr="00F23487" w:rsidRDefault="00B97DDB" w:rsidP="00FC2734">
            <w:pPr>
              <w:pStyle w:val="ListParagraph"/>
              <w:numPr>
                <w:ilvl w:val="2"/>
                <w:numId w:val="13"/>
              </w:numPr>
              <w:rPr>
                <w:rFonts w:ascii="Arial" w:hAnsi="Arial" w:cs="Arial"/>
                <w:color w:val="FF0000"/>
              </w:rPr>
            </w:pPr>
            <w:r w:rsidRPr="00F23487">
              <w:rPr>
                <w:rFonts w:ascii="Arial" w:hAnsi="Arial" w:cs="Arial"/>
                <w:color w:val="FF0000"/>
              </w:rPr>
              <w:t>review of adverse patient safety events, including participation of all relevant personnel in the review (whether employees or not</w:t>
            </w:r>
            <w:proofErr w:type="gramStart"/>
            <w:r w:rsidRPr="00F23487">
              <w:rPr>
                <w:rFonts w:ascii="Arial" w:hAnsi="Arial" w:cs="Arial"/>
                <w:color w:val="FF0000"/>
              </w:rPr>
              <w:t>);</w:t>
            </w:r>
            <w:proofErr w:type="gramEnd"/>
          </w:p>
          <w:p w14:paraId="66396C8B" w14:textId="77777777" w:rsidR="002211E3" w:rsidRPr="00F23487" w:rsidRDefault="00B97DDB" w:rsidP="00FC2734">
            <w:pPr>
              <w:pStyle w:val="ListParagraph"/>
              <w:numPr>
                <w:ilvl w:val="2"/>
                <w:numId w:val="13"/>
              </w:numPr>
              <w:rPr>
                <w:rFonts w:ascii="Arial" w:hAnsi="Arial" w:cs="Arial"/>
                <w:color w:val="FF0000"/>
              </w:rPr>
            </w:pPr>
            <w:r w:rsidRPr="00F23487">
              <w:rPr>
                <w:rFonts w:ascii="Arial" w:hAnsi="Arial" w:cs="Arial"/>
                <w:color w:val="FF0000"/>
              </w:rPr>
              <w:t xml:space="preserve">addressing the specific needs of Aboriginal </w:t>
            </w:r>
            <w:proofErr w:type="gramStart"/>
            <w:r w:rsidR="00F1576D" w:rsidRPr="00B321B9">
              <w:rPr>
                <w:rFonts w:ascii="Arial" w:hAnsi="Arial" w:cs="Arial"/>
                <w:color w:val="FF0000"/>
              </w:rPr>
              <w:t>persons</w:t>
            </w:r>
            <w:r w:rsidRPr="00F23487">
              <w:rPr>
                <w:rFonts w:ascii="Arial" w:hAnsi="Arial" w:cs="Arial"/>
                <w:color w:val="FF0000"/>
              </w:rPr>
              <w:t>;</w:t>
            </w:r>
            <w:proofErr w:type="gramEnd"/>
          </w:p>
          <w:p w14:paraId="26D354BA" w14:textId="278361B0" w:rsidR="00B97DDB" w:rsidRPr="009F514F" w:rsidRDefault="00B97DDB" w:rsidP="00FC2734">
            <w:pPr>
              <w:pStyle w:val="ListParagraph"/>
              <w:numPr>
                <w:ilvl w:val="2"/>
                <w:numId w:val="13"/>
              </w:numPr>
              <w:rPr>
                <w:rFonts w:ascii="Arial" w:hAnsi="Arial" w:cs="Arial"/>
              </w:rPr>
            </w:pPr>
            <w:r w:rsidRPr="00F23487">
              <w:rPr>
                <w:rFonts w:ascii="Arial" w:hAnsi="Arial" w:cs="Arial"/>
                <w:color w:val="FF0000"/>
                <w:lang w:val="en-AU"/>
              </w:rPr>
              <w:t xml:space="preserve">recognising and responding to deteriorations in the condition of patients.                                                              </w:t>
            </w:r>
          </w:p>
        </w:tc>
        <w:tc>
          <w:tcPr>
            <w:tcW w:w="3467" w:type="dxa"/>
          </w:tcPr>
          <w:p w14:paraId="3C22D8E2" w14:textId="77777777" w:rsidR="002679CB" w:rsidRPr="00102832" w:rsidRDefault="002679CB" w:rsidP="002679CB">
            <w:pPr>
              <w:spacing w:line="259" w:lineRule="auto"/>
              <w:rPr>
                <w:rFonts w:cstheme="minorHAnsi"/>
                <w:sz w:val="20"/>
              </w:rPr>
            </w:pPr>
            <w:r w:rsidRPr="00102832">
              <w:rPr>
                <w:rFonts w:cstheme="minorHAnsi"/>
                <w:sz w:val="20"/>
              </w:rPr>
              <w:lastRenderedPageBreak/>
              <w:t xml:space="preserve">Adds several matters into the list of things that must be addressed in a facility’s clinical governance protocols. </w:t>
            </w:r>
          </w:p>
          <w:p w14:paraId="30772084" w14:textId="142C7301" w:rsidR="00B97DDB" w:rsidRPr="00E865BA" w:rsidRDefault="002679CB">
            <w:pPr>
              <w:rPr>
                <w:rFonts w:cstheme="minorHAnsi"/>
                <w:sz w:val="20"/>
              </w:rPr>
            </w:pPr>
            <w:r w:rsidRPr="00102832">
              <w:rPr>
                <w:rFonts w:cstheme="minorHAnsi"/>
                <w:sz w:val="20"/>
              </w:rPr>
              <w:t xml:space="preserve">This ensures those additional key elements of clinical governance are included as required elements under the Regulations so that the Department can monitor and enforce compliance through the State-based registration scheme. As set out in the RIS, clinical governance is a vital foundation of safety and quality and there is </w:t>
            </w:r>
            <w:r w:rsidRPr="00102832">
              <w:rPr>
                <w:rFonts w:cstheme="minorHAnsi"/>
                <w:sz w:val="20"/>
              </w:rPr>
              <w:lastRenderedPageBreak/>
              <w:t>evidence that greater oversight by regulatory and other oversight bodies is required to drive improvements so that all facilities meet expectations.</w:t>
            </w:r>
            <w:r w:rsidRPr="002B6D4C">
              <w:rPr>
                <w:rFonts w:cs="Arial"/>
                <w:sz w:val="20"/>
              </w:rPr>
              <w:t xml:space="preserve"> </w:t>
            </w:r>
          </w:p>
        </w:tc>
        <w:tc>
          <w:tcPr>
            <w:tcW w:w="5528" w:type="dxa"/>
            <w:hideMark/>
          </w:tcPr>
          <w:p w14:paraId="65274383" w14:textId="77777777" w:rsidR="00B97DDB" w:rsidRPr="00E865BA" w:rsidRDefault="00B97DDB">
            <w:pPr>
              <w:rPr>
                <w:rFonts w:cstheme="minorHAnsi"/>
                <w:sz w:val="20"/>
              </w:rPr>
            </w:pPr>
          </w:p>
        </w:tc>
      </w:tr>
      <w:tr w:rsidR="00B97DDB" w:rsidRPr="00E865BA" w14:paraId="6A5EC14A" w14:textId="77777777" w:rsidTr="0004476B">
        <w:trPr>
          <w:trHeight w:val="3000"/>
        </w:trPr>
        <w:tc>
          <w:tcPr>
            <w:tcW w:w="1135" w:type="dxa"/>
            <w:hideMark/>
          </w:tcPr>
          <w:p w14:paraId="330297BF" w14:textId="77777777" w:rsidR="00B97DDB" w:rsidRPr="00A57A9E" w:rsidRDefault="00B97DDB">
            <w:pPr>
              <w:rPr>
                <w:rFonts w:cstheme="minorHAnsi"/>
                <w:color w:val="FF0000"/>
                <w:sz w:val="20"/>
              </w:rPr>
            </w:pPr>
            <w:r w:rsidRPr="00A57A9E">
              <w:rPr>
                <w:rFonts w:cstheme="minorHAnsi"/>
                <w:color w:val="FF0000"/>
                <w:sz w:val="20"/>
              </w:rPr>
              <w:lastRenderedPageBreak/>
              <w:t>NEW</w:t>
            </w:r>
          </w:p>
          <w:p w14:paraId="0584513C" w14:textId="77777777" w:rsidR="00B97DDB" w:rsidRPr="00E865BA" w:rsidRDefault="00B97DDB">
            <w:pPr>
              <w:rPr>
                <w:rFonts w:cstheme="minorHAnsi"/>
                <w:sz w:val="20"/>
              </w:rPr>
            </w:pPr>
            <w:r w:rsidRPr="00C67C87">
              <w:rPr>
                <w:rFonts w:cstheme="minorHAnsi"/>
                <w:color w:val="FF0000"/>
                <w:sz w:val="20"/>
              </w:rPr>
              <w:t>9</w:t>
            </w:r>
          </w:p>
        </w:tc>
        <w:tc>
          <w:tcPr>
            <w:tcW w:w="5605" w:type="dxa"/>
            <w:hideMark/>
          </w:tcPr>
          <w:p w14:paraId="472746CE" w14:textId="77777777" w:rsidR="00A56928" w:rsidRPr="002B6D4C" w:rsidRDefault="00B97DDB" w:rsidP="00076AC3">
            <w:pPr>
              <w:rPr>
                <w:rFonts w:cs="Arial"/>
                <w:color w:val="FF0000"/>
                <w:sz w:val="20"/>
              </w:rPr>
            </w:pPr>
            <w:r w:rsidRPr="002B6D4C">
              <w:rPr>
                <w:rFonts w:cs="Arial"/>
                <w:b/>
                <w:color w:val="FF0000"/>
                <w:sz w:val="20"/>
              </w:rPr>
              <w:t>Determination of quality and safety guidelines</w:t>
            </w:r>
            <w:r w:rsidRPr="002B6D4C" w:rsidDel="0003113E">
              <w:rPr>
                <w:rFonts w:cs="Arial"/>
                <w:b/>
                <w:color w:val="FF0000"/>
                <w:sz w:val="20"/>
              </w:rPr>
              <w:t xml:space="preserve"> </w:t>
            </w:r>
          </w:p>
          <w:p w14:paraId="723BF95C" w14:textId="77777777" w:rsidR="00076AC3" w:rsidRPr="001C22C1" w:rsidRDefault="00B97DDB" w:rsidP="00FC2734">
            <w:pPr>
              <w:pStyle w:val="ListParagraph"/>
              <w:numPr>
                <w:ilvl w:val="0"/>
                <w:numId w:val="14"/>
              </w:numPr>
              <w:rPr>
                <w:rFonts w:ascii="Arial" w:hAnsi="Arial" w:cs="Arial"/>
                <w:color w:val="FF0000"/>
              </w:rPr>
            </w:pPr>
            <w:r w:rsidRPr="001C22C1">
              <w:rPr>
                <w:rFonts w:ascii="Arial" w:hAnsi="Arial" w:cs="Arial"/>
                <w:color w:val="FF0000"/>
              </w:rPr>
              <w:t>The Secretary may determine approved quality and safety guidelines in relation to the health service establishment protocols for quality and safety set out in regulation 8.</w:t>
            </w:r>
          </w:p>
          <w:p w14:paraId="245B9980" w14:textId="77777777" w:rsidR="00076AC3" w:rsidRPr="001C22C1" w:rsidRDefault="00B97DDB" w:rsidP="00FC2734">
            <w:pPr>
              <w:pStyle w:val="ListParagraph"/>
              <w:numPr>
                <w:ilvl w:val="0"/>
                <w:numId w:val="14"/>
              </w:numPr>
              <w:rPr>
                <w:rFonts w:ascii="Arial" w:hAnsi="Arial" w:cs="Arial"/>
                <w:color w:val="FF0000"/>
              </w:rPr>
            </w:pPr>
            <w:r w:rsidRPr="001C22C1">
              <w:rPr>
                <w:rFonts w:ascii="Arial" w:hAnsi="Arial" w:cs="Arial"/>
                <w:color w:val="FF0000"/>
              </w:rPr>
              <w:t xml:space="preserve">The Secretary must cause a notice of a determination under </w:t>
            </w:r>
            <w:proofErr w:type="spellStart"/>
            <w:r w:rsidRPr="001C22C1">
              <w:rPr>
                <w:rFonts w:ascii="Arial" w:hAnsi="Arial" w:cs="Arial"/>
                <w:color w:val="FF0000"/>
              </w:rPr>
              <w:t>subregulation</w:t>
            </w:r>
            <w:proofErr w:type="spellEnd"/>
            <w:r w:rsidRPr="001C22C1">
              <w:rPr>
                <w:rFonts w:ascii="Arial" w:hAnsi="Arial" w:cs="Arial"/>
                <w:color w:val="FF0000"/>
              </w:rPr>
              <w:t xml:space="preserve"> (1) to be published—</w:t>
            </w:r>
          </w:p>
          <w:p w14:paraId="495C41FD" w14:textId="77777777" w:rsidR="008D62B5" w:rsidRPr="001C22C1" w:rsidRDefault="00B97DDB" w:rsidP="00FC2734">
            <w:pPr>
              <w:pStyle w:val="ListParagraph"/>
              <w:numPr>
                <w:ilvl w:val="1"/>
                <w:numId w:val="14"/>
              </w:numPr>
              <w:rPr>
                <w:rFonts w:ascii="Arial" w:hAnsi="Arial" w:cs="Arial"/>
                <w:color w:val="FF0000"/>
              </w:rPr>
            </w:pPr>
            <w:r w:rsidRPr="001C22C1">
              <w:rPr>
                <w:rFonts w:ascii="Arial" w:hAnsi="Arial" w:cs="Arial"/>
                <w:color w:val="FF0000"/>
              </w:rPr>
              <w:t>in the Government Gazette; and</w:t>
            </w:r>
          </w:p>
          <w:p w14:paraId="59F53087" w14:textId="77777777" w:rsidR="003E5A74" w:rsidRPr="001C22C1" w:rsidRDefault="00B97DDB" w:rsidP="00FC2734">
            <w:pPr>
              <w:pStyle w:val="ListParagraph"/>
              <w:numPr>
                <w:ilvl w:val="1"/>
                <w:numId w:val="14"/>
              </w:numPr>
              <w:rPr>
                <w:rFonts w:ascii="Arial" w:hAnsi="Arial" w:cs="Arial"/>
                <w:color w:val="FF0000"/>
              </w:rPr>
            </w:pPr>
            <w:r w:rsidRPr="001C22C1">
              <w:rPr>
                <w:rFonts w:ascii="Arial" w:hAnsi="Arial" w:cs="Arial"/>
                <w:color w:val="FF0000"/>
              </w:rPr>
              <w:t>on the Department’s Internet site.</w:t>
            </w:r>
          </w:p>
          <w:p w14:paraId="0D637B2E" w14:textId="77777777" w:rsidR="003E5A74" w:rsidRPr="001C22C1" w:rsidRDefault="00B97DDB" w:rsidP="00FC2734">
            <w:pPr>
              <w:pStyle w:val="ListParagraph"/>
              <w:numPr>
                <w:ilvl w:val="0"/>
                <w:numId w:val="14"/>
              </w:numPr>
              <w:rPr>
                <w:rFonts w:ascii="Arial" w:hAnsi="Arial" w:cs="Arial"/>
                <w:color w:val="FF0000"/>
              </w:rPr>
            </w:pPr>
            <w:r w:rsidRPr="001C22C1">
              <w:rPr>
                <w:rFonts w:ascii="Arial" w:hAnsi="Arial" w:cs="Arial"/>
                <w:color w:val="FF0000"/>
              </w:rPr>
              <w:t>A notice of a determination of an approved quality and safety guideline must state—</w:t>
            </w:r>
          </w:p>
          <w:p w14:paraId="2E246178" w14:textId="77777777" w:rsidR="003E5A74" w:rsidRPr="001C22C1" w:rsidRDefault="00B97DDB" w:rsidP="00FC2734">
            <w:pPr>
              <w:pStyle w:val="ListParagraph"/>
              <w:numPr>
                <w:ilvl w:val="1"/>
                <w:numId w:val="14"/>
              </w:numPr>
              <w:rPr>
                <w:rFonts w:ascii="Arial" w:hAnsi="Arial" w:cs="Arial"/>
                <w:color w:val="FF0000"/>
              </w:rPr>
            </w:pPr>
            <w:r w:rsidRPr="001C22C1">
              <w:rPr>
                <w:rFonts w:ascii="Arial" w:hAnsi="Arial" w:cs="Arial"/>
                <w:color w:val="FF0000"/>
              </w:rPr>
              <w:t>where a copy of the approved quality and safety guideline may be obtained; and</w:t>
            </w:r>
          </w:p>
          <w:p w14:paraId="402D0BEA" w14:textId="13318A18" w:rsidR="00B97DDB" w:rsidRPr="001C22C1" w:rsidRDefault="00B97DDB" w:rsidP="00FC2734">
            <w:pPr>
              <w:pStyle w:val="ListParagraph"/>
              <w:numPr>
                <w:ilvl w:val="1"/>
                <w:numId w:val="14"/>
              </w:numPr>
              <w:rPr>
                <w:rFonts w:ascii="Arial" w:hAnsi="Arial" w:cs="Arial"/>
                <w:color w:val="FF0000"/>
                <w:lang w:val="en-AU"/>
              </w:rPr>
            </w:pPr>
            <w:r w:rsidRPr="001C22C1">
              <w:rPr>
                <w:rFonts w:ascii="Arial" w:hAnsi="Arial" w:cs="Arial"/>
                <w:color w:val="FF0000"/>
                <w:lang w:val="en-AU"/>
              </w:rPr>
              <w:t>the date on which the approved quality and safety guideline takes effect.</w:t>
            </w:r>
          </w:p>
        </w:tc>
        <w:tc>
          <w:tcPr>
            <w:tcW w:w="3467" w:type="dxa"/>
          </w:tcPr>
          <w:p w14:paraId="41DD0433" w14:textId="77777777" w:rsidR="008F378C" w:rsidRPr="00102832" w:rsidRDefault="008F378C" w:rsidP="008F378C">
            <w:pPr>
              <w:rPr>
                <w:rFonts w:cstheme="minorHAnsi"/>
                <w:sz w:val="20"/>
              </w:rPr>
            </w:pPr>
            <w:r w:rsidRPr="00102832">
              <w:rPr>
                <w:rFonts w:cstheme="minorHAnsi"/>
                <w:sz w:val="20"/>
              </w:rPr>
              <w:t xml:space="preserve">New power for the Secretary to identify best practice guidelines (guidance) that can be </w:t>
            </w:r>
            <w:proofErr w:type="gramStart"/>
            <w:r w:rsidRPr="00102832">
              <w:rPr>
                <w:rFonts w:cstheme="minorHAnsi"/>
                <w:sz w:val="20"/>
              </w:rPr>
              <w:t>taken into account</w:t>
            </w:r>
            <w:proofErr w:type="gramEnd"/>
            <w:r w:rsidRPr="00102832">
              <w:rPr>
                <w:rFonts w:cstheme="minorHAnsi"/>
                <w:sz w:val="20"/>
              </w:rPr>
              <w:t xml:space="preserve"> when a review of a facility’s clinical governance protocols is conducted. [See below for new power for Secretary to review protocols and direct a facility to update them]</w:t>
            </w:r>
          </w:p>
          <w:p w14:paraId="596C80F3" w14:textId="77777777" w:rsidR="008F378C" w:rsidRPr="00102832" w:rsidRDefault="008F378C" w:rsidP="008F378C">
            <w:pPr>
              <w:rPr>
                <w:rFonts w:cstheme="minorHAnsi"/>
                <w:sz w:val="20"/>
              </w:rPr>
            </w:pPr>
            <w:r w:rsidRPr="00102832">
              <w:rPr>
                <w:rFonts w:cstheme="minorHAnsi"/>
                <w:sz w:val="20"/>
              </w:rPr>
              <w:t xml:space="preserve">Identifying the best practice guidance in this way allows transparency about the rationale for any updates to the protocols that the Secretary directs. </w:t>
            </w:r>
          </w:p>
          <w:p w14:paraId="1B2EF4CA" w14:textId="5A96A931" w:rsidR="00B97DDB" w:rsidRPr="00E865BA" w:rsidRDefault="008F378C" w:rsidP="009B68C6">
            <w:pPr>
              <w:rPr>
                <w:rFonts w:cstheme="minorHAnsi"/>
                <w:color w:val="FF0000"/>
                <w:sz w:val="20"/>
              </w:rPr>
            </w:pPr>
            <w:r w:rsidRPr="00102832">
              <w:rPr>
                <w:rFonts w:cstheme="minorHAnsi"/>
                <w:sz w:val="20"/>
              </w:rPr>
              <w:t xml:space="preserve">It is intended that there be further consultation and communication with stakeholders about the </w:t>
            </w:r>
            <w:r w:rsidRPr="00102832">
              <w:rPr>
                <w:rFonts w:cstheme="minorHAnsi"/>
                <w:sz w:val="20"/>
              </w:rPr>
              <w:lastRenderedPageBreak/>
              <w:t xml:space="preserve">guidelines the Secretary would approve for this purpose. </w:t>
            </w:r>
          </w:p>
        </w:tc>
        <w:tc>
          <w:tcPr>
            <w:tcW w:w="5528" w:type="dxa"/>
            <w:hideMark/>
          </w:tcPr>
          <w:p w14:paraId="7371A89F" w14:textId="77777777" w:rsidR="00B97DDB" w:rsidRPr="00E865BA" w:rsidRDefault="00B97DDB">
            <w:pPr>
              <w:rPr>
                <w:rFonts w:cstheme="minorHAnsi"/>
                <w:sz w:val="20"/>
              </w:rPr>
            </w:pPr>
          </w:p>
        </w:tc>
      </w:tr>
      <w:tr w:rsidR="00B97DDB" w:rsidRPr="00E865BA" w14:paraId="2FAB7708" w14:textId="77777777" w:rsidTr="0004476B">
        <w:trPr>
          <w:trHeight w:val="3119"/>
        </w:trPr>
        <w:tc>
          <w:tcPr>
            <w:tcW w:w="1135" w:type="dxa"/>
            <w:hideMark/>
          </w:tcPr>
          <w:p w14:paraId="502A1284" w14:textId="77777777" w:rsidR="00B97DDB" w:rsidRPr="00A57A9E" w:rsidRDefault="00B97DDB">
            <w:pPr>
              <w:rPr>
                <w:rFonts w:cstheme="minorHAnsi"/>
                <w:color w:val="FF0000"/>
                <w:sz w:val="20"/>
              </w:rPr>
            </w:pPr>
            <w:r w:rsidRPr="00A57A9E">
              <w:rPr>
                <w:rFonts w:cstheme="minorHAnsi"/>
                <w:color w:val="FF0000"/>
                <w:sz w:val="20"/>
              </w:rPr>
              <w:t>NEW</w:t>
            </w:r>
          </w:p>
          <w:p w14:paraId="79153B99" w14:textId="77777777" w:rsidR="00B97DDB" w:rsidRPr="00E865BA" w:rsidRDefault="00B97DDB">
            <w:pPr>
              <w:rPr>
                <w:rFonts w:cstheme="minorHAnsi"/>
                <w:sz w:val="20"/>
              </w:rPr>
            </w:pPr>
            <w:r w:rsidRPr="00C67C87">
              <w:rPr>
                <w:rFonts w:cstheme="minorHAnsi"/>
                <w:color w:val="FF0000"/>
                <w:sz w:val="20"/>
              </w:rPr>
              <w:t>10</w:t>
            </w:r>
          </w:p>
        </w:tc>
        <w:tc>
          <w:tcPr>
            <w:tcW w:w="5605" w:type="dxa"/>
            <w:hideMark/>
          </w:tcPr>
          <w:p w14:paraId="62CECF6C" w14:textId="77777777" w:rsidR="003E5A74" w:rsidRPr="002B6D4C" w:rsidRDefault="00B97DDB" w:rsidP="003E5A74">
            <w:pPr>
              <w:rPr>
                <w:rFonts w:cs="Arial"/>
                <w:sz w:val="20"/>
              </w:rPr>
            </w:pPr>
            <w:r w:rsidRPr="002B6D4C">
              <w:rPr>
                <w:rFonts w:cs="Arial"/>
                <w:b/>
                <w:color w:val="FF0000"/>
                <w:sz w:val="20"/>
              </w:rPr>
              <w:t>Review of health service establishment protocols for quality and safety</w:t>
            </w:r>
          </w:p>
          <w:p w14:paraId="455ADD30" w14:textId="77777777" w:rsidR="003E5A74" w:rsidRPr="00E00632" w:rsidRDefault="00B97DDB" w:rsidP="00FC2734">
            <w:pPr>
              <w:pStyle w:val="ListParagraph"/>
              <w:numPr>
                <w:ilvl w:val="0"/>
                <w:numId w:val="15"/>
              </w:numPr>
              <w:rPr>
                <w:rFonts w:ascii="Arial" w:hAnsi="Arial" w:cs="Arial"/>
                <w:color w:val="FF0000"/>
              </w:rPr>
            </w:pPr>
            <w:r w:rsidRPr="00E00632">
              <w:rPr>
                <w:rFonts w:ascii="Arial" w:hAnsi="Arial" w:cs="Arial"/>
                <w:color w:val="FF0000"/>
              </w:rPr>
              <w:t>On and from 31 August 2025, the Secretary may determine to conduct a review of the health service establishment protocols for quality and safety prepared by a health service establishment under regulation 8(1).</w:t>
            </w:r>
          </w:p>
          <w:p w14:paraId="53FE4ED3" w14:textId="77777777" w:rsidR="003E5A74" w:rsidRPr="00E00632" w:rsidRDefault="00B97DDB" w:rsidP="00FC2734">
            <w:pPr>
              <w:pStyle w:val="ListParagraph"/>
              <w:numPr>
                <w:ilvl w:val="0"/>
                <w:numId w:val="15"/>
              </w:numPr>
              <w:rPr>
                <w:rFonts w:ascii="Arial" w:hAnsi="Arial" w:cs="Arial"/>
                <w:color w:val="FF0000"/>
              </w:rPr>
            </w:pPr>
            <w:r w:rsidRPr="00E00632">
              <w:rPr>
                <w:rFonts w:ascii="Arial" w:hAnsi="Arial" w:cs="Arial"/>
                <w:color w:val="FF0000"/>
              </w:rPr>
              <w:t>The Secretary may, after conducting a review of a health service establishment’s protocols for quality and safety, determine to issue a written direction to the proprietor of that health service establishment to update the protocols for quality and safety in the manner directed by the Secretary.</w:t>
            </w:r>
          </w:p>
          <w:p w14:paraId="6CF01A5B" w14:textId="77777777" w:rsidR="003E5A74" w:rsidRPr="00E00632" w:rsidRDefault="00B97DDB" w:rsidP="00FC2734">
            <w:pPr>
              <w:pStyle w:val="ListParagraph"/>
              <w:numPr>
                <w:ilvl w:val="0"/>
                <w:numId w:val="15"/>
              </w:numPr>
              <w:rPr>
                <w:rFonts w:ascii="Arial" w:hAnsi="Arial" w:cs="Arial"/>
                <w:color w:val="FF0000"/>
              </w:rPr>
            </w:pPr>
            <w:r w:rsidRPr="00E00632">
              <w:rPr>
                <w:rFonts w:ascii="Arial" w:hAnsi="Arial" w:cs="Arial"/>
                <w:color w:val="FF0000"/>
              </w:rPr>
              <w:t>The Secretary may determine to issue a written direction to the proprietor of a health service establishment if the Secretary considers that the protocols for quality and safety of that health service establishment—</w:t>
            </w:r>
          </w:p>
          <w:p w14:paraId="2564B764" w14:textId="77777777" w:rsidR="004F11DA" w:rsidRPr="00E00632" w:rsidRDefault="00B97DDB" w:rsidP="00FC2734">
            <w:pPr>
              <w:pStyle w:val="ListParagraph"/>
              <w:numPr>
                <w:ilvl w:val="1"/>
                <w:numId w:val="15"/>
              </w:numPr>
              <w:rPr>
                <w:rFonts w:ascii="Arial" w:hAnsi="Arial" w:cs="Arial"/>
                <w:color w:val="FF0000"/>
              </w:rPr>
            </w:pPr>
            <w:r w:rsidRPr="00E00632">
              <w:rPr>
                <w:rFonts w:ascii="Arial" w:hAnsi="Arial" w:cs="Arial"/>
                <w:color w:val="FF0000"/>
              </w:rPr>
              <w:lastRenderedPageBreak/>
              <w:t>are inconsistent with the Act or these Regulations; or</w:t>
            </w:r>
          </w:p>
          <w:p w14:paraId="60E1A70B" w14:textId="77777777" w:rsidR="004F11DA" w:rsidRPr="00E00632" w:rsidRDefault="00B97DDB" w:rsidP="00FC2734">
            <w:pPr>
              <w:pStyle w:val="ListParagraph"/>
              <w:numPr>
                <w:ilvl w:val="1"/>
                <w:numId w:val="15"/>
              </w:numPr>
              <w:rPr>
                <w:rFonts w:ascii="Arial" w:hAnsi="Arial" w:cs="Arial"/>
                <w:color w:val="FF0000"/>
              </w:rPr>
            </w:pPr>
            <w:r w:rsidRPr="00E00632">
              <w:rPr>
                <w:rFonts w:ascii="Arial" w:hAnsi="Arial" w:cs="Arial"/>
                <w:color w:val="FF0000"/>
              </w:rPr>
              <w:t xml:space="preserve">are otherwise inadequate for ensuring the quality and safety of health services provided at, or from, the health service establishment. </w:t>
            </w:r>
          </w:p>
          <w:p w14:paraId="4268EE29" w14:textId="77777777" w:rsidR="004F11DA" w:rsidRPr="00E00632" w:rsidRDefault="00B97DDB" w:rsidP="00FC2734">
            <w:pPr>
              <w:pStyle w:val="ListParagraph"/>
              <w:numPr>
                <w:ilvl w:val="0"/>
                <w:numId w:val="15"/>
              </w:numPr>
              <w:rPr>
                <w:rFonts w:ascii="Arial" w:hAnsi="Arial" w:cs="Arial"/>
                <w:color w:val="FF0000"/>
              </w:rPr>
            </w:pPr>
            <w:r w:rsidRPr="00E00632">
              <w:rPr>
                <w:rFonts w:ascii="Arial" w:hAnsi="Arial" w:cs="Arial"/>
                <w:color w:val="FF0000"/>
              </w:rPr>
              <w:t>In conducting a review of health service establishment protocols for quality and safety, the Secretary may have regard to an approved quality and safety guideline referred to in regulation 9(1).</w:t>
            </w:r>
          </w:p>
          <w:p w14:paraId="3E9C6121" w14:textId="350B6D02" w:rsidR="00B97DDB" w:rsidRPr="00E00632" w:rsidRDefault="00B97DDB" w:rsidP="00FC2734">
            <w:pPr>
              <w:pStyle w:val="ListParagraph"/>
              <w:numPr>
                <w:ilvl w:val="0"/>
                <w:numId w:val="15"/>
              </w:numPr>
              <w:rPr>
                <w:rFonts w:ascii="Arial" w:hAnsi="Arial" w:cs="Arial"/>
              </w:rPr>
            </w:pPr>
            <w:r w:rsidRPr="00E00632">
              <w:rPr>
                <w:rFonts w:ascii="Arial" w:hAnsi="Arial" w:cs="Arial"/>
                <w:color w:val="FF0000"/>
                <w:lang w:val="en-AU"/>
              </w:rPr>
              <w:t>The proprietor of a health service establishment must ensure that a written direction of the Secretary to update the health service establishment’s protocols for quality and safety is complied with.</w:t>
            </w:r>
          </w:p>
        </w:tc>
        <w:tc>
          <w:tcPr>
            <w:tcW w:w="3467" w:type="dxa"/>
          </w:tcPr>
          <w:p w14:paraId="31EA1C96" w14:textId="77777777" w:rsidR="008F378C" w:rsidRPr="004B41A8" w:rsidRDefault="008F378C" w:rsidP="008F378C">
            <w:pPr>
              <w:rPr>
                <w:rFonts w:cstheme="minorHAnsi"/>
                <w:sz w:val="20"/>
              </w:rPr>
            </w:pPr>
            <w:r w:rsidRPr="004B41A8">
              <w:rPr>
                <w:rFonts w:cstheme="minorHAnsi"/>
                <w:sz w:val="20"/>
              </w:rPr>
              <w:lastRenderedPageBreak/>
              <w:t xml:space="preserve">Creates new power for the Secretary to review health service establishments’ protocols and to issue directions for updates to the protocols, including by reference to best practice guidelines approved by the Secretary for this purpose [see above]. </w:t>
            </w:r>
          </w:p>
          <w:p w14:paraId="4AF3A92D" w14:textId="7B88C95C" w:rsidR="00B97DDB" w:rsidRPr="00E865BA" w:rsidRDefault="008F378C">
            <w:pPr>
              <w:rPr>
                <w:rFonts w:cstheme="minorHAnsi"/>
                <w:sz w:val="20"/>
              </w:rPr>
            </w:pPr>
            <w:r w:rsidRPr="004B41A8">
              <w:rPr>
                <w:rFonts w:cstheme="minorHAnsi"/>
                <w:sz w:val="20"/>
              </w:rPr>
              <w:t>Proposed to improve oversight of facilit</w:t>
            </w:r>
            <w:r w:rsidR="001F2A3B" w:rsidRPr="004B41A8">
              <w:rPr>
                <w:rFonts w:cstheme="minorHAnsi"/>
                <w:sz w:val="20"/>
              </w:rPr>
              <w:t>ie</w:t>
            </w:r>
            <w:r w:rsidRPr="004B41A8">
              <w:rPr>
                <w:rFonts w:cstheme="minorHAnsi"/>
                <w:sz w:val="20"/>
              </w:rPr>
              <w:t>s</w:t>
            </w:r>
            <w:r w:rsidR="001F2A3B" w:rsidRPr="004B41A8">
              <w:rPr>
                <w:rFonts w:cstheme="minorHAnsi"/>
                <w:sz w:val="20"/>
              </w:rPr>
              <w:t>’</w:t>
            </w:r>
            <w:r w:rsidRPr="004B41A8">
              <w:rPr>
                <w:rFonts w:cstheme="minorHAnsi"/>
                <w:sz w:val="20"/>
              </w:rPr>
              <w:t xml:space="preserve"> systems for managing core safety issues, and to identify and address inadequate arrangements and associated risk, including any non-compliance with the Act and Regulations. Allows a flexible, </w:t>
            </w:r>
            <w:proofErr w:type="gramStart"/>
            <w:r w:rsidRPr="004B41A8">
              <w:rPr>
                <w:rFonts w:cstheme="minorHAnsi"/>
                <w:sz w:val="20"/>
              </w:rPr>
              <w:t>transparent</w:t>
            </w:r>
            <w:proofErr w:type="gramEnd"/>
            <w:r w:rsidRPr="004B41A8">
              <w:rPr>
                <w:rFonts w:cstheme="minorHAnsi"/>
                <w:sz w:val="20"/>
              </w:rPr>
              <w:t xml:space="preserve"> and nuanced approach, </w:t>
            </w:r>
            <w:r w:rsidRPr="004B41A8">
              <w:rPr>
                <w:rFonts w:cstheme="minorHAnsi"/>
                <w:sz w:val="20"/>
              </w:rPr>
              <w:lastRenderedPageBreak/>
              <w:t xml:space="preserve">as reviews are on a </w:t>
            </w:r>
            <w:r w:rsidR="00B6036D" w:rsidRPr="004B41A8">
              <w:rPr>
                <w:rFonts w:cstheme="minorHAnsi"/>
                <w:sz w:val="20"/>
              </w:rPr>
              <w:t>facility-by-facility</w:t>
            </w:r>
            <w:r w:rsidRPr="004B41A8">
              <w:rPr>
                <w:rFonts w:cstheme="minorHAnsi"/>
                <w:sz w:val="20"/>
              </w:rPr>
              <w:t xml:space="preserve"> basis.</w:t>
            </w:r>
            <w:r w:rsidRPr="002B6D4C">
              <w:rPr>
                <w:rFonts w:cs="Arial"/>
                <w:sz w:val="20"/>
              </w:rPr>
              <w:t xml:space="preserve"> </w:t>
            </w:r>
          </w:p>
        </w:tc>
        <w:tc>
          <w:tcPr>
            <w:tcW w:w="5528" w:type="dxa"/>
            <w:hideMark/>
          </w:tcPr>
          <w:p w14:paraId="00AE0967" w14:textId="77777777" w:rsidR="00B97DDB" w:rsidRPr="00E865BA" w:rsidRDefault="00B97DDB">
            <w:pPr>
              <w:rPr>
                <w:rFonts w:cstheme="minorHAnsi"/>
                <w:sz w:val="20"/>
              </w:rPr>
            </w:pPr>
          </w:p>
        </w:tc>
      </w:tr>
      <w:tr w:rsidR="00D9479F" w:rsidRPr="00E865BA" w14:paraId="7956DAE8" w14:textId="77777777" w:rsidTr="19A1CCEF">
        <w:trPr>
          <w:trHeight w:val="3119"/>
        </w:trPr>
        <w:tc>
          <w:tcPr>
            <w:tcW w:w="1135" w:type="dxa"/>
          </w:tcPr>
          <w:p w14:paraId="46ECAA40" w14:textId="77777777" w:rsidR="00D9479F" w:rsidRPr="000E0F4A" w:rsidRDefault="00EE37E6">
            <w:pPr>
              <w:rPr>
                <w:rFonts w:cstheme="minorHAnsi"/>
                <w:sz w:val="20"/>
              </w:rPr>
            </w:pPr>
            <w:r w:rsidRPr="000E0F4A">
              <w:rPr>
                <w:rFonts w:cstheme="minorHAnsi"/>
                <w:sz w:val="20"/>
              </w:rPr>
              <w:t>8(2)</w:t>
            </w:r>
          </w:p>
          <w:p w14:paraId="692412FB" w14:textId="4DFFBC22" w:rsidR="00EE37E6" w:rsidRPr="00A57A9E" w:rsidRDefault="000E0F4A">
            <w:pPr>
              <w:rPr>
                <w:rFonts w:cstheme="minorHAnsi"/>
                <w:color w:val="FF0000"/>
                <w:sz w:val="20"/>
              </w:rPr>
            </w:pPr>
            <w:r>
              <w:rPr>
                <w:rFonts w:cstheme="minorHAnsi"/>
                <w:color w:val="FF0000"/>
                <w:sz w:val="20"/>
              </w:rPr>
              <w:t>11(2)</w:t>
            </w:r>
          </w:p>
        </w:tc>
        <w:tc>
          <w:tcPr>
            <w:tcW w:w="5605" w:type="dxa"/>
          </w:tcPr>
          <w:p w14:paraId="338FECA7" w14:textId="77777777" w:rsidR="00F219DC" w:rsidRPr="002B6D4C" w:rsidRDefault="00F219DC" w:rsidP="00F219DC">
            <w:pPr>
              <w:spacing w:after="160" w:line="259" w:lineRule="auto"/>
              <w:rPr>
                <w:rFonts w:eastAsia="Calibri" w:cs="Arial"/>
                <w:b/>
                <w:kern w:val="2"/>
                <w:sz w:val="20"/>
                <w14:ligatures w14:val="standardContextual"/>
              </w:rPr>
            </w:pPr>
            <w:r w:rsidRPr="002B6D4C">
              <w:rPr>
                <w:rFonts w:eastAsia="Calibri" w:cs="Arial"/>
                <w:b/>
                <w:kern w:val="2"/>
                <w:sz w:val="20"/>
                <w14:ligatures w14:val="standardContextual"/>
              </w:rPr>
              <w:t>Application for approval in principle</w:t>
            </w:r>
          </w:p>
          <w:p w14:paraId="69E45918" w14:textId="77777777" w:rsidR="00C21E08" w:rsidRPr="00E00632" w:rsidRDefault="00F219DC" w:rsidP="00FC2734">
            <w:pPr>
              <w:pStyle w:val="ListParagraph"/>
              <w:numPr>
                <w:ilvl w:val="0"/>
                <w:numId w:val="16"/>
              </w:numPr>
              <w:rPr>
                <w:rFonts w:ascii="Arial" w:hAnsi="Arial" w:cs="Arial"/>
                <w:b/>
                <w:color w:val="FF0000"/>
              </w:rPr>
            </w:pPr>
            <w:r w:rsidRPr="00E00632">
              <w:rPr>
                <w:rFonts w:ascii="Arial" w:hAnsi="Arial" w:cs="Arial"/>
              </w:rPr>
              <w:t>For the purposes of section 70(2)(b) of the Act, the following fees are prescribed—</w:t>
            </w:r>
          </w:p>
          <w:p w14:paraId="0CAAF32B" w14:textId="77777777" w:rsidR="001A277B" w:rsidRPr="003A1D84" w:rsidRDefault="00F219DC" w:rsidP="00FC2734">
            <w:pPr>
              <w:pStyle w:val="ListParagraph"/>
              <w:numPr>
                <w:ilvl w:val="1"/>
                <w:numId w:val="16"/>
              </w:numPr>
              <w:rPr>
                <w:rFonts w:ascii="Arial" w:hAnsi="Arial" w:cs="Arial"/>
                <w:b/>
                <w:color w:val="FF0000"/>
              </w:rPr>
            </w:pPr>
            <w:r w:rsidRPr="003A1D84">
              <w:rPr>
                <w:rFonts w:ascii="Arial" w:hAnsi="Arial" w:cs="Arial"/>
                <w:color w:val="FF0000"/>
              </w:rPr>
              <w:t xml:space="preserve">for an application for approval in principle to use particular land or premises as a private hospital or day procedure centre—325 fee </w:t>
            </w:r>
            <w:proofErr w:type="gramStart"/>
            <w:r w:rsidRPr="003A1D84">
              <w:rPr>
                <w:rFonts w:ascii="Arial" w:hAnsi="Arial" w:cs="Arial"/>
                <w:color w:val="FF0000"/>
              </w:rPr>
              <w:t>units;</w:t>
            </w:r>
            <w:proofErr w:type="gramEnd"/>
          </w:p>
          <w:p w14:paraId="2F752423" w14:textId="77777777" w:rsidR="001A277B" w:rsidRPr="00E00632" w:rsidRDefault="00F219DC" w:rsidP="00FC2734">
            <w:pPr>
              <w:pStyle w:val="ListParagraph"/>
              <w:numPr>
                <w:ilvl w:val="1"/>
                <w:numId w:val="16"/>
              </w:numPr>
              <w:rPr>
                <w:rFonts w:ascii="Arial" w:hAnsi="Arial" w:cs="Arial"/>
                <w:b/>
                <w:color w:val="FF0000"/>
              </w:rPr>
            </w:pPr>
            <w:r w:rsidRPr="00E00632">
              <w:rPr>
                <w:rFonts w:ascii="Arial" w:hAnsi="Arial" w:cs="Arial"/>
              </w:rPr>
              <w:t xml:space="preserve">for an application </w:t>
            </w:r>
            <w:r w:rsidRPr="00E00632">
              <w:rPr>
                <w:rFonts w:ascii="Arial" w:hAnsi="Arial" w:cs="Arial"/>
                <w:color w:val="FF0000"/>
              </w:rPr>
              <w:t xml:space="preserve">for approval in principle </w:t>
            </w:r>
            <w:r w:rsidRPr="00E00632">
              <w:rPr>
                <w:rFonts w:ascii="Arial" w:hAnsi="Arial" w:cs="Arial"/>
              </w:rPr>
              <w:t xml:space="preserve">to construct premises for use as a private hospital—325 fee </w:t>
            </w:r>
            <w:proofErr w:type="gramStart"/>
            <w:r w:rsidRPr="00E00632">
              <w:rPr>
                <w:rFonts w:ascii="Arial" w:hAnsi="Arial" w:cs="Arial"/>
              </w:rPr>
              <w:t>units;</w:t>
            </w:r>
            <w:proofErr w:type="gramEnd"/>
          </w:p>
          <w:p w14:paraId="7DA175E8" w14:textId="77777777" w:rsidR="001A277B" w:rsidRPr="00E00632" w:rsidRDefault="00F219DC" w:rsidP="00FC2734">
            <w:pPr>
              <w:pStyle w:val="ListParagraph"/>
              <w:numPr>
                <w:ilvl w:val="1"/>
                <w:numId w:val="16"/>
              </w:numPr>
              <w:rPr>
                <w:rFonts w:ascii="Arial" w:hAnsi="Arial" w:cs="Arial"/>
                <w:b/>
                <w:color w:val="FF0000"/>
              </w:rPr>
            </w:pPr>
            <w:r w:rsidRPr="00E00632">
              <w:rPr>
                <w:rFonts w:ascii="Arial" w:hAnsi="Arial" w:cs="Arial"/>
              </w:rPr>
              <w:t xml:space="preserve">for an application </w:t>
            </w:r>
            <w:r w:rsidRPr="00E00632">
              <w:rPr>
                <w:rFonts w:ascii="Arial" w:hAnsi="Arial" w:cs="Arial"/>
                <w:color w:val="FF0000"/>
              </w:rPr>
              <w:t xml:space="preserve">for approval in principle </w:t>
            </w:r>
            <w:r w:rsidRPr="00E00632">
              <w:rPr>
                <w:rFonts w:ascii="Arial" w:hAnsi="Arial" w:cs="Arial"/>
              </w:rPr>
              <w:t xml:space="preserve">to make alterations or extensions to a premises used or proposed to be used as a private hospital—290 fee </w:t>
            </w:r>
            <w:proofErr w:type="gramStart"/>
            <w:r w:rsidRPr="00E00632">
              <w:rPr>
                <w:rFonts w:ascii="Arial" w:hAnsi="Arial" w:cs="Arial"/>
              </w:rPr>
              <w:t>units;</w:t>
            </w:r>
            <w:proofErr w:type="gramEnd"/>
          </w:p>
          <w:p w14:paraId="40545DEA" w14:textId="77777777" w:rsidR="001A277B" w:rsidRPr="00E00632" w:rsidRDefault="00F219DC" w:rsidP="00FC2734">
            <w:pPr>
              <w:pStyle w:val="ListParagraph"/>
              <w:numPr>
                <w:ilvl w:val="1"/>
                <w:numId w:val="16"/>
              </w:numPr>
              <w:rPr>
                <w:rFonts w:ascii="Arial" w:hAnsi="Arial" w:cs="Arial"/>
                <w:b/>
                <w:color w:val="FF0000"/>
              </w:rPr>
            </w:pPr>
            <w:r w:rsidRPr="00E00632">
              <w:rPr>
                <w:rFonts w:ascii="Arial" w:hAnsi="Arial" w:cs="Arial"/>
              </w:rPr>
              <w:lastRenderedPageBreak/>
              <w:t xml:space="preserve">for an application </w:t>
            </w:r>
            <w:r w:rsidRPr="00E00632">
              <w:rPr>
                <w:rFonts w:ascii="Arial" w:hAnsi="Arial" w:cs="Arial"/>
                <w:color w:val="FF0000"/>
              </w:rPr>
              <w:t xml:space="preserve">for approval in principle </w:t>
            </w:r>
            <w:r w:rsidRPr="00E00632">
              <w:rPr>
                <w:rFonts w:ascii="Arial" w:hAnsi="Arial" w:cs="Arial"/>
              </w:rPr>
              <w:t xml:space="preserve">to construct premises for use as a day procedure centre—285 fee </w:t>
            </w:r>
            <w:proofErr w:type="gramStart"/>
            <w:r w:rsidRPr="00E00632">
              <w:rPr>
                <w:rFonts w:ascii="Arial" w:hAnsi="Arial" w:cs="Arial"/>
              </w:rPr>
              <w:t>units;</w:t>
            </w:r>
            <w:proofErr w:type="gramEnd"/>
            <w:r w:rsidRPr="00E00632">
              <w:rPr>
                <w:rFonts w:ascii="Arial" w:hAnsi="Arial" w:cs="Arial"/>
              </w:rPr>
              <w:t xml:space="preserve"> </w:t>
            </w:r>
          </w:p>
          <w:p w14:paraId="13994BB6" w14:textId="77777777" w:rsidR="001A277B" w:rsidRPr="00E00632" w:rsidRDefault="00F219DC" w:rsidP="00FC2734">
            <w:pPr>
              <w:pStyle w:val="ListParagraph"/>
              <w:numPr>
                <w:ilvl w:val="1"/>
                <w:numId w:val="16"/>
              </w:numPr>
              <w:rPr>
                <w:rFonts w:ascii="Arial" w:hAnsi="Arial" w:cs="Arial"/>
                <w:b/>
                <w:color w:val="FF0000"/>
              </w:rPr>
            </w:pPr>
            <w:r w:rsidRPr="00E00632">
              <w:rPr>
                <w:rFonts w:ascii="Arial" w:hAnsi="Arial" w:cs="Arial"/>
              </w:rPr>
              <w:t xml:space="preserve">for an application </w:t>
            </w:r>
            <w:r w:rsidRPr="00E00632">
              <w:rPr>
                <w:rFonts w:ascii="Arial" w:hAnsi="Arial" w:cs="Arial"/>
                <w:color w:val="FF0000"/>
              </w:rPr>
              <w:t xml:space="preserve">for approval in principle </w:t>
            </w:r>
            <w:r w:rsidRPr="00E00632">
              <w:rPr>
                <w:rFonts w:ascii="Arial" w:hAnsi="Arial" w:cs="Arial"/>
              </w:rPr>
              <w:t xml:space="preserve">to make alterations or extensions to a premises used or proposed to be used as a day procedure centre—276 fee </w:t>
            </w:r>
            <w:proofErr w:type="gramStart"/>
            <w:r w:rsidRPr="00E00632">
              <w:rPr>
                <w:rFonts w:ascii="Arial" w:hAnsi="Arial" w:cs="Arial"/>
              </w:rPr>
              <w:t>units;</w:t>
            </w:r>
            <w:proofErr w:type="gramEnd"/>
          </w:p>
          <w:p w14:paraId="27F91687" w14:textId="2FB988B2" w:rsidR="00D9479F" w:rsidRPr="00E00632" w:rsidRDefault="00F219DC" w:rsidP="00FC2734">
            <w:pPr>
              <w:pStyle w:val="ListParagraph"/>
              <w:numPr>
                <w:ilvl w:val="1"/>
                <w:numId w:val="16"/>
              </w:numPr>
              <w:rPr>
                <w:rFonts w:ascii="Arial" w:hAnsi="Arial" w:cs="Arial"/>
                <w:b/>
                <w:color w:val="FF0000"/>
              </w:rPr>
            </w:pPr>
            <w:r w:rsidRPr="00E00632">
              <w:rPr>
                <w:rFonts w:ascii="Arial" w:hAnsi="Arial" w:cs="Arial"/>
              </w:rPr>
              <w:t xml:space="preserve">for an application </w:t>
            </w:r>
            <w:r w:rsidRPr="00E00632">
              <w:rPr>
                <w:rFonts w:ascii="Arial" w:hAnsi="Arial" w:cs="Arial"/>
                <w:color w:val="FF0000"/>
              </w:rPr>
              <w:t xml:space="preserve">for approval in principle </w:t>
            </w:r>
            <w:r w:rsidRPr="00E00632">
              <w:rPr>
                <w:rFonts w:ascii="Arial" w:hAnsi="Arial" w:cs="Arial"/>
              </w:rPr>
              <w:t xml:space="preserve">to use </w:t>
            </w:r>
            <w:proofErr w:type="gramStart"/>
            <w:r w:rsidRPr="00E00632">
              <w:rPr>
                <w:rFonts w:ascii="Arial" w:hAnsi="Arial" w:cs="Arial"/>
              </w:rPr>
              <w:t>particular land</w:t>
            </w:r>
            <w:proofErr w:type="gramEnd"/>
            <w:r w:rsidRPr="00E00632">
              <w:rPr>
                <w:rFonts w:ascii="Arial" w:hAnsi="Arial" w:cs="Arial"/>
              </w:rPr>
              <w:t xml:space="preserve"> or premises as a health service establishment from which health services are to be provided at premises other than the first-mentioned premises—91 fee units;</w:t>
            </w:r>
          </w:p>
        </w:tc>
        <w:tc>
          <w:tcPr>
            <w:tcW w:w="3467" w:type="dxa"/>
          </w:tcPr>
          <w:p w14:paraId="19E20FBD" w14:textId="042A487D" w:rsidR="00D9479F" w:rsidRPr="00E43D81" w:rsidRDefault="00E602A2" w:rsidP="008F378C">
            <w:pPr>
              <w:rPr>
                <w:rFonts w:cstheme="minorHAnsi"/>
                <w:sz w:val="20"/>
              </w:rPr>
            </w:pPr>
            <w:r w:rsidRPr="00E602A2">
              <w:rPr>
                <w:rFonts w:cstheme="minorHAnsi"/>
                <w:sz w:val="20"/>
              </w:rPr>
              <w:lastRenderedPageBreak/>
              <w:t xml:space="preserve">Creates a new fee for an application for approval in principle (AIP) to use </w:t>
            </w:r>
            <w:proofErr w:type="gramStart"/>
            <w:r w:rsidRPr="00E602A2">
              <w:rPr>
                <w:rFonts w:cstheme="minorHAnsi"/>
                <w:sz w:val="20"/>
              </w:rPr>
              <w:t>particular land</w:t>
            </w:r>
            <w:proofErr w:type="gramEnd"/>
            <w:r w:rsidRPr="00E602A2">
              <w:rPr>
                <w:rFonts w:cstheme="minorHAnsi"/>
                <w:sz w:val="20"/>
              </w:rPr>
              <w:t xml:space="preserve"> or premises as a private hospital or day procedure centre, as permitted under section 70(2)(b) of the Act. AIP has historically been sought for constructing or altering premises, so no fee was prescribed for ‘use of land or </w:t>
            </w:r>
            <w:proofErr w:type="gramStart"/>
            <w:r w:rsidRPr="00E602A2">
              <w:rPr>
                <w:rFonts w:cstheme="minorHAnsi"/>
                <w:sz w:val="20"/>
              </w:rPr>
              <w:t>premises’</w:t>
            </w:r>
            <w:proofErr w:type="gramEnd"/>
            <w:r w:rsidRPr="00E602A2">
              <w:rPr>
                <w:rFonts w:cstheme="minorHAnsi"/>
                <w:sz w:val="20"/>
              </w:rPr>
              <w:t xml:space="preserve">. As the Health Regulator now receives this type of application, it is proposed to prescribe a fee of 325 fee units. This amount is the same as the fee for </w:t>
            </w:r>
            <w:r w:rsidRPr="00E602A2">
              <w:rPr>
                <w:rFonts w:cstheme="minorHAnsi"/>
                <w:sz w:val="20"/>
              </w:rPr>
              <w:lastRenderedPageBreak/>
              <w:t>AIP to construct premises for use as a private hospital, reflecting similar administrative costs for the Health Regulator to process and assess these applications.</w:t>
            </w:r>
          </w:p>
        </w:tc>
        <w:tc>
          <w:tcPr>
            <w:tcW w:w="5528" w:type="dxa"/>
          </w:tcPr>
          <w:p w14:paraId="10827F35" w14:textId="77777777" w:rsidR="00D9479F" w:rsidRPr="00E865BA" w:rsidRDefault="00D9479F">
            <w:pPr>
              <w:rPr>
                <w:rFonts w:cstheme="minorHAnsi"/>
                <w:sz w:val="20"/>
              </w:rPr>
            </w:pPr>
          </w:p>
        </w:tc>
      </w:tr>
      <w:tr w:rsidR="00B97DDB" w:rsidRPr="00E865BA" w14:paraId="676A280D" w14:textId="77777777" w:rsidTr="00B321B9">
        <w:trPr>
          <w:trHeight w:val="699"/>
        </w:trPr>
        <w:tc>
          <w:tcPr>
            <w:tcW w:w="1135" w:type="dxa"/>
            <w:hideMark/>
          </w:tcPr>
          <w:p w14:paraId="600233BD" w14:textId="77777777" w:rsidR="00B97DDB" w:rsidRDefault="00B97DDB">
            <w:pPr>
              <w:rPr>
                <w:rFonts w:cstheme="minorHAnsi"/>
                <w:sz w:val="20"/>
              </w:rPr>
            </w:pPr>
            <w:r w:rsidRPr="00E865BA">
              <w:rPr>
                <w:rFonts w:cstheme="minorHAnsi"/>
                <w:sz w:val="20"/>
              </w:rPr>
              <w:t>20</w:t>
            </w:r>
          </w:p>
          <w:p w14:paraId="4F87CA17" w14:textId="77777777" w:rsidR="00B97DDB" w:rsidRPr="00E865BA" w:rsidRDefault="00B97DDB">
            <w:pPr>
              <w:rPr>
                <w:rFonts w:cstheme="minorHAnsi"/>
                <w:sz w:val="20"/>
              </w:rPr>
            </w:pPr>
            <w:r w:rsidRPr="00C67C87">
              <w:rPr>
                <w:rFonts w:cstheme="minorHAnsi"/>
                <w:color w:val="FF0000"/>
                <w:sz w:val="20"/>
              </w:rPr>
              <w:t>24</w:t>
            </w:r>
          </w:p>
        </w:tc>
        <w:tc>
          <w:tcPr>
            <w:tcW w:w="5605" w:type="dxa"/>
            <w:hideMark/>
          </w:tcPr>
          <w:p w14:paraId="03FD2C5B" w14:textId="77777777" w:rsidR="00305A88" w:rsidRPr="002B6D4C" w:rsidRDefault="00B97DDB">
            <w:pPr>
              <w:rPr>
                <w:rFonts w:cs="Arial"/>
                <w:b/>
                <w:sz w:val="20"/>
              </w:rPr>
            </w:pPr>
            <w:r w:rsidRPr="002B6D4C">
              <w:rPr>
                <w:rFonts w:cs="Arial"/>
                <w:b/>
                <w:sz w:val="20"/>
              </w:rPr>
              <w:t>Information about fees and services</w:t>
            </w:r>
          </w:p>
          <w:p w14:paraId="7A3C7A08" w14:textId="77777777" w:rsidR="00305A88" w:rsidRPr="001B4AB0" w:rsidRDefault="00B97DDB" w:rsidP="00FC2734">
            <w:pPr>
              <w:pStyle w:val="ListParagraph"/>
              <w:numPr>
                <w:ilvl w:val="0"/>
                <w:numId w:val="17"/>
              </w:numPr>
              <w:rPr>
                <w:rFonts w:ascii="Arial" w:hAnsi="Arial" w:cs="Arial"/>
              </w:rPr>
            </w:pPr>
            <w:r w:rsidRPr="001B4AB0">
              <w:rPr>
                <w:rFonts w:ascii="Arial" w:hAnsi="Arial" w:cs="Arial"/>
              </w:rPr>
              <w:t>The proprietor of a health service establishment must ensure that on or before admission each patient of the hospital or centre is given—</w:t>
            </w:r>
          </w:p>
          <w:p w14:paraId="75249F54" w14:textId="77777777" w:rsidR="00ED3A36" w:rsidRPr="001B4AB0" w:rsidRDefault="00B97DDB" w:rsidP="00FC2734">
            <w:pPr>
              <w:pStyle w:val="ListParagraph"/>
              <w:numPr>
                <w:ilvl w:val="1"/>
                <w:numId w:val="17"/>
              </w:numPr>
              <w:rPr>
                <w:rFonts w:ascii="Arial" w:hAnsi="Arial" w:cs="Arial"/>
              </w:rPr>
            </w:pPr>
            <w:r w:rsidRPr="001B4AB0">
              <w:rPr>
                <w:rFonts w:ascii="Arial" w:hAnsi="Arial" w:cs="Arial"/>
              </w:rPr>
              <w:t xml:space="preserve">a statement containing information in relation to the health </w:t>
            </w:r>
            <w:r w:rsidRPr="001B4AB0">
              <w:rPr>
                <w:rFonts w:ascii="Arial" w:hAnsi="Arial" w:cs="Arial"/>
                <w:strike/>
              </w:rPr>
              <w:t>care</w:t>
            </w:r>
            <w:r w:rsidRPr="001B4AB0">
              <w:rPr>
                <w:rFonts w:ascii="Arial" w:hAnsi="Arial" w:cs="Arial"/>
              </w:rPr>
              <w:t xml:space="preserve"> services provided at the health service establishment that complies with </w:t>
            </w:r>
            <w:proofErr w:type="spellStart"/>
            <w:r w:rsidRPr="001B4AB0">
              <w:rPr>
                <w:rFonts w:ascii="Arial" w:hAnsi="Arial" w:cs="Arial"/>
              </w:rPr>
              <w:t>subregulation</w:t>
            </w:r>
            <w:proofErr w:type="spellEnd"/>
            <w:r w:rsidRPr="001B4AB0">
              <w:rPr>
                <w:rFonts w:ascii="Arial" w:hAnsi="Arial" w:cs="Arial"/>
              </w:rPr>
              <w:t xml:space="preserve"> (2); and</w:t>
            </w:r>
          </w:p>
          <w:p w14:paraId="44AF0DD0" w14:textId="77777777" w:rsidR="00ED3A36" w:rsidRPr="001B4AB0" w:rsidRDefault="00B97DDB" w:rsidP="00FC2734">
            <w:pPr>
              <w:pStyle w:val="ListParagraph"/>
              <w:numPr>
                <w:ilvl w:val="1"/>
                <w:numId w:val="17"/>
              </w:numPr>
              <w:rPr>
                <w:rFonts w:ascii="Arial" w:hAnsi="Arial" w:cs="Arial"/>
              </w:rPr>
            </w:pPr>
            <w:r w:rsidRPr="001B4AB0">
              <w:rPr>
                <w:rFonts w:ascii="Arial" w:hAnsi="Arial" w:cs="Arial"/>
              </w:rPr>
              <w:t xml:space="preserve">information about fees </w:t>
            </w:r>
            <w:r w:rsidRPr="001B4AB0">
              <w:rPr>
                <w:rFonts w:ascii="Arial" w:hAnsi="Arial" w:cs="Arial"/>
                <w:strike/>
              </w:rPr>
              <w:t>to be charged and any</w:t>
            </w:r>
            <w:r w:rsidRPr="001B4AB0">
              <w:rPr>
                <w:rFonts w:ascii="Arial" w:hAnsi="Arial" w:cs="Arial"/>
              </w:rPr>
              <w:t xml:space="preserve"> and likely out of pocket expenses to be charged by the health service establishment </w:t>
            </w:r>
            <w:r w:rsidRPr="00A57E4E">
              <w:rPr>
                <w:rFonts w:ascii="Arial" w:hAnsi="Arial" w:cs="Arial"/>
                <w:color w:val="FF0000"/>
              </w:rPr>
              <w:t xml:space="preserve">or a third party in relation to the </w:t>
            </w:r>
            <w:r w:rsidR="00B84342" w:rsidRPr="00A57E4E">
              <w:rPr>
                <w:rFonts w:ascii="Arial" w:hAnsi="Arial" w:cs="Arial"/>
                <w:color w:val="FF0000"/>
              </w:rPr>
              <w:t xml:space="preserve">health </w:t>
            </w:r>
            <w:r w:rsidRPr="00A57E4E">
              <w:rPr>
                <w:rFonts w:ascii="Arial" w:hAnsi="Arial" w:cs="Arial"/>
                <w:color w:val="FF0000"/>
              </w:rPr>
              <w:t xml:space="preserve">services to be provided to the patient at the health service establishment </w:t>
            </w:r>
            <w:r w:rsidRPr="001B4AB0">
              <w:rPr>
                <w:rFonts w:ascii="Arial" w:hAnsi="Arial" w:cs="Arial"/>
                <w:strike/>
              </w:rPr>
              <w:t>and any likely out of pocket expenses which may be incurred by the patient</w:t>
            </w:r>
            <w:r w:rsidRPr="001B4AB0">
              <w:rPr>
                <w:rFonts w:ascii="Arial" w:hAnsi="Arial" w:cs="Arial"/>
              </w:rPr>
              <w:t>; and</w:t>
            </w:r>
          </w:p>
          <w:p w14:paraId="2760B038" w14:textId="090FD9C6" w:rsidR="00B97DDB" w:rsidRPr="001B4AB0" w:rsidRDefault="00B97DDB" w:rsidP="00FC2734">
            <w:pPr>
              <w:pStyle w:val="ListParagraph"/>
              <w:numPr>
                <w:ilvl w:val="1"/>
                <w:numId w:val="17"/>
              </w:numPr>
              <w:rPr>
                <w:rFonts w:ascii="Arial" w:hAnsi="Arial" w:cs="Arial"/>
              </w:rPr>
            </w:pPr>
            <w:r w:rsidRPr="001B4AB0">
              <w:rPr>
                <w:rFonts w:ascii="Arial" w:hAnsi="Arial" w:cs="Arial"/>
                <w:lang w:val="en-AU"/>
              </w:rPr>
              <w:lastRenderedPageBreak/>
              <w:t xml:space="preserve">a clear explanation of the treatment and </w:t>
            </w:r>
            <w:r w:rsidRPr="001B4AB0">
              <w:rPr>
                <w:rFonts w:ascii="Arial" w:hAnsi="Arial" w:cs="Arial"/>
                <w:color w:val="FF0000"/>
                <w:lang w:val="en-AU"/>
              </w:rPr>
              <w:t xml:space="preserve">other health </w:t>
            </w:r>
            <w:r w:rsidRPr="001B4AB0">
              <w:rPr>
                <w:rFonts w:ascii="Arial" w:hAnsi="Arial" w:cs="Arial"/>
                <w:lang w:val="en-AU"/>
              </w:rPr>
              <w:t>services to be provided to the patient at the health service establishment</w:t>
            </w:r>
            <w:r w:rsidR="0022642E" w:rsidRPr="001B4AB0">
              <w:rPr>
                <w:rFonts w:ascii="Arial" w:hAnsi="Arial" w:cs="Arial"/>
                <w:lang w:val="en-AU"/>
              </w:rPr>
              <w:t>.</w:t>
            </w:r>
          </w:p>
        </w:tc>
        <w:tc>
          <w:tcPr>
            <w:tcW w:w="3467" w:type="dxa"/>
          </w:tcPr>
          <w:p w14:paraId="43552258" w14:textId="0F4D4A89" w:rsidR="00B97DDB" w:rsidRPr="00E865BA" w:rsidRDefault="00297B8A">
            <w:pPr>
              <w:rPr>
                <w:rFonts w:cstheme="minorHAnsi"/>
                <w:sz w:val="20"/>
              </w:rPr>
            </w:pPr>
            <w:r w:rsidRPr="00102832">
              <w:rPr>
                <w:sz w:val="20"/>
              </w:rPr>
              <w:lastRenderedPageBreak/>
              <w:t>Amends the requirement for provision of information in relation to costs to</w:t>
            </w:r>
            <w:r w:rsidR="00B97DDB" w:rsidRPr="00102832">
              <w:rPr>
                <w:sz w:val="20"/>
              </w:rPr>
              <w:t xml:space="preserve"> clarify </w:t>
            </w:r>
            <w:r w:rsidRPr="00102832">
              <w:rPr>
                <w:sz w:val="20"/>
              </w:rPr>
              <w:t>and</w:t>
            </w:r>
            <w:r w:rsidR="00B97DDB" w:rsidRPr="00102832">
              <w:rPr>
                <w:sz w:val="20"/>
              </w:rPr>
              <w:t xml:space="preserve"> remove ambiguity</w:t>
            </w:r>
            <w:r w:rsidRPr="00102832">
              <w:rPr>
                <w:sz w:val="20"/>
              </w:rPr>
              <w:t>, to</w:t>
            </w:r>
            <w:r w:rsidR="00B97DDB" w:rsidRPr="00102832">
              <w:rPr>
                <w:sz w:val="20"/>
              </w:rPr>
              <w:t xml:space="preserve"> ensure patients are informed of potential fees, including charges from third parties.</w:t>
            </w:r>
          </w:p>
        </w:tc>
        <w:tc>
          <w:tcPr>
            <w:tcW w:w="5528" w:type="dxa"/>
            <w:hideMark/>
          </w:tcPr>
          <w:p w14:paraId="3413672E" w14:textId="77777777" w:rsidR="00B97DDB" w:rsidRPr="00E865BA" w:rsidRDefault="00B97DDB">
            <w:pPr>
              <w:rPr>
                <w:rFonts w:cstheme="minorHAnsi"/>
                <w:sz w:val="20"/>
              </w:rPr>
            </w:pPr>
          </w:p>
        </w:tc>
      </w:tr>
      <w:tr w:rsidR="00B97DDB" w:rsidRPr="00E865BA" w14:paraId="1D624DC1" w14:textId="77777777" w:rsidTr="00B321B9">
        <w:trPr>
          <w:trHeight w:val="2608"/>
        </w:trPr>
        <w:tc>
          <w:tcPr>
            <w:tcW w:w="1135" w:type="dxa"/>
            <w:hideMark/>
          </w:tcPr>
          <w:p w14:paraId="6E8F5A7A" w14:textId="77777777" w:rsidR="00B97DDB" w:rsidRDefault="00B97DDB">
            <w:pPr>
              <w:rPr>
                <w:rFonts w:cstheme="minorHAnsi"/>
                <w:sz w:val="20"/>
              </w:rPr>
            </w:pPr>
            <w:r w:rsidRPr="00E865BA">
              <w:rPr>
                <w:rFonts w:cstheme="minorHAnsi"/>
                <w:sz w:val="20"/>
              </w:rPr>
              <w:t>20A</w:t>
            </w:r>
          </w:p>
          <w:p w14:paraId="0C8EFFC5" w14:textId="77777777" w:rsidR="00B97DDB" w:rsidRPr="00E865BA" w:rsidRDefault="00B97DDB">
            <w:pPr>
              <w:rPr>
                <w:rFonts w:cstheme="minorHAnsi"/>
                <w:sz w:val="20"/>
              </w:rPr>
            </w:pPr>
            <w:r w:rsidRPr="00C67C87">
              <w:rPr>
                <w:rFonts w:cstheme="minorHAnsi"/>
                <w:color w:val="FF0000"/>
                <w:sz w:val="20"/>
              </w:rPr>
              <w:t>25</w:t>
            </w:r>
          </w:p>
        </w:tc>
        <w:tc>
          <w:tcPr>
            <w:tcW w:w="5605" w:type="dxa"/>
            <w:hideMark/>
          </w:tcPr>
          <w:p w14:paraId="0EDB3FD8" w14:textId="77777777" w:rsidR="007604D5" w:rsidRDefault="00B97DDB">
            <w:pPr>
              <w:rPr>
                <w:b/>
                <w:sz w:val="20"/>
              </w:rPr>
            </w:pPr>
            <w:r w:rsidRPr="5CE7500D">
              <w:rPr>
                <w:b/>
                <w:sz w:val="20"/>
              </w:rPr>
              <w:t>Pre-admission assessment</w:t>
            </w:r>
          </w:p>
          <w:p w14:paraId="767D0879" w14:textId="3C3315E1" w:rsidR="00E377AD" w:rsidRDefault="00B97DDB">
            <w:pPr>
              <w:rPr>
                <w:sz w:val="20"/>
              </w:rPr>
            </w:pPr>
            <w:r w:rsidRPr="5CE7500D">
              <w:rPr>
                <w:strike/>
                <w:sz w:val="20"/>
              </w:rPr>
              <w:t xml:space="preserve">For the purpose of ensuring the quality and safety of health services provided at a health service </w:t>
            </w:r>
            <w:r w:rsidRPr="00D423EC">
              <w:rPr>
                <w:strike/>
                <w:sz w:val="20"/>
              </w:rPr>
              <w:t>establishment, t</w:t>
            </w:r>
            <w:r>
              <w:rPr>
                <w:sz w:val="20"/>
              </w:rPr>
              <w:t xml:space="preserve"> T</w:t>
            </w:r>
            <w:r w:rsidRPr="5CE7500D">
              <w:rPr>
                <w:sz w:val="20"/>
              </w:rPr>
              <w:t xml:space="preserve">he proprietor of </w:t>
            </w:r>
            <w:proofErr w:type="gramStart"/>
            <w:r w:rsidRPr="005A5B05">
              <w:rPr>
                <w:strike/>
                <w:sz w:val="20"/>
              </w:rPr>
              <w:t>the</w:t>
            </w:r>
            <w:r>
              <w:rPr>
                <w:sz w:val="20"/>
              </w:rPr>
              <w:t xml:space="preserve"> </w:t>
            </w:r>
            <w:r w:rsidRPr="005A5B05">
              <w:rPr>
                <w:color w:val="FF0000"/>
                <w:sz w:val="20"/>
              </w:rPr>
              <w:t>a</w:t>
            </w:r>
            <w:proofErr w:type="gramEnd"/>
            <w:r w:rsidRPr="5CE7500D">
              <w:rPr>
                <w:sz w:val="20"/>
              </w:rPr>
              <w:t xml:space="preserve"> health service establishment must ensure </w:t>
            </w:r>
            <w:r w:rsidRPr="00907822">
              <w:rPr>
                <w:color w:val="FF0000"/>
                <w:sz w:val="20"/>
              </w:rPr>
              <w:t>that for</w:t>
            </w:r>
            <w:r>
              <w:rPr>
                <w:color w:val="FF0000"/>
                <w:sz w:val="20"/>
              </w:rPr>
              <w:t xml:space="preserve"> a</w:t>
            </w:r>
            <w:r w:rsidRPr="00907822">
              <w:rPr>
                <w:color w:val="FF0000"/>
                <w:sz w:val="20"/>
              </w:rPr>
              <w:t xml:space="preserve"> </w:t>
            </w:r>
            <w:r w:rsidRPr="5CE7500D">
              <w:rPr>
                <w:sz w:val="20"/>
              </w:rPr>
              <w:t xml:space="preserve">non-emergency patient admitted to the health service establishment </w:t>
            </w:r>
            <w:r w:rsidRPr="00722E80">
              <w:rPr>
                <w:strike/>
                <w:sz w:val="20"/>
              </w:rPr>
              <w:t>that</w:t>
            </w:r>
            <w:r w:rsidRPr="5CE7500D">
              <w:rPr>
                <w:sz w:val="20"/>
              </w:rPr>
              <w:t>—</w:t>
            </w:r>
          </w:p>
          <w:p w14:paraId="7DB9688B" w14:textId="77777777" w:rsidR="00E377AD" w:rsidRPr="00553C69" w:rsidRDefault="00B97DDB" w:rsidP="00FC2734">
            <w:pPr>
              <w:pStyle w:val="ListParagraph"/>
              <w:numPr>
                <w:ilvl w:val="1"/>
                <w:numId w:val="18"/>
              </w:numPr>
              <w:rPr>
                <w:rFonts w:ascii="Arial" w:hAnsi="Arial" w:cs="Arial"/>
              </w:rPr>
            </w:pPr>
            <w:r w:rsidRPr="00553C69">
              <w:rPr>
                <w:rFonts w:ascii="Arial" w:hAnsi="Arial" w:cs="Arial"/>
              </w:rPr>
              <w:t xml:space="preserve">a pre-admission clinical risk assessment is carried out </w:t>
            </w:r>
            <w:r w:rsidRPr="00553C69">
              <w:rPr>
                <w:rFonts w:ascii="Arial" w:hAnsi="Arial" w:cs="Arial"/>
                <w:color w:val="FF0000"/>
              </w:rPr>
              <w:t xml:space="preserve">by a registered health practitioner </w:t>
            </w:r>
            <w:r w:rsidRPr="00553C69">
              <w:rPr>
                <w:rFonts w:ascii="Arial" w:hAnsi="Arial" w:cs="Arial"/>
              </w:rPr>
              <w:t xml:space="preserve">for </w:t>
            </w:r>
            <w:r w:rsidRPr="00553C69">
              <w:rPr>
                <w:rFonts w:ascii="Arial" w:hAnsi="Arial" w:cs="Arial"/>
                <w:strike/>
              </w:rPr>
              <w:t>each</w:t>
            </w:r>
            <w:r w:rsidRPr="00553C69">
              <w:rPr>
                <w:rFonts w:ascii="Arial" w:hAnsi="Arial" w:cs="Arial"/>
              </w:rPr>
              <w:t xml:space="preserve"> </w:t>
            </w:r>
            <w:r w:rsidRPr="00553C69">
              <w:rPr>
                <w:rFonts w:ascii="Arial" w:hAnsi="Arial" w:cs="Arial"/>
                <w:color w:val="FF0000"/>
              </w:rPr>
              <w:t xml:space="preserve">that </w:t>
            </w:r>
            <w:r w:rsidRPr="00553C69">
              <w:rPr>
                <w:rFonts w:ascii="Arial" w:hAnsi="Arial" w:cs="Arial"/>
              </w:rPr>
              <w:t>patient before admission; and</w:t>
            </w:r>
          </w:p>
          <w:p w14:paraId="58B4A97B" w14:textId="77777777" w:rsidR="00E377AD" w:rsidRPr="00553C69" w:rsidRDefault="00B97DDB" w:rsidP="00FC2734">
            <w:pPr>
              <w:pStyle w:val="ListParagraph"/>
              <w:numPr>
                <w:ilvl w:val="1"/>
                <w:numId w:val="18"/>
              </w:numPr>
              <w:rPr>
                <w:rFonts w:ascii="Arial" w:hAnsi="Arial" w:cs="Arial"/>
              </w:rPr>
            </w:pPr>
            <w:r w:rsidRPr="00553C69">
              <w:rPr>
                <w:rFonts w:ascii="Arial" w:hAnsi="Arial" w:cs="Arial"/>
              </w:rPr>
              <w:t xml:space="preserve">the </w:t>
            </w:r>
            <w:r w:rsidRPr="00553C69">
              <w:rPr>
                <w:rFonts w:ascii="Arial" w:hAnsi="Arial" w:cs="Arial"/>
                <w:strike/>
              </w:rPr>
              <w:t>results</w:t>
            </w:r>
            <w:r w:rsidRPr="00553C69">
              <w:rPr>
                <w:rFonts w:ascii="Arial" w:hAnsi="Arial" w:cs="Arial"/>
              </w:rPr>
              <w:t xml:space="preserve"> </w:t>
            </w:r>
            <w:r w:rsidRPr="00553C69">
              <w:rPr>
                <w:rFonts w:ascii="Arial" w:hAnsi="Arial" w:cs="Arial"/>
                <w:color w:val="FF0000"/>
              </w:rPr>
              <w:t>following matters</w:t>
            </w:r>
            <w:r w:rsidRPr="00553C69">
              <w:rPr>
                <w:rFonts w:ascii="Arial" w:hAnsi="Arial" w:cs="Arial"/>
              </w:rPr>
              <w:t xml:space="preserve"> </w:t>
            </w:r>
            <w:r w:rsidRPr="00553C69">
              <w:rPr>
                <w:rFonts w:ascii="Arial" w:hAnsi="Arial" w:cs="Arial"/>
                <w:strike/>
              </w:rPr>
              <w:t>of the pre-admission clinical risk assessment</w:t>
            </w:r>
            <w:r w:rsidRPr="00553C69">
              <w:rPr>
                <w:rFonts w:ascii="Arial" w:hAnsi="Arial" w:cs="Arial"/>
              </w:rPr>
              <w:t xml:space="preserve"> are recorded in writing, not less than 24 hours before admission</w:t>
            </w:r>
            <w:r w:rsidRPr="00553C69">
              <w:rPr>
                <w:rFonts w:ascii="Arial" w:hAnsi="Arial" w:cs="Arial"/>
                <w:strike/>
              </w:rPr>
              <w:t>; and</w:t>
            </w:r>
            <w:r w:rsidRPr="00553C69">
              <w:rPr>
                <w:rFonts w:ascii="Arial" w:hAnsi="Arial" w:cs="Arial"/>
                <w:color w:val="FF0000"/>
              </w:rPr>
              <w:t>—</w:t>
            </w:r>
          </w:p>
          <w:p w14:paraId="156A2A10" w14:textId="3A72946B" w:rsidR="00E377AD" w:rsidRPr="009E6030" w:rsidRDefault="00B97DDB" w:rsidP="00553C69">
            <w:pPr>
              <w:pStyle w:val="ListParagraph"/>
              <w:rPr>
                <w:rFonts w:ascii="Arial" w:hAnsi="Arial" w:cs="Arial"/>
                <w:color w:val="FF0000"/>
              </w:rPr>
            </w:pPr>
            <w:r w:rsidRPr="009E6030">
              <w:rPr>
                <w:rFonts w:ascii="Arial" w:hAnsi="Arial" w:cs="Arial"/>
                <w:color w:val="FF0000"/>
              </w:rPr>
              <w:t>the matters considered and assessed by the registered health practitioner as part of the pre-admission clinical risk assessment; and</w:t>
            </w:r>
          </w:p>
          <w:p w14:paraId="27C7F742" w14:textId="77777777" w:rsidR="00222E94" w:rsidRPr="009E6030" w:rsidRDefault="00B97DDB" w:rsidP="00553C69">
            <w:pPr>
              <w:pStyle w:val="ListParagraph"/>
              <w:rPr>
                <w:rFonts w:ascii="Arial" w:hAnsi="Arial" w:cs="Arial"/>
                <w:color w:val="FF0000"/>
              </w:rPr>
            </w:pPr>
            <w:r w:rsidRPr="009E6030">
              <w:rPr>
                <w:rFonts w:ascii="Arial" w:hAnsi="Arial" w:cs="Arial"/>
                <w:color w:val="FF0000"/>
              </w:rPr>
              <w:t xml:space="preserve">the results of the pre-admission clinical risk </w:t>
            </w:r>
            <w:proofErr w:type="gramStart"/>
            <w:r w:rsidRPr="009E6030">
              <w:rPr>
                <w:rFonts w:ascii="Arial" w:hAnsi="Arial" w:cs="Arial"/>
                <w:color w:val="FF0000"/>
              </w:rPr>
              <w:t>assessment;</w:t>
            </w:r>
            <w:proofErr w:type="gramEnd"/>
          </w:p>
          <w:p w14:paraId="67D31846" w14:textId="01E3274A" w:rsidR="00875148" w:rsidRPr="009E6030" w:rsidRDefault="00B97DDB" w:rsidP="00553C69">
            <w:pPr>
              <w:pStyle w:val="ListParagraph"/>
              <w:rPr>
                <w:rFonts w:ascii="Arial" w:hAnsi="Arial" w:cs="Arial"/>
                <w:color w:val="FF0000"/>
              </w:rPr>
            </w:pPr>
            <w:r w:rsidRPr="009E6030">
              <w:rPr>
                <w:rFonts w:ascii="Arial" w:hAnsi="Arial" w:cs="Arial"/>
                <w:color w:val="FF0000"/>
              </w:rPr>
              <w:t>the name and signature of the registered health practitioner carrying out the pre-admission clinical risk assessment; and</w:t>
            </w:r>
          </w:p>
          <w:p w14:paraId="704A024D" w14:textId="0C9868B5" w:rsidR="00B97DDB" w:rsidRPr="00553C69" w:rsidRDefault="00B97DDB" w:rsidP="00FC2734">
            <w:pPr>
              <w:pStyle w:val="ListParagraph"/>
              <w:numPr>
                <w:ilvl w:val="1"/>
                <w:numId w:val="18"/>
              </w:numPr>
              <w:rPr>
                <w:rFonts w:ascii="Arial" w:hAnsi="Arial" w:cs="Arial"/>
                <w:lang w:val="en-AU"/>
              </w:rPr>
            </w:pPr>
            <w:r w:rsidRPr="36E40C7E">
              <w:rPr>
                <w:rFonts w:ascii="Arial" w:hAnsi="Arial" w:cs="Arial"/>
                <w:lang w:val="en-AU"/>
              </w:rPr>
              <w:t xml:space="preserve">the </w:t>
            </w:r>
            <w:r w:rsidRPr="36E40C7E">
              <w:rPr>
                <w:rFonts w:ascii="Arial" w:hAnsi="Arial" w:cs="Arial"/>
                <w:strike/>
                <w:lang w:val="en-AU"/>
              </w:rPr>
              <w:t>procedure</w:t>
            </w:r>
            <w:r w:rsidRPr="36E40C7E">
              <w:rPr>
                <w:rFonts w:ascii="Arial" w:hAnsi="Arial" w:cs="Arial"/>
                <w:lang w:val="en-AU"/>
              </w:rPr>
              <w:t xml:space="preserve"> </w:t>
            </w:r>
            <w:r w:rsidRPr="36E40C7E">
              <w:rPr>
                <w:rFonts w:ascii="Arial" w:hAnsi="Arial" w:cs="Arial"/>
                <w:color w:val="FF0000"/>
                <w:lang w:val="en-AU"/>
              </w:rPr>
              <w:t>health service</w:t>
            </w:r>
            <w:r w:rsidRPr="36E40C7E">
              <w:rPr>
                <w:rFonts w:ascii="Arial" w:hAnsi="Arial" w:cs="Arial"/>
                <w:lang w:val="en-AU"/>
              </w:rPr>
              <w:t xml:space="preserve"> for which the patient is admitted is assessed in relation to the scope of practice of the </w:t>
            </w:r>
            <w:r w:rsidRPr="36E40C7E">
              <w:rPr>
                <w:rFonts w:ascii="Arial" w:hAnsi="Arial" w:cs="Arial"/>
                <w:strike/>
                <w:lang w:val="en-AU"/>
              </w:rPr>
              <w:t>relevant</w:t>
            </w:r>
            <w:r w:rsidRPr="36E40C7E">
              <w:rPr>
                <w:rFonts w:ascii="Arial" w:hAnsi="Arial" w:cs="Arial"/>
                <w:lang w:val="en-AU"/>
              </w:rPr>
              <w:t xml:space="preserve"> registered health practitioner </w:t>
            </w:r>
            <w:r w:rsidR="00F52BF3" w:rsidRPr="36E40C7E">
              <w:rPr>
                <w:rFonts w:ascii="Arial" w:hAnsi="Arial" w:cs="Arial"/>
                <w:color w:val="FF0000"/>
                <w:lang w:val="en-AU"/>
              </w:rPr>
              <w:lastRenderedPageBreak/>
              <w:t xml:space="preserve">who will </w:t>
            </w:r>
            <w:r w:rsidR="007968A5" w:rsidRPr="36E40C7E">
              <w:rPr>
                <w:rFonts w:ascii="Arial" w:hAnsi="Arial" w:cs="Arial"/>
                <w:color w:val="FF0000"/>
                <w:lang w:val="en-AU"/>
              </w:rPr>
              <w:t xml:space="preserve">provide </w:t>
            </w:r>
            <w:proofErr w:type="gramStart"/>
            <w:r w:rsidR="007968A5" w:rsidRPr="36E40C7E">
              <w:rPr>
                <w:rFonts w:ascii="Arial" w:hAnsi="Arial" w:cs="Arial"/>
                <w:strike/>
                <w:lang w:val="en-AU"/>
              </w:rPr>
              <w:t xml:space="preserve">providing </w:t>
            </w:r>
            <w:r w:rsidRPr="36E40C7E">
              <w:rPr>
                <w:rFonts w:ascii="Arial" w:hAnsi="Arial" w:cs="Arial"/>
                <w:lang w:val="en-AU"/>
              </w:rPr>
              <w:t xml:space="preserve"> </w:t>
            </w:r>
            <w:r w:rsidRPr="36E40C7E">
              <w:rPr>
                <w:rFonts w:ascii="Arial" w:hAnsi="Arial" w:cs="Arial"/>
                <w:color w:val="FF0000"/>
                <w:lang w:val="en-AU"/>
              </w:rPr>
              <w:t>the</w:t>
            </w:r>
            <w:proofErr w:type="gramEnd"/>
            <w:r w:rsidRPr="36E40C7E">
              <w:rPr>
                <w:rFonts w:ascii="Arial" w:hAnsi="Arial" w:cs="Arial"/>
                <w:color w:val="FF0000"/>
                <w:lang w:val="en-AU"/>
              </w:rPr>
              <w:t xml:space="preserve"> </w:t>
            </w:r>
            <w:r w:rsidRPr="36E40C7E">
              <w:rPr>
                <w:rFonts w:ascii="Arial" w:hAnsi="Arial" w:cs="Arial"/>
                <w:lang w:val="en-AU"/>
              </w:rPr>
              <w:t>health service</w:t>
            </w:r>
            <w:r w:rsidRPr="36E40C7E">
              <w:rPr>
                <w:rFonts w:ascii="Arial" w:hAnsi="Arial" w:cs="Arial"/>
                <w:strike/>
                <w:lang w:val="en-AU"/>
              </w:rPr>
              <w:t>s</w:t>
            </w:r>
            <w:r w:rsidRPr="36E40C7E">
              <w:rPr>
                <w:rFonts w:ascii="Arial" w:hAnsi="Arial" w:cs="Arial"/>
                <w:lang w:val="en-AU"/>
              </w:rPr>
              <w:t xml:space="preserve"> to that patient </w:t>
            </w:r>
            <w:r w:rsidRPr="36E40C7E">
              <w:rPr>
                <w:rFonts w:ascii="Arial" w:hAnsi="Arial" w:cs="Arial"/>
                <w:strike/>
                <w:lang w:val="en-AU"/>
              </w:rPr>
              <w:t>at the health service establishment</w:t>
            </w:r>
            <w:r w:rsidR="000726B2" w:rsidRPr="36E40C7E">
              <w:rPr>
                <w:rFonts w:ascii="Arial" w:hAnsi="Arial" w:cs="Arial"/>
                <w:lang w:val="en-AU"/>
              </w:rPr>
              <w:t>.</w:t>
            </w:r>
          </w:p>
        </w:tc>
        <w:tc>
          <w:tcPr>
            <w:tcW w:w="3467" w:type="dxa"/>
          </w:tcPr>
          <w:p w14:paraId="6247284D" w14:textId="34D411D8" w:rsidR="00B97DDB" w:rsidRPr="00E865BA" w:rsidRDefault="00F077BA">
            <w:pPr>
              <w:rPr>
                <w:rFonts w:cstheme="minorHAnsi"/>
                <w:sz w:val="20"/>
              </w:rPr>
            </w:pPr>
            <w:r w:rsidRPr="00102832">
              <w:rPr>
                <w:rFonts w:cstheme="minorHAnsi"/>
                <w:sz w:val="20"/>
              </w:rPr>
              <w:lastRenderedPageBreak/>
              <w:t>Amends the requirements for clinical assessments to clarify and</w:t>
            </w:r>
            <w:r w:rsidR="00B97DDB" w:rsidRPr="00E865BA">
              <w:rPr>
                <w:rFonts w:cstheme="minorHAnsi"/>
                <w:sz w:val="20"/>
              </w:rPr>
              <w:t xml:space="preserve"> remove ambiguity and ensure appropriately qualified health practitioners are conducting clinical assessments.</w:t>
            </w:r>
            <w:r w:rsidRPr="00102832">
              <w:rPr>
                <w:rFonts w:cstheme="minorHAnsi"/>
                <w:sz w:val="20"/>
              </w:rPr>
              <w:t xml:space="preserve"> This is to ensure that those important assessments effectively inform planning and delivery of care.  </w:t>
            </w:r>
          </w:p>
        </w:tc>
        <w:tc>
          <w:tcPr>
            <w:tcW w:w="5528" w:type="dxa"/>
            <w:hideMark/>
          </w:tcPr>
          <w:p w14:paraId="5EE1F434" w14:textId="77777777" w:rsidR="00B97DDB" w:rsidRPr="00E865BA" w:rsidRDefault="00B97DDB">
            <w:pPr>
              <w:rPr>
                <w:rFonts w:cstheme="minorHAnsi"/>
                <w:sz w:val="20"/>
              </w:rPr>
            </w:pPr>
          </w:p>
        </w:tc>
      </w:tr>
      <w:tr w:rsidR="00B97DDB" w:rsidRPr="00E865BA" w14:paraId="69195CDB" w14:textId="77777777" w:rsidTr="00B321B9">
        <w:trPr>
          <w:trHeight w:val="699"/>
        </w:trPr>
        <w:tc>
          <w:tcPr>
            <w:tcW w:w="1135" w:type="dxa"/>
            <w:hideMark/>
          </w:tcPr>
          <w:p w14:paraId="5F4D96F0" w14:textId="77777777" w:rsidR="00B97DDB" w:rsidRPr="00A57A9E" w:rsidRDefault="00B97DDB">
            <w:pPr>
              <w:rPr>
                <w:rFonts w:cstheme="minorHAnsi"/>
                <w:color w:val="FF0000"/>
                <w:sz w:val="20"/>
              </w:rPr>
            </w:pPr>
            <w:r w:rsidRPr="00A57A9E">
              <w:rPr>
                <w:rFonts w:cstheme="minorHAnsi"/>
                <w:color w:val="FF0000"/>
                <w:sz w:val="20"/>
              </w:rPr>
              <w:t>NEW</w:t>
            </w:r>
          </w:p>
          <w:p w14:paraId="3EA46D5F" w14:textId="77777777" w:rsidR="00B97DDB" w:rsidRPr="00E865BA" w:rsidRDefault="00B97DDB">
            <w:pPr>
              <w:rPr>
                <w:rFonts w:cstheme="minorHAnsi"/>
                <w:sz w:val="20"/>
              </w:rPr>
            </w:pPr>
            <w:r w:rsidRPr="00C67C87">
              <w:rPr>
                <w:rFonts w:cstheme="minorHAnsi"/>
                <w:color w:val="FF0000"/>
                <w:sz w:val="20"/>
              </w:rPr>
              <w:t>26</w:t>
            </w:r>
          </w:p>
        </w:tc>
        <w:tc>
          <w:tcPr>
            <w:tcW w:w="5605" w:type="dxa"/>
            <w:hideMark/>
          </w:tcPr>
          <w:p w14:paraId="0D3EEDFA" w14:textId="77777777" w:rsidR="0087266D" w:rsidRPr="002B6D4C" w:rsidRDefault="00B97DDB">
            <w:pPr>
              <w:rPr>
                <w:rFonts w:cs="Arial"/>
                <w:b/>
                <w:color w:val="FF0000"/>
                <w:sz w:val="20"/>
              </w:rPr>
            </w:pPr>
            <w:r w:rsidRPr="002B6D4C">
              <w:rPr>
                <w:rFonts w:cs="Arial"/>
                <w:b/>
                <w:color w:val="FF0000"/>
                <w:sz w:val="20"/>
              </w:rPr>
              <w:t>Pre-presentation assessment</w:t>
            </w:r>
          </w:p>
          <w:p w14:paraId="437F873F" w14:textId="77777777" w:rsidR="00F961EF" w:rsidRPr="002B6D4C" w:rsidRDefault="00B97DDB" w:rsidP="001133C1">
            <w:pPr>
              <w:rPr>
                <w:rFonts w:cs="Arial"/>
                <w:color w:val="FF0000"/>
                <w:sz w:val="20"/>
              </w:rPr>
            </w:pPr>
            <w:r w:rsidRPr="002B6D4C">
              <w:rPr>
                <w:rFonts w:cs="Arial"/>
                <w:color w:val="FF0000"/>
                <w:sz w:val="20"/>
              </w:rPr>
              <w:t>The proprietor of a health service establishment must ensure that for each non-emergency patient that is provided with a health service by the health service establishment but is not admitted to the health service establishment—</w:t>
            </w:r>
          </w:p>
          <w:p w14:paraId="1D9D59B9" w14:textId="77777777" w:rsidR="00F961EF" w:rsidRPr="002B6D4C" w:rsidRDefault="00B97DDB" w:rsidP="00FC2734">
            <w:pPr>
              <w:pStyle w:val="ListParagraph"/>
              <w:numPr>
                <w:ilvl w:val="1"/>
                <w:numId w:val="19"/>
              </w:numPr>
              <w:rPr>
                <w:rFonts w:ascii="Arial" w:hAnsi="Arial" w:cs="Arial"/>
                <w:color w:val="FF0000"/>
                <w:szCs w:val="20"/>
              </w:rPr>
            </w:pPr>
            <w:r w:rsidRPr="002B6D4C">
              <w:rPr>
                <w:rFonts w:ascii="Arial" w:hAnsi="Arial" w:cs="Arial"/>
                <w:color w:val="FF0000"/>
                <w:szCs w:val="20"/>
              </w:rPr>
              <w:t>a pre-presentation clinical risk assessment is carried out by a registered health practitioner; and</w:t>
            </w:r>
          </w:p>
          <w:p w14:paraId="0D72E27E" w14:textId="77777777" w:rsidR="00F961EF" w:rsidRPr="002B6D4C" w:rsidRDefault="00B97DDB" w:rsidP="00FC2734">
            <w:pPr>
              <w:pStyle w:val="ListParagraph"/>
              <w:numPr>
                <w:ilvl w:val="1"/>
                <w:numId w:val="19"/>
              </w:numPr>
              <w:rPr>
                <w:rFonts w:ascii="Arial" w:hAnsi="Arial" w:cs="Arial"/>
                <w:color w:val="FF0000"/>
                <w:szCs w:val="20"/>
              </w:rPr>
            </w:pPr>
            <w:r w:rsidRPr="002B6D4C">
              <w:rPr>
                <w:rFonts w:ascii="Arial" w:hAnsi="Arial" w:cs="Arial"/>
                <w:color w:val="FF0000"/>
                <w:szCs w:val="20"/>
              </w:rPr>
              <w:t>the following matters are recorded in writing, not less than 24 hours before the health service is provided—</w:t>
            </w:r>
          </w:p>
          <w:p w14:paraId="1E49C551" w14:textId="77777777" w:rsidR="00F961EF" w:rsidRPr="002B6D4C" w:rsidRDefault="00B97DDB" w:rsidP="00553C69">
            <w:pPr>
              <w:pStyle w:val="ListParagraph"/>
              <w:rPr>
                <w:rFonts w:ascii="Arial" w:hAnsi="Arial" w:cs="Arial"/>
                <w:color w:val="FF0000"/>
                <w:szCs w:val="20"/>
              </w:rPr>
            </w:pPr>
            <w:r w:rsidRPr="002B6D4C">
              <w:rPr>
                <w:rFonts w:ascii="Arial" w:hAnsi="Arial" w:cs="Arial"/>
                <w:color w:val="FF0000"/>
                <w:szCs w:val="20"/>
              </w:rPr>
              <w:t>the matters considered and assessed by the registered health practitioner as part of the pre-presentation clinical risk assessment; and</w:t>
            </w:r>
          </w:p>
          <w:p w14:paraId="16274301" w14:textId="77777777" w:rsidR="00F961EF" w:rsidRPr="002B6D4C" w:rsidRDefault="00B97DDB" w:rsidP="00553C69">
            <w:pPr>
              <w:pStyle w:val="ListParagraph"/>
              <w:rPr>
                <w:rFonts w:ascii="Arial" w:hAnsi="Arial" w:cs="Arial"/>
                <w:color w:val="FF0000"/>
                <w:szCs w:val="20"/>
              </w:rPr>
            </w:pPr>
            <w:r w:rsidRPr="002B6D4C">
              <w:rPr>
                <w:rFonts w:ascii="Arial" w:hAnsi="Arial" w:cs="Arial"/>
                <w:color w:val="FF0000"/>
                <w:szCs w:val="20"/>
              </w:rPr>
              <w:t xml:space="preserve">the results of the pre-presentation clinical risk </w:t>
            </w:r>
            <w:proofErr w:type="gramStart"/>
            <w:r w:rsidRPr="002B6D4C">
              <w:rPr>
                <w:rFonts w:ascii="Arial" w:hAnsi="Arial" w:cs="Arial"/>
                <w:color w:val="FF0000"/>
                <w:szCs w:val="20"/>
              </w:rPr>
              <w:t>assessment;</w:t>
            </w:r>
            <w:proofErr w:type="gramEnd"/>
          </w:p>
          <w:p w14:paraId="1D24DA98" w14:textId="77777777" w:rsidR="00F961EF" w:rsidRPr="002B6D4C" w:rsidRDefault="00B97DDB" w:rsidP="00553C69">
            <w:pPr>
              <w:pStyle w:val="ListParagraph"/>
              <w:rPr>
                <w:rFonts w:ascii="Arial" w:hAnsi="Arial" w:cs="Arial"/>
                <w:color w:val="FF0000"/>
                <w:szCs w:val="20"/>
              </w:rPr>
            </w:pPr>
            <w:r w:rsidRPr="002B6D4C">
              <w:rPr>
                <w:rFonts w:ascii="Arial" w:hAnsi="Arial" w:cs="Arial"/>
                <w:color w:val="FF0000"/>
                <w:szCs w:val="20"/>
              </w:rPr>
              <w:lastRenderedPageBreak/>
              <w:t>the name and signature of the registered health practitioner carrying out the pre-presentation clinical risk assessment.</w:t>
            </w:r>
          </w:p>
          <w:p w14:paraId="4504BCD6" w14:textId="457CB00E" w:rsidR="00B97DDB" w:rsidRPr="002B6D4C" w:rsidRDefault="00B97DDB" w:rsidP="00FC2734">
            <w:pPr>
              <w:pStyle w:val="ListParagraph"/>
              <w:numPr>
                <w:ilvl w:val="1"/>
                <w:numId w:val="19"/>
              </w:numPr>
              <w:rPr>
                <w:rFonts w:ascii="Arial" w:hAnsi="Arial" w:cs="Arial"/>
                <w:color w:val="FF0000"/>
                <w:szCs w:val="20"/>
              </w:rPr>
            </w:pPr>
            <w:r w:rsidRPr="002B6D4C">
              <w:rPr>
                <w:rFonts w:ascii="Arial" w:hAnsi="Arial" w:cs="Arial"/>
                <w:color w:val="FF0000"/>
                <w:szCs w:val="20"/>
                <w:lang w:val="en-AU"/>
              </w:rPr>
              <w:t xml:space="preserve">the health service for which the patient presents is assessed in relation to the scope of practice of the registered health practitioner </w:t>
            </w:r>
            <w:r w:rsidR="00C2179F" w:rsidRPr="002B6D4C">
              <w:rPr>
                <w:rFonts w:ascii="Arial" w:hAnsi="Arial" w:cs="Arial"/>
                <w:color w:val="FF0000"/>
                <w:szCs w:val="20"/>
                <w:lang w:val="en-AU"/>
              </w:rPr>
              <w:t xml:space="preserve">who will </w:t>
            </w:r>
            <w:r w:rsidRPr="002B6D4C">
              <w:rPr>
                <w:rFonts w:ascii="Arial" w:hAnsi="Arial" w:cs="Arial"/>
                <w:color w:val="FF0000"/>
                <w:szCs w:val="20"/>
                <w:lang w:val="en-AU"/>
              </w:rPr>
              <w:t>provid</w:t>
            </w:r>
            <w:r w:rsidR="00C2179F" w:rsidRPr="002B6D4C">
              <w:rPr>
                <w:rFonts w:ascii="Arial" w:hAnsi="Arial" w:cs="Arial"/>
                <w:color w:val="FF0000"/>
                <w:szCs w:val="20"/>
                <w:lang w:val="en-AU"/>
              </w:rPr>
              <w:t>e</w:t>
            </w:r>
            <w:r w:rsidRPr="002B6D4C">
              <w:rPr>
                <w:rFonts w:ascii="Arial" w:hAnsi="Arial" w:cs="Arial"/>
                <w:color w:val="FF0000"/>
                <w:szCs w:val="20"/>
                <w:lang w:val="en-AU"/>
              </w:rPr>
              <w:t xml:space="preserve"> the health service to that patient.</w:t>
            </w:r>
          </w:p>
        </w:tc>
        <w:tc>
          <w:tcPr>
            <w:tcW w:w="3467" w:type="dxa"/>
          </w:tcPr>
          <w:p w14:paraId="61CD4A16" w14:textId="46BD5892" w:rsidR="00B97DDB" w:rsidRPr="00E865BA" w:rsidRDefault="004251F4">
            <w:pPr>
              <w:rPr>
                <w:rFonts w:cstheme="minorHAnsi"/>
                <w:color w:val="FF0000"/>
                <w:sz w:val="20"/>
              </w:rPr>
            </w:pPr>
            <w:r w:rsidRPr="00102832">
              <w:rPr>
                <w:rFonts w:cstheme="minorHAnsi"/>
                <w:sz w:val="20"/>
              </w:rPr>
              <w:lastRenderedPageBreak/>
              <w:t>Inserts new requirement for clinical assessments of patients before treatment, regardless of admission status. To</w:t>
            </w:r>
            <w:r w:rsidR="00B97DDB" w:rsidRPr="00E865BA">
              <w:rPr>
                <w:rFonts w:cstheme="minorHAnsi"/>
                <w:sz w:val="20"/>
              </w:rPr>
              <w:t xml:space="preserve"> formalise current practice for patients who are not formally admitted (for example, those receiving mobile services</w:t>
            </w:r>
            <w:r w:rsidRPr="00102832">
              <w:rPr>
                <w:rFonts w:cstheme="minorHAnsi"/>
                <w:sz w:val="20"/>
              </w:rPr>
              <w:t>) and ensure appropriate assessment and management.</w:t>
            </w:r>
          </w:p>
        </w:tc>
        <w:tc>
          <w:tcPr>
            <w:tcW w:w="5528" w:type="dxa"/>
            <w:hideMark/>
          </w:tcPr>
          <w:p w14:paraId="1BA020DC" w14:textId="77777777" w:rsidR="00B97DDB" w:rsidRPr="00E865BA" w:rsidRDefault="00B97DDB">
            <w:pPr>
              <w:rPr>
                <w:rFonts w:cstheme="minorHAnsi"/>
                <w:sz w:val="20"/>
              </w:rPr>
            </w:pPr>
          </w:p>
        </w:tc>
      </w:tr>
      <w:tr w:rsidR="00B97DDB" w:rsidRPr="00E865BA" w14:paraId="766F2931" w14:textId="77777777" w:rsidTr="00B321B9">
        <w:trPr>
          <w:trHeight w:val="1500"/>
        </w:trPr>
        <w:tc>
          <w:tcPr>
            <w:tcW w:w="1135" w:type="dxa"/>
            <w:hideMark/>
          </w:tcPr>
          <w:p w14:paraId="0D0C1B99" w14:textId="4A50A28E" w:rsidR="00B97DDB" w:rsidRDefault="00B97DDB">
            <w:pPr>
              <w:rPr>
                <w:rFonts w:cstheme="minorHAnsi"/>
                <w:sz w:val="20"/>
              </w:rPr>
            </w:pPr>
            <w:r w:rsidRPr="00E865BA">
              <w:rPr>
                <w:rFonts w:cstheme="minorHAnsi"/>
                <w:sz w:val="20"/>
              </w:rPr>
              <w:t>22</w:t>
            </w:r>
            <w:r w:rsidR="001C724A">
              <w:rPr>
                <w:rFonts w:cstheme="minorHAnsi"/>
                <w:sz w:val="20"/>
              </w:rPr>
              <w:t>(d)</w:t>
            </w:r>
            <w:r w:rsidRPr="00E865BA">
              <w:rPr>
                <w:rFonts w:cstheme="minorHAnsi"/>
                <w:sz w:val="20"/>
              </w:rPr>
              <w:t>(vi)</w:t>
            </w:r>
          </w:p>
          <w:p w14:paraId="248B6E7C" w14:textId="5D8B9027" w:rsidR="00B97DDB" w:rsidRPr="00E865BA" w:rsidRDefault="00B97DDB">
            <w:pPr>
              <w:rPr>
                <w:rFonts w:cstheme="minorHAnsi"/>
                <w:sz w:val="20"/>
              </w:rPr>
            </w:pPr>
            <w:r w:rsidRPr="00C67C87">
              <w:rPr>
                <w:rFonts w:cstheme="minorHAnsi"/>
                <w:color w:val="FF0000"/>
                <w:sz w:val="20"/>
              </w:rPr>
              <w:t>28</w:t>
            </w:r>
            <w:r w:rsidR="004945BB">
              <w:rPr>
                <w:rFonts w:cstheme="minorHAnsi"/>
                <w:color w:val="FF0000"/>
                <w:sz w:val="20"/>
              </w:rPr>
              <w:t>(d)</w:t>
            </w:r>
            <w:r w:rsidRPr="00C67C87">
              <w:rPr>
                <w:rFonts w:cstheme="minorHAnsi"/>
                <w:color w:val="FF0000"/>
                <w:sz w:val="20"/>
              </w:rPr>
              <w:t>(vi)</w:t>
            </w:r>
          </w:p>
        </w:tc>
        <w:tc>
          <w:tcPr>
            <w:tcW w:w="5605" w:type="dxa"/>
            <w:hideMark/>
          </w:tcPr>
          <w:p w14:paraId="5B3122CF" w14:textId="77777777" w:rsidR="007604D5" w:rsidRDefault="00B97DDB">
            <w:pPr>
              <w:rPr>
                <w:b/>
                <w:sz w:val="20"/>
              </w:rPr>
            </w:pPr>
            <w:r w:rsidRPr="4911313A">
              <w:rPr>
                <w:b/>
                <w:sz w:val="20"/>
              </w:rPr>
              <w:t>Information to be included in clinical record</w:t>
            </w:r>
          </w:p>
          <w:p w14:paraId="2012C36B" w14:textId="2A5A09A7" w:rsidR="00354E71" w:rsidRDefault="00B97DDB">
            <w:pPr>
              <w:rPr>
                <w:sz w:val="20"/>
              </w:rPr>
            </w:pPr>
            <w:r w:rsidRPr="4911313A">
              <w:rPr>
                <w:sz w:val="20"/>
              </w:rPr>
              <w:t>The proprietor of a health service establishment must take reasonable steps to ensure that each clinical record contains the following information—</w:t>
            </w:r>
          </w:p>
          <w:p w14:paraId="4250D845" w14:textId="00270E89" w:rsidR="008B4665" w:rsidRPr="008B4665" w:rsidRDefault="008B4665" w:rsidP="00FC2734">
            <w:pPr>
              <w:pStyle w:val="ListParagraph"/>
              <w:numPr>
                <w:ilvl w:val="1"/>
                <w:numId w:val="30"/>
              </w:numPr>
              <w:rPr>
                <w:rFonts w:ascii="Arial" w:hAnsi="Arial" w:cs="Arial"/>
              </w:rPr>
            </w:pPr>
            <w:r w:rsidRPr="008B4665">
              <w:rPr>
                <w:rFonts w:ascii="Arial" w:hAnsi="Arial" w:cs="Arial"/>
              </w:rPr>
              <w:t>relevant clinical details of the patient including the following—</w:t>
            </w:r>
          </w:p>
          <w:p w14:paraId="141A63D7" w14:textId="401ADCBD" w:rsidR="00B97DDB" w:rsidRPr="00EA48C2" w:rsidRDefault="00B97DDB" w:rsidP="00EA48C2">
            <w:pPr>
              <w:pStyle w:val="ListParagraph"/>
              <w:rPr>
                <w:rFonts w:ascii="Arial" w:hAnsi="Arial" w:cs="Arial"/>
                <w:szCs w:val="20"/>
              </w:rPr>
            </w:pPr>
            <w:r w:rsidRPr="00EA48C2">
              <w:rPr>
                <w:rFonts w:ascii="Arial" w:hAnsi="Arial" w:cs="Arial"/>
                <w:strike/>
                <w:szCs w:val="20"/>
                <w:lang w:val="en-AU"/>
              </w:rPr>
              <w:t xml:space="preserve">pre-procedure </w:t>
            </w:r>
            <w:proofErr w:type="gramStart"/>
            <w:r w:rsidRPr="00EA48C2">
              <w:rPr>
                <w:rFonts w:ascii="Arial" w:hAnsi="Arial" w:cs="Arial"/>
                <w:strike/>
                <w:szCs w:val="20"/>
                <w:lang w:val="en-AU"/>
              </w:rPr>
              <w:t>assessment;</w:t>
            </w:r>
            <w:proofErr w:type="gramEnd"/>
            <w:r w:rsidRPr="00EA48C2">
              <w:rPr>
                <w:rFonts w:ascii="Arial" w:hAnsi="Arial" w:cs="Arial"/>
                <w:color w:val="FF0000"/>
                <w:szCs w:val="20"/>
                <w:lang w:val="en-AU"/>
              </w:rPr>
              <w:t xml:space="preserve"> clinical risk assessments conducted before a patient receives a health service, including a pre-admission assessment conducted in accordance with regulation 25.</w:t>
            </w:r>
          </w:p>
        </w:tc>
        <w:tc>
          <w:tcPr>
            <w:tcW w:w="3467" w:type="dxa"/>
          </w:tcPr>
          <w:p w14:paraId="5374EBF2" w14:textId="1A83197E" w:rsidR="00B97DDB" w:rsidRPr="00E865BA" w:rsidRDefault="00CA3624">
            <w:pPr>
              <w:rPr>
                <w:rFonts w:cstheme="minorHAnsi"/>
                <w:sz w:val="20"/>
              </w:rPr>
            </w:pPr>
            <w:r w:rsidRPr="00102832">
              <w:rPr>
                <w:sz w:val="20"/>
              </w:rPr>
              <w:t>Amends current requirement for contents of clinical record for each patient to reflect the required clinical assessments under the amended Regulations [see above] and ensure those are kept on the clinical record.</w:t>
            </w:r>
          </w:p>
        </w:tc>
        <w:tc>
          <w:tcPr>
            <w:tcW w:w="5528" w:type="dxa"/>
            <w:hideMark/>
          </w:tcPr>
          <w:p w14:paraId="478C8FA3" w14:textId="77777777" w:rsidR="00B97DDB" w:rsidRPr="00E865BA" w:rsidRDefault="00B97DDB">
            <w:pPr>
              <w:rPr>
                <w:rFonts w:cstheme="minorHAnsi"/>
                <w:sz w:val="20"/>
              </w:rPr>
            </w:pPr>
          </w:p>
        </w:tc>
      </w:tr>
      <w:tr w:rsidR="00B97DDB" w:rsidRPr="00E865BA" w14:paraId="4685083B" w14:textId="77777777" w:rsidTr="00B321B9">
        <w:trPr>
          <w:trHeight w:val="1200"/>
        </w:trPr>
        <w:tc>
          <w:tcPr>
            <w:tcW w:w="1135" w:type="dxa"/>
            <w:hideMark/>
          </w:tcPr>
          <w:p w14:paraId="218C39DC" w14:textId="77777777" w:rsidR="00B97DDB" w:rsidRDefault="00B97DDB">
            <w:pPr>
              <w:rPr>
                <w:rFonts w:cstheme="minorHAnsi"/>
                <w:sz w:val="20"/>
              </w:rPr>
            </w:pPr>
            <w:r w:rsidRPr="00E865BA">
              <w:rPr>
                <w:rFonts w:cstheme="minorHAnsi"/>
                <w:sz w:val="20"/>
              </w:rPr>
              <w:t>25(a)</w:t>
            </w:r>
          </w:p>
          <w:p w14:paraId="1B94668B" w14:textId="77777777" w:rsidR="00B97DDB" w:rsidRPr="00E865BA" w:rsidRDefault="00B97DDB">
            <w:pPr>
              <w:rPr>
                <w:rFonts w:cstheme="minorHAnsi"/>
                <w:sz w:val="20"/>
              </w:rPr>
            </w:pPr>
            <w:r w:rsidRPr="00CD7DCC">
              <w:rPr>
                <w:rFonts w:cstheme="minorHAnsi"/>
                <w:color w:val="FF0000"/>
                <w:sz w:val="20"/>
              </w:rPr>
              <w:t>31(a)</w:t>
            </w:r>
          </w:p>
        </w:tc>
        <w:tc>
          <w:tcPr>
            <w:tcW w:w="5605" w:type="dxa"/>
            <w:hideMark/>
          </w:tcPr>
          <w:p w14:paraId="4189027E" w14:textId="77777777" w:rsidR="008A1F5D" w:rsidRPr="00995B4E" w:rsidRDefault="00B97DDB" w:rsidP="008A1F5D">
            <w:pPr>
              <w:rPr>
                <w:rFonts w:cs="Arial"/>
                <w:sz w:val="20"/>
              </w:rPr>
            </w:pPr>
            <w:r w:rsidRPr="00995B4E">
              <w:rPr>
                <w:rFonts w:cs="Arial"/>
                <w:b/>
                <w:sz w:val="20"/>
              </w:rPr>
              <w:t xml:space="preserve">Respect, </w:t>
            </w:r>
            <w:proofErr w:type="gramStart"/>
            <w:r w:rsidRPr="00995B4E">
              <w:rPr>
                <w:rFonts w:cs="Arial"/>
                <w:b/>
                <w:sz w:val="20"/>
              </w:rPr>
              <w:t>dignity</w:t>
            </w:r>
            <w:proofErr w:type="gramEnd"/>
            <w:r w:rsidRPr="00995B4E">
              <w:rPr>
                <w:rFonts w:cs="Arial"/>
                <w:b/>
                <w:sz w:val="20"/>
              </w:rPr>
              <w:t xml:space="preserve"> and privacy</w:t>
            </w:r>
          </w:p>
          <w:p w14:paraId="6E92C618" w14:textId="77777777" w:rsidR="00995B4E" w:rsidRPr="00995B4E" w:rsidRDefault="00B97DDB" w:rsidP="00EF2216">
            <w:pPr>
              <w:rPr>
                <w:rFonts w:cs="Arial"/>
                <w:sz w:val="20"/>
              </w:rPr>
            </w:pPr>
            <w:r w:rsidRPr="00995B4E">
              <w:rPr>
                <w:rFonts w:cs="Arial"/>
                <w:sz w:val="20"/>
              </w:rPr>
              <w:t>The proprietor of a health service establishment must ensure that a patient—</w:t>
            </w:r>
          </w:p>
          <w:p w14:paraId="272EB020" w14:textId="1AEF6F6F" w:rsidR="00B97DDB" w:rsidRPr="00995B4E" w:rsidRDefault="00B97DDB" w:rsidP="00FC2734">
            <w:pPr>
              <w:pStyle w:val="ListParagraph"/>
              <w:numPr>
                <w:ilvl w:val="1"/>
                <w:numId w:val="31"/>
              </w:numPr>
              <w:rPr>
                <w:rFonts w:ascii="Arial" w:hAnsi="Arial" w:cs="Arial"/>
                <w:szCs w:val="20"/>
              </w:rPr>
            </w:pPr>
            <w:r w:rsidRPr="00995B4E">
              <w:rPr>
                <w:rFonts w:ascii="Arial" w:hAnsi="Arial" w:cs="Arial"/>
                <w:szCs w:val="20"/>
              </w:rPr>
              <w:t xml:space="preserve">is treated with dignity and respect, and with due regard to </w:t>
            </w:r>
            <w:r w:rsidRPr="00995B4E">
              <w:rPr>
                <w:rFonts w:ascii="Arial" w:hAnsi="Arial" w:cs="Arial"/>
                <w:strike/>
                <w:szCs w:val="20"/>
              </w:rPr>
              <w:t>his or her</w:t>
            </w:r>
            <w:r w:rsidRPr="00995B4E">
              <w:rPr>
                <w:rFonts w:ascii="Arial" w:hAnsi="Arial" w:cs="Arial"/>
                <w:szCs w:val="20"/>
              </w:rPr>
              <w:t xml:space="preserve"> </w:t>
            </w:r>
            <w:r w:rsidRPr="00995B4E">
              <w:rPr>
                <w:rFonts w:ascii="Arial" w:hAnsi="Arial" w:cs="Arial"/>
                <w:color w:val="FF0000"/>
                <w:szCs w:val="20"/>
              </w:rPr>
              <w:t>their gender identity</w:t>
            </w:r>
            <w:r w:rsidRPr="00995B4E">
              <w:rPr>
                <w:rFonts w:ascii="Arial" w:hAnsi="Arial" w:cs="Arial"/>
                <w:szCs w:val="20"/>
              </w:rPr>
              <w:t xml:space="preserve">, religious </w:t>
            </w:r>
            <w:proofErr w:type="gramStart"/>
            <w:r w:rsidRPr="00995B4E">
              <w:rPr>
                <w:rFonts w:ascii="Arial" w:hAnsi="Arial" w:cs="Arial"/>
                <w:szCs w:val="20"/>
              </w:rPr>
              <w:t>beliefs</w:t>
            </w:r>
            <w:proofErr w:type="gramEnd"/>
            <w:r w:rsidRPr="00995B4E">
              <w:rPr>
                <w:rFonts w:ascii="Arial" w:hAnsi="Arial" w:cs="Arial"/>
                <w:szCs w:val="20"/>
              </w:rPr>
              <w:t xml:space="preserve"> and ethnic and cultural practices; </w:t>
            </w:r>
          </w:p>
        </w:tc>
        <w:tc>
          <w:tcPr>
            <w:tcW w:w="3467" w:type="dxa"/>
          </w:tcPr>
          <w:p w14:paraId="452775FF" w14:textId="3275ABAD" w:rsidR="00B97DDB" w:rsidRPr="00E865BA" w:rsidRDefault="004E2AA8">
            <w:pPr>
              <w:rPr>
                <w:rFonts w:cstheme="minorHAnsi"/>
                <w:sz w:val="20"/>
              </w:rPr>
            </w:pPr>
            <w:r w:rsidRPr="00102832">
              <w:rPr>
                <w:sz w:val="20"/>
              </w:rPr>
              <w:t>Amends this existing provision to also require that due regard is had to gender identity, to promote inclusivity and aligning with the accreditation standards.</w:t>
            </w:r>
          </w:p>
        </w:tc>
        <w:tc>
          <w:tcPr>
            <w:tcW w:w="5528" w:type="dxa"/>
            <w:hideMark/>
          </w:tcPr>
          <w:p w14:paraId="15E67E39" w14:textId="77777777" w:rsidR="00B97DDB" w:rsidRPr="00E865BA" w:rsidRDefault="00B97DDB">
            <w:pPr>
              <w:rPr>
                <w:rFonts w:cstheme="minorHAnsi"/>
                <w:sz w:val="20"/>
              </w:rPr>
            </w:pPr>
          </w:p>
        </w:tc>
      </w:tr>
      <w:tr w:rsidR="00B97DDB" w:rsidRPr="00E865BA" w14:paraId="3C54391F" w14:textId="77777777" w:rsidTr="00B321B9">
        <w:trPr>
          <w:trHeight w:val="1800"/>
        </w:trPr>
        <w:tc>
          <w:tcPr>
            <w:tcW w:w="1135" w:type="dxa"/>
            <w:hideMark/>
          </w:tcPr>
          <w:p w14:paraId="789989C2" w14:textId="77777777" w:rsidR="00B97DDB" w:rsidRDefault="00B97DDB">
            <w:pPr>
              <w:rPr>
                <w:rFonts w:cstheme="minorHAnsi"/>
                <w:sz w:val="20"/>
              </w:rPr>
            </w:pPr>
            <w:r w:rsidRPr="00E865BA">
              <w:rPr>
                <w:rFonts w:cstheme="minorHAnsi"/>
                <w:sz w:val="20"/>
              </w:rPr>
              <w:lastRenderedPageBreak/>
              <w:t>28A</w:t>
            </w:r>
          </w:p>
          <w:p w14:paraId="3546DEDF" w14:textId="77777777" w:rsidR="00B97DDB" w:rsidRPr="00E865BA" w:rsidRDefault="00B97DDB">
            <w:pPr>
              <w:rPr>
                <w:rFonts w:cstheme="minorHAnsi"/>
                <w:sz w:val="20"/>
              </w:rPr>
            </w:pPr>
            <w:r w:rsidRPr="00CD7DCC">
              <w:rPr>
                <w:rFonts w:cstheme="minorHAnsi"/>
                <w:color w:val="FF0000"/>
                <w:sz w:val="20"/>
              </w:rPr>
              <w:t>37</w:t>
            </w:r>
          </w:p>
        </w:tc>
        <w:tc>
          <w:tcPr>
            <w:tcW w:w="5605" w:type="dxa"/>
            <w:hideMark/>
          </w:tcPr>
          <w:p w14:paraId="19890E2D" w14:textId="77777777" w:rsidR="000741CB" w:rsidRDefault="00B97DDB">
            <w:pPr>
              <w:rPr>
                <w:b/>
                <w:sz w:val="20"/>
              </w:rPr>
            </w:pPr>
            <w:r w:rsidRPr="4911313A">
              <w:rPr>
                <w:b/>
                <w:strike/>
                <w:sz w:val="20"/>
              </w:rPr>
              <w:t>Reversible</w:t>
            </w:r>
            <w:r w:rsidRPr="4911313A">
              <w:rPr>
                <w:b/>
                <w:sz w:val="20"/>
              </w:rPr>
              <w:t xml:space="preserve"> </w:t>
            </w:r>
            <w:r w:rsidRPr="4911313A">
              <w:rPr>
                <w:b/>
                <w:color w:val="FF0000"/>
                <w:sz w:val="20"/>
              </w:rPr>
              <w:t>Reversal</w:t>
            </w:r>
            <w:r w:rsidRPr="4911313A">
              <w:rPr>
                <w:b/>
                <w:sz w:val="20"/>
              </w:rPr>
              <w:t xml:space="preserve"> agents must be available</w:t>
            </w:r>
          </w:p>
          <w:p w14:paraId="7AE0F38A" w14:textId="0FF3DD9A" w:rsidR="00B97DDB" w:rsidRPr="00E865BA" w:rsidRDefault="00B97DDB">
            <w:pPr>
              <w:rPr>
                <w:sz w:val="20"/>
              </w:rPr>
            </w:pPr>
            <w:r w:rsidRPr="4911313A">
              <w:rPr>
                <w:sz w:val="20"/>
              </w:rPr>
              <w:t xml:space="preserve">If health services are provided at a health service establishment involving the use of anaesthesia or other sedation for which there are </w:t>
            </w:r>
            <w:r w:rsidRPr="004F17E8">
              <w:rPr>
                <w:strike/>
                <w:sz w:val="20"/>
              </w:rPr>
              <w:t>reversible</w:t>
            </w:r>
            <w:r>
              <w:rPr>
                <w:sz w:val="20"/>
              </w:rPr>
              <w:t xml:space="preserve"> </w:t>
            </w:r>
            <w:r w:rsidRPr="4911313A">
              <w:rPr>
                <w:color w:val="FF0000"/>
                <w:sz w:val="20"/>
              </w:rPr>
              <w:t>reversal</w:t>
            </w:r>
            <w:r w:rsidRPr="4911313A">
              <w:rPr>
                <w:sz w:val="20"/>
              </w:rPr>
              <w:t xml:space="preserve"> agents, the proprietor of the health service establishment must ensure that these </w:t>
            </w:r>
            <w:r w:rsidRPr="004F17E8">
              <w:rPr>
                <w:strike/>
                <w:sz w:val="20"/>
              </w:rPr>
              <w:t>reversible</w:t>
            </w:r>
            <w:r w:rsidRPr="4911313A">
              <w:rPr>
                <w:color w:val="FF0000"/>
                <w:sz w:val="20"/>
              </w:rPr>
              <w:t xml:space="preserve"> reversal</w:t>
            </w:r>
            <w:r w:rsidRPr="4911313A">
              <w:rPr>
                <w:sz w:val="20"/>
              </w:rPr>
              <w:t xml:space="preserve"> agents are available for immediate access at the premises of the health service establishment.</w:t>
            </w:r>
          </w:p>
        </w:tc>
        <w:tc>
          <w:tcPr>
            <w:tcW w:w="3467" w:type="dxa"/>
          </w:tcPr>
          <w:p w14:paraId="22EBEFDE" w14:textId="47E2550C" w:rsidR="00B97DDB" w:rsidRPr="00E865BA" w:rsidRDefault="00421B9C">
            <w:pPr>
              <w:rPr>
                <w:rFonts w:cstheme="minorHAnsi"/>
                <w:sz w:val="20"/>
              </w:rPr>
            </w:pPr>
            <w:r w:rsidRPr="00102832">
              <w:rPr>
                <w:sz w:val="20"/>
              </w:rPr>
              <w:t>Minor amendment to the language used for medications that must be on hand, to reflect industry accepted terminology.</w:t>
            </w:r>
          </w:p>
        </w:tc>
        <w:tc>
          <w:tcPr>
            <w:tcW w:w="5528" w:type="dxa"/>
            <w:hideMark/>
          </w:tcPr>
          <w:p w14:paraId="505DDF81" w14:textId="77777777" w:rsidR="00B97DDB" w:rsidRPr="00E865BA" w:rsidRDefault="00B97DDB">
            <w:pPr>
              <w:rPr>
                <w:rFonts w:cstheme="minorHAnsi"/>
                <w:sz w:val="20"/>
              </w:rPr>
            </w:pPr>
          </w:p>
        </w:tc>
      </w:tr>
      <w:tr w:rsidR="00B97DDB" w:rsidRPr="00E865BA" w14:paraId="53FE31DB" w14:textId="77777777" w:rsidTr="00B321B9">
        <w:trPr>
          <w:trHeight w:val="4200"/>
        </w:trPr>
        <w:tc>
          <w:tcPr>
            <w:tcW w:w="1135" w:type="dxa"/>
            <w:hideMark/>
          </w:tcPr>
          <w:p w14:paraId="06202B43" w14:textId="77777777" w:rsidR="00B97DDB" w:rsidRDefault="00B97DDB">
            <w:pPr>
              <w:rPr>
                <w:rFonts w:cstheme="minorHAnsi"/>
                <w:sz w:val="20"/>
              </w:rPr>
            </w:pPr>
            <w:r w:rsidRPr="00E865BA">
              <w:rPr>
                <w:rFonts w:cstheme="minorHAnsi"/>
                <w:sz w:val="20"/>
              </w:rPr>
              <w:t>34(3)(e)</w:t>
            </w:r>
          </w:p>
          <w:p w14:paraId="1B286A61" w14:textId="77777777" w:rsidR="00B97DDB" w:rsidRPr="00E865BA" w:rsidRDefault="00B97DDB">
            <w:pPr>
              <w:rPr>
                <w:rFonts w:cstheme="minorHAnsi"/>
                <w:sz w:val="20"/>
              </w:rPr>
            </w:pPr>
            <w:r w:rsidRPr="00CD7DCC">
              <w:rPr>
                <w:rFonts w:cstheme="minorHAnsi"/>
                <w:color w:val="FF0000"/>
                <w:sz w:val="20"/>
              </w:rPr>
              <w:t>44(3)(e)(f) and 44(4)</w:t>
            </w:r>
          </w:p>
        </w:tc>
        <w:tc>
          <w:tcPr>
            <w:tcW w:w="5605" w:type="dxa"/>
            <w:hideMark/>
          </w:tcPr>
          <w:p w14:paraId="7285263C" w14:textId="77777777" w:rsidR="00143CFD" w:rsidRPr="002B6D4C" w:rsidRDefault="00B97DDB" w:rsidP="00143CFD">
            <w:pPr>
              <w:rPr>
                <w:rFonts w:cs="Arial"/>
                <w:b/>
                <w:strike/>
                <w:sz w:val="20"/>
              </w:rPr>
            </w:pPr>
            <w:r w:rsidRPr="002B6D4C">
              <w:rPr>
                <w:rFonts w:cs="Arial"/>
                <w:b/>
                <w:sz w:val="20"/>
              </w:rPr>
              <w:t xml:space="preserve">Discharge information </w:t>
            </w:r>
            <w:r w:rsidRPr="002B6D4C">
              <w:rPr>
                <w:rFonts w:cs="Arial"/>
                <w:b/>
                <w:strike/>
                <w:sz w:val="20"/>
              </w:rPr>
              <w:t>to be given to patients</w:t>
            </w:r>
          </w:p>
          <w:p w14:paraId="1DCF625F" w14:textId="77777777" w:rsidR="008E2461" w:rsidRPr="002B6D4C" w:rsidRDefault="00B97DDB" w:rsidP="00FC2734">
            <w:pPr>
              <w:pStyle w:val="ListParagraph"/>
              <w:numPr>
                <w:ilvl w:val="0"/>
                <w:numId w:val="20"/>
              </w:numPr>
              <w:rPr>
                <w:rFonts w:ascii="Arial" w:hAnsi="Arial" w:cs="Arial"/>
                <w:szCs w:val="20"/>
              </w:rPr>
            </w:pPr>
            <w:r w:rsidRPr="002B6D4C">
              <w:rPr>
                <w:rFonts w:ascii="Arial" w:hAnsi="Arial" w:cs="Arial"/>
                <w:szCs w:val="20"/>
              </w:rPr>
              <w:t>A patient's discharge summary must include the following information—</w:t>
            </w:r>
          </w:p>
          <w:p w14:paraId="7215EB7F" w14:textId="77777777" w:rsidR="00162EF8" w:rsidRPr="002B6D4C" w:rsidRDefault="00B97DDB" w:rsidP="00FC2734">
            <w:pPr>
              <w:pStyle w:val="ListParagraph"/>
              <w:numPr>
                <w:ilvl w:val="1"/>
                <w:numId w:val="21"/>
              </w:numPr>
              <w:rPr>
                <w:rFonts w:ascii="Arial" w:hAnsi="Arial" w:cs="Arial"/>
                <w:szCs w:val="20"/>
              </w:rPr>
            </w:pPr>
            <w:r w:rsidRPr="002B6D4C">
              <w:rPr>
                <w:rFonts w:ascii="Arial" w:hAnsi="Arial" w:cs="Arial"/>
                <w:color w:val="FF0000"/>
                <w:szCs w:val="20"/>
              </w:rPr>
              <w:t xml:space="preserve">in the case of a patient of a private hospital who was admitted overnight, </w:t>
            </w:r>
            <w:r w:rsidRPr="002B6D4C">
              <w:rPr>
                <w:rFonts w:ascii="Arial" w:hAnsi="Arial" w:cs="Arial"/>
                <w:szCs w:val="20"/>
              </w:rPr>
              <w:t xml:space="preserve">a </w:t>
            </w:r>
            <w:r w:rsidRPr="002B6D4C">
              <w:rPr>
                <w:rFonts w:ascii="Arial" w:hAnsi="Arial" w:cs="Arial"/>
                <w:strike/>
                <w:szCs w:val="20"/>
              </w:rPr>
              <w:t>list</w:t>
            </w:r>
            <w:r w:rsidRPr="002B6D4C">
              <w:rPr>
                <w:rFonts w:ascii="Arial" w:hAnsi="Arial" w:cs="Arial"/>
                <w:szCs w:val="20"/>
              </w:rPr>
              <w:t xml:space="preserve"> </w:t>
            </w:r>
            <w:r w:rsidRPr="002B6D4C">
              <w:rPr>
                <w:rFonts w:ascii="Arial" w:hAnsi="Arial" w:cs="Arial"/>
                <w:color w:val="FF0000"/>
                <w:szCs w:val="20"/>
              </w:rPr>
              <w:t>summary</w:t>
            </w:r>
            <w:r w:rsidRPr="002B6D4C">
              <w:rPr>
                <w:rFonts w:ascii="Arial" w:hAnsi="Arial" w:cs="Arial"/>
                <w:szCs w:val="20"/>
              </w:rPr>
              <w:t xml:space="preserve"> of all medications currently prescribed for the patient, irrespective of whether the medication is in relation to the heath service received at the health service establishment, </w:t>
            </w:r>
            <w:r w:rsidRPr="002B6D4C">
              <w:rPr>
                <w:rFonts w:ascii="Arial" w:hAnsi="Arial" w:cs="Arial"/>
                <w:color w:val="FF0000"/>
                <w:szCs w:val="20"/>
              </w:rPr>
              <w:t xml:space="preserve">including cessations, variations or additions to the regular prescribed medication of the </w:t>
            </w:r>
            <w:proofErr w:type="gramStart"/>
            <w:r w:rsidRPr="002B6D4C">
              <w:rPr>
                <w:rFonts w:ascii="Arial" w:hAnsi="Arial" w:cs="Arial"/>
                <w:color w:val="FF0000"/>
                <w:szCs w:val="20"/>
              </w:rPr>
              <w:t>patient;</w:t>
            </w:r>
            <w:proofErr w:type="gramEnd"/>
          </w:p>
          <w:p w14:paraId="66CADE96" w14:textId="77777777" w:rsidR="0086383B" w:rsidRPr="002B6D4C" w:rsidRDefault="00B97DDB" w:rsidP="00FC2734">
            <w:pPr>
              <w:pStyle w:val="ListParagraph"/>
              <w:numPr>
                <w:ilvl w:val="1"/>
                <w:numId w:val="21"/>
              </w:numPr>
              <w:rPr>
                <w:rFonts w:ascii="Arial" w:hAnsi="Arial" w:cs="Arial"/>
                <w:szCs w:val="20"/>
              </w:rPr>
            </w:pPr>
            <w:r w:rsidRPr="002B6D4C">
              <w:rPr>
                <w:rFonts w:ascii="Arial" w:hAnsi="Arial" w:cs="Arial"/>
                <w:color w:val="FF0000"/>
                <w:szCs w:val="20"/>
              </w:rPr>
              <w:t>in the case of a patient of a private hospital who was admitted and discharged within one day, or a patient of a day procedure centre—</w:t>
            </w:r>
          </w:p>
          <w:p w14:paraId="0033C7DE" w14:textId="77777777" w:rsidR="0086383B" w:rsidRPr="002B6D4C" w:rsidRDefault="00B97DDB" w:rsidP="00FC2734">
            <w:pPr>
              <w:pStyle w:val="ListParagraph"/>
              <w:numPr>
                <w:ilvl w:val="2"/>
                <w:numId w:val="21"/>
              </w:numPr>
              <w:rPr>
                <w:rFonts w:ascii="Arial" w:hAnsi="Arial" w:cs="Arial"/>
                <w:szCs w:val="20"/>
              </w:rPr>
            </w:pPr>
            <w:r w:rsidRPr="002B6D4C">
              <w:rPr>
                <w:rFonts w:ascii="Arial" w:hAnsi="Arial" w:cs="Arial"/>
                <w:color w:val="FF0000"/>
                <w:szCs w:val="20"/>
              </w:rPr>
              <w:t>a list of medications prescribed for the patient at the time of discharge in relation to the health service provided to the patient by the health service establishment; and</w:t>
            </w:r>
          </w:p>
          <w:p w14:paraId="26E0CFDB" w14:textId="77777777" w:rsidR="00A0559C" w:rsidRPr="002B6D4C" w:rsidRDefault="00B97DDB" w:rsidP="00FC2734">
            <w:pPr>
              <w:pStyle w:val="ListParagraph"/>
              <w:numPr>
                <w:ilvl w:val="2"/>
                <w:numId w:val="21"/>
              </w:numPr>
              <w:rPr>
                <w:rFonts w:ascii="Arial" w:hAnsi="Arial" w:cs="Arial"/>
                <w:szCs w:val="20"/>
              </w:rPr>
            </w:pPr>
            <w:r w:rsidRPr="002B6D4C">
              <w:rPr>
                <w:rFonts w:ascii="Arial" w:hAnsi="Arial" w:cs="Arial"/>
                <w:color w:val="FF0000"/>
                <w:szCs w:val="20"/>
              </w:rPr>
              <w:lastRenderedPageBreak/>
              <w:t xml:space="preserve">a list of any changes made to the regular prescribed medication of the patient, including cessations, </w:t>
            </w:r>
            <w:proofErr w:type="gramStart"/>
            <w:r w:rsidRPr="002B6D4C">
              <w:rPr>
                <w:rFonts w:ascii="Arial" w:hAnsi="Arial" w:cs="Arial"/>
                <w:color w:val="FF0000"/>
                <w:szCs w:val="20"/>
              </w:rPr>
              <w:t>variations</w:t>
            </w:r>
            <w:proofErr w:type="gramEnd"/>
            <w:r w:rsidRPr="002B6D4C">
              <w:rPr>
                <w:rFonts w:ascii="Arial" w:hAnsi="Arial" w:cs="Arial"/>
                <w:color w:val="FF0000"/>
                <w:szCs w:val="20"/>
              </w:rPr>
              <w:t xml:space="preserve"> or additions to the regular prescribed medication of the patient.</w:t>
            </w:r>
          </w:p>
          <w:p w14:paraId="7885D830" w14:textId="7B10A8D8" w:rsidR="00B97DDB" w:rsidRPr="002B6D4C" w:rsidRDefault="00B97DDB" w:rsidP="00FC2734">
            <w:pPr>
              <w:pStyle w:val="ListParagraph"/>
              <w:numPr>
                <w:ilvl w:val="0"/>
                <w:numId w:val="21"/>
              </w:numPr>
              <w:rPr>
                <w:rFonts w:ascii="Arial" w:hAnsi="Arial" w:cs="Arial"/>
                <w:szCs w:val="20"/>
              </w:rPr>
            </w:pPr>
            <w:r w:rsidRPr="00A90E35">
              <w:rPr>
                <w:rFonts w:ascii="Arial" w:hAnsi="Arial" w:cs="Arial"/>
                <w:color w:val="FF0000"/>
                <w:szCs w:val="20"/>
                <w:lang w:val="en-AU"/>
              </w:rPr>
              <w:t xml:space="preserve">The proprietor of the health service establishment must have regard to the clinical profile of a patient in deciding the nature and detail of information to be included in a medication summary prepared in accordance with </w:t>
            </w:r>
            <w:proofErr w:type="spellStart"/>
            <w:r w:rsidRPr="00A90E35">
              <w:rPr>
                <w:rFonts w:ascii="Arial" w:hAnsi="Arial" w:cs="Arial"/>
                <w:color w:val="FF0000"/>
                <w:szCs w:val="20"/>
                <w:lang w:val="en-AU"/>
              </w:rPr>
              <w:t>subregulation</w:t>
            </w:r>
            <w:proofErr w:type="spellEnd"/>
            <w:r w:rsidRPr="00A90E35">
              <w:rPr>
                <w:rFonts w:ascii="Arial" w:hAnsi="Arial" w:cs="Arial"/>
                <w:color w:val="FF0000"/>
                <w:szCs w:val="20"/>
                <w:lang w:val="en-AU"/>
              </w:rPr>
              <w:t xml:space="preserve"> (3)(e).</w:t>
            </w:r>
          </w:p>
        </w:tc>
        <w:tc>
          <w:tcPr>
            <w:tcW w:w="3467" w:type="dxa"/>
          </w:tcPr>
          <w:p w14:paraId="61A953DF" w14:textId="77777777" w:rsidR="00C0742D" w:rsidRPr="00102832" w:rsidRDefault="00C0742D" w:rsidP="00C0742D">
            <w:pPr>
              <w:rPr>
                <w:rFonts w:cstheme="minorHAnsi"/>
                <w:sz w:val="20"/>
              </w:rPr>
            </w:pPr>
            <w:r w:rsidRPr="00102832">
              <w:rPr>
                <w:rFonts w:cstheme="minorHAnsi"/>
                <w:sz w:val="20"/>
              </w:rPr>
              <w:lastRenderedPageBreak/>
              <w:t>Amends the existing requirement for provision of information about medication on discharge, to</w:t>
            </w:r>
            <w:r w:rsidR="00B97DDB" w:rsidRPr="00E865BA">
              <w:rPr>
                <w:rFonts w:cstheme="minorHAnsi"/>
                <w:sz w:val="20"/>
              </w:rPr>
              <w:t xml:space="preserve"> allow some flexibility, </w:t>
            </w:r>
            <w:r w:rsidRPr="00102832">
              <w:rPr>
                <w:rFonts w:cstheme="minorHAnsi"/>
                <w:sz w:val="20"/>
              </w:rPr>
              <w:t>aligning</w:t>
            </w:r>
            <w:r w:rsidR="00B97DDB" w:rsidRPr="00E865BA">
              <w:rPr>
                <w:rFonts w:cstheme="minorHAnsi"/>
                <w:sz w:val="20"/>
              </w:rPr>
              <w:t xml:space="preserve"> with accreditation requirements and lessen regulatory burden on the sector.</w:t>
            </w:r>
          </w:p>
          <w:p w14:paraId="41C3982F" w14:textId="0FD408F6" w:rsidR="00B97DDB" w:rsidRPr="00E865BA" w:rsidRDefault="00B97DDB">
            <w:pPr>
              <w:rPr>
                <w:rFonts w:cstheme="minorHAnsi"/>
                <w:sz w:val="20"/>
              </w:rPr>
            </w:pPr>
          </w:p>
        </w:tc>
        <w:tc>
          <w:tcPr>
            <w:tcW w:w="5528" w:type="dxa"/>
            <w:hideMark/>
          </w:tcPr>
          <w:p w14:paraId="07B20889" w14:textId="77777777" w:rsidR="00B97DDB" w:rsidRPr="00E865BA" w:rsidRDefault="00B97DDB">
            <w:pPr>
              <w:rPr>
                <w:rFonts w:cstheme="minorHAnsi"/>
                <w:sz w:val="20"/>
              </w:rPr>
            </w:pPr>
          </w:p>
        </w:tc>
      </w:tr>
      <w:tr w:rsidR="00B97DDB" w:rsidRPr="00E865BA" w14:paraId="0F177190" w14:textId="77777777" w:rsidTr="00B321B9">
        <w:trPr>
          <w:trHeight w:val="6000"/>
        </w:trPr>
        <w:tc>
          <w:tcPr>
            <w:tcW w:w="1135" w:type="dxa"/>
            <w:hideMark/>
          </w:tcPr>
          <w:p w14:paraId="59CB8057" w14:textId="77777777" w:rsidR="00B97DDB" w:rsidRDefault="00B97DDB">
            <w:pPr>
              <w:rPr>
                <w:rFonts w:cstheme="minorHAnsi"/>
                <w:sz w:val="20"/>
              </w:rPr>
            </w:pPr>
            <w:r w:rsidRPr="00E865BA">
              <w:rPr>
                <w:rFonts w:cstheme="minorHAnsi"/>
                <w:sz w:val="20"/>
              </w:rPr>
              <w:lastRenderedPageBreak/>
              <w:t>37</w:t>
            </w:r>
          </w:p>
          <w:p w14:paraId="6F076504" w14:textId="77777777" w:rsidR="00B97DDB" w:rsidRPr="00E865BA" w:rsidRDefault="00B97DDB">
            <w:pPr>
              <w:rPr>
                <w:rFonts w:cstheme="minorHAnsi"/>
                <w:sz w:val="20"/>
              </w:rPr>
            </w:pPr>
            <w:r w:rsidRPr="0088020B">
              <w:rPr>
                <w:rFonts w:cstheme="minorHAnsi"/>
                <w:color w:val="FF0000"/>
                <w:sz w:val="20"/>
              </w:rPr>
              <w:t>47</w:t>
            </w:r>
          </w:p>
        </w:tc>
        <w:tc>
          <w:tcPr>
            <w:tcW w:w="5605" w:type="dxa"/>
            <w:hideMark/>
          </w:tcPr>
          <w:p w14:paraId="1B71590B" w14:textId="77777777" w:rsidR="00F03F05" w:rsidRDefault="00B97DDB">
            <w:pPr>
              <w:rPr>
                <w:b/>
                <w:sz w:val="20"/>
              </w:rPr>
            </w:pPr>
            <w:r w:rsidRPr="4911313A">
              <w:rPr>
                <w:b/>
                <w:strike/>
                <w:sz w:val="20"/>
              </w:rPr>
              <w:t>Operation Theatre</w:t>
            </w:r>
            <w:r w:rsidRPr="4911313A">
              <w:rPr>
                <w:b/>
                <w:sz w:val="20"/>
              </w:rPr>
              <w:t xml:space="preserve"> </w:t>
            </w:r>
            <w:r w:rsidRPr="4911313A">
              <w:rPr>
                <w:b/>
                <w:color w:val="FF0000"/>
                <w:sz w:val="20"/>
              </w:rPr>
              <w:t xml:space="preserve">Surgical Procedure </w:t>
            </w:r>
            <w:r w:rsidRPr="4911313A">
              <w:rPr>
                <w:b/>
                <w:sz w:val="20"/>
              </w:rPr>
              <w:t>Register</w:t>
            </w:r>
          </w:p>
          <w:p w14:paraId="547198BB" w14:textId="77777777" w:rsidR="00E2192B" w:rsidRPr="002B6D4C" w:rsidRDefault="00B97DDB" w:rsidP="00FC2734">
            <w:pPr>
              <w:pStyle w:val="ListParagraph"/>
              <w:numPr>
                <w:ilvl w:val="0"/>
                <w:numId w:val="22"/>
              </w:numPr>
              <w:rPr>
                <w:rFonts w:ascii="Arial" w:hAnsi="Arial" w:cs="Arial"/>
                <w:szCs w:val="20"/>
              </w:rPr>
            </w:pPr>
            <w:r w:rsidRPr="002B6D4C">
              <w:rPr>
                <w:rFonts w:ascii="Arial" w:hAnsi="Arial" w:cs="Arial"/>
                <w:szCs w:val="20"/>
              </w:rPr>
              <w:t xml:space="preserve">The proprietor of a health service establishment at which surgical health services or speciality health services for the provision of endoscopy may be </w:t>
            </w:r>
            <w:r w:rsidRPr="002B6D4C">
              <w:rPr>
                <w:rFonts w:ascii="Arial" w:hAnsi="Arial" w:cs="Arial"/>
                <w:strike/>
                <w:szCs w:val="20"/>
              </w:rPr>
              <w:t>carried on</w:t>
            </w:r>
            <w:r w:rsidRPr="002B6D4C">
              <w:rPr>
                <w:rFonts w:ascii="Arial" w:hAnsi="Arial" w:cs="Arial"/>
                <w:szCs w:val="20"/>
              </w:rPr>
              <w:t xml:space="preserve"> </w:t>
            </w:r>
            <w:r w:rsidRPr="002B6D4C">
              <w:rPr>
                <w:rFonts w:ascii="Arial" w:hAnsi="Arial" w:cs="Arial"/>
                <w:color w:val="FF0000"/>
                <w:szCs w:val="20"/>
              </w:rPr>
              <w:t xml:space="preserve">provided </w:t>
            </w:r>
            <w:r w:rsidRPr="002B6D4C">
              <w:rPr>
                <w:rFonts w:ascii="Arial" w:hAnsi="Arial" w:cs="Arial"/>
                <w:szCs w:val="20"/>
              </w:rPr>
              <w:t>must ensure that a</w:t>
            </w:r>
            <w:r w:rsidRPr="002B6D4C">
              <w:rPr>
                <w:rFonts w:ascii="Arial" w:hAnsi="Arial" w:cs="Arial"/>
                <w:strike/>
                <w:szCs w:val="20"/>
              </w:rPr>
              <w:t>n</w:t>
            </w:r>
            <w:r w:rsidRPr="002B6D4C">
              <w:rPr>
                <w:rFonts w:ascii="Arial" w:hAnsi="Arial" w:cs="Arial"/>
                <w:szCs w:val="20"/>
              </w:rPr>
              <w:t xml:space="preserve"> </w:t>
            </w:r>
            <w:r w:rsidRPr="002B6D4C">
              <w:rPr>
                <w:rFonts w:ascii="Arial" w:hAnsi="Arial" w:cs="Arial"/>
                <w:strike/>
                <w:szCs w:val="20"/>
              </w:rPr>
              <w:t>Operation Theatre</w:t>
            </w:r>
            <w:r w:rsidRPr="002B6D4C">
              <w:rPr>
                <w:rFonts w:ascii="Arial" w:hAnsi="Arial" w:cs="Arial"/>
                <w:szCs w:val="20"/>
              </w:rPr>
              <w:t xml:space="preserve"> </w:t>
            </w:r>
            <w:r w:rsidRPr="002B6D4C">
              <w:rPr>
                <w:rFonts w:ascii="Arial" w:hAnsi="Arial" w:cs="Arial"/>
                <w:color w:val="FF0000"/>
                <w:szCs w:val="20"/>
              </w:rPr>
              <w:t xml:space="preserve">Surgical Procedure </w:t>
            </w:r>
            <w:r w:rsidRPr="002B6D4C">
              <w:rPr>
                <w:rFonts w:ascii="Arial" w:hAnsi="Arial" w:cs="Arial"/>
                <w:szCs w:val="20"/>
              </w:rPr>
              <w:t xml:space="preserve">Register </w:t>
            </w:r>
            <w:r w:rsidRPr="002B6D4C">
              <w:rPr>
                <w:rFonts w:ascii="Arial" w:hAnsi="Arial" w:cs="Arial"/>
                <w:color w:val="FF0000"/>
                <w:szCs w:val="20"/>
              </w:rPr>
              <w:t xml:space="preserve">that complies with </w:t>
            </w:r>
            <w:proofErr w:type="spellStart"/>
            <w:r w:rsidRPr="002B6D4C">
              <w:rPr>
                <w:rFonts w:ascii="Arial" w:hAnsi="Arial" w:cs="Arial"/>
                <w:color w:val="FF0000"/>
                <w:szCs w:val="20"/>
              </w:rPr>
              <w:t>subregulation</w:t>
            </w:r>
            <w:proofErr w:type="spellEnd"/>
            <w:r w:rsidRPr="002B6D4C">
              <w:rPr>
                <w:rFonts w:ascii="Arial" w:hAnsi="Arial" w:cs="Arial"/>
                <w:color w:val="FF0000"/>
                <w:szCs w:val="20"/>
              </w:rPr>
              <w:t xml:space="preserve"> (2)</w:t>
            </w:r>
            <w:r w:rsidRPr="002B6D4C">
              <w:rPr>
                <w:rFonts w:ascii="Arial" w:hAnsi="Arial" w:cs="Arial"/>
                <w:szCs w:val="20"/>
              </w:rPr>
              <w:t xml:space="preserve"> is kept at the health service establishment.</w:t>
            </w:r>
          </w:p>
          <w:p w14:paraId="2CA54DBC" w14:textId="77777777" w:rsidR="00E2192B" w:rsidRPr="002B6D4C" w:rsidRDefault="00B97DDB" w:rsidP="00FC2734">
            <w:pPr>
              <w:pStyle w:val="ListParagraph"/>
              <w:numPr>
                <w:ilvl w:val="0"/>
                <w:numId w:val="22"/>
              </w:numPr>
              <w:rPr>
                <w:rFonts w:ascii="Arial" w:hAnsi="Arial" w:cs="Arial"/>
                <w:szCs w:val="20"/>
              </w:rPr>
            </w:pPr>
            <w:r w:rsidRPr="002B6D4C">
              <w:rPr>
                <w:rFonts w:ascii="Arial" w:hAnsi="Arial" w:cs="Arial"/>
                <w:szCs w:val="20"/>
              </w:rPr>
              <w:t xml:space="preserve">For the purposes of </w:t>
            </w:r>
            <w:proofErr w:type="spellStart"/>
            <w:r w:rsidRPr="002B6D4C">
              <w:rPr>
                <w:rFonts w:ascii="Arial" w:hAnsi="Arial" w:cs="Arial"/>
                <w:szCs w:val="20"/>
              </w:rPr>
              <w:t>subregulation</w:t>
            </w:r>
            <w:proofErr w:type="spellEnd"/>
            <w:r w:rsidRPr="002B6D4C">
              <w:rPr>
                <w:rFonts w:ascii="Arial" w:hAnsi="Arial" w:cs="Arial"/>
                <w:szCs w:val="20"/>
              </w:rPr>
              <w:t xml:space="preserve"> (1), a</w:t>
            </w:r>
            <w:r w:rsidRPr="002B6D4C">
              <w:rPr>
                <w:rFonts w:ascii="Arial" w:hAnsi="Arial" w:cs="Arial"/>
                <w:strike/>
                <w:szCs w:val="20"/>
              </w:rPr>
              <w:t>n</w:t>
            </w:r>
            <w:r w:rsidRPr="002B6D4C">
              <w:rPr>
                <w:rFonts w:ascii="Arial" w:hAnsi="Arial" w:cs="Arial"/>
                <w:szCs w:val="20"/>
              </w:rPr>
              <w:t xml:space="preserve"> </w:t>
            </w:r>
            <w:r w:rsidRPr="002B6D4C">
              <w:rPr>
                <w:rFonts w:ascii="Arial" w:hAnsi="Arial" w:cs="Arial"/>
                <w:strike/>
                <w:szCs w:val="20"/>
              </w:rPr>
              <w:t>Operation Theatre</w:t>
            </w:r>
            <w:r w:rsidRPr="002B6D4C">
              <w:rPr>
                <w:rFonts w:ascii="Arial" w:hAnsi="Arial" w:cs="Arial"/>
                <w:szCs w:val="20"/>
              </w:rPr>
              <w:t xml:space="preserve"> </w:t>
            </w:r>
            <w:r w:rsidRPr="002B6D4C">
              <w:rPr>
                <w:rFonts w:ascii="Arial" w:hAnsi="Arial" w:cs="Arial"/>
                <w:color w:val="FF0000"/>
                <w:szCs w:val="20"/>
              </w:rPr>
              <w:t>Surgical Procedure</w:t>
            </w:r>
            <w:r w:rsidRPr="002B6D4C">
              <w:rPr>
                <w:rFonts w:ascii="Arial" w:hAnsi="Arial" w:cs="Arial"/>
                <w:szCs w:val="20"/>
              </w:rPr>
              <w:t xml:space="preserve"> Register must be in writing and contain the following </w:t>
            </w:r>
            <w:r w:rsidRPr="002B6D4C">
              <w:rPr>
                <w:rFonts w:ascii="Arial" w:hAnsi="Arial" w:cs="Arial"/>
                <w:strike/>
                <w:szCs w:val="20"/>
              </w:rPr>
              <w:t>information</w:t>
            </w:r>
            <w:r w:rsidRPr="002B6D4C">
              <w:rPr>
                <w:rFonts w:ascii="Arial" w:hAnsi="Arial" w:cs="Arial"/>
                <w:szCs w:val="20"/>
              </w:rPr>
              <w:t xml:space="preserve"> </w:t>
            </w:r>
            <w:r w:rsidRPr="002B6D4C">
              <w:rPr>
                <w:rFonts w:ascii="Arial" w:hAnsi="Arial" w:cs="Arial"/>
                <w:color w:val="FF0000"/>
                <w:szCs w:val="20"/>
              </w:rPr>
              <w:t xml:space="preserve">records </w:t>
            </w:r>
            <w:r w:rsidRPr="002B6D4C">
              <w:rPr>
                <w:rFonts w:ascii="Arial" w:hAnsi="Arial" w:cs="Arial"/>
                <w:szCs w:val="20"/>
              </w:rPr>
              <w:t>with respect to each procedure performed at the health service establishment—</w:t>
            </w:r>
          </w:p>
          <w:p w14:paraId="76237CCE" w14:textId="77777777" w:rsidR="00E2192B" w:rsidRPr="002B6D4C" w:rsidRDefault="00B97DDB" w:rsidP="00FC2734">
            <w:pPr>
              <w:pStyle w:val="ListParagraph"/>
              <w:numPr>
                <w:ilvl w:val="1"/>
                <w:numId w:val="23"/>
              </w:numPr>
              <w:rPr>
                <w:rFonts w:ascii="Arial" w:hAnsi="Arial" w:cs="Arial"/>
                <w:szCs w:val="20"/>
              </w:rPr>
            </w:pPr>
            <w:r w:rsidRPr="002B6D4C">
              <w:rPr>
                <w:rFonts w:ascii="Arial" w:hAnsi="Arial" w:cs="Arial"/>
                <w:szCs w:val="20"/>
              </w:rPr>
              <w:t xml:space="preserve">the date and time of the </w:t>
            </w:r>
            <w:proofErr w:type="gramStart"/>
            <w:r w:rsidRPr="002B6D4C">
              <w:rPr>
                <w:rFonts w:ascii="Arial" w:hAnsi="Arial" w:cs="Arial"/>
                <w:szCs w:val="20"/>
              </w:rPr>
              <w:t>procedure;</w:t>
            </w:r>
            <w:proofErr w:type="gramEnd"/>
          </w:p>
          <w:p w14:paraId="59D61890" w14:textId="77777777" w:rsidR="003638C3" w:rsidRPr="002B6D4C" w:rsidRDefault="00B97DDB" w:rsidP="00FC2734">
            <w:pPr>
              <w:pStyle w:val="ListParagraph"/>
              <w:numPr>
                <w:ilvl w:val="1"/>
                <w:numId w:val="23"/>
              </w:numPr>
              <w:rPr>
                <w:rFonts w:ascii="Arial" w:hAnsi="Arial" w:cs="Arial"/>
                <w:szCs w:val="20"/>
              </w:rPr>
            </w:pPr>
            <w:r w:rsidRPr="002B6D4C">
              <w:rPr>
                <w:rFonts w:ascii="Arial" w:hAnsi="Arial" w:cs="Arial"/>
                <w:szCs w:val="20"/>
              </w:rPr>
              <w:t xml:space="preserve">the unit record number of the </w:t>
            </w:r>
            <w:proofErr w:type="gramStart"/>
            <w:r w:rsidRPr="002B6D4C">
              <w:rPr>
                <w:rFonts w:ascii="Arial" w:hAnsi="Arial" w:cs="Arial"/>
                <w:szCs w:val="20"/>
              </w:rPr>
              <w:t>patient;</w:t>
            </w:r>
            <w:proofErr w:type="gramEnd"/>
          </w:p>
          <w:p w14:paraId="5A1FA7CE" w14:textId="77777777" w:rsidR="003638C3" w:rsidRPr="002B6D4C" w:rsidRDefault="00B97DDB" w:rsidP="00FC2734">
            <w:pPr>
              <w:pStyle w:val="ListParagraph"/>
              <w:numPr>
                <w:ilvl w:val="1"/>
                <w:numId w:val="23"/>
              </w:numPr>
              <w:rPr>
                <w:rFonts w:ascii="Arial" w:hAnsi="Arial" w:cs="Arial"/>
                <w:szCs w:val="20"/>
              </w:rPr>
            </w:pPr>
            <w:r w:rsidRPr="002B6D4C">
              <w:rPr>
                <w:rFonts w:ascii="Arial" w:hAnsi="Arial" w:cs="Arial"/>
                <w:szCs w:val="20"/>
              </w:rPr>
              <w:t xml:space="preserve">the full name of the patient, </w:t>
            </w:r>
            <w:r w:rsidRPr="002B6D4C">
              <w:rPr>
                <w:rFonts w:ascii="Arial" w:hAnsi="Arial" w:cs="Arial"/>
                <w:strike/>
                <w:szCs w:val="20"/>
              </w:rPr>
              <w:t>his or her</w:t>
            </w:r>
            <w:r w:rsidRPr="002B6D4C">
              <w:rPr>
                <w:rFonts w:ascii="Arial" w:hAnsi="Arial" w:cs="Arial"/>
                <w:szCs w:val="20"/>
              </w:rPr>
              <w:t xml:space="preserve"> </w:t>
            </w:r>
            <w:r w:rsidRPr="002B6D4C">
              <w:rPr>
                <w:rFonts w:ascii="Arial" w:hAnsi="Arial" w:cs="Arial"/>
                <w:color w:val="FF0000"/>
                <w:szCs w:val="20"/>
              </w:rPr>
              <w:t xml:space="preserve">their </w:t>
            </w:r>
            <w:r w:rsidRPr="002B6D4C">
              <w:rPr>
                <w:rFonts w:ascii="Arial" w:hAnsi="Arial" w:cs="Arial"/>
                <w:szCs w:val="20"/>
              </w:rPr>
              <w:t xml:space="preserve">sex and date of </w:t>
            </w:r>
            <w:proofErr w:type="gramStart"/>
            <w:r w:rsidRPr="002B6D4C">
              <w:rPr>
                <w:rFonts w:ascii="Arial" w:hAnsi="Arial" w:cs="Arial"/>
                <w:szCs w:val="20"/>
              </w:rPr>
              <w:t>birth;</w:t>
            </w:r>
            <w:proofErr w:type="gramEnd"/>
          </w:p>
          <w:p w14:paraId="6B08688F" w14:textId="77777777" w:rsidR="003638C3" w:rsidRPr="002B6D4C" w:rsidRDefault="00B97DDB" w:rsidP="00FC2734">
            <w:pPr>
              <w:pStyle w:val="ListParagraph"/>
              <w:numPr>
                <w:ilvl w:val="1"/>
                <w:numId w:val="23"/>
              </w:numPr>
              <w:rPr>
                <w:rFonts w:ascii="Arial" w:hAnsi="Arial" w:cs="Arial"/>
                <w:szCs w:val="20"/>
              </w:rPr>
            </w:pPr>
            <w:r w:rsidRPr="002B6D4C">
              <w:rPr>
                <w:rFonts w:ascii="Arial" w:hAnsi="Arial" w:cs="Arial"/>
                <w:szCs w:val="20"/>
              </w:rPr>
              <w:t xml:space="preserve">the nature of the </w:t>
            </w:r>
            <w:proofErr w:type="gramStart"/>
            <w:r w:rsidRPr="002B6D4C">
              <w:rPr>
                <w:rFonts w:ascii="Arial" w:hAnsi="Arial" w:cs="Arial"/>
                <w:szCs w:val="20"/>
              </w:rPr>
              <w:t>procedure;</w:t>
            </w:r>
            <w:proofErr w:type="gramEnd"/>
          </w:p>
          <w:p w14:paraId="2FF77597" w14:textId="77777777" w:rsidR="003638C3" w:rsidRPr="002B6D4C" w:rsidRDefault="00B97DDB" w:rsidP="00FC2734">
            <w:pPr>
              <w:pStyle w:val="ListParagraph"/>
              <w:numPr>
                <w:ilvl w:val="1"/>
                <w:numId w:val="23"/>
              </w:numPr>
              <w:rPr>
                <w:rFonts w:ascii="Arial" w:hAnsi="Arial" w:cs="Arial"/>
                <w:szCs w:val="20"/>
              </w:rPr>
            </w:pPr>
            <w:r w:rsidRPr="002B6D4C">
              <w:rPr>
                <w:rFonts w:ascii="Arial" w:hAnsi="Arial" w:cs="Arial"/>
                <w:szCs w:val="20"/>
              </w:rPr>
              <w:t>the name of the registered health practitioner undertaking the procedure and assistant (if any</w:t>
            </w:r>
            <w:proofErr w:type="gramStart"/>
            <w:r w:rsidRPr="002B6D4C">
              <w:rPr>
                <w:rFonts w:ascii="Arial" w:hAnsi="Arial" w:cs="Arial"/>
                <w:szCs w:val="20"/>
              </w:rPr>
              <w:t>);</w:t>
            </w:r>
            <w:proofErr w:type="gramEnd"/>
          </w:p>
          <w:p w14:paraId="03B9F4C1" w14:textId="77777777" w:rsidR="003638C3" w:rsidRPr="002B6D4C" w:rsidRDefault="00B97DDB" w:rsidP="00FC2734">
            <w:pPr>
              <w:pStyle w:val="ListParagraph"/>
              <w:numPr>
                <w:ilvl w:val="1"/>
                <w:numId w:val="23"/>
              </w:numPr>
              <w:rPr>
                <w:rFonts w:ascii="Arial" w:hAnsi="Arial" w:cs="Arial"/>
                <w:szCs w:val="20"/>
              </w:rPr>
            </w:pPr>
            <w:r w:rsidRPr="002B6D4C">
              <w:rPr>
                <w:rFonts w:ascii="Arial" w:hAnsi="Arial" w:cs="Arial"/>
                <w:szCs w:val="20"/>
              </w:rPr>
              <w:t>the name of the anaesthetist and assistant (if any</w:t>
            </w:r>
            <w:proofErr w:type="gramStart"/>
            <w:r w:rsidRPr="002B6D4C">
              <w:rPr>
                <w:rFonts w:ascii="Arial" w:hAnsi="Arial" w:cs="Arial"/>
                <w:szCs w:val="20"/>
              </w:rPr>
              <w:t>);</w:t>
            </w:r>
            <w:proofErr w:type="gramEnd"/>
          </w:p>
          <w:p w14:paraId="6BBDE74E" w14:textId="77777777" w:rsidR="003638C3" w:rsidRPr="002B6D4C" w:rsidRDefault="00B97DDB" w:rsidP="00FC2734">
            <w:pPr>
              <w:pStyle w:val="ListParagraph"/>
              <w:numPr>
                <w:ilvl w:val="1"/>
                <w:numId w:val="23"/>
              </w:numPr>
              <w:rPr>
                <w:rFonts w:ascii="Arial" w:hAnsi="Arial" w:cs="Arial"/>
                <w:szCs w:val="20"/>
              </w:rPr>
            </w:pPr>
            <w:r w:rsidRPr="002B6D4C">
              <w:rPr>
                <w:rFonts w:ascii="Arial" w:hAnsi="Arial" w:cs="Arial"/>
                <w:szCs w:val="20"/>
              </w:rPr>
              <w:t xml:space="preserve">the names of attending </w:t>
            </w:r>
            <w:r w:rsidRPr="002B6D4C">
              <w:rPr>
                <w:rFonts w:ascii="Arial" w:hAnsi="Arial" w:cs="Arial"/>
                <w:strike/>
                <w:szCs w:val="20"/>
              </w:rPr>
              <w:t>theatre</w:t>
            </w:r>
            <w:r w:rsidRPr="002B6D4C">
              <w:rPr>
                <w:rFonts w:ascii="Arial" w:hAnsi="Arial" w:cs="Arial"/>
                <w:szCs w:val="20"/>
              </w:rPr>
              <w:t xml:space="preserve"> </w:t>
            </w:r>
            <w:r w:rsidRPr="002B6D4C">
              <w:rPr>
                <w:rFonts w:ascii="Arial" w:hAnsi="Arial" w:cs="Arial"/>
                <w:color w:val="FF0000"/>
                <w:szCs w:val="20"/>
              </w:rPr>
              <w:t>clinical</w:t>
            </w:r>
            <w:r w:rsidRPr="002B6D4C">
              <w:rPr>
                <w:rFonts w:ascii="Arial" w:hAnsi="Arial" w:cs="Arial"/>
                <w:szCs w:val="20"/>
              </w:rPr>
              <w:t xml:space="preserve"> </w:t>
            </w:r>
            <w:proofErr w:type="gramStart"/>
            <w:r w:rsidRPr="002B6D4C">
              <w:rPr>
                <w:rFonts w:ascii="Arial" w:hAnsi="Arial" w:cs="Arial"/>
                <w:szCs w:val="20"/>
              </w:rPr>
              <w:t>staff;</w:t>
            </w:r>
            <w:proofErr w:type="gramEnd"/>
          </w:p>
          <w:p w14:paraId="4DCCD010" w14:textId="77777777" w:rsidR="003638C3" w:rsidRPr="002B6D4C" w:rsidRDefault="00B97DDB" w:rsidP="00FC2734">
            <w:pPr>
              <w:pStyle w:val="ListParagraph"/>
              <w:numPr>
                <w:ilvl w:val="1"/>
                <w:numId w:val="23"/>
              </w:numPr>
              <w:rPr>
                <w:rFonts w:ascii="Arial" w:hAnsi="Arial" w:cs="Arial"/>
                <w:szCs w:val="20"/>
              </w:rPr>
            </w:pPr>
            <w:r w:rsidRPr="002B6D4C">
              <w:rPr>
                <w:rFonts w:ascii="Arial" w:hAnsi="Arial" w:cs="Arial"/>
                <w:szCs w:val="20"/>
              </w:rPr>
              <w:t xml:space="preserve">any remarks concerning the outcome of the </w:t>
            </w:r>
            <w:proofErr w:type="gramStart"/>
            <w:r w:rsidRPr="002B6D4C">
              <w:rPr>
                <w:rFonts w:ascii="Arial" w:hAnsi="Arial" w:cs="Arial"/>
                <w:szCs w:val="20"/>
              </w:rPr>
              <w:t>procedure;</w:t>
            </w:r>
            <w:proofErr w:type="gramEnd"/>
          </w:p>
          <w:p w14:paraId="09BB3B60" w14:textId="275E64AF" w:rsidR="00B97DDB" w:rsidRPr="002B6D4C" w:rsidRDefault="00B97DDB" w:rsidP="00FC2734">
            <w:pPr>
              <w:pStyle w:val="ListParagraph"/>
              <w:numPr>
                <w:ilvl w:val="1"/>
                <w:numId w:val="23"/>
              </w:numPr>
              <w:rPr>
                <w:rFonts w:ascii="Arial" w:hAnsi="Arial" w:cs="Arial"/>
                <w:szCs w:val="20"/>
              </w:rPr>
            </w:pPr>
            <w:r w:rsidRPr="00F03F05">
              <w:rPr>
                <w:rFonts w:ascii="Arial" w:hAnsi="Arial" w:cs="Arial"/>
                <w:szCs w:val="20"/>
                <w:lang w:val="en-AU"/>
              </w:rPr>
              <w:t>any anaesthetic or procedural complications encountered.</w:t>
            </w:r>
          </w:p>
        </w:tc>
        <w:tc>
          <w:tcPr>
            <w:tcW w:w="3467" w:type="dxa"/>
          </w:tcPr>
          <w:p w14:paraId="6EE17B28" w14:textId="5468897A" w:rsidR="00B97DDB" w:rsidRPr="00E865BA" w:rsidRDefault="00E22FE4">
            <w:pPr>
              <w:rPr>
                <w:rFonts w:cstheme="minorHAnsi"/>
                <w:sz w:val="20"/>
              </w:rPr>
            </w:pPr>
            <w:r w:rsidRPr="00102832">
              <w:rPr>
                <w:sz w:val="20"/>
              </w:rPr>
              <w:t>Makes a minor amendment to the existing requirement to keep a register of certain procedures to clarify or remove ambiguity - ensure the required register is kept for all surgical services and endoscopy specialist services regardless of where in the facility they are performed.</w:t>
            </w:r>
          </w:p>
        </w:tc>
        <w:tc>
          <w:tcPr>
            <w:tcW w:w="5528" w:type="dxa"/>
            <w:hideMark/>
          </w:tcPr>
          <w:p w14:paraId="5B3EB0F4" w14:textId="77777777" w:rsidR="00B97DDB" w:rsidRPr="00E865BA" w:rsidRDefault="00B97DDB">
            <w:pPr>
              <w:rPr>
                <w:rFonts w:cstheme="minorHAnsi"/>
                <w:sz w:val="20"/>
              </w:rPr>
            </w:pPr>
          </w:p>
        </w:tc>
      </w:tr>
      <w:tr w:rsidR="00B97DDB" w:rsidRPr="00E865BA" w14:paraId="520FA310" w14:textId="77777777" w:rsidTr="00B321B9">
        <w:trPr>
          <w:trHeight w:val="1200"/>
        </w:trPr>
        <w:tc>
          <w:tcPr>
            <w:tcW w:w="1135" w:type="dxa"/>
            <w:hideMark/>
          </w:tcPr>
          <w:p w14:paraId="116C4A87" w14:textId="77777777" w:rsidR="00B97DDB" w:rsidRPr="00E865BA" w:rsidRDefault="00B97DDB">
            <w:pPr>
              <w:rPr>
                <w:rFonts w:cstheme="minorHAnsi"/>
                <w:sz w:val="20"/>
              </w:rPr>
            </w:pPr>
            <w:r w:rsidRPr="00E865BA">
              <w:rPr>
                <w:rFonts w:cstheme="minorHAnsi"/>
                <w:sz w:val="20"/>
              </w:rPr>
              <w:lastRenderedPageBreak/>
              <w:t>41</w:t>
            </w:r>
          </w:p>
        </w:tc>
        <w:tc>
          <w:tcPr>
            <w:tcW w:w="5605" w:type="dxa"/>
            <w:hideMark/>
          </w:tcPr>
          <w:p w14:paraId="08532A73" w14:textId="77777777" w:rsidR="00630446" w:rsidRDefault="00B97DDB">
            <w:pPr>
              <w:rPr>
                <w:b/>
                <w:strike/>
                <w:sz w:val="20"/>
              </w:rPr>
            </w:pPr>
            <w:r w:rsidRPr="4911313A">
              <w:rPr>
                <w:b/>
                <w:strike/>
                <w:sz w:val="20"/>
              </w:rPr>
              <w:t>Prevention of scalding</w:t>
            </w:r>
          </w:p>
          <w:p w14:paraId="0273CCC7" w14:textId="2E1F7834" w:rsidR="00B97DDB" w:rsidRPr="00CD7DCC" w:rsidRDefault="00B97DDB">
            <w:pPr>
              <w:rPr>
                <w:strike/>
                <w:sz w:val="20"/>
              </w:rPr>
            </w:pPr>
            <w:r w:rsidRPr="4911313A">
              <w:rPr>
                <w:strike/>
                <w:sz w:val="20"/>
              </w:rPr>
              <w:t xml:space="preserve">The proprietor of a health service establishment must ensure that every bath, </w:t>
            </w:r>
            <w:proofErr w:type="gramStart"/>
            <w:r w:rsidRPr="4911313A">
              <w:rPr>
                <w:strike/>
                <w:sz w:val="20"/>
              </w:rPr>
              <w:t>shower</w:t>
            </w:r>
            <w:proofErr w:type="gramEnd"/>
            <w:r w:rsidRPr="4911313A">
              <w:rPr>
                <w:strike/>
                <w:sz w:val="20"/>
              </w:rPr>
              <w:t xml:space="preserve"> and hand basin used by patients is installed with a system or mechanism to avoid the risk of scalding by controlling the outlet temperature of hot water.</w:t>
            </w:r>
          </w:p>
        </w:tc>
        <w:tc>
          <w:tcPr>
            <w:tcW w:w="3467" w:type="dxa"/>
          </w:tcPr>
          <w:p w14:paraId="2F839675" w14:textId="496EEB6E" w:rsidR="00B97DDB" w:rsidRPr="00E865BA" w:rsidRDefault="002A1C16">
            <w:pPr>
              <w:rPr>
                <w:rFonts w:cstheme="minorHAnsi"/>
                <w:sz w:val="20"/>
              </w:rPr>
            </w:pPr>
            <w:r w:rsidRPr="00102832">
              <w:rPr>
                <w:rFonts w:cstheme="minorHAnsi"/>
                <w:sz w:val="20"/>
              </w:rPr>
              <w:t>Deletes this provision as it is duplicative of other existing legal standards with which facilities are required to comply</w:t>
            </w:r>
          </w:p>
        </w:tc>
        <w:tc>
          <w:tcPr>
            <w:tcW w:w="5528" w:type="dxa"/>
            <w:hideMark/>
          </w:tcPr>
          <w:p w14:paraId="662FC7C4" w14:textId="77777777" w:rsidR="00B97DDB" w:rsidRPr="00E865BA" w:rsidRDefault="00B97DDB">
            <w:pPr>
              <w:rPr>
                <w:rFonts w:cstheme="minorHAnsi"/>
                <w:sz w:val="20"/>
              </w:rPr>
            </w:pPr>
          </w:p>
        </w:tc>
      </w:tr>
      <w:tr w:rsidR="00B97DDB" w:rsidRPr="00E865BA" w14:paraId="4444B7A5" w14:textId="77777777" w:rsidTr="00B321B9">
        <w:trPr>
          <w:trHeight w:val="3300"/>
        </w:trPr>
        <w:tc>
          <w:tcPr>
            <w:tcW w:w="1135" w:type="dxa"/>
            <w:hideMark/>
          </w:tcPr>
          <w:p w14:paraId="3CEF7621" w14:textId="77777777" w:rsidR="00B97DDB" w:rsidRDefault="00B97DDB">
            <w:pPr>
              <w:rPr>
                <w:rFonts w:cstheme="minorHAnsi"/>
                <w:sz w:val="20"/>
              </w:rPr>
            </w:pPr>
            <w:r w:rsidRPr="00E865BA">
              <w:rPr>
                <w:rFonts w:cstheme="minorHAnsi"/>
                <w:sz w:val="20"/>
              </w:rPr>
              <w:t>4</w:t>
            </w:r>
            <w:r>
              <w:rPr>
                <w:rFonts w:cstheme="minorHAnsi"/>
                <w:sz w:val="20"/>
              </w:rPr>
              <w:t>5</w:t>
            </w:r>
          </w:p>
          <w:p w14:paraId="4993973F" w14:textId="77777777" w:rsidR="00B97DDB" w:rsidRPr="00E865BA" w:rsidRDefault="00B97DDB">
            <w:pPr>
              <w:rPr>
                <w:rFonts w:cstheme="minorHAnsi"/>
                <w:sz w:val="20"/>
              </w:rPr>
            </w:pPr>
            <w:r w:rsidRPr="00CD7DCC">
              <w:rPr>
                <w:rFonts w:cstheme="minorHAnsi"/>
                <w:color w:val="FF0000"/>
                <w:sz w:val="20"/>
              </w:rPr>
              <w:t>5</w:t>
            </w:r>
            <w:r>
              <w:rPr>
                <w:rFonts w:cstheme="minorHAnsi"/>
                <w:color w:val="FF0000"/>
                <w:sz w:val="20"/>
              </w:rPr>
              <w:t>7</w:t>
            </w:r>
          </w:p>
        </w:tc>
        <w:tc>
          <w:tcPr>
            <w:tcW w:w="5605" w:type="dxa"/>
            <w:hideMark/>
          </w:tcPr>
          <w:p w14:paraId="7471F0D8" w14:textId="77777777" w:rsidR="008301C8" w:rsidRPr="002B6D4C" w:rsidRDefault="00B97DDB" w:rsidP="008301C8">
            <w:pPr>
              <w:rPr>
                <w:rFonts w:cs="Arial"/>
                <w:sz w:val="20"/>
              </w:rPr>
            </w:pPr>
            <w:r w:rsidRPr="002B6D4C">
              <w:rPr>
                <w:rFonts w:cs="Arial"/>
                <w:b/>
                <w:sz w:val="20"/>
              </w:rPr>
              <w:t>Information to be prominently displayed</w:t>
            </w:r>
          </w:p>
          <w:p w14:paraId="130F3965" w14:textId="77777777" w:rsidR="006A1801" w:rsidRPr="002B6D4C" w:rsidRDefault="00B97DDB" w:rsidP="006A1801">
            <w:pPr>
              <w:rPr>
                <w:rFonts w:cs="Arial"/>
                <w:sz w:val="20"/>
              </w:rPr>
            </w:pPr>
            <w:r w:rsidRPr="002B6D4C">
              <w:rPr>
                <w:rFonts w:cs="Arial"/>
                <w:sz w:val="20"/>
              </w:rPr>
              <w:t>The proprietor of a health service establishment must display in a prominent position at the entrance foyer or reception area of the health service establishment the following information—</w:t>
            </w:r>
          </w:p>
          <w:p w14:paraId="7B9D8EA2" w14:textId="77777777" w:rsidR="00436633" w:rsidRPr="002B6D4C" w:rsidRDefault="00B97DDB" w:rsidP="00FC2734">
            <w:pPr>
              <w:pStyle w:val="ListParagraph"/>
              <w:numPr>
                <w:ilvl w:val="1"/>
                <w:numId w:val="24"/>
              </w:numPr>
              <w:rPr>
                <w:rFonts w:ascii="Arial" w:hAnsi="Arial" w:cs="Arial"/>
                <w:color w:val="FF0000"/>
                <w:szCs w:val="20"/>
              </w:rPr>
            </w:pPr>
            <w:r w:rsidRPr="002B6D4C">
              <w:rPr>
                <w:rFonts w:ascii="Arial" w:hAnsi="Arial" w:cs="Arial"/>
                <w:szCs w:val="20"/>
              </w:rPr>
              <w:t xml:space="preserve">the certificate of registration of the premises as a health service establishment or a </w:t>
            </w:r>
            <w:proofErr w:type="gramStart"/>
            <w:r w:rsidRPr="002B6D4C">
              <w:rPr>
                <w:rFonts w:ascii="Arial" w:hAnsi="Arial" w:cs="Arial"/>
                <w:szCs w:val="20"/>
              </w:rPr>
              <w:t>full size</w:t>
            </w:r>
            <w:proofErr w:type="gramEnd"/>
            <w:r w:rsidRPr="002B6D4C">
              <w:rPr>
                <w:rFonts w:ascii="Arial" w:hAnsi="Arial" w:cs="Arial"/>
                <w:szCs w:val="20"/>
              </w:rPr>
              <w:t xml:space="preserve"> copy of the certificate;</w:t>
            </w:r>
          </w:p>
          <w:p w14:paraId="2617AE2C" w14:textId="77777777" w:rsidR="00436633" w:rsidRPr="002B6D4C" w:rsidRDefault="00B97DDB" w:rsidP="00FC2734">
            <w:pPr>
              <w:pStyle w:val="ListParagraph"/>
              <w:numPr>
                <w:ilvl w:val="1"/>
                <w:numId w:val="24"/>
              </w:numPr>
              <w:rPr>
                <w:rFonts w:ascii="Arial" w:hAnsi="Arial" w:cs="Arial"/>
                <w:szCs w:val="20"/>
              </w:rPr>
            </w:pPr>
            <w:r w:rsidRPr="002B6D4C">
              <w:rPr>
                <w:rFonts w:ascii="Arial" w:hAnsi="Arial" w:cs="Arial"/>
                <w:color w:val="FF0000"/>
                <w:szCs w:val="20"/>
              </w:rPr>
              <w:t xml:space="preserve">the certificate of accreditation for any accreditation scheme applicable to the health service establishment and approved by the Secretary under section 107(1) of the </w:t>
            </w:r>
            <w:proofErr w:type="gramStart"/>
            <w:r w:rsidRPr="002B6D4C">
              <w:rPr>
                <w:rFonts w:ascii="Arial" w:hAnsi="Arial" w:cs="Arial"/>
                <w:color w:val="FF0000"/>
                <w:szCs w:val="20"/>
              </w:rPr>
              <w:t>Act;</w:t>
            </w:r>
            <w:proofErr w:type="gramEnd"/>
          </w:p>
          <w:p w14:paraId="35E8F1E6" w14:textId="77777777" w:rsidR="00436633" w:rsidRPr="002B6D4C" w:rsidRDefault="00B97DDB" w:rsidP="00FC2734">
            <w:pPr>
              <w:pStyle w:val="ListParagraph"/>
              <w:numPr>
                <w:ilvl w:val="1"/>
                <w:numId w:val="24"/>
              </w:numPr>
              <w:rPr>
                <w:rFonts w:ascii="Arial" w:hAnsi="Arial" w:cs="Arial"/>
                <w:szCs w:val="20"/>
              </w:rPr>
            </w:pPr>
            <w:r w:rsidRPr="002B6D4C">
              <w:rPr>
                <w:rFonts w:ascii="Arial" w:hAnsi="Arial" w:cs="Arial"/>
                <w:szCs w:val="20"/>
              </w:rPr>
              <w:t xml:space="preserve">the name of the Director of Nursing (if required to be appointed) and </w:t>
            </w:r>
            <w:r w:rsidRPr="002B6D4C">
              <w:rPr>
                <w:rFonts w:ascii="Arial" w:hAnsi="Arial" w:cs="Arial"/>
                <w:color w:val="FF0000"/>
                <w:szCs w:val="20"/>
              </w:rPr>
              <w:t xml:space="preserve">the name of any appointed </w:t>
            </w:r>
            <w:r w:rsidRPr="002B6D4C">
              <w:rPr>
                <w:rFonts w:ascii="Arial" w:hAnsi="Arial" w:cs="Arial"/>
                <w:strike/>
                <w:szCs w:val="20"/>
              </w:rPr>
              <w:t>if a</w:t>
            </w:r>
            <w:r w:rsidRPr="002B6D4C">
              <w:rPr>
                <w:rFonts w:ascii="Arial" w:hAnsi="Arial" w:cs="Arial"/>
                <w:szCs w:val="20"/>
              </w:rPr>
              <w:t xml:space="preserve"> Chief Executive Officer or Medical Director (however titled) </w:t>
            </w:r>
            <w:r w:rsidRPr="002B6D4C">
              <w:rPr>
                <w:rFonts w:ascii="Arial" w:hAnsi="Arial" w:cs="Arial"/>
                <w:strike/>
                <w:szCs w:val="20"/>
              </w:rPr>
              <w:t xml:space="preserve">has been appointed, the name of the Chief Executive Officer or Medical </w:t>
            </w:r>
            <w:proofErr w:type="gramStart"/>
            <w:r w:rsidRPr="002B6D4C">
              <w:rPr>
                <w:rFonts w:ascii="Arial" w:hAnsi="Arial" w:cs="Arial"/>
                <w:strike/>
                <w:szCs w:val="20"/>
              </w:rPr>
              <w:t>Director</w:t>
            </w:r>
            <w:r w:rsidRPr="002B6D4C">
              <w:rPr>
                <w:rFonts w:ascii="Arial" w:hAnsi="Arial" w:cs="Arial"/>
                <w:szCs w:val="20"/>
              </w:rPr>
              <w:t>;</w:t>
            </w:r>
            <w:proofErr w:type="gramEnd"/>
          </w:p>
          <w:p w14:paraId="5A8B7A74" w14:textId="6E942B4B" w:rsidR="00B97DDB" w:rsidRPr="002B6D4C" w:rsidRDefault="00B97DDB" w:rsidP="00FC2734">
            <w:pPr>
              <w:pStyle w:val="ListParagraph"/>
              <w:numPr>
                <w:ilvl w:val="1"/>
                <w:numId w:val="24"/>
              </w:numPr>
              <w:rPr>
                <w:rFonts w:ascii="Arial" w:hAnsi="Arial" w:cs="Arial"/>
                <w:szCs w:val="20"/>
              </w:rPr>
            </w:pPr>
            <w:r w:rsidRPr="002B6D4C">
              <w:rPr>
                <w:rFonts w:ascii="Arial" w:hAnsi="Arial" w:cs="Arial"/>
                <w:szCs w:val="20"/>
              </w:rPr>
              <w:t xml:space="preserve">the name and contact telephone number of the person nominated under regulation </w:t>
            </w:r>
            <w:r w:rsidRPr="002B6D4C">
              <w:rPr>
                <w:rFonts w:ascii="Arial" w:hAnsi="Arial" w:cs="Arial"/>
                <w:strike/>
                <w:szCs w:val="20"/>
              </w:rPr>
              <w:t>29</w:t>
            </w:r>
            <w:r w:rsidRPr="002B6D4C">
              <w:rPr>
                <w:rFonts w:ascii="Arial" w:hAnsi="Arial" w:cs="Arial"/>
                <w:szCs w:val="20"/>
              </w:rPr>
              <w:t xml:space="preserve"> </w:t>
            </w:r>
            <w:r w:rsidRPr="002B6D4C">
              <w:rPr>
                <w:rFonts w:ascii="Arial" w:hAnsi="Arial" w:cs="Arial"/>
                <w:color w:val="FF0000"/>
                <w:szCs w:val="20"/>
              </w:rPr>
              <w:t xml:space="preserve">38 </w:t>
            </w:r>
            <w:r w:rsidRPr="002B6D4C">
              <w:rPr>
                <w:rFonts w:ascii="Arial" w:hAnsi="Arial" w:cs="Arial"/>
                <w:szCs w:val="20"/>
              </w:rPr>
              <w:t>to receive and deal with complaints.</w:t>
            </w:r>
          </w:p>
        </w:tc>
        <w:tc>
          <w:tcPr>
            <w:tcW w:w="3467" w:type="dxa"/>
          </w:tcPr>
          <w:p w14:paraId="2F436E7B" w14:textId="77777777" w:rsidR="007B18E4" w:rsidRPr="00102832" w:rsidRDefault="007B18E4" w:rsidP="007B18E4">
            <w:pPr>
              <w:rPr>
                <w:rFonts w:cstheme="minorHAnsi"/>
                <w:sz w:val="20"/>
              </w:rPr>
            </w:pPr>
            <w:r w:rsidRPr="00102832">
              <w:rPr>
                <w:rFonts w:cstheme="minorHAnsi"/>
                <w:sz w:val="20"/>
              </w:rPr>
              <w:t>Inserts new requirement to display the facility’s certificate of accreditation in a prominent place, to promote transparency of safety and quality accreditation.</w:t>
            </w:r>
          </w:p>
          <w:p w14:paraId="33E59D44" w14:textId="3F4ABA32" w:rsidR="00B97DDB" w:rsidRPr="00E865BA" w:rsidRDefault="00B97DDB">
            <w:pPr>
              <w:rPr>
                <w:rFonts w:cstheme="minorHAnsi"/>
                <w:sz w:val="20"/>
              </w:rPr>
            </w:pPr>
          </w:p>
        </w:tc>
        <w:tc>
          <w:tcPr>
            <w:tcW w:w="5528" w:type="dxa"/>
            <w:hideMark/>
          </w:tcPr>
          <w:p w14:paraId="0ACF0D7A" w14:textId="77777777" w:rsidR="00B97DDB" w:rsidRPr="00E865BA" w:rsidRDefault="00B97DDB">
            <w:pPr>
              <w:rPr>
                <w:rFonts w:cstheme="minorHAnsi"/>
                <w:sz w:val="20"/>
              </w:rPr>
            </w:pPr>
          </w:p>
        </w:tc>
      </w:tr>
      <w:tr w:rsidR="00B97DDB" w:rsidRPr="00E865BA" w14:paraId="6C7EF609" w14:textId="77777777" w:rsidTr="00B321B9">
        <w:trPr>
          <w:trHeight w:val="2400"/>
        </w:trPr>
        <w:tc>
          <w:tcPr>
            <w:tcW w:w="1135" w:type="dxa"/>
            <w:hideMark/>
          </w:tcPr>
          <w:p w14:paraId="1B4602DF" w14:textId="77777777" w:rsidR="00B97DDB" w:rsidRPr="00C03B67" w:rsidRDefault="00B97DDB">
            <w:pPr>
              <w:rPr>
                <w:rFonts w:cstheme="minorHAnsi"/>
                <w:color w:val="FF0000"/>
                <w:sz w:val="20"/>
              </w:rPr>
            </w:pPr>
            <w:r w:rsidRPr="00C03B67">
              <w:rPr>
                <w:rFonts w:cstheme="minorHAnsi"/>
                <w:color w:val="FF0000"/>
                <w:sz w:val="20"/>
              </w:rPr>
              <w:lastRenderedPageBreak/>
              <w:t>NEW</w:t>
            </w:r>
          </w:p>
          <w:p w14:paraId="67E8D4E4" w14:textId="30D5E4D6" w:rsidR="00B97DDB" w:rsidRPr="00E865BA" w:rsidRDefault="00B97DDB">
            <w:pPr>
              <w:rPr>
                <w:rFonts w:cstheme="minorHAnsi"/>
                <w:sz w:val="20"/>
              </w:rPr>
            </w:pPr>
            <w:r w:rsidRPr="00A748A3">
              <w:rPr>
                <w:rFonts w:cstheme="minorHAnsi"/>
                <w:color w:val="FF0000"/>
                <w:sz w:val="20"/>
              </w:rPr>
              <w:t>59</w:t>
            </w:r>
          </w:p>
        </w:tc>
        <w:tc>
          <w:tcPr>
            <w:tcW w:w="5605" w:type="dxa"/>
            <w:hideMark/>
          </w:tcPr>
          <w:p w14:paraId="1D0F027D" w14:textId="77777777" w:rsidR="0038185E" w:rsidRPr="00E1791A" w:rsidRDefault="00B97DDB">
            <w:pPr>
              <w:rPr>
                <w:b/>
                <w:color w:val="FF0000"/>
                <w:sz w:val="20"/>
              </w:rPr>
            </w:pPr>
            <w:r w:rsidRPr="4911313A">
              <w:rPr>
                <w:b/>
                <w:color w:val="FF0000"/>
                <w:sz w:val="20"/>
              </w:rPr>
              <w:t>Infringement offences and infringement penalties</w:t>
            </w:r>
          </w:p>
          <w:p w14:paraId="798ABEAD" w14:textId="77777777" w:rsidR="0038185E" w:rsidRPr="002B6D4C" w:rsidRDefault="00B97DDB" w:rsidP="00FC2734">
            <w:pPr>
              <w:pStyle w:val="ListParagraph"/>
              <w:numPr>
                <w:ilvl w:val="0"/>
                <w:numId w:val="25"/>
              </w:numPr>
              <w:rPr>
                <w:rFonts w:ascii="Arial" w:hAnsi="Arial" w:cs="Arial"/>
                <w:color w:val="FF0000"/>
                <w:szCs w:val="20"/>
              </w:rPr>
            </w:pPr>
            <w:r w:rsidRPr="002B6D4C">
              <w:rPr>
                <w:rFonts w:ascii="Arial" w:hAnsi="Arial" w:cs="Arial"/>
                <w:color w:val="FF0000"/>
                <w:szCs w:val="20"/>
              </w:rPr>
              <w:t xml:space="preserve">For the purposes of section 155(1) of the Act, an offence specified in Column 1 of the Table in Schedule 9 is prescribed as an infringement offence. </w:t>
            </w:r>
          </w:p>
          <w:p w14:paraId="6A3C0B4A" w14:textId="6820236A" w:rsidR="00B97DDB" w:rsidRPr="00E1791A" w:rsidRDefault="00B97DDB" w:rsidP="00FC2734">
            <w:pPr>
              <w:pStyle w:val="ListParagraph"/>
              <w:numPr>
                <w:ilvl w:val="0"/>
                <w:numId w:val="25"/>
              </w:numPr>
              <w:rPr>
                <w:rFonts w:ascii="Arial" w:hAnsi="Arial" w:cs="Arial"/>
                <w:color w:val="FF0000"/>
                <w:szCs w:val="20"/>
                <w:lang w:val="en-AU"/>
              </w:rPr>
            </w:pPr>
            <w:r w:rsidRPr="00E1791A">
              <w:rPr>
                <w:rFonts w:ascii="Arial" w:hAnsi="Arial" w:cs="Arial"/>
                <w:color w:val="FF0000"/>
                <w:szCs w:val="20"/>
                <w:lang w:val="en-AU"/>
              </w:rPr>
              <w:t xml:space="preserve">For the purposes of section 155(1) of the Act, the prescribed infringement penalty for an infringement offence referred to in </w:t>
            </w:r>
            <w:proofErr w:type="spellStart"/>
            <w:r w:rsidRPr="00E1791A">
              <w:rPr>
                <w:rFonts w:ascii="Arial" w:hAnsi="Arial" w:cs="Arial"/>
                <w:color w:val="FF0000"/>
                <w:szCs w:val="20"/>
                <w:lang w:val="en-AU"/>
              </w:rPr>
              <w:t>subregulation</w:t>
            </w:r>
            <w:proofErr w:type="spellEnd"/>
            <w:r w:rsidRPr="00E1791A">
              <w:rPr>
                <w:rFonts w:ascii="Arial" w:hAnsi="Arial" w:cs="Arial"/>
                <w:color w:val="FF0000"/>
                <w:szCs w:val="20"/>
                <w:lang w:val="en-AU"/>
              </w:rPr>
              <w:t xml:space="preserve"> (1) is the penalty specified in Column 2 of the Table in Schedule 9 in respect of that infringement offence.</w:t>
            </w:r>
          </w:p>
        </w:tc>
        <w:tc>
          <w:tcPr>
            <w:tcW w:w="3467" w:type="dxa"/>
          </w:tcPr>
          <w:p w14:paraId="1C89F545" w14:textId="7E507A33" w:rsidR="00B97DDB" w:rsidRPr="00513B97" w:rsidRDefault="001C4F64">
            <w:pPr>
              <w:rPr>
                <w:rFonts w:cstheme="minorHAnsi"/>
                <w:color w:val="FF0000"/>
                <w:sz w:val="20"/>
              </w:rPr>
            </w:pPr>
            <w:r w:rsidRPr="00102832">
              <w:rPr>
                <w:rFonts w:cstheme="minorHAnsi"/>
                <w:sz w:val="20"/>
              </w:rPr>
              <w:t xml:space="preserve">Inserts new provision to </w:t>
            </w:r>
            <w:r w:rsidR="00B97DDB" w:rsidRPr="00E865BA">
              <w:rPr>
                <w:rFonts w:cstheme="minorHAnsi"/>
                <w:sz w:val="20"/>
              </w:rPr>
              <w:t xml:space="preserve">prescribe </w:t>
            </w:r>
            <w:r w:rsidRPr="00102832">
              <w:rPr>
                <w:rFonts w:cstheme="minorHAnsi"/>
                <w:sz w:val="20"/>
              </w:rPr>
              <w:t>offences</w:t>
            </w:r>
            <w:r w:rsidR="00B97DDB" w:rsidRPr="00E865BA">
              <w:rPr>
                <w:rFonts w:cstheme="minorHAnsi"/>
                <w:sz w:val="20"/>
              </w:rPr>
              <w:t xml:space="preserve"> in the Regulations </w:t>
            </w:r>
            <w:r w:rsidRPr="00102832">
              <w:rPr>
                <w:rFonts w:cstheme="minorHAnsi"/>
                <w:sz w:val="20"/>
              </w:rPr>
              <w:t>so that infringement notices (fines) can be issued for non-compliance. This is to allow</w:t>
            </w:r>
            <w:r w:rsidR="00B97DDB" w:rsidRPr="00E865BA">
              <w:rPr>
                <w:rFonts w:cstheme="minorHAnsi"/>
                <w:sz w:val="20"/>
              </w:rPr>
              <w:t xml:space="preserve"> proportionate</w:t>
            </w:r>
            <w:r w:rsidR="00B97DDB">
              <w:rPr>
                <w:rFonts w:cstheme="minorHAnsi"/>
                <w:sz w:val="20"/>
              </w:rPr>
              <w:t xml:space="preserve"> and timely</w:t>
            </w:r>
            <w:r w:rsidR="00B97DDB" w:rsidRPr="00E865BA">
              <w:rPr>
                <w:rFonts w:cstheme="minorHAnsi"/>
                <w:sz w:val="20"/>
              </w:rPr>
              <w:t xml:space="preserve"> compliance </w:t>
            </w:r>
            <w:r w:rsidR="00B97DDB">
              <w:rPr>
                <w:rFonts w:cstheme="minorHAnsi"/>
                <w:sz w:val="20"/>
              </w:rPr>
              <w:t>tools</w:t>
            </w:r>
            <w:r w:rsidR="00B97DDB" w:rsidRPr="00E865BA">
              <w:rPr>
                <w:rFonts w:cstheme="minorHAnsi"/>
                <w:sz w:val="20"/>
              </w:rPr>
              <w:t xml:space="preserve"> available </w:t>
            </w:r>
            <w:r w:rsidR="00B97DDB">
              <w:rPr>
                <w:rFonts w:cstheme="minorHAnsi"/>
                <w:sz w:val="20"/>
              </w:rPr>
              <w:t>to</w:t>
            </w:r>
            <w:r w:rsidR="00B97DDB" w:rsidRPr="00E865BA">
              <w:rPr>
                <w:rFonts w:cstheme="minorHAnsi"/>
                <w:sz w:val="20"/>
              </w:rPr>
              <w:t xml:space="preserve"> the regulator.</w:t>
            </w:r>
          </w:p>
        </w:tc>
        <w:tc>
          <w:tcPr>
            <w:tcW w:w="5528" w:type="dxa"/>
            <w:hideMark/>
          </w:tcPr>
          <w:p w14:paraId="7393144E" w14:textId="77777777" w:rsidR="00B97DDB" w:rsidRPr="00E865BA" w:rsidRDefault="00B97DDB">
            <w:pPr>
              <w:rPr>
                <w:rFonts w:cstheme="minorHAnsi"/>
                <w:sz w:val="20"/>
              </w:rPr>
            </w:pPr>
          </w:p>
        </w:tc>
      </w:tr>
      <w:tr w:rsidR="00B97DDB" w:rsidRPr="00E865BA" w14:paraId="2BF654D6" w14:textId="77777777" w:rsidTr="00B321B9">
        <w:trPr>
          <w:trHeight w:val="1550"/>
        </w:trPr>
        <w:tc>
          <w:tcPr>
            <w:tcW w:w="1135" w:type="dxa"/>
            <w:hideMark/>
          </w:tcPr>
          <w:p w14:paraId="5DB1A14B" w14:textId="77777777" w:rsidR="00B97DDB" w:rsidRDefault="00B97DDB">
            <w:pPr>
              <w:rPr>
                <w:rFonts w:cstheme="minorHAnsi"/>
                <w:sz w:val="20"/>
              </w:rPr>
            </w:pPr>
            <w:r w:rsidRPr="00E865BA">
              <w:rPr>
                <w:rFonts w:cstheme="minorHAnsi"/>
                <w:sz w:val="20"/>
              </w:rPr>
              <w:t>46(3) and (4)</w:t>
            </w:r>
          </w:p>
          <w:p w14:paraId="028594FD" w14:textId="093DF7D8" w:rsidR="00B97DDB" w:rsidRPr="00E865BA" w:rsidRDefault="00B97DDB">
            <w:pPr>
              <w:rPr>
                <w:rFonts w:cstheme="minorHAnsi"/>
                <w:sz w:val="20"/>
              </w:rPr>
            </w:pPr>
            <w:r w:rsidRPr="00CD7DCC">
              <w:rPr>
                <w:rFonts w:cstheme="minorHAnsi"/>
                <w:color w:val="FF0000"/>
                <w:sz w:val="20"/>
              </w:rPr>
              <w:t>6</w:t>
            </w:r>
            <w:r>
              <w:rPr>
                <w:rFonts w:cstheme="minorHAnsi"/>
                <w:color w:val="FF0000"/>
                <w:sz w:val="20"/>
              </w:rPr>
              <w:t>0</w:t>
            </w:r>
            <w:r w:rsidRPr="00CD7DCC">
              <w:rPr>
                <w:rFonts w:cstheme="minorHAnsi"/>
                <w:color w:val="FF0000"/>
                <w:sz w:val="20"/>
              </w:rPr>
              <w:t>(5)</w:t>
            </w:r>
            <w:r w:rsidR="0008537D">
              <w:rPr>
                <w:rFonts w:cstheme="minorHAnsi"/>
                <w:color w:val="FF0000"/>
                <w:sz w:val="20"/>
              </w:rPr>
              <w:t xml:space="preserve"> and </w:t>
            </w:r>
            <w:r w:rsidRPr="00CD7DCC">
              <w:rPr>
                <w:rFonts w:cstheme="minorHAnsi"/>
                <w:color w:val="FF0000"/>
                <w:sz w:val="20"/>
              </w:rPr>
              <w:t>(6)</w:t>
            </w:r>
          </w:p>
        </w:tc>
        <w:tc>
          <w:tcPr>
            <w:tcW w:w="5605" w:type="dxa"/>
            <w:hideMark/>
          </w:tcPr>
          <w:p w14:paraId="11E51581" w14:textId="77777777" w:rsidR="00B97DDB" w:rsidRPr="00370323" w:rsidRDefault="00B97DDB">
            <w:pPr>
              <w:rPr>
                <w:rFonts w:cstheme="minorHAnsi"/>
                <w:b/>
                <w:bCs/>
                <w:sz w:val="20"/>
              </w:rPr>
            </w:pPr>
            <w:r w:rsidRPr="00370323">
              <w:rPr>
                <w:rFonts w:cstheme="minorHAnsi"/>
                <w:b/>
                <w:bCs/>
                <w:sz w:val="20"/>
              </w:rPr>
              <w:t>Returns and reports to be given to the Secretary</w:t>
            </w:r>
          </w:p>
          <w:p w14:paraId="690DA7E8" w14:textId="77777777" w:rsidR="009F204B" w:rsidRPr="002B6D4C" w:rsidRDefault="00B97DDB" w:rsidP="00FC2734">
            <w:pPr>
              <w:pStyle w:val="ListParagraph"/>
              <w:numPr>
                <w:ilvl w:val="0"/>
                <w:numId w:val="26"/>
              </w:numPr>
              <w:rPr>
                <w:rFonts w:ascii="Arial" w:hAnsi="Arial" w:cs="Arial"/>
                <w:szCs w:val="20"/>
              </w:rPr>
            </w:pPr>
            <w:r w:rsidRPr="002B6D4C">
              <w:rPr>
                <w:rFonts w:ascii="Arial" w:hAnsi="Arial" w:cs="Arial"/>
                <w:color w:val="FF0000"/>
                <w:szCs w:val="20"/>
              </w:rPr>
              <w:t xml:space="preserve">The Secretary </w:t>
            </w:r>
            <w:r w:rsidR="00D73FD2" w:rsidRPr="002B6D4C">
              <w:rPr>
                <w:rFonts w:ascii="Arial" w:hAnsi="Arial" w:cs="Arial"/>
                <w:color w:val="FF0000"/>
                <w:szCs w:val="20"/>
              </w:rPr>
              <w:t xml:space="preserve">may </w:t>
            </w:r>
            <w:r w:rsidR="00A61091" w:rsidRPr="002B6D4C">
              <w:rPr>
                <w:rFonts w:ascii="Arial" w:hAnsi="Arial" w:cs="Arial"/>
                <w:color w:val="FF0000"/>
                <w:szCs w:val="20"/>
              </w:rPr>
              <w:t xml:space="preserve">determine to </w:t>
            </w:r>
            <w:r w:rsidRPr="002B6D4C">
              <w:rPr>
                <w:rFonts w:ascii="Arial" w:hAnsi="Arial" w:cs="Arial"/>
                <w:color w:val="FF0000"/>
                <w:szCs w:val="20"/>
              </w:rPr>
              <w:t xml:space="preserve">direct the proprietor of a health service establishment </w:t>
            </w:r>
            <w:r w:rsidR="00D73FD2" w:rsidRPr="002B6D4C">
              <w:rPr>
                <w:rFonts w:ascii="Arial" w:hAnsi="Arial" w:cs="Arial"/>
                <w:color w:val="FF0000"/>
                <w:szCs w:val="20"/>
              </w:rPr>
              <w:t>that</w:t>
            </w:r>
            <w:r w:rsidRPr="002B6D4C">
              <w:rPr>
                <w:rFonts w:ascii="Arial" w:hAnsi="Arial" w:cs="Arial"/>
                <w:color w:val="FF0000"/>
                <w:szCs w:val="20"/>
              </w:rPr>
              <w:t xml:space="preserve"> provides health services solely at premises other than the premises for which it is registered to prepare a return in the manner and form directed by the Secretary. </w:t>
            </w:r>
          </w:p>
          <w:p w14:paraId="04C106D7" w14:textId="1387111E" w:rsidR="00B97DDB" w:rsidRPr="002B6D4C" w:rsidRDefault="00B97DDB" w:rsidP="00FC2734">
            <w:pPr>
              <w:pStyle w:val="ListParagraph"/>
              <w:numPr>
                <w:ilvl w:val="0"/>
                <w:numId w:val="26"/>
              </w:numPr>
              <w:rPr>
                <w:rFonts w:ascii="Arial" w:hAnsi="Arial" w:cs="Arial"/>
                <w:szCs w:val="20"/>
              </w:rPr>
            </w:pPr>
            <w:r w:rsidRPr="00E1791A">
              <w:rPr>
                <w:rFonts w:ascii="Arial" w:hAnsi="Arial" w:cs="Arial"/>
                <w:color w:val="FF0000"/>
                <w:szCs w:val="20"/>
                <w:lang w:val="en-AU"/>
              </w:rPr>
              <w:t xml:space="preserve">The proprietor of a health service establishment must ensure that a return prepared under </w:t>
            </w:r>
            <w:proofErr w:type="spellStart"/>
            <w:r w:rsidRPr="00E1791A">
              <w:rPr>
                <w:rFonts w:ascii="Arial" w:hAnsi="Arial" w:cs="Arial"/>
                <w:color w:val="FF0000"/>
                <w:szCs w:val="20"/>
                <w:lang w:val="en-AU"/>
              </w:rPr>
              <w:t>subregulation</w:t>
            </w:r>
            <w:proofErr w:type="spellEnd"/>
            <w:r w:rsidRPr="00E1791A">
              <w:rPr>
                <w:rFonts w:ascii="Arial" w:hAnsi="Arial" w:cs="Arial"/>
                <w:color w:val="FF0000"/>
                <w:szCs w:val="20"/>
                <w:lang w:val="en-AU"/>
              </w:rPr>
              <w:t xml:space="preserve"> (5) is given to the Secretary within the time directed by the Secretary.</w:t>
            </w:r>
          </w:p>
        </w:tc>
        <w:tc>
          <w:tcPr>
            <w:tcW w:w="3467" w:type="dxa"/>
          </w:tcPr>
          <w:p w14:paraId="7C302976" w14:textId="5F0E3172" w:rsidR="00B97DDB" w:rsidRPr="00513B97" w:rsidRDefault="008455A2">
            <w:pPr>
              <w:rPr>
                <w:rFonts w:cstheme="minorHAnsi"/>
                <w:color w:val="FF0000"/>
                <w:sz w:val="20"/>
              </w:rPr>
            </w:pPr>
            <w:r w:rsidRPr="00102832">
              <w:rPr>
                <w:rFonts w:cstheme="minorHAnsi"/>
                <w:sz w:val="20"/>
              </w:rPr>
              <w:t>Inserts new reporting requirement to formalise reporting already done by mobile service providers who do not admit patients, to allow regulatory oversight of relevant performance and safety indicators.</w:t>
            </w:r>
          </w:p>
        </w:tc>
        <w:tc>
          <w:tcPr>
            <w:tcW w:w="5528" w:type="dxa"/>
            <w:hideMark/>
          </w:tcPr>
          <w:p w14:paraId="5EB39F62" w14:textId="77777777" w:rsidR="00B97DDB" w:rsidRPr="00E865BA" w:rsidRDefault="00B97DDB">
            <w:pPr>
              <w:rPr>
                <w:rFonts w:cstheme="minorHAnsi"/>
                <w:sz w:val="20"/>
              </w:rPr>
            </w:pPr>
          </w:p>
        </w:tc>
      </w:tr>
      <w:tr w:rsidR="00B97DDB" w:rsidRPr="00E865BA" w14:paraId="7FC6D8DE" w14:textId="77777777" w:rsidTr="00B321B9">
        <w:trPr>
          <w:trHeight w:val="983"/>
        </w:trPr>
        <w:tc>
          <w:tcPr>
            <w:tcW w:w="1135" w:type="dxa"/>
            <w:hideMark/>
          </w:tcPr>
          <w:p w14:paraId="24214E3D" w14:textId="77777777" w:rsidR="00B97DDB" w:rsidRDefault="00B97DDB">
            <w:pPr>
              <w:rPr>
                <w:rFonts w:cstheme="minorHAnsi"/>
                <w:sz w:val="20"/>
              </w:rPr>
            </w:pPr>
            <w:r w:rsidRPr="00E865BA">
              <w:rPr>
                <w:rFonts w:cstheme="minorHAnsi"/>
                <w:sz w:val="20"/>
              </w:rPr>
              <w:t>48(1)(b)</w:t>
            </w:r>
          </w:p>
          <w:p w14:paraId="2CC3525A" w14:textId="77777777" w:rsidR="00B97DDB" w:rsidRPr="00E865BA" w:rsidRDefault="00B97DDB">
            <w:pPr>
              <w:rPr>
                <w:rFonts w:cstheme="minorHAnsi"/>
                <w:sz w:val="20"/>
              </w:rPr>
            </w:pPr>
            <w:r w:rsidRPr="00CD7DCC">
              <w:rPr>
                <w:rFonts w:cstheme="minorHAnsi"/>
                <w:color w:val="FF0000"/>
                <w:sz w:val="20"/>
              </w:rPr>
              <w:t>63(1)(b) and (2)</w:t>
            </w:r>
          </w:p>
        </w:tc>
        <w:tc>
          <w:tcPr>
            <w:tcW w:w="5605" w:type="dxa"/>
            <w:hideMark/>
          </w:tcPr>
          <w:p w14:paraId="48810698" w14:textId="77777777" w:rsidR="00BC323E" w:rsidRPr="002B6D4C" w:rsidRDefault="00B97DDB">
            <w:pPr>
              <w:rPr>
                <w:rFonts w:cs="Arial"/>
                <w:b/>
                <w:sz w:val="20"/>
              </w:rPr>
            </w:pPr>
            <w:r w:rsidRPr="002B6D4C">
              <w:rPr>
                <w:rFonts w:cs="Arial"/>
                <w:b/>
                <w:sz w:val="20"/>
              </w:rPr>
              <w:t>Review of quality and safety of health services provided</w:t>
            </w:r>
          </w:p>
          <w:p w14:paraId="60ED5E15" w14:textId="77777777" w:rsidR="007C10FF" w:rsidRPr="00E401D9" w:rsidRDefault="00B97DDB" w:rsidP="00FC2734">
            <w:pPr>
              <w:pStyle w:val="ListParagraph"/>
              <w:numPr>
                <w:ilvl w:val="0"/>
                <w:numId w:val="27"/>
              </w:numPr>
              <w:rPr>
                <w:rFonts w:ascii="Arial" w:hAnsi="Arial" w:cs="Arial"/>
              </w:rPr>
            </w:pPr>
            <w:r w:rsidRPr="002B6D4C">
              <w:rPr>
                <w:rFonts w:ascii="Arial" w:hAnsi="Arial" w:cs="Arial"/>
              </w:rPr>
              <w:t>The proprietor of a health service establishment must ensure the following information is recorded in writing and reviewed at least every 3 months—</w:t>
            </w:r>
          </w:p>
          <w:p w14:paraId="4D8A9835" w14:textId="77777777" w:rsidR="007C10FF" w:rsidRPr="00E401D9" w:rsidRDefault="00B97DDB" w:rsidP="00FC2734">
            <w:pPr>
              <w:pStyle w:val="ListParagraph"/>
              <w:numPr>
                <w:ilvl w:val="1"/>
                <w:numId w:val="27"/>
              </w:numPr>
              <w:rPr>
                <w:rFonts w:ascii="Arial" w:hAnsi="Arial" w:cs="Arial"/>
              </w:rPr>
            </w:pPr>
            <w:r w:rsidRPr="002B6D4C">
              <w:rPr>
                <w:rFonts w:ascii="Arial" w:hAnsi="Arial" w:cs="Arial"/>
              </w:rPr>
              <w:lastRenderedPageBreak/>
              <w:t xml:space="preserve">information in relation to the decisions and actions taken for the purposes of improving the quality and safety of health services </w:t>
            </w:r>
            <w:proofErr w:type="gramStart"/>
            <w:r w:rsidRPr="002B6D4C">
              <w:rPr>
                <w:rFonts w:ascii="Arial" w:hAnsi="Arial" w:cs="Arial"/>
              </w:rPr>
              <w:t>provided;</w:t>
            </w:r>
            <w:proofErr w:type="gramEnd"/>
          </w:p>
          <w:p w14:paraId="665625B3" w14:textId="77777777" w:rsidR="00374C30" w:rsidRPr="00E401D9" w:rsidRDefault="00B97DDB" w:rsidP="00FC2734">
            <w:pPr>
              <w:pStyle w:val="ListParagraph"/>
              <w:numPr>
                <w:ilvl w:val="1"/>
                <w:numId w:val="27"/>
              </w:numPr>
              <w:rPr>
                <w:rFonts w:ascii="Arial" w:hAnsi="Arial" w:cs="Arial"/>
              </w:rPr>
            </w:pPr>
            <w:r w:rsidRPr="002B6D4C">
              <w:rPr>
                <w:rFonts w:ascii="Arial" w:hAnsi="Arial" w:cs="Arial"/>
              </w:rPr>
              <w:t>if applicable, information in relation to—</w:t>
            </w:r>
          </w:p>
          <w:p w14:paraId="142A3A6B" w14:textId="77777777" w:rsidR="00374C30" w:rsidRPr="00E401D9" w:rsidRDefault="00B97DDB" w:rsidP="00FC2734">
            <w:pPr>
              <w:pStyle w:val="ListParagraph"/>
              <w:numPr>
                <w:ilvl w:val="2"/>
                <w:numId w:val="27"/>
              </w:numPr>
              <w:rPr>
                <w:rFonts w:ascii="Arial" w:hAnsi="Arial" w:cs="Arial"/>
              </w:rPr>
            </w:pPr>
            <w:r w:rsidRPr="002B6D4C">
              <w:rPr>
                <w:rFonts w:ascii="Arial" w:hAnsi="Arial" w:cs="Arial"/>
              </w:rPr>
              <w:t>all adverse events occurring at the health service establishment; and</w:t>
            </w:r>
          </w:p>
          <w:p w14:paraId="5A69FF46" w14:textId="77777777" w:rsidR="00374C30" w:rsidRPr="00E401D9" w:rsidRDefault="00374C30" w:rsidP="00FC2734">
            <w:pPr>
              <w:pStyle w:val="ListParagraph"/>
              <w:numPr>
                <w:ilvl w:val="2"/>
                <w:numId w:val="27"/>
              </w:numPr>
              <w:rPr>
                <w:rFonts w:ascii="Arial" w:hAnsi="Arial" w:cs="Arial"/>
              </w:rPr>
            </w:pPr>
            <w:r w:rsidRPr="00E401D9">
              <w:rPr>
                <w:rFonts w:ascii="Arial" w:hAnsi="Arial" w:cs="Arial"/>
              </w:rPr>
              <w:t>a</w:t>
            </w:r>
            <w:r w:rsidR="00B97DDB" w:rsidRPr="002B6D4C">
              <w:rPr>
                <w:rFonts w:ascii="Arial" w:hAnsi="Arial" w:cs="Arial"/>
              </w:rPr>
              <w:t>ll sentinel events occurring at the health service establishment; and</w:t>
            </w:r>
          </w:p>
          <w:p w14:paraId="7EFE472C" w14:textId="77777777" w:rsidR="00BA5A92" w:rsidRPr="00BA5A92" w:rsidRDefault="00B97DDB" w:rsidP="00FC2734">
            <w:pPr>
              <w:pStyle w:val="ListParagraph"/>
              <w:numPr>
                <w:ilvl w:val="2"/>
                <w:numId w:val="27"/>
              </w:numPr>
              <w:rPr>
                <w:rFonts w:ascii="Arial" w:hAnsi="Arial" w:cs="Arial"/>
                <w:color w:val="FF0000"/>
              </w:rPr>
            </w:pPr>
            <w:r w:rsidRPr="002B6D4C">
              <w:rPr>
                <w:rFonts w:ascii="Arial" w:hAnsi="Arial" w:cs="Arial"/>
              </w:rPr>
              <w:t>mortality and morbidity occurring at the health service establishment; and</w:t>
            </w:r>
          </w:p>
          <w:p w14:paraId="6596A0F1" w14:textId="77777777" w:rsidR="00374C30" w:rsidRPr="00BA5A92" w:rsidRDefault="00B97DDB" w:rsidP="00FC2734">
            <w:pPr>
              <w:pStyle w:val="ListParagraph"/>
              <w:numPr>
                <w:ilvl w:val="2"/>
                <w:numId w:val="27"/>
              </w:numPr>
              <w:rPr>
                <w:rFonts w:ascii="Arial" w:hAnsi="Arial" w:cs="Arial"/>
                <w:color w:val="FF0000"/>
              </w:rPr>
            </w:pPr>
            <w:r w:rsidRPr="00BA5A92">
              <w:rPr>
                <w:rFonts w:ascii="Arial" w:hAnsi="Arial" w:cs="Arial"/>
                <w:color w:val="FF0000"/>
              </w:rPr>
              <w:t>all transfers of patients from the health service establishment to another health service establishment or health care agency for the escalation of patient care; and</w:t>
            </w:r>
          </w:p>
          <w:p w14:paraId="423D2026" w14:textId="77777777" w:rsidR="00374C30" w:rsidRPr="00E401D9" w:rsidRDefault="00B97DDB" w:rsidP="00FC2734">
            <w:pPr>
              <w:pStyle w:val="ListParagraph"/>
              <w:numPr>
                <w:ilvl w:val="2"/>
                <w:numId w:val="27"/>
              </w:numPr>
              <w:rPr>
                <w:rFonts w:ascii="Arial" w:hAnsi="Arial" w:cs="Arial"/>
              </w:rPr>
            </w:pPr>
            <w:r w:rsidRPr="00E401D9">
              <w:rPr>
                <w:rFonts w:ascii="Arial" w:hAnsi="Arial" w:cs="Arial"/>
              </w:rPr>
              <w:t>compliance with the health service establishment's protocols; and</w:t>
            </w:r>
          </w:p>
          <w:p w14:paraId="31DD16D4" w14:textId="77777777" w:rsidR="00E401D9" w:rsidRPr="00E401D9" w:rsidRDefault="00B97DDB" w:rsidP="00FC2734">
            <w:pPr>
              <w:pStyle w:val="ListParagraph"/>
              <w:numPr>
                <w:ilvl w:val="2"/>
                <w:numId w:val="27"/>
              </w:numPr>
              <w:rPr>
                <w:rFonts w:ascii="Arial" w:hAnsi="Arial" w:cs="Arial"/>
              </w:rPr>
            </w:pPr>
            <w:r w:rsidRPr="00E401D9">
              <w:rPr>
                <w:rFonts w:ascii="Arial" w:hAnsi="Arial" w:cs="Arial"/>
              </w:rPr>
              <w:t>results from surveys about patient experience and about staff safety culture.</w:t>
            </w:r>
          </w:p>
          <w:p w14:paraId="430EFB24" w14:textId="76FC85E7" w:rsidR="00B97DDB" w:rsidRPr="00E401D9" w:rsidRDefault="00B97DDB" w:rsidP="00FC2734">
            <w:pPr>
              <w:pStyle w:val="ListParagraph"/>
              <w:numPr>
                <w:ilvl w:val="0"/>
                <w:numId w:val="27"/>
              </w:numPr>
              <w:rPr>
                <w:rFonts w:ascii="Arial" w:hAnsi="Arial" w:cs="Arial"/>
              </w:rPr>
            </w:pPr>
            <w:r w:rsidRPr="00E401D9">
              <w:rPr>
                <w:rFonts w:ascii="Arial" w:hAnsi="Arial" w:cs="Arial"/>
                <w:color w:val="FF0000"/>
              </w:rPr>
              <w:t>The proprietor of a health service establishment must make information recorded under this regulation available to the Secretary on request.</w:t>
            </w:r>
          </w:p>
        </w:tc>
        <w:tc>
          <w:tcPr>
            <w:tcW w:w="3467" w:type="dxa"/>
          </w:tcPr>
          <w:p w14:paraId="10EAEE9B" w14:textId="77777777" w:rsidR="008145F1" w:rsidRPr="00102832" w:rsidRDefault="008145F1" w:rsidP="008145F1">
            <w:pPr>
              <w:rPr>
                <w:rFonts w:cstheme="minorHAnsi"/>
                <w:sz w:val="20"/>
              </w:rPr>
            </w:pPr>
            <w:r w:rsidRPr="00102832">
              <w:rPr>
                <w:rFonts w:cstheme="minorHAnsi"/>
                <w:sz w:val="20"/>
              </w:rPr>
              <w:lastRenderedPageBreak/>
              <w:t xml:space="preserve">Inserts a new requirement for HSEs to record and regularly review transfers out due to escalation of care, as a key quality and safety indicator, supplementing existing requirement to record and review information about other key </w:t>
            </w:r>
            <w:r w:rsidRPr="00102832">
              <w:rPr>
                <w:rFonts w:cstheme="minorHAnsi"/>
                <w:sz w:val="20"/>
              </w:rPr>
              <w:lastRenderedPageBreak/>
              <w:t xml:space="preserve">indicators such as morbidity and mortality and adverse events. </w:t>
            </w:r>
          </w:p>
          <w:p w14:paraId="1FD05F11" w14:textId="77777777" w:rsidR="008145F1" w:rsidRPr="00102832" w:rsidRDefault="008145F1" w:rsidP="008145F1">
            <w:pPr>
              <w:rPr>
                <w:rFonts w:cstheme="minorHAnsi"/>
                <w:sz w:val="20"/>
              </w:rPr>
            </w:pPr>
          </w:p>
          <w:p w14:paraId="4F5DB8D9" w14:textId="04C5CF77" w:rsidR="00B97DDB" w:rsidRPr="00E865BA" w:rsidRDefault="008145F1">
            <w:pPr>
              <w:rPr>
                <w:rFonts w:cstheme="minorHAnsi"/>
                <w:sz w:val="20"/>
              </w:rPr>
            </w:pPr>
            <w:r w:rsidRPr="00102832">
              <w:rPr>
                <w:rFonts w:cstheme="minorHAnsi"/>
                <w:sz w:val="20"/>
              </w:rPr>
              <w:t>Includes new requirement to provide information recorded under this regulation to the Secretary on request. This is intended to</w:t>
            </w:r>
            <w:r w:rsidR="00B97DDB">
              <w:rPr>
                <w:rFonts w:cstheme="minorHAnsi"/>
                <w:sz w:val="20"/>
              </w:rPr>
              <w:t xml:space="preserve"> </w:t>
            </w:r>
            <w:r w:rsidR="00B97DDB" w:rsidRPr="00B56602">
              <w:rPr>
                <w:rFonts w:cstheme="minorHAnsi"/>
                <w:sz w:val="20"/>
              </w:rPr>
              <w:t xml:space="preserve">provide a streamlined and transparent mechanism for the Secretary to request </w:t>
            </w:r>
            <w:r w:rsidR="00B97DDB">
              <w:rPr>
                <w:rFonts w:cstheme="minorHAnsi"/>
                <w:sz w:val="20"/>
              </w:rPr>
              <w:t>any of the data collected under this regulation</w:t>
            </w:r>
            <w:r w:rsidR="00B97DDB" w:rsidRPr="00102832">
              <w:rPr>
                <w:rFonts w:cstheme="minorHAnsi"/>
                <w:sz w:val="20"/>
              </w:rPr>
              <w:t xml:space="preserve"> </w:t>
            </w:r>
            <w:r w:rsidR="00B97DDB" w:rsidRPr="00D541AA">
              <w:rPr>
                <w:rFonts w:cstheme="minorHAnsi"/>
                <w:sz w:val="20"/>
              </w:rPr>
              <w:t>to improve</w:t>
            </w:r>
            <w:r w:rsidR="00B97DDB">
              <w:rPr>
                <w:rFonts w:cstheme="minorHAnsi"/>
                <w:sz w:val="20"/>
              </w:rPr>
              <w:t xml:space="preserve"> the department’s oversight, including when </w:t>
            </w:r>
            <w:r w:rsidR="00B97DDB" w:rsidRPr="001F6E44">
              <w:rPr>
                <w:rFonts w:cstheme="minorHAnsi"/>
                <w:sz w:val="20"/>
              </w:rPr>
              <w:t xml:space="preserve">there are concerns about </w:t>
            </w:r>
            <w:r w:rsidRPr="00102832">
              <w:rPr>
                <w:rFonts w:cstheme="minorHAnsi"/>
                <w:sz w:val="20"/>
              </w:rPr>
              <w:t>an</w:t>
            </w:r>
            <w:r w:rsidR="00B97DDB" w:rsidRPr="001F6E44">
              <w:rPr>
                <w:rFonts w:cstheme="minorHAnsi"/>
                <w:sz w:val="20"/>
              </w:rPr>
              <w:t xml:space="preserve"> HSE operating outside its capability or about its quality and safety performance</w:t>
            </w:r>
            <w:r w:rsidR="00B97DDB">
              <w:rPr>
                <w:rFonts w:cstheme="minorHAnsi"/>
                <w:sz w:val="20"/>
              </w:rPr>
              <w:t>.</w:t>
            </w:r>
          </w:p>
        </w:tc>
        <w:tc>
          <w:tcPr>
            <w:tcW w:w="5528" w:type="dxa"/>
            <w:hideMark/>
          </w:tcPr>
          <w:p w14:paraId="59893519" w14:textId="77777777" w:rsidR="00B97DDB" w:rsidRPr="00E865BA" w:rsidRDefault="00B97DDB">
            <w:pPr>
              <w:rPr>
                <w:rFonts w:cstheme="minorHAnsi"/>
                <w:sz w:val="20"/>
              </w:rPr>
            </w:pPr>
          </w:p>
        </w:tc>
      </w:tr>
      <w:tr w:rsidR="00B97DDB" w:rsidRPr="00E865BA" w14:paraId="07B9AE42" w14:textId="77777777" w:rsidTr="00B321B9">
        <w:trPr>
          <w:trHeight w:val="1500"/>
        </w:trPr>
        <w:tc>
          <w:tcPr>
            <w:tcW w:w="1135" w:type="dxa"/>
            <w:hideMark/>
          </w:tcPr>
          <w:p w14:paraId="0A7AC638" w14:textId="77777777" w:rsidR="00B97DDB" w:rsidRDefault="00B97DDB">
            <w:pPr>
              <w:rPr>
                <w:rFonts w:cstheme="minorHAnsi"/>
                <w:sz w:val="20"/>
              </w:rPr>
            </w:pPr>
            <w:r w:rsidRPr="00E865BA">
              <w:rPr>
                <w:rFonts w:cstheme="minorHAnsi"/>
                <w:sz w:val="20"/>
              </w:rPr>
              <w:t>46A</w:t>
            </w:r>
          </w:p>
          <w:p w14:paraId="231318B4" w14:textId="77777777" w:rsidR="00B97DDB" w:rsidRPr="00E865BA" w:rsidRDefault="00B97DDB">
            <w:pPr>
              <w:rPr>
                <w:rFonts w:cstheme="minorHAnsi"/>
                <w:sz w:val="20"/>
              </w:rPr>
            </w:pPr>
            <w:r w:rsidRPr="00CD7DCC">
              <w:rPr>
                <w:rFonts w:cstheme="minorHAnsi"/>
                <w:color w:val="FF0000"/>
                <w:sz w:val="20"/>
              </w:rPr>
              <w:t>66</w:t>
            </w:r>
          </w:p>
        </w:tc>
        <w:tc>
          <w:tcPr>
            <w:tcW w:w="5605" w:type="dxa"/>
            <w:hideMark/>
          </w:tcPr>
          <w:p w14:paraId="44450C59" w14:textId="77777777" w:rsidR="0042076B" w:rsidRDefault="00B97DDB">
            <w:pPr>
              <w:rPr>
                <w:b/>
                <w:sz w:val="20"/>
              </w:rPr>
            </w:pPr>
            <w:r w:rsidRPr="45327F29">
              <w:rPr>
                <w:b/>
                <w:sz w:val="20"/>
              </w:rPr>
              <w:t>Reporting of sentinel events</w:t>
            </w:r>
          </w:p>
          <w:p w14:paraId="3761A2B2" w14:textId="77777777" w:rsidR="00D207D1" w:rsidRDefault="00B97DDB">
            <w:pPr>
              <w:rPr>
                <w:strike/>
                <w:sz w:val="20"/>
              </w:rPr>
            </w:pPr>
            <w:r w:rsidRPr="45327F29">
              <w:rPr>
                <w:sz w:val="20"/>
              </w:rPr>
              <w:t xml:space="preserve">The proprietor of a health service establishment must report </w:t>
            </w:r>
            <w:r w:rsidRPr="00535B3B">
              <w:rPr>
                <w:sz w:val="20"/>
              </w:rPr>
              <w:t xml:space="preserve">in writing </w:t>
            </w:r>
            <w:proofErr w:type="spellStart"/>
            <w:proofErr w:type="gramStart"/>
            <w:r w:rsidRPr="00535B3B">
              <w:rPr>
                <w:strike/>
                <w:sz w:val="20"/>
              </w:rPr>
              <w:t>a</w:t>
            </w:r>
            <w:proofErr w:type="spellEnd"/>
            <w:r w:rsidRPr="45327F29">
              <w:rPr>
                <w:sz w:val="20"/>
              </w:rPr>
              <w:t xml:space="preserve"> </w:t>
            </w:r>
            <w:r w:rsidR="00535B3B" w:rsidRPr="00535B3B">
              <w:rPr>
                <w:color w:val="FF0000"/>
                <w:sz w:val="20"/>
              </w:rPr>
              <w:t>each</w:t>
            </w:r>
            <w:proofErr w:type="gramEnd"/>
            <w:r w:rsidR="00535B3B" w:rsidRPr="00535B3B">
              <w:rPr>
                <w:color w:val="FF0000"/>
                <w:sz w:val="20"/>
              </w:rPr>
              <w:t xml:space="preserve"> </w:t>
            </w:r>
            <w:r w:rsidRPr="45327F29">
              <w:rPr>
                <w:sz w:val="20"/>
              </w:rPr>
              <w:t xml:space="preserve">sentinel event that </w:t>
            </w:r>
            <w:r w:rsidRPr="00055380">
              <w:rPr>
                <w:strike/>
                <w:sz w:val="20"/>
              </w:rPr>
              <w:t>occurred</w:t>
            </w:r>
            <w:r w:rsidRPr="45327F29">
              <w:rPr>
                <w:sz w:val="20"/>
              </w:rPr>
              <w:t xml:space="preserve"> </w:t>
            </w:r>
            <w:r>
              <w:rPr>
                <w:color w:val="FF0000"/>
                <w:sz w:val="20"/>
              </w:rPr>
              <w:t xml:space="preserve">occurs </w:t>
            </w:r>
            <w:r w:rsidRPr="45327F29">
              <w:rPr>
                <w:sz w:val="20"/>
              </w:rPr>
              <w:t>at the health service establishment</w:t>
            </w:r>
            <w:r>
              <w:rPr>
                <w:sz w:val="20"/>
              </w:rPr>
              <w:t xml:space="preserve"> </w:t>
            </w:r>
            <w:r w:rsidRPr="45327F29">
              <w:rPr>
                <w:sz w:val="20"/>
              </w:rPr>
              <w:t>to the Secretary</w:t>
            </w:r>
            <w:r w:rsidR="00833871" w:rsidRPr="45327F29">
              <w:rPr>
                <w:sz w:val="20"/>
              </w:rPr>
              <w:t>—</w:t>
            </w:r>
            <w:r w:rsidRPr="45327F29">
              <w:rPr>
                <w:sz w:val="20"/>
              </w:rPr>
              <w:t xml:space="preserve"> </w:t>
            </w:r>
            <w:r w:rsidRPr="00F8480E">
              <w:rPr>
                <w:strike/>
                <w:sz w:val="20"/>
              </w:rPr>
              <w:t>within the time determined by the Secretary.</w:t>
            </w:r>
          </w:p>
          <w:p w14:paraId="70BD4F87" w14:textId="77777777" w:rsidR="00D207D1" w:rsidRPr="002B6D4C" w:rsidRDefault="00B97DDB" w:rsidP="00FC2734">
            <w:pPr>
              <w:pStyle w:val="ListParagraph"/>
              <w:numPr>
                <w:ilvl w:val="1"/>
                <w:numId w:val="28"/>
              </w:numPr>
              <w:rPr>
                <w:rFonts w:ascii="Arial" w:hAnsi="Arial" w:cs="Arial"/>
                <w:szCs w:val="20"/>
              </w:rPr>
            </w:pPr>
            <w:r w:rsidRPr="002B6D4C">
              <w:rPr>
                <w:rFonts w:ascii="Arial" w:hAnsi="Arial" w:cs="Arial"/>
                <w:color w:val="FF0000"/>
                <w:szCs w:val="20"/>
              </w:rPr>
              <w:t>within the time determined by the Secretary; and</w:t>
            </w:r>
          </w:p>
          <w:p w14:paraId="43C78E21" w14:textId="354E22CD" w:rsidR="00B97DDB" w:rsidRPr="002B6D4C" w:rsidRDefault="00B97DDB" w:rsidP="00FC2734">
            <w:pPr>
              <w:pStyle w:val="ListParagraph"/>
              <w:numPr>
                <w:ilvl w:val="1"/>
                <w:numId w:val="28"/>
              </w:numPr>
              <w:rPr>
                <w:rFonts w:ascii="Arial" w:hAnsi="Arial" w:cs="Arial"/>
                <w:szCs w:val="20"/>
              </w:rPr>
            </w:pPr>
            <w:r w:rsidRPr="002B6D4C">
              <w:rPr>
                <w:rFonts w:ascii="Arial" w:hAnsi="Arial" w:cs="Arial"/>
                <w:color w:val="FF0000"/>
                <w:szCs w:val="20"/>
                <w:lang w:val="en-AU"/>
              </w:rPr>
              <w:lastRenderedPageBreak/>
              <w:t>in the form and manner determined by the Secretary.</w:t>
            </w:r>
          </w:p>
        </w:tc>
        <w:tc>
          <w:tcPr>
            <w:tcW w:w="3467" w:type="dxa"/>
          </w:tcPr>
          <w:p w14:paraId="59A46CD7" w14:textId="1735FB85" w:rsidR="00B97DDB" w:rsidRPr="00E865BA" w:rsidRDefault="00AC4D03">
            <w:pPr>
              <w:rPr>
                <w:rFonts w:cstheme="minorHAnsi"/>
                <w:sz w:val="20"/>
              </w:rPr>
            </w:pPr>
            <w:r w:rsidRPr="00102832">
              <w:rPr>
                <w:rFonts w:cstheme="minorHAnsi"/>
                <w:sz w:val="20"/>
              </w:rPr>
              <w:lastRenderedPageBreak/>
              <w:t xml:space="preserve">Process amendment to the existing requirement to report (notify) the Secretary of each sentinel event, to ensure clarity and </w:t>
            </w:r>
            <w:r w:rsidR="00B97DDB" w:rsidRPr="00E865BA">
              <w:rPr>
                <w:rFonts w:cstheme="minorHAnsi"/>
                <w:sz w:val="20"/>
              </w:rPr>
              <w:t>consistency in the data reported</w:t>
            </w:r>
            <w:r w:rsidRPr="00102832">
              <w:rPr>
                <w:rFonts w:cstheme="minorHAnsi"/>
                <w:sz w:val="20"/>
              </w:rPr>
              <w:t>,</w:t>
            </w:r>
            <w:r w:rsidR="00B97DDB">
              <w:rPr>
                <w:rFonts w:cstheme="minorHAnsi"/>
                <w:sz w:val="20"/>
              </w:rPr>
              <w:t xml:space="preserve"> to </w:t>
            </w:r>
            <w:r w:rsidR="00B97DDB" w:rsidRPr="00E865BA">
              <w:rPr>
                <w:rFonts w:cstheme="minorHAnsi"/>
                <w:sz w:val="20"/>
              </w:rPr>
              <w:t>improve</w:t>
            </w:r>
            <w:r w:rsidR="00B97DDB">
              <w:rPr>
                <w:rFonts w:cstheme="minorHAnsi"/>
                <w:sz w:val="20"/>
              </w:rPr>
              <w:t xml:space="preserve"> </w:t>
            </w:r>
            <w:r w:rsidR="00B97DDB" w:rsidRPr="00E865BA">
              <w:rPr>
                <w:rFonts w:cstheme="minorHAnsi"/>
                <w:sz w:val="20"/>
              </w:rPr>
              <w:t>sector/system-wide</w:t>
            </w:r>
            <w:r w:rsidR="00B97DDB">
              <w:rPr>
                <w:rFonts w:cstheme="minorHAnsi"/>
                <w:sz w:val="20"/>
              </w:rPr>
              <w:t xml:space="preserve"> </w:t>
            </w:r>
            <w:r w:rsidR="00B97DDB" w:rsidRPr="00E865BA">
              <w:rPr>
                <w:rFonts w:cstheme="minorHAnsi"/>
                <w:sz w:val="20"/>
              </w:rPr>
              <w:t>monitoring</w:t>
            </w:r>
            <w:r w:rsidR="00B97DDB">
              <w:rPr>
                <w:rFonts w:cstheme="minorHAnsi"/>
                <w:sz w:val="20"/>
              </w:rPr>
              <w:t xml:space="preserve">, and </w:t>
            </w:r>
            <w:r w:rsidR="00B97DDB">
              <w:rPr>
                <w:rFonts w:cstheme="minorHAnsi"/>
                <w:sz w:val="20"/>
              </w:rPr>
              <w:lastRenderedPageBreak/>
              <w:t>to allow the Secretary to determine the timeframes and mechanisms for reporting (</w:t>
            </w:r>
            <w:proofErr w:type="gramStart"/>
            <w:r w:rsidR="00B97DDB">
              <w:rPr>
                <w:rFonts w:cstheme="minorHAnsi"/>
                <w:sz w:val="20"/>
              </w:rPr>
              <w:t>e.g.</w:t>
            </w:r>
            <w:proofErr w:type="gramEnd"/>
            <w:r w:rsidR="00B97DDB">
              <w:rPr>
                <w:rFonts w:cstheme="minorHAnsi"/>
                <w:sz w:val="20"/>
              </w:rPr>
              <w:t xml:space="preserve"> through a </w:t>
            </w:r>
            <w:r w:rsidR="00B97DDB" w:rsidRPr="00E865BA">
              <w:rPr>
                <w:rFonts w:cstheme="minorHAnsi"/>
                <w:sz w:val="20"/>
              </w:rPr>
              <w:t>central portal</w:t>
            </w:r>
            <w:r w:rsidR="00B97DDB">
              <w:rPr>
                <w:rFonts w:cstheme="minorHAnsi"/>
                <w:sz w:val="20"/>
              </w:rPr>
              <w:t>).</w:t>
            </w:r>
            <w:r w:rsidR="00B97DDB" w:rsidRPr="00E865BA">
              <w:rPr>
                <w:rFonts w:cstheme="minorHAnsi"/>
                <w:sz w:val="20"/>
              </w:rPr>
              <w:t xml:space="preserve"> </w:t>
            </w:r>
            <w:r w:rsidRPr="00102832">
              <w:rPr>
                <w:rFonts w:cstheme="minorHAnsi"/>
                <w:sz w:val="20"/>
              </w:rPr>
              <w:t>Does not change the definition of sentinel event.</w:t>
            </w:r>
          </w:p>
        </w:tc>
        <w:tc>
          <w:tcPr>
            <w:tcW w:w="5528" w:type="dxa"/>
            <w:hideMark/>
          </w:tcPr>
          <w:p w14:paraId="13F060AE" w14:textId="77777777" w:rsidR="00B97DDB" w:rsidRPr="00E865BA" w:rsidRDefault="00B97DDB">
            <w:pPr>
              <w:rPr>
                <w:rFonts w:cstheme="minorHAnsi"/>
                <w:sz w:val="20"/>
              </w:rPr>
            </w:pPr>
          </w:p>
        </w:tc>
      </w:tr>
      <w:tr w:rsidR="00B97DDB" w:rsidRPr="00E865BA" w14:paraId="33A17F42" w14:textId="77777777" w:rsidTr="00B321B9">
        <w:trPr>
          <w:trHeight w:val="2100"/>
        </w:trPr>
        <w:tc>
          <w:tcPr>
            <w:tcW w:w="1135" w:type="dxa"/>
            <w:hideMark/>
          </w:tcPr>
          <w:p w14:paraId="795ED28B" w14:textId="77777777" w:rsidR="00B97DDB" w:rsidRPr="00C03B67" w:rsidRDefault="00B97DDB">
            <w:pPr>
              <w:rPr>
                <w:rFonts w:cstheme="minorHAnsi"/>
                <w:color w:val="FF0000"/>
                <w:sz w:val="20"/>
              </w:rPr>
            </w:pPr>
            <w:r w:rsidRPr="00C03B67">
              <w:rPr>
                <w:rFonts w:cstheme="minorHAnsi"/>
                <w:color w:val="FF0000"/>
                <w:sz w:val="20"/>
              </w:rPr>
              <w:t>NEW</w:t>
            </w:r>
          </w:p>
          <w:p w14:paraId="45C02405" w14:textId="77777777" w:rsidR="00B97DDB" w:rsidRPr="00E865BA" w:rsidRDefault="00B97DDB">
            <w:pPr>
              <w:rPr>
                <w:rFonts w:cstheme="minorHAnsi"/>
                <w:sz w:val="20"/>
              </w:rPr>
            </w:pPr>
            <w:r w:rsidRPr="00C03B67">
              <w:rPr>
                <w:rFonts w:cstheme="minorHAnsi"/>
                <w:color w:val="FF0000"/>
                <w:sz w:val="20"/>
              </w:rPr>
              <w:t>67</w:t>
            </w:r>
          </w:p>
        </w:tc>
        <w:tc>
          <w:tcPr>
            <w:tcW w:w="5605" w:type="dxa"/>
            <w:hideMark/>
          </w:tcPr>
          <w:p w14:paraId="7FB74261" w14:textId="77777777" w:rsidR="00006280" w:rsidRPr="00006280" w:rsidRDefault="00B97DDB" w:rsidP="19A1CCEF">
            <w:pPr>
              <w:rPr>
                <w:b/>
                <w:color w:val="FF0000"/>
                <w:sz w:val="20"/>
              </w:rPr>
            </w:pPr>
            <w:r w:rsidRPr="19A1CCEF">
              <w:rPr>
                <w:b/>
                <w:bCs/>
                <w:color w:val="FF0000"/>
                <w:sz w:val="20"/>
              </w:rPr>
              <w:t>Review of sentinel events</w:t>
            </w:r>
          </w:p>
          <w:p w14:paraId="0C846039" w14:textId="77777777" w:rsidR="00006280" w:rsidRPr="002B6D4C" w:rsidRDefault="00B97DDB" w:rsidP="00FC2734">
            <w:pPr>
              <w:pStyle w:val="ListParagraph"/>
              <w:numPr>
                <w:ilvl w:val="0"/>
                <w:numId w:val="29"/>
              </w:numPr>
              <w:rPr>
                <w:rFonts w:ascii="Arial" w:hAnsi="Arial" w:cs="Arial"/>
                <w:color w:val="FF0000"/>
                <w:szCs w:val="20"/>
              </w:rPr>
            </w:pPr>
            <w:proofErr w:type="gramStart"/>
            <w:r w:rsidRPr="002B6D4C">
              <w:rPr>
                <w:rFonts w:ascii="Arial" w:hAnsi="Arial" w:cs="Arial"/>
                <w:color w:val="FF0000"/>
                <w:szCs w:val="20"/>
              </w:rPr>
              <w:t>For the purpose of</w:t>
            </w:r>
            <w:proofErr w:type="gramEnd"/>
            <w:r w:rsidRPr="002B6D4C">
              <w:rPr>
                <w:rFonts w:ascii="Arial" w:hAnsi="Arial" w:cs="Arial"/>
                <w:color w:val="FF0000"/>
                <w:szCs w:val="20"/>
              </w:rPr>
              <w:t xml:space="preserve"> ensuring the quality and safety of health services provided by a health service establishment, the proprietor of a health service establishment must ensure that a review is conducted of each sentinel event that occurs at the health service establishment.</w:t>
            </w:r>
          </w:p>
          <w:p w14:paraId="6EEBE67C" w14:textId="77777777" w:rsidR="00006280" w:rsidRPr="002B6D4C" w:rsidRDefault="00B97DDB" w:rsidP="00FC2734">
            <w:pPr>
              <w:pStyle w:val="ListParagraph"/>
              <w:numPr>
                <w:ilvl w:val="0"/>
                <w:numId w:val="29"/>
              </w:numPr>
              <w:rPr>
                <w:rFonts w:ascii="Arial" w:hAnsi="Arial" w:cs="Arial"/>
                <w:color w:val="FF0000"/>
                <w:szCs w:val="20"/>
              </w:rPr>
            </w:pPr>
            <w:r w:rsidRPr="002B6D4C">
              <w:rPr>
                <w:rFonts w:ascii="Arial" w:hAnsi="Arial" w:cs="Arial"/>
                <w:color w:val="FF0000"/>
                <w:szCs w:val="20"/>
              </w:rPr>
              <w:t xml:space="preserve">A review conducted under </w:t>
            </w:r>
            <w:proofErr w:type="spellStart"/>
            <w:r w:rsidRPr="002B6D4C">
              <w:rPr>
                <w:rFonts w:ascii="Arial" w:hAnsi="Arial" w:cs="Arial"/>
                <w:color w:val="FF0000"/>
                <w:szCs w:val="20"/>
              </w:rPr>
              <w:t>subregulation</w:t>
            </w:r>
            <w:proofErr w:type="spellEnd"/>
            <w:r w:rsidRPr="002B6D4C">
              <w:rPr>
                <w:rFonts w:ascii="Arial" w:hAnsi="Arial" w:cs="Arial"/>
                <w:color w:val="FF0000"/>
                <w:szCs w:val="20"/>
              </w:rPr>
              <w:t xml:space="preserve"> (1) must be conducted in the manner and within the time determined by the Secretary. </w:t>
            </w:r>
          </w:p>
          <w:p w14:paraId="7732A1AA" w14:textId="5AB2E4D8" w:rsidR="00B97DDB" w:rsidRPr="00006280" w:rsidRDefault="00B97DDB" w:rsidP="00FC2734">
            <w:pPr>
              <w:pStyle w:val="ListParagraph"/>
              <w:numPr>
                <w:ilvl w:val="0"/>
                <w:numId w:val="29"/>
              </w:numPr>
              <w:rPr>
                <w:rFonts w:ascii="Arial" w:hAnsi="Arial" w:cs="Arial"/>
                <w:color w:val="FF0000"/>
                <w:szCs w:val="20"/>
                <w:lang w:val="en-AU"/>
              </w:rPr>
            </w:pPr>
            <w:r w:rsidRPr="002B6D4C">
              <w:rPr>
                <w:rFonts w:ascii="Arial" w:hAnsi="Arial" w:cs="Arial"/>
                <w:color w:val="FF0000"/>
                <w:szCs w:val="20"/>
              </w:rPr>
              <w:t xml:space="preserve">The proprietor of a health service establishment must record the outcome of a review conducted under </w:t>
            </w:r>
            <w:proofErr w:type="spellStart"/>
            <w:r w:rsidRPr="002B6D4C">
              <w:rPr>
                <w:rFonts w:ascii="Arial" w:hAnsi="Arial" w:cs="Arial"/>
                <w:color w:val="FF0000"/>
                <w:szCs w:val="20"/>
              </w:rPr>
              <w:t>subregulation</w:t>
            </w:r>
            <w:proofErr w:type="spellEnd"/>
            <w:r w:rsidRPr="002B6D4C">
              <w:rPr>
                <w:rFonts w:ascii="Arial" w:hAnsi="Arial" w:cs="Arial"/>
                <w:color w:val="FF0000"/>
                <w:szCs w:val="20"/>
              </w:rPr>
              <w:t xml:space="preserve"> (1) in writing and submit it to the Secretary within the time </w:t>
            </w:r>
            <w:r w:rsidR="70091213" w:rsidRPr="002B6D4C">
              <w:rPr>
                <w:rFonts w:ascii="Arial" w:hAnsi="Arial" w:cs="Arial"/>
                <w:color w:val="FF0000"/>
                <w:szCs w:val="20"/>
              </w:rPr>
              <w:t xml:space="preserve">and in the form </w:t>
            </w:r>
            <w:r w:rsidRPr="002B6D4C">
              <w:rPr>
                <w:rFonts w:ascii="Arial" w:hAnsi="Arial" w:cs="Arial"/>
                <w:color w:val="FF0000"/>
                <w:szCs w:val="20"/>
              </w:rPr>
              <w:t>determined by the Secretary.</w:t>
            </w:r>
          </w:p>
        </w:tc>
        <w:tc>
          <w:tcPr>
            <w:tcW w:w="3467" w:type="dxa"/>
          </w:tcPr>
          <w:p w14:paraId="2ECA37BB" w14:textId="77777777" w:rsidR="00C86717" w:rsidRPr="00102832" w:rsidRDefault="00C86717" w:rsidP="00C86717">
            <w:pPr>
              <w:rPr>
                <w:rFonts w:cstheme="minorHAnsi"/>
                <w:sz w:val="20"/>
              </w:rPr>
            </w:pPr>
            <w:r w:rsidRPr="00102832">
              <w:rPr>
                <w:rFonts w:cstheme="minorHAnsi"/>
                <w:sz w:val="20"/>
              </w:rPr>
              <w:t xml:space="preserve">New requirements </w:t>
            </w:r>
            <w:r w:rsidR="00B97DDB" w:rsidRPr="00E865BA">
              <w:rPr>
                <w:rFonts w:cstheme="minorHAnsi"/>
                <w:sz w:val="20"/>
              </w:rPr>
              <w:t xml:space="preserve">to formalise review requirements for </w:t>
            </w:r>
            <w:r w:rsidRPr="00102832">
              <w:rPr>
                <w:rFonts w:cstheme="minorHAnsi"/>
                <w:sz w:val="20"/>
              </w:rPr>
              <w:t>sentinel events and requirements for reporting</w:t>
            </w:r>
            <w:r w:rsidR="00B97DDB" w:rsidRPr="00E865BA">
              <w:rPr>
                <w:rFonts w:cstheme="minorHAnsi"/>
                <w:sz w:val="20"/>
              </w:rPr>
              <w:t xml:space="preserve"> to the </w:t>
            </w:r>
            <w:r w:rsidRPr="00102832">
              <w:rPr>
                <w:rFonts w:cstheme="minorHAnsi"/>
                <w:sz w:val="20"/>
              </w:rPr>
              <w:t xml:space="preserve">Secretary about those reviews. Intended to ensure that reviews are </w:t>
            </w:r>
            <w:proofErr w:type="gramStart"/>
            <w:r w:rsidRPr="00102832">
              <w:rPr>
                <w:rFonts w:cstheme="minorHAnsi"/>
                <w:sz w:val="20"/>
              </w:rPr>
              <w:t>robust</w:t>
            </w:r>
            <w:proofErr w:type="gramEnd"/>
            <w:r w:rsidRPr="00102832">
              <w:rPr>
                <w:rFonts w:cstheme="minorHAnsi"/>
                <w:sz w:val="20"/>
              </w:rPr>
              <w:t xml:space="preserve"> so they identify causes of sentinel events and mitigations and improvements, to provide </w:t>
            </w:r>
            <w:r w:rsidR="00B97DDB" w:rsidRPr="00E865BA">
              <w:rPr>
                <w:rFonts w:cstheme="minorHAnsi"/>
                <w:sz w:val="20"/>
              </w:rPr>
              <w:t xml:space="preserve">Safer Care Victoria </w:t>
            </w:r>
            <w:r w:rsidRPr="00102832">
              <w:rPr>
                <w:rFonts w:cstheme="minorHAnsi"/>
                <w:sz w:val="20"/>
              </w:rPr>
              <w:t xml:space="preserve">with oversight of review processes and outcomes at a facility level (as a key safety indicator), and to inform Safer Care Victoria’s </w:t>
            </w:r>
            <w:r w:rsidR="00B97DDB" w:rsidRPr="00E865BA">
              <w:rPr>
                <w:rFonts w:cstheme="minorHAnsi"/>
                <w:sz w:val="20"/>
              </w:rPr>
              <w:t xml:space="preserve">State-wide sentinel event program, which provides system-wide oversight and consolidation of improvement insights. </w:t>
            </w:r>
          </w:p>
          <w:p w14:paraId="6C70EC65" w14:textId="29E9E766" w:rsidR="00B97DDB" w:rsidRPr="00E865BA" w:rsidRDefault="00B97DDB">
            <w:pPr>
              <w:rPr>
                <w:rFonts w:cstheme="minorHAnsi"/>
                <w:sz w:val="20"/>
              </w:rPr>
            </w:pPr>
          </w:p>
        </w:tc>
        <w:tc>
          <w:tcPr>
            <w:tcW w:w="5528" w:type="dxa"/>
            <w:hideMark/>
          </w:tcPr>
          <w:p w14:paraId="4329BF6D" w14:textId="77777777" w:rsidR="00B97DDB" w:rsidRPr="00E865BA" w:rsidRDefault="00B97DDB">
            <w:pPr>
              <w:rPr>
                <w:rFonts w:cstheme="minorHAnsi"/>
                <w:sz w:val="20"/>
              </w:rPr>
            </w:pPr>
            <w:r w:rsidRPr="00E865BA">
              <w:rPr>
                <w:rFonts w:cstheme="minorHAnsi"/>
                <w:sz w:val="20"/>
              </w:rPr>
              <w:t xml:space="preserve">. </w:t>
            </w:r>
          </w:p>
        </w:tc>
      </w:tr>
    </w:tbl>
    <w:p w14:paraId="559BC577" w14:textId="77777777" w:rsidR="00B97DDB" w:rsidRDefault="00B97DDB" w:rsidP="00B97DDB">
      <w:pPr>
        <w:spacing w:after="0"/>
      </w:pPr>
    </w:p>
    <w:p w14:paraId="17E51276" w14:textId="77777777" w:rsidR="009F0D86" w:rsidRDefault="009F0D86" w:rsidP="00B97DDB">
      <w:pPr>
        <w:spacing w:after="0"/>
      </w:pPr>
    </w:p>
    <w:p w14:paraId="308067FA" w14:textId="77777777" w:rsidR="009F0D86" w:rsidRDefault="009F0D86" w:rsidP="00B97DDB">
      <w:pPr>
        <w:spacing w:after="0"/>
      </w:pPr>
    </w:p>
    <w:p w14:paraId="61F371DD" w14:textId="77777777" w:rsidR="009F0D86" w:rsidRDefault="009F0D86" w:rsidP="00B97DDB">
      <w:pPr>
        <w:spacing w:after="0"/>
      </w:pPr>
    </w:p>
    <w:p w14:paraId="3773BB4F" w14:textId="77777777" w:rsidR="009F0D86" w:rsidRDefault="009F0D86" w:rsidP="00B97DDB">
      <w:pPr>
        <w:spacing w:after="0"/>
      </w:pPr>
    </w:p>
    <w:tbl>
      <w:tblPr>
        <w:tblStyle w:val="TableGrid"/>
        <w:tblW w:w="15163" w:type="dxa"/>
        <w:tblCellMar>
          <w:bottom w:w="108" w:type="dxa"/>
        </w:tblCellMar>
        <w:tblLook w:val="0600" w:firstRow="0" w:lastRow="0" w:firstColumn="0" w:lastColumn="0" w:noHBand="1" w:noVBand="1"/>
      </w:tblPr>
      <w:tblGrid>
        <w:gridCol w:w="15163"/>
      </w:tblGrid>
      <w:tr w:rsidR="0055119B" w14:paraId="009B008B" w14:textId="77777777" w:rsidTr="00502603">
        <w:tc>
          <w:tcPr>
            <w:tcW w:w="15163" w:type="dxa"/>
          </w:tcPr>
          <w:p w14:paraId="41FCEE2B" w14:textId="1A33A464" w:rsidR="0055119B" w:rsidRPr="0055119B" w:rsidRDefault="0055119B" w:rsidP="0055119B">
            <w:pPr>
              <w:pStyle w:val="Accessibilitypara"/>
            </w:pPr>
            <w:bookmarkStart w:id="9" w:name="_Hlk37240926"/>
            <w:r w:rsidRPr="0055119B">
              <w:t>To receive this document in another format</w:t>
            </w:r>
            <w:r>
              <w:t>,</w:t>
            </w:r>
            <w:r w:rsidRPr="0055119B">
              <w:t xml:space="preserve"> </w:t>
            </w:r>
            <w:hyperlink r:id="rId22" w:history="1">
              <w:r w:rsidRPr="009A5E2E">
                <w:rPr>
                  <w:rStyle w:val="Hyperlink"/>
                </w:rPr>
                <w:t xml:space="preserve">email </w:t>
              </w:r>
              <w:r w:rsidR="00E028F1" w:rsidRPr="009A5E2E">
                <w:rPr>
                  <w:rStyle w:val="Hyperlink"/>
                </w:rPr>
                <w:t xml:space="preserve">the </w:t>
              </w:r>
              <w:r w:rsidR="003D37BA" w:rsidRPr="009A5E2E">
                <w:rPr>
                  <w:rStyle w:val="Hyperlink"/>
                </w:rPr>
                <w:t>Legislative and Regulatory Reform Team</w:t>
              </w:r>
            </w:hyperlink>
            <w:r w:rsidR="003D37BA">
              <w:t xml:space="preserve"> at </w:t>
            </w:r>
            <w:hyperlink r:id="rId23" w:history="1">
              <w:r w:rsidR="009A5E2E" w:rsidRPr="00341421">
                <w:rPr>
                  <w:rStyle w:val="Hyperlink"/>
                </w:rPr>
                <w:t>legandregreform@health.vic.gov.au</w:t>
              </w:r>
            </w:hyperlink>
            <w:r w:rsidR="009A5E2E">
              <w:t>.</w:t>
            </w:r>
          </w:p>
          <w:p w14:paraId="1F49AC8F" w14:textId="77777777" w:rsidR="00FD2A22" w:rsidRDefault="0055119B" w:rsidP="00C975CA">
            <w:pPr>
              <w:pStyle w:val="Imprint"/>
            </w:pPr>
            <w:r w:rsidRPr="0055119B">
              <w:t>Authorised and published by the Victorian Government, 1 Treasury Place, Melbourne.</w:t>
            </w:r>
          </w:p>
          <w:p w14:paraId="686DA19E" w14:textId="3B628F3B" w:rsidR="00FD2A22" w:rsidRDefault="0055119B" w:rsidP="00C975CA">
            <w:pPr>
              <w:pStyle w:val="Imprint"/>
            </w:pPr>
            <w:r w:rsidRPr="0055119B">
              <w:t xml:space="preserve">© State of Victoria, Australia, Department </w:t>
            </w:r>
            <w:r w:rsidRPr="001B058F">
              <w:t xml:space="preserve">of </w:t>
            </w:r>
            <w:r w:rsidR="0037447A">
              <w:t>Health</w:t>
            </w:r>
            <w:r w:rsidRPr="0055119B">
              <w:t xml:space="preserve">, </w:t>
            </w:r>
            <w:r w:rsidR="009705B6">
              <w:rPr>
                <w:color w:val="auto"/>
              </w:rPr>
              <w:t>April 2024</w:t>
            </w:r>
            <w:r w:rsidRPr="0055119B">
              <w:t>.</w:t>
            </w:r>
            <w:bookmarkStart w:id="10" w:name="_Hlk62746129"/>
          </w:p>
          <w:p w14:paraId="18D70216" w14:textId="49133F77" w:rsidR="00FD2A22" w:rsidRDefault="0055119B" w:rsidP="00C975CA">
            <w:pPr>
              <w:pStyle w:val="Imprint"/>
            </w:pPr>
            <w:r w:rsidRPr="0055119B">
              <w:t xml:space="preserve">ISBN </w:t>
            </w:r>
            <w:r w:rsidR="00963123" w:rsidRPr="00963123">
              <w:t xml:space="preserve">978-1-76131-578-7 </w:t>
            </w:r>
            <w:r w:rsidRPr="0055119B">
              <w:t xml:space="preserve">(Word) </w:t>
            </w:r>
          </w:p>
          <w:p w14:paraId="0B77CC5A" w14:textId="15885903" w:rsidR="00FD2A22" w:rsidRDefault="0055119B" w:rsidP="00C975CA">
            <w:pPr>
              <w:pStyle w:val="Imprint"/>
            </w:pPr>
            <w:r w:rsidRPr="0055119B">
              <w:t xml:space="preserve">Available at </w:t>
            </w:r>
            <w:hyperlink r:id="rId24" w:history="1">
              <w:r w:rsidR="005D1BC3" w:rsidRPr="005D1BC3">
                <w:rPr>
                  <w:rStyle w:val="Hyperlink"/>
                </w:rPr>
                <w:t>https://www.health.vic.gov.au/private-health-service-establishments/legislation-updates-for-private-health-service-establishments</w:t>
              </w:r>
            </w:hyperlink>
            <w:r w:rsidR="005D1BC3">
              <w:t xml:space="preserve"> </w:t>
            </w:r>
            <w:r w:rsidRPr="0055119B">
              <w:t>&lt;</w:t>
            </w:r>
            <w:r w:rsidR="005D1BC3" w:rsidRPr="005D1BC3">
              <w:t>https://www.health.vic.gov.au/private-health-service-establishments/legislation-updates-for-private-health-service-establishments</w:t>
            </w:r>
            <w:r w:rsidRPr="0055119B">
              <w:t>&gt;</w:t>
            </w:r>
          </w:p>
          <w:bookmarkEnd w:id="10"/>
          <w:p w14:paraId="0DE761AE" w14:textId="7EA961F4" w:rsidR="0055119B" w:rsidRDefault="0055119B" w:rsidP="00C975CA">
            <w:pPr>
              <w:pStyle w:val="Imprint"/>
            </w:pPr>
          </w:p>
        </w:tc>
      </w:tr>
      <w:bookmarkEnd w:id="9"/>
    </w:tbl>
    <w:p w14:paraId="55708E0A" w14:textId="77777777" w:rsidR="00162CA9" w:rsidRDefault="00162CA9" w:rsidP="00162CA9">
      <w:pPr>
        <w:pStyle w:val="Body"/>
      </w:pPr>
    </w:p>
    <w:sectPr w:rsidR="00162CA9" w:rsidSect="00C3696F">
      <w:footerReference w:type="even" r:id="rId25"/>
      <w:footerReference w:type="default" r:id="rId26"/>
      <w:footerReference w:type="first" r:id="rId27"/>
      <w:type w:val="continuous"/>
      <w:pgSz w:w="16838" w:h="11906" w:orient="landscape" w:code="9"/>
      <w:pgMar w:top="1418" w:right="851" w:bottom="1418" w:left="851" w:header="680" w:footer="851" w:gutter="0"/>
      <w:cols w:space="34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48888F" w14:textId="77777777" w:rsidR="00D26501" w:rsidRDefault="00D26501">
      <w:r>
        <w:separator/>
      </w:r>
    </w:p>
    <w:p w14:paraId="34ABDBD9" w14:textId="77777777" w:rsidR="00D26501" w:rsidRDefault="00D26501"/>
  </w:endnote>
  <w:endnote w:type="continuationSeparator" w:id="0">
    <w:p w14:paraId="54DDCC0E" w14:textId="77777777" w:rsidR="00D26501" w:rsidRDefault="00D26501">
      <w:r>
        <w:continuationSeparator/>
      </w:r>
    </w:p>
    <w:p w14:paraId="5BEA1BA9" w14:textId="77777777" w:rsidR="00D26501" w:rsidRDefault="00D26501"/>
  </w:endnote>
  <w:endnote w:type="continuationNotice" w:id="1">
    <w:p w14:paraId="4C348F5E" w14:textId="77777777" w:rsidR="00D26501" w:rsidRDefault="00D2650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pitch w:val="fixed"/>
    <w:sig w:usb0="00000001"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altName w:val="Arial"/>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26CB9" w14:textId="1835AAC5" w:rsidR="00377CCA" w:rsidRDefault="00377CCA">
    <w:pPr>
      <w:pStyle w:val="Footer"/>
    </w:pPr>
    <w:r>
      <w:rPr>
        <w:noProof/>
      </w:rPr>
      <mc:AlternateContent>
        <mc:Choice Requires="wps">
          <w:drawing>
            <wp:anchor distT="0" distB="0" distL="0" distR="0" simplePos="0" relativeHeight="251659264" behindDoc="0" locked="0" layoutInCell="1" allowOverlap="1" wp14:anchorId="5DE50395" wp14:editId="7F36569C">
              <wp:simplePos x="635" y="635"/>
              <wp:positionH relativeFrom="page">
                <wp:align>center</wp:align>
              </wp:positionH>
              <wp:positionV relativeFrom="page">
                <wp:align>bottom</wp:align>
              </wp:positionV>
              <wp:extent cx="443865" cy="443865"/>
              <wp:effectExtent l="0" t="0" r="10160" b="0"/>
              <wp:wrapNone/>
              <wp:docPr id="4" name="Text Box 4"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B84EF0C" w14:textId="75D371ED" w:rsidR="00377CCA" w:rsidRPr="00377CCA" w:rsidRDefault="00377CCA" w:rsidP="00377CCA">
                          <w:pPr>
                            <w:spacing w:after="0"/>
                            <w:rPr>
                              <w:rFonts w:ascii="Arial Black" w:eastAsia="Arial Black" w:hAnsi="Arial Black" w:cs="Arial Black"/>
                              <w:noProof/>
                              <w:color w:val="000000"/>
                              <w:sz w:val="20"/>
                            </w:rPr>
                          </w:pPr>
                          <w:r w:rsidRPr="00377CCA">
                            <w:rPr>
                              <w:rFonts w:ascii="Arial Black" w:eastAsia="Arial Black" w:hAnsi="Arial Black" w:cs="Arial Black"/>
                              <w:noProof/>
                              <w:color w:val="000000"/>
                              <w:sz w:val="2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5DE50395" id="_x0000_t202" coordsize="21600,21600" o:spt="202" path="m,l,21600r21600,l21600,xe">
              <v:stroke joinstyle="miter"/>
              <v:path gradientshapeok="t" o:connecttype="rect"/>
            </v:shapetype>
            <v:shape id="Text Box 4" o:spid="_x0000_s1026" type="#_x0000_t202" alt="OFFICIAL" style="position:absolute;left:0;text-align:left;margin-left:0;margin-top:0;width:34.95pt;height:34.95pt;z-index:25165926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" filled="f" stroked="f">
              <v:textbox style="mso-fit-shape-to-text:t" inset="0,0,0,15pt">
                <w:txbxContent>
                  <w:p w14:paraId="3B84EF0C" w14:textId="75D371ED" w:rsidR="00377CCA" w:rsidRPr="00377CCA" w:rsidRDefault="00377CCA" w:rsidP="00377CCA">
                    <w:pPr>
                      <w:spacing w:after="0"/>
                      <w:rPr>
                        <w:rFonts w:ascii="Arial Black" w:eastAsia="Arial Black" w:hAnsi="Arial Black" w:cs="Arial Black"/>
                        <w:noProof/>
                        <w:color w:val="000000"/>
                        <w:sz w:val="20"/>
                      </w:rPr>
                    </w:pPr>
                    <w:r w:rsidRPr="00377CCA">
                      <w:rPr>
                        <w:rFonts w:ascii="Arial Black" w:eastAsia="Arial Black" w:hAnsi="Arial Black" w:cs="Arial Black"/>
                        <w:noProof/>
                        <w:color w:val="000000"/>
                        <w:sz w:val="20"/>
                      </w:rPr>
                      <w:t>OFFICIAL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7B73D" w14:textId="05E9B344" w:rsidR="00377CCA" w:rsidRDefault="00377CCA">
    <w:pPr>
      <w:pStyle w:val="Footer"/>
    </w:pPr>
    <w:r>
      <w:rPr>
        <w:noProof/>
      </w:rPr>
      <mc:AlternateContent>
        <mc:Choice Requires="wps">
          <w:drawing>
            <wp:anchor distT="0" distB="0" distL="0" distR="0" simplePos="0" relativeHeight="251660288" behindDoc="0" locked="0" layoutInCell="1" allowOverlap="1" wp14:anchorId="718EFD62" wp14:editId="6CE8CCFE">
              <wp:simplePos x="635" y="635"/>
              <wp:positionH relativeFrom="page">
                <wp:align>center</wp:align>
              </wp:positionH>
              <wp:positionV relativeFrom="page">
                <wp:align>bottom</wp:align>
              </wp:positionV>
              <wp:extent cx="443865" cy="443865"/>
              <wp:effectExtent l="0" t="0" r="10160" b="0"/>
              <wp:wrapNone/>
              <wp:docPr id="5" name="Text Box 5"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610C4A4" w14:textId="5C54A9CF" w:rsidR="00377CCA" w:rsidRPr="00377CCA" w:rsidRDefault="00377CCA" w:rsidP="00377CCA">
                          <w:pPr>
                            <w:spacing w:after="0"/>
                            <w:rPr>
                              <w:rFonts w:ascii="Arial Black" w:eastAsia="Arial Black" w:hAnsi="Arial Black" w:cs="Arial Black"/>
                              <w:noProof/>
                              <w:color w:val="000000"/>
                              <w:sz w:val="20"/>
                            </w:rPr>
                          </w:pPr>
                          <w:r w:rsidRPr="00377CCA">
                            <w:rPr>
                              <w:rFonts w:ascii="Arial Black" w:eastAsia="Arial Black" w:hAnsi="Arial Black" w:cs="Arial Black"/>
                              <w:noProof/>
                              <w:color w:val="000000"/>
                              <w:sz w:val="2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718EFD62" id="_x0000_t202" coordsize="21600,21600" o:spt="202" path="m,l,21600r21600,l21600,xe">
              <v:stroke joinstyle="miter"/>
              <v:path gradientshapeok="t" o:connecttype="rect"/>
            </v:shapetype>
            <v:shape id="Text Box 5" o:spid="_x0000_s1027" type="#_x0000_t202" alt="OFFICIAL" style="position:absolute;left:0;text-align:left;margin-left:0;margin-top:0;width:34.95pt;height:34.95pt;z-index:251660288;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" filled="f" stroked="f">
              <v:textbox style="mso-fit-shape-to-text:t" inset="0,0,0,15pt">
                <w:txbxContent>
                  <w:p w14:paraId="5610C4A4" w14:textId="5C54A9CF" w:rsidR="00377CCA" w:rsidRPr="00377CCA" w:rsidRDefault="00377CCA" w:rsidP="00377CCA">
                    <w:pPr>
                      <w:spacing w:after="0"/>
                      <w:rPr>
                        <w:rFonts w:ascii="Arial Black" w:eastAsia="Arial Black" w:hAnsi="Arial Black" w:cs="Arial Black"/>
                        <w:noProof/>
                        <w:color w:val="000000"/>
                        <w:sz w:val="20"/>
                      </w:rPr>
                    </w:pPr>
                    <w:r w:rsidRPr="00377CCA">
                      <w:rPr>
                        <w:rFonts w:ascii="Arial Black" w:eastAsia="Arial Black" w:hAnsi="Arial Black" w:cs="Arial Black"/>
                        <w:noProof/>
                        <w:color w:val="00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ACE92" w14:textId="66DE4942" w:rsidR="00377CCA" w:rsidRDefault="00377CCA">
    <w:pPr>
      <w:pStyle w:val="Footer"/>
    </w:pPr>
    <w:r>
      <w:rPr>
        <w:noProof/>
      </w:rPr>
      <mc:AlternateContent>
        <mc:Choice Requires="wps">
          <w:drawing>
            <wp:anchor distT="0" distB="0" distL="0" distR="0" simplePos="0" relativeHeight="251658240" behindDoc="0" locked="0" layoutInCell="1" allowOverlap="1" wp14:anchorId="78AD480F" wp14:editId="4D38F601">
              <wp:simplePos x="635" y="635"/>
              <wp:positionH relativeFrom="page">
                <wp:align>center</wp:align>
              </wp:positionH>
              <wp:positionV relativeFrom="page">
                <wp:align>bottom</wp:align>
              </wp:positionV>
              <wp:extent cx="443865" cy="443865"/>
              <wp:effectExtent l="0" t="0" r="10160" b="0"/>
              <wp:wrapNone/>
              <wp:docPr id="1" name="Text Box 1"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6624452" w14:textId="52E3BFE0" w:rsidR="00377CCA" w:rsidRPr="00377CCA" w:rsidRDefault="00377CCA" w:rsidP="00377CCA">
                          <w:pPr>
                            <w:spacing w:after="0"/>
                            <w:rPr>
                              <w:rFonts w:ascii="Arial Black" w:eastAsia="Arial Black" w:hAnsi="Arial Black" w:cs="Arial Black"/>
                              <w:noProof/>
                              <w:color w:val="000000"/>
                              <w:sz w:val="20"/>
                            </w:rPr>
                          </w:pPr>
                          <w:r w:rsidRPr="00377CCA">
                            <w:rPr>
                              <w:rFonts w:ascii="Arial Black" w:eastAsia="Arial Black" w:hAnsi="Arial Black" w:cs="Arial Black"/>
                              <w:noProof/>
                              <w:color w:val="000000"/>
                              <w:sz w:val="2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78AD480F" id="_x0000_t202" coordsize="21600,21600" o:spt="202" path="m,l,21600r21600,l21600,xe">
              <v:stroke joinstyle="miter"/>
              <v:path gradientshapeok="t" o:connecttype="rect"/>
            </v:shapetype>
            <v:shape id="Text Box 1" o:spid="_x0000_s1028" type="#_x0000_t202" alt="OFFICIAL" style="position:absolute;left:0;text-align:left;margin-left:0;margin-top:0;width:34.95pt;height:34.95pt;z-index:25165824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W4cCwIAABw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nrki6m7iuoTziUg2Hf3vJNi6W3zIcX5nDBOAeKNjzj&#10;IRV0JYURUdKA+/E3e4xH3tFLSYeCKalBRVOivhncR9TWBNwEqgTmd/l1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jdbhwLAgAAHAQAAA4A&#10;AAAAAAAAAAAAAAAALgIAAGRycy9lMm9Eb2MueG1sUEsBAi0AFAAGAAgAAAAhADft0fjZAAAAAwEA&#10;AA8AAAAAAAAAAAAAAAAAZQQAAGRycy9kb3ducmV2LnhtbFBLBQYAAAAABAAEAPMAAABrBQAAAAA=&#10;" filled="f" stroked="f">
              <v:textbox style="mso-fit-shape-to-text:t" inset="0,0,0,15pt">
                <w:txbxContent>
                  <w:p w14:paraId="16624452" w14:textId="52E3BFE0" w:rsidR="00377CCA" w:rsidRPr="00377CCA" w:rsidRDefault="00377CCA" w:rsidP="00377CCA">
                    <w:pPr>
                      <w:spacing w:after="0"/>
                      <w:rPr>
                        <w:rFonts w:ascii="Arial Black" w:eastAsia="Arial Black" w:hAnsi="Arial Black" w:cs="Arial Black"/>
                        <w:noProof/>
                        <w:color w:val="000000"/>
                        <w:sz w:val="20"/>
                      </w:rPr>
                    </w:pPr>
                    <w:r w:rsidRPr="00377CCA">
                      <w:rPr>
                        <w:rFonts w:ascii="Arial Black" w:eastAsia="Arial Black" w:hAnsi="Arial Black" w:cs="Arial Black"/>
                        <w:noProof/>
                        <w:color w:val="000000"/>
                        <w:sz w:val="20"/>
                      </w:rPr>
                      <w:t>OFFICIAL</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35566" w14:textId="5404AC15" w:rsidR="00377CCA" w:rsidRDefault="00377CCA">
    <w:pPr>
      <w:pStyle w:val="Footer"/>
    </w:pPr>
    <w:r>
      <w:rPr>
        <w:noProof/>
      </w:rPr>
      <mc:AlternateContent>
        <mc:Choice Requires="wps">
          <w:drawing>
            <wp:anchor distT="0" distB="0" distL="0" distR="0" simplePos="0" relativeHeight="251662336" behindDoc="0" locked="0" layoutInCell="1" allowOverlap="1" wp14:anchorId="524A8EB9" wp14:editId="422F31B5">
              <wp:simplePos x="635" y="635"/>
              <wp:positionH relativeFrom="page">
                <wp:align>center</wp:align>
              </wp:positionH>
              <wp:positionV relativeFrom="page">
                <wp:align>bottom</wp:align>
              </wp:positionV>
              <wp:extent cx="443865" cy="443865"/>
              <wp:effectExtent l="0" t="0" r="10160" b="0"/>
              <wp:wrapNone/>
              <wp:docPr id="9" name="Text Box 9"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59BE90E" w14:textId="5948997F" w:rsidR="00377CCA" w:rsidRPr="00377CCA" w:rsidRDefault="00377CCA" w:rsidP="00377CCA">
                          <w:pPr>
                            <w:spacing w:after="0"/>
                            <w:rPr>
                              <w:rFonts w:ascii="Arial Black" w:eastAsia="Arial Black" w:hAnsi="Arial Black" w:cs="Arial Black"/>
                              <w:noProof/>
                              <w:color w:val="000000"/>
                              <w:sz w:val="20"/>
                            </w:rPr>
                          </w:pPr>
                          <w:r w:rsidRPr="00377CCA">
                            <w:rPr>
                              <w:rFonts w:ascii="Arial Black" w:eastAsia="Arial Black" w:hAnsi="Arial Black" w:cs="Arial Black"/>
                              <w:noProof/>
                              <w:color w:val="000000"/>
                              <w:sz w:val="2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524A8EB9" id="_x0000_t202" coordsize="21600,21600" o:spt="202" path="m,l,21600r21600,l21600,xe">
              <v:stroke joinstyle="miter"/>
              <v:path gradientshapeok="t" o:connecttype="rect"/>
            </v:shapetype>
            <v:shape id="Text Box 9" o:spid="_x0000_s1029" type="#_x0000_t202" alt="OFFICIAL" style="position:absolute;left:0;text-align:left;margin-left:0;margin-top:0;width:34.95pt;height:34.95pt;z-index:251662336;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1WLcIQoCAAAcBAAADgAA&#10;AAAAAAAAAAAAAAAuAgAAZHJzL2Uyb0RvYy54bWxQSwECLQAUAAYACAAAACEAN+3R+NkAAAADAQAA&#10;DwAAAAAAAAAAAAAAAABkBAAAZHJzL2Rvd25yZXYueG1sUEsFBgAAAAAEAAQA8wAAAGoFAAAAAA==&#10;" filled="f" stroked="f">
              <v:textbox style="mso-fit-shape-to-text:t" inset="0,0,0,15pt">
                <w:txbxContent>
                  <w:p w14:paraId="559BE90E" w14:textId="5948997F" w:rsidR="00377CCA" w:rsidRPr="00377CCA" w:rsidRDefault="00377CCA" w:rsidP="00377CCA">
                    <w:pPr>
                      <w:spacing w:after="0"/>
                      <w:rPr>
                        <w:rFonts w:ascii="Arial Black" w:eastAsia="Arial Black" w:hAnsi="Arial Black" w:cs="Arial Black"/>
                        <w:noProof/>
                        <w:color w:val="000000"/>
                        <w:sz w:val="20"/>
                      </w:rPr>
                    </w:pPr>
                    <w:r w:rsidRPr="00377CCA">
                      <w:rPr>
                        <w:rFonts w:ascii="Arial Black" w:eastAsia="Arial Black" w:hAnsi="Arial Black" w:cs="Arial Black"/>
                        <w:noProof/>
                        <w:color w:val="000000"/>
                        <w:sz w:val="20"/>
                      </w:rPr>
                      <w:t>OFFICIAL</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E27F5" w14:textId="472C8C1F" w:rsidR="00C3696F" w:rsidRPr="00377CCA" w:rsidRDefault="00377CCA" w:rsidP="00377CCA">
    <w:pPr>
      <w:pStyle w:val="Footer"/>
    </w:pPr>
    <w:r>
      <w:rPr>
        <w:noProof/>
      </w:rPr>
      <mc:AlternateContent>
        <mc:Choice Requires="wps">
          <w:drawing>
            <wp:anchor distT="0" distB="0" distL="0" distR="0" simplePos="0" relativeHeight="251663360" behindDoc="0" locked="0" layoutInCell="1" allowOverlap="1" wp14:anchorId="13085197" wp14:editId="54812EB8">
              <wp:simplePos x="635" y="635"/>
              <wp:positionH relativeFrom="page">
                <wp:align>center</wp:align>
              </wp:positionH>
              <wp:positionV relativeFrom="page">
                <wp:align>bottom</wp:align>
              </wp:positionV>
              <wp:extent cx="443865" cy="443865"/>
              <wp:effectExtent l="0" t="0" r="10160" b="0"/>
              <wp:wrapNone/>
              <wp:docPr id="10" name="Text Box 10"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815895B" w14:textId="1D434D10" w:rsidR="00377CCA" w:rsidRPr="00377CCA" w:rsidRDefault="00377CCA" w:rsidP="00377CCA">
                          <w:pPr>
                            <w:spacing w:after="0"/>
                            <w:rPr>
                              <w:rFonts w:ascii="Arial Black" w:eastAsia="Arial Black" w:hAnsi="Arial Black" w:cs="Arial Black"/>
                              <w:noProof/>
                              <w:color w:val="000000"/>
                              <w:sz w:val="20"/>
                            </w:rPr>
                          </w:pPr>
                          <w:r w:rsidRPr="00377CCA">
                            <w:rPr>
                              <w:rFonts w:ascii="Arial Black" w:eastAsia="Arial Black" w:hAnsi="Arial Black" w:cs="Arial Black"/>
                              <w:noProof/>
                              <w:color w:val="000000"/>
                              <w:sz w:val="2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13085197" id="_x0000_t202" coordsize="21600,21600" o:spt="202" path="m,l,21600r21600,l21600,xe">
              <v:stroke joinstyle="miter"/>
              <v:path gradientshapeok="t" o:connecttype="rect"/>
            </v:shapetype>
            <v:shape id="Text Box 10" o:spid="_x0000_s1030" type="#_x0000_t202" alt="OFFICIAL" style="position:absolute;left:0;text-align:left;margin-left:0;margin-top:0;width:34.95pt;height:34.95pt;z-index:25166336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1l7BkQoCAAAcBAAADgAA&#10;AAAAAAAAAAAAAAAuAgAAZHJzL2Uyb0RvYy54bWxQSwECLQAUAAYACAAAACEAN+3R+NkAAAADAQAA&#10;DwAAAAAAAAAAAAAAAABkBAAAZHJzL2Rvd25yZXYueG1sUEsFBgAAAAAEAAQA8wAAAGoFAAAAAA==&#10;" filled="f" stroked="f">
              <v:textbox style="mso-fit-shape-to-text:t" inset="0,0,0,15pt">
                <w:txbxContent>
                  <w:p w14:paraId="6815895B" w14:textId="1D434D10" w:rsidR="00377CCA" w:rsidRPr="00377CCA" w:rsidRDefault="00377CCA" w:rsidP="00377CCA">
                    <w:pPr>
                      <w:spacing w:after="0"/>
                      <w:rPr>
                        <w:rFonts w:ascii="Arial Black" w:eastAsia="Arial Black" w:hAnsi="Arial Black" w:cs="Arial Black"/>
                        <w:noProof/>
                        <w:color w:val="000000"/>
                        <w:sz w:val="20"/>
                      </w:rPr>
                    </w:pPr>
                    <w:r w:rsidRPr="00377CCA">
                      <w:rPr>
                        <w:rFonts w:ascii="Arial Black" w:eastAsia="Arial Black" w:hAnsi="Arial Black" w:cs="Arial Black"/>
                        <w:noProof/>
                        <w:color w:val="000000"/>
                        <w:sz w:val="20"/>
                      </w:rPr>
                      <w:t>OFFICIAL</w:t>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E1A13" w14:textId="0B91016A" w:rsidR="00377CCA" w:rsidRDefault="00377CCA">
    <w:pPr>
      <w:pStyle w:val="Footer"/>
    </w:pPr>
    <w:r>
      <w:rPr>
        <w:noProof/>
      </w:rPr>
      <mc:AlternateContent>
        <mc:Choice Requires="wps">
          <w:drawing>
            <wp:anchor distT="0" distB="0" distL="0" distR="0" simplePos="0" relativeHeight="251661312" behindDoc="0" locked="0" layoutInCell="1" allowOverlap="1" wp14:anchorId="54EFFC59" wp14:editId="04659DF8">
              <wp:simplePos x="635" y="635"/>
              <wp:positionH relativeFrom="page">
                <wp:align>center</wp:align>
              </wp:positionH>
              <wp:positionV relativeFrom="page">
                <wp:align>bottom</wp:align>
              </wp:positionV>
              <wp:extent cx="443865" cy="443865"/>
              <wp:effectExtent l="0" t="0" r="10160" b="0"/>
              <wp:wrapNone/>
              <wp:docPr id="6" name="Text Box 6"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6A903DF" w14:textId="3D063B8F" w:rsidR="00377CCA" w:rsidRPr="00377CCA" w:rsidRDefault="00377CCA" w:rsidP="00377CCA">
                          <w:pPr>
                            <w:spacing w:after="0"/>
                            <w:rPr>
                              <w:rFonts w:ascii="Arial Black" w:eastAsia="Arial Black" w:hAnsi="Arial Black" w:cs="Arial Black"/>
                              <w:noProof/>
                              <w:color w:val="000000"/>
                              <w:sz w:val="20"/>
                            </w:rPr>
                          </w:pPr>
                          <w:r w:rsidRPr="00377CCA">
                            <w:rPr>
                              <w:rFonts w:ascii="Arial Black" w:eastAsia="Arial Black" w:hAnsi="Arial Black" w:cs="Arial Black"/>
                              <w:noProof/>
                              <w:color w:val="000000"/>
                              <w:sz w:val="2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54EFFC59" id="_x0000_t202" coordsize="21600,21600" o:spt="202" path="m,l,21600r21600,l21600,xe">
              <v:stroke joinstyle="miter"/>
              <v:path gradientshapeok="t" o:connecttype="rect"/>
            </v:shapetype>
            <v:shape id="Text Box 6" o:spid="_x0000_s1031" type="#_x0000_t202" alt="OFFICIAL" style="position:absolute;left:0;text-align:left;margin-left:0;margin-top:0;width:34.95pt;height:34.95pt;z-index:251661312;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vhc6wLAgAAHAQAAA4A&#10;AAAAAAAAAAAAAAAALgIAAGRycy9lMm9Eb2MueG1sUEsBAi0AFAAGAAgAAAAhADft0fjZAAAAAwEA&#10;AA8AAAAAAAAAAAAAAAAAZQQAAGRycy9kb3ducmV2LnhtbFBLBQYAAAAABAAEAPMAAABrBQAAAAA=&#10;" filled="f" stroked="f">
              <v:textbox style="mso-fit-shape-to-text:t" inset="0,0,0,15pt">
                <w:txbxContent>
                  <w:p w14:paraId="26A903DF" w14:textId="3D063B8F" w:rsidR="00377CCA" w:rsidRPr="00377CCA" w:rsidRDefault="00377CCA" w:rsidP="00377CCA">
                    <w:pPr>
                      <w:spacing w:after="0"/>
                      <w:rPr>
                        <w:rFonts w:ascii="Arial Black" w:eastAsia="Arial Black" w:hAnsi="Arial Black" w:cs="Arial Black"/>
                        <w:noProof/>
                        <w:color w:val="000000"/>
                        <w:sz w:val="20"/>
                      </w:rPr>
                    </w:pPr>
                    <w:r w:rsidRPr="00377CCA">
                      <w:rPr>
                        <w:rFonts w:ascii="Arial Black" w:eastAsia="Arial Black" w:hAnsi="Arial Black" w:cs="Arial Black"/>
                        <w:noProof/>
                        <w:color w:val="000000"/>
                        <w:sz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D3FEC6" w14:textId="77777777" w:rsidR="00D26501" w:rsidRDefault="00D26501" w:rsidP="00207717">
      <w:pPr>
        <w:spacing w:before="120"/>
      </w:pPr>
      <w:r>
        <w:separator/>
      </w:r>
    </w:p>
  </w:footnote>
  <w:footnote w:type="continuationSeparator" w:id="0">
    <w:p w14:paraId="7E3A10F3" w14:textId="77777777" w:rsidR="00D26501" w:rsidRDefault="00D26501">
      <w:r>
        <w:continuationSeparator/>
      </w:r>
    </w:p>
    <w:p w14:paraId="14A93131" w14:textId="77777777" w:rsidR="00D26501" w:rsidRDefault="00D26501"/>
  </w:footnote>
  <w:footnote w:type="continuationNotice" w:id="1">
    <w:p w14:paraId="1D8CDBE1" w14:textId="77777777" w:rsidR="00D26501" w:rsidRDefault="00D26501">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06715"/>
    <w:multiLevelType w:val="multilevel"/>
    <w:tmpl w:val="8A86A6B0"/>
    <w:styleLink w:val="ZZNumbersdigit"/>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 w15:restartNumberingAfterBreak="0">
    <w:nsid w:val="03A50056"/>
    <w:multiLevelType w:val="multilevel"/>
    <w:tmpl w:val="2A4A9E4C"/>
    <w:numStyleLink w:val="ZZNumbersloweralpha"/>
  </w:abstractNum>
  <w:abstractNum w:abstractNumId="2" w15:restartNumberingAfterBreak="0">
    <w:nsid w:val="0B8D43DB"/>
    <w:multiLevelType w:val="multilevel"/>
    <w:tmpl w:val="FD3204DC"/>
    <w:styleLink w:val="ZZBullets"/>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bullet"/>
      <w:lvlRestart w:val="0"/>
      <w:lvlText w:val="•"/>
      <w:lvlJc w:val="left"/>
      <w:pPr>
        <w:ind w:left="794" w:hanging="397"/>
      </w:pPr>
      <w:rPr>
        <w:rFonts w:ascii="Calibri" w:hAnsi="Calibri" w:hint="default"/>
        <w:color w:val="auto"/>
      </w:rPr>
    </w:lvl>
    <w:lvl w:ilvl="3">
      <w:start w:val="1"/>
      <w:numFmt w:val="bullet"/>
      <w:lvlRestart w:val="0"/>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3" w15:restartNumberingAfterBreak="0">
    <w:nsid w:val="1145268B"/>
    <w:multiLevelType w:val="multilevel"/>
    <w:tmpl w:val="F8127D86"/>
    <w:lvl w:ilvl="0">
      <w:start w:val="1"/>
      <w:numFmt w:val="decimal"/>
      <w:isLgl/>
      <w:lvlText w:val="(%1)"/>
      <w:lvlJc w:val="left"/>
      <w:pPr>
        <w:ind w:left="360" w:hanging="360"/>
      </w:pPr>
      <w:rPr>
        <w:rFonts w:hint="default"/>
        <w:color w:val="auto"/>
      </w:rPr>
    </w:lvl>
    <w:lvl w:ilvl="1">
      <w:start w:val="1"/>
      <w:numFmt w:val="lowerLetter"/>
      <w:lvlText w:val="(%2)"/>
      <w:lvlJc w:val="left"/>
      <w:pPr>
        <w:ind w:left="720" w:hanging="360"/>
      </w:pPr>
      <w:rPr>
        <w:rFonts w:hint="default"/>
        <w:color w:val="auto"/>
      </w:rPr>
    </w:lvl>
    <w:lvl w:ilvl="2">
      <w:start w:val="1"/>
      <w:numFmt w:val="lowerRoman"/>
      <w:lvlText w:val="(%3)"/>
      <w:lvlJc w:val="right"/>
      <w:pPr>
        <w:ind w:left="851" w:hanging="131"/>
      </w:pPr>
      <w:rPr>
        <w:rFonts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8EA729A"/>
    <w:multiLevelType w:val="multilevel"/>
    <w:tmpl w:val="37EE1814"/>
    <w:lvl w:ilvl="0">
      <w:start w:val="1"/>
      <w:numFmt w:val="decimal"/>
      <w:isLgl/>
      <w:lvlText w:val="(%1)"/>
      <w:lvlJc w:val="left"/>
      <w:pPr>
        <w:ind w:left="360" w:hanging="360"/>
      </w:pPr>
      <w:rPr>
        <w:rFonts w:hint="default"/>
        <w:color w:val="FF0000"/>
      </w:rPr>
    </w:lvl>
    <w:lvl w:ilvl="1">
      <w:start w:val="1"/>
      <w:numFmt w:val="lowerLetter"/>
      <w:lvlText w:val="(%2)"/>
      <w:lvlJc w:val="left"/>
      <w:pPr>
        <w:ind w:left="720" w:hanging="360"/>
      </w:pPr>
      <w:rPr>
        <w:rFonts w:hint="default"/>
        <w:color w:val="auto"/>
      </w:rPr>
    </w:lvl>
    <w:lvl w:ilvl="2">
      <w:start w:val="1"/>
      <w:numFmt w:val="lowerRoman"/>
      <w:lvlText w:val="(%3)"/>
      <w:lvlJc w:val="right"/>
      <w:pPr>
        <w:ind w:left="851" w:hanging="131"/>
      </w:pPr>
      <w:rPr>
        <w:rFonts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23C14E96"/>
    <w:multiLevelType w:val="multilevel"/>
    <w:tmpl w:val="CAE8AEAE"/>
    <w:lvl w:ilvl="0">
      <w:start w:val="3"/>
      <w:numFmt w:val="decimal"/>
      <w:isLgl/>
      <w:lvlText w:val="(%1)"/>
      <w:lvlJc w:val="left"/>
      <w:pPr>
        <w:ind w:left="360" w:hanging="360"/>
      </w:pPr>
      <w:rPr>
        <w:rFonts w:hint="default"/>
      </w:rPr>
    </w:lvl>
    <w:lvl w:ilvl="1">
      <w:start w:val="1"/>
      <w:numFmt w:val="lowerLetter"/>
      <w:lvlText w:val="(%2)"/>
      <w:lvlJc w:val="left"/>
      <w:pPr>
        <w:ind w:left="720" w:hanging="360"/>
      </w:pPr>
      <w:rPr>
        <w:rFonts w:hint="default"/>
        <w:color w:val="auto"/>
      </w:rPr>
    </w:lvl>
    <w:lvl w:ilvl="2">
      <w:start w:val="1"/>
      <w:numFmt w:val="lowerRoman"/>
      <w:lvlText w:val="(%3)"/>
      <w:lvlJc w:val="right"/>
      <w:pPr>
        <w:ind w:left="851" w:hanging="131"/>
      </w:pPr>
      <w:rPr>
        <w:rFonts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2A774127"/>
    <w:multiLevelType w:val="multilevel"/>
    <w:tmpl w:val="F6C2291E"/>
    <w:lvl w:ilvl="0">
      <w:start w:val="3"/>
      <w:numFmt w:val="decimal"/>
      <w:isLgl/>
      <w:lvlText w:val="(%1)"/>
      <w:lvlJc w:val="left"/>
      <w:pPr>
        <w:ind w:left="360" w:hanging="360"/>
      </w:pPr>
      <w:rPr>
        <w:rFonts w:hint="default"/>
      </w:rPr>
    </w:lvl>
    <w:lvl w:ilvl="1">
      <w:start w:val="1"/>
      <w:numFmt w:val="lowerLetter"/>
      <w:lvlText w:val="(%2)"/>
      <w:lvlJc w:val="left"/>
      <w:pPr>
        <w:ind w:left="720" w:hanging="360"/>
      </w:pPr>
      <w:rPr>
        <w:rFonts w:hint="default"/>
        <w:color w:val="auto"/>
      </w:rPr>
    </w:lvl>
    <w:lvl w:ilvl="2">
      <w:start w:val="1"/>
      <w:numFmt w:val="lowerRoman"/>
      <w:lvlText w:val="(%3)"/>
      <w:lvlJc w:val="right"/>
      <w:pPr>
        <w:ind w:left="851" w:hanging="131"/>
      </w:pPr>
      <w:rPr>
        <w:rFonts w:hint="default"/>
        <w:color w:val="FF000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2B2312AE"/>
    <w:multiLevelType w:val="multilevel"/>
    <w:tmpl w:val="BBB6C3F2"/>
    <w:lvl w:ilvl="0">
      <w:start w:val="1"/>
      <w:numFmt w:val="decimal"/>
      <w:isLgl/>
      <w:lvlText w:val="(%1)"/>
      <w:lvlJc w:val="left"/>
      <w:pPr>
        <w:ind w:left="360" w:hanging="360"/>
      </w:pPr>
      <w:rPr>
        <w:rFonts w:hint="default"/>
      </w:rPr>
    </w:lvl>
    <w:lvl w:ilvl="1">
      <w:start w:val="1"/>
      <w:numFmt w:val="lowerLetter"/>
      <w:lvlText w:val="(%2)"/>
      <w:lvlJc w:val="left"/>
      <w:pPr>
        <w:ind w:left="720" w:hanging="360"/>
      </w:pPr>
      <w:rPr>
        <w:rFonts w:hint="default"/>
        <w:color w:val="auto"/>
      </w:rPr>
    </w:lvl>
    <w:lvl w:ilvl="2">
      <w:start w:val="1"/>
      <w:numFmt w:val="lowerRoman"/>
      <w:lvlText w:val="(%3)"/>
      <w:lvlJc w:val="right"/>
      <w:pPr>
        <w:ind w:left="851" w:hanging="131"/>
      </w:pPr>
      <w:rPr>
        <w:rFonts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2B632249"/>
    <w:multiLevelType w:val="multilevel"/>
    <w:tmpl w:val="C93CAB5C"/>
    <w:lvl w:ilvl="0">
      <w:start w:val="1"/>
      <w:numFmt w:val="decimal"/>
      <w:isLgl/>
      <w:lvlText w:val="(%1)"/>
      <w:lvlJc w:val="left"/>
      <w:pPr>
        <w:ind w:left="360" w:hanging="360"/>
      </w:pPr>
      <w:rPr>
        <w:rFonts w:hint="default"/>
        <w:color w:val="FF0000"/>
      </w:rPr>
    </w:lvl>
    <w:lvl w:ilvl="1">
      <w:start w:val="1"/>
      <w:numFmt w:val="lowerLetter"/>
      <w:lvlText w:val="(%2)"/>
      <w:lvlJc w:val="left"/>
      <w:pPr>
        <w:ind w:left="720" w:hanging="360"/>
      </w:pPr>
      <w:rPr>
        <w:rFonts w:hint="default"/>
        <w:color w:val="FF0000"/>
      </w:rPr>
    </w:lvl>
    <w:lvl w:ilvl="2">
      <w:start w:val="1"/>
      <w:numFmt w:val="lowerRoman"/>
      <w:lvlText w:val="(%3)"/>
      <w:lvlJc w:val="right"/>
      <w:pPr>
        <w:ind w:left="851" w:hanging="131"/>
      </w:pPr>
      <w:rPr>
        <w:rFonts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2D375B96"/>
    <w:multiLevelType w:val="multilevel"/>
    <w:tmpl w:val="DD2C7930"/>
    <w:lvl w:ilvl="0">
      <w:start w:val="1"/>
      <w:numFmt w:val="decimal"/>
      <w:isLgl/>
      <w:lvlText w:val="(%1)"/>
      <w:lvlJc w:val="left"/>
      <w:pPr>
        <w:ind w:left="360" w:hanging="360"/>
      </w:pPr>
      <w:rPr>
        <w:rFonts w:hint="default"/>
        <w:color w:val="auto"/>
      </w:rPr>
    </w:lvl>
    <w:lvl w:ilvl="1">
      <w:start w:val="1"/>
      <w:numFmt w:val="lowerLetter"/>
      <w:lvlText w:val="(%2)"/>
      <w:lvlJc w:val="left"/>
      <w:pPr>
        <w:ind w:left="720" w:hanging="360"/>
      </w:pPr>
      <w:rPr>
        <w:rFonts w:hint="default"/>
        <w:color w:val="FF0000"/>
      </w:rPr>
    </w:lvl>
    <w:lvl w:ilvl="2">
      <w:start w:val="1"/>
      <w:numFmt w:val="lowerRoman"/>
      <w:lvlText w:val="(%3)"/>
      <w:lvlJc w:val="right"/>
      <w:pPr>
        <w:ind w:left="851" w:firstLine="170"/>
      </w:pPr>
      <w:rPr>
        <w:rFonts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30FE36DF"/>
    <w:multiLevelType w:val="hybridMultilevel"/>
    <w:tmpl w:val="AB32363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3C5F4799"/>
    <w:multiLevelType w:val="multilevel"/>
    <w:tmpl w:val="B48ABB60"/>
    <w:lvl w:ilvl="0">
      <w:start w:val="5"/>
      <w:numFmt w:val="decimal"/>
      <w:isLgl/>
      <w:lvlText w:val="(%1)"/>
      <w:lvlJc w:val="left"/>
      <w:pPr>
        <w:ind w:left="360" w:hanging="360"/>
      </w:pPr>
      <w:rPr>
        <w:rFonts w:hint="default"/>
        <w:color w:val="FF0000"/>
      </w:rPr>
    </w:lvl>
    <w:lvl w:ilvl="1">
      <w:start w:val="1"/>
      <w:numFmt w:val="lowerLetter"/>
      <w:lvlText w:val="(%2)"/>
      <w:lvlJc w:val="left"/>
      <w:pPr>
        <w:ind w:left="720" w:hanging="360"/>
      </w:pPr>
      <w:rPr>
        <w:rFonts w:hint="default"/>
        <w:color w:val="auto"/>
      </w:rPr>
    </w:lvl>
    <w:lvl w:ilvl="2">
      <w:start w:val="1"/>
      <w:numFmt w:val="lowerRoman"/>
      <w:lvlText w:val="(%3)"/>
      <w:lvlJc w:val="right"/>
      <w:pPr>
        <w:ind w:left="851" w:hanging="131"/>
      </w:pPr>
      <w:rPr>
        <w:rFonts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3E6C68D4"/>
    <w:multiLevelType w:val="multilevel"/>
    <w:tmpl w:val="FD3204DC"/>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bullet"/>
      <w:lvlRestart w:val="0"/>
      <w:lvlText w:val="•"/>
      <w:lvlJc w:val="left"/>
      <w:pPr>
        <w:ind w:left="794" w:hanging="397"/>
      </w:pPr>
      <w:rPr>
        <w:rFonts w:ascii="Calibri" w:hAnsi="Calibri" w:hint="default"/>
        <w:color w:val="auto"/>
      </w:rPr>
    </w:lvl>
    <w:lvl w:ilvl="3">
      <w:start w:val="1"/>
      <w:numFmt w:val="bullet"/>
      <w:lvlRestart w:val="0"/>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3" w15:restartNumberingAfterBreak="0">
    <w:nsid w:val="3EC54A41"/>
    <w:multiLevelType w:val="multilevel"/>
    <w:tmpl w:val="775A1810"/>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4" w15:restartNumberingAfterBreak="0">
    <w:nsid w:val="3F381478"/>
    <w:multiLevelType w:val="multilevel"/>
    <w:tmpl w:val="A7ECA690"/>
    <w:lvl w:ilvl="0">
      <w:start w:val="1"/>
      <w:numFmt w:val="decimal"/>
      <w:isLgl/>
      <w:lvlText w:val="(%1)"/>
      <w:lvlJc w:val="left"/>
      <w:pPr>
        <w:ind w:left="360" w:hanging="360"/>
      </w:pPr>
      <w:rPr>
        <w:rFonts w:hint="default"/>
      </w:rPr>
    </w:lvl>
    <w:lvl w:ilvl="1">
      <w:start w:val="5"/>
      <w:numFmt w:val="lowerLetter"/>
      <w:lvlText w:val="(%2)"/>
      <w:lvlJc w:val="left"/>
      <w:pPr>
        <w:ind w:left="720" w:hanging="360"/>
      </w:pPr>
      <w:rPr>
        <w:rFonts w:hint="default"/>
        <w:color w:val="auto"/>
      </w:rPr>
    </w:lvl>
    <w:lvl w:ilvl="2">
      <w:start w:val="1"/>
      <w:numFmt w:val="lowerRoman"/>
      <w:lvlText w:val="(%3)"/>
      <w:lvlJc w:val="right"/>
      <w:pPr>
        <w:ind w:left="851" w:hanging="131"/>
      </w:pPr>
      <w:rPr>
        <w:rFonts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425158FB"/>
    <w:multiLevelType w:val="multilevel"/>
    <w:tmpl w:val="B680F100"/>
    <w:lvl w:ilvl="0">
      <w:start w:val="1"/>
      <w:numFmt w:val="decimal"/>
      <w:isLgl/>
      <w:lvlText w:val="(%1)"/>
      <w:lvlJc w:val="left"/>
      <w:pPr>
        <w:ind w:left="360" w:hanging="360"/>
      </w:pPr>
      <w:rPr>
        <w:rFonts w:hint="default"/>
        <w:color w:val="auto"/>
      </w:rPr>
    </w:lvl>
    <w:lvl w:ilvl="1">
      <w:start w:val="1"/>
      <w:numFmt w:val="lowerLetter"/>
      <w:lvlText w:val="(%2)"/>
      <w:lvlJc w:val="left"/>
      <w:pPr>
        <w:ind w:left="720" w:hanging="360"/>
      </w:pPr>
      <w:rPr>
        <w:rFonts w:hint="default"/>
        <w:color w:val="auto"/>
      </w:rPr>
    </w:lvl>
    <w:lvl w:ilvl="2">
      <w:start w:val="1"/>
      <w:numFmt w:val="lowerRoman"/>
      <w:pStyle w:val="ListParagraph"/>
      <w:lvlText w:val="(%3)"/>
      <w:lvlJc w:val="right"/>
      <w:pPr>
        <w:ind w:left="851" w:hanging="131"/>
      </w:pPr>
      <w:rPr>
        <w:rFonts w:hint="default"/>
        <w:color w:val="FF000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4A2F42D9"/>
    <w:multiLevelType w:val="multilevel"/>
    <w:tmpl w:val="C220C86A"/>
    <w:lvl w:ilvl="0">
      <w:start w:val="2"/>
      <w:numFmt w:val="decimal"/>
      <w:isLgl/>
      <w:lvlText w:val="(%1)"/>
      <w:lvlJc w:val="left"/>
      <w:pPr>
        <w:ind w:left="360" w:hanging="360"/>
      </w:pPr>
      <w:rPr>
        <w:rFonts w:hint="default"/>
        <w:b w:val="0"/>
        <w:bCs/>
        <w:color w:val="auto"/>
      </w:rPr>
    </w:lvl>
    <w:lvl w:ilvl="1">
      <w:start w:val="1"/>
      <w:numFmt w:val="lowerLetter"/>
      <w:lvlText w:val="(%2)"/>
      <w:lvlJc w:val="left"/>
      <w:pPr>
        <w:ind w:left="720" w:hanging="360"/>
      </w:pPr>
      <w:rPr>
        <w:rFonts w:hint="default"/>
        <w:b w:val="0"/>
        <w:bCs/>
        <w:color w:val="auto"/>
      </w:rPr>
    </w:lvl>
    <w:lvl w:ilvl="2">
      <w:start w:val="1"/>
      <w:numFmt w:val="lowerRoman"/>
      <w:lvlText w:val="(%3)"/>
      <w:lvlJc w:val="right"/>
      <w:pPr>
        <w:ind w:left="851" w:hanging="131"/>
      </w:pPr>
      <w:rPr>
        <w:rFonts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4C2974FA"/>
    <w:multiLevelType w:val="multilevel"/>
    <w:tmpl w:val="B5CE1D7A"/>
    <w:lvl w:ilvl="0">
      <w:start w:val="2"/>
      <w:numFmt w:val="decimal"/>
      <w:isLgl/>
      <w:lvlText w:val="(%1)"/>
      <w:lvlJc w:val="left"/>
      <w:pPr>
        <w:ind w:left="360" w:hanging="360"/>
      </w:pPr>
      <w:rPr>
        <w:rFonts w:hint="default"/>
      </w:rPr>
    </w:lvl>
    <w:lvl w:ilvl="1">
      <w:start w:val="1"/>
      <w:numFmt w:val="lowerLetter"/>
      <w:lvlText w:val="(%2)"/>
      <w:lvlJc w:val="left"/>
      <w:pPr>
        <w:ind w:left="720" w:hanging="360"/>
      </w:pPr>
      <w:rPr>
        <w:rFonts w:hint="default"/>
        <w:color w:val="auto"/>
      </w:rPr>
    </w:lvl>
    <w:lvl w:ilvl="2">
      <w:start w:val="1"/>
      <w:numFmt w:val="lowerRoman"/>
      <w:lvlText w:val="(%3)"/>
      <w:lvlJc w:val="right"/>
      <w:pPr>
        <w:ind w:left="851" w:hanging="131"/>
      </w:pPr>
      <w:rPr>
        <w:rFonts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4F913059"/>
    <w:multiLevelType w:val="multilevel"/>
    <w:tmpl w:val="D424EF42"/>
    <w:lvl w:ilvl="0">
      <w:start w:val="1"/>
      <w:numFmt w:val="decimal"/>
      <w:isLgl/>
      <w:lvlText w:val="(%1)"/>
      <w:lvlJc w:val="left"/>
      <w:pPr>
        <w:ind w:left="360" w:hanging="360"/>
      </w:pPr>
      <w:rPr>
        <w:rFonts w:hint="default"/>
        <w:color w:val="auto"/>
      </w:rPr>
    </w:lvl>
    <w:lvl w:ilvl="1">
      <w:start w:val="1"/>
      <w:numFmt w:val="lowerLetter"/>
      <w:lvlText w:val="(%2)"/>
      <w:lvlJc w:val="left"/>
      <w:pPr>
        <w:ind w:left="720" w:hanging="360"/>
      </w:pPr>
      <w:rPr>
        <w:rFonts w:hint="default"/>
        <w:color w:val="auto"/>
      </w:rPr>
    </w:lvl>
    <w:lvl w:ilvl="2">
      <w:start w:val="1"/>
      <w:numFmt w:val="lowerRoman"/>
      <w:lvlText w:val="(%3)"/>
      <w:lvlJc w:val="right"/>
      <w:pPr>
        <w:ind w:left="851" w:hanging="131"/>
      </w:pPr>
      <w:rPr>
        <w:rFonts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51DF2F01"/>
    <w:multiLevelType w:val="multilevel"/>
    <w:tmpl w:val="5EC64CE6"/>
    <w:lvl w:ilvl="0">
      <w:start w:val="1"/>
      <w:numFmt w:val="decimal"/>
      <w:isLgl/>
      <w:lvlText w:val="(%1)"/>
      <w:lvlJc w:val="left"/>
      <w:pPr>
        <w:ind w:left="360" w:hanging="360"/>
      </w:pPr>
      <w:rPr>
        <w:rFonts w:hint="default"/>
      </w:rPr>
    </w:lvl>
    <w:lvl w:ilvl="1">
      <w:start w:val="4"/>
      <w:numFmt w:val="lowerLetter"/>
      <w:lvlText w:val="(%2)"/>
      <w:lvlJc w:val="left"/>
      <w:pPr>
        <w:ind w:left="720" w:hanging="360"/>
      </w:pPr>
      <w:rPr>
        <w:rFonts w:hint="default"/>
        <w:color w:val="auto"/>
      </w:rPr>
    </w:lvl>
    <w:lvl w:ilvl="2">
      <w:start w:val="1"/>
      <w:numFmt w:val="lowerRoman"/>
      <w:lvlText w:val="(%3)"/>
      <w:lvlJc w:val="right"/>
      <w:pPr>
        <w:ind w:left="851" w:hanging="131"/>
      </w:pPr>
      <w:rPr>
        <w:rFonts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541611C2"/>
    <w:multiLevelType w:val="multilevel"/>
    <w:tmpl w:val="69CC10D2"/>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1" w15:restartNumberingAfterBreak="0">
    <w:nsid w:val="54BA1E5A"/>
    <w:multiLevelType w:val="multilevel"/>
    <w:tmpl w:val="2A4A9E4C"/>
    <w:styleLink w:val="ZZNumbersloweralpha"/>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2" w15:restartNumberingAfterBreak="0">
    <w:nsid w:val="6309259F"/>
    <w:multiLevelType w:val="multilevel"/>
    <w:tmpl w:val="82B83F96"/>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3" w15:restartNumberingAfterBreak="0">
    <w:nsid w:val="66B163DB"/>
    <w:multiLevelType w:val="multilevel"/>
    <w:tmpl w:val="6550221C"/>
    <w:lvl w:ilvl="0">
      <w:start w:val="3"/>
      <w:numFmt w:val="decimal"/>
      <w:isLgl/>
      <w:lvlText w:val="(%1)"/>
      <w:lvlJc w:val="left"/>
      <w:pPr>
        <w:ind w:left="360" w:hanging="360"/>
      </w:pPr>
      <w:rPr>
        <w:rFonts w:hint="default"/>
      </w:rPr>
    </w:lvl>
    <w:lvl w:ilvl="1">
      <w:start w:val="5"/>
      <w:numFmt w:val="lowerLetter"/>
      <w:lvlText w:val="(%2)"/>
      <w:lvlJc w:val="left"/>
      <w:pPr>
        <w:ind w:left="720" w:hanging="360"/>
      </w:pPr>
      <w:rPr>
        <w:rFonts w:hint="default"/>
        <w:color w:val="FF0000"/>
      </w:rPr>
    </w:lvl>
    <w:lvl w:ilvl="2">
      <w:start w:val="1"/>
      <w:numFmt w:val="lowerRoman"/>
      <w:lvlText w:val="(%3)"/>
      <w:lvlJc w:val="right"/>
      <w:pPr>
        <w:ind w:left="851" w:hanging="131"/>
      </w:pPr>
      <w:rPr>
        <w:rFonts w:hint="default"/>
        <w:color w:val="FF000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6DE824AE"/>
    <w:multiLevelType w:val="multilevel"/>
    <w:tmpl w:val="D67E1820"/>
    <w:lvl w:ilvl="0">
      <w:start w:val="1"/>
      <w:numFmt w:val="decimal"/>
      <w:isLgl/>
      <w:lvlText w:val="(%1)"/>
      <w:lvlJc w:val="left"/>
      <w:pPr>
        <w:ind w:left="360" w:hanging="360"/>
      </w:pPr>
      <w:rPr>
        <w:rFonts w:hint="default"/>
        <w:color w:val="auto"/>
      </w:rPr>
    </w:lvl>
    <w:lvl w:ilvl="1">
      <w:start w:val="1"/>
      <w:numFmt w:val="lowerLetter"/>
      <w:lvlText w:val="(%2)"/>
      <w:lvlJc w:val="left"/>
      <w:pPr>
        <w:ind w:left="720" w:hanging="360"/>
      </w:pPr>
      <w:rPr>
        <w:rFonts w:hint="default"/>
        <w:color w:val="FF0000"/>
      </w:rPr>
    </w:lvl>
    <w:lvl w:ilvl="2">
      <w:start w:val="1"/>
      <w:numFmt w:val="lowerRoman"/>
      <w:lvlText w:val="(%3)"/>
      <w:lvlJc w:val="right"/>
      <w:pPr>
        <w:ind w:left="851" w:hanging="131"/>
      </w:pPr>
      <w:rPr>
        <w:rFonts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71924AAD"/>
    <w:multiLevelType w:val="multilevel"/>
    <w:tmpl w:val="B5CE1D7A"/>
    <w:lvl w:ilvl="0">
      <w:start w:val="2"/>
      <w:numFmt w:val="decimal"/>
      <w:isLgl/>
      <w:lvlText w:val="(%1)"/>
      <w:lvlJc w:val="left"/>
      <w:pPr>
        <w:ind w:left="360" w:hanging="360"/>
      </w:pPr>
      <w:rPr>
        <w:rFonts w:hint="default"/>
      </w:rPr>
    </w:lvl>
    <w:lvl w:ilvl="1">
      <w:start w:val="1"/>
      <w:numFmt w:val="lowerLetter"/>
      <w:lvlText w:val="(%2)"/>
      <w:lvlJc w:val="left"/>
      <w:pPr>
        <w:ind w:left="720" w:hanging="360"/>
      </w:pPr>
      <w:rPr>
        <w:rFonts w:hint="default"/>
        <w:color w:val="auto"/>
      </w:rPr>
    </w:lvl>
    <w:lvl w:ilvl="2">
      <w:start w:val="1"/>
      <w:numFmt w:val="lowerRoman"/>
      <w:lvlText w:val="(%3)"/>
      <w:lvlJc w:val="right"/>
      <w:pPr>
        <w:ind w:left="851" w:hanging="131"/>
      </w:pPr>
      <w:rPr>
        <w:rFonts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749E2445"/>
    <w:multiLevelType w:val="multilevel"/>
    <w:tmpl w:val="C93CAB5C"/>
    <w:lvl w:ilvl="0">
      <w:start w:val="1"/>
      <w:numFmt w:val="decimal"/>
      <w:isLgl/>
      <w:lvlText w:val="(%1)"/>
      <w:lvlJc w:val="left"/>
      <w:pPr>
        <w:ind w:left="360" w:hanging="360"/>
      </w:pPr>
      <w:rPr>
        <w:rFonts w:hint="default"/>
        <w:color w:val="FF0000"/>
      </w:rPr>
    </w:lvl>
    <w:lvl w:ilvl="1">
      <w:start w:val="1"/>
      <w:numFmt w:val="lowerLetter"/>
      <w:lvlText w:val="(%2)"/>
      <w:lvlJc w:val="left"/>
      <w:pPr>
        <w:ind w:left="720" w:hanging="360"/>
      </w:pPr>
      <w:rPr>
        <w:rFonts w:hint="default"/>
        <w:color w:val="FF0000"/>
      </w:rPr>
    </w:lvl>
    <w:lvl w:ilvl="2">
      <w:start w:val="1"/>
      <w:numFmt w:val="lowerRoman"/>
      <w:lvlText w:val="(%3)"/>
      <w:lvlJc w:val="right"/>
      <w:pPr>
        <w:ind w:left="851" w:hanging="131"/>
      </w:pPr>
      <w:rPr>
        <w:rFonts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76B370A3"/>
    <w:multiLevelType w:val="multilevel"/>
    <w:tmpl w:val="B8261FA4"/>
    <w:lvl w:ilvl="0">
      <w:start w:val="1"/>
      <w:numFmt w:val="decimal"/>
      <w:isLgl/>
      <w:lvlText w:val="(%1)"/>
      <w:lvlJc w:val="left"/>
      <w:pPr>
        <w:ind w:left="360" w:hanging="360"/>
      </w:pPr>
      <w:rPr>
        <w:rFonts w:hint="default"/>
      </w:rPr>
    </w:lvl>
    <w:lvl w:ilvl="1">
      <w:start w:val="1"/>
      <w:numFmt w:val="lowerLetter"/>
      <w:lvlText w:val="(%2)"/>
      <w:lvlJc w:val="left"/>
      <w:pPr>
        <w:ind w:left="720" w:hanging="360"/>
      </w:pPr>
      <w:rPr>
        <w:rFonts w:hint="default"/>
        <w:color w:val="auto"/>
      </w:rPr>
    </w:lvl>
    <w:lvl w:ilvl="2">
      <w:start w:val="1"/>
      <w:numFmt w:val="lowerRoman"/>
      <w:lvlText w:val="(%3)"/>
      <w:lvlJc w:val="right"/>
      <w:pPr>
        <w:ind w:left="851" w:hanging="131"/>
      </w:pPr>
      <w:rPr>
        <w:rFonts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432167685">
    <w:abstractNumId w:val="0"/>
  </w:num>
  <w:num w:numId="2" w16cid:durableId="78847875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86771687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5542001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32836339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563053059">
    <w:abstractNumId w:val="21"/>
  </w:num>
  <w:num w:numId="7" w16cid:durableId="1699700394">
    <w:abstractNumId w:val="20"/>
  </w:num>
  <w:num w:numId="8" w16cid:durableId="1673213434">
    <w:abstractNumId w:val="22"/>
  </w:num>
  <w:num w:numId="9" w16cid:durableId="1590582375">
    <w:abstractNumId w:val="13"/>
  </w:num>
  <w:num w:numId="10" w16cid:durableId="189415087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761097797">
    <w:abstractNumId w:val="10"/>
  </w:num>
  <w:num w:numId="12" w16cid:durableId="96414561">
    <w:abstractNumId w:val="7"/>
  </w:num>
  <w:num w:numId="13" w16cid:durableId="1765304860">
    <w:abstractNumId w:val="6"/>
  </w:num>
  <w:num w:numId="14" w16cid:durableId="186717151">
    <w:abstractNumId w:val="8"/>
  </w:num>
  <w:num w:numId="15" w16cid:durableId="98186262">
    <w:abstractNumId w:val="26"/>
  </w:num>
  <w:num w:numId="16" w16cid:durableId="1998413267">
    <w:abstractNumId w:val="16"/>
  </w:num>
  <w:num w:numId="17" w16cid:durableId="1048185212">
    <w:abstractNumId w:val="18"/>
  </w:num>
  <w:num w:numId="18" w16cid:durableId="130946978">
    <w:abstractNumId w:val="15"/>
  </w:num>
  <w:num w:numId="19" w16cid:durableId="1727214553">
    <w:abstractNumId w:val="9"/>
  </w:num>
  <w:num w:numId="20" w16cid:durableId="2018575026">
    <w:abstractNumId w:val="5"/>
  </w:num>
  <w:num w:numId="21" w16cid:durableId="505481425">
    <w:abstractNumId w:val="23"/>
  </w:num>
  <w:num w:numId="22" w16cid:durableId="1051222577">
    <w:abstractNumId w:val="14"/>
  </w:num>
  <w:num w:numId="23" w16cid:durableId="975718741">
    <w:abstractNumId w:val="25"/>
  </w:num>
  <w:num w:numId="24" w16cid:durableId="10568515">
    <w:abstractNumId w:val="17"/>
  </w:num>
  <w:num w:numId="25" w16cid:durableId="1462963344">
    <w:abstractNumId w:val="27"/>
  </w:num>
  <w:num w:numId="26" w16cid:durableId="1316908759">
    <w:abstractNumId w:val="11"/>
  </w:num>
  <w:num w:numId="27" w16cid:durableId="970785067">
    <w:abstractNumId w:val="3"/>
  </w:num>
  <w:num w:numId="28" w16cid:durableId="200944284">
    <w:abstractNumId w:val="24"/>
  </w:num>
  <w:num w:numId="29" w16cid:durableId="1366255185">
    <w:abstractNumId w:val="4"/>
  </w:num>
  <w:num w:numId="30" w16cid:durableId="1436441625">
    <w:abstractNumId w:val="19"/>
  </w:num>
  <w:num w:numId="31" w16cid:durableId="88283716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2015497103">
    <w:abstractNumId w:val="2"/>
  </w:num>
  <w:num w:numId="33" w16cid:durableId="365640397">
    <w:abstractNumId w:val="12"/>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0DD1"/>
    <w:rsid w:val="00000719"/>
    <w:rsid w:val="00002D68"/>
    <w:rsid w:val="00003403"/>
    <w:rsid w:val="000038FD"/>
    <w:rsid w:val="00005347"/>
    <w:rsid w:val="00005CE5"/>
    <w:rsid w:val="00006280"/>
    <w:rsid w:val="00006541"/>
    <w:rsid w:val="00006CC9"/>
    <w:rsid w:val="000072B6"/>
    <w:rsid w:val="0001021B"/>
    <w:rsid w:val="00010DA1"/>
    <w:rsid w:val="000117C0"/>
    <w:rsid w:val="00011D89"/>
    <w:rsid w:val="000152F2"/>
    <w:rsid w:val="000154FD"/>
    <w:rsid w:val="0001568F"/>
    <w:rsid w:val="00021025"/>
    <w:rsid w:val="00021367"/>
    <w:rsid w:val="00021411"/>
    <w:rsid w:val="000215B0"/>
    <w:rsid w:val="00022271"/>
    <w:rsid w:val="000229A9"/>
    <w:rsid w:val="000235E8"/>
    <w:rsid w:val="0002360A"/>
    <w:rsid w:val="0002422C"/>
    <w:rsid w:val="00024D89"/>
    <w:rsid w:val="000250B6"/>
    <w:rsid w:val="00032B9A"/>
    <w:rsid w:val="000333B3"/>
    <w:rsid w:val="00033BBE"/>
    <w:rsid w:val="00033D81"/>
    <w:rsid w:val="00034ED2"/>
    <w:rsid w:val="00035354"/>
    <w:rsid w:val="00037366"/>
    <w:rsid w:val="00037F07"/>
    <w:rsid w:val="00041BF0"/>
    <w:rsid w:val="000426C4"/>
    <w:rsid w:val="0004273E"/>
    <w:rsid w:val="00042C8A"/>
    <w:rsid w:val="00044527"/>
    <w:rsid w:val="0004476B"/>
    <w:rsid w:val="0004536B"/>
    <w:rsid w:val="00045D34"/>
    <w:rsid w:val="00046B68"/>
    <w:rsid w:val="00046DEE"/>
    <w:rsid w:val="0005095E"/>
    <w:rsid w:val="000527DD"/>
    <w:rsid w:val="00054E0B"/>
    <w:rsid w:val="000568B1"/>
    <w:rsid w:val="000578B2"/>
    <w:rsid w:val="00057CA8"/>
    <w:rsid w:val="0006012D"/>
    <w:rsid w:val="00060959"/>
    <w:rsid w:val="00060969"/>
    <w:rsid w:val="00060C8F"/>
    <w:rsid w:val="00061937"/>
    <w:rsid w:val="0006298A"/>
    <w:rsid w:val="000651FB"/>
    <w:rsid w:val="00065C3E"/>
    <w:rsid w:val="000663CD"/>
    <w:rsid w:val="00066F2D"/>
    <w:rsid w:val="000678DA"/>
    <w:rsid w:val="0006797A"/>
    <w:rsid w:val="00071B9E"/>
    <w:rsid w:val="000726B2"/>
    <w:rsid w:val="0007308D"/>
    <w:rsid w:val="000733FE"/>
    <w:rsid w:val="000741CB"/>
    <w:rsid w:val="00074219"/>
    <w:rsid w:val="00074ED5"/>
    <w:rsid w:val="00076577"/>
    <w:rsid w:val="00076AC3"/>
    <w:rsid w:val="00080D5F"/>
    <w:rsid w:val="00081F2E"/>
    <w:rsid w:val="000838A5"/>
    <w:rsid w:val="0008508E"/>
    <w:rsid w:val="0008537D"/>
    <w:rsid w:val="00086557"/>
    <w:rsid w:val="00086E90"/>
    <w:rsid w:val="00087951"/>
    <w:rsid w:val="0009009A"/>
    <w:rsid w:val="00090A33"/>
    <w:rsid w:val="0009113B"/>
    <w:rsid w:val="000922EF"/>
    <w:rsid w:val="00092905"/>
    <w:rsid w:val="00093402"/>
    <w:rsid w:val="00093725"/>
    <w:rsid w:val="00094DA3"/>
    <w:rsid w:val="00096CD1"/>
    <w:rsid w:val="000A012C"/>
    <w:rsid w:val="000A0E81"/>
    <w:rsid w:val="000A0EB9"/>
    <w:rsid w:val="000A186C"/>
    <w:rsid w:val="000A1EA4"/>
    <w:rsid w:val="000A1EBF"/>
    <w:rsid w:val="000A2476"/>
    <w:rsid w:val="000A26EA"/>
    <w:rsid w:val="000A3BF1"/>
    <w:rsid w:val="000A641A"/>
    <w:rsid w:val="000A7742"/>
    <w:rsid w:val="000A78DA"/>
    <w:rsid w:val="000B2117"/>
    <w:rsid w:val="000B3EDB"/>
    <w:rsid w:val="000B543D"/>
    <w:rsid w:val="000B55F9"/>
    <w:rsid w:val="000B5BF7"/>
    <w:rsid w:val="000B6BC8"/>
    <w:rsid w:val="000C0303"/>
    <w:rsid w:val="000C30FF"/>
    <w:rsid w:val="000C42EA"/>
    <w:rsid w:val="000C4546"/>
    <w:rsid w:val="000C59A8"/>
    <w:rsid w:val="000D1242"/>
    <w:rsid w:val="000D204C"/>
    <w:rsid w:val="000D3A3E"/>
    <w:rsid w:val="000D5ED8"/>
    <w:rsid w:val="000D6667"/>
    <w:rsid w:val="000D6B83"/>
    <w:rsid w:val="000D6D47"/>
    <w:rsid w:val="000E0970"/>
    <w:rsid w:val="000E0F4A"/>
    <w:rsid w:val="000E312B"/>
    <w:rsid w:val="000E3CC7"/>
    <w:rsid w:val="000E3DB3"/>
    <w:rsid w:val="000E5694"/>
    <w:rsid w:val="000E5C06"/>
    <w:rsid w:val="000E645C"/>
    <w:rsid w:val="000E6BD4"/>
    <w:rsid w:val="000E6D6D"/>
    <w:rsid w:val="000F1F1E"/>
    <w:rsid w:val="000F2259"/>
    <w:rsid w:val="000F2DDA"/>
    <w:rsid w:val="000F2EA0"/>
    <w:rsid w:val="000F3A16"/>
    <w:rsid w:val="000F4EF4"/>
    <w:rsid w:val="000F5043"/>
    <w:rsid w:val="000F5213"/>
    <w:rsid w:val="000F6B91"/>
    <w:rsid w:val="000F73E4"/>
    <w:rsid w:val="00101001"/>
    <w:rsid w:val="00102832"/>
    <w:rsid w:val="00103276"/>
    <w:rsid w:val="0010392D"/>
    <w:rsid w:val="0010447F"/>
    <w:rsid w:val="001045E2"/>
    <w:rsid w:val="00104FE3"/>
    <w:rsid w:val="001052B8"/>
    <w:rsid w:val="0010714F"/>
    <w:rsid w:val="0011111B"/>
    <w:rsid w:val="0011186B"/>
    <w:rsid w:val="001120C5"/>
    <w:rsid w:val="001123E9"/>
    <w:rsid w:val="001129F4"/>
    <w:rsid w:val="001133C1"/>
    <w:rsid w:val="00115EE0"/>
    <w:rsid w:val="00120BD3"/>
    <w:rsid w:val="00122FEA"/>
    <w:rsid w:val="001232BD"/>
    <w:rsid w:val="00124ED5"/>
    <w:rsid w:val="001276FA"/>
    <w:rsid w:val="001276FC"/>
    <w:rsid w:val="00130E96"/>
    <w:rsid w:val="00131748"/>
    <w:rsid w:val="00132462"/>
    <w:rsid w:val="00134D3A"/>
    <w:rsid w:val="001358AF"/>
    <w:rsid w:val="0013680D"/>
    <w:rsid w:val="0014007C"/>
    <w:rsid w:val="001411BF"/>
    <w:rsid w:val="00141343"/>
    <w:rsid w:val="00143CFD"/>
    <w:rsid w:val="001447B3"/>
    <w:rsid w:val="00145AC5"/>
    <w:rsid w:val="00145E7C"/>
    <w:rsid w:val="00152073"/>
    <w:rsid w:val="00153274"/>
    <w:rsid w:val="001560DF"/>
    <w:rsid w:val="00156598"/>
    <w:rsid w:val="00156771"/>
    <w:rsid w:val="00157D39"/>
    <w:rsid w:val="00161939"/>
    <w:rsid w:val="00161AA0"/>
    <w:rsid w:val="00161D2E"/>
    <w:rsid w:val="00161F3E"/>
    <w:rsid w:val="00162093"/>
    <w:rsid w:val="00162CA9"/>
    <w:rsid w:val="00162EF8"/>
    <w:rsid w:val="00163E2C"/>
    <w:rsid w:val="00165459"/>
    <w:rsid w:val="00165A57"/>
    <w:rsid w:val="001675F0"/>
    <w:rsid w:val="001712C2"/>
    <w:rsid w:val="00172BAF"/>
    <w:rsid w:val="0017674D"/>
    <w:rsid w:val="001771DD"/>
    <w:rsid w:val="00177684"/>
    <w:rsid w:val="00177995"/>
    <w:rsid w:val="00177A8C"/>
    <w:rsid w:val="00186024"/>
    <w:rsid w:val="00186997"/>
    <w:rsid w:val="00186B33"/>
    <w:rsid w:val="001870E1"/>
    <w:rsid w:val="001918CC"/>
    <w:rsid w:val="00192F9D"/>
    <w:rsid w:val="0019542A"/>
    <w:rsid w:val="00196EB8"/>
    <w:rsid w:val="00196EFB"/>
    <w:rsid w:val="001979FF"/>
    <w:rsid w:val="00197B17"/>
    <w:rsid w:val="001A14A9"/>
    <w:rsid w:val="001A1950"/>
    <w:rsid w:val="001A1C54"/>
    <w:rsid w:val="001A202A"/>
    <w:rsid w:val="001A277B"/>
    <w:rsid w:val="001A3ACE"/>
    <w:rsid w:val="001A4CE7"/>
    <w:rsid w:val="001A6E10"/>
    <w:rsid w:val="001B058F"/>
    <w:rsid w:val="001B4AB0"/>
    <w:rsid w:val="001B584F"/>
    <w:rsid w:val="001B5E0B"/>
    <w:rsid w:val="001B6B96"/>
    <w:rsid w:val="001B7228"/>
    <w:rsid w:val="001B738B"/>
    <w:rsid w:val="001C09DB"/>
    <w:rsid w:val="001C1E25"/>
    <w:rsid w:val="001C1ED4"/>
    <w:rsid w:val="001C22C1"/>
    <w:rsid w:val="001C277E"/>
    <w:rsid w:val="001C27A9"/>
    <w:rsid w:val="001C2A72"/>
    <w:rsid w:val="001C31B7"/>
    <w:rsid w:val="001C3472"/>
    <w:rsid w:val="001C3DEC"/>
    <w:rsid w:val="001C4F64"/>
    <w:rsid w:val="001C54DF"/>
    <w:rsid w:val="001C6235"/>
    <w:rsid w:val="001C6337"/>
    <w:rsid w:val="001C63D6"/>
    <w:rsid w:val="001C71EE"/>
    <w:rsid w:val="001C724A"/>
    <w:rsid w:val="001D01A8"/>
    <w:rsid w:val="001D0B75"/>
    <w:rsid w:val="001D1DC5"/>
    <w:rsid w:val="001D39A5"/>
    <w:rsid w:val="001D3C09"/>
    <w:rsid w:val="001D44E8"/>
    <w:rsid w:val="001D5F59"/>
    <w:rsid w:val="001D60EC"/>
    <w:rsid w:val="001D6F59"/>
    <w:rsid w:val="001E27B8"/>
    <w:rsid w:val="001E3C46"/>
    <w:rsid w:val="001E44DF"/>
    <w:rsid w:val="001E68A5"/>
    <w:rsid w:val="001E6BB0"/>
    <w:rsid w:val="001E710E"/>
    <w:rsid w:val="001E7282"/>
    <w:rsid w:val="001F0293"/>
    <w:rsid w:val="001F2A3B"/>
    <w:rsid w:val="001F3826"/>
    <w:rsid w:val="001F3CD6"/>
    <w:rsid w:val="001F4FFC"/>
    <w:rsid w:val="001F6A12"/>
    <w:rsid w:val="001F6E23"/>
    <w:rsid w:val="001F6E46"/>
    <w:rsid w:val="001F79A5"/>
    <w:rsid w:val="001F7C91"/>
    <w:rsid w:val="002016DB"/>
    <w:rsid w:val="00202B3C"/>
    <w:rsid w:val="002033B7"/>
    <w:rsid w:val="00204B16"/>
    <w:rsid w:val="00206463"/>
    <w:rsid w:val="00206F2F"/>
    <w:rsid w:val="00207717"/>
    <w:rsid w:val="0021053D"/>
    <w:rsid w:val="00210A92"/>
    <w:rsid w:val="00210C65"/>
    <w:rsid w:val="00213D96"/>
    <w:rsid w:val="002165FE"/>
    <w:rsid w:val="00216C03"/>
    <w:rsid w:val="00216D91"/>
    <w:rsid w:val="00220C04"/>
    <w:rsid w:val="002211E3"/>
    <w:rsid w:val="0022278D"/>
    <w:rsid w:val="00222E94"/>
    <w:rsid w:val="00223D73"/>
    <w:rsid w:val="0022642E"/>
    <w:rsid w:val="0022701F"/>
    <w:rsid w:val="00227C68"/>
    <w:rsid w:val="00227FA2"/>
    <w:rsid w:val="002320BB"/>
    <w:rsid w:val="00232E86"/>
    <w:rsid w:val="002333F5"/>
    <w:rsid w:val="00233724"/>
    <w:rsid w:val="0023434F"/>
    <w:rsid w:val="00234746"/>
    <w:rsid w:val="00235A65"/>
    <w:rsid w:val="0023641F"/>
    <w:rsid w:val="002365B4"/>
    <w:rsid w:val="002411B4"/>
    <w:rsid w:val="002422BE"/>
    <w:rsid w:val="00242378"/>
    <w:rsid w:val="002432E1"/>
    <w:rsid w:val="00244B8C"/>
    <w:rsid w:val="00246207"/>
    <w:rsid w:val="00246C5E"/>
    <w:rsid w:val="002503DB"/>
    <w:rsid w:val="00250960"/>
    <w:rsid w:val="00250DC4"/>
    <w:rsid w:val="00251343"/>
    <w:rsid w:val="00251417"/>
    <w:rsid w:val="002532B3"/>
    <w:rsid w:val="002536A4"/>
    <w:rsid w:val="00253E3B"/>
    <w:rsid w:val="00254236"/>
    <w:rsid w:val="00254482"/>
    <w:rsid w:val="00254F58"/>
    <w:rsid w:val="00257D14"/>
    <w:rsid w:val="002620BC"/>
    <w:rsid w:val="00262802"/>
    <w:rsid w:val="00263A90"/>
    <w:rsid w:val="0026408B"/>
    <w:rsid w:val="00264200"/>
    <w:rsid w:val="002664E2"/>
    <w:rsid w:val="00267759"/>
    <w:rsid w:val="002679CB"/>
    <w:rsid w:val="00267C3E"/>
    <w:rsid w:val="002707E3"/>
    <w:rsid w:val="002709BB"/>
    <w:rsid w:val="0027131C"/>
    <w:rsid w:val="0027187C"/>
    <w:rsid w:val="00273141"/>
    <w:rsid w:val="00273BAC"/>
    <w:rsid w:val="00273C8A"/>
    <w:rsid w:val="0027605A"/>
    <w:rsid w:val="002763B3"/>
    <w:rsid w:val="002771E3"/>
    <w:rsid w:val="002802E3"/>
    <w:rsid w:val="0028087C"/>
    <w:rsid w:val="0028213D"/>
    <w:rsid w:val="00282EDF"/>
    <w:rsid w:val="00283A76"/>
    <w:rsid w:val="00283BD5"/>
    <w:rsid w:val="002847BD"/>
    <w:rsid w:val="0028493A"/>
    <w:rsid w:val="00285608"/>
    <w:rsid w:val="002862F1"/>
    <w:rsid w:val="00291373"/>
    <w:rsid w:val="00291B14"/>
    <w:rsid w:val="00292616"/>
    <w:rsid w:val="00295386"/>
    <w:rsid w:val="0029597D"/>
    <w:rsid w:val="002962C3"/>
    <w:rsid w:val="0029752B"/>
    <w:rsid w:val="00297B8A"/>
    <w:rsid w:val="002A04F6"/>
    <w:rsid w:val="002A0A9C"/>
    <w:rsid w:val="002A1C16"/>
    <w:rsid w:val="002A483C"/>
    <w:rsid w:val="002A5432"/>
    <w:rsid w:val="002B0C7C"/>
    <w:rsid w:val="002B169B"/>
    <w:rsid w:val="002B1729"/>
    <w:rsid w:val="002B23CD"/>
    <w:rsid w:val="002B36C7"/>
    <w:rsid w:val="002B4DD4"/>
    <w:rsid w:val="002B50AF"/>
    <w:rsid w:val="002B5277"/>
    <w:rsid w:val="002B5375"/>
    <w:rsid w:val="002B5C5B"/>
    <w:rsid w:val="002B6435"/>
    <w:rsid w:val="002B6548"/>
    <w:rsid w:val="002B6D4C"/>
    <w:rsid w:val="002B77C1"/>
    <w:rsid w:val="002B7ACA"/>
    <w:rsid w:val="002B7D8E"/>
    <w:rsid w:val="002C0ED7"/>
    <w:rsid w:val="002C180E"/>
    <w:rsid w:val="002C2728"/>
    <w:rsid w:val="002C5005"/>
    <w:rsid w:val="002C591B"/>
    <w:rsid w:val="002D1E0D"/>
    <w:rsid w:val="002D242D"/>
    <w:rsid w:val="002D27B5"/>
    <w:rsid w:val="002D4887"/>
    <w:rsid w:val="002D4972"/>
    <w:rsid w:val="002D5006"/>
    <w:rsid w:val="002D5252"/>
    <w:rsid w:val="002D67D9"/>
    <w:rsid w:val="002D79B5"/>
    <w:rsid w:val="002E01D0"/>
    <w:rsid w:val="002E144D"/>
    <w:rsid w:val="002E161D"/>
    <w:rsid w:val="002E192B"/>
    <w:rsid w:val="002E3100"/>
    <w:rsid w:val="002E3CC3"/>
    <w:rsid w:val="002E464A"/>
    <w:rsid w:val="002E674E"/>
    <w:rsid w:val="002E6C95"/>
    <w:rsid w:val="002E7C36"/>
    <w:rsid w:val="002F1525"/>
    <w:rsid w:val="002F3ADF"/>
    <w:rsid w:val="002F3D32"/>
    <w:rsid w:val="002F429F"/>
    <w:rsid w:val="002F5F31"/>
    <w:rsid w:val="002F5F46"/>
    <w:rsid w:val="002F6372"/>
    <w:rsid w:val="002F7EF9"/>
    <w:rsid w:val="00302216"/>
    <w:rsid w:val="003024F1"/>
    <w:rsid w:val="00303326"/>
    <w:rsid w:val="00303E53"/>
    <w:rsid w:val="00303EC8"/>
    <w:rsid w:val="00304EDE"/>
    <w:rsid w:val="00305A88"/>
    <w:rsid w:val="00305CC1"/>
    <w:rsid w:val="00306450"/>
    <w:rsid w:val="00306E5F"/>
    <w:rsid w:val="00307E14"/>
    <w:rsid w:val="00307F56"/>
    <w:rsid w:val="003115A9"/>
    <w:rsid w:val="00311936"/>
    <w:rsid w:val="00314054"/>
    <w:rsid w:val="00316F27"/>
    <w:rsid w:val="003203B7"/>
    <w:rsid w:val="003214F1"/>
    <w:rsid w:val="00322239"/>
    <w:rsid w:val="00322E4B"/>
    <w:rsid w:val="003249D0"/>
    <w:rsid w:val="003263DD"/>
    <w:rsid w:val="00327870"/>
    <w:rsid w:val="0033259D"/>
    <w:rsid w:val="00332B9B"/>
    <w:rsid w:val="003330B0"/>
    <w:rsid w:val="003333D2"/>
    <w:rsid w:val="00337339"/>
    <w:rsid w:val="003406C6"/>
    <w:rsid w:val="00341744"/>
    <w:rsid w:val="003418CC"/>
    <w:rsid w:val="00341A91"/>
    <w:rsid w:val="003459BD"/>
    <w:rsid w:val="00350B94"/>
    <w:rsid w:val="00350D38"/>
    <w:rsid w:val="00351375"/>
    <w:rsid w:val="00351B36"/>
    <w:rsid w:val="00352C4B"/>
    <w:rsid w:val="00353748"/>
    <w:rsid w:val="0035447C"/>
    <w:rsid w:val="00354E71"/>
    <w:rsid w:val="0035519B"/>
    <w:rsid w:val="00357B4E"/>
    <w:rsid w:val="00361038"/>
    <w:rsid w:val="00361DFC"/>
    <w:rsid w:val="003634FE"/>
    <w:rsid w:val="003638C3"/>
    <w:rsid w:val="003653C9"/>
    <w:rsid w:val="003658D3"/>
    <w:rsid w:val="003716D5"/>
    <w:rsid w:val="003716FD"/>
    <w:rsid w:val="0037204B"/>
    <w:rsid w:val="0037447A"/>
    <w:rsid w:val="003744CF"/>
    <w:rsid w:val="0037454B"/>
    <w:rsid w:val="00374717"/>
    <w:rsid w:val="00374C30"/>
    <w:rsid w:val="00375291"/>
    <w:rsid w:val="0037564E"/>
    <w:rsid w:val="0037676C"/>
    <w:rsid w:val="00376B54"/>
    <w:rsid w:val="00376F74"/>
    <w:rsid w:val="00377CCA"/>
    <w:rsid w:val="00381043"/>
    <w:rsid w:val="003810C7"/>
    <w:rsid w:val="0038185E"/>
    <w:rsid w:val="00381E6F"/>
    <w:rsid w:val="00381EE6"/>
    <w:rsid w:val="003829E5"/>
    <w:rsid w:val="00383F9A"/>
    <w:rsid w:val="00385BB0"/>
    <w:rsid w:val="00386109"/>
    <w:rsid w:val="00386944"/>
    <w:rsid w:val="0039047F"/>
    <w:rsid w:val="0039067E"/>
    <w:rsid w:val="003906BA"/>
    <w:rsid w:val="00393DC9"/>
    <w:rsid w:val="003952D3"/>
    <w:rsid w:val="003956CC"/>
    <w:rsid w:val="00395C9A"/>
    <w:rsid w:val="003A04E1"/>
    <w:rsid w:val="003A072B"/>
    <w:rsid w:val="003A0853"/>
    <w:rsid w:val="003A1D84"/>
    <w:rsid w:val="003A3D55"/>
    <w:rsid w:val="003A6B67"/>
    <w:rsid w:val="003A6F01"/>
    <w:rsid w:val="003A7908"/>
    <w:rsid w:val="003B04FA"/>
    <w:rsid w:val="003B10EB"/>
    <w:rsid w:val="003B13B6"/>
    <w:rsid w:val="003B14C3"/>
    <w:rsid w:val="003B15E6"/>
    <w:rsid w:val="003B1BDC"/>
    <w:rsid w:val="003B2588"/>
    <w:rsid w:val="003B2CC4"/>
    <w:rsid w:val="003B2F6F"/>
    <w:rsid w:val="003B35D3"/>
    <w:rsid w:val="003B408A"/>
    <w:rsid w:val="003B5666"/>
    <w:rsid w:val="003B624C"/>
    <w:rsid w:val="003B6519"/>
    <w:rsid w:val="003B66C2"/>
    <w:rsid w:val="003B6DD4"/>
    <w:rsid w:val="003B6F98"/>
    <w:rsid w:val="003C0662"/>
    <w:rsid w:val="003C08A2"/>
    <w:rsid w:val="003C2045"/>
    <w:rsid w:val="003C397B"/>
    <w:rsid w:val="003C43A1"/>
    <w:rsid w:val="003C4E30"/>
    <w:rsid w:val="003C4FC0"/>
    <w:rsid w:val="003C55F4"/>
    <w:rsid w:val="003C6656"/>
    <w:rsid w:val="003C7897"/>
    <w:rsid w:val="003C7A3F"/>
    <w:rsid w:val="003D01DF"/>
    <w:rsid w:val="003D247D"/>
    <w:rsid w:val="003D2766"/>
    <w:rsid w:val="003D2A74"/>
    <w:rsid w:val="003D37BA"/>
    <w:rsid w:val="003D3E8F"/>
    <w:rsid w:val="003D401D"/>
    <w:rsid w:val="003D4A05"/>
    <w:rsid w:val="003D6475"/>
    <w:rsid w:val="003D6EE6"/>
    <w:rsid w:val="003D6F36"/>
    <w:rsid w:val="003E2149"/>
    <w:rsid w:val="003E34CC"/>
    <w:rsid w:val="003E36C9"/>
    <w:rsid w:val="003E375C"/>
    <w:rsid w:val="003E4086"/>
    <w:rsid w:val="003E4B75"/>
    <w:rsid w:val="003E5397"/>
    <w:rsid w:val="003E5A74"/>
    <w:rsid w:val="003E639E"/>
    <w:rsid w:val="003E71E5"/>
    <w:rsid w:val="003E73E3"/>
    <w:rsid w:val="003F0445"/>
    <w:rsid w:val="003F0CF0"/>
    <w:rsid w:val="003F14B1"/>
    <w:rsid w:val="003F2148"/>
    <w:rsid w:val="003F2629"/>
    <w:rsid w:val="003F2852"/>
    <w:rsid w:val="003F2B20"/>
    <w:rsid w:val="003F3289"/>
    <w:rsid w:val="003F3C62"/>
    <w:rsid w:val="003F3CA5"/>
    <w:rsid w:val="003F5B2E"/>
    <w:rsid w:val="003F5CB9"/>
    <w:rsid w:val="00400D73"/>
    <w:rsid w:val="004013C7"/>
    <w:rsid w:val="00401C11"/>
    <w:rsid w:val="00401D26"/>
    <w:rsid w:val="00401FCF"/>
    <w:rsid w:val="00404582"/>
    <w:rsid w:val="00406285"/>
    <w:rsid w:val="004064FE"/>
    <w:rsid w:val="0041082A"/>
    <w:rsid w:val="00411E56"/>
    <w:rsid w:val="00414251"/>
    <w:rsid w:val="004148F9"/>
    <w:rsid w:val="00416462"/>
    <w:rsid w:val="0042076B"/>
    <w:rsid w:val="0042084E"/>
    <w:rsid w:val="00421B9C"/>
    <w:rsid w:val="00421EEF"/>
    <w:rsid w:val="00424594"/>
    <w:rsid w:val="00424D65"/>
    <w:rsid w:val="00424DE2"/>
    <w:rsid w:val="004251F4"/>
    <w:rsid w:val="00430393"/>
    <w:rsid w:val="00431129"/>
    <w:rsid w:val="00431806"/>
    <w:rsid w:val="00431AC4"/>
    <w:rsid w:val="00431B8F"/>
    <w:rsid w:val="00432E2D"/>
    <w:rsid w:val="00435BB9"/>
    <w:rsid w:val="00436633"/>
    <w:rsid w:val="00437AC5"/>
    <w:rsid w:val="00437F67"/>
    <w:rsid w:val="004414BD"/>
    <w:rsid w:val="00442C6C"/>
    <w:rsid w:val="00442F54"/>
    <w:rsid w:val="00443CBE"/>
    <w:rsid w:val="00443E8A"/>
    <w:rsid w:val="00444152"/>
    <w:rsid w:val="004441BC"/>
    <w:rsid w:val="00446272"/>
    <w:rsid w:val="004468B4"/>
    <w:rsid w:val="0045230A"/>
    <w:rsid w:val="00454AD0"/>
    <w:rsid w:val="00457337"/>
    <w:rsid w:val="00460474"/>
    <w:rsid w:val="00461592"/>
    <w:rsid w:val="00462516"/>
    <w:rsid w:val="00462734"/>
    <w:rsid w:val="00462E3D"/>
    <w:rsid w:val="00462EB7"/>
    <w:rsid w:val="0046616F"/>
    <w:rsid w:val="00466E79"/>
    <w:rsid w:val="00466F1E"/>
    <w:rsid w:val="00470D7D"/>
    <w:rsid w:val="00472230"/>
    <w:rsid w:val="004724B0"/>
    <w:rsid w:val="00473726"/>
    <w:rsid w:val="0047372D"/>
    <w:rsid w:val="00473BA3"/>
    <w:rsid w:val="0047427E"/>
    <w:rsid w:val="004743DD"/>
    <w:rsid w:val="00474CEA"/>
    <w:rsid w:val="00474DE6"/>
    <w:rsid w:val="0048197D"/>
    <w:rsid w:val="00481FCC"/>
    <w:rsid w:val="004825F9"/>
    <w:rsid w:val="00483968"/>
    <w:rsid w:val="0048411B"/>
    <w:rsid w:val="004841BE"/>
    <w:rsid w:val="00484F86"/>
    <w:rsid w:val="00490746"/>
    <w:rsid w:val="00490852"/>
    <w:rsid w:val="00491C9C"/>
    <w:rsid w:val="00491EEA"/>
    <w:rsid w:val="00492F30"/>
    <w:rsid w:val="00493AFF"/>
    <w:rsid w:val="0049453F"/>
    <w:rsid w:val="004945BB"/>
    <w:rsid w:val="004946F4"/>
    <w:rsid w:val="0049487E"/>
    <w:rsid w:val="004A160D"/>
    <w:rsid w:val="004A1805"/>
    <w:rsid w:val="004A35A3"/>
    <w:rsid w:val="004A3E81"/>
    <w:rsid w:val="004A4195"/>
    <w:rsid w:val="004A5C62"/>
    <w:rsid w:val="004A5CE5"/>
    <w:rsid w:val="004A707D"/>
    <w:rsid w:val="004B2E5C"/>
    <w:rsid w:val="004B3AA3"/>
    <w:rsid w:val="004B3C60"/>
    <w:rsid w:val="004B4185"/>
    <w:rsid w:val="004B41A8"/>
    <w:rsid w:val="004B6BA7"/>
    <w:rsid w:val="004B717A"/>
    <w:rsid w:val="004B758C"/>
    <w:rsid w:val="004B779E"/>
    <w:rsid w:val="004C16C4"/>
    <w:rsid w:val="004C42A9"/>
    <w:rsid w:val="004C46BA"/>
    <w:rsid w:val="004C52A4"/>
    <w:rsid w:val="004C5541"/>
    <w:rsid w:val="004C5BBA"/>
    <w:rsid w:val="004C6EEE"/>
    <w:rsid w:val="004C702B"/>
    <w:rsid w:val="004C75FD"/>
    <w:rsid w:val="004D0033"/>
    <w:rsid w:val="004D016B"/>
    <w:rsid w:val="004D131E"/>
    <w:rsid w:val="004D1B22"/>
    <w:rsid w:val="004D23CC"/>
    <w:rsid w:val="004D36F2"/>
    <w:rsid w:val="004D3FFB"/>
    <w:rsid w:val="004D630D"/>
    <w:rsid w:val="004E1106"/>
    <w:rsid w:val="004E138F"/>
    <w:rsid w:val="004E273E"/>
    <w:rsid w:val="004E2AA8"/>
    <w:rsid w:val="004E3125"/>
    <w:rsid w:val="004E433F"/>
    <w:rsid w:val="004E4649"/>
    <w:rsid w:val="004E5C2B"/>
    <w:rsid w:val="004E6D89"/>
    <w:rsid w:val="004E700F"/>
    <w:rsid w:val="004F00DD"/>
    <w:rsid w:val="004F01C6"/>
    <w:rsid w:val="004F0A66"/>
    <w:rsid w:val="004F11DA"/>
    <w:rsid w:val="004F2133"/>
    <w:rsid w:val="004F5398"/>
    <w:rsid w:val="004F55F1"/>
    <w:rsid w:val="004F63EC"/>
    <w:rsid w:val="004F6936"/>
    <w:rsid w:val="004F7AF1"/>
    <w:rsid w:val="004F7B35"/>
    <w:rsid w:val="004F7BBA"/>
    <w:rsid w:val="005003C4"/>
    <w:rsid w:val="005018DE"/>
    <w:rsid w:val="00502603"/>
    <w:rsid w:val="00502ED8"/>
    <w:rsid w:val="00503DC6"/>
    <w:rsid w:val="00504CD7"/>
    <w:rsid w:val="00505278"/>
    <w:rsid w:val="00506907"/>
    <w:rsid w:val="00506F5D"/>
    <w:rsid w:val="00510316"/>
    <w:rsid w:val="00510C37"/>
    <w:rsid w:val="005126D0"/>
    <w:rsid w:val="00514667"/>
    <w:rsid w:val="0051568D"/>
    <w:rsid w:val="00520FC5"/>
    <w:rsid w:val="005224DF"/>
    <w:rsid w:val="00523645"/>
    <w:rsid w:val="0052699E"/>
    <w:rsid w:val="00526AC7"/>
    <w:rsid w:val="00526C15"/>
    <w:rsid w:val="00527EA4"/>
    <w:rsid w:val="00531699"/>
    <w:rsid w:val="005320A5"/>
    <w:rsid w:val="005346D8"/>
    <w:rsid w:val="00535B3B"/>
    <w:rsid w:val="005363C0"/>
    <w:rsid w:val="00536499"/>
    <w:rsid w:val="005373E2"/>
    <w:rsid w:val="005373FE"/>
    <w:rsid w:val="00540C92"/>
    <w:rsid w:val="00540FE4"/>
    <w:rsid w:val="00542677"/>
    <w:rsid w:val="00542A03"/>
    <w:rsid w:val="00543903"/>
    <w:rsid w:val="00543F11"/>
    <w:rsid w:val="005445B5"/>
    <w:rsid w:val="00545375"/>
    <w:rsid w:val="005456A9"/>
    <w:rsid w:val="00546305"/>
    <w:rsid w:val="00547A95"/>
    <w:rsid w:val="0055119B"/>
    <w:rsid w:val="00553C69"/>
    <w:rsid w:val="00555C29"/>
    <w:rsid w:val="00556AE2"/>
    <w:rsid w:val="00561202"/>
    <w:rsid w:val="00561F86"/>
    <w:rsid w:val="00562AC8"/>
    <w:rsid w:val="005648D7"/>
    <w:rsid w:val="00564C67"/>
    <w:rsid w:val="0056559A"/>
    <w:rsid w:val="005655AD"/>
    <w:rsid w:val="00565702"/>
    <w:rsid w:val="0056676C"/>
    <w:rsid w:val="005667F8"/>
    <w:rsid w:val="005707BE"/>
    <w:rsid w:val="00571C71"/>
    <w:rsid w:val="00572031"/>
    <w:rsid w:val="00572282"/>
    <w:rsid w:val="00572939"/>
    <w:rsid w:val="00573CE3"/>
    <w:rsid w:val="005742B7"/>
    <w:rsid w:val="0057674A"/>
    <w:rsid w:val="00576DC0"/>
    <w:rsid w:val="00576E84"/>
    <w:rsid w:val="005774D5"/>
    <w:rsid w:val="00580394"/>
    <w:rsid w:val="005809CD"/>
    <w:rsid w:val="0058265E"/>
    <w:rsid w:val="00582B8C"/>
    <w:rsid w:val="00585141"/>
    <w:rsid w:val="005859FC"/>
    <w:rsid w:val="00585CF3"/>
    <w:rsid w:val="00586F65"/>
    <w:rsid w:val="0058757E"/>
    <w:rsid w:val="00592B93"/>
    <w:rsid w:val="00596327"/>
    <w:rsid w:val="00596A4B"/>
    <w:rsid w:val="00596D88"/>
    <w:rsid w:val="00597507"/>
    <w:rsid w:val="005A090D"/>
    <w:rsid w:val="005A0BD9"/>
    <w:rsid w:val="005A1E91"/>
    <w:rsid w:val="005A416D"/>
    <w:rsid w:val="005A442D"/>
    <w:rsid w:val="005A479D"/>
    <w:rsid w:val="005A73FB"/>
    <w:rsid w:val="005A7F2D"/>
    <w:rsid w:val="005B0CF2"/>
    <w:rsid w:val="005B1C6D"/>
    <w:rsid w:val="005B21B6"/>
    <w:rsid w:val="005B2E03"/>
    <w:rsid w:val="005B3A08"/>
    <w:rsid w:val="005B5530"/>
    <w:rsid w:val="005B7A63"/>
    <w:rsid w:val="005C02CD"/>
    <w:rsid w:val="005C0955"/>
    <w:rsid w:val="005C0A3B"/>
    <w:rsid w:val="005C3B7F"/>
    <w:rsid w:val="005C49DA"/>
    <w:rsid w:val="005C50F3"/>
    <w:rsid w:val="005C54B5"/>
    <w:rsid w:val="005C5D80"/>
    <w:rsid w:val="005C5D91"/>
    <w:rsid w:val="005D07B8"/>
    <w:rsid w:val="005D09A3"/>
    <w:rsid w:val="005D1BC3"/>
    <w:rsid w:val="005D5E33"/>
    <w:rsid w:val="005D6597"/>
    <w:rsid w:val="005D665B"/>
    <w:rsid w:val="005E14E7"/>
    <w:rsid w:val="005E26A3"/>
    <w:rsid w:val="005E2ECB"/>
    <w:rsid w:val="005E447E"/>
    <w:rsid w:val="005E4FD1"/>
    <w:rsid w:val="005F0775"/>
    <w:rsid w:val="005F0CF5"/>
    <w:rsid w:val="005F21EB"/>
    <w:rsid w:val="005F3AA8"/>
    <w:rsid w:val="005F64CF"/>
    <w:rsid w:val="005F6763"/>
    <w:rsid w:val="005F6FBE"/>
    <w:rsid w:val="006041AD"/>
    <w:rsid w:val="0060441C"/>
    <w:rsid w:val="006052BF"/>
    <w:rsid w:val="00605908"/>
    <w:rsid w:val="00606E84"/>
    <w:rsid w:val="00606F60"/>
    <w:rsid w:val="00607850"/>
    <w:rsid w:val="00610D7C"/>
    <w:rsid w:val="00611D9E"/>
    <w:rsid w:val="00613414"/>
    <w:rsid w:val="0061784D"/>
    <w:rsid w:val="00620154"/>
    <w:rsid w:val="00620548"/>
    <w:rsid w:val="0062408D"/>
    <w:rsid w:val="006240CC"/>
    <w:rsid w:val="006248C6"/>
    <w:rsid w:val="00624940"/>
    <w:rsid w:val="00624C2C"/>
    <w:rsid w:val="006254F8"/>
    <w:rsid w:val="00627DA7"/>
    <w:rsid w:val="00630446"/>
    <w:rsid w:val="00630DA4"/>
    <w:rsid w:val="00631CD4"/>
    <w:rsid w:val="00632597"/>
    <w:rsid w:val="00633E80"/>
    <w:rsid w:val="00634D13"/>
    <w:rsid w:val="006358B4"/>
    <w:rsid w:val="00641079"/>
    <w:rsid w:val="00641724"/>
    <w:rsid w:val="006419AA"/>
    <w:rsid w:val="00644B1F"/>
    <w:rsid w:val="00644B7E"/>
    <w:rsid w:val="006454E6"/>
    <w:rsid w:val="00646235"/>
    <w:rsid w:val="00646A68"/>
    <w:rsid w:val="00647000"/>
    <w:rsid w:val="00647B30"/>
    <w:rsid w:val="006505BD"/>
    <w:rsid w:val="006508EA"/>
    <w:rsid w:val="0065092E"/>
    <w:rsid w:val="0065243A"/>
    <w:rsid w:val="00653288"/>
    <w:rsid w:val="006557A7"/>
    <w:rsid w:val="00656290"/>
    <w:rsid w:val="00656485"/>
    <w:rsid w:val="006601C9"/>
    <w:rsid w:val="006608D8"/>
    <w:rsid w:val="006616F2"/>
    <w:rsid w:val="006621D7"/>
    <w:rsid w:val="0066302A"/>
    <w:rsid w:val="00666493"/>
    <w:rsid w:val="006673B1"/>
    <w:rsid w:val="00667770"/>
    <w:rsid w:val="006701EC"/>
    <w:rsid w:val="00670597"/>
    <w:rsid w:val="006706D0"/>
    <w:rsid w:val="00670C86"/>
    <w:rsid w:val="006745EC"/>
    <w:rsid w:val="00677574"/>
    <w:rsid w:val="006803C6"/>
    <w:rsid w:val="00680FA5"/>
    <w:rsid w:val="0068161A"/>
    <w:rsid w:val="00683878"/>
    <w:rsid w:val="00683E7F"/>
    <w:rsid w:val="0068454C"/>
    <w:rsid w:val="00687926"/>
    <w:rsid w:val="00691445"/>
    <w:rsid w:val="006917C4"/>
    <w:rsid w:val="00691B62"/>
    <w:rsid w:val="00692E5A"/>
    <w:rsid w:val="00693012"/>
    <w:rsid w:val="006933B5"/>
    <w:rsid w:val="00693D14"/>
    <w:rsid w:val="00695A93"/>
    <w:rsid w:val="00696F27"/>
    <w:rsid w:val="006978CD"/>
    <w:rsid w:val="006A0825"/>
    <w:rsid w:val="006A1801"/>
    <w:rsid w:val="006A18C2"/>
    <w:rsid w:val="006A1BDC"/>
    <w:rsid w:val="006A3383"/>
    <w:rsid w:val="006A579D"/>
    <w:rsid w:val="006B075C"/>
    <w:rsid w:val="006B077C"/>
    <w:rsid w:val="006B12DF"/>
    <w:rsid w:val="006B16AF"/>
    <w:rsid w:val="006B2B51"/>
    <w:rsid w:val="006B5D49"/>
    <w:rsid w:val="006B6803"/>
    <w:rsid w:val="006B6A7A"/>
    <w:rsid w:val="006C01C5"/>
    <w:rsid w:val="006C0773"/>
    <w:rsid w:val="006C3E69"/>
    <w:rsid w:val="006C73FD"/>
    <w:rsid w:val="006C7AA3"/>
    <w:rsid w:val="006D0C23"/>
    <w:rsid w:val="006D0F16"/>
    <w:rsid w:val="006D0F31"/>
    <w:rsid w:val="006D2A3F"/>
    <w:rsid w:val="006D2D19"/>
    <w:rsid w:val="006D2FBC"/>
    <w:rsid w:val="006D3CF4"/>
    <w:rsid w:val="006D5298"/>
    <w:rsid w:val="006D6BEC"/>
    <w:rsid w:val="006D7986"/>
    <w:rsid w:val="006E138B"/>
    <w:rsid w:val="006E1867"/>
    <w:rsid w:val="006E75E8"/>
    <w:rsid w:val="006F0330"/>
    <w:rsid w:val="006F1FDC"/>
    <w:rsid w:val="006F417F"/>
    <w:rsid w:val="006F6B8C"/>
    <w:rsid w:val="006F70BC"/>
    <w:rsid w:val="007013EF"/>
    <w:rsid w:val="007021C3"/>
    <w:rsid w:val="00702F87"/>
    <w:rsid w:val="00703303"/>
    <w:rsid w:val="007055BD"/>
    <w:rsid w:val="00707881"/>
    <w:rsid w:val="00712512"/>
    <w:rsid w:val="007173CA"/>
    <w:rsid w:val="00717E69"/>
    <w:rsid w:val="007216AA"/>
    <w:rsid w:val="00721AB5"/>
    <w:rsid w:val="00721CFB"/>
    <w:rsid w:val="00721DEF"/>
    <w:rsid w:val="007231E7"/>
    <w:rsid w:val="00724A43"/>
    <w:rsid w:val="0072602E"/>
    <w:rsid w:val="007273AC"/>
    <w:rsid w:val="00731AD4"/>
    <w:rsid w:val="00733CD6"/>
    <w:rsid w:val="007346E4"/>
    <w:rsid w:val="00737165"/>
    <w:rsid w:val="007373C4"/>
    <w:rsid w:val="00740DD1"/>
    <w:rsid w:val="00740F22"/>
    <w:rsid w:val="00740F48"/>
    <w:rsid w:val="00741CF0"/>
    <w:rsid w:val="00741F1A"/>
    <w:rsid w:val="00742B20"/>
    <w:rsid w:val="00743A2C"/>
    <w:rsid w:val="007446AB"/>
    <w:rsid w:val="007447DA"/>
    <w:rsid w:val="007450F8"/>
    <w:rsid w:val="0074696E"/>
    <w:rsid w:val="00747541"/>
    <w:rsid w:val="00750135"/>
    <w:rsid w:val="007505B5"/>
    <w:rsid w:val="00750EC2"/>
    <w:rsid w:val="007523DA"/>
    <w:rsid w:val="00752B28"/>
    <w:rsid w:val="00752BB7"/>
    <w:rsid w:val="007541A9"/>
    <w:rsid w:val="00754C1F"/>
    <w:rsid w:val="00754C87"/>
    <w:rsid w:val="00754E36"/>
    <w:rsid w:val="00756A94"/>
    <w:rsid w:val="007579B1"/>
    <w:rsid w:val="007604D5"/>
    <w:rsid w:val="00761089"/>
    <w:rsid w:val="007614B5"/>
    <w:rsid w:val="00763139"/>
    <w:rsid w:val="00764E40"/>
    <w:rsid w:val="00770E0F"/>
    <w:rsid w:val="00770F37"/>
    <w:rsid w:val="0077117C"/>
    <w:rsid w:val="007711A0"/>
    <w:rsid w:val="0077264A"/>
    <w:rsid w:val="00772D5E"/>
    <w:rsid w:val="00773179"/>
    <w:rsid w:val="0077463E"/>
    <w:rsid w:val="00776928"/>
    <w:rsid w:val="00776E0F"/>
    <w:rsid w:val="007774B1"/>
    <w:rsid w:val="0077758B"/>
    <w:rsid w:val="00777BE1"/>
    <w:rsid w:val="00777DEE"/>
    <w:rsid w:val="00780D34"/>
    <w:rsid w:val="00781107"/>
    <w:rsid w:val="007813E2"/>
    <w:rsid w:val="007823C6"/>
    <w:rsid w:val="00782A24"/>
    <w:rsid w:val="007833D8"/>
    <w:rsid w:val="00785677"/>
    <w:rsid w:val="00786F16"/>
    <w:rsid w:val="007909A9"/>
    <w:rsid w:val="00791BD7"/>
    <w:rsid w:val="0079222F"/>
    <w:rsid w:val="0079254C"/>
    <w:rsid w:val="007933F7"/>
    <w:rsid w:val="007965CE"/>
    <w:rsid w:val="007968A5"/>
    <w:rsid w:val="00796E20"/>
    <w:rsid w:val="00797C32"/>
    <w:rsid w:val="007A11E8"/>
    <w:rsid w:val="007A2706"/>
    <w:rsid w:val="007A2815"/>
    <w:rsid w:val="007A2818"/>
    <w:rsid w:val="007A7204"/>
    <w:rsid w:val="007A7B2B"/>
    <w:rsid w:val="007A7F2D"/>
    <w:rsid w:val="007B0914"/>
    <w:rsid w:val="007B1374"/>
    <w:rsid w:val="007B18E4"/>
    <w:rsid w:val="007B1A4A"/>
    <w:rsid w:val="007B1C9B"/>
    <w:rsid w:val="007B32E5"/>
    <w:rsid w:val="007B3DB9"/>
    <w:rsid w:val="007B4693"/>
    <w:rsid w:val="007B4803"/>
    <w:rsid w:val="007B5781"/>
    <w:rsid w:val="007B589F"/>
    <w:rsid w:val="007B6186"/>
    <w:rsid w:val="007B73BC"/>
    <w:rsid w:val="007C09D3"/>
    <w:rsid w:val="007C10FF"/>
    <w:rsid w:val="007C1838"/>
    <w:rsid w:val="007C20B9"/>
    <w:rsid w:val="007C2AF5"/>
    <w:rsid w:val="007C314A"/>
    <w:rsid w:val="007C35A1"/>
    <w:rsid w:val="007C7301"/>
    <w:rsid w:val="007C7859"/>
    <w:rsid w:val="007C7AFF"/>
    <w:rsid w:val="007C7F28"/>
    <w:rsid w:val="007D1046"/>
    <w:rsid w:val="007D1466"/>
    <w:rsid w:val="007D1E8E"/>
    <w:rsid w:val="007D2BDE"/>
    <w:rsid w:val="007D2FB6"/>
    <w:rsid w:val="007D481A"/>
    <w:rsid w:val="007D49EB"/>
    <w:rsid w:val="007D5E1C"/>
    <w:rsid w:val="007E0BEC"/>
    <w:rsid w:val="007E0DE2"/>
    <w:rsid w:val="007E1B99"/>
    <w:rsid w:val="007E3B98"/>
    <w:rsid w:val="007E417A"/>
    <w:rsid w:val="007E7E7D"/>
    <w:rsid w:val="007F31B6"/>
    <w:rsid w:val="007F546C"/>
    <w:rsid w:val="007F625F"/>
    <w:rsid w:val="007F665E"/>
    <w:rsid w:val="00800412"/>
    <w:rsid w:val="0080059A"/>
    <w:rsid w:val="0080587B"/>
    <w:rsid w:val="00806468"/>
    <w:rsid w:val="00806FA2"/>
    <w:rsid w:val="008119CA"/>
    <w:rsid w:val="0081287E"/>
    <w:rsid w:val="008130C4"/>
    <w:rsid w:val="00814487"/>
    <w:rsid w:val="008145F1"/>
    <w:rsid w:val="008155F0"/>
    <w:rsid w:val="0081661D"/>
    <w:rsid w:val="00816735"/>
    <w:rsid w:val="00820141"/>
    <w:rsid w:val="0082075A"/>
    <w:rsid w:val="00820E0C"/>
    <w:rsid w:val="00823275"/>
    <w:rsid w:val="0082366F"/>
    <w:rsid w:val="00824FD1"/>
    <w:rsid w:val="008262B8"/>
    <w:rsid w:val="00827BEA"/>
    <w:rsid w:val="008301C8"/>
    <w:rsid w:val="0083126A"/>
    <w:rsid w:val="00833871"/>
    <w:rsid w:val="008338A2"/>
    <w:rsid w:val="00833C97"/>
    <w:rsid w:val="00837456"/>
    <w:rsid w:val="00841AA9"/>
    <w:rsid w:val="00844A02"/>
    <w:rsid w:val="00845287"/>
    <w:rsid w:val="008455A2"/>
    <w:rsid w:val="008474FE"/>
    <w:rsid w:val="008521A9"/>
    <w:rsid w:val="0085232E"/>
    <w:rsid w:val="008525B7"/>
    <w:rsid w:val="00853D38"/>
    <w:rsid w:val="00853EE4"/>
    <w:rsid w:val="0085442E"/>
    <w:rsid w:val="00855535"/>
    <w:rsid w:val="00857C5A"/>
    <w:rsid w:val="00861CCD"/>
    <w:rsid w:val="0086255E"/>
    <w:rsid w:val="008633F0"/>
    <w:rsid w:val="0086383B"/>
    <w:rsid w:val="00867BA7"/>
    <w:rsid w:val="00867D9D"/>
    <w:rsid w:val="00870B62"/>
    <w:rsid w:val="0087266D"/>
    <w:rsid w:val="008727E0"/>
    <w:rsid w:val="00872C54"/>
    <w:rsid w:val="00872E0A"/>
    <w:rsid w:val="00873594"/>
    <w:rsid w:val="00874E54"/>
    <w:rsid w:val="00875148"/>
    <w:rsid w:val="00875285"/>
    <w:rsid w:val="008759A2"/>
    <w:rsid w:val="00875F76"/>
    <w:rsid w:val="00881ACF"/>
    <w:rsid w:val="00882DB6"/>
    <w:rsid w:val="00884B62"/>
    <w:rsid w:val="00884E44"/>
    <w:rsid w:val="008851B5"/>
    <w:rsid w:val="0088529C"/>
    <w:rsid w:val="00887903"/>
    <w:rsid w:val="00887D68"/>
    <w:rsid w:val="0089270A"/>
    <w:rsid w:val="008932B6"/>
    <w:rsid w:val="00893AF6"/>
    <w:rsid w:val="0089423F"/>
    <w:rsid w:val="00894BC4"/>
    <w:rsid w:val="008A1F5D"/>
    <w:rsid w:val="008A28A8"/>
    <w:rsid w:val="008A28AA"/>
    <w:rsid w:val="008A4600"/>
    <w:rsid w:val="008A54C9"/>
    <w:rsid w:val="008A5B32"/>
    <w:rsid w:val="008A6384"/>
    <w:rsid w:val="008A7E81"/>
    <w:rsid w:val="008B0D52"/>
    <w:rsid w:val="008B2029"/>
    <w:rsid w:val="008B27B0"/>
    <w:rsid w:val="008B2EE4"/>
    <w:rsid w:val="008B30DE"/>
    <w:rsid w:val="008B3821"/>
    <w:rsid w:val="008B4475"/>
    <w:rsid w:val="008B4665"/>
    <w:rsid w:val="008B4D3D"/>
    <w:rsid w:val="008B4DE4"/>
    <w:rsid w:val="008B4F2A"/>
    <w:rsid w:val="008B57C7"/>
    <w:rsid w:val="008B609F"/>
    <w:rsid w:val="008B627F"/>
    <w:rsid w:val="008B7156"/>
    <w:rsid w:val="008C0897"/>
    <w:rsid w:val="008C0C21"/>
    <w:rsid w:val="008C19B8"/>
    <w:rsid w:val="008C29BC"/>
    <w:rsid w:val="008C2F92"/>
    <w:rsid w:val="008C3FFA"/>
    <w:rsid w:val="008C4A5F"/>
    <w:rsid w:val="008C589D"/>
    <w:rsid w:val="008C59A2"/>
    <w:rsid w:val="008C5BE2"/>
    <w:rsid w:val="008C6563"/>
    <w:rsid w:val="008C6D51"/>
    <w:rsid w:val="008D0437"/>
    <w:rsid w:val="008D2846"/>
    <w:rsid w:val="008D358F"/>
    <w:rsid w:val="008D4236"/>
    <w:rsid w:val="008D462F"/>
    <w:rsid w:val="008D5C45"/>
    <w:rsid w:val="008D62B5"/>
    <w:rsid w:val="008D6DCF"/>
    <w:rsid w:val="008E2349"/>
    <w:rsid w:val="008E2461"/>
    <w:rsid w:val="008E3B3C"/>
    <w:rsid w:val="008E4376"/>
    <w:rsid w:val="008E7A0A"/>
    <w:rsid w:val="008E7B49"/>
    <w:rsid w:val="008E7CA9"/>
    <w:rsid w:val="008F00A8"/>
    <w:rsid w:val="008F1316"/>
    <w:rsid w:val="008F378C"/>
    <w:rsid w:val="008F393E"/>
    <w:rsid w:val="008F59F6"/>
    <w:rsid w:val="008F63C8"/>
    <w:rsid w:val="008F73A8"/>
    <w:rsid w:val="00900719"/>
    <w:rsid w:val="009017AC"/>
    <w:rsid w:val="00902A9A"/>
    <w:rsid w:val="009036F3"/>
    <w:rsid w:val="00904A1C"/>
    <w:rsid w:val="00905030"/>
    <w:rsid w:val="00905980"/>
    <w:rsid w:val="009059E8"/>
    <w:rsid w:val="00905C72"/>
    <w:rsid w:val="00905D6A"/>
    <w:rsid w:val="00906490"/>
    <w:rsid w:val="00907E45"/>
    <w:rsid w:val="009111B2"/>
    <w:rsid w:val="009136E7"/>
    <w:rsid w:val="009151F5"/>
    <w:rsid w:val="009170DE"/>
    <w:rsid w:val="00920FE4"/>
    <w:rsid w:val="00924948"/>
    <w:rsid w:val="00924AE1"/>
    <w:rsid w:val="00925620"/>
    <w:rsid w:val="009257ED"/>
    <w:rsid w:val="00925DD5"/>
    <w:rsid w:val="009261C8"/>
    <w:rsid w:val="009269B1"/>
    <w:rsid w:val="0092724D"/>
    <w:rsid w:val="009272B3"/>
    <w:rsid w:val="00930024"/>
    <w:rsid w:val="009315BE"/>
    <w:rsid w:val="00932F6D"/>
    <w:rsid w:val="0093338F"/>
    <w:rsid w:val="00937A89"/>
    <w:rsid w:val="00937BD9"/>
    <w:rsid w:val="009403AC"/>
    <w:rsid w:val="00940499"/>
    <w:rsid w:val="009415BA"/>
    <w:rsid w:val="009426B5"/>
    <w:rsid w:val="0094752B"/>
    <w:rsid w:val="009509F0"/>
    <w:rsid w:val="00950E2C"/>
    <w:rsid w:val="00951D50"/>
    <w:rsid w:val="009525EB"/>
    <w:rsid w:val="00952BA6"/>
    <w:rsid w:val="0095470B"/>
    <w:rsid w:val="00954874"/>
    <w:rsid w:val="0095615A"/>
    <w:rsid w:val="009569EB"/>
    <w:rsid w:val="00957C5C"/>
    <w:rsid w:val="00957EAA"/>
    <w:rsid w:val="00961400"/>
    <w:rsid w:val="00963123"/>
    <w:rsid w:val="009634D4"/>
    <w:rsid w:val="00963646"/>
    <w:rsid w:val="0096632D"/>
    <w:rsid w:val="00967124"/>
    <w:rsid w:val="009673EC"/>
    <w:rsid w:val="009705B6"/>
    <w:rsid w:val="009718C7"/>
    <w:rsid w:val="0097370D"/>
    <w:rsid w:val="0097559F"/>
    <w:rsid w:val="009761EA"/>
    <w:rsid w:val="0097761E"/>
    <w:rsid w:val="00977BB2"/>
    <w:rsid w:val="00980584"/>
    <w:rsid w:val="00981743"/>
    <w:rsid w:val="00982454"/>
    <w:rsid w:val="00982CF0"/>
    <w:rsid w:val="0098380A"/>
    <w:rsid w:val="00983DBC"/>
    <w:rsid w:val="009853E1"/>
    <w:rsid w:val="009868F9"/>
    <w:rsid w:val="00986E6B"/>
    <w:rsid w:val="00990032"/>
    <w:rsid w:val="00990B19"/>
    <w:rsid w:val="0099153B"/>
    <w:rsid w:val="00991769"/>
    <w:rsid w:val="00991CEF"/>
    <w:rsid w:val="0099232C"/>
    <w:rsid w:val="009930F5"/>
    <w:rsid w:val="00994386"/>
    <w:rsid w:val="00995B4E"/>
    <w:rsid w:val="009A13D8"/>
    <w:rsid w:val="009A1A9F"/>
    <w:rsid w:val="009A26F8"/>
    <w:rsid w:val="009A279E"/>
    <w:rsid w:val="009A3015"/>
    <w:rsid w:val="009A3490"/>
    <w:rsid w:val="009A5C20"/>
    <w:rsid w:val="009A5E2E"/>
    <w:rsid w:val="009A7FCE"/>
    <w:rsid w:val="009B0A6F"/>
    <w:rsid w:val="009B0A94"/>
    <w:rsid w:val="009B0AE7"/>
    <w:rsid w:val="009B15B3"/>
    <w:rsid w:val="009B2AE8"/>
    <w:rsid w:val="009B32EA"/>
    <w:rsid w:val="009B3E2E"/>
    <w:rsid w:val="009B4FF1"/>
    <w:rsid w:val="009B5622"/>
    <w:rsid w:val="009B57EE"/>
    <w:rsid w:val="009B59E9"/>
    <w:rsid w:val="009B68C6"/>
    <w:rsid w:val="009B70AA"/>
    <w:rsid w:val="009B747A"/>
    <w:rsid w:val="009C0798"/>
    <w:rsid w:val="009C1B4C"/>
    <w:rsid w:val="009C1CB1"/>
    <w:rsid w:val="009C2AD2"/>
    <w:rsid w:val="009C4A39"/>
    <w:rsid w:val="009C4CF6"/>
    <w:rsid w:val="009C5E77"/>
    <w:rsid w:val="009C77F5"/>
    <w:rsid w:val="009C7A7E"/>
    <w:rsid w:val="009D02E8"/>
    <w:rsid w:val="009D24C6"/>
    <w:rsid w:val="009D35AE"/>
    <w:rsid w:val="009D51D0"/>
    <w:rsid w:val="009D6C65"/>
    <w:rsid w:val="009D70A4"/>
    <w:rsid w:val="009D7A52"/>
    <w:rsid w:val="009D7B14"/>
    <w:rsid w:val="009E05AC"/>
    <w:rsid w:val="009E08D1"/>
    <w:rsid w:val="009E1B95"/>
    <w:rsid w:val="009E236E"/>
    <w:rsid w:val="009E496F"/>
    <w:rsid w:val="009E4B0D"/>
    <w:rsid w:val="009E5250"/>
    <w:rsid w:val="009E6030"/>
    <w:rsid w:val="009E739E"/>
    <w:rsid w:val="009E7A69"/>
    <w:rsid w:val="009E7F92"/>
    <w:rsid w:val="009F02A3"/>
    <w:rsid w:val="009F0D86"/>
    <w:rsid w:val="009F15B5"/>
    <w:rsid w:val="009F204B"/>
    <w:rsid w:val="009F2F27"/>
    <w:rsid w:val="009F34AA"/>
    <w:rsid w:val="009F35D5"/>
    <w:rsid w:val="009F4283"/>
    <w:rsid w:val="009F514F"/>
    <w:rsid w:val="009F6BCB"/>
    <w:rsid w:val="009F7B78"/>
    <w:rsid w:val="00A0057A"/>
    <w:rsid w:val="00A02372"/>
    <w:rsid w:val="00A02FA1"/>
    <w:rsid w:val="00A04CCE"/>
    <w:rsid w:val="00A0559C"/>
    <w:rsid w:val="00A07421"/>
    <w:rsid w:val="00A074FA"/>
    <w:rsid w:val="00A0776B"/>
    <w:rsid w:val="00A10FB9"/>
    <w:rsid w:val="00A11120"/>
    <w:rsid w:val="00A11421"/>
    <w:rsid w:val="00A11FD8"/>
    <w:rsid w:val="00A1389F"/>
    <w:rsid w:val="00A1401E"/>
    <w:rsid w:val="00A157B1"/>
    <w:rsid w:val="00A22229"/>
    <w:rsid w:val="00A24442"/>
    <w:rsid w:val="00A244F8"/>
    <w:rsid w:val="00A2500A"/>
    <w:rsid w:val="00A25253"/>
    <w:rsid w:val="00A25983"/>
    <w:rsid w:val="00A2720B"/>
    <w:rsid w:val="00A314C2"/>
    <w:rsid w:val="00A32577"/>
    <w:rsid w:val="00A329A5"/>
    <w:rsid w:val="00A330BB"/>
    <w:rsid w:val="00A34ACD"/>
    <w:rsid w:val="00A34ED0"/>
    <w:rsid w:val="00A35F58"/>
    <w:rsid w:val="00A371C0"/>
    <w:rsid w:val="00A4139A"/>
    <w:rsid w:val="00A424F9"/>
    <w:rsid w:val="00A434FA"/>
    <w:rsid w:val="00A44882"/>
    <w:rsid w:val="00A45125"/>
    <w:rsid w:val="00A473C0"/>
    <w:rsid w:val="00A5090E"/>
    <w:rsid w:val="00A51DBC"/>
    <w:rsid w:val="00A5355C"/>
    <w:rsid w:val="00A54715"/>
    <w:rsid w:val="00A55122"/>
    <w:rsid w:val="00A56928"/>
    <w:rsid w:val="00A57B69"/>
    <w:rsid w:val="00A57E4E"/>
    <w:rsid w:val="00A57FC2"/>
    <w:rsid w:val="00A6061C"/>
    <w:rsid w:val="00A61091"/>
    <w:rsid w:val="00A62D44"/>
    <w:rsid w:val="00A65B25"/>
    <w:rsid w:val="00A67263"/>
    <w:rsid w:val="00A70C34"/>
    <w:rsid w:val="00A7161C"/>
    <w:rsid w:val="00A735FF"/>
    <w:rsid w:val="00A750BD"/>
    <w:rsid w:val="00A75BA1"/>
    <w:rsid w:val="00A77AA3"/>
    <w:rsid w:val="00A77BA3"/>
    <w:rsid w:val="00A81766"/>
    <w:rsid w:val="00A8236D"/>
    <w:rsid w:val="00A82D66"/>
    <w:rsid w:val="00A854EB"/>
    <w:rsid w:val="00A85662"/>
    <w:rsid w:val="00A8619D"/>
    <w:rsid w:val="00A872E5"/>
    <w:rsid w:val="00A90E35"/>
    <w:rsid w:val="00A90ECF"/>
    <w:rsid w:val="00A91406"/>
    <w:rsid w:val="00A91B83"/>
    <w:rsid w:val="00A95B53"/>
    <w:rsid w:val="00A96E65"/>
    <w:rsid w:val="00A96ECE"/>
    <w:rsid w:val="00A96F90"/>
    <w:rsid w:val="00A97C72"/>
    <w:rsid w:val="00AA035A"/>
    <w:rsid w:val="00AA310B"/>
    <w:rsid w:val="00AA4868"/>
    <w:rsid w:val="00AA6054"/>
    <w:rsid w:val="00AA63D4"/>
    <w:rsid w:val="00AB06E8"/>
    <w:rsid w:val="00AB1CD3"/>
    <w:rsid w:val="00AB352F"/>
    <w:rsid w:val="00AB3895"/>
    <w:rsid w:val="00AB5F4A"/>
    <w:rsid w:val="00AB7E11"/>
    <w:rsid w:val="00AC13A5"/>
    <w:rsid w:val="00AC274B"/>
    <w:rsid w:val="00AC4764"/>
    <w:rsid w:val="00AC4D03"/>
    <w:rsid w:val="00AC5A47"/>
    <w:rsid w:val="00AC6D36"/>
    <w:rsid w:val="00AC7CB6"/>
    <w:rsid w:val="00AC7EC0"/>
    <w:rsid w:val="00AD0508"/>
    <w:rsid w:val="00AD0CBA"/>
    <w:rsid w:val="00AD1C2A"/>
    <w:rsid w:val="00AD26E2"/>
    <w:rsid w:val="00AD784C"/>
    <w:rsid w:val="00AE126A"/>
    <w:rsid w:val="00AE1BAE"/>
    <w:rsid w:val="00AE3005"/>
    <w:rsid w:val="00AE3BD5"/>
    <w:rsid w:val="00AE59A0"/>
    <w:rsid w:val="00AE7145"/>
    <w:rsid w:val="00AF0C57"/>
    <w:rsid w:val="00AF1354"/>
    <w:rsid w:val="00AF161F"/>
    <w:rsid w:val="00AF1769"/>
    <w:rsid w:val="00AF26F3"/>
    <w:rsid w:val="00AF535D"/>
    <w:rsid w:val="00AF5F04"/>
    <w:rsid w:val="00B00672"/>
    <w:rsid w:val="00B01B4D"/>
    <w:rsid w:val="00B01B59"/>
    <w:rsid w:val="00B03F29"/>
    <w:rsid w:val="00B04489"/>
    <w:rsid w:val="00B0649A"/>
    <w:rsid w:val="00B06571"/>
    <w:rsid w:val="00B068BA"/>
    <w:rsid w:val="00B06F02"/>
    <w:rsid w:val="00B06F61"/>
    <w:rsid w:val="00B07217"/>
    <w:rsid w:val="00B10D0F"/>
    <w:rsid w:val="00B12DF7"/>
    <w:rsid w:val="00B13851"/>
    <w:rsid w:val="00B13B1C"/>
    <w:rsid w:val="00B14B5F"/>
    <w:rsid w:val="00B15484"/>
    <w:rsid w:val="00B17714"/>
    <w:rsid w:val="00B2136F"/>
    <w:rsid w:val="00B21F90"/>
    <w:rsid w:val="00B22291"/>
    <w:rsid w:val="00B23F9A"/>
    <w:rsid w:val="00B2417B"/>
    <w:rsid w:val="00B24E6F"/>
    <w:rsid w:val="00B26CB5"/>
    <w:rsid w:val="00B270BF"/>
    <w:rsid w:val="00B2752E"/>
    <w:rsid w:val="00B307CC"/>
    <w:rsid w:val="00B321B9"/>
    <w:rsid w:val="00B326B7"/>
    <w:rsid w:val="00B326C7"/>
    <w:rsid w:val="00B340B0"/>
    <w:rsid w:val="00B34327"/>
    <w:rsid w:val="00B3588E"/>
    <w:rsid w:val="00B35B38"/>
    <w:rsid w:val="00B35E07"/>
    <w:rsid w:val="00B378CC"/>
    <w:rsid w:val="00B4198F"/>
    <w:rsid w:val="00B41C61"/>
    <w:rsid w:val="00B41F3D"/>
    <w:rsid w:val="00B42A77"/>
    <w:rsid w:val="00B431E8"/>
    <w:rsid w:val="00B45141"/>
    <w:rsid w:val="00B519CD"/>
    <w:rsid w:val="00B5273A"/>
    <w:rsid w:val="00B53D4D"/>
    <w:rsid w:val="00B53FC2"/>
    <w:rsid w:val="00B5468D"/>
    <w:rsid w:val="00B556C3"/>
    <w:rsid w:val="00B55913"/>
    <w:rsid w:val="00B5608E"/>
    <w:rsid w:val="00B57329"/>
    <w:rsid w:val="00B57766"/>
    <w:rsid w:val="00B6036D"/>
    <w:rsid w:val="00B60E61"/>
    <w:rsid w:val="00B62075"/>
    <w:rsid w:val="00B62AFC"/>
    <w:rsid w:val="00B62B50"/>
    <w:rsid w:val="00B635B7"/>
    <w:rsid w:val="00B63AE8"/>
    <w:rsid w:val="00B65950"/>
    <w:rsid w:val="00B65D6D"/>
    <w:rsid w:val="00B66D83"/>
    <w:rsid w:val="00B672C0"/>
    <w:rsid w:val="00B676FD"/>
    <w:rsid w:val="00B678B6"/>
    <w:rsid w:val="00B74213"/>
    <w:rsid w:val="00B74610"/>
    <w:rsid w:val="00B75646"/>
    <w:rsid w:val="00B75ADF"/>
    <w:rsid w:val="00B7629E"/>
    <w:rsid w:val="00B76782"/>
    <w:rsid w:val="00B80CB8"/>
    <w:rsid w:val="00B84342"/>
    <w:rsid w:val="00B86447"/>
    <w:rsid w:val="00B86C31"/>
    <w:rsid w:val="00B90729"/>
    <w:rsid w:val="00B907DA"/>
    <w:rsid w:val="00B90C36"/>
    <w:rsid w:val="00B923D6"/>
    <w:rsid w:val="00B950BC"/>
    <w:rsid w:val="00B950F5"/>
    <w:rsid w:val="00B95258"/>
    <w:rsid w:val="00B956DB"/>
    <w:rsid w:val="00B95C84"/>
    <w:rsid w:val="00B9714C"/>
    <w:rsid w:val="00B97805"/>
    <w:rsid w:val="00B97DDB"/>
    <w:rsid w:val="00BA29AD"/>
    <w:rsid w:val="00BA33CF"/>
    <w:rsid w:val="00BA394C"/>
    <w:rsid w:val="00BA3C20"/>
    <w:rsid w:val="00BA3F8D"/>
    <w:rsid w:val="00BA5A92"/>
    <w:rsid w:val="00BA7555"/>
    <w:rsid w:val="00BB0EA0"/>
    <w:rsid w:val="00BB2C81"/>
    <w:rsid w:val="00BB692A"/>
    <w:rsid w:val="00BB6F46"/>
    <w:rsid w:val="00BB7044"/>
    <w:rsid w:val="00BB7A10"/>
    <w:rsid w:val="00BC323E"/>
    <w:rsid w:val="00BC4955"/>
    <w:rsid w:val="00BC60BE"/>
    <w:rsid w:val="00BC644D"/>
    <w:rsid w:val="00BC65FF"/>
    <w:rsid w:val="00BC68CE"/>
    <w:rsid w:val="00BC6F46"/>
    <w:rsid w:val="00BC7468"/>
    <w:rsid w:val="00BC7D4F"/>
    <w:rsid w:val="00BC7ED7"/>
    <w:rsid w:val="00BD05D1"/>
    <w:rsid w:val="00BD0DB3"/>
    <w:rsid w:val="00BD1725"/>
    <w:rsid w:val="00BD2850"/>
    <w:rsid w:val="00BD2E68"/>
    <w:rsid w:val="00BE1D63"/>
    <w:rsid w:val="00BE226D"/>
    <w:rsid w:val="00BE28D2"/>
    <w:rsid w:val="00BE3BD5"/>
    <w:rsid w:val="00BE4A64"/>
    <w:rsid w:val="00BE5BF8"/>
    <w:rsid w:val="00BE5E43"/>
    <w:rsid w:val="00BE6807"/>
    <w:rsid w:val="00BF1872"/>
    <w:rsid w:val="00BF4C29"/>
    <w:rsid w:val="00BF557D"/>
    <w:rsid w:val="00BF55A6"/>
    <w:rsid w:val="00BF7F58"/>
    <w:rsid w:val="00C0028F"/>
    <w:rsid w:val="00C005DD"/>
    <w:rsid w:val="00C01381"/>
    <w:rsid w:val="00C01AB1"/>
    <w:rsid w:val="00C026A0"/>
    <w:rsid w:val="00C032DD"/>
    <w:rsid w:val="00C03970"/>
    <w:rsid w:val="00C03EA4"/>
    <w:rsid w:val="00C04F42"/>
    <w:rsid w:val="00C050E7"/>
    <w:rsid w:val="00C05993"/>
    <w:rsid w:val="00C06137"/>
    <w:rsid w:val="00C06929"/>
    <w:rsid w:val="00C071CB"/>
    <w:rsid w:val="00C0742D"/>
    <w:rsid w:val="00C079B8"/>
    <w:rsid w:val="00C10037"/>
    <w:rsid w:val="00C116CF"/>
    <w:rsid w:val="00C123EA"/>
    <w:rsid w:val="00C12A49"/>
    <w:rsid w:val="00C133EE"/>
    <w:rsid w:val="00C149D0"/>
    <w:rsid w:val="00C15ADC"/>
    <w:rsid w:val="00C20CA7"/>
    <w:rsid w:val="00C212E2"/>
    <w:rsid w:val="00C2133F"/>
    <w:rsid w:val="00C2179F"/>
    <w:rsid w:val="00C21E08"/>
    <w:rsid w:val="00C2243F"/>
    <w:rsid w:val="00C231A0"/>
    <w:rsid w:val="00C237EF"/>
    <w:rsid w:val="00C26588"/>
    <w:rsid w:val="00C27A1D"/>
    <w:rsid w:val="00C27B52"/>
    <w:rsid w:val="00C27DE9"/>
    <w:rsid w:val="00C32989"/>
    <w:rsid w:val="00C33388"/>
    <w:rsid w:val="00C35484"/>
    <w:rsid w:val="00C3696F"/>
    <w:rsid w:val="00C401CE"/>
    <w:rsid w:val="00C4041E"/>
    <w:rsid w:val="00C4173A"/>
    <w:rsid w:val="00C42BF1"/>
    <w:rsid w:val="00C435B1"/>
    <w:rsid w:val="00C454A7"/>
    <w:rsid w:val="00C4595B"/>
    <w:rsid w:val="00C47DAE"/>
    <w:rsid w:val="00C50DED"/>
    <w:rsid w:val="00C51045"/>
    <w:rsid w:val="00C52217"/>
    <w:rsid w:val="00C56488"/>
    <w:rsid w:val="00C56EA9"/>
    <w:rsid w:val="00C602FF"/>
    <w:rsid w:val="00C61174"/>
    <w:rsid w:val="00C6148F"/>
    <w:rsid w:val="00C621B1"/>
    <w:rsid w:val="00C622C9"/>
    <w:rsid w:val="00C62D02"/>
    <w:rsid w:val="00C62F7A"/>
    <w:rsid w:val="00C630E9"/>
    <w:rsid w:val="00C63B9C"/>
    <w:rsid w:val="00C63EBB"/>
    <w:rsid w:val="00C65B09"/>
    <w:rsid w:val="00C6682F"/>
    <w:rsid w:val="00C67BF4"/>
    <w:rsid w:val="00C70B38"/>
    <w:rsid w:val="00C7275E"/>
    <w:rsid w:val="00C72970"/>
    <w:rsid w:val="00C73A45"/>
    <w:rsid w:val="00C74C5D"/>
    <w:rsid w:val="00C76868"/>
    <w:rsid w:val="00C76ED4"/>
    <w:rsid w:val="00C76FE5"/>
    <w:rsid w:val="00C77801"/>
    <w:rsid w:val="00C85D6E"/>
    <w:rsid w:val="00C86239"/>
    <w:rsid w:val="00C863C4"/>
    <w:rsid w:val="00C86717"/>
    <w:rsid w:val="00C86CDA"/>
    <w:rsid w:val="00C920EA"/>
    <w:rsid w:val="00C93AF2"/>
    <w:rsid w:val="00C93C3E"/>
    <w:rsid w:val="00C975CA"/>
    <w:rsid w:val="00CA083E"/>
    <w:rsid w:val="00CA0CF7"/>
    <w:rsid w:val="00CA0D27"/>
    <w:rsid w:val="00CA12E3"/>
    <w:rsid w:val="00CA1476"/>
    <w:rsid w:val="00CA14B9"/>
    <w:rsid w:val="00CA2D06"/>
    <w:rsid w:val="00CA3089"/>
    <w:rsid w:val="00CA3353"/>
    <w:rsid w:val="00CA3624"/>
    <w:rsid w:val="00CA4334"/>
    <w:rsid w:val="00CA57DC"/>
    <w:rsid w:val="00CA6611"/>
    <w:rsid w:val="00CA6AE6"/>
    <w:rsid w:val="00CA782F"/>
    <w:rsid w:val="00CB187B"/>
    <w:rsid w:val="00CB2835"/>
    <w:rsid w:val="00CB3285"/>
    <w:rsid w:val="00CB4500"/>
    <w:rsid w:val="00CB4943"/>
    <w:rsid w:val="00CB50FD"/>
    <w:rsid w:val="00CB5F57"/>
    <w:rsid w:val="00CB7636"/>
    <w:rsid w:val="00CC0C72"/>
    <w:rsid w:val="00CC2294"/>
    <w:rsid w:val="00CC2BB0"/>
    <w:rsid w:val="00CC2BFD"/>
    <w:rsid w:val="00CC448B"/>
    <w:rsid w:val="00CC45A0"/>
    <w:rsid w:val="00CC5741"/>
    <w:rsid w:val="00CC7F5E"/>
    <w:rsid w:val="00CD2181"/>
    <w:rsid w:val="00CD31B0"/>
    <w:rsid w:val="00CD3476"/>
    <w:rsid w:val="00CD3CC2"/>
    <w:rsid w:val="00CD64DF"/>
    <w:rsid w:val="00CD682E"/>
    <w:rsid w:val="00CD6E9D"/>
    <w:rsid w:val="00CD76FD"/>
    <w:rsid w:val="00CE0F8C"/>
    <w:rsid w:val="00CE12AF"/>
    <w:rsid w:val="00CE225F"/>
    <w:rsid w:val="00CE4A63"/>
    <w:rsid w:val="00CE609A"/>
    <w:rsid w:val="00CE6E5D"/>
    <w:rsid w:val="00CF2F50"/>
    <w:rsid w:val="00CF4148"/>
    <w:rsid w:val="00CF5B2B"/>
    <w:rsid w:val="00CF604C"/>
    <w:rsid w:val="00CF6198"/>
    <w:rsid w:val="00D02919"/>
    <w:rsid w:val="00D03CEA"/>
    <w:rsid w:val="00D04C61"/>
    <w:rsid w:val="00D04C63"/>
    <w:rsid w:val="00D05B8D"/>
    <w:rsid w:val="00D05B9B"/>
    <w:rsid w:val="00D06310"/>
    <w:rsid w:val="00D065A2"/>
    <w:rsid w:val="00D06ACB"/>
    <w:rsid w:val="00D073C2"/>
    <w:rsid w:val="00D079AA"/>
    <w:rsid w:val="00D07F00"/>
    <w:rsid w:val="00D102A3"/>
    <w:rsid w:val="00D1130F"/>
    <w:rsid w:val="00D11544"/>
    <w:rsid w:val="00D11BFA"/>
    <w:rsid w:val="00D126CB"/>
    <w:rsid w:val="00D14D09"/>
    <w:rsid w:val="00D15A7B"/>
    <w:rsid w:val="00D1702E"/>
    <w:rsid w:val="00D17B72"/>
    <w:rsid w:val="00D207D1"/>
    <w:rsid w:val="00D21F42"/>
    <w:rsid w:val="00D26501"/>
    <w:rsid w:val="00D267D5"/>
    <w:rsid w:val="00D30EE4"/>
    <w:rsid w:val="00D3128D"/>
    <w:rsid w:val="00D3185C"/>
    <w:rsid w:val="00D3205F"/>
    <w:rsid w:val="00D3318E"/>
    <w:rsid w:val="00D33E72"/>
    <w:rsid w:val="00D3412C"/>
    <w:rsid w:val="00D34FA9"/>
    <w:rsid w:val="00D35BD6"/>
    <w:rsid w:val="00D361B5"/>
    <w:rsid w:val="00D363A6"/>
    <w:rsid w:val="00D40792"/>
    <w:rsid w:val="00D411A2"/>
    <w:rsid w:val="00D42E94"/>
    <w:rsid w:val="00D44BC1"/>
    <w:rsid w:val="00D4606D"/>
    <w:rsid w:val="00D46B3A"/>
    <w:rsid w:val="00D46E10"/>
    <w:rsid w:val="00D47E00"/>
    <w:rsid w:val="00D50B9C"/>
    <w:rsid w:val="00D52D73"/>
    <w:rsid w:val="00D52E58"/>
    <w:rsid w:val="00D55966"/>
    <w:rsid w:val="00D56B20"/>
    <w:rsid w:val="00D578B3"/>
    <w:rsid w:val="00D6118E"/>
    <w:rsid w:val="00D6169C"/>
    <w:rsid w:val="00D618F4"/>
    <w:rsid w:val="00D6288C"/>
    <w:rsid w:val="00D633A6"/>
    <w:rsid w:val="00D6369E"/>
    <w:rsid w:val="00D638A2"/>
    <w:rsid w:val="00D63C93"/>
    <w:rsid w:val="00D64F58"/>
    <w:rsid w:val="00D674DE"/>
    <w:rsid w:val="00D714CC"/>
    <w:rsid w:val="00D71ED5"/>
    <w:rsid w:val="00D73634"/>
    <w:rsid w:val="00D73652"/>
    <w:rsid w:val="00D73FD2"/>
    <w:rsid w:val="00D75EA7"/>
    <w:rsid w:val="00D777CE"/>
    <w:rsid w:val="00D77F73"/>
    <w:rsid w:val="00D81ADF"/>
    <w:rsid w:val="00D81EBF"/>
    <w:rsid w:val="00D81ED2"/>
    <w:rsid w:val="00D81F21"/>
    <w:rsid w:val="00D85129"/>
    <w:rsid w:val="00D864F2"/>
    <w:rsid w:val="00D87DB6"/>
    <w:rsid w:val="00D91261"/>
    <w:rsid w:val="00D943F8"/>
    <w:rsid w:val="00D9479F"/>
    <w:rsid w:val="00D94D81"/>
    <w:rsid w:val="00D95470"/>
    <w:rsid w:val="00D96831"/>
    <w:rsid w:val="00D96B55"/>
    <w:rsid w:val="00DA0F23"/>
    <w:rsid w:val="00DA2619"/>
    <w:rsid w:val="00DA2E57"/>
    <w:rsid w:val="00DA3549"/>
    <w:rsid w:val="00DA4239"/>
    <w:rsid w:val="00DA65DE"/>
    <w:rsid w:val="00DB0B61"/>
    <w:rsid w:val="00DB1474"/>
    <w:rsid w:val="00DB2962"/>
    <w:rsid w:val="00DB2FF6"/>
    <w:rsid w:val="00DB4A47"/>
    <w:rsid w:val="00DB52FB"/>
    <w:rsid w:val="00DB55C3"/>
    <w:rsid w:val="00DB5AC1"/>
    <w:rsid w:val="00DB7913"/>
    <w:rsid w:val="00DC013B"/>
    <w:rsid w:val="00DC0831"/>
    <w:rsid w:val="00DC090B"/>
    <w:rsid w:val="00DC0A03"/>
    <w:rsid w:val="00DC1679"/>
    <w:rsid w:val="00DC1A3A"/>
    <w:rsid w:val="00DC219B"/>
    <w:rsid w:val="00DC2CF1"/>
    <w:rsid w:val="00DC33F2"/>
    <w:rsid w:val="00DC3A7C"/>
    <w:rsid w:val="00DC4769"/>
    <w:rsid w:val="00DC4CC2"/>
    <w:rsid w:val="00DC4FCF"/>
    <w:rsid w:val="00DC50E0"/>
    <w:rsid w:val="00DC6386"/>
    <w:rsid w:val="00DD1130"/>
    <w:rsid w:val="00DD144D"/>
    <w:rsid w:val="00DD1951"/>
    <w:rsid w:val="00DD1CD4"/>
    <w:rsid w:val="00DD3858"/>
    <w:rsid w:val="00DD4082"/>
    <w:rsid w:val="00DD487D"/>
    <w:rsid w:val="00DD4E83"/>
    <w:rsid w:val="00DD6628"/>
    <w:rsid w:val="00DD6945"/>
    <w:rsid w:val="00DD7B1B"/>
    <w:rsid w:val="00DE2D04"/>
    <w:rsid w:val="00DE3250"/>
    <w:rsid w:val="00DE6028"/>
    <w:rsid w:val="00DE623B"/>
    <w:rsid w:val="00DE6C85"/>
    <w:rsid w:val="00DE78A3"/>
    <w:rsid w:val="00DF1A71"/>
    <w:rsid w:val="00DF39BE"/>
    <w:rsid w:val="00DF50FC"/>
    <w:rsid w:val="00DF5AEB"/>
    <w:rsid w:val="00DF68C7"/>
    <w:rsid w:val="00DF731A"/>
    <w:rsid w:val="00E0014A"/>
    <w:rsid w:val="00E0047A"/>
    <w:rsid w:val="00E00632"/>
    <w:rsid w:val="00E00DBD"/>
    <w:rsid w:val="00E02121"/>
    <w:rsid w:val="00E028F1"/>
    <w:rsid w:val="00E043C4"/>
    <w:rsid w:val="00E04D74"/>
    <w:rsid w:val="00E06B75"/>
    <w:rsid w:val="00E10513"/>
    <w:rsid w:val="00E11332"/>
    <w:rsid w:val="00E11352"/>
    <w:rsid w:val="00E13A3D"/>
    <w:rsid w:val="00E15C1C"/>
    <w:rsid w:val="00E170DC"/>
    <w:rsid w:val="00E17546"/>
    <w:rsid w:val="00E1791A"/>
    <w:rsid w:val="00E210B5"/>
    <w:rsid w:val="00E2192B"/>
    <w:rsid w:val="00E22FE4"/>
    <w:rsid w:val="00E23992"/>
    <w:rsid w:val="00E261B3"/>
    <w:rsid w:val="00E26818"/>
    <w:rsid w:val="00E27FFC"/>
    <w:rsid w:val="00E305C7"/>
    <w:rsid w:val="00E30B15"/>
    <w:rsid w:val="00E31381"/>
    <w:rsid w:val="00E31FF5"/>
    <w:rsid w:val="00E32052"/>
    <w:rsid w:val="00E33237"/>
    <w:rsid w:val="00E34ED7"/>
    <w:rsid w:val="00E35A5A"/>
    <w:rsid w:val="00E377AD"/>
    <w:rsid w:val="00E37FC8"/>
    <w:rsid w:val="00E40181"/>
    <w:rsid w:val="00E401D9"/>
    <w:rsid w:val="00E40ADA"/>
    <w:rsid w:val="00E43D81"/>
    <w:rsid w:val="00E47993"/>
    <w:rsid w:val="00E5098E"/>
    <w:rsid w:val="00E51331"/>
    <w:rsid w:val="00E51B8B"/>
    <w:rsid w:val="00E54950"/>
    <w:rsid w:val="00E55FB3"/>
    <w:rsid w:val="00E56737"/>
    <w:rsid w:val="00E56A01"/>
    <w:rsid w:val="00E56BA8"/>
    <w:rsid w:val="00E5771D"/>
    <w:rsid w:val="00E602A2"/>
    <w:rsid w:val="00E629A1"/>
    <w:rsid w:val="00E62B39"/>
    <w:rsid w:val="00E6565E"/>
    <w:rsid w:val="00E6794C"/>
    <w:rsid w:val="00E70117"/>
    <w:rsid w:val="00E71350"/>
    <w:rsid w:val="00E71591"/>
    <w:rsid w:val="00E715A1"/>
    <w:rsid w:val="00E71CEB"/>
    <w:rsid w:val="00E7474F"/>
    <w:rsid w:val="00E75113"/>
    <w:rsid w:val="00E758E0"/>
    <w:rsid w:val="00E75CB9"/>
    <w:rsid w:val="00E8022C"/>
    <w:rsid w:val="00E80DE3"/>
    <w:rsid w:val="00E82C55"/>
    <w:rsid w:val="00E87500"/>
    <w:rsid w:val="00E8787E"/>
    <w:rsid w:val="00E87AB2"/>
    <w:rsid w:val="00E92AC3"/>
    <w:rsid w:val="00E935EE"/>
    <w:rsid w:val="00E936EB"/>
    <w:rsid w:val="00E93B6F"/>
    <w:rsid w:val="00E95AD7"/>
    <w:rsid w:val="00E95E2F"/>
    <w:rsid w:val="00E967DA"/>
    <w:rsid w:val="00EA11C2"/>
    <w:rsid w:val="00EA2CFD"/>
    <w:rsid w:val="00EA2F6A"/>
    <w:rsid w:val="00EA4793"/>
    <w:rsid w:val="00EA48C2"/>
    <w:rsid w:val="00EA5030"/>
    <w:rsid w:val="00EA5451"/>
    <w:rsid w:val="00EB00E0"/>
    <w:rsid w:val="00EB05D5"/>
    <w:rsid w:val="00EB0619"/>
    <w:rsid w:val="00EB1931"/>
    <w:rsid w:val="00EB66C4"/>
    <w:rsid w:val="00EC059F"/>
    <w:rsid w:val="00EC1184"/>
    <w:rsid w:val="00EC1F24"/>
    <w:rsid w:val="00EC20FF"/>
    <w:rsid w:val="00EC22F6"/>
    <w:rsid w:val="00EC4E5C"/>
    <w:rsid w:val="00EC5A7F"/>
    <w:rsid w:val="00ED044F"/>
    <w:rsid w:val="00ED1B0F"/>
    <w:rsid w:val="00ED2837"/>
    <w:rsid w:val="00ED3A36"/>
    <w:rsid w:val="00ED5B9B"/>
    <w:rsid w:val="00ED6BAD"/>
    <w:rsid w:val="00ED7447"/>
    <w:rsid w:val="00EE00D6"/>
    <w:rsid w:val="00EE11E7"/>
    <w:rsid w:val="00EE1488"/>
    <w:rsid w:val="00EE1730"/>
    <w:rsid w:val="00EE2660"/>
    <w:rsid w:val="00EE29AD"/>
    <w:rsid w:val="00EE3619"/>
    <w:rsid w:val="00EE37E6"/>
    <w:rsid w:val="00EE3E24"/>
    <w:rsid w:val="00EE40EE"/>
    <w:rsid w:val="00EE4D5D"/>
    <w:rsid w:val="00EE5131"/>
    <w:rsid w:val="00EE685F"/>
    <w:rsid w:val="00EF062D"/>
    <w:rsid w:val="00EF109B"/>
    <w:rsid w:val="00EF18F5"/>
    <w:rsid w:val="00EF201C"/>
    <w:rsid w:val="00EF2216"/>
    <w:rsid w:val="00EF2C72"/>
    <w:rsid w:val="00EF36AF"/>
    <w:rsid w:val="00EF3779"/>
    <w:rsid w:val="00EF53E9"/>
    <w:rsid w:val="00EF59A3"/>
    <w:rsid w:val="00EF6675"/>
    <w:rsid w:val="00EF6BB3"/>
    <w:rsid w:val="00F0063D"/>
    <w:rsid w:val="00F00671"/>
    <w:rsid w:val="00F00F9C"/>
    <w:rsid w:val="00F01C84"/>
    <w:rsid w:val="00F01E5F"/>
    <w:rsid w:val="00F01E6C"/>
    <w:rsid w:val="00F024F3"/>
    <w:rsid w:val="00F02ABA"/>
    <w:rsid w:val="00F03F05"/>
    <w:rsid w:val="00F0437A"/>
    <w:rsid w:val="00F06FD3"/>
    <w:rsid w:val="00F077BA"/>
    <w:rsid w:val="00F101B8"/>
    <w:rsid w:val="00F10C7D"/>
    <w:rsid w:val="00F11037"/>
    <w:rsid w:val="00F1576D"/>
    <w:rsid w:val="00F16F1B"/>
    <w:rsid w:val="00F2054B"/>
    <w:rsid w:val="00F20B0B"/>
    <w:rsid w:val="00F20EAD"/>
    <w:rsid w:val="00F219DC"/>
    <w:rsid w:val="00F2248D"/>
    <w:rsid w:val="00F22AC3"/>
    <w:rsid w:val="00F23487"/>
    <w:rsid w:val="00F2359D"/>
    <w:rsid w:val="00F250A9"/>
    <w:rsid w:val="00F267AF"/>
    <w:rsid w:val="00F30571"/>
    <w:rsid w:val="00F30FF4"/>
    <w:rsid w:val="00F3122E"/>
    <w:rsid w:val="00F32368"/>
    <w:rsid w:val="00F331AD"/>
    <w:rsid w:val="00F3347F"/>
    <w:rsid w:val="00F35287"/>
    <w:rsid w:val="00F362E8"/>
    <w:rsid w:val="00F36803"/>
    <w:rsid w:val="00F37204"/>
    <w:rsid w:val="00F40A70"/>
    <w:rsid w:val="00F414DD"/>
    <w:rsid w:val="00F41C54"/>
    <w:rsid w:val="00F43833"/>
    <w:rsid w:val="00F43A37"/>
    <w:rsid w:val="00F43ACB"/>
    <w:rsid w:val="00F43CBE"/>
    <w:rsid w:val="00F44A65"/>
    <w:rsid w:val="00F45ED2"/>
    <w:rsid w:val="00F4641B"/>
    <w:rsid w:val="00F46EB8"/>
    <w:rsid w:val="00F476B8"/>
    <w:rsid w:val="00F502A1"/>
    <w:rsid w:val="00F50602"/>
    <w:rsid w:val="00F50CD1"/>
    <w:rsid w:val="00F50FD3"/>
    <w:rsid w:val="00F511E4"/>
    <w:rsid w:val="00F52BF3"/>
    <w:rsid w:val="00F52D09"/>
    <w:rsid w:val="00F52E08"/>
    <w:rsid w:val="00F53A66"/>
    <w:rsid w:val="00F5462D"/>
    <w:rsid w:val="00F55B21"/>
    <w:rsid w:val="00F56EF6"/>
    <w:rsid w:val="00F57D02"/>
    <w:rsid w:val="00F60082"/>
    <w:rsid w:val="00F612E0"/>
    <w:rsid w:val="00F61A9F"/>
    <w:rsid w:val="00F61B5F"/>
    <w:rsid w:val="00F633FE"/>
    <w:rsid w:val="00F635AD"/>
    <w:rsid w:val="00F63C5D"/>
    <w:rsid w:val="00F64696"/>
    <w:rsid w:val="00F64B9F"/>
    <w:rsid w:val="00F65136"/>
    <w:rsid w:val="00F65AA9"/>
    <w:rsid w:val="00F6768F"/>
    <w:rsid w:val="00F72C2C"/>
    <w:rsid w:val="00F72C6E"/>
    <w:rsid w:val="00F72E27"/>
    <w:rsid w:val="00F74192"/>
    <w:rsid w:val="00F741F2"/>
    <w:rsid w:val="00F76CAB"/>
    <w:rsid w:val="00F772C6"/>
    <w:rsid w:val="00F815B5"/>
    <w:rsid w:val="00F85195"/>
    <w:rsid w:val="00F85308"/>
    <w:rsid w:val="00F8600F"/>
    <w:rsid w:val="00F868E3"/>
    <w:rsid w:val="00F87D05"/>
    <w:rsid w:val="00F91B57"/>
    <w:rsid w:val="00F921F8"/>
    <w:rsid w:val="00F938BA"/>
    <w:rsid w:val="00F961EF"/>
    <w:rsid w:val="00F97919"/>
    <w:rsid w:val="00FA2C46"/>
    <w:rsid w:val="00FA33E9"/>
    <w:rsid w:val="00FA3525"/>
    <w:rsid w:val="00FA396C"/>
    <w:rsid w:val="00FA4380"/>
    <w:rsid w:val="00FA4A7B"/>
    <w:rsid w:val="00FA5A53"/>
    <w:rsid w:val="00FA61F1"/>
    <w:rsid w:val="00FA6D25"/>
    <w:rsid w:val="00FB2F2C"/>
    <w:rsid w:val="00FB3067"/>
    <w:rsid w:val="00FB30C4"/>
    <w:rsid w:val="00FB3501"/>
    <w:rsid w:val="00FB3A10"/>
    <w:rsid w:val="00FB4769"/>
    <w:rsid w:val="00FB4CDA"/>
    <w:rsid w:val="00FB6481"/>
    <w:rsid w:val="00FB6D36"/>
    <w:rsid w:val="00FB7124"/>
    <w:rsid w:val="00FB73B7"/>
    <w:rsid w:val="00FB7F51"/>
    <w:rsid w:val="00FC0119"/>
    <w:rsid w:val="00FC0965"/>
    <w:rsid w:val="00FC0F81"/>
    <w:rsid w:val="00FC13A4"/>
    <w:rsid w:val="00FC1C3C"/>
    <w:rsid w:val="00FC252F"/>
    <w:rsid w:val="00FC2734"/>
    <w:rsid w:val="00FC395C"/>
    <w:rsid w:val="00FC3F08"/>
    <w:rsid w:val="00FC41E2"/>
    <w:rsid w:val="00FC5E8E"/>
    <w:rsid w:val="00FC67EA"/>
    <w:rsid w:val="00FD1C76"/>
    <w:rsid w:val="00FD2A22"/>
    <w:rsid w:val="00FD2B26"/>
    <w:rsid w:val="00FD3766"/>
    <w:rsid w:val="00FD3827"/>
    <w:rsid w:val="00FD3D5A"/>
    <w:rsid w:val="00FD47C4"/>
    <w:rsid w:val="00FD4ADD"/>
    <w:rsid w:val="00FD651B"/>
    <w:rsid w:val="00FE2DCF"/>
    <w:rsid w:val="00FE3F3D"/>
    <w:rsid w:val="00FE3FA7"/>
    <w:rsid w:val="00FE5BB9"/>
    <w:rsid w:val="00FE6C7B"/>
    <w:rsid w:val="00FF00B6"/>
    <w:rsid w:val="00FF2A4E"/>
    <w:rsid w:val="00FF2FCE"/>
    <w:rsid w:val="00FF43D5"/>
    <w:rsid w:val="00FF4F7D"/>
    <w:rsid w:val="00FF52BA"/>
    <w:rsid w:val="00FF6D9D"/>
    <w:rsid w:val="00FF7B3A"/>
    <w:rsid w:val="00FF7DD5"/>
    <w:rsid w:val="01055EBF"/>
    <w:rsid w:val="0F76083B"/>
    <w:rsid w:val="184AD9F7"/>
    <w:rsid w:val="19A1CCEF"/>
    <w:rsid w:val="1B3620B7"/>
    <w:rsid w:val="1EBE53D5"/>
    <w:rsid w:val="1F285604"/>
    <w:rsid w:val="20ED33A9"/>
    <w:rsid w:val="22836649"/>
    <w:rsid w:val="31CD89B2"/>
    <w:rsid w:val="36E40C7E"/>
    <w:rsid w:val="3CDF1CFD"/>
    <w:rsid w:val="3D67F9DC"/>
    <w:rsid w:val="4786859C"/>
    <w:rsid w:val="4E7F98A3"/>
    <w:rsid w:val="51DE65F2"/>
    <w:rsid w:val="6EC98E0D"/>
    <w:rsid w:val="70091213"/>
    <w:rsid w:val="732EBBE2"/>
    <w:rsid w:val="76C4A057"/>
    <w:rsid w:val="779256AE"/>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B354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34"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FD2A22"/>
    <w:pPr>
      <w:spacing w:after="120" w:line="280" w:lineRule="atLeast"/>
    </w:pPr>
    <w:rPr>
      <w:rFonts w:ascii="Arial" w:hAnsi="Arial"/>
      <w:sz w:val="21"/>
      <w:lang w:eastAsia="en-US"/>
    </w:rPr>
  </w:style>
  <w:style w:type="paragraph" w:styleId="Heading1">
    <w:name w:val="heading 1"/>
    <w:next w:val="Body"/>
    <w:link w:val="Heading1Char"/>
    <w:uiPriority w:val="1"/>
    <w:qFormat/>
    <w:rsid w:val="007231E7"/>
    <w:pPr>
      <w:keepNext/>
      <w:keepLines/>
      <w:spacing w:before="360" w:after="240" w:line="480" w:lineRule="atLeast"/>
      <w:outlineLvl w:val="0"/>
    </w:pPr>
    <w:rPr>
      <w:rFonts w:ascii="Arial" w:eastAsia="MS Gothic" w:hAnsi="Arial" w:cs="Arial"/>
      <w:bCs/>
      <w:color w:val="C5511A"/>
      <w:kern w:val="32"/>
      <w:sz w:val="40"/>
      <w:szCs w:val="40"/>
      <w:lang w:eastAsia="en-US"/>
    </w:rPr>
  </w:style>
  <w:style w:type="paragraph" w:styleId="Heading2">
    <w:name w:val="heading 2"/>
    <w:next w:val="Body"/>
    <w:link w:val="Heading2Char"/>
    <w:uiPriority w:val="1"/>
    <w:qFormat/>
    <w:rsid w:val="0037447A"/>
    <w:pPr>
      <w:keepNext/>
      <w:keepLines/>
      <w:spacing w:before="360" w:after="120" w:line="340" w:lineRule="atLeast"/>
      <w:outlineLvl w:val="1"/>
    </w:pPr>
    <w:rPr>
      <w:rFonts w:ascii="Arial" w:hAnsi="Arial"/>
      <w:b/>
      <w:color w:val="53565A"/>
      <w:sz w:val="32"/>
      <w:szCs w:val="28"/>
      <w:lang w:eastAsia="en-US"/>
    </w:rPr>
  </w:style>
  <w:style w:type="paragraph" w:styleId="Heading3">
    <w:name w:val="heading 3"/>
    <w:next w:val="Body"/>
    <w:link w:val="Heading3Char"/>
    <w:uiPriority w:val="1"/>
    <w:qFormat/>
    <w:rsid w:val="0037447A"/>
    <w:pPr>
      <w:keepNext/>
      <w:keepLines/>
      <w:spacing w:before="360" w:after="120" w:line="320" w:lineRule="atLeast"/>
      <w:outlineLvl w:val="2"/>
    </w:pPr>
    <w:rPr>
      <w:rFonts w:ascii="Arial" w:eastAsia="MS Gothic" w:hAnsi="Arial"/>
      <w:bCs/>
      <w:color w:val="53565A"/>
      <w:sz w:val="30"/>
      <w:szCs w:val="26"/>
      <w:lang w:eastAsia="en-US"/>
    </w:rPr>
  </w:style>
  <w:style w:type="paragraph" w:styleId="Heading4">
    <w:name w:val="heading 4"/>
    <w:next w:val="Body"/>
    <w:link w:val="Heading4Char"/>
    <w:uiPriority w:val="1"/>
    <w:qFormat/>
    <w:rsid w:val="0037447A"/>
    <w:pPr>
      <w:keepNext/>
      <w:keepLines/>
      <w:spacing w:before="240" w:after="8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8"/>
    <w:qFormat/>
    <w:rsid w:val="00CA3353"/>
    <w:pPr>
      <w:keepNext/>
      <w:keepLines/>
      <w:spacing w:before="240" w:after="0"/>
      <w:outlineLvl w:val="4"/>
    </w:pPr>
    <w:rPr>
      <w:rFonts w:eastAsia="MS Mincho"/>
      <w:b/>
      <w:bCs/>
      <w:iCs/>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7231E7"/>
    <w:rPr>
      <w:rFonts w:ascii="Arial" w:eastAsia="MS Gothic" w:hAnsi="Arial" w:cs="Arial"/>
      <w:bCs/>
      <w:color w:val="C5511A"/>
      <w:kern w:val="32"/>
      <w:sz w:val="40"/>
      <w:szCs w:val="40"/>
      <w:lang w:eastAsia="en-US"/>
    </w:rPr>
  </w:style>
  <w:style w:type="character" w:customStyle="1" w:styleId="Heading2Char">
    <w:name w:val="Heading 2 Char"/>
    <w:link w:val="Heading2"/>
    <w:uiPriority w:val="1"/>
    <w:rsid w:val="0037447A"/>
    <w:rPr>
      <w:rFonts w:ascii="Arial" w:hAnsi="Arial"/>
      <w:b/>
      <w:color w:val="53565A"/>
      <w:sz w:val="32"/>
      <w:szCs w:val="28"/>
      <w:lang w:eastAsia="en-US"/>
    </w:rPr>
  </w:style>
  <w:style w:type="character" w:customStyle="1" w:styleId="Heading3Char">
    <w:name w:val="Heading 3 Char"/>
    <w:link w:val="Heading3"/>
    <w:uiPriority w:val="1"/>
    <w:rsid w:val="0037447A"/>
    <w:rPr>
      <w:rFonts w:ascii="Arial" w:eastAsia="MS Gothic" w:hAnsi="Arial"/>
      <w:bCs/>
      <w:color w:val="53565A"/>
      <w:sz w:val="30"/>
      <w:szCs w:val="26"/>
      <w:lang w:eastAsia="en-US"/>
    </w:rPr>
  </w:style>
  <w:style w:type="character" w:customStyle="1" w:styleId="Heading4Char">
    <w:name w:val="Heading 4 Char"/>
    <w:link w:val="Heading4"/>
    <w:uiPriority w:val="1"/>
    <w:rsid w:val="0037447A"/>
    <w:rPr>
      <w:rFonts w:ascii="Arial" w:eastAsia="MS Mincho" w:hAnsi="Arial"/>
      <w:b/>
      <w:bCs/>
      <w:color w:val="53565A"/>
      <w:sz w:val="24"/>
      <w:szCs w:val="22"/>
      <w:lang w:eastAsia="en-US"/>
    </w:rPr>
  </w:style>
  <w:style w:type="paragraph" w:styleId="Header">
    <w:name w:val="header"/>
    <w:link w:val="HeaderChar"/>
    <w:uiPriority w:val="10"/>
    <w:rsid w:val="00CA3353"/>
    <w:pPr>
      <w:spacing w:after="300"/>
    </w:pPr>
    <w:rPr>
      <w:rFonts w:ascii="Arial" w:hAnsi="Arial" w:cs="Arial"/>
      <w:b/>
      <w:color w:val="53565A"/>
      <w:sz w:val="18"/>
      <w:szCs w:val="18"/>
      <w:lang w:eastAsia="en-US"/>
    </w:rPr>
  </w:style>
  <w:style w:type="paragraph" w:styleId="Footer">
    <w:name w:val="footer"/>
    <w:link w:val="FooterChar"/>
    <w:uiPriority w:val="99"/>
    <w:rsid w:val="00005CE5"/>
    <w:pPr>
      <w:spacing w:before="300"/>
      <w:jc w:val="right"/>
    </w:pPr>
    <w:rPr>
      <w:rFonts w:ascii="Arial" w:hAnsi="Arial" w:cs="Arial"/>
      <w:szCs w:val="18"/>
      <w:lang w:eastAsia="en-US"/>
    </w:rPr>
  </w:style>
  <w:style w:type="character" w:styleId="FollowedHyperlink">
    <w:name w:val="FollowedHyperlink"/>
    <w:uiPriority w:val="99"/>
    <w:rsid w:val="009E7A69"/>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FD2A22"/>
    <w:pPr>
      <w:numPr>
        <w:numId w:val="10"/>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B04489"/>
    <w:pPr>
      <w:keepNext/>
      <w:keepLines/>
      <w:tabs>
        <w:tab w:val="right" w:leader="dot" w:pos="10206"/>
      </w:tabs>
      <w:spacing w:before="160" w:after="60"/>
    </w:pPr>
    <w:rPr>
      <w:b/>
      <w:noProof/>
    </w:rPr>
  </w:style>
  <w:style w:type="character" w:customStyle="1" w:styleId="Heading5Char">
    <w:name w:val="Heading 5 Char"/>
    <w:link w:val="Heading5"/>
    <w:uiPriority w:val="98"/>
    <w:rsid w:val="00CA3353"/>
    <w:rPr>
      <w:rFonts w:ascii="Arial" w:eastAsia="MS Mincho" w:hAnsi="Arial"/>
      <w:b/>
      <w:bCs/>
      <w:iCs/>
      <w:color w:val="000000" w:themeColor="text1"/>
      <w:sz w:val="21"/>
      <w:szCs w:val="26"/>
      <w:lang w:eastAsia="en-US"/>
    </w:rPr>
  </w:style>
  <w:style w:type="character" w:styleId="Strong">
    <w:name w:val="Strong"/>
    <w:uiPriority w:val="22"/>
    <w:qFormat/>
    <w:rsid w:val="00FA3525"/>
    <w:rPr>
      <w:b/>
      <w:bCs/>
    </w:rPr>
  </w:style>
  <w:style w:type="paragraph" w:customStyle="1" w:styleId="TOCheadingfactsheet">
    <w:name w:val="TOC heading fact sheet"/>
    <w:basedOn w:val="Heading2"/>
    <w:next w:val="Body"/>
    <w:link w:val="TOCheadingfactsheetChar"/>
    <w:uiPriority w:val="4"/>
    <w:rsid w:val="009C1CB1"/>
    <w:pPr>
      <w:spacing w:after="200" w:line="330" w:lineRule="atLeast"/>
      <w:outlineLvl w:val="9"/>
    </w:pPr>
    <w:rPr>
      <w:sz w:val="29"/>
    </w:rPr>
  </w:style>
  <w:style w:type="character" w:customStyle="1" w:styleId="TOCheadingfactsheetChar">
    <w:name w:val="TOC heading fact sheet Char"/>
    <w:link w:val="TOCheadingfactsheet"/>
    <w:uiPriority w:val="4"/>
    <w:rsid w:val="009C1CB1"/>
    <w:rPr>
      <w:rFonts w:ascii="Arial" w:hAnsi="Arial"/>
      <w:b/>
      <w:color w:val="201547"/>
      <w:sz w:val="29"/>
      <w:szCs w:val="28"/>
      <w:lang w:eastAsia="en-US"/>
    </w:rPr>
  </w:style>
  <w:style w:type="paragraph" w:styleId="TOC2">
    <w:name w:val="toc 2"/>
    <w:basedOn w:val="Normal"/>
    <w:next w:val="Normal"/>
    <w:uiPriority w:val="39"/>
    <w:rsid w:val="00B04489"/>
    <w:pPr>
      <w:keepLines/>
      <w:tabs>
        <w:tab w:val="right" w:leader="dot" w:pos="10206"/>
      </w:tabs>
      <w:spacing w:after="60"/>
    </w:pPr>
    <w:rPr>
      <w:noProof/>
    </w:rPr>
  </w:style>
  <w:style w:type="paragraph" w:styleId="TOC3">
    <w:name w:val="toc 3"/>
    <w:basedOn w:val="Normal"/>
    <w:next w:val="Normal"/>
    <w:uiPriority w:val="39"/>
    <w:rsid w:val="00B04489"/>
    <w:pPr>
      <w:keepLines/>
      <w:tabs>
        <w:tab w:val="right" w:leader="dot" w:pos="10206"/>
      </w:tabs>
      <w:spacing w:after="60"/>
      <w:ind w:left="284"/>
    </w:pPr>
    <w:rPr>
      <w:rFonts w:cs="Arial"/>
    </w:rPr>
  </w:style>
  <w:style w:type="paragraph" w:styleId="TOC4">
    <w:name w:val="toc 4"/>
    <w:basedOn w:val="TOC3"/>
    <w:uiPriority w:val="39"/>
    <w:rsid w:val="00B04489"/>
    <w:pPr>
      <w:ind w:left="567"/>
    </w:pPr>
  </w:style>
  <w:style w:type="paragraph" w:styleId="TOC5">
    <w:name w:val="toc 5"/>
    <w:basedOn w:val="TOC4"/>
    <w:rsid w:val="00B04489"/>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B04489"/>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7231E7"/>
    <w:pPr>
      <w:spacing w:after="80" w:line="460" w:lineRule="atLeast"/>
    </w:pPr>
    <w:rPr>
      <w:rFonts w:ascii="Arial" w:hAnsi="Arial"/>
      <w:b/>
      <w:color w:val="C5511A"/>
      <w:sz w:val="44"/>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B04489"/>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FD2A22"/>
    <w:pPr>
      <w:numPr>
        <w:ilvl w:val="1"/>
        <w:numId w:val="10"/>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FD2A22"/>
    <w:pPr>
      <w:numPr>
        <w:ilvl w:val="1"/>
        <w:numId w:val="7"/>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FD2A22"/>
    <w:pPr>
      <w:numPr>
        <w:numId w:val="7"/>
      </w:numPr>
    </w:pPr>
  </w:style>
  <w:style w:type="numbering" w:customStyle="1" w:styleId="ZZTablebullets">
    <w:name w:val="ZZ Table bullets"/>
    <w:basedOn w:val="NoList"/>
    <w:rsid w:val="00FD2A22"/>
    <w:pPr>
      <w:numPr>
        <w:numId w:val="7"/>
      </w:numPr>
    </w:pPr>
  </w:style>
  <w:style w:type="paragraph" w:customStyle="1" w:styleId="Tablecolhead">
    <w:name w:val="Table col head"/>
    <w:uiPriority w:val="3"/>
    <w:qFormat/>
    <w:rsid w:val="0037447A"/>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FD2A22"/>
    <w:pPr>
      <w:ind w:left="794" w:hanging="397"/>
    </w:pPr>
  </w:style>
  <w:style w:type="character" w:styleId="Hyperlink">
    <w:name w:val="Hyperlink"/>
    <w:uiPriority w:val="99"/>
    <w:rsid w:val="009E7A69"/>
    <w:rPr>
      <w:color w:val="004C97"/>
      <w:u w:val="dotted"/>
    </w:rPr>
  </w:style>
  <w:style w:type="paragraph" w:customStyle="1" w:styleId="Documentsubtitle">
    <w:name w:val="Document subtitle"/>
    <w:uiPriority w:val="8"/>
    <w:rsid w:val="0037447A"/>
    <w:pPr>
      <w:spacing w:after="10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FD2A22"/>
    <w:pPr>
      <w:numPr>
        <w:numId w:val="32"/>
      </w:numPr>
    </w:pPr>
  </w:style>
  <w:style w:type="numbering" w:customStyle="1" w:styleId="ZZNumbersdigit">
    <w:name w:val="ZZ Numbers digit"/>
    <w:rsid w:val="00FD2A22"/>
    <w:pPr>
      <w:numPr>
        <w:numId w:val="1"/>
      </w:numPr>
    </w:pPr>
  </w:style>
  <w:style w:type="numbering" w:customStyle="1" w:styleId="ZZQuotebullets">
    <w:name w:val="ZZ Quote bullets"/>
    <w:basedOn w:val="ZZNumbersdigit"/>
    <w:rsid w:val="00FD2A22"/>
    <w:pPr>
      <w:numPr>
        <w:numId w:val="8"/>
      </w:numPr>
    </w:pPr>
  </w:style>
  <w:style w:type="paragraph" w:customStyle="1" w:styleId="Numberdigit">
    <w:name w:val="Number digit"/>
    <w:basedOn w:val="Body"/>
    <w:uiPriority w:val="2"/>
    <w:rsid w:val="00FD2A22"/>
    <w:pPr>
      <w:ind w:left="284" w:hanging="284"/>
    </w:pPr>
  </w:style>
  <w:style w:type="paragraph" w:customStyle="1" w:styleId="Numberloweralphaindent">
    <w:name w:val="Number lower alpha indent"/>
    <w:basedOn w:val="Body"/>
    <w:uiPriority w:val="3"/>
    <w:rsid w:val="00FD2A22"/>
    <w:pPr>
      <w:tabs>
        <w:tab w:val="num" w:pos="794"/>
      </w:tabs>
      <w:ind w:left="567" w:hanging="283"/>
    </w:pPr>
  </w:style>
  <w:style w:type="paragraph" w:customStyle="1" w:styleId="Numberdigitindent">
    <w:name w:val="Number digit indent"/>
    <w:basedOn w:val="Numberloweralphaindent"/>
    <w:uiPriority w:val="3"/>
    <w:rsid w:val="00FD2A22"/>
    <w:pPr>
      <w:tabs>
        <w:tab w:val="clear" w:pos="794"/>
      </w:tabs>
      <w:ind w:left="284" w:hanging="284"/>
    </w:pPr>
  </w:style>
  <w:style w:type="paragraph" w:customStyle="1" w:styleId="Numberloweralpha">
    <w:name w:val="Number lower alpha"/>
    <w:basedOn w:val="Body"/>
    <w:uiPriority w:val="3"/>
    <w:rsid w:val="00FD2A22"/>
    <w:pPr>
      <w:tabs>
        <w:tab w:val="num" w:pos="397"/>
      </w:tabs>
      <w:ind w:left="284" w:hanging="284"/>
    </w:pPr>
  </w:style>
  <w:style w:type="paragraph" w:customStyle="1" w:styleId="Numberlowerroman">
    <w:name w:val="Number lower roman"/>
    <w:basedOn w:val="Body"/>
    <w:uiPriority w:val="3"/>
    <w:rsid w:val="00FD2A22"/>
    <w:pPr>
      <w:numPr>
        <w:numId w:val="9"/>
      </w:numPr>
    </w:pPr>
  </w:style>
  <w:style w:type="paragraph" w:customStyle="1" w:styleId="Numberlowerromanindent">
    <w:name w:val="Number lower roman indent"/>
    <w:basedOn w:val="Body"/>
    <w:uiPriority w:val="3"/>
    <w:rsid w:val="00FD2A22"/>
    <w:pPr>
      <w:numPr>
        <w:ilvl w:val="1"/>
        <w:numId w:val="9"/>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FD2A22"/>
    <w:pPr>
      <w:ind w:left="567" w:hanging="283"/>
    </w:pPr>
  </w:style>
  <w:style w:type="numbering" w:customStyle="1" w:styleId="ZZNumberslowerroman">
    <w:name w:val="ZZ Numbers lower roman"/>
    <w:basedOn w:val="ZZQuotebullets"/>
    <w:rsid w:val="00FD2A22"/>
    <w:pPr>
      <w:numPr>
        <w:numId w:val="9"/>
      </w:numPr>
    </w:pPr>
  </w:style>
  <w:style w:type="numbering" w:customStyle="1" w:styleId="ZZNumbersloweralpha">
    <w:name w:val="ZZ Numbers lower alpha"/>
    <w:basedOn w:val="NoList"/>
    <w:rsid w:val="00FD2A22"/>
    <w:pPr>
      <w:numPr>
        <w:numId w:val="6"/>
      </w:numPr>
    </w:pPr>
  </w:style>
  <w:style w:type="paragraph" w:customStyle="1" w:styleId="Quotebullet1">
    <w:name w:val="Quote bullet 1"/>
    <w:basedOn w:val="Quotetext"/>
    <w:rsid w:val="00FD2A22"/>
    <w:pPr>
      <w:numPr>
        <w:numId w:val="8"/>
      </w:numPr>
    </w:pPr>
  </w:style>
  <w:style w:type="paragraph" w:customStyle="1" w:styleId="Quotebullet2">
    <w:name w:val="Quote bullet 2"/>
    <w:basedOn w:val="Quotetext"/>
    <w:rsid w:val="00FD2A22"/>
    <w:pPr>
      <w:numPr>
        <w:ilvl w:val="1"/>
        <w:numId w:val="8"/>
      </w:numPr>
    </w:pPr>
  </w:style>
  <w:style w:type="paragraph" w:styleId="CommentText">
    <w:name w:val="annotation text"/>
    <w:basedOn w:val="Normal"/>
    <w:link w:val="CommentTextChar"/>
    <w:uiPriority w:val="99"/>
    <w:unhideWhenUsed/>
    <w:rsid w:val="00982454"/>
  </w:style>
  <w:style w:type="character" w:customStyle="1" w:styleId="CommentTextChar">
    <w:name w:val="Comment Text Char"/>
    <w:basedOn w:val="DefaultParagraphFont"/>
    <w:link w:val="CommentText"/>
    <w:uiPriority w:val="99"/>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430393"/>
    <w:pPr>
      <w:spacing w:after="0"/>
    </w:pPr>
    <w:rPr>
      <w:b/>
      <w:bCs/>
      <w:color w:val="000000" w:themeColor="text1"/>
    </w:rPr>
  </w:style>
  <w:style w:type="character" w:styleId="UnresolvedMention">
    <w:name w:val="Unresolved Mention"/>
    <w:basedOn w:val="DefaultParagraphFont"/>
    <w:uiPriority w:val="99"/>
    <w:semiHidden/>
    <w:unhideWhenUsed/>
    <w:rsid w:val="00165A57"/>
    <w:rPr>
      <w:color w:val="605E5C"/>
      <w:shd w:val="clear" w:color="auto" w:fill="E1DFDD"/>
    </w:rPr>
  </w:style>
  <w:style w:type="paragraph" w:customStyle="1" w:styleId="Imprint">
    <w:name w:val="Imprint"/>
    <w:basedOn w:val="Body"/>
    <w:uiPriority w:val="11"/>
    <w:rsid w:val="00FD2A22"/>
    <w:pPr>
      <w:spacing w:after="0" w:line="270" w:lineRule="atLeast"/>
    </w:pPr>
    <w:rPr>
      <w:color w:val="000000" w:themeColor="text1"/>
      <w:sz w:val="20"/>
    </w:rPr>
  </w:style>
  <w:style w:type="paragraph" w:customStyle="1" w:styleId="Introtext">
    <w:name w:val="Intro text"/>
    <w:basedOn w:val="Body"/>
    <w:uiPriority w:val="11"/>
    <w:rsid w:val="007231E7"/>
    <w:pPr>
      <w:spacing w:line="320" w:lineRule="atLeast"/>
    </w:pPr>
    <w:rPr>
      <w:color w:val="C5511A"/>
      <w:sz w:val="24"/>
    </w:rPr>
  </w:style>
  <w:style w:type="character" w:customStyle="1" w:styleId="eop">
    <w:name w:val="eop"/>
    <w:basedOn w:val="DefaultParagraphFont"/>
    <w:rsid w:val="007909A9"/>
  </w:style>
  <w:style w:type="character" w:customStyle="1" w:styleId="normaltextrun">
    <w:name w:val="normaltextrun"/>
    <w:basedOn w:val="DefaultParagraphFont"/>
    <w:rsid w:val="007909A9"/>
  </w:style>
  <w:style w:type="paragraph" w:customStyle="1" w:styleId="paragraph">
    <w:name w:val="paragraph"/>
    <w:basedOn w:val="Normal"/>
    <w:rsid w:val="007909A9"/>
    <w:pPr>
      <w:spacing w:before="100" w:beforeAutospacing="1" w:after="100" w:afterAutospacing="1" w:line="240" w:lineRule="auto"/>
    </w:pPr>
    <w:rPr>
      <w:rFonts w:ascii="Times New Roman" w:hAnsi="Times New Roman"/>
      <w:sz w:val="24"/>
      <w:szCs w:val="24"/>
      <w:lang w:eastAsia="en-AU"/>
    </w:rPr>
  </w:style>
  <w:style w:type="paragraph" w:styleId="ListParagraph">
    <w:name w:val="List Paragraph"/>
    <w:aliases w:val="Bullet List,Bullet point,List Paragraph1,List Paragraph11,Recommendation,List Bullet 1,L"/>
    <w:basedOn w:val="Normal"/>
    <w:link w:val="ListParagraphChar"/>
    <w:uiPriority w:val="34"/>
    <w:qFormat/>
    <w:rsid w:val="007909A9"/>
    <w:pPr>
      <w:numPr>
        <w:ilvl w:val="2"/>
        <w:numId w:val="18"/>
      </w:numPr>
      <w:spacing w:before="160" w:after="160" w:line="276" w:lineRule="auto"/>
      <w:contextualSpacing/>
    </w:pPr>
    <w:rPr>
      <w:rFonts w:asciiTheme="minorHAnsi" w:eastAsiaTheme="minorHAnsi" w:hAnsiTheme="minorHAnsi" w:cstheme="minorBidi"/>
      <w:sz w:val="20"/>
      <w:szCs w:val="22"/>
      <w:lang w:val="en-NZ"/>
    </w:rPr>
  </w:style>
  <w:style w:type="character" w:customStyle="1" w:styleId="ListParagraphChar">
    <w:name w:val="List Paragraph Char"/>
    <w:aliases w:val="Bullet List Char,Bullet point Char,List Paragraph1 Char,List Paragraph11 Char,Recommendation Char,List Bullet 1 Char,L Char"/>
    <w:link w:val="ListParagraph"/>
    <w:uiPriority w:val="34"/>
    <w:locked/>
    <w:rsid w:val="007909A9"/>
    <w:rPr>
      <w:rFonts w:asciiTheme="minorHAnsi" w:eastAsiaTheme="minorHAnsi" w:hAnsiTheme="minorHAnsi" w:cstheme="minorBidi"/>
      <w:szCs w:val="22"/>
      <w:lang w:val="en-NZ" w:eastAsia="en-US"/>
    </w:rPr>
  </w:style>
  <w:style w:type="paragraph" w:customStyle="1" w:styleId="pf0">
    <w:name w:val="pf0"/>
    <w:basedOn w:val="Normal"/>
    <w:rsid w:val="000C30FF"/>
    <w:pPr>
      <w:spacing w:before="100" w:beforeAutospacing="1" w:after="100" w:afterAutospacing="1" w:line="240" w:lineRule="auto"/>
      <w:ind w:left="720"/>
    </w:pPr>
    <w:rPr>
      <w:rFonts w:ascii="Times New Roman" w:hAnsi="Times New Roman"/>
      <w:sz w:val="24"/>
      <w:szCs w:val="24"/>
      <w:lang w:eastAsia="en-AU"/>
    </w:rPr>
  </w:style>
  <w:style w:type="character" w:customStyle="1" w:styleId="cf01">
    <w:name w:val="cf01"/>
    <w:basedOn w:val="DefaultParagraphFont"/>
    <w:rsid w:val="000C30FF"/>
    <w:rPr>
      <w:rFonts w:ascii="Segoe UI" w:hAnsi="Segoe UI" w:cs="Segoe UI" w:hint="default"/>
      <w:sz w:val="18"/>
      <w:szCs w:val="18"/>
    </w:rPr>
  </w:style>
  <w:style w:type="character" w:customStyle="1" w:styleId="FooterChar">
    <w:name w:val="Footer Char"/>
    <w:basedOn w:val="DefaultParagraphFont"/>
    <w:link w:val="Footer"/>
    <w:uiPriority w:val="99"/>
    <w:rsid w:val="00FC2734"/>
    <w:rPr>
      <w:rFonts w:ascii="Arial" w:hAnsi="Arial" w:cs="Arial"/>
      <w:szCs w:val="18"/>
      <w:lang w:eastAsia="en-US"/>
    </w:rPr>
  </w:style>
  <w:style w:type="character" w:customStyle="1" w:styleId="HeaderChar">
    <w:name w:val="Header Char"/>
    <w:basedOn w:val="DefaultParagraphFont"/>
    <w:link w:val="Header"/>
    <w:uiPriority w:val="10"/>
    <w:rsid w:val="00FC2734"/>
    <w:rPr>
      <w:rFonts w:ascii="Arial" w:hAnsi="Arial" w:cs="Arial"/>
      <w:b/>
      <w:color w:val="53565A"/>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1054625720">
      <w:bodyDiv w:val="1"/>
      <w:marLeft w:val="0"/>
      <w:marRight w:val="0"/>
      <w:marTop w:val="0"/>
      <w:marBottom w:val="0"/>
      <w:divBdr>
        <w:top w:val="none" w:sz="0" w:space="0" w:color="auto"/>
        <w:left w:val="none" w:sz="0" w:space="0" w:color="auto"/>
        <w:bottom w:val="none" w:sz="0" w:space="0" w:color="auto"/>
        <w:right w:val="none" w:sz="0" w:space="0" w:color="auto"/>
      </w:divBdr>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3.xml"/><Relationship Id="rId18" Type="http://schemas.openxmlformats.org/officeDocument/2006/relationships/hyperlink" Target="https://encoded-592c9deb-987b-4562-aa3c-9fa3d37d83e9.uri/mailto%3aLegislation%2520and%2520Regulation%2520Reform%2520(HEALTH)%2520%253clegandregreform%40health.vic.gov.au%253e" TargetMode="External"/><Relationship Id="rId26"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hyperlink" Target="mailto:privacy@health.vic.gov.au" TargetMode="Externa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hyperlink" Target="mailto:legandregreform@health.vic.gov.au" TargetMode="External"/><Relationship Id="rId25"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yperlink" Target="mailto:legandregreform@health.vic.gov.au" TargetMode="External"/><Relationship Id="rId20" Type="http://schemas.openxmlformats.org/officeDocument/2006/relationships/hyperlink" Target="mailto:Legislation%20and%20Regulation%20Reform%20(HEALTH)%20%3clegandregreform@health.vic.gov.au%3e"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24" Type="http://schemas.openxmlformats.org/officeDocument/2006/relationships/hyperlink" Target="https://www.health.vic.gov.au/private-health-service-establishments/legislation-updates-for-private-health-service-establishments" TargetMode="External"/><Relationship Id="rId5" Type="http://schemas.openxmlformats.org/officeDocument/2006/relationships/styles" Target="styles.xml"/><Relationship Id="rId15" Type="http://schemas.openxmlformats.org/officeDocument/2006/relationships/hyperlink" Target="https://www.health.vic.gov.au/private-health-service-establishments/legislation-updates-for-private-health-service-establishments" TargetMode="External"/><Relationship Id="rId23" Type="http://schemas.openxmlformats.org/officeDocument/2006/relationships/hyperlink" Target="mailto:legandregreform@health.vic.gov.au" TargetMode="External"/><Relationship Id="rId28"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hyperlink" Target="https://www.health.vic.gov.au/department-of-health-privacy-policy"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health.vic.gov.au/private-health-service-establishments/legislation-updates-for-private-health-service-establishments" TargetMode="External"/><Relationship Id="rId22" Type="http://schemas.openxmlformats.org/officeDocument/2006/relationships/hyperlink" Target="mailto:legandregreform@health.vic.gov.au" TargetMode="External"/><Relationship Id="rId27"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AddedtoMaster xmlns="47f98658-1cbe-4b10-a767-4f9447a207a3">false</AddedtoMaster>
    <SharedWithUsers xmlns="52aff747-003e-4611-b895-d7c5be62f82a">
      <UserInfo>
        <DisplayName>Minna Paltiel (Health)</DisplayName>
        <AccountId>731</AccountId>
        <AccountType/>
      </UserInfo>
    </SharedWithUsers>
    <ce509ad5fbeb4bc7bdde1ba401049b88 xmlns="5ce0f2b5-5be5-4508-bce9-d7011ece0659">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df0ee81d-089c-4707-9ef8-ac9a7d96e4bd</TermId>
        </TermInfo>
      </Terms>
    </ce509ad5fbeb4bc7bdde1ba401049b88>
    <lcf76f155ced4ddcb4097134ff3c332f xmlns="47f98658-1cbe-4b10-a767-4f9447a207a3">
      <Terms xmlns="http://schemas.microsoft.com/office/infopath/2007/PartnerControls"/>
    </lcf76f155ced4ddcb4097134ff3c332f>
    <TaxCatchAll xmlns="5ce0f2b5-5be5-4508-bce9-d7011ece0659">
      <Value>1</Value>
    </TaxCatchAl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71D80F382B83A49BA2054F60A134852" ma:contentTypeVersion="19" ma:contentTypeDescription="Create a new document." ma:contentTypeScope="" ma:versionID="63e252d301be594abd0ef4a16a17af27">
  <xsd:schema xmlns:xsd="http://www.w3.org/2001/XMLSchema" xmlns:xs="http://www.w3.org/2001/XMLSchema" xmlns:p="http://schemas.microsoft.com/office/2006/metadata/properties" xmlns:ns2="47f98658-1cbe-4b10-a767-4f9447a207a3" xmlns:ns3="52aff747-003e-4611-b895-d7c5be62f82a" xmlns:ns4="5ce0f2b5-5be5-4508-bce9-d7011ece0659" targetNamespace="http://schemas.microsoft.com/office/2006/metadata/properties" ma:root="true" ma:fieldsID="b06cc691950cd66c9dce8a236351f01b" ns2:_="" ns3:_="" ns4:_="">
    <xsd:import namespace="47f98658-1cbe-4b10-a767-4f9447a207a3"/>
    <xsd:import namespace="52aff747-003e-4611-b895-d7c5be62f82a"/>
    <xsd:import namespace="5ce0f2b5-5be5-4508-bce9-d7011ece065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4:ce509ad5fbeb4bc7bdde1ba401049b88" minOccurs="0"/>
                <xsd:element ref="ns4:TaxCatchAll" minOccurs="0"/>
                <xsd:element ref="ns2:AddedtoMaster" minOccurs="0"/>
                <xsd:element ref="ns2:lcf76f155ced4ddcb4097134ff3c332f" minOccurs="0"/>
                <xsd:element ref="ns2:MediaServiceObjectDetectorVersions" minOccurs="0"/>
                <xsd:element ref="ns2:MediaServiceOCR" minOccurs="0"/>
                <xsd:element ref="ns2:MediaServiceGenerationTime" minOccurs="0"/>
                <xsd:element ref="ns2:MediaServiceEventHashCode" minOccurs="0"/>
                <xsd:element ref="ns2:MediaLengthInSeconds" minOccurs="0"/>
                <xsd:element ref="ns2:MediaServiceSearchPropertie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f98658-1cbe-4b10-a767-4f9447a207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AddedtoMaster" ma:index="17" nillable="true" ma:displayName="Added to Master" ma:default="0" ma:description="This section has been added to the Master Discussion paper and is no longer in use" ma:format="Dropdown" ma:internalName="AddedtoMaster">
      <xsd:simpleType>
        <xsd:restriction base="dms:Boolea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6e24e156-28e6-48ad-9c0f-4171595c9d9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LengthInSeconds" ma:index="24" nillable="true" ma:displayName="MediaLengthInSeconds" ma:hidden="true" ma:internalName="MediaLengthInSeconds" ma:readOnly="true">
      <xsd:simpleType>
        <xsd:restriction base="dms:Unknown"/>
      </xsd:simpleType>
    </xsd:element>
    <xsd:element name="MediaServiceSearchProperties" ma:index="25" nillable="true" ma:displayName="MediaServiceSearchProperties" ma:hidden="true" ma:internalName="MediaServiceSearchProperties" ma:readOnly="true">
      <xsd:simpleType>
        <xsd:restriction base="dms:Note"/>
      </xsd:simpleType>
    </xsd:element>
    <xsd:element name="MediaServiceDateTaken" ma:index="26"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2aff747-003e-4611-b895-d7c5be62f82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e0f2b5-5be5-4508-bce9-d7011ece0659" elementFormDefault="qualified">
    <xsd:import namespace="http://schemas.microsoft.com/office/2006/documentManagement/types"/>
    <xsd:import namespace="http://schemas.microsoft.com/office/infopath/2007/PartnerControls"/>
    <xsd:element name="ce509ad5fbeb4bc7bdde1ba401049b88" ma:index="15" nillable="true" ma:taxonomy="true" ma:internalName="ce509ad5fbeb4bc7bdde1ba401049b88" ma:taxonomyFieldName="Sensitivity" ma:displayName="Sensitivity" ma:default="1;#OFFICIAL|df0ee81d-089c-4707-9ef8-ac9a7d96e4bd" ma:fieldId="{ce509ad5-fbeb-4bc7-bdde-1ba401049b88}" ma:sspId="6e24e156-28e6-48ad-9c0f-4171595c9d94" ma:termSetId="7e5c6045-41cb-46b6-8d08-702c034f0027" ma:anchorId="00000000-0000-0000-0000-000000000000" ma:open="false" ma:isKeyword="false">
      <xsd:complexType>
        <xsd:sequence>
          <xsd:element ref="pc:Terms" minOccurs="0" maxOccurs="1"/>
        </xsd:sequence>
      </xsd:complexType>
    </xsd:element>
    <xsd:element name="TaxCatchAll" ma:index="16" nillable="true" ma:displayName="Taxonomy Catch All Column" ma:hidden="true" ma:list="{9a04787b-b796-45e3-b54e-368ff14c50a0}" ma:internalName="TaxCatchAll" ma:showField="CatchAllData" ma:web="52aff747-003e-4611-b895-d7c5be62f82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2623C13-6C82-468B-A586-AE7EE6D8BDFF}">
  <ds:schemaRefs>
    <ds:schemaRef ds:uri="http://schemas.microsoft.com/office/2006/metadata/properties"/>
    <ds:schemaRef ds:uri="http://schemas.microsoft.com/office/infopath/2007/PartnerControls"/>
    <ds:schemaRef ds:uri="47f98658-1cbe-4b10-a767-4f9447a207a3"/>
    <ds:schemaRef ds:uri="52aff747-003e-4611-b895-d7c5be62f82a"/>
    <ds:schemaRef ds:uri="5ce0f2b5-5be5-4508-bce9-d7011ece0659"/>
  </ds:schemaRefs>
</ds:datastoreItem>
</file>

<file path=customXml/itemProps2.xml><?xml version="1.0" encoding="utf-8"?>
<ds:datastoreItem xmlns:ds="http://schemas.openxmlformats.org/officeDocument/2006/customXml" ds:itemID="{87446A93-75AB-4EC3-9E94-8A6CD8CE57C8}">
  <ds:schemaRefs>
    <ds:schemaRef ds:uri="http://schemas.microsoft.com/sharepoint/v3/contenttype/forms"/>
  </ds:schemaRefs>
</ds:datastoreItem>
</file>

<file path=customXml/itemProps3.xml><?xml version="1.0" encoding="utf-8"?>
<ds:datastoreItem xmlns:ds="http://schemas.openxmlformats.org/officeDocument/2006/customXml" ds:itemID="{D66CE9F5-2B5A-4F7C-9D74-F459D2EFBB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f98658-1cbe-4b10-a767-4f9447a207a3"/>
    <ds:schemaRef ds:uri="52aff747-003e-4611-b895-d7c5be62f82a"/>
    <ds:schemaRef ds:uri="5ce0f2b5-5be5-4508-bce9-d7011ece06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4873</Words>
  <Characters>27777</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Response Template Health Services (Health Service Establishments) Regulations 2024</vt:lpstr>
    </vt:vector>
  </TitlesOfParts>
  <Manager/>
  <Company/>
  <LinksUpToDate>false</LinksUpToDate>
  <CharactersWithSpaces>32585</CharactersWithSpaces>
  <SharedDoc>false</SharedDoc>
  <HyperlinkBase/>
  <HLinks>
    <vt:vector size="66" baseType="variant">
      <vt:variant>
        <vt:i4>65551</vt:i4>
      </vt:variant>
      <vt:variant>
        <vt:i4>33</vt:i4>
      </vt:variant>
      <vt:variant>
        <vt:i4>0</vt:i4>
      </vt:variant>
      <vt:variant>
        <vt:i4>5</vt:i4>
      </vt:variant>
      <vt:variant>
        <vt:lpwstr>https://www.health.vic.gov.au/private-health-service-establishments/legislation-updates-for-private-health-service-establishments</vt:lpwstr>
      </vt:variant>
      <vt:variant>
        <vt:lpwstr/>
      </vt:variant>
      <vt:variant>
        <vt:i4>5570669</vt:i4>
      </vt:variant>
      <vt:variant>
        <vt:i4>30</vt:i4>
      </vt:variant>
      <vt:variant>
        <vt:i4>0</vt:i4>
      </vt:variant>
      <vt:variant>
        <vt:i4>5</vt:i4>
      </vt:variant>
      <vt:variant>
        <vt:lpwstr>mailto:legandregreform@health.vic.gov.au</vt:lpwstr>
      </vt:variant>
      <vt:variant>
        <vt:lpwstr/>
      </vt:variant>
      <vt:variant>
        <vt:i4>5570669</vt:i4>
      </vt:variant>
      <vt:variant>
        <vt:i4>27</vt:i4>
      </vt:variant>
      <vt:variant>
        <vt:i4>0</vt:i4>
      </vt:variant>
      <vt:variant>
        <vt:i4>5</vt:i4>
      </vt:variant>
      <vt:variant>
        <vt:lpwstr>mailto:legandregreform@health.vic.gov.au</vt:lpwstr>
      </vt:variant>
      <vt:variant>
        <vt:lpwstr/>
      </vt:variant>
      <vt:variant>
        <vt:i4>4391017</vt:i4>
      </vt:variant>
      <vt:variant>
        <vt:i4>24</vt:i4>
      </vt:variant>
      <vt:variant>
        <vt:i4>0</vt:i4>
      </vt:variant>
      <vt:variant>
        <vt:i4>5</vt:i4>
      </vt:variant>
      <vt:variant>
        <vt:lpwstr>mailto:privacy@health.vic.gov.au</vt:lpwstr>
      </vt:variant>
      <vt:variant>
        <vt:lpwstr/>
      </vt:variant>
      <vt:variant>
        <vt:i4>3145802</vt:i4>
      </vt:variant>
      <vt:variant>
        <vt:i4>21</vt:i4>
      </vt:variant>
      <vt:variant>
        <vt:i4>0</vt:i4>
      </vt:variant>
      <vt:variant>
        <vt:i4>5</vt:i4>
      </vt:variant>
      <vt:variant>
        <vt:lpwstr>mailto:Legislation%20and%20Regulation%20Reform%20(HEALTH)%20%3clegandregreform@health.vic.gov.au%3e</vt:lpwstr>
      </vt:variant>
      <vt:variant>
        <vt:lpwstr/>
      </vt:variant>
      <vt:variant>
        <vt:i4>6226002</vt:i4>
      </vt:variant>
      <vt:variant>
        <vt:i4>18</vt:i4>
      </vt:variant>
      <vt:variant>
        <vt:i4>0</vt:i4>
      </vt:variant>
      <vt:variant>
        <vt:i4>5</vt:i4>
      </vt:variant>
      <vt:variant>
        <vt:lpwstr>https://www.health.vic.gov.au/department-of-health-privacy-policy</vt:lpwstr>
      </vt:variant>
      <vt:variant>
        <vt:lpwstr/>
      </vt:variant>
      <vt:variant>
        <vt:i4>7995495</vt:i4>
      </vt:variant>
      <vt:variant>
        <vt:i4>15</vt:i4>
      </vt:variant>
      <vt:variant>
        <vt:i4>0</vt:i4>
      </vt:variant>
      <vt:variant>
        <vt:i4>5</vt:i4>
      </vt:variant>
      <vt:variant>
        <vt:lpwstr>https://encoded-592c9deb-987b-4562-aa3c-9fa3d37d83e9.uri/mailto%3aLegislation%2520and%2520Regulation%2520Reform%2520(HEALTH)%2520%253clegandregreform%40health.vic.gov.au%253e</vt:lpwstr>
      </vt:variant>
      <vt:variant>
        <vt:lpwstr/>
      </vt:variant>
      <vt:variant>
        <vt:i4>5570669</vt:i4>
      </vt:variant>
      <vt:variant>
        <vt:i4>12</vt:i4>
      </vt:variant>
      <vt:variant>
        <vt:i4>0</vt:i4>
      </vt:variant>
      <vt:variant>
        <vt:i4>5</vt:i4>
      </vt:variant>
      <vt:variant>
        <vt:lpwstr>mailto:legandregreform@health.vic.gov.au</vt:lpwstr>
      </vt:variant>
      <vt:variant>
        <vt:lpwstr/>
      </vt:variant>
      <vt:variant>
        <vt:i4>5570669</vt:i4>
      </vt:variant>
      <vt:variant>
        <vt:i4>9</vt:i4>
      </vt:variant>
      <vt:variant>
        <vt:i4>0</vt:i4>
      </vt:variant>
      <vt:variant>
        <vt:i4>5</vt:i4>
      </vt:variant>
      <vt:variant>
        <vt:lpwstr>mailto:legandregreform@health.vic.gov.au</vt:lpwstr>
      </vt:variant>
      <vt:variant>
        <vt:lpwstr/>
      </vt:variant>
      <vt:variant>
        <vt:i4>65551</vt:i4>
      </vt:variant>
      <vt:variant>
        <vt:i4>6</vt:i4>
      </vt:variant>
      <vt:variant>
        <vt:i4>0</vt:i4>
      </vt:variant>
      <vt:variant>
        <vt:i4>5</vt:i4>
      </vt:variant>
      <vt:variant>
        <vt:lpwstr>https://www.health.vic.gov.au/private-health-service-establishments/legislation-updates-for-private-health-service-establishments</vt:lpwstr>
      </vt:variant>
      <vt:variant>
        <vt:lpwstr/>
      </vt:variant>
      <vt:variant>
        <vt:i4>65551</vt:i4>
      </vt:variant>
      <vt:variant>
        <vt:i4>3</vt:i4>
      </vt:variant>
      <vt:variant>
        <vt:i4>0</vt:i4>
      </vt:variant>
      <vt:variant>
        <vt:i4>5</vt:i4>
      </vt:variant>
      <vt:variant>
        <vt:lpwstr>https://www.health.vic.gov.au/private-health-service-establishments/legislation-updates-for-private-health-service-establishments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Response Template Health Services (Health Service Establishments) Regulations 2024</dc:title>
  <dc:subject>Response Template Health Services (Health Service Establishments) Regulations 2024</dc:subject>
  <dc:creator/>
  <cp:keywords>Response Template Health Services (Health Service Establishments) Regulations 2024</cp:keywords>
  <dc:description/>
  <cp:lastModifiedBy/>
  <cp:revision>1</cp:revision>
  <dcterms:created xsi:type="dcterms:W3CDTF">2024-04-29T02:55:00Z</dcterms:created>
  <dcterms:modified xsi:type="dcterms:W3CDTF">2024-04-29T03:01:00Z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1,4,5,6,9,a</vt:lpwstr>
  </property>
  <property fmtid="{D5CDD505-2E9C-101B-9397-08002B2CF9AE}" pid="3" name="ClassificationContentMarkingFooterFontProps">
    <vt:lpwstr>#000000,10,Arial Black</vt:lpwstr>
  </property>
  <property fmtid="{D5CDD505-2E9C-101B-9397-08002B2CF9AE}" pid="4" name="ClassificationContentMarkingFooterText">
    <vt:lpwstr>OFFICIAL</vt:lpwstr>
  </property>
  <property fmtid="{D5CDD505-2E9C-101B-9397-08002B2CF9AE}" pid="5" name="MSIP_Label_43e64453-338c-4f93-8a4d-0039a0a41f2a_Enabled">
    <vt:lpwstr>true</vt:lpwstr>
  </property>
  <property fmtid="{D5CDD505-2E9C-101B-9397-08002B2CF9AE}" pid="6" name="MSIP_Label_43e64453-338c-4f93-8a4d-0039a0a41f2a_SetDate">
    <vt:lpwstr>2024-04-29T02:55:57Z</vt:lpwstr>
  </property>
  <property fmtid="{D5CDD505-2E9C-101B-9397-08002B2CF9AE}" pid="7" name="MSIP_Label_43e64453-338c-4f93-8a4d-0039a0a41f2a_Method">
    <vt:lpwstr>Privileged</vt:lpwstr>
  </property>
  <property fmtid="{D5CDD505-2E9C-101B-9397-08002B2CF9AE}" pid="8" name="MSIP_Label_43e64453-338c-4f93-8a4d-0039a0a41f2a_Name">
    <vt:lpwstr>43e64453-338c-4f93-8a4d-0039a0a41f2a</vt:lpwstr>
  </property>
  <property fmtid="{D5CDD505-2E9C-101B-9397-08002B2CF9AE}" pid="9" name="MSIP_Label_43e64453-338c-4f93-8a4d-0039a0a41f2a_SiteId">
    <vt:lpwstr>c0e0601f-0fac-449c-9c88-a104c4eb9f28</vt:lpwstr>
  </property>
  <property fmtid="{D5CDD505-2E9C-101B-9397-08002B2CF9AE}" pid="10" name="MSIP_Label_43e64453-338c-4f93-8a4d-0039a0a41f2a_ActionId">
    <vt:lpwstr>16ecc442-c057-4168-946a-a05684dd73ea</vt:lpwstr>
  </property>
  <property fmtid="{D5CDD505-2E9C-101B-9397-08002B2CF9AE}" pid="11" name="MSIP_Label_43e64453-338c-4f93-8a4d-0039a0a41f2a_ContentBits">
    <vt:lpwstr>2</vt:lpwstr>
  </property>
  <property fmtid="{D5CDD505-2E9C-101B-9397-08002B2CF9AE}" pid="12" name="MediaServiceImageTags">
    <vt:lpwstr/>
  </property>
  <property fmtid="{D5CDD505-2E9C-101B-9397-08002B2CF9AE}" pid="13" name="ContentTypeId">
    <vt:lpwstr>0x010100B71D80F382B83A49BA2054F60A134852</vt:lpwstr>
  </property>
  <property fmtid="{D5CDD505-2E9C-101B-9397-08002B2CF9AE}" pid="14" name="version">
    <vt:lpwstr>v5 15032021</vt:lpwstr>
  </property>
  <property fmtid="{D5CDD505-2E9C-101B-9397-08002B2CF9AE}" pid="15" name="Language">
    <vt:lpwstr>English</vt:lpwstr>
  </property>
  <property fmtid="{D5CDD505-2E9C-101B-9397-08002B2CF9AE}" pid="16" name="Sensitivity">
    <vt:lpwstr>1;#OFFICIAL|df0ee81d-089c-4707-9ef8-ac9a7d96e4bd</vt:lpwstr>
  </property>
</Properties>
</file>