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E7234" w14:textId="28647D1B" w:rsidR="0074696E" w:rsidRPr="004C6EEE" w:rsidRDefault="002B07BF" w:rsidP="00AD784C">
      <w:pPr>
        <w:pStyle w:val="Spacerparatopoffirstpage"/>
      </w:pPr>
      <w:r>
        <w:drawing>
          <wp:anchor distT="0" distB="0" distL="114300" distR="114300" simplePos="0" relativeHeight="251657728" behindDoc="1" locked="1" layoutInCell="0" allowOverlap="1" wp14:anchorId="0FC97FD6" wp14:editId="1DBAF562">
            <wp:simplePos x="0" y="0"/>
            <wp:positionH relativeFrom="page">
              <wp:posOffset>0</wp:posOffset>
            </wp:positionH>
            <wp:positionV relativeFrom="page">
              <wp:posOffset>0</wp:posOffset>
            </wp:positionV>
            <wp:extent cx="7563485" cy="2068830"/>
            <wp:effectExtent l="0" t="0" r="0" b="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68830"/>
                    </a:xfrm>
                    <a:prstGeom prst="rect">
                      <a:avLst/>
                    </a:prstGeom>
                    <a:noFill/>
                  </pic:spPr>
                </pic:pic>
              </a:graphicData>
            </a:graphic>
            <wp14:sizeRelH relativeFrom="page">
              <wp14:pctWidth>0</wp14:pctWidth>
            </wp14:sizeRelH>
            <wp14:sizeRelV relativeFrom="page">
              <wp14:pctHeight>0</wp14:pctHeight>
            </wp14:sizeRelV>
          </wp:anchor>
        </w:drawing>
      </w:r>
    </w:p>
    <w:p w14:paraId="3D400F2E"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722BA80A" w14:textId="77777777" w:rsidTr="001C277E">
        <w:trPr>
          <w:trHeight w:val="1247"/>
        </w:trPr>
        <w:tc>
          <w:tcPr>
            <w:tcW w:w="8046" w:type="dxa"/>
            <w:shd w:val="clear" w:color="auto" w:fill="auto"/>
            <w:vAlign w:val="bottom"/>
          </w:tcPr>
          <w:p w14:paraId="5D932CD4" w14:textId="4D2D6235" w:rsidR="00AD784C" w:rsidRPr="00161AA0" w:rsidRDefault="00BD45E6" w:rsidP="00A91406">
            <w:pPr>
              <w:pStyle w:val="DHHSmainheading"/>
            </w:pPr>
            <w:bookmarkStart w:id="0" w:name="_GoBack"/>
            <w:r>
              <w:t>Victorian Anaphylaxis Notification System</w:t>
            </w:r>
            <w:bookmarkEnd w:id="0"/>
          </w:p>
        </w:tc>
      </w:tr>
      <w:tr w:rsidR="00AD784C" w14:paraId="4C329EBB" w14:textId="77777777" w:rsidTr="00357B4E">
        <w:trPr>
          <w:trHeight w:hRule="exact" w:val="1162"/>
        </w:trPr>
        <w:tc>
          <w:tcPr>
            <w:tcW w:w="8046" w:type="dxa"/>
            <w:shd w:val="clear" w:color="auto" w:fill="auto"/>
            <w:tcMar>
              <w:top w:w="170" w:type="dxa"/>
              <w:bottom w:w="510" w:type="dxa"/>
            </w:tcMar>
          </w:tcPr>
          <w:p w14:paraId="0FDA7E79" w14:textId="77777777" w:rsidR="00357B4E" w:rsidRPr="00AD784C" w:rsidRDefault="0086186F" w:rsidP="00357B4E">
            <w:pPr>
              <w:pStyle w:val="DHHSmainsubheading"/>
              <w:rPr>
                <w:szCs w:val="28"/>
              </w:rPr>
            </w:pPr>
            <w:r>
              <w:rPr>
                <w:szCs w:val="28"/>
              </w:rPr>
              <w:t>Food Safety Unit</w:t>
            </w:r>
          </w:p>
        </w:tc>
      </w:tr>
    </w:tbl>
    <w:p w14:paraId="1D3CBD38" w14:textId="77777777" w:rsidR="007173CA" w:rsidRDefault="007173CA" w:rsidP="007173CA">
      <w:pPr>
        <w:pStyle w:val="DHHSbody"/>
        <w:sectPr w:rsidR="007173CA"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bookmarkStart w:id="1" w:name="_Toc440566508"/>
    </w:p>
    <w:bookmarkEnd w:id="1"/>
    <w:p w14:paraId="3E33C5B1" w14:textId="77777777" w:rsidR="00893AF6" w:rsidRDefault="0086186F" w:rsidP="000B23FD">
      <w:pPr>
        <w:pStyle w:val="Heading1"/>
        <w:spacing w:before="0"/>
      </w:pPr>
      <w:r>
        <w:t>Victorian coroner calls for change</w:t>
      </w:r>
    </w:p>
    <w:p w14:paraId="0F6C4457" w14:textId="06804EE5" w:rsidR="008B06F0" w:rsidRDefault="0086186F" w:rsidP="008B06F0">
      <w:pPr>
        <w:pStyle w:val="DHHSbody"/>
      </w:pPr>
      <w:r>
        <w:t xml:space="preserve">On 1 November 2018, the Department of Health and Human Services (the department) implemented a Victorian Coroner’s recommendation that the department be notified of all anaphylaxis presentations at </w:t>
      </w:r>
      <w:r w:rsidR="008B06F0">
        <w:t>Victorian</w:t>
      </w:r>
      <w:r w:rsidR="0094617A">
        <w:t xml:space="preserve"> </w:t>
      </w:r>
      <w:r>
        <w:t xml:space="preserve">hospital emergency departments. </w:t>
      </w:r>
      <w:r w:rsidR="008B06F0">
        <w:t xml:space="preserve">The Victorian Coroner’s Inquiry findings and recommendations provided the catalyst for amendments to the </w:t>
      </w:r>
      <w:r w:rsidR="008B06F0" w:rsidRPr="001278E8">
        <w:rPr>
          <w:i/>
          <w:iCs/>
        </w:rPr>
        <w:t>Public Health and Wellbeing Act</w:t>
      </w:r>
      <w:r w:rsidR="008B06F0">
        <w:t xml:space="preserve"> </w:t>
      </w:r>
      <w:r w:rsidR="008B06F0" w:rsidRPr="001278E8">
        <w:rPr>
          <w:i/>
          <w:iCs/>
        </w:rPr>
        <w:t>2008</w:t>
      </w:r>
      <w:r w:rsidR="008B06F0">
        <w:t xml:space="preserve"> and associated regulations</w:t>
      </w:r>
      <w:r w:rsidR="001278E8">
        <w:t>,</w:t>
      </w:r>
      <w:r w:rsidR="008B06F0">
        <w:t xml:space="preserve"> requir</w:t>
      </w:r>
      <w:r w:rsidR="001278E8">
        <w:t>ing</w:t>
      </w:r>
      <w:r w:rsidR="008B06F0">
        <w:t xml:space="preserve"> mandatory notification of anaphylaxis presentations </w:t>
      </w:r>
      <w:r w:rsidR="001278E8">
        <w:t>at</w:t>
      </w:r>
      <w:r w:rsidR="008B06F0">
        <w:t xml:space="preserve"> all public and private hospital emergency departments.</w:t>
      </w:r>
    </w:p>
    <w:p w14:paraId="2E87CC4A" w14:textId="67671D66" w:rsidR="0094617A" w:rsidRDefault="008B06F0" w:rsidP="0086186F">
      <w:pPr>
        <w:pStyle w:val="DHHSbody"/>
      </w:pPr>
      <w:r>
        <w:t>A</w:t>
      </w:r>
      <w:r w:rsidRPr="00E44532">
        <w:t xml:space="preserve">s part of the </w:t>
      </w:r>
      <w:r>
        <w:t>Victorian Anaphylaxis Notification System, Victorian</w:t>
      </w:r>
      <w:r w:rsidRPr="00E44532">
        <w:t xml:space="preserve"> </w:t>
      </w:r>
      <w:r>
        <w:t>h</w:t>
      </w:r>
      <w:r w:rsidR="0094617A">
        <w:t>ospitals are</w:t>
      </w:r>
      <w:r w:rsidR="0094617A" w:rsidRPr="00E44532">
        <w:t xml:space="preserve"> required to notify the department of all cases where there are reasonable grounds to believe that the person presenting for treatment has anaphylaxis</w:t>
      </w:r>
      <w:r>
        <w:t>.</w:t>
      </w:r>
      <w:r w:rsidR="0094617A" w:rsidRPr="00E44532">
        <w:t xml:space="preserve"> </w:t>
      </w:r>
    </w:p>
    <w:p w14:paraId="6333E18E" w14:textId="737BD673" w:rsidR="0086186F" w:rsidRDefault="0086186F" w:rsidP="0086186F">
      <w:pPr>
        <w:pStyle w:val="DHHSbody"/>
      </w:pPr>
      <w:r>
        <w:t>The Coroner’s recommendation was made in response to an inquiry into the death of a child from anaphylaxis. The anaphylaxis resulted from the child’s consumption of a packaged food product that failed to declare the presence of dairy. With no mechanism in place for hospitals to inform the department of allergen and anaphylaxis presentations, the department was not alerted to the non-compliant product being in the marketplace</w:t>
      </w:r>
      <w:r w:rsidR="002714FA">
        <w:t>,</w:t>
      </w:r>
      <w:r>
        <w:t xml:space="preserve"> and it remained on shelves for a further six weeks without the mandatory labelling. </w:t>
      </w:r>
    </w:p>
    <w:p w14:paraId="174A6CE2" w14:textId="77777777" w:rsidR="0086186F" w:rsidRDefault="0086186F" w:rsidP="0086186F">
      <w:pPr>
        <w:pStyle w:val="Heading1"/>
      </w:pPr>
      <w:r>
        <w:t>Year 1</w:t>
      </w:r>
    </w:p>
    <w:p w14:paraId="1D3FE721" w14:textId="77777777" w:rsidR="0086186F" w:rsidRDefault="0086186F" w:rsidP="0086186F">
      <w:pPr>
        <w:pStyle w:val="DHHSbody"/>
      </w:pPr>
      <w:r>
        <w:t>In its first week of operation, the notification system identified an undeclared allergen in a packaged food. The department’s Food Safety Unit was able to initiate a product recall, promptly removing this product from the market and reducing the risk to members of the public with allergies.</w:t>
      </w:r>
    </w:p>
    <w:p w14:paraId="3792AC57" w14:textId="5BBFA043" w:rsidR="0086186F" w:rsidRDefault="0086186F" w:rsidP="0086186F">
      <w:pPr>
        <w:pStyle w:val="DHHSbody"/>
      </w:pPr>
      <w:bookmarkStart w:id="2" w:name="_Hlk74321479"/>
      <w:r>
        <w:t>With approximately 2,</w:t>
      </w:r>
      <w:r w:rsidR="00B745F5">
        <w:t xml:space="preserve">000 </w:t>
      </w:r>
      <w:r>
        <w:t xml:space="preserve">presentations of anaphylaxis to emergency departments every year, </w:t>
      </w:r>
      <w:bookmarkEnd w:id="2"/>
      <w:r>
        <w:t>the new reporting system is expected to assist in reducing the risk of undeclared allergens in food in the marketplace, while providing a rich source of data to support future activities to address the growing public health issue of allergies.</w:t>
      </w:r>
    </w:p>
    <w:p w14:paraId="0543DB3A" w14:textId="77777777" w:rsidR="00985A73" w:rsidRDefault="00985A73" w:rsidP="009462C6">
      <w:pPr>
        <w:pStyle w:val="Heading1"/>
      </w:pPr>
      <w:bookmarkStart w:id="3" w:name="_Toc66888644"/>
      <w:bookmarkStart w:id="4" w:name="_Toc69114139"/>
      <w:r w:rsidRPr="0096082C">
        <w:t xml:space="preserve">Mandatory </w:t>
      </w:r>
      <w:r>
        <w:t>a</w:t>
      </w:r>
      <w:r w:rsidRPr="0096082C">
        <w:t>naphylaxis notifications</w:t>
      </w:r>
      <w:bookmarkEnd w:id="3"/>
      <w:bookmarkEnd w:id="4"/>
    </w:p>
    <w:p w14:paraId="173DF20D" w14:textId="79AD8ACB" w:rsidR="00985A73" w:rsidRPr="00E44532" w:rsidRDefault="00B745F5" w:rsidP="00985A73">
      <w:pPr>
        <w:pStyle w:val="DHHSbody"/>
      </w:pPr>
      <w:r>
        <w:t>I</w:t>
      </w:r>
      <w:r w:rsidR="002714FA">
        <w:t>n</w:t>
      </w:r>
      <w:r w:rsidR="00985A73" w:rsidRPr="00E44532">
        <w:t xml:space="preserve"> cases </w:t>
      </w:r>
      <w:r>
        <w:t>where</w:t>
      </w:r>
      <w:r w:rsidRPr="00E44532">
        <w:t xml:space="preserve"> </w:t>
      </w:r>
      <w:r w:rsidR="00985A73" w:rsidRPr="00E44532">
        <w:t xml:space="preserve">packaged food </w:t>
      </w:r>
      <w:r>
        <w:t>is</w:t>
      </w:r>
      <w:r w:rsidRPr="00E44532">
        <w:t xml:space="preserve"> </w:t>
      </w:r>
      <w:r w:rsidR="00985A73" w:rsidRPr="00E44532">
        <w:t>implicated</w:t>
      </w:r>
      <w:r w:rsidR="00E40BB1">
        <w:t xml:space="preserve"> in an anaphylaxis presentation</w:t>
      </w:r>
      <w:r w:rsidR="00985A73" w:rsidRPr="00E44532">
        <w:t>, the F</w:t>
      </w:r>
      <w:r w:rsidR="002714FA">
        <w:t xml:space="preserve">ood </w:t>
      </w:r>
      <w:r w:rsidR="00985A73" w:rsidRPr="00E44532">
        <w:t>S</w:t>
      </w:r>
      <w:r w:rsidR="002714FA">
        <w:t xml:space="preserve">afety </w:t>
      </w:r>
      <w:r w:rsidR="00985A73" w:rsidRPr="00E44532">
        <w:t>U</w:t>
      </w:r>
      <w:r w:rsidR="002714FA">
        <w:t>nit</w:t>
      </w:r>
      <w:r w:rsidR="00985A73" w:rsidRPr="00E44532">
        <w:t xml:space="preserve"> </w:t>
      </w:r>
      <w:r w:rsidRPr="00E44532">
        <w:t>investigate</w:t>
      </w:r>
      <w:r>
        <w:t>s</w:t>
      </w:r>
      <w:r w:rsidRPr="00E44532">
        <w:t xml:space="preserve"> </w:t>
      </w:r>
      <w:r w:rsidR="00985A73" w:rsidRPr="00E44532">
        <w:t xml:space="preserve">to determine if there is a wider food safety risk requiring a product recall. </w:t>
      </w:r>
      <w:r>
        <w:t>I</w:t>
      </w:r>
      <w:r w:rsidR="00985A73" w:rsidRPr="00E44532">
        <w:t xml:space="preserve">f the case implicates food from a food premises that does not involve pre-packaged food, the case is referred to the relevant local council </w:t>
      </w:r>
      <w:r>
        <w:t>for</w:t>
      </w:r>
      <w:r w:rsidR="00985A73" w:rsidRPr="00E44532">
        <w:t xml:space="preserve"> investigation.</w:t>
      </w:r>
    </w:p>
    <w:p w14:paraId="3B161948" w14:textId="11B279CC" w:rsidR="00985A73" w:rsidRPr="00CF61D7" w:rsidRDefault="00985A73" w:rsidP="0094617A">
      <w:pPr>
        <w:pStyle w:val="DHHSbody"/>
      </w:pPr>
      <w:r w:rsidRPr="00E44532">
        <w:t xml:space="preserve">The notification </w:t>
      </w:r>
      <w:r w:rsidR="001D5651" w:rsidRPr="00E44532">
        <w:t>s</w:t>
      </w:r>
      <w:r w:rsidR="001D5651">
        <w:t>ystem</w:t>
      </w:r>
      <w:r w:rsidR="001D5651" w:rsidRPr="00E44532">
        <w:t xml:space="preserve"> </w:t>
      </w:r>
      <w:r w:rsidRPr="00E44532">
        <w:t xml:space="preserve">assists the department to identify packaged food products that may not be adequately labelled for allergen content. An Australian survey undertaken in 2018 found that 6.7 per cent of respondents with known allergies self-reported an anaphylaxis response to packaged foods where the allergen was not listed as an ingredient. </w:t>
      </w:r>
    </w:p>
    <w:p w14:paraId="4DBC037C" w14:textId="06F737E4" w:rsidR="00985A73" w:rsidRPr="00E44532" w:rsidRDefault="00985A73" w:rsidP="00985A73">
      <w:pPr>
        <w:pStyle w:val="DHHSbody"/>
      </w:pPr>
      <w:r w:rsidRPr="00E44532">
        <w:t xml:space="preserve">The following statistics were taken from the </w:t>
      </w:r>
      <w:r w:rsidR="002714FA">
        <w:t>Food Safety Unit’s</w:t>
      </w:r>
      <w:r w:rsidRPr="00E44532">
        <w:t xml:space="preserve"> anaphylaxis notification records for 2019</w:t>
      </w:r>
      <w:r w:rsidR="00E44532">
        <w:t xml:space="preserve"> and</w:t>
      </w:r>
      <w:r w:rsidRPr="00E44532">
        <w:t xml:space="preserve"> show how 60 per cent of the 2,060 reported anaphylaxis cases in 2019 were caused by food. </w:t>
      </w:r>
    </w:p>
    <w:p w14:paraId="40DE8DD4" w14:textId="7DF5A3C3" w:rsidR="00985A73" w:rsidRPr="00E44532" w:rsidRDefault="00B745F5" w:rsidP="00E44532">
      <w:pPr>
        <w:pStyle w:val="DHHStablecaption"/>
      </w:pPr>
      <w:r>
        <w:br w:type="page"/>
      </w:r>
      <w:r w:rsidR="00985A73" w:rsidRPr="00E44532">
        <w:lastRenderedPageBreak/>
        <w:t>Number of notified anaphylaxis cases by suspected cause, Victoria, 2019</w:t>
      </w:r>
    </w:p>
    <w:tbl>
      <w:tblPr>
        <w:tblW w:w="6221" w:type="dxa"/>
        <w:tblInd w:w="108" w:type="dxa"/>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833"/>
        <w:gridCol w:w="1039"/>
        <w:gridCol w:w="1349"/>
      </w:tblGrid>
      <w:tr w:rsidR="00E44532" w:rsidRPr="000B4328" w14:paraId="52571F23" w14:textId="77777777" w:rsidTr="00E44532">
        <w:trPr>
          <w:trHeight w:val="290"/>
          <w:tblHeader/>
        </w:trPr>
        <w:tc>
          <w:tcPr>
            <w:tcW w:w="3833" w:type="dxa"/>
            <w:shd w:val="clear" w:color="auto" w:fill="201547"/>
            <w:noWrap/>
            <w:vAlign w:val="bottom"/>
            <w:hideMark/>
          </w:tcPr>
          <w:p w14:paraId="34F3D96E" w14:textId="77777777" w:rsidR="00985A73" w:rsidRPr="00985A73" w:rsidRDefault="00985A73" w:rsidP="00D004C8">
            <w:pPr>
              <w:pStyle w:val="DHHStablecolhead"/>
              <w:rPr>
                <w:color w:val="FFFFFF"/>
                <w:sz w:val="21"/>
                <w:szCs w:val="21"/>
              </w:rPr>
            </w:pPr>
            <w:r w:rsidRPr="00985A73">
              <w:rPr>
                <w:color w:val="FFFFFF"/>
                <w:sz w:val="21"/>
                <w:szCs w:val="21"/>
              </w:rPr>
              <w:t>Suspected cause</w:t>
            </w:r>
          </w:p>
        </w:tc>
        <w:tc>
          <w:tcPr>
            <w:tcW w:w="1039" w:type="dxa"/>
            <w:shd w:val="clear" w:color="auto" w:fill="201547"/>
            <w:noWrap/>
            <w:vAlign w:val="bottom"/>
            <w:hideMark/>
          </w:tcPr>
          <w:p w14:paraId="09E91B85" w14:textId="77777777" w:rsidR="00985A73" w:rsidRPr="00985A73" w:rsidRDefault="00985A73" w:rsidP="00D004C8">
            <w:pPr>
              <w:pStyle w:val="DHHStablecolhead"/>
              <w:rPr>
                <w:color w:val="FFFFFF"/>
                <w:sz w:val="21"/>
                <w:szCs w:val="21"/>
              </w:rPr>
            </w:pPr>
            <w:r w:rsidRPr="00985A73">
              <w:rPr>
                <w:color w:val="FFFFFF"/>
                <w:sz w:val="21"/>
                <w:szCs w:val="21"/>
              </w:rPr>
              <w:t>Number</w:t>
            </w:r>
          </w:p>
        </w:tc>
        <w:tc>
          <w:tcPr>
            <w:tcW w:w="1349" w:type="dxa"/>
            <w:shd w:val="clear" w:color="auto" w:fill="201547"/>
            <w:noWrap/>
            <w:vAlign w:val="bottom"/>
            <w:hideMark/>
          </w:tcPr>
          <w:p w14:paraId="4ED16687" w14:textId="77777777" w:rsidR="00985A73" w:rsidRPr="00985A73" w:rsidRDefault="00985A73" w:rsidP="00D004C8">
            <w:pPr>
              <w:pStyle w:val="DHHStablecolhead"/>
              <w:rPr>
                <w:color w:val="FFFFFF"/>
                <w:sz w:val="21"/>
                <w:szCs w:val="21"/>
              </w:rPr>
            </w:pPr>
            <w:r w:rsidRPr="00985A73">
              <w:rPr>
                <w:color w:val="FFFFFF"/>
                <w:sz w:val="21"/>
                <w:szCs w:val="21"/>
              </w:rPr>
              <w:t>Percentage</w:t>
            </w:r>
          </w:p>
        </w:tc>
      </w:tr>
      <w:tr w:rsidR="00985A73" w:rsidRPr="005F4AD4" w14:paraId="1A5986A1" w14:textId="77777777" w:rsidTr="00E44532">
        <w:trPr>
          <w:trHeight w:val="290"/>
        </w:trPr>
        <w:tc>
          <w:tcPr>
            <w:tcW w:w="3833" w:type="dxa"/>
            <w:shd w:val="clear" w:color="auto" w:fill="auto"/>
            <w:noWrap/>
            <w:vAlign w:val="bottom"/>
            <w:hideMark/>
          </w:tcPr>
          <w:p w14:paraId="7352503D" w14:textId="77777777" w:rsidR="00985A73" w:rsidRPr="006360BC" w:rsidRDefault="00985A73" w:rsidP="00D004C8">
            <w:pPr>
              <w:pStyle w:val="DHHStabletext6pt"/>
              <w:rPr>
                <w:sz w:val="21"/>
                <w:szCs w:val="21"/>
              </w:rPr>
            </w:pPr>
            <w:r w:rsidRPr="006360BC">
              <w:rPr>
                <w:sz w:val="21"/>
                <w:szCs w:val="21"/>
              </w:rPr>
              <w:t>Blood derived product</w:t>
            </w:r>
          </w:p>
        </w:tc>
        <w:tc>
          <w:tcPr>
            <w:tcW w:w="1039" w:type="dxa"/>
            <w:shd w:val="clear" w:color="auto" w:fill="auto"/>
            <w:noWrap/>
            <w:vAlign w:val="bottom"/>
            <w:hideMark/>
          </w:tcPr>
          <w:p w14:paraId="37DD1BC9" w14:textId="77777777" w:rsidR="00985A73" w:rsidRPr="006360BC" w:rsidRDefault="00985A73" w:rsidP="00D004C8">
            <w:pPr>
              <w:pStyle w:val="DHHStabletext6pt"/>
              <w:jc w:val="right"/>
              <w:rPr>
                <w:sz w:val="21"/>
                <w:szCs w:val="21"/>
              </w:rPr>
            </w:pPr>
            <w:r w:rsidRPr="006360BC">
              <w:rPr>
                <w:sz w:val="21"/>
                <w:szCs w:val="21"/>
              </w:rPr>
              <w:t>1</w:t>
            </w:r>
          </w:p>
        </w:tc>
        <w:tc>
          <w:tcPr>
            <w:tcW w:w="1349" w:type="dxa"/>
            <w:shd w:val="clear" w:color="auto" w:fill="auto"/>
            <w:noWrap/>
            <w:vAlign w:val="bottom"/>
            <w:hideMark/>
          </w:tcPr>
          <w:p w14:paraId="387FCFF4" w14:textId="77777777" w:rsidR="00985A73" w:rsidRPr="006360BC" w:rsidRDefault="00985A73" w:rsidP="00D004C8">
            <w:pPr>
              <w:pStyle w:val="DHHStabletext6pt"/>
              <w:jc w:val="right"/>
              <w:rPr>
                <w:sz w:val="21"/>
                <w:szCs w:val="21"/>
              </w:rPr>
            </w:pPr>
            <w:r w:rsidRPr="006360BC">
              <w:rPr>
                <w:sz w:val="21"/>
                <w:szCs w:val="21"/>
              </w:rPr>
              <w:t>&lt;1</w:t>
            </w:r>
          </w:p>
        </w:tc>
      </w:tr>
      <w:tr w:rsidR="00985A73" w:rsidRPr="005F4AD4" w14:paraId="4119C593" w14:textId="77777777" w:rsidTr="00E44532">
        <w:trPr>
          <w:trHeight w:val="290"/>
        </w:trPr>
        <w:tc>
          <w:tcPr>
            <w:tcW w:w="3833" w:type="dxa"/>
            <w:shd w:val="clear" w:color="auto" w:fill="auto"/>
            <w:noWrap/>
            <w:vAlign w:val="bottom"/>
            <w:hideMark/>
          </w:tcPr>
          <w:p w14:paraId="778E90CC" w14:textId="77777777" w:rsidR="00985A73" w:rsidRPr="006360BC" w:rsidRDefault="00985A73" w:rsidP="00D004C8">
            <w:pPr>
              <w:pStyle w:val="DHHStabletext6pt"/>
              <w:rPr>
                <w:sz w:val="21"/>
                <w:szCs w:val="21"/>
              </w:rPr>
            </w:pPr>
            <w:r w:rsidRPr="006360BC">
              <w:rPr>
                <w:sz w:val="21"/>
                <w:szCs w:val="21"/>
              </w:rPr>
              <w:t>Drug</w:t>
            </w:r>
          </w:p>
        </w:tc>
        <w:tc>
          <w:tcPr>
            <w:tcW w:w="1039" w:type="dxa"/>
            <w:shd w:val="clear" w:color="auto" w:fill="auto"/>
            <w:noWrap/>
            <w:vAlign w:val="bottom"/>
            <w:hideMark/>
          </w:tcPr>
          <w:p w14:paraId="3355D8CC" w14:textId="77777777" w:rsidR="00985A73" w:rsidRPr="006360BC" w:rsidRDefault="00985A73" w:rsidP="00D004C8">
            <w:pPr>
              <w:pStyle w:val="DHHStabletext6pt"/>
              <w:jc w:val="right"/>
              <w:rPr>
                <w:sz w:val="21"/>
                <w:szCs w:val="21"/>
              </w:rPr>
            </w:pPr>
            <w:r w:rsidRPr="006360BC">
              <w:rPr>
                <w:sz w:val="21"/>
                <w:szCs w:val="21"/>
              </w:rPr>
              <w:t>255</w:t>
            </w:r>
          </w:p>
        </w:tc>
        <w:tc>
          <w:tcPr>
            <w:tcW w:w="1349" w:type="dxa"/>
            <w:shd w:val="clear" w:color="auto" w:fill="auto"/>
            <w:noWrap/>
            <w:vAlign w:val="bottom"/>
            <w:hideMark/>
          </w:tcPr>
          <w:p w14:paraId="7F6AD928" w14:textId="77777777" w:rsidR="00985A73" w:rsidRPr="006360BC" w:rsidRDefault="00985A73" w:rsidP="00D004C8">
            <w:pPr>
              <w:pStyle w:val="DHHStabletext6pt"/>
              <w:jc w:val="right"/>
              <w:rPr>
                <w:sz w:val="21"/>
                <w:szCs w:val="21"/>
              </w:rPr>
            </w:pPr>
            <w:r w:rsidRPr="006360BC">
              <w:rPr>
                <w:sz w:val="21"/>
                <w:szCs w:val="21"/>
              </w:rPr>
              <w:t>12</w:t>
            </w:r>
          </w:p>
        </w:tc>
      </w:tr>
      <w:tr w:rsidR="00E44532" w:rsidRPr="005F4AD4" w14:paraId="41F46ED9" w14:textId="77777777" w:rsidTr="00E44532">
        <w:trPr>
          <w:trHeight w:val="290"/>
        </w:trPr>
        <w:tc>
          <w:tcPr>
            <w:tcW w:w="3833" w:type="dxa"/>
            <w:shd w:val="clear" w:color="auto" w:fill="D9D9D9"/>
            <w:noWrap/>
            <w:vAlign w:val="bottom"/>
            <w:hideMark/>
          </w:tcPr>
          <w:p w14:paraId="14BD5D90" w14:textId="77777777" w:rsidR="00985A73" w:rsidRPr="006360BC" w:rsidRDefault="00985A73" w:rsidP="00D004C8">
            <w:pPr>
              <w:pStyle w:val="DHHStabletext6pt"/>
              <w:rPr>
                <w:sz w:val="21"/>
                <w:szCs w:val="21"/>
              </w:rPr>
            </w:pPr>
            <w:r w:rsidRPr="006360BC">
              <w:rPr>
                <w:sz w:val="21"/>
                <w:szCs w:val="21"/>
              </w:rPr>
              <w:t>Food – other</w:t>
            </w:r>
          </w:p>
        </w:tc>
        <w:tc>
          <w:tcPr>
            <w:tcW w:w="1039" w:type="dxa"/>
            <w:shd w:val="clear" w:color="auto" w:fill="D9D9D9"/>
            <w:noWrap/>
            <w:vAlign w:val="bottom"/>
            <w:hideMark/>
          </w:tcPr>
          <w:p w14:paraId="3FBB29E4" w14:textId="77777777" w:rsidR="00985A73" w:rsidRPr="006360BC" w:rsidRDefault="00985A73" w:rsidP="00D004C8">
            <w:pPr>
              <w:pStyle w:val="DHHStabletext6pt"/>
              <w:jc w:val="right"/>
              <w:rPr>
                <w:sz w:val="21"/>
                <w:szCs w:val="21"/>
              </w:rPr>
            </w:pPr>
            <w:r w:rsidRPr="006360BC">
              <w:rPr>
                <w:sz w:val="21"/>
                <w:szCs w:val="21"/>
              </w:rPr>
              <w:t>420</w:t>
            </w:r>
          </w:p>
        </w:tc>
        <w:tc>
          <w:tcPr>
            <w:tcW w:w="1349" w:type="dxa"/>
            <w:shd w:val="clear" w:color="auto" w:fill="D9D9D9"/>
            <w:noWrap/>
            <w:vAlign w:val="bottom"/>
            <w:hideMark/>
          </w:tcPr>
          <w:p w14:paraId="0A42DBBC" w14:textId="77777777" w:rsidR="00985A73" w:rsidRPr="006360BC" w:rsidRDefault="00985A73" w:rsidP="00D004C8">
            <w:pPr>
              <w:pStyle w:val="DHHStabletext6pt"/>
              <w:jc w:val="right"/>
              <w:rPr>
                <w:sz w:val="21"/>
                <w:szCs w:val="21"/>
              </w:rPr>
            </w:pPr>
            <w:r w:rsidRPr="006360BC">
              <w:rPr>
                <w:sz w:val="21"/>
                <w:szCs w:val="21"/>
              </w:rPr>
              <w:t>20</w:t>
            </w:r>
          </w:p>
        </w:tc>
      </w:tr>
      <w:tr w:rsidR="00E44532" w:rsidRPr="005F4AD4" w14:paraId="23D53FB8" w14:textId="77777777" w:rsidTr="00E44532">
        <w:trPr>
          <w:trHeight w:val="290"/>
        </w:trPr>
        <w:tc>
          <w:tcPr>
            <w:tcW w:w="3833" w:type="dxa"/>
            <w:shd w:val="clear" w:color="auto" w:fill="D9D9D9"/>
            <w:noWrap/>
            <w:vAlign w:val="bottom"/>
            <w:hideMark/>
          </w:tcPr>
          <w:p w14:paraId="594D5379" w14:textId="77777777" w:rsidR="00985A73" w:rsidRPr="006360BC" w:rsidRDefault="00985A73" w:rsidP="00D004C8">
            <w:pPr>
              <w:pStyle w:val="DHHStabletext6pt"/>
              <w:rPr>
                <w:sz w:val="21"/>
                <w:szCs w:val="21"/>
              </w:rPr>
            </w:pPr>
            <w:r w:rsidRPr="006360BC">
              <w:rPr>
                <w:sz w:val="21"/>
                <w:szCs w:val="21"/>
              </w:rPr>
              <w:t>Food – packaged food</w:t>
            </w:r>
          </w:p>
        </w:tc>
        <w:tc>
          <w:tcPr>
            <w:tcW w:w="1039" w:type="dxa"/>
            <w:shd w:val="clear" w:color="auto" w:fill="D9D9D9"/>
            <w:noWrap/>
            <w:vAlign w:val="bottom"/>
            <w:hideMark/>
          </w:tcPr>
          <w:p w14:paraId="06881E3B" w14:textId="77777777" w:rsidR="00985A73" w:rsidRPr="006360BC" w:rsidRDefault="00985A73" w:rsidP="00D004C8">
            <w:pPr>
              <w:pStyle w:val="DHHStabletext6pt"/>
              <w:jc w:val="right"/>
              <w:rPr>
                <w:sz w:val="21"/>
                <w:szCs w:val="21"/>
              </w:rPr>
            </w:pPr>
            <w:r w:rsidRPr="006360BC">
              <w:rPr>
                <w:sz w:val="21"/>
                <w:szCs w:val="21"/>
              </w:rPr>
              <w:t>368</w:t>
            </w:r>
          </w:p>
        </w:tc>
        <w:tc>
          <w:tcPr>
            <w:tcW w:w="1349" w:type="dxa"/>
            <w:shd w:val="clear" w:color="auto" w:fill="D9D9D9"/>
            <w:noWrap/>
            <w:vAlign w:val="bottom"/>
            <w:hideMark/>
          </w:tcPr>
          <w:p w14:paraId="2EFC65AC" w14:textId="77777777" w:rsidR="00985A73" w:rsidRPr="006360BC" w:rsidRDefault="00985A73" w:rsidP="00D004C8">
            <w:pPr>
              <w:pStyle w:val="DHHStabletext6pt"/>
              <w:jc w:val="right"/>
              <w:rPr>
                <w:sz w:val="21"/>
                <w:szCs w:val="21"/>
              </w:rPr>
            </w:pPr>
            <w:r w:rsidRPr="006360BC">
              <w:rPr>
                <w:sz w:val="21"/>
                <w:szCs w:val="21"/>
              </w:rPr>
              <w:t>18</w:t>
            </w:r>
          </w:p>
        </w:tc>
      </w:tr>
      <w:tr w:rsidR="00E44532" w:rsidRPr="005F4AD4" w14:paraId="3B6E64BF" w14:textId="77777777" w:rsidTr="00E44532">
        <w:trPr>
          <w:trHeight w:val="290"/>
        </w:trPr>
        <w:tc>
          <w:tcPr>
            <w:tcW w:w="3833" w:type="dxa"/>
            <w:shd w:val="clear" w:color="auto" w:fill="D9D9D9"/>
            <w:noWrap/>
            <w:vAlign w:val="bottom"/>
            <w:hideMark/>
          </w:tcPr>
          <w:p w14:paraId="46FA2D37" w14:textId="77777777" w:rsidR="00985A73" w:rsidRPr="006360BC" w:rsidRDefault="00985A73" w:rsidP="00D004C8">
            <w:pPr>
              <w:pStyle w:val="DHHStabletext6pt"/>
              <w:rPr>
                <w:sz w:val="21"/>
                <w:szCs w:val="21"/>
              </w:rPr>
            </w:pPr>
            <w:r w:rsidRPr="006360BC">
              <w:rPr>
                <w:sz w:val="21"/>
                <w:szCs w:val="21"/>
              </w:rPr>
              <w:t>Food – unpackaged from food premises</w:t>
            </w:r>
          </w:p>
        </w:tc>
        <w:tc>
          <w:tcPr>
            <w:tcW w:w="1039" w:type="dxa"/>
            <w:shd w:val="clear" w:color="auto" w:fill="D9D9D9"/>
            <w:noWrap/>
            <w:vAlign w:val="bottom"/>
            <w:hideMark/>
          </w:tcPr>
          <w:p w14:paraId="06A579BD" w14:textId="77777777" w:rsidR="00985A73" w:rsidRPr="006360BC" w:rsidRDefault="00985A73" w:rsidP="00D004C8">
            <w:pPr>
              <w:pStyle w:val="DHHStabletext6pt"/>
              <w:jc w:val="right"/>
              <w:rPr>
                <w:sz w:val="21"/>
                <w:szCs w:val="21"/>
              </w:rPr>
            </w:pPr>
            <w:r w:rsidRPr="006360BC">
              <w:rPr>
                <w:sz w:val="21"/>
                <w:szCs w:val="21"/>
              </w:rPr>
              <w:t>455</w:t>
            </w:r>
          </w:p>
        </w:tc>
        <w:tc>
          <w:tcPr>
            <w:tcW w:w="1349" w:type="dxa"/>
            <w:shd w:val="clear" w:color="auto" w:fill="D9D9D9"/>
            <w:noWrap/>
            <w:vAlign w:val="bottom"/>
            <w:hideMark/>
          </w:tcPr>
          <w:p w14:paraId="153C0A93" w14:textId="77777777" w:rsidR="00985A73" w:rsidRPr="006360BC" w:rsidRDefault="00985A73" w:rsidP="00D004C8">
            <w:pPr>
              <w:pStyle w:val="DHHStabletext6pt"/>
              <w:jc w:val="right"/>
              <w:rPr>
                <w:sz w:val="21"/>
                <w:szCs w:val="21"/>
              </w:rPr>
            </w:pPr>
            <w:r w:rsidRPr="006360BC">
              <w:rPr>
                <w:sz w:val="21"/>
                <w:szCs w:val="21"/>
              </w:rPr>
              <w:t>22</w:t>
            </w:r>
          </w:p>
        </w:tc>
      </w:tr>
      <w:tr w:rsidR="00985A73" w:rsidRPr="005F4AD4" w14:paraId="6964FF22" w14:textId="77777777" w:rsidTr="00E44532">
        <w:trPr>
          <w:trHeight w:val="290"/>
        </w:trPr>
        <w:tc>
          <w:tcPr>
            <w:tcW w:w="3833" w:type="dxa"/>
            <w:shd w:val="clear" w:color="auto" w:fill="auto"/>
            <w:noWrap/>
            <w:vAlign w:val="bottom"/>
            <w:hideMark/>
          </w:tcPr>
          <w:p w14:paraId="151BC7D5" w14:textId="77777777" w:rsidR="00985A73" w:rsidRPr="006360BC" w:rsidRDefault="00985A73" w:rsidP="00D004C8">
            <w:pPr>
              <w:pStyle w:val="DHHStabletext6pt"/>
              <w:rPr>
                <w:sz w:val="21"/>
                <w:szCs w:val="21"/>
              </w:rPr>
            </w:pPr>
            <w:r w:rsidRPr="006360BC">
              <w:rPr>
                <w:sz w:val="21"/>
                <w:szCs w:val="21"/>
              </w:rPr>
              <w:t>Insect venom</w:t>
            </w:r>
          </w:p>
        </w:tc>
        <w:tc>
          <w:tcPr>
            <w:tcW w:w="1039" w:type="dxa"/>
            <w:shd w:val="clear" w:color="auto" w:fill="auto"/>
            <w:noWrap/>
            <w:vAlign w:val="bottom"/>
            <w:hideMark/>
          </w:tcPr>
          <w:p w14:paraId="65CE050D" w14:textId="77777777" w:rsidR="00985A73" w:rsidRPr="006360BC" w:rsidRDefault="00985A73" w:rsidP="00D004C8">
            <w:pPr>
              <w:pStyle w:val="DHHStabletext6pt"/>
              <w:jc w:val="right"/>
              <w:rPr>
                <w:sz w:val="21"/>
                <w:szCs w:val="21"/>
              </w:rPr>
            </w:pPr>
            <w:r w:rsidRPr="006360BC">
              <w:rPr>
                <w:sz w:val="21"/>
                <w:szCs w:val="21"/>
              </w:rPr>
              <w:t>163</w:t>
            </w:r>
          </w:p>
        </w:tc>
        <w:tc>
          <w:tcPr>
            <w:tcW w:w="1349" w:type="dxa"/>
            <w:shd w:val="clear" w:color="auto" w:fill="auto"/>
            <w:noWrap/>
            <w:vAlign w:val="bottom"/>
            <w:hideMark/>
          </w:tcPr>
          <w:p w14:paraId="2BA4B949" w14:textId="77777777" w:rsidR="00985A73" w:rsidRPr="006360BC" w:rsidRDefault="00985A73" w:rsidP="00D004C8">
            <w:pPr>
              <w:pStyle w:val="DHHStabletext6pt"/>
              <w:jc w:val="right"/>
              <w:rPr>
                <w:sz w:val="21"/>
                <w:szCs w:val="21"/>
              </w:rPr>
            </w:pPr>
            <w:r w:rsidRPr="006360BC">
              <w:rPr>
                <w:sz w:val="21"/>
                <w:szCs w:val="21"/>
              </w:rPr>
              <w:t>8</w:t>
            </w:r>
          </w:p>
        </w:tc>
      </w:tr>
      <w:tr w:rsidR="00985A73" w:rsidRPr="005F4AD4" w14:paraId="742446B3" w14:textId="77777777" w:rsidTr="00E44532">
        <w:trPr>
          <w:trHeight w:val="290"/>
        </w:trPr>
        <w:tc>
          <w:tcPr>
            <w:tcW w:w="3833" w:type="dxa"/>
            <w:shd w:val="clear" w:color="auto" w:fill="auto"/>
            <w:noWrap/>
            <w:vAlign w:val="bottom"/>
            <w:hideMark/>
          </w:tcPr>
          <w:p w14:paraId="629C9E7B" w14:textId="77777777" w:rsidR="00985A73" w:rsidRPr="006360BC" w:rsidRDefault="00985A73" w:rsidP="00D004C8">
            <w:pPr>
              <w:pStyle w:val="DHHStabletext6pt"/>
              <w:rPr>
                <w:sz w:val="21"/>
                <w:szCs w:val="21"/>
              </w:rPr>
            </w:pPr>
            <w:r w:rsidRPr="006360BC">
              <w:rPr>
                <w:sz w:val="21"/>
                <w:szCs w:val="21"/>
              </w:rPr>
              <w:t>Other cause</w:t>
            </w:r>
          </w:p>
        </w:tc>
        <w:tc>
          <w:tcPr>
            <w:tcW w:w="1039" w:type="dxa"/>
            <w:shd w:val="clear" w:color="auto" w:fill="auto"/>
            <w:noWrap/>
            <w:vAlign w:val="bottom"/>
            <w:hideMark/>
          </w:tcPr>
          <w:p w14:paraId="2D78BA70" w14:textId="77777777" w:rsidR="00985A73" w:rsidRPr="006360BC" w:rsidRDefault="00985A73" w:rsidP="00D004C8">
            <w:pPr>
              <w:pStyle w:val="DHHStabletext6pt"/>
              <w:jc w:val="right"/>
              <w:rPr>
                <w:sz w:val="21"/>
                <w:szCs w:val="21"/>
              </w:rPr>
            </w:pPr>
            <w:r w:rsidRPr="006360BC">
              <w:rPr>
                <w:sz w:val="21"/>
                <w:szCs w:val="21"/>
              </w:rPr>
              <w:t>71</w:t>
            </w:r>
          </w:p>
        </w:tc>
        <w:tc>
          <w:tcPr>
            <w:tcW w:w="1349" w:type="dxa"/>
            <w:shd w:val="clear" w:color="auto" w:fill="auto"/>
            <w:noWrap/>
            <w:vAlign w:val="bottom"/>
          </w:tcPr>
          <w:p w14:paraId="0B9527CB" w14:textId="77777777" w:rsidR="00985A73" w:rsidRPr="006360BC" w:rsidRDefault="00985A73" w:rsidP="00D004C8">
            <w:pPr>
              <w:pStyle w:val="DHHStabletext6pt"/>
              <w:jc w:val="right"/>
              <w:rPr>
                <w:sz w:val="21"/>
                <w:szCs w:val="21"/>
              </w:rPr>
            </w:pPr>
            <w:r>
              <w:rPr>
                <w:sz w:val="21"/>
                <w:szCs w:val="21"/>
              </w:rPr>
              <w:t>3</w:t>
            </w:r>
          </w:p>
        </w:tc>
      </w:tr>
      <w:tr w:rsidR="00985A73" w:rsidRPr="005F4AD4" w14:paraId="7E30B5C7" w14:textId="77777777" w:rsidTr="00E44532">
        <w:trPr>
          <w:trHeight w:val="290"/>
        </w:trPr>
        <w:tc>
          <w:tcPr>
            <w:tcW w:w="3833" w:type="dxa"/>
            <w:shd w:val="clear" w:color="auto" w:fill="auto"/>
            <w:noWrap/>
            <w:vAlign w:val="bottom"/>
            <w:hideMark/>
          </w:tcPr>
          <w:p w14:paraId="2EB92475" w14:textId="77777777" w:rsidR="00985A73" w:rsidRPr="006360BC" w:rsidRDefault="00985A73" w:rsidP="00D004C8">
            <w:pPr>
              <w:pStyle w:val="DHHStabletext6pt"/>
              <w:rPr>
                <w:sz w:val="21"/>
                <w:szCs w:val="21"/>
              </w:rPr>
            </w:pPr>
            <w:r w:rsidRPr="006360BC">
              <w:rPr>
                <w:sz w:val="21"/>
                <w:szCs w:val="21"/>
              </w:rPr>
              <w:t>Unknown</w:t>
            </w:r>
          </w:p>
        </w:tc>
        <w:tc>
          <w:tcPr>
            <w:tcW w:w="1039" w:type="dxa"/>
            <w:shd w:val="clear" w:color="auto" w:fill="auto"/>
            <w:noWrap/>
            <w:vAlign w:val="bottom"/>
            <w:hideMark/>
          </w:tcPr>
          <w:p w14:paraId="0FB877D8" w14:textId="77777777" w:rsidR="00985A73" w:rsidRPr="006360BC" w:rsidRDefault="00985A73" w:rsidP="00D004C8">
            <w:pPr>
              <w:pStyle w:val="DHHStabletext6pt"/>
              <w:jc w:val="right"/>
              <w:rPr>
                <w:sz w:val="21"/>
                <w:szCs w:val="21"/>
              </w:rPr>
            </w:pPr>
            <w:r w:rsidRPr="006360BC">
              <w:rPr>
                <w:sz w:val="21"/>
                <w:szCs w:val="21"/>
              </w:rPr>
              <w:t>323</w:t>
            </w:r>
          </w:p>
        </w:tc>
        <w:tc>
          <w:tcPr>
            <w:tcW w:w="1349" w:type="dxa"/>
            <w:shd w:val="clear" w:color="auto" w:fill="auto"/>
            <w:noWrap/>
            <w:vAlign w:val="bottom"/>
            <w:hideMark/>
          </w:tcPr>
          <w:p w14:paraId="32DA5D0E" w14:textId="77777777" w:rsidR="00985A73" w:rsidRPr="006360BC" w:rsidRDefault="00985A73" w:rsidP="00D004C8">
            <w:pPr>
              <w:pStyle w:val="DHHStabletext6pt"/>
              <w:jc w:val="right"/>
              <w:rPr>
                <w:sz w:val="21"/>
                <w:szCs w:val="21"/>
              </w:rPr>
            </w:pPr>
            <w:r w:rsidRPr="006360BC">
              <w:rPr>
                <w:sz w:val="21"/>
                <w:szCs w:val="21"/>
              </w:rPr>
              <w:t>16</w:t>
            </w:r>
          </w:p>
        </w:tc>
      </w:tr>
      <w:tr w:rsidR="00985A73" w:rsidRPr="005F4AD4" w14:paraId="4E5519EE" w14:textId="77777777" w:rsidTr="00E44532">
        <w:trPr>
          <w:trHeight w:val="290"/>
        </w:trPr>
        <w:tc>
          <w:tcPr>
            <w:tcW w:w="3833" w:type="dxa"/>
            <w:shd w:val="clear" w:color="auto" w:fill="auto"/>
            <w:noWrap/>
            <w:vAlign w:val="bottom"/>
            <w:hideMark/>
          </w:tcPr>
          <w:p w14:paraId="2DBA8F60" w14:textId="77777777" w:rsidR="00985A73" w:rsidRPr="006360BC" w:rsidRDefault="00985A73" w:rsidP="00D004C8">
            <w:pPr>
              <w:pStyle w:val="DHHStabletext6pt"/>
              <w:rPr>
                <w:sz w:val="21"/>
                <w:szCs w:val="21"/>
              </w:rPr>
            </w:pPr>
            <w:r w:rsidRPr="006360BC">
              <w:rPr>
                <w:sz w:val="21"/>
                <w:szCs w:val="21"/>
              </w:rPr>
              <w:t>Vaccine</w:t>
            </w:r>
          </w:p>
        </w:tc>
        <w:tc>
          <w:tcPr>
            <w:tcW w:w="1039" w:type="dxa"/>
            <w:shd w:val="clear" w:color="auto" w:fill="auto"/>
            <w:noWrap/>
            <w:vAlign w:val="bottom"/>
            <w:hideMark/>
          </w:tcPr>
          <w:p w14:paraId="691B27EB" w14:textId="77777777" w:rsidR="00985A73" w:rsidRPr="006360BC" w:rsidRDefault="00985A73" w:rsidP="00D004C8">
            <w:pPr>
              <w:pStyle w:val="DHHStabletext6pt"/>
              <w:jc w:val="right"/>
              <w:rPr>
                <w:sz w:val="21"/>
                <w:szCs w:val="21"/>
              </w:rPr>
            </w:pPr>
            <w:r w:rsidRPr="006360BC">
              <w:rPr>
                <w:sz w:val="21"/>
                <w:szCs w:val="21"/>
              </w:rPr>
              <w:t>4</w:t>
            </w:r>
          </w:p>
        </w:tc>
        <w:tc>
          <w:tcPr>
            <w:tcW w:w="1349" w:type="dxa"/>
            <w:shd w:val="clear" w:color="auto" w:fill="auto"/>
            <w:noWrap/>
            <w:vAlign w:val="bottom"/>
            <w:hideMark/>
          </w:tcPr>
          <w:p w14:paraId="51D75E9A" w14:textId="77777777" w:rsidR="00985A73" w:rsidRPr="006360BC" w:rsidRDefault="00985A73" w:rsidP="00D004C8">
            <w:pPr>
              <w:pStyle w:val="DHHStabletext6pt"/>
              <w:jc w:val="right"/>
              <w:rPr>
                <w:sz w:val="21"/>
                <w:szCs w:val="21"/>
              </w:rPr>
            </w:pPr>
            <w:r w:rsidRPr="006360BC">
              <w:rPr>
                <w:sz w:val="21"/>
                <w:szCs w:val="21"/>
              </w:rPr>
              <w:t xml:space="preserve">&lt;1 </w:t>
            </w:r>
          </w:p>
        </w:tc>
      </w:tr>
      <w:tr w:rsidR="00985A73" w:rsidRPr="009634D6" w14:paraId="23E4510E" w14:textId="77777777" w:rsidTr="00E44532">
        <w:trPr>
          <w:trHeight w:val="290"/>
        </w:trPr>
        <w:tc>
          <w:tcPr>
            <w:tcW w:w="3833" w:type="dxa"/>
            <w:shd w:val="clear" w:color="auto" w:fill="auto"/>
            <w:noWrap/>
            <w:vAlign w:val="bottom"/>
            <w:hideMark/>
          </w:tcPr>
          <w:p w14:paraId="31D08D16" w14:textId="77777777" w:rsidR="00985A73" w:rsidRPr="006360BC" w:rsidRDefault="00985A73" w:rsidP="00D004C8">
            <w:pPr>
              <w:pStyle w:val="DHHStabletext6pt"/>
              <w:rPr>
                <w:b/>
                <w:bCs/>
                <w:sz w:val="21"/>
                <w:szCs w:val="21"/>
              </w:rPr>
            </w:pPr>
            <w:r w:rsidRPr="006360BC">
              <w:rPr>
                <w:b/>
                <w:bCs/>
                <w:sz w:val="21"/>
                <w:szCs w:val="21"/>
              </w:rPr>
              <w:t>Grand total</w:t>
            </w:r>
          </w:p>
        </w:tc>
        <w:tc>
          <w:tcPr>
            <w:tcW w:w="1039" w:type="dxa"/>
            <w:shd w:val="clear" w:color="auto" w:fill="auto"/>
            <w:noWrap/>
            <w:vAlign w:val="bottom"/>
            <w:hideMark/>
          </w:tcPr>
          <w:p w14:paraId="28C165BA" w14:textId="77777777" w:rsidR="00985A73" w:rsidRPr="006360BC" w:rsidRDefault="00985A73" w:rsidP="00D004C8">
            <w:pPr>
              <w:pStyle w:val="DHHStabletext6pt"/>
              <w:jc w:val="right"/>
              <w:rPr>
                <w:b/>
                <w:bCs/>
                <w:sz w:val="21"/>
                <w:szCs w:val="21"/>
              </w:rPr>
            </w:pPr>
            <w:r w:rsidRPr="006360BC">
              <w:rPr>
                <w:b/>
                <w:bCs/>
                <w:sz w:val="21"/>
                <w:szCs w:val="21"/>
              </w:rPr>
              <w:t>2060</w:t>
            </w:r>
          </w:p>
        </w:tc>
        <w:tc>
          <w:tcPr>
            <w:tcW w:w="1349" w:type="dxa"/>
            <w:shd w:val="clear" w:color="auto" w:fill="auto"/>
            <w:noWrap/>
            <w:vAlign w:val="bottom"/>
          </w:tcPr>
          <w:p w14:paraId="1E685728" w14:textId="77777777" w:rsidR="00985A73" w:rsidRPr="006360BC" w:rsidRDefault="00985A73" w:rsidP="00D004C8">
            <w:pPr>
              <w:pStyle w:val="DHHStabletext6pt"/>
              <w:jc w:val="right"/>
              <w:rPr>
                <w:b/>
                <w:bCs/>
                <w:sz w:val="21"/>
                <w:szCs w:val="21"/>
              </w:rPr>
            </w:pPr>
            <w:r>
              <w:rPr>
                <w:b/>
                <w:bCs/>
                <w:sz w:val="21"/>
                <w:szCs w:val="21"/>
              </w:rPr>
              <w:t>100</w:t>
            </w:r>
          </w:p>
        </w:tc>
      </w:tr>
    </w:tbl>
    <w:p w14:paraId="56F822E6" w14:textId="77777777" w:rsidR="00985A73" w:rsidRDefault="00985A73" w:rsidP="0086186F">
      <w:pPr>
        <w:pStyle w:val="DHHSbody"/>
      </w:pPr>
    </w:p>
    <w:p w14:paraId="10EA46CC" w14:textId="77777777" w:rsidR="0086186F" w:rsidRDefault="0086186F" w:rsidP="0086186F">
      <w:pPr>
        <w:pStyle w:val="Heading2"/>
      </w:pPr>
      <w:r>
        <w:t>Further information</w:t>
      </w:r>
    </w:p>
    <w:p w14:paraId="06AAB4A3" w14:textId="77777777" w:rsidR="0086186F" w:rsidRDefault="0086186F" w:rsidP="0086186F">
      <w:pPr>
        <w:pStyle w:val="DHHSbody"/>
      </w:pPr>
      <w:r>
        <w:t xml:space="preserve">Information about the </w:t>
      </w:r>
      <w:hyperlink r:id="rId11" w:history="1">
        <w:r w:rsidRPr="0086186F">
          <w:rPr>
            <w:rStyle w:val="Hyperlink"/>
          </w:rPr>
          <w:t>department’s anaphylaxis system</w:t>
        </w:r>
      </w:hyperlink>
      <w:r>
        <w:t xml:space="preserve"> can be found at: &lt;https://www2.health.vic.gov.au/public-health/anaphylaxis-notifications&gt;.</w:t>
      </w:r>
    </w:p>
    <w:p w14:paraId="5DE0915A" w14:textId="77777777" w:rsidR="0086186F" w:rsidRDefault="0086186F" w:rsidP="00BD45E6">
      <w:pPr>
        <w:pStyle w:val="DHHSbody"/>
        <w:spacing w:after="240"/>
      </w:pPr>
      <w:r>
        <w:t xml:space="preserve">Real-time data is available publicly through the departments’ </w:t>
      </w:r>
      <w:hyperlink r:id="rId12" w:history="1">
        <w:r w:rsidRPr="0086186F">
          <w:rPr>
            <w:rStyle w:val="Hyperlink"/>
          </w:rPr>
          <w:t>interactive infectious disease surveillance reporting system</w:t>
        </w:r>
      </w:hyperlink>
      <w:r>
        <w:t xml:space="preserve">: &lt;https://www2.health.vic.gov.au/public-health/infectious-diseases/infectious-diseases-surveillance/interactive-infectious-disease-reports&gt;. </w:t>
      </w:r>
    </w:p>
    <w:tbl>
      <w:tblPr>
        <w:tblW w:w="4800" w:type="pct"/>
        <w:tblInd w:w="113" w:type="dxa"/>
        <w:tblCellMar>
          <w:top w:w="113" w:type="dxa"/>
          <w:bottom w:w="57" w:type="dxa"/>
        </w:tblCellMar>
        <w:tblLook w:val="00A0" w:firstRow="1" w:lastRow="0" w:firstColumn="1" w:lastColumn="0" w:noHBand="0" w:noVBand="0"/>
      </w:tblPr>
      <w:tblGrid>
        <w:gridCol w:w="9786"/>
      </w:tblGrid>
      <w:tr w:rsidR="002802E3" w:rsidRPr="002802E3" w14:paraId="7F37A7A2" w14:textId="77777777" w:rsidTr="0086186F">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E9E505F" w14:textId="77777777"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0086186F" w:rsidRPr="0086186F">
              <w:t>1300 364 352</w:t>
            </w:r>
            <w:r w:rsidRPr="00254F58">
              <w:t xml:space="preserve">, using the National Relay Service 13 36 77 if required, or </w:t>
            </w:r>
            <w:hyperlink r:id="rId13" w:history="1">
              <w:r w:rsidRPr="0086186F">
                <w:rPr>
                  <w:rStyle w:val="Hyperlink"/>
                </w:rPr>
                <w:t>email</w:t>
              </w:r>
            </w:hyperlink>
            <w:r w:rsidRPr="00254F58">
              <w:t xml:space="preserve"> </w:t>
            </w:r>
            <w:r w:rsidRPr="0086186F">
              <w:t>&lt;</w:t>
            </w:r>
            <w:r w:rsidR="0086186F" w:rsidRPr="0086186F">
              <w:t>foodsafety@health.vic.gov.au</w:t>
            </w:r>
            <w:r w:rsidRPr="0086186F">
              <w:t>&gt;</w:t>
            </w:r>
          </w:p>
          <w:p w14:paraId="6A7E0D53" w14:textId="77777777" w:rsidR="00254F58" w:rsidRPr="00254F58" w:rsidRDefault="00254F58" w:rsidP="00254F58">
            <w:pPr>
              <w:pStyle w:val="DHHSbody"/>
            </w:pPr>
            <w:r w:rsidRPr="00254F58">
              <w:t>Authorised and published by the Victorian Governmen</w:t>
            </w:r>
            <w:r w:rsidR="001F3826">
              <w:t>t, 1 Treasury Place, Melbourne.</w:t>
            </w:r>
          </w:p>
          <w:p w14:paraId="00D20791" w14:textId="77777777" w:rsidR="00254F58" w:rsidRPr="00254F58" w:rsidRDefault="00254F58" w:rsidP="00254F58">
            <w:pPr>
              <w:pStyle w:val="DHHSbody"/>
            </w:pPr>
            <w:r w:rsidRPr="00254F58">
              <w:t xml:space="preserve">© State of </w:t>
            </w:r>
            <w:r w:rsidR="00A854EB">
              <w:t>Victoria, Department of Health and</w:t>
            </w:r>
            <w:r w:rsidRPr="00254F58">
              <w:t xml:space="preserve"> Human Services</w:t>
            </w:r>
            <w:r w:rsidRPr="0086186F">
              <w:t xml:space="preserve"> </w:t>
            </w:r>
            <w:r w:rsidR="0086186F" w:rsidRPr="0086186F">
              <w:t>April 2021</w:t>
            </w:r>
            <w:r w:rsidR="00F61A9F">
              <w:t>.</w:t>
            </w:r>
          </w:p>
          <w:p w14:paraId="1478F40F" w14:textId="1BF28B68" w:rsidR="002802E3" w:rsidRPr="0086186F" w:rsidRDefault="00E60ACE" w:rsidP="00254F58">
            <w:pPr>
              <w:pStyle w:val="DHHSbody"/>
              <w:rPr>
                <w:szCs w:val="19"/>
              </w:rPr>
            </w:pPr>
            <w:hyperlink r:id="rId14" w:history="1">
              <w:r w:rsidR="00254F58" w:rsidRPr="00E44532">
                <w:rPr>
                  <w:rStyle w:val="Hyperlink"/>
                </w:rPr>
                <w:t>Available at</w:t>
              </w:r>
            </w:hyperlink>
            <w:r w:rsidR="00254F58" w:rsidRPr="0086186F">
              <w:t xml:space="preserve"> &lt;</w:t>
            </w:r>
            <w:r w:rsidR="00E44532" w:rsidRPr="00E44532">
              <w:t>https://www2.health.vic.gov.au/public-health/food-safety/food-allergen-awareness</w:t>
            </w:r>
            <w:r w:rsidR="00254F58" w:rsidRPr="0086186F">
              <w:t>&gt;</w:t>
            </w:r>
          </w:p>
        </w:tc>
      </w:tr>
    </w:tbl>
    <w:p w14:paraId="1526E26F" w14:textId="77777777"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4EFC4" w14:textId="77777777" w:rsidR="00EE1CC3" w:rsidRDefault="00EE1CC3">
      <w:r>
        <w:separator/>
      </w:r>
    </w:p>
  </w:endnote>
  <w:endnote w:type="continuationSeparator" w:id="0">
    <w:p w14:paraId="499129D7" w14:textId="77777777" w:rsidR="00EE1CC3" w:rsidRDefault="00EE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26DE2" w14:textId="652CB72E" w:rsidR="009D70A4" w:rsidRPr="00F65AA9" w:rsidRDefault="002B07BF" w:rsidP="0051568D">
    <w:pPr>
      <w:pStyle w:val="DHHSfooter"/>
    </w:pPr>
    <w:r>
      <w:rPr>
        <w:noProof/>
      </w:rPr>
      <w:drawing>
        <wp:anchor distT="0" distB="0" distL="114300" distR="114300" simplePos="0" relativeHeight="251657728" behindDoc="0" locked="1" layoutInCell="0" allowOverlap="1" wp14:anchorId="42E8B3C4" wp14:editId="6C110D00">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FACB" w14:textId="215EAFC9" w:rsidR="009D70A4" w:rsidRPr="00A11421" w:rsidRDefault="002714FA" w:rsidP="0051568D">
    <w:pPr>
      <w:pStyle w:val="DHHSfooter"/>
    </w:pPr>
    <w:r>
      <w:t>Victorian Anaphylaxis Notification System</w:t>
    </w:r>
    <w:r w:rsidR="009D70A4" w:rsidRPr="00A11421">
      <w:tab/>
    </w:r>
    <w:r w:rsidR="009D70A4" w:rsidRPr="00A11421">
      <w:fldChar w:fldCharType="begin"/>
    </w:r>
    <w:r w:rsidR="009D70A4" w:rsidRPr="00A11421">
      <w:instrText xml:space="preserve"> PAGE </w:instrText>
    </w:r>
    <w:r w:rsidR="009D70A4" w:rsidRPr="00A11421">
      <w:fldChar w:fldCharType="separate"/>
    </w:r>
    <w:r w:rsidR="001D3DC7">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A0178" w14:textId="77777777" w:rsidR="00EE1CC3" w:rsidRDefault="00EE1CC3" w:rsidP="002862F1">
      <w:pPr>
        <w:spacing w:before="120"/>
      </w:pPr>
      <w:r>
        <w:separator/>
      </w:r>
    </w:p>
  </w:footnote>
  <w:footnote w:type="continuationSeparator" w:id="0">
    <w:p w14:paraId="08369E00" w14:textId="77777777" w:rsidR="00EE1CC3" w:rsidRDefault="00EE1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0437"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5C"/>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76C"/>
    <w:rsid w:val="00122FEA"/>
    <w:rsid w:val="001232BD"/>
    <w:rsid w:val="00124ED5"/>
    <w:rsid w:val="001278E8"/>
    <w:rsid w:val="001447B3"/>
    <w:rsid w:val="00144D1C"/>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3DC7"/>
    <w:rsid w:val="001D44E8"/>
    <w:rsid w:val="001D5651"/>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14FA"/>
    <w:rsid w:val="002763B3"/>
    <w:rsid w:val="002802E3"/>
    <w:rsid w:val="0028213D"/>
    <w:rsid w:val="002862F1"/>
    <w:rsid w:val="00291373"/>
    <w:rsid w:val="0029597D"/>
    <w:rsid w:val="002962C3"/>
    <w:rsid w:val="0029752B"/>
    <w:rsid w:val="002A483C"/>
    <w:rsid w:val="002B07BF"/>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E375C"/>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87D25"/>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186F"/>
    <w:rsid w:val="0086255E"/>
    <w:rsid w:val="008633F0"/>
    <w:rsid w:val="00867D9D"/>
    <w:rsid w:val="00872E0A"/>
    <w:rsid w:val="00875285"/>
    <w:rsid w:val="00884B62"/>
    <w:rsid w:val="0088529C"/>
    <w:rsid w:val="00887903"/>
    <w:rsid w:val="0089270A"/>
    <w:rsid w:val="00893AF6"/>
    <w:rsid w:val="00894BC4"/>
    <w:rsid w:val="008A5B32"/>
    <w:rsid w:val="008B06F0"/>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4617A"/>
    <w:rsid w:val="009462C6"/>
    <w:rsid w:val="00950E2C"/>
    <w:rsid w:val="00951D50"/>
    <w:rsid w:val="009525EB"/>
    <w:rsid w:val="00954874"/>
    <w:rsid w:val="00961400"/>
    <w:rsid w:val="00963646"/>
    <w:rsid w:val="009853E1"/>
    <w:rsid w:val="00985A73"/>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552F"/>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2A7D"/>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45F5"/>
    <w:rsid w:val="00B75646"/>
    <w:rsid w:val="00B90729"/>
    <w:rsid w:val="00B907DA"/>
    <w:rsid w:val="00B950BC"/>
    <w:rsid w:val="00B9714C"/>
    <w:rsid w:val="00BA3F8D"/>
    <w:rsid w:val="00BB7A10"/>
    <w:rsid w:val="00BC7468"/>
    <w:rsid w:val="00BC7D4F"/>
    <w:rsid w:val="00BC7ED7"/>
    <w:rsid w:val="00BD2850"/>
    <w:rsid w:val="00BD45E6"/>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40BB1"/>
    <w:rsid w:val="00E44532"/>
    <w:rsid w:val="00E56A01"/>
    <w:rsid w:val="00E60ACE"/>
    <w:rsid w:val="00E629A1"/>
    <w:rsid w:val="00E71591"/>
    <w:rsid w:val="00E82C55"/>
    <w:rsid w:val="00E92AC3"/>
    <w:rsid w:val="00EB00E0"/>
    <w:rsid w:val="00EC059F"/>
    <w:rsid w:val="00EC1F24"/>
    <w:rsid w:val="00EC22F6"/>
    <w:rsid w:val="00ED5B9B"/>
    <w:rsid w:val="00ED6BAD"/>
    <w:rsid w:val="00ED7447"/>
    <w:rsid w:val="00EE1488"/>
    <w:rsid w:val="00EE1CC3"/>
    <w:rsid w:val="00EE4D5D"/>
    <w:rsid w:val="00EE5131"/>
    <w:rsid w:val="00EF109B"/>
    <w:rsid w:val="00EF36AF"/>
    <w:rsid w:val="00F00F9C"/>
    <w:rsid w:val="00F01E5F"/>
    <w:rsid w:val="00F02ABA"/>
    <w:rsid w:val="00F0437A"/>
    <w:rsid w:val="00F11037"/>
    <w:rsid w:val="00F16F1B"/>
    <w:rsid w:val="00F250A9"/>
    <w:rsid w:val="00F275E4"/>
    <w:rsid w:val="00F30FF4"/>
    <w:rsid w:val="00F3122E"/>
    <w:rsid w:val="00F331AD"/>
    <w:rsid w:val="00F334D2"/>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1F241E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9"/>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UnresolvedMention">
    <w:name w:val="Unresolved Mention"/>
    <w:uiPriority w:val="99"/>
    <w:semiHidden/>
    <w:unhideWhenUsed/>
    <w:rsid w:val="0086186F"/>
    <w:rPr>
      <w:color w:val="605E5C"/>
      <w:shd w:val="clear" w:color="auto" w:fill="E1DFDD"/>
    </w:rPr>
  </w:style>
  <w:style w:type="paragraph" w:styleId="BalloonText">
    <w:name w:val="Balloon Text"/>
    <w:basedOn w:val="Normal"/>
    <w:link w:val="BalloonTextChar"/>
    <w:uiPriority w:val="99"/>
    <w:semiHidden/>
    <w:unhideWhenUsed/>
    <w:rsid w:val="00BD45E6"/>
    <w:rPr>
      <w:rFonts w:ascii="Segoe UI" w:hAnsi="Segoe UI" w:cs="Segoe UI"/>
      <w:sz w:val="18"/>
      <w:szCs w:val="18"/>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BalloonTextChar">
    <w:name w:val="Balloon Text Char"/>
    <w:basedOn w:val="DefaultParagraphFont"/>
    <w:link w:val="BalloonText"/>
    <w:uiPriority w:val="99"/>
    <w:semiHidden/>
    <w:rsid w:val="00BD45E6"/>
    <w:rPr>
      <w:rFonts w:ascii="Segoe UI" w:hAnsi="Segoe UI" w:cs="Segoe UI"/>
      <w:sz w:val="18"/>
      <w:szCs w:val="18"/>
      <w:lang w:eastAsia="en-US"/>
    </w:r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Bullet1">
    <w:name w:val="Bullet 1"/>
    <w:basedOn w:val="Normal"/>
    <w:qFormat/>
    <w:rsid w:val="00985A73"/>
    <w:pPr>
      <w:spacing w:after="40" w:line="280" w:lineRule="atLeast"/>
      <w:ind w:left="284" w:hanging="284"/>
    </w:pPr>
    <w:rPr>
      <w:rFonts w:ascii="Arial" w:eastAsia="Times" w:hAnsi="Arial"/>
      <w:sz w:val="21"/>
    </w:rPr>
  </w:style>
  <w:style w:type="paragraph" w:customStyle="1" w:styleId="Bullet2">
    <w:name w:val="Bullet 2"/>
    <w:basedOn w:val="Normal"/>
    <w:uiPriority w:val="2"/>
    <w:qFormat/>
    <w:rsid w:val="00985A73"/>
    <w:pPr>
      <w:spacing w:after="40" w:line="280" w:lineRule="atLeast"/>
      <w:ind w:left="567" w:hanging="283"/>
    </w:pPr>
    <w:rPr>
      <w:rFonts w:ascii="Arial" w:eastAsia="Times" w:hAnsi="Arial"/>
      <w:sz w:val="21"/>
    </w:rPr>
  </w:style>
  <w:style w:type="character" w:styleId="CommentReference">
    <w:name w:val="annotation reference"/>
    <w:basedOn w:val="DefaultParagraphFont"/>
    <w:uiPriority w:val="99"/>
    <w:semiHidden/>
    <w:unhideWhenUsed/>
    <w:rsid w:val="00A6552F"/>
    <w:rPr>
      <w:sz w:val="16"/>
      <w:szCs w:val="16"/>
    </w:rPr>
  </w:style>
  <w:style w:type="paragraph" w:styleId="CommentText">
    <w:name w:val="annotation text"/>
    <w:basedOn w:val="Normal"/>
    <w:link w:val="CommentTextChar"/>
    <w:uiPriority w:val="99"/>
    <w:semiHidden/>
    <w:unhideWhenUsed/>
    <w:rsid w:val="00A6552F"/>
  </w:style>
  <w:style w:type="character" w:customStyle="1" w:styleId="CommentTextChar">
    <w:name w:val="Comment Text Char"/>
    <w:basedOn w:val="DefaultParagraphFont"/>
    <w:link w:val="CommentText"/>
    <w:uiPriority w:val="99"/>
    <w:semiHidden/>
    <w:rsid w:val="00A6552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6552F"/>
    <w:rPr>
      <w:b/>
      <w:bCs/>
    </w:rPr>
  </w:style>
  <w:style w:type="character" w:customStyle="1" w:styleId="CommentSubjectChar">
    <w:name w:val="Comment Subject Char"/>
    <w:basedOn w:val="CommentTextChar"/>
    <w:link w:val="CommentSubject"/>
    <w:uiPriority w:val="99"/>
    <w:semiHidden/>
    <w:rsid w:val="00A6552F"/>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oodsafety@health.vic.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2.health.vic.gov.au/public-health/infectious-diseases/infectious-diseases-surveillance/interactive-infectious-disease-repor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public-health/anaphylaxis-notific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2.health.vic.gov.au/public-health/food-safety/food-allergen-awarene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Victorian Anaphylaxis Notification System</vt:lpstr>
    </vt:vector>
  </TitlesOfParts>
  <Manager/>
  <Company/>
  <LinksUpToDate>false</LinksUpToDate>
  <CharactersWithSpaces>4514</CharactersWithSpaces>
  <SharedDoc>false</SharedDoc>
  <HyperlinkBase/>
  <HLinks>
    <vt:vector size="18" baseType="variant">
      <vt:variant>
        <vt:i4>5111913</vt:i4>
      </vt:variant>
      <vt:variant>
        <vt:i4>6</vt:i4>
      </vt:variant>
      <vt:variant>
        <vt:i4>0</vt:i4>
      </vt:variant>
      <vt:variant>
        <vt:i4>5</vt:i4>
      </vt:variant>
      <vt:variant>
        <vt:lpwstr>mailto:foodsafety@health.vic.gov.au</vt:lpwstr>
      </vt:variant>
      <vt:variant>
        <vt:lpwstr/>
      </vt:variant>
      <vt:variant>
        <vt:i4>5242899</vt:i4>
      </vt:variant>
      <vt:variant>
        <vt:i4>3</vt:i4>
      </vt:variant>
      <vt:variant>
        <vt:i4>0</vt:i4>
      </vt:variant>
      <vt:variant>
        <vt:i4>5</vt:i4>
      </vt:variant>
      <vt:variant>
        <vt:lpwstr>https://www2.health.vic.gov.au/public-health/infectious-diseases/infectious-diseases-surveillance/interactive-infectious-disease-reports</vt:lpwstr>
      </vt:variant>
      <vt:variant>
        <vt:lpwstr/>
      </vt:variant>
      <vt:variant>
        <vt:i4>3866662</vt:i4>
      </vt:variant>
      <vt:variant>
        <vt:i4>0</vt:i4>
      </vt:variant>
      <vt:variant>
        <vt:i4>0</vt:i4>
      </vt:variant>
      <vt:variant>
        <vt:i4>5</vt:i4>
      </vt:variant>
      <vt:variant>
        <vt:lpwstr>https://www2.health.vic.gov.au/public-health/anaphylaxis-notifications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Anaphylaxis Notification System</dc:title>
  <dc:subject/>
  <dc:creator/>
  <cp:keywords/>
  <cp:lastModifiedBy/>
  <cp:revision>1</cp:revision>
  <dcterms:created xsi:type="dcterms:W3CDTF">2021-06-28T02:39:00Z</dcterms:created>
  <dcterms:modified xsi:type="dcterms:W3CDTF">2021-06-28T02:40:00Z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2021-06-28T02:40:14Z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900038be-0a34-4aba-83f6-077da0ddf79c</vt:lpwstr>
  </property>
  <property fmtid="{D5CDD505-2E9C-101B-9397-08002B2CF9AE}" pid="8" name="MSIP_Label_efdf5488-3066-4b6c-8fea-9472b8a1f34c_ContentBits">
    <vt:lpwstr>0</vt:lpwstr>
  </property>
</Properties>
</file>